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bookmarkStart w:id="0" w:name="_GoBack"/>
      <w:bookmarkEnd w:id="0"/>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6032BF">
                              <w:rPr>
                                <w:rFonts w:asciiTheme="majorHAnsi" w:hAnsiTheme="majorHAnsi" w:cs="Arial"/>
                                <w:b/>
                                <w:bCs/>
                                <w:color w:val="0D0D0D" w:themeColor="text1" w:themeTint="F2"/>
                                <w:sz w:val="36"/>
                                <w:szCs w:val="40"/>
                              </w:rPr>
                              <w:t>87</w:t>
                            </w:r>
                            <w:r w:rsidRPr="004B7EB6">
                              <w:rPr>
                                <w:rFonts w:asciiTheme="majorHAnsi" w:hAnsiTheme="majorHAnsi" w:cs="Arial"/>
                                <w:b/>
                                <w:bCs/>
                                <w:color w:val="0D0D0D" w:themeColor="text1" w:themeTint="F2"/>
                                <w:sz w:val="36"/>
                                <w:szCs w:val="40"/>
                              </w:rPr>
                              <w:t>/14</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6032BF">
                              <w:rPr>
                                <w:rFonts w:asciiTheme="majorHAnsi" w:hAnsiTheme="majorHAnsi" w:cs="Arial"/>
                                <w:b/>
                                <w:color w:val="0D0D0D" w:themeColor="text1" w:themeTint="F2"/>
                                <w:sz w:val="36"/>
                                <w:szCs w:val="40"/>
                              </w:rPr>
                              <w:t>12.443</w:t>
                            </w:r>
                            <w:r w:rsidR="002C1641" w:rsidRPr="004B7EB6">
                              <w:rPr>
                                <w:rFonts w:asciiTheme="majorHAnsi" w:hAnsiTheme="majorHAnsi" w:cs="Arial"/>
                                <w:b/>
                                <w:color w:val="0D0D0D" w:themeColor="text1" w:themeTint="F2"/>
                                <w:sz w:val="36"/>
                                <w:szCs w:val="40"/>
                              </w:rPr>
                              <w:t xml:space="preserve"> </w:t>
                            </w:r>
                          </w:p>
                          <w:p w:rsidR="00322450" w:rsidRPr="004B7EB6" w:rsidRDefault="00FA0DD5" w:rsidP="00AB1B21">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ARCHIVE</w:t>
                            </w:r>
                          </w:p>
                          <w:p w:rsidR="00450A4A" w:rsidRPr="004B7EB6" w:rsidRDefault="00450A4A" w:rsidP="004B7EB6">
                            <w:pPr>
                              <w:spacing w:line="276" w:lineRule="auto"/>
                              <w:rPr>
                                <w:rFonts w:asciiTheme="majorHAnsi" w:hAnsiTheme="majorHAnsi" w:cs="Arial"/>
                                <w:color w:val="0D0D0D" w:themeColor="text1" w:themeTint="F2"/>
                                <w:szCs w:val="22"/>
                              </w:rPr>
                            </w:pPr>
                          </w:p>
                          <w:p w:rsidR="00E616FA" w:rsidRPr="00E308B3" w:rsidRDefault="00D31A6E" w:rsidP="004B7EB6">
                            <w:pPr>
                              <w:spacing w:line="276" w:lineRule="auto"/>
                              <w:rPr>
                                <w:rFonts w:asciiTheme="majorHAnsi" w:hAnsiTheme="majorHAnsi" w:cs="Arial"/>
                                <w:color w:val="0D0D0D" w:themeColor="text1" w:themeTint="F2"/>
                                <w:szCs w:val="22"/>
                                <w:lang w:val="es-ES"/>
                              </w:rPr>
                            </w:pPr>
                            <w:r w:rsidRPr="00D31A6E">
                              <w:rPr>
                                <w:rFonts w:asciiTheme="majorHAnsi" w:hAnsiTheme="majorHAnsi" w:cs="Arial"/>
                                <w:color w:val="0D0D0D" w:themeColor="text1" w:themeTint="F2"/>
                                <w:szCs w:val="22"/>
                                <w:lang w:val="es-ES"/>
                              </w:rPr>
                              <w:t>MAURO ACOSTA PADRÓN ET AL</w:t>
                            </w:r>
                          </w:p>
                          <w:p w:rsidR="005B52B0" w:rsidRPr="004B7EB6" w:rsidRDefault="00E616FA" w:rsidP="00E616FA">
                            <w:pPr>
                              <w:spacing w:line="276" w:lineRule="auto"/>
                              <w:rPr>
                                <w:rFonts w:asciiTheme="majorHAnsi" w:hAnsiTheme="majorHAnsi"/>
                                <w:color w:val="0D0D0D" w:themeColor="text1" w:themeTint="F2"/>
                                <w:lang w:val="es-ES_tradnl"/>
                              </w:rPr>
                            </w:pPr>
                            <w:r w:rsidRPr="00E616FA">
                              <w:rPr>
                                <w:rFonts w:asciiTheme="majorHAnsi" w:hAnsiTheme="majorHAnsi" w:cs="Arial"/>
                                <w:color w:val="0D0D0D" w:themeColor="text1" w:themeTint="F2"/>
                                <w:szCs w:val="22"/>
                                <w:lang w:val="es-ES_tradnl"/>
                              </w:rPr>
                              <w:t>VENEZUELA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6032BF">
                        <w:rPr>
                          <w:rFonts w:asciiTheme="majorHAnsi" w:hAnsiTheme="majorHAnsi" w:cs="Arial"/>
                          <w:b/>
                          <w:bCs/>
                          <w:color w:val="0D0D0D" w:themeColor="text1" w:themeTint="F2"/>
                          <w:sz w:val="36"/>
                          <w:szCs w:val="40"/>
                        </w:rPr>
                        <w:t>87</w:t>
                      </w:r>
                      <w:r w:rsidRPr="004B7EB6">
                        <w:rPr>
                          <w:rFonts w:asciiTheme="majorHAnsi" w:hAnsiTheme="majorHAnsi" w:cs="Arial"/>
                          <w:b/>
                          <w:bCs/>
                          <w:color w:val="0D0D0D" w:themeColor="text1" w:themeTint="F2"/>
                          <w:sz w:val="36"/>
                          <w:szCs w:val="40"/>
                        </w:rPr>
                        <w:t>/14</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6032BF">
                        <w:rPr>
                          <w:rFonts w:asciiTheme="majorHAnsi" w:hAnsiTheme="majorHAnsi" w:cs="Arial"/>
                          <w:b/>
                          <w:color w:val="0D0D0D" w:themeColor="text1" w:themeTint="F2"/>
                          <w:sz w:val="36"/>
                          <w:szCs w:val="40"/>
                        </w:rPr>
                        <w:t>12.443</w:t>
                      </w:r>
                      <w:r w:rsidR="002C1641" w:rsidRPr="004B7EB6">
                        <w:rPr>
                          <w:rFonts w:asciiTheme="majorHAnsi" w:hAnsiTheme="majorHAnsi" w:cs="Arial"/>
                          <w:b/>
                          <w:color w:val="0D0D0D" w:themeColor="text1" w:themeTint="F2"/>
                          <w:sz w:val="36"/>
                          <w:szCs w:val="40"/>
                        </w:rPr>
                        <w:t xml:space="preserve"> </w:t>
                      </w:r>
                    </w:p>
                    <w:p w:rsidR="00322450" w:rsidRPr="004B7EB6" w:rsidRDefault="00FA0DD5" w:rsidP="00AB1B21">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ARCHIVE</w:t>
                      </w:r>
                    </w:p>
                    <w:p w:rsidR="00450A4A" w:rsidRPr="004B7EB6" w:rsidRDefault="00450A4A" w:rsidP="004B7EB6">
                      <w:pPr>
                        <w:spacing w:line="276" w:lineRule="auto"/>
                        <w:rPr>
                          <w:rFonts w:asciiTheme="majorHAnsi" w:hAnsiTheme="majorHAnsi" w:cs="Arial"/>
                          <w:color w:val="0D0D0D" w:themeColor="text1" w:themeTint="F2"/>
                          <w:szCs w:val="22"/>
                        </w:rPr>
                      </w:pPr>
                    </w:p>
                    <w:p w:rsidR="00E616FA" w:rsidRPr="00E308B3" w:rsidRDefault="00D31A6E" w:rsidP="004B7EB6">
                      <w:pPr>
                        <w:spacing w:line="276" w:lineRule="auto"/>
                        <w:rPr>
                          <w:rFonts w:asciiTheme="majorHAnsi" w:hAnsiTheme="majorHAnsi" w:cs="Arial"/>
                          <w:color w:val="0D0D0D" w:themeColor="text1" w:themeTint="F2"/>
                          <w:szCs w:val="22"/>
                          <w:lang w:val="es-ES"/>
                        </w:rPr>
                      </w:pPr>
                      <w:r w:rsidRPr="00D31A6E">
                        <w:rPr>
                          <w:rFonts w:asciiTheme="majorHAnsi" w:hAnsiTheme="majorHAnsi" w:cs="Arial"/>
                          <w:color w:val="0D0D0D" w:themeColor="text1" w:themeTint="F2"/>
                          <w:szCs w:val="22"/>
                          <w:lang w:val="es-ES"/>
                        </w:rPr>
                        <w:t>MAURO ACOSTA PADRÓN ET AL</w:t>
                      </w:r>
                    </w:p>
                    <w:p w:rsidR="005B52B0" w:rsidRPr="004B7EB6" w:rsidRDefault="00E616FA" w:rsidP="00E616FA">
                      <w:pPr>
                        <w:spacing w:line="276" w:lineRule="auto"/>
                        <w:rPr>
                          <w:rFonts w:asciiTheme="majorHAnsi" w:hAnsiTheme="majorHAnsi"/>
                          <w:color w:val="0D0D0D" w:themeColor="text1" w:themeTint="F2"/>
                          <w:lang w:val="es-ES_tradnl"/>
                        </w:rPr>
                      </w:pPr>
                      <w:r w:rsidRPr="00E616FA">
                        <w:rPr>
                          <w:rFonts w:asciiTheme="majorHAnsi" w:hAnsiTheme="majorHAnsi" w:cs="Arial"/>
                          <w:color w:val="0D0D0D" w:themeColor="text1" w:themeTint="F2"/>
                          <w:szCs w:val="22"/>
                          <w:lang w:val="es-ES_tradnl"/>
                        </w:rPr>
                        <w:t>VENEZUELA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D31A6E" w:rsidRDefault="00627C9F" w:rsidP="002C1641">
                            <w:pPr>
                              <w:jc w:val="right"/>
                              <w:rPr>
                                <w:rFonts w:asciiTheme="minorHAnsi" w:hAnsiTheme="minorHAnsi"/>
                                <w:color w:val="FFFFFF" w:themeColor="background1"/>
                                <w:sz w:val="22"/>
                                <w:lang w:val="pt-BR"/>
                              </w:rPr>
                            </w:pPr>
                            <w:r w:rsidRPr="00D31A6E">
                              <w:rPr>
                                <w:rFonts w:asciiTheme="minorHAnsi" w:hAnsiTheme="minorHAnsi"/>
                                <w:color w:val="FFFFFF" w:themeColor="background1"/>
                                <w:sz w:val="22"/>
                                <w:lang w:val="pt-BR"/>
                              </w:rPr>
                              <w:t>OEA/Ser.L/V/II.15</w:t>
                            </w:r>
                            <w:r w:rsidR="00E308B3" w:rsidRPr="00D31A6E">
                              <w:rPr>
                                <w:rFonts w:asciiTheme="minorHAnsi" w:hAnsiTheme="minorHAnsi"/>
                                <w:color w:val="FFFFFF" w:themeColor="background1"/>
                                <w:sz w:val="22"/>
                                <w:lang w:val="pt-BR"/>
                              </w:rPr>
                              <w:t>2</w:t>
                            </w:r>
                          </w:p>
                          <w:p w:rsidR="00627C9F" w:rsidRPr="00D31A6E" w:rsidRDefault="00627C9F" w:rsidP="002C1641">
                            <w:pPr>
                              <w:jc w:val="right"/>
                              <w:rPr>
                                <w:rFonts w:asciiTheme="minorHAnsi" w:hAnsiTheme="minorHAnsi"/>
                                <w:color w:val="FFFFFF" w:themeColor="background1"/>
                                <w:sz w:val="22"/>
                                <w:lang w:val="pt-BR"/>
                              </w:rPr>
                            </w:pPr>
                            <w:r w:rsidRPr="00D31A6E">
                              <w:rPr>
                                <w:rFonts w:asciiTheme="minorHAnsi" w:hAnsiTheme="minorHAnsi"/>
                                <w:color w:val="FFFFFF" w:themeColor="background1"/>
                                <w:sz w:val="22"/>
                                <w:lang w:val="pt-BR"/>
                              </w:rPr>
                              <w:t xml:space="preserve">Doc. </w:t>
                            </w:r>
                            <w:r w:rsidR="00E308B3" w:rsidRPr="00D31A6E">
                              <w:rPr>
                                <w:rFonts w:asciiTheme="minorHAnsi" w:hAnsiTheme="minorHAnsi"/>
                                <w:color w:val="FFFFFF" w:themeColor="background1"/>
                                <w:sz w:val="22"/>
                                <w:lang w:val="pt-BR"/>
                              </w:rPr>
                              <w:t>1</w:t>
                            </w:r>
                            <w:r w:rsidR="006032BF" w:rsidRPr="00D31A6E">
                              <w:rPr>
                                <w:rFonts w:asciiTheme="minorHAnsi" w:hAnsiTheme="minorHAnsi"/>
                                <w:color w:val="FFFFFF" w:themeColor="background1"/>
                                <w:sz w:val="22"/>
                                <w:lang w:val="pt-BR"/>
                              </w:rPr>
                              <w:t>9</w:t>
                            </w:r>
                          </w:p>
                          <w:p w:rsidR="00627C9F" w:rsidRPr="004B7EB6" w:rsidRDefault="00E308B3" w:rsidP="002C1641">
                            <w:pPr>
                              <w:jc w:val="right"/>
                              <w:rPr>
                                <w:rFonts w:asciiTheme="minorHAnsi" w:hAnsiTheme="minorHAnsi"/>
                                <w:color w:val="FFFFFF" w:themeColor="background1"/>
                                <w:sz w:val="22"/>
                              </w:rPr>
                            </w:pPr>
                            <w:r>
                              <w:rPr>
                                <w:rFonts w:asciiTheme="minorHAnsi" w:hAnsiTheme="minorHAnsi"/>
                                <w:color w:val="FFFFFF" w:themeColor="background1"/>
                                <w:sz w:val="22"/>
                              </w:rPr>
                              <w:t>15 August</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8A0DE6">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D31A6E" w:rsidRDefault="00627C9F" w:rsidP="002C1641">
                      <w:pPr>
                        <w:jc w:val="right"/>
                        <w:rPr>
                          <w:rFonts w:asciiTheme="minorHAnsi" w:hAnsiTheme="minorHAnsi"/>
                          <w:color w:val="FFFFFF" w:themeColor="background1"/>
                          <w:sz w:val="22"/>
                          <w:lang w:val="pt-BR"/>
                        </w:rPr>
                      </w:pPr>
                      <w:r w:rsidRPr="00D31A6E">
                        <w:rPr>
                          <w:rFonts w:asciiTheme="minorHAnsi" w:hAnsiTheme="minorHAnsi"/>
                          <w:color w:val="FFFFFF" w:themeColor="background1"/>
                          <w:sz w:val="22"/>
                          <w:lang w:val="pt-BR"/>
                        </w:rPr>
                        <w:t>OEA/Ser.L/V/II.15</w:t>
                      </w:r>
                      <w:r w:rsidR="00E308B3" w:rsidRPr="00D31A6E">
                        <w:rPr>
                          <w:rFonts w:asciiTheme="minorHAnsi" w:hAnsiTheme="minorHAnsi"/>
                          <w:color w:val="FFFFFF" w:themeColor="background1"/>
                          <w:sz w:val="22"/>
                          <w:lang w:val="pt-BR"/>
                        </w:rPr>
                        <w:t>2</w:t>
                      </w:r>
                    </w:p>
                    <w:p w:rsidR="00627C9F" w:rsidRPr="00D31A6E" w:rsidRDefault="00627C9F" w:rsidP="002C1641">
                      <w:pPr>
                        <w:jc w:val="right"/>
                        <w:rPr>
                          <w:rFonts w:asciiTheme="minorHAnsi" w:hAnsiTheme="minorHAnsi"/>
                          <w:color w:val="FFFFFF" w:themeColor="background1"/>
                          <w:sz w:val="22"/>
                          <w:lang w:val="pt-BR"/>
                        </w:rPr>
                      </w:pPr>
                      <w:r w:rsidRPr="00D31A6E">
                        <w:rPr>
                          <w:rFonts w:asciiTheme="minorHAnsi" w:hAnsiTheme="minorHAnsi"/>
                          <w:color w:val="FFFFFF" w:themeColor="background1"/>
                          <w:sz w:val="22"/>
                          <w:lang w:val="pt-BR"/>
                        </w:rPr>
                        <w:t xml:space="preserve">Doc. </w:t>
                      </w:r>
                      <w:r w:rsidR="00E308B3" w:rsidRPr="00D31A6E">
                        <w:rPr>
                          <w:rFonts w:asciiTheme="minorHAnsi" w:hAnsiTheme="minorHAnsi"/>
                          <w:color w:val="FFFFFF" w:themeColor="background1"/>
                          <w:sz w:val="22"/>
                          <w:lang w:val="pt-BR"/>
                        </w:rPr>
                        <w:t>1</w:t>
                      </w:r>
                      <w:r w:rsidR="006032BF" w:rsidRPr="00D31A6E">
                        <w:rPr>
                          <w:rFonts w:asciiTheme="minorHAnsi" w:hAnsiTheme="minorHAnsi"/>
                          <w:color w:val="FFFFFF" w:themeColor="background1"/>
                          <w:sz w:val="22"/>
                          <w:lang w:val="pt-BR"/>
                        </w:rPr>
                        <w:t>9</w:t>
                      </w:r>
                    </w:p>
                    <w:p w:rsidR="00627C9F" w:rsidRPr="004B7EB6" w:rsidRDefault="00E308B3" w:rsidP="002C1641">
                      <w:pPr>
                        <w:jc w:val="right"/>
                        <w:rPr>
                          <w:rFonts w:asciiTheme="minorHAnsi" w:hAnsiTheme="minorHAnsi"/>
                          <w:color w:val="FFFFFF" w:themeColor="background1"/>
                          <w:sz w:val="22"/>
                        </w:rPr>
                      </w:pPr>
                      <w:r>
                        <w:rPr>
                          <w:rFonts w:asciiTheme="minorHAnsi" w:hAnsiTheme="minorHAnsi"/>
                          <w:color w:val="FFFFFF" w:themeColor="background1"/>
                          <w:sz w:val="22"/>
                        </w:rPr>
                        <w:t>15 August</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8A0DE6">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proofErr w:type="gramStart"/>
                            <w:r w:rsidR="00E308B3">
                              <w:rPr>
                                <w:rFonts w:asciiTheme="majorHAnsi" w:hAnsiTheme="majorHAnsi"/>
                                <w:color w:val="0D0D0D" w:themeColor="text1" w:themeTint="F2"/>
                                <w:sz w:val="18"/>
                                <w:szCs w:val="20"/>
                              </w:rPr>
                              <w:t>2002</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eld</w:t>
                            </w:r>
                            <w:proofErr w:type="gramEnd"/>
                            <w:r w:rsidRPr="003C32BC">
                              <w:rPr>
                                <w:rFonts w:asciiTheme="majorHAnsi" w:hAnsiTheme="majorHAnsi"/>
                                <w:color w:val="0D0D0D" w:themeColor="text1" w:themeTint="F2"/>
                                <w:sz w:val="18"/>
                                <w:szCs w:val="20"/>
                              </w:rPr>
                              <w:t xml:space="preserve"> on </w:t>
                            </w:r>
                            <w:r w:rsidR="00E308B3">
                              <w:rPr>
                                <w:rFonts w:asciiTheme="majorHAnsi" w:hAnsiTheme="majorHAnsi"/>
                                <w:color w:val="0D0D0D" w:themeColor="text1" w:themeTint="F2"/>
                                <w:sz w:val="18"/>
                                <w:szCs w:val="20"/>
                              </w:rPr>
                              <w:t>August</w:t>
                            </w:r>
                            <w:r w:rsidR="00AB1B21">
                              <w:rPr>
                                <w:rFonts w:asciiTheme="majorHAnsi" w:hAnsiTheme="majorHAnsi"/>
                                <w:color w:val="0D0D0D" w:themeColor="text1" w:themeTint="F2"/>
                                <w:sz w:val="18"/>
                                <w:szCs w:val="20"/>
                              </w:rPr>
                              <w:t xml:space="preserve"> </w:t>
                            </w:r>
                            <w:r w:rsidR="00E308B3">
                              <w:rPr>
                                <w:rFonts w:asciiTheme="majorHAnsi" w:hAnsiTheme="majorHAnsi"/>
                                <w:color w:val="0D0D0D" w:themeColor="text1" w:themeTint="F2"/>
                                <w:sz w:val="18"/>
                                <w:szCs w:val="20"/>
                              </w:rPr>
                              <w:t>15</w:t>
                            </w:r>
                            <w:r w:rsidR="00AB1B21">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t xml:space="preserve"> 2014</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w:t>
                            </w:r>
                            <w:r w:rsidR="00E308B3">
                              <w:rPr>
                                <w:rFonts w:asciiTheme="majorHAnsi" w:hAnsiTheme="majorHAnsi" w:cs="Univers"/>
                                <w:color w:val="0D0D0D" w:themeColor="text1" w:themeTint="F2"/>
                                <w:sz w:val="18"/>
                                <w:szCs w:val="20"/>
                              </w:rPr>
                              <w:t>2</w:t>
                            </w:r>
                            <w:r w:rsidR="00092F32" w:rsidRPr="003C32BC">
                              <w:rPr>
                                <w:rFonts w:asciiTheme="majorHAnsi" w:hAnsiTheme="majorHAnsi" w:cs="Univers"/>
                                <w:color w:val="0D0D0D" w:themeColor="text1" w:themeTint="F2"/>
                                <w:sz w:val="18"/>
                                <w:szCs w:val="20"/>
                              </w:rPr>
                              <w:t xml:space="preserve"> </w:t>
                            </w:r>
                            <w:r w:rsidR="00E308B3">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proofErr w:type="gramStart"/>
                      <w:r w:rsidR="00E308B3">
                        <w:rPr>
                          <w:rFonts w:asciiTheme="majorHAnsi" w:hAnsiTheme="majorHAnsi"/>
                          <w:color w:val="0D0D0D" w:themeColor="text1" w:themeTint="F2"/>
                          <w:sz w:val="18"/>
                          <w:szCs w:val="20"/>
                        </w:rPr>
                        <w:t>2002</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eld</w:t>
                      </w:r>
                      <w:proofErr w:type="gramEnd"/>
                      <w:r w:rsidRPr="003C32BC">
                        <w:rPr>
                          <w:rFonts w:asciiTheme="majorHAnsi" w:hAnsiTheme="majorHAnsi"/>
                          <w:color w:val="0D0D0D" w:themeColor="text1" w:themeTint="F2"/>
                          <w:sz w:val="18"/>
                          <w:szCs w:val="20"/>
                        </w:rPr>
                        <w:t xml:space="preserve"> on </w:t>
                      </w:r>
                      <w:r w:rsidR="00E308B3">
                        <w:rPr>
                          <w:rFonts w:asciiTheme="majorHAnsi" w:hAnsiTheme="majorHAnsi"/>
                          <w:color w:val="0D0D0D" w:themeColor="text1" w:themeTint="F2"/>
                          <w:sz w:val="18"/>
                          <w:szCs w:val="20"/>
                        </w:rPr>
                        <w:t>August</w:t>
                      </w:r>
                      <w:r w:rsidR="00AB1B21">
                        <w:rPr>
                          <w:rFonts w:asciiTheme="majorHAnsi" w:hAnsiTheme="majorHAnsi"/>
                          <w:color w:val="0D0D0D" w:themeColor="text1" w:themeTint="F2"/>
                          <w:sz w:val="18"/>
                          <w:szCs w:val="20"/>
                        </w:rPr>
                        <w:t xml:space="preserve"> </w:t>
                      </w:r>
                      <w:r w:rsidR="00E308B3">
                        <w:rPr>
                          <w:rFonts w:asciiTheme="majorHAnsi" w:hAnsiTheme="majorHAnsi"/>
                          <w:color w:val="0D0D0D" w:themeColor="text1" w:themeTint="F2"/>
                          <w:sz w:val="18"/>
                          <w:szCs w:val="20"/>
                        </w:rPr>
                        <w:t>15</w:t>
                      </w:r>
                      <w:r w:rsidR="00AB1B21">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t xml:space="preserve"> 2014</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w:t>
                      </w:r>
                      <w:r w:rsidR="00E308B3">
                        <w:rPr>
                          <w:rFonts w:asciiTheme="majorHAnsi" w:hAnsiTheme="majorHAnsi" w:cs="Univers"/>
                          <w:color w:val="0D0D0D" w:themeColor="text1" w:themeTint="F2"/>
                          <w:sz w:val="18"/>
                          <w:szCs w:val="20"/>
                        </w:rPr>
                        <w:t>2</w:t>
                      </w:r>
                      <w:r w:rsidR="00092F32" w:rsidRPr="003C32BC">
                        <w:rPr>
                          <w:rFonts w:asciiTheme="majorHAnsi" w:hAnsiTheme="majorHAnsi" w:cs="Univers"/>
                          <w:color w:val="0D0D0D" w:themeColor="text1" w:themeTint="F2"/>
                          <w:sz w:val="18"/>
                          <w:szCs w:val="20"/>
                        </w:rPr>
                        <w:t xml:space="preserve"> </w:t>
                      </w:r>
                      <w:r w:rsidR="00E308B3">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E308B3">
                              <w:rPr>
                                <w:rFonts w:asciiTheme="majorHAnsi" w:hAnsiTheme="majorHAnsi"/>
                                <w:color w:val="595959" w:themeColor="text1" w:themeTint="A6"/>
                                <w:sz w:val="18"/>
                              </w:rPr>
                              <w:t>8</w:t>
                            </w:r>
                            <w:r w:rsidR="00D31A6E">
                              <w:rPr>
                                <w:rFonts w:asciiTheme="majorHAnsi" w:hAnsiTheme="majorHAnsi"/>
                                <w:color w:val="595959" w:themeColor="text1" w:themeTint="A6"/>
                                <w:sz w:val="18"/>
                              </w:rPr>
                              <w:t>7</w:t>
                            </w:r>
                            <w:r w:rsidR="00AB1B21">
                              <w:rPr>
                                <w:rFonts w:asciiTheme="majorHAnsi" w:hAnsiTheme="majorHAnsi"/>
                                <w:color w:val="595959" w:themeColor="text1" w:themeTint="A6"/>
                                <w:sz w:val="18"/>
                              </w:rPr>
                              <w:t>/14</w:t>
                            </w:r>
                            <w:r w:rsidRPr="003C32BC">
                              <w:rPr>
                                <w:rFonts w:asciiTheme="majorHAnsi" w:hAnsiTheme="majorHAnsi"/>
                                <w:color w:val="595959" w:themeColor="text1" w:themeTint="A6"/>
                                <w:sz w:val="18"/>
                              </w:rPr>
                              <w:t xml:space="preserve">, </w:t>
                            </w:r>
                            <w:r w:rsidR="00D31A6E">
                              <w:rPr>
                                <w:rFonts w:asciiTheme="majorHAnsi" w:hAnsiTheme="majorHAnsi"/>
                                <w:color w:val="595959" w:themeColor="text1" w:themeTint="A6"/>
                                <w:sz w:val="18"/>
                              </w:rPr>
                              <w:t>Case 12.443</w:t>
                            </w:r>
                            <w:r w:rsidR="00AB1B21">
                              <w:rPr>
                                <w:rFonts w:asciiTheme="majorHAnsi" w:hAnsiTheme="majorHAnsi"/>
                                <w:color w:val="595959" w:themeColor="text1" w:themeTint="A6"/>
                                <w:sz w:val="18"/>
                              </w:rPr>
                              <w:t xml:space="preserve">. </w:t>
                            </w:r>
                            <w:r w:rsidR="00E308B3" w:rsidRPr="00022422">
                              <w:rPr>
                                <w:rFonts w:asciiTheme="majorHAnsi" w:hAnsiTheme="majorHAnsi"/>
                                <w:color w:val="595959" w:themeColor="text1" w:themeTint="A6"/>
                                <w:sz w:val="18"/>
                                <w:lang w:val="es-ES"/>
                              </w:rPr>
                              <w:t>Archive</w:t>
                            </w:r>
                            <w:r w:rsidR="00AB1B21" w:rsidRPr="00022422">
                              <w:rPr>
                                <w:rFonts w:asciiTheme="majorHAnsi" w:hAnsiTheme="majorHAnsi"/>
                                <w:color w:val="595959" w:themeColor="text1" w:themeTint="A6"/>
                                <w:sz w:val="18"/>
                                <w:lang w:val="es-ES"/>
                              </w:rPr>
                              <w:t>.</w:t>
                            </w:r>
                            <w:r w:rsidR="00AB1B21" w:rsidRPr="00022422">
                              <w:rPr>
                                <w:lang w:val="es-ES"/>
                              </w:rPr>
                              <w:t xml:space="preserve"> </w:t>
                            </w:r>
                            <w:r w:rsidR="00D31A6E" w:rsidRPr="00022422">
                              <w:rPr>
                                <w:rFonts w:asciiTheme="majorHAnsi" w:hAnsiTheme="majorHAnsi"/>
                                <w:color w:val="595959" w:themeColor="text1" w:themeTint="A6"/>
                                <w:sz w:val="18"/>
                                <w:lang w:val="es-ES"/>
                              </w:rPr>
                              <w:t>Mauro Acosta</w:t>
                            </w:r>
                            <w:r w:rsidR="00E308B3" w:rsidRPr="00022422">
                              <w:rPr>
                                <w:rFonts w:asciiTheme="majorHAnsi" w:hAnsiTheme="majorHAnsi"/>
                                <w:color w:val="595959" w:themeColor="text1" w:themeTint="A6"/>
                                <w:sz w:val="18"/>
                                <w:lang w:val="es-ES"/>
                              </w:rPr>
                              <w:t xml:space="preserve"> et al</w:t>
                            </w:r>
                            <w:r w:rsidRPr="00022422">
                              <w:rPr>
                                <w:rFonts w:asciiTheme="majorHAnsi" w:hAnsiTheme="majorHAnsi"/>
                                <w:color w:val="595959" w:themeColor="text1" w:themeTint="A6"/>
                                <w:sz w:val="18"/>
                                <w:lang w:val="es-ES"/>
                              </w:rPr>
                              <w:t xml:space="preserve">. </w:t>
                            </w:r>
                            <w:r w:rsidR="00AB1B21">
                              <w:rPr>
                                <w:rFonts w:asciiTheme="majorHAnsi" w:hAnsiTheme="majorHAnsi"/>
                                <w:color w:val="595959" w:themeColor="text1" w:themeTint="A6"/>
                                <w:sz w:val="18"/>
                              </w:rPr>
                              <w:t>Venezuela</w:t>
                            </w:r>
                            <w:r w:rsidRPr="007607C4">
                              <w:rPr>
                                <w:rFonts w:asciiTheme="majorHAnsi" w:hAnsiTheme="majorHAnsi"/>
                                <w:color w:val="595959" w:themeColor="text1" w:themeTint="A6"/>
                                <w:sz w:val="18"/>
                              </w:rPr>
                              <w:t>.</w:t>
                            </w:r>
                            <w:r w:rsidR="00AB1B21">
                              <w:rPr>
                                <w:rFonts w:asciiTheme="majorHAnsi" w:hAnsiTheme="majorHAnsi"/>
                                <w:color w:val="595959" w:themeColor="text1" w:themeTint="A6"/>
                                <w:sz w:val="18"/>
                              </w:rPr>
                              <w:t xml:space="preserve"> </w:t>
                            </w:r>
                            <w:r w:rsidR="00E308B3">
                              <w:rPr>
                                <w:rFonts w:asciiTheme="majorHAnsi" w:hAnsiTheme="majorHAnsi"/>
                                <w:color w:val="595959" w:themeColor="text1" w:themeTint="A6"/>
                                <w:sz w:val="18"/>
                              </w:rPr>
                              <w:t>August 15</w:t>
                            </w:r>
                            <w:proofErr w:type="gramStart"/>
                            <w:r w:rsidR="00AB1B21">
                              <w:rPr>
                                <w:rFonts w:asciiTheme="majorHAnsi" w:hAnsiTheme="majorHAnsi"/>
                                <w:color w:val="595959" w:themeColor="text1" w:themeTint="A6"/>
                                <w:sz w:val="18"/>
                              </w:rPr>
                              <w:t>,2014</w:t>
                            </w:r>
                            <w:proofErr w:type="gramEnd"/>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E308B3">
                        <w:rPr>
                          <w:rFonts w:asciiTheme="majorHAnsi" w:hAnsiTheme="majorHAnsi"/>
                          <w:color w:val="595959" w:themeColor="text1" w:themeTint="A6"/>
                          <w:sz w:val="18"/>
                        </w:rPr>
                        <w:t>8</w:t>
                      </w:r>
                      <w:r w:rsidR="00D31A6E">
                        <w:rPr>
                          <w:rFonts w:asciiTheme="majorHAnsi" w:hAnsiTheme="majorHAnsi"/>
                          <w:color w:val="595959" w:themeColor="text1" w:themeTint="A6"/>
                          <w:sz w:val="18"/>
                        </w:rPr>
                        <w:t>7</w:t>
                      </w:r>
                      <w:r w:rsidR="00AB1B21">
                        <w:rPr>
                          <w:rFonts w:asciiTheme="majorHAnsi" w:hAnsiTheme="majorHAnsi"/>
                          <w:color w:val="595959" w:themeColor="text1" w:themeTint="A6"/>
                          <w:sz w:val="18"/>
                        </w:rPr>
                        <w:t>/14</w:t>
                      </w:r>
                      <w:r w:rsidRPr="003C32BC">
                        <w:rPr>
                          <w:rFonts w:asciiTheme="majorHAnsi" w:hAnsiTheme="majorHAnsi"/>
                          <w:color w:val="595959" w:themeColor="text1" w:themeTint="A6"/>
                          <w:sz w:val="18"/>
                        </w:rPr>
                        <w:t xml:space="preserve">, </w:t>
                      </w:r>
                      <w:r w:rsidR="00D31A6E">
                        <w:rPr>
                          <w:rFonts w:asciiTheme="majorHAnsi" w:hAnsiTheme="majorHAnsi"/>
                          <w:color w:val="595959" w:themeColor="text1" w:themeTint="A6"/>
                          <w:sz w:val="18"/>
                        </w:rPr>
                        <w:t>Case 12.443</w:t>
                      </w:r>
                      <w:r w:rsidR="00AB1B21">
                        <w:rPr>
                          <w:rFonts w:asciiTheme="majorHAnsi" w:hAnsiTheme="majorHAnsi"/>
                          <w:color w:val="595959" w:themeColor="text1" w:themeTint="A6"/>
                          <w:sz w:val="18"/>
                        </w:rPr>
                        <w:t xml:space="preserve">. </w:t>
                      </w:r>
                      <w:proofErr w:type="gramStart"/>
                      <w:r w:rsidR="00E308B3" w:rsidRPr="006032BF">
                        <w:rPr>
                          <w:rFonts w:asciiTheme="majorHAnsi" w:hAnsiTheme="majorHAnsi"/>
                          <w:color w:val="595959" w:themeColor="text1" w:themeTint="A6"/>
                          <w:sz w:val="18"/>
                          <w:lang w:val="fr-CA"/>
                        </w:rPr>
                        <w:t>Archive</w:t>
                      </w:r>
                      <w:r w:rsidR="00AB1B21" w:rsidRPr="006032BF">
                        <w:rPr>
                          <w:rFonts w:asciiTheme="majorHAnsi" w:hAnsiTheme="majorHAnsi"/>
                          <w:color w:val="595959" w:themeColor="text1" w:themeTint="A6"/>
                          <w:sz w:val="18"/>
                          <w:lang w:val="fr-CA"/>
                        </w:rPr>
                        <w:t>.</w:t>
                      </w:r>
                      <w:proofErr w:type="gramEnd"/>
                      <w:r w:rsidR="00AB1B21" w:rsidRPr="006032BF">
                        <w:rPr>
                          <w:lang w:val="fr-CA"/>
                        </w:rPr>
                        <w:t xml:space="preserve"> </w:t>
                      </w:r>
                      <w:r w:rsidR="00D31A6E">
                        <w:rPr>
                          <w:rFonts w:asciiTheme="majorHAnsi" w:hAnsiTheme="majorHAnsi"/>
                          <w:color w:val="595959" w:themeColor="text1" w:themeTint="A6"/>
                          <w:sz w:val="18"/>
                          <w:lang w:val="fr-CA"/>
                        </w:rPr>
                        <w:t>Mauro Acosta</w:t>
                      </w:r>
                      <w:r w:rsidR="00E308B3" w:rsidRPr="006032BF">
                        <w:rPr>
                          <w:rFonts w:asciiTheme="majorHAnsi" w:hAnsiTheme="majorHAnsi"/>
                          <w:color w:val="595959" w:themeColor="text1" w:themeTint="A6"/>
                          <w:sz w:val="18"/>
                          <w:lang w:val="fr-CA"/>
                        </w:rPr>
                        <w:t xml:space="preserve"> et al</w:t>
                      </w:r>
                      <w:r w:rsidRPr="006032BF">
                        <w:rPr>
                          <w:rFonts w:asciiTheme="majorHAnsi" w:hAnsiTheme="majorHAnsi"/>
                          <w:color w:val="595959" w:themeColor="text1" w:themeTint="A6"/>
                          <w:sz w:val="18"/>
                          <w:lang w:val="fr-CA"/>
                        </w:rPr>
                        <w:t xml:space="preserve">. </w:t>
                      </w:r>
                      <w:r w:rsidR="00AB1B21">
                        <w:rPr>
                          <w:rFonts w:asciiTheme="majorHAnsi" w:hAnsiTheme="majorHAnsi"/>
                          <w:color w:val="595959" w:themeColor="text1" w:themeTint="A6"/>
                          <w:sz w:val="18"/>
                        </w:rPr>
                        <w:t>Venezuela</w:t>
                      </w:r>
                      <w:r w:rsidRPr="007607C4">
                        <w:rPr>
                          <w:rFonts w:asciiTheme="majorHAnsi" w:hAnsiTheme="majorHAnsi"/>
                          <w:color w:val="595959" w:themeColor="text1" w:themeTint="A6"/>
                          <w:sz w:val="18"/>
                        </w:rPr>
                        <w:t>.</w:t>
                      </w:r>
                      <w:r w:rsidR="00AB1B21">
                        <w:rPr>
                          <w:rFonts w:asciiTheme="majorHAnsi" w:hAnsiTheme="majorHAnsi"/>
                          <w:color w:val="595959" w:themeColor="text1" w:themeTint="A6"/>
                          <w:sz w:val="18"/>
                        </w:rPr>
                        <w:t xml:space="preserve"> </w:t>
                      </w:r>
                      <w:r w:rsidR="00E308B3">
                        <w:rPr>
                          <w:rFonts w:asciiTheme="majorHAnsi" w:hAnsiTheme="majorHAnsi"/>
                          <w:color w:val="595959" w:themeColor="text1" w:themeTint="A6"/>
                          <w:sz w:val="18"/>
                        </w:rPr>
                        <w:t>August 15</w:t>
                      </w:r>
                      <w:proofErr w:type="gramStart"/>
                      <w:r w:rsidR="00AB1B21">
                        <w:rPr>
                          <w:rFonts w:asciiTheme="majorHAnsi" w:hAnsiTheme="majorHAnsi"/>
                          <w:color w:val="595959" w:themeColor="text1" w:themeTint="A6"/>
                          <w:sz w:val="18"/>
                        </w:rPr>
                        <w:t>,2014</w:t>
                      </w:r>
                      <w:proofErr w:type="gramEnd"/>
                      <w:r w:rsidRPr="007607C4">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AB1B21">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AB1B21">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D31A6E" w:rsidRPr="00022422" w:rsidRDefault="00D31A6E" w:rsidP="00D31A6E">
      <w:pPr>
        <w:jc w:val="center"/>
        <w:rPr>
          <w:rFonts w:ascii="Cambria" w:hAnsi="Cambria" w:cs="Arial"/>
          <w:sz w:val="18"/>
          <w:szCs w:val="18"/>
          <w:lang w:val="es-ES"/>
        </w:rPr>
      </w:pPr>
      <w:r w:rsidRPr="00022422">
        <w:rPr>
          <w:rFonts w:ascii="Cambria" w:hAnsi="Cambria" w:cs="Arial"/>
          <w:b/>
          <w:bCs/>
          <w:sz w:val="18"/>
          <w:szCs w:val="18"/>
          <w:lang w:val="es-ES"/>
        </w:rPr>
        <w:lastRenderedPageBreak/>
        <w:t>REPORT No. 87</w:t>
      </w:r>
      <w:r w:rsidRPr="00022422">
        <w:rPr>
          <w:rFonts w:ascii="Cambria" w:hAnsi="Cambria"/>
          <w:b/>
          <w:sz w:val="18"/>
          <w:szCs w:val="18"/>
          <w:lang w:val="es-ES"/>
        </w:rPr>
        <w:t>/14</w:t>
      </w:r>
    </w:p>
    <w:p w:rsidR="00D31A6E" w:rsidRPr="00022422" w:rsidRDefault="00D31A6E" w:rsidP="00D31A6E">
      <w:pPr>
        <w:jc w:val="center"/>
        <w:rPr>
          <w:rFonts w:ascii="Cambria" w:hAnsi="Cambria" w:cs="Arial"/>
          <w:b/>
          <w:bCs/>
          <w:sz w:val="18"/>
          <w:szCs w:val="18"/>
          <w:lang w:val="es-ES"/>
        </w:rPr>
      </w:pPr>
      <w:r w:rsidRPr="00022422">
        <w:rPr>
          <w:rFonts w:ascii="Cambria" w:hAnsi="Cambria" w:cs="Arial"/>
          <w:b/>
          <w:bCs/>
          <w:sz w:val="18"/>
          <w:szCs w:val="18"/>
          <w:lang w:val="es-ES"/>
        </w:rPr>
        <w:t>CASE 12.443</w:t>
      </w:r>
    </w:p>
    <w:p w:rsidR="00D31A6E" w:rsidRPr="00D31A6E" w:rsidRDefault="00D31A6E" w:rsidP="00D31A6E">
      <w:pPr>
        <w:jc w:val="center"/>
        <w:rPr>
          <w:rFonts w:ascii="Cambria" w:hAnsi="Cambria" w:cs="Arial"/>
          <w:bCs/>
          <w:sz w:val="18"/>
          <w:szCs w:val="18"/>
          <w:lang w:val="es-ES"/>
        </w:rPr>
      </w:pPr>
      <w:r w:rsidRPr="00D31A6E">
        <w:rPr>
          <w:rFonts w:ascii="Cambria" w:hAnsi="Cambria" w:cs="Arial"/>
          <w:bCs/>
          <w:sz w:val="18"/>
          <w:szCs w:val="18"/>
          <w:lang w:val="es-ES"/>
        </w:rPr>
        <w:t>MAURO ACOSTA PADRÓN ET AL</w:t>
      </w:r>
    </w:p>
    <w:p w:rsidR="00D31A6E" w:rsidRPr="003D60A1" w:rsidRDefault="00D31A6E" w:rsidP="00D31A6E">
      <w:pPr>
        <w:jc w:val="center"/>
        <w:rPr>
          <w:rFonts w:ascii="Cambria" w:hAnsi="Cambria" w:cs="Arial"/>
          <w:bCs/>
          <w:sz w:val="18"/>
          <w:szCs w:val="18"/>
        </w:rPr>
      </w:pPr>
      <w:r w:rsidRPr="003D60A1">
        <w:rPr>
          <w:rFonts w:ascii="Cambria" w:hAnsi="Cambria" w:cs="Arial"/>
          <w:bCs/>
          <w:sz w:val="18"/>
          <w:szCs w:val="18"/>
        </w:rPr>
        <w:t xml:space="preserve">DECISION TO ARCHIVE </w:t>
      </w:r>
    </w:p>
    <w:p w:rsidR="00D31A6E" w:rsidRPr="00022422" w:rsidRDefault="00D31A6E" w:rsidP="00D31A6E">
      <w:pPr>
        <w:jc w:val="center"/>
        <w:rPr>
          <w:rFonts w:ascii="Cambria" w:hAnsi="Cambria" w:cs="Arial"/>
          <w:bCs/>
          <w:sz w:val="18"/>
          <w:szCs w:val="18"/>
        </w:rPr>
      </w:pPr>
      <w:r w:rsidRPr="00022422">
        <w:rPr>
          <w:rFonts w:ascii="Cambria" w:hAnsi="Cambria" w:cs="Arial"/>
          <w:bCs/>
          <w:sz w:val="18"/>
          <w:szCs w:val="18"/>
        </w:rPr>
        <w:t>VENEZUELA</w:t>
      </w:r>
    </w:p>
    <w:p w:rsidR="00D31A6E" w:rsidRPr="00022422" w:rsidRDefault="00D31A6E" w:rsidP="00D31A6E">
      <w:pPr>
        <w:jc w:val="center"/>
        <w:outlineLvl w:val="0"/>
        <w:rPr>
          <w:rFonts w:ascii="Cambria" w:hAnsi="Cambria"/>
          <w:bCs/>
          <w:sz w:val="18"/>
          <w:szCs w:val="18"/>
        </w:rPr>
      </w:pPr>
      <w:r w:rsidRPr="00022422">
        <w:rPr>
          <w:rFonts w:ascii="Cambria" w:hAnsi="Cambria"/>
          <w:bCs/>
          <w:sz w:val="18"/>
          <w:szCs w:val="18"/>
        </w:rPr>
        <w:t>AUGUST 15, 2014</w:t>
      </w:r>
    </w:p>
    <w:p w:rsidR="00D31A6E" w:rsidRPr="00022422" w:rsidRDefault="00D31A6E" w:rsidP="00D31A6E">
      <w:pPr>
        <w:jc w:val="both"/>
        <w:rPr>
          <w:rFonts w:ascii="Cambria" w:hAnsi="Cambria" w:cs="Arial"/>
          <w:sz w:val="20"/>
          <w:szCs w:val="20"/>
        </w:rPr>
      </w:pPr>
    </w:p>
    <w:p w:rsidR="00D31A6E" w:rsidRPr="00022422" w:rsidRDefault="00D31A6E" w:rsidP="00D31A6E">
      <w:pPr>
        <w:jc w:val="both"/>
        <w:rPr>
          <w:rFonts w:ascii="Cambria" w:hAnsi="Cambria" w:cs="Arial"/>
          <w:sz w:val="20"/>
          <w:szCs w:val="20"/>
        </w:rPr>
      </w:pPr>
    </w:p>
    <w:p w:rsidR="00D31A6E" w:rsidRPr="003D60A1" w:rsidRDefault="00D31A6E" w:rsidP="00D31A6E">
      <w:pPr>
        <w:tabs>
          <w:tab w:val="left" w:pos="3420"/>
          <w:tab w:val="left" w:pos="3600"/>
        </w:tabs>
        <w:ind w:left="3420" w:hanging="3420"/>
        <w:jc w:val="both"/>
        <w:rPr>
          <w:rFonts w:ascii="Cambria" w:hAnsi="Cambria" w:cs="Arial"/>
          <w:sz w:val="20"/>
          <w:szCs w:val="20"/>
          <w:lang w:val="es-ES"/>
        </w:rPr>
      </w:pPr>
      <w:r w:rsidRPr="003D60A1">
        <w:rPr>
          <w:rFonts w:ascii="Cambria" w:hAnsi="Cambria" w:cs="Arial"/>
          <w:b/>
          <w:bCs/>
          <w:sz w:val="20"/>
          <w:szCs w:val="20"/>
          <w:lang w:val="es-ES"/>
        </w:rPr>
        <w:t>ALLEGED VICTIMS:</w:t>
      </w:r>
      <w:r w:rsidRPr="003D60A1">
        <w:rPr>
          <w:rFonts w:ascii="Cambria" w:hAnsi="Cambria" w:cs="Arial"/>
          <w:b/>
          <w:bCs/>
          <w:sz w:val="20"/>
          <w:szCs w:val="20"/>
          <w:lang w:val="es-ES"/>
        </w:rPr>
        <w:tab/>
      </w:r>
      <w:r w:rsidRPr="003D60A1">
        <w:rPr>
          <w:rFonts w:ascii="Cambria" w:hAnsi="Cambria" w:cs="Arial"/>
          <w:sz w:val="20"/>
          <w:szCs w:val="20"/>
          <w:lang w:val="es-ES"/>
        </w:rPr>
        <w:t>Mauro Acosta Padrón et al - Venevisión</w:t>
      </w:r>
    </w:p>
    <w:p w:rsidR="00D31A6E" w:rsidRPr="003D60A1" w:rsidRDefault="00D31A6E" w:rsidP="00D31A6E">
      <w:pPr>
        <w:tabs>
          <w:tab w:val="left" w:pos="3420"/>
          <w:tab w:val="left" w:pos="3600"/>
        </w:tabs>
        <w:jc w:val="both"/>
        <w:rPr>
          <w:rFonts w:ascii="Cambria" w:hAnsi="Cambria" w:cs="Arial"/>
          <w:sz w:val="20"/>
          <w:szCs w:val="20"/>
          <w:lang w:val="es-ES"/>
        </w:rPr>
      </w:pPr>
    </w:p>
    <w:p w:rsidR="00D31A6E" w:rsidRPr="003D60A1" w:rsidRDefault="00D31A6E" w:rsidP="00D31A6E">
      <w:pPr>
        <w:ind w:left="3420" w:hanging="3420"/>
        <w:jc w:val="both"/>
        <w:rPr>
          <w:rFonts w:ascii="Cambria" w:hAnsi="Cambria" w:cs="Arial"/>
          <w:sz w:val="20"/>
          <w:szCs w:val="20"/>
        </w:rPr>
      </w:pPr>
      <w:r w:rsidRPr="003D60A1">
        <w:rPr>
          <w:rFonts w:ascii="Cambria" w:hAnsi="Cambria" w:cs="Arial"/>
          <w:b/>
          <w:bCs/>
          <w:sz w:val="20"/>
          <w:szCs w:val="20"/>
        </w:rPr>
        <w:t>PETITIONER:</w:t>
      </w:r>
      <w:r w:rsidRPr="003D60A1">
        <w:rPr>
          <w:rFonts w:ascii="Cambria" w:hAnsi="Cambria" w:cs="Arial"/>
          <w:b/>
          <w:bCs/>
          <w:sz w:val="20"/>
          <w:szCs w:val="20"/>
        </w:rPr>
        <w:tab/>
      </w:r>
      <w:r w:rsidRPr="003D60A1">
        <w:rPr>
          <w:rFonts w:ascii="Cambria" w:hAnsi="Cambria" w:cs="Arial"/>
          <w:sz w:val="20"/>
          <w:szCs w:val="20"/>
        </w:rPr>
        <w:t>Claudio Grossman</w:t>
      </w:r>
    </w:p>
    <w:p w:rsidR="00D31A6E" w:rsidRPr="003D60A1" w:rsidRDefault="00D31A6E" w:rsidP="00D31A6E">
      <w:pPr>
        <w:ind w:left="3420" w:hanging="3420"/>
        <w:jc w:val="both"/>
        <w:rPr>
          <w:rFonts w:ascii="Cambria" w:hAnsi="Cambria" w:cs="Arial"/>
          <w:sz w:val="20"/>
          <w:szCs w:val="20"/>
        </w:rPr>
      </w:pPr>
    </w:p>
    <w:p w:rsidR="00D31A6E" w:rsidRPr="003D60A1" w:rsidRDefault="00D31A6E" w:rsidP="00D31A6E">
      <w:pPr>
        <w:tabs>
          <w:tab w:val="left" w:pos="3420"/>
        </w:tabs>
        <w:ind w:left="4245" w:hanging="4245"/>
        <w:jc w:val="both"/>
        <w:rPr>
          <w:rFonts w:ascii="Cambria" w:hAnsi="Cambria" w:cs="Arial"/>
          <w:b/>
          <w:bCs/>
          <w:sz w:val="20"/>
          <w:szCs w:val="20"/>
        </w:rPr>
      </w:pPr>
      <w:r w:rsidRPr="003D60A1">
        <w:rPr>
          <w:rFonts w:ascii="Cambria" w:hAnsi="Cambria" w:cs="Arial"/>
          <w:b/>
          <w:bCs/>
          <w:sz w:val="20"/>
          <w:szCs w:val="20"/>
        </w:rPr>
        <w:t xml:space="preserve">ADDMISSIBLE </w:t>
      </w:r>
    </w:p>
    <w:p w:rsidR="00D31A6E" w:rsidRPr="003D60A1" w:rsidRDefault="00D31A6E" w:rsidP="00D31A6E">
      <w:pPr>
        <w:tabs>
          <w:tab w:val="left" w:pos="3420"/>
        </w:tabs>
        <w:ind w:left="3420" w:hanging="3420"/>
        <w:jc w:val="both"/>
        <w:rPr>
          <w:rFonts w:ascii="Cambria" w:hAnsi="Cambria" w:cs="Arial"/>
          <w:sz w:val="20"/>
          <w:szCs w:val="20"/>
        </w:rPr>
      </w:pPr>
      <w:r w:rsidRPr="003D60A1">
        <w:rPr>
          <w:rFonts w:ascii="Cambria" w:hAnsi="Cambria" w:cs="Arial"/>
          <w:b/>
          <w:bCs/>
          <w:sz w:val="20"/>
          <w:szCs w:val="20"/>
        </w:rPr>
        <w:t>VIOLATIONS:</w:t>
      </w:r>
      <w:r w:rsidRPr="003D60A1">
        <w:rPr>
          <w:rFonts w:ascii="Cambria" w:hAnsi="Cambria" w:cs="Arial"/>
          <w:b/>
          <w:bCs/>
          <w:sz w:val="20"/>
          <w:szCs w:val="20"/>
        </w:rPr>
        <w:tab/>
      </w:r>
      <w:r w:rsidRPr="003D60A1">
        <w:rPr>
          <w:rFonts w:ascii="Cambria" w:hAnsi="Cambria" w:cs="Arial"/>
          <w:sz w:val="20"/>
          <w:szCs w:val="20"/>
        </w:rPr>
        <w:t xml:space="preserve">Articles 1.1, 2, 5, 8, 13 and 25 of the American Convention on Human Rights </w:t>
      </w:r>
    </w:p>
    <w:p w:rsidR="00D31A6E" w:rsidRPr="003D60A1" w:rsidRDefault="00D31A6E" w:rsidP="00D31A6E">
      <w:pPr>
        <w:ind w:left="2160" w:hanging="2160"/>
        <w:jc w:val="both"/>
        <w:rPr>
          <w:rFonts w:ascii="Cambria" w:hAnsi="Cambria" w:cs="Arial"/>
          <w:sz w:val="20"/>
          <w:szCs w:val="20"/>
        </w:rPr>
      </w:pPr>
    </w:p>
    <w:p w:rsidR="00D31A6E" w:rsidRPr="003D60A1" w:rsidRDefault="00D31A6E" w:rsidP="00D31A6E">
      <w:pPr>
        <w:ind w:left="3420" w:hanging="3420"/>
        <w:jc w:val="both"/>
        <w:rPr>
          <w:rFonts w:ascii="Cambria" w:hAnsi="Cambria" w:cs="Arial"/>
          <w:sz w:val="20"/>
          <w:szCs w:val="20"/>
        </w:rPr>
      </w:pPr>
      <w:r w:rsidRPr="003D60A1">
        <w:rPr>
          <w:rFonts w:ascii="Cambria" w:hAnsi="Cambria" w:cs="Arial"/>
          <w:b/>
          <w:bCs/>
          <w:sz w:val="20"/>
          <w:szCs w:val="20"/>
        </w:rPr>
        <w:t>INITIAL PROCESSING DATE:</w:t>
      </w:r>
      <w:r w:rsidRPr="003D60A1">
        <w:rPr>
          <w:rFonts w:ascii="Cambria" w:hAnsi="Cambria" w:cs="Arial"/>
          <w:b/>
          <w:bCs/>
          <w:sz w:val="20"/>
          <w:szCs w:val="20"/>
        </w:rPr>
        <w:tab/>
      </w:r>
      <w:r w:rsidRPr="003D60A1">
        <w:rPr>
          <w:rFonts w:ascii="Cambria" w:hAnsi="Cambria" w:cs="Arial"/>
          <w:bCs/>
          <w:sz w:val="20"/>
          <w:szCs w:val="20"/>
        </w:rPr>
        <w:t xml:space="preserve">November </w:t>
      </w:r>
      <w:r w:rsidRPr="003D60A1">
        <w:rPr>
          <w:rFonts w:ascii="Cambria" w:hAnsi="Cambria" w:cs="Arial"/>
          <w:sz w:val="20"/>
          <w:szCs w:val="20"/>
        </w:rPr>
        <w:t>19, 2002</w:t>
      </w:r>
    </w:p>
    <w:p w:rsidR="00D31A6E" w:rsidRPr="003D60A1" w:rsidRDefault="00D31A6E" w:rsidP="00D31A6E">
      <w:pPr>
        <w:ind w:left="3420" w:hanging="3420"/>
        <w:jc w:val="both"/>
        <w:rPr>
          <w:rFonts w:ascii="Cambria" w:hAnsi="Cambria" w:cs="Arial"/>
          <w:sz w:val="20"/>
          <w:szCs w:val="20"/>
        </w:rPr>
      </w:pPr>
    </w:p>
    <w:p w:rsidR="00D31A6E" w:rsidRPr="003D60A1" w:rsidRDefault="00D31A6E" w:rsidP="00D31A6E">
      <w:pPr>
        <w:ind w:firstLine="720"/>
        <w:jc w:val="both"/>
        <w:rPr>
          <w:rFonts w:ascii="Cambria" w:hAnsi="Cambria" w:cs="Arial"/>
          <w:sz w:val="20"/>
          <w:szCs w:val="20"/>
        </w:rPr>
      </w:pPr>
    </w:p>
    <w:p w:rsidR="00D31A6E" w:rsidRPr="003D60A1" w:rsidRDefault="00D31A6E" w:rsidP="00D31A6E">
      <w:pPr>
        <w:pStyle w:val="Heading2"/>
        <w:spacing w:before="0"/>
        <w:ind w:firstLine="720"/>
        <w:jc w:val="both"/>
        <w:rPr>
          <w:rFonts w:ascii="Cambria" w:hAnsi="Cambria"/>
          <w:sz w:val="20"/>
          <w:szCs w:val="20"/>
        </w:rPr>
      </w:pPr>
      <w:r w:rsidRPr="003D60A1">
        <w:rPr>
          <w:rFonts w:ascii="Cambria" w:hAnsi="Cambria"/>
          <w:sz w:val="20"/>
          <w:szCs w:val="20"/>
        </w:rPr>
        <w:t>I.</w:t>
      </w:r>
      <w:r w:rsidRPr="003D60A1">
        <w:rPr>
          <w:rFonts w:ascii="Cambria" w:hAnsi="Cambria"/>
          <w:sz w:val="20"/>
          <w:szCs w:val="20"/>
        </w:rPr>
        <w:tab/>
        <w:t xml:space="preserve">POSITION OF PETITIONERS </w:t>
      </w:r>
    </w:p>
    <w:p w:rsidR="00D31A6E" w:rsidRPr="003D60A1" w:rsidRDefault="00D31A6E" w:rsidP="00D31A6E">
      <w:pPr>
        <w:ind w:firstLine="720"/>
        <w:jc w:val="both"/>
        <w:rPr>
          <w:rFonts w:ascii="Cambria" w:hAnsi="Cambria"/>
          <w:sz w:val="20"/>
          <w:szCs w:val="20"/>
        </w:rPr>
      </w:pPr>
    </w:p>
    <w:p w:rsidR="00D31A6E" w:rsidRPr="003D60A1" w:rsidRDefault="00D31A6E" w:rsidP="00D31A6E">
      <w:pPr>
        <w:pStyle w:val="EndnoteText"/>
        <w:numPr>
          <w:ilvl w:val="0"/>
          <w:numId w:val="110"/>
        </w:numPr>
        <w:tabs>
          <w:tab w:val="clear" w:pos="1410"/>
          <w:tab w:val="left" w:pos="0"/>
        </w:tabs>
        <w:spacing w:before="0" w:beforeAutospacing="0" w:after="0" w:afterAutospacing="0"/>
        <w:ind w:left="0" w:firstLine="720"/>
        <w:jc w:val="both"/>
        <w:rPr>
          <w:rFonts w:ascii="Cambria" w:hAnsi="Cambria"/>
          <w:color w:val="000000"/>
          <w:sz w:val="20"/>
          <w:szCs w:val="20"/>
          <w:lang w:val="en-US"/>
        </w:rPr>
      </w:pPr>
      <w:r w:rsidRPr="003D60A1">
        <w:rPr>
          <w:rFonts w:ascii="Cambria" w:hAnsi="Cambria"/>
          <w:sz w:val="20"/>
          <w:szCs w:val="20"/>
          <w:lang w:val="en-US"/>
        </w:rPr>
        <w:t xml:space="preserve">On November 19, 2002, the Inter-American Commission on Human Rights (hereinafter “the IACHR” or “the Commission”) received a petition lodged by Messrs. </w:t>
      </w:r>
      <w:r w:rsidRPr="003D60A1">
        <w:rPr>
          <w:rFonts w:ascii="Cambria" w:hAnsi="Cambria"/>
          <w:sz w:val="20"/>
          <w:szCs w:val="20"/>
          <w:shd w:val="clear" w:color="auto" w:fill="FFFFFF"/>
          <w:lang w:val="en-US"/>
        </w:rPr>
        <w:t>Pedro Nikken, Claudio Grossman and Carlos Ayala (hereinafter “the petitioners”)</w:t>
      </w:r>
      <w:r w:rsidRPr="003D60A1">
        <w:rPr>
          <w:rStyle w:val="FootnoteReference"/>
          <w:rFonts w:ascii="Cambria" w:hAnsi="Cambria"/>
          <w:sz w:val="20"/>
          <w:szCs w:val="20"/>
          <w:shd w:val="clear" w:color="auto" w:fill="FFFFFF"/>
          <w:lang w:val="en-US"/>
        </w:rPr>
        <w:footnoteReference w:id="2"/>
      </w:r>
      <w:r w:rsidRPr="003D60A1">
        <w:rPr>
          <w:rFonts w:ascii="Cambria" w:hAnsi="Cambria"/>
          <w:sz w:val="20"/>
          <w:szCs w:val="20"/>
          <w:shd w:val="clear" w:color="auto" w:fill="FFFFFF"/>
          <w:lang w:val="en-US"/>
        </w:rPr>
        <w:t xml:space="preserve"> on behalf of </w:t>
      </w:r>
      <w:proofErr w:type="spellStart"/>
      <w:r w:rsidRPr="003D60A1">
        <w:rPr>
          <w:rFonts w:ascii="Cambria" w:hAnsi="Cambria"/>
          <w:sz w:val="20"/>
          <w:szCs w:val="20"/>
          <w:shd w:val="clear" w:color="auto" w:fill="FFFFFF"/>
          <w:lang w:val="en-US"/>
        </w:rPr>
        <w:t>Laorwins</w:t>
      </w:r>
      <w:proofErr w:type="spellEnd"/>
      <w:r w:rsidRPr="003D60A1">
        <w:rPr>
          <w:rFonts w:ascii="Cambria" w:hAnsi="Cambria"/>
          <w:sz w:val="20"/>
          <w:szCs w:val="20"/>
          <w:shd w:val="clear" w:color="auto" w:fill="FFFFFF"/>
          <w:lang w:val="en-US"/>
        </w:rPr>
        <w:t xml:space="preserve"> José Rodríguez </w:t>
      </w:r>
      <w:proofErr w:type="spellStart"/>
      <w:r w:rsidRPr="003D60A1">
        <w:rPr>
          <w:rFonts w:ascii="Cambria" w:hAnsi="Cambria"/>
          <w:sz w:val="20"/>
          <w:szCs w:val="20"/>
          <w:shd w:val="clear" w:color="auto" w:fill="FFFFFF"/>
          <w:lang w:val="en-US"/>
        </w:rPr>
        <w:t>Henríquez</w:t>
      </w:r>
      <w:proofErr w:type="spellEnd"/>
      <w:r w:rsidRPr="003D60A1">
        <w:rPr>
          <w:rFonts w:ascii="Cambria" w:hAnsi="Cambria"/>
          <w:sz w:val="20"/>
          <w:szCs w:val="20"/>
          <w:shd w:val="clear" w:color="auto" w:fill="FFFFFF"/>
          <w:lang w:val="en-US"/>
        </w:rPr>
        <w:t xml:space="preserve">, Mauro Acosta </w:t>
      </w:r>
      <w:proofErr w:type="spellStart"/>
      <w:r w:rsidRPr="003D60A1">
        <w:rPr>
          <w:rFonts w:ascii="Cambria" w:hAnsi="Cambria"/>
          <w:sz w:val="20"/>
          <w:szCs w:val="20"/>
          <w:shd w:val="clear" w:color="auto" w:fill="FFFFFF"/>
          <w:lang w:val="en-US"/>
        </w:rPr>
        <w:t>Padrón</w:t>
      </w:r>
      <w:proofErr w:type="spellEnd"/>
      <w:r w:rsidRPr="003D60A1">
        <w:rPr>
          <w:rFonts w:ascii="Cambria" w:hAnsi="Cambria"/>
          <w:sz w:val="20"/>
          <w:szCs w:val="20"/>
          <w:shd w:val="clear" w:color="auto" w:fill="FFFFFF"/>
          <w:lang w:val="en-US"/>
        </w:rPr>
        <w:t xml:space="preserve">, </w:t>
      </w:r>
      <w:proofErr w:type="spellStart"/>
      <w:r w:rsidRPr="003D60A1">
        <w:rPr>
          <w:rFonts w:ascii="Cambria" w:hAnsi="Cambria"/>
          <w:sz w:val="20"/>
          <w:szCs w:val="20"/>
          <w:shd w:val="clear" w:color="auto" w:fill="FFFFFF"/>
          <w:lang w:val="en-US"/>
        </w:rPr>
        <w:t>Randolfo</w:t>
      </w:r>
      <w:proofErr w:type="spellEnd"/>
      <w:r w:rsidRPr="003D60A1">
        <w:rPr>
          <w:rFonts w:ascii="Cambria" w:hAnsi="Cambria"/>
          <w:sz w:val="20"/>
          <w:szCs w:val="20"/>
          <w:shd w:val="clear" w:color="auto" w:fill="FFFFFF"/>
          <w:lang w:val="en-US"/>
        </w:rPr>
        <w:t xml:space="preserve"> Blanco Valencia, Luis Alfonso </w:t>
      </w:r>
      <w:proofErr w:type="spellStart"/>
      <w:r w:rsidRPr="003D60A1">
        <w:rPr>
          <w:rFonts w:ascii="Cambria" w:hAnsi="Cambria"/>
          <w:sz w:val="20"/>
          <w:szCs w:val="20"/>
          <w:shd w:val="clear" w:color="auto" w:fill="FFFFFF"/>
          <w:lang w:val="en-US"/>
        </w:rPr>
        <w:t>Fernández</w:t>
      </w:r>
      <w:proofErr w:type="spellEnd"/>
      <w:r w:rsidRPr="003D60A1">
        <w:rPr>
          <w:rFonts w:ascii="Cambria" w:hAnsi="Cambria"/>
          <w:sz w:val="20"/>
          <w:szCs w:val="20"/>
          <w:shd w:val="clear" w:color="auto" w:fill="FFFFFF"/>
          <w:lang w:val="en-US"/>
        </w:rPr>
        <w:t xml:space="preserve"> Rodríguez, Julio Gregorio Rodríguez </w:t>
      </w:r>
      <w:proofErr w:type="spellStart"/>
      <w:r w:rsidRPr="003D60A1">
        <w:rPr>
          <w:rFonts w:ascii="Cambria" w:hAnsi="Cambria"/>
          <w:sz w:val="20"/>
          <w:szCs w:val="20"/>
          <w:shd w:val="clear" w:color="auto" w:fill="FFFFFF"/>
          <w:lang w:val="en-US"/>
        </w:rPr>
        <w:t>García</w:t>
      </w:r>
      <w:proofErr w:type="spellEnd"/>
      <w:r w:rsidRPr="003D60A1">
        <w:rPr>
          <w:rFonts w:ascii="Cambria" w:hAnsi="Cambria"/>
          <w:sz w:val="20"/>
          <w:szCs w:val="20"/>
          <w:shd w:val="clear" w:color="auto" w:fill="FFFFFF"/>
          <w:lang w:val="en-US"/>
        </w:rPr>
        <w:t xml:space="preserve"> and Sol Vargas </w:t>
      </w:r>
      <w:proofErr w:type="spellStart"/>
      <w:r w:rsidRPr="003D60A1">
        <w:rPr>
          <w:rFonts w:ascii="Cambria" w:hAnsi="Cambria"/>
          <w:sz w:val="20"/>
          <w:szCs w:val="20"/>
          <w:shd w:val="clear" w:color="auto" w:fill="FFFFFF"/>
          <w:lang w:val="en-US"/>
        </w:rPr>
        <w:t>Arnal</w:t>
      </w:r>
      <w:proofErr w:type="spellEnd"/>
      <w:r w:rsidRPr="003D60A1">
        <w:rPr>
          <w:rFonts w:ascii="Cambria" w:hAnsi="Cambria"/>
          <w:sz w:val="20"/>
          <w:szCs w:val="20"/>
          <w:shd w:val="clear" w:color="auto" w:fill="FFFFFF"/>
          <w:lang w:val="en-US"/>
        </w:rPr>
        <w:t xml:space="preserve"> (hereinafter “the alleged victims”), claiming that the Bolivarian Republic of Venezuela (hereinafter “the State” or “the Venezuelan State”) was internationally responsible for alleged violations of the right to freedom of expression, humane treatment, a fair trial, judicial protection and for breach of the general obligations to respect and ensure rights.  </w:t>
      </w:r>
    </w:p>
    <w:p w:rsidR="00D31A6E" w:rsidRPr="003D60A1" w:rsidRDefault="00D31A6E" w:rsidP="00D31A6E">
      <w:pPr>
        <w:pStyle w:val="EndnoteText"/>
        <w:tabs>
          <w:tab w:val="left" w:pos="0"/>
        </w:tabs>
        <w:spacing w:before="0" w:beforeAutospacing="0" w:after="0" w:afterAutospacing="0"/>
        <w:ind w:firstLine="720"/>
        <w:jc w:val="both"/>
        <w:rPr>
          <w:rFonts w:ascii="Cambria" w:hAnsi="Cambria"/>
          <w:color w:val="000000"/>
          <w:sz w:val="20"/>
          <w:szCs w:val="20"/>
          <w:lang w:val="en-US"/>
        </w:rPr>
      </w:pPr>
    </w:p>
    <w:p w:rsidR="00D31A6E" w:rsidRPr="003D60A1" w:rsidRDefault="00D31A6E" w:rsidP="00D31A6E">
      <w:pPr>
        <w:pStyle w:val="EndnoteText"/>
        <w:numPr>
          <w:ilvl w:val="0"/>
          <w:numId w:val="110"/>
        </w:numPr>
        <w:tabs>
          <w:tab w:val="clear" w:pos="1410"/>
          <w:tab w:val="left" w:pos="0"/>
        </w:tabs>
        <w:spacing w:before="0" w:beforeAutospacing="0" w:after="0" w:afterAutospacing="0"/>
        <w:ind w:left="0" w:firstLine="720"/>
        <w:jc w:val="both"/>
        <w:rPr>
          <w:rFonts w:ascii="Cambria" w:hAnsi="Cambria"/>
          <w:color w:val="000000"/>
          <w:sz w:val="20"/>
          <w:szCs w:val="20"/>
          <w:lang w:val="en-US"/>
        </w:rPr>
      </w:pPr>
      <w:r w:rsidRPr="003D60A1">
        <w:rPr>
          <w:rFonts w:ascii="Cambria" w:hAnsi="Cambria"/>
          <w:sz w:val="20"/>
          <w:szCs w:val="20"/>
          <w:lang w:val="en-US"/>
        </w:rPr>
        <w:t xml:space="preserve">The petitioners asserted that all of the alleged victims were employees of the </w:t>
      </w:r>
      <w:proofErr w:type="spellStart"/>
      <w:r w:rsidRPr="003D60A1">
        <w:rPr>
          <w:rFonts w:ascii="Cambria" w:hAnsi="Cambria"/>
          <w:i/>
          <w:iCs/>
          <w:sz w:val="20"/>
          <w:szCs w:val="20"/>
          <w:shd w:val="clear" w:color="auto" w:fill="FFFFFF"/>
          <w:lang w:val="en-US"/>
        </w:rPr>
        <w:t>Venevisión</w:t>
      </w:r>
      <w:proofErr w:type="spellEnd"/>
      <w:r w:rsidRPr="003D60A1">
        <w:rPr>
          <w:rFonts w:ascii="Cambria" w:hAnsi="Cambria"/>
          <w:sz w:val="20"/>
          <w:szCs w:val="20"/>
          <w:lang w:val="en-US"/>
        </w:rPr>
        <w:t xml:space="preserve"> television station</w:t>
      </w:r>
      <w:r w:rsidRPr="003D60A1">
        <w:rPr>
          <w:rFonts w:ascii="Cambria" w:hAnsi="Cambria"/>
          <w:i/>
          <w:iCs/>
          <w:sz w:val="20"/>
          <w:szCs w:val="20"/>
          <w:shd w:val="clear" w:color="auto" w:fill="FFFFFF"/>
          <w:lang w:val="en-US"/>
        </w:rPr>
        <w:t xml:space="preserve"> </w:t>
      </w:r>
      <w:r w:rsidRPr="003D60A1">
        <w:rPr>
          <w:rFonts w:ascii="Cambria" w:hAnsi="Cambria"/>
          <w:iCs/>
          <w:sz w:val="20"/>
          <w:szCs w:val="20"/>
          <w:shd w:val="clear" w:color="auto" w:fill="FFFFFF"/>
          <w:lang w:val="en-US"/>
        </w:rPr>
        <w:t xml:space="preserve">and that, on February 3 and 7, 2002, Messrs. Mauro Acosta, </w:t>
      </w:r>
      <w:proofErr w:type="spellStart"/>
      <w:r w:rsidRPr="003D60A1">
        <w:rPr>
          <w:rFonts w:ascii="Cambria" w:hAnsi="Cambria"/>
          <w:sz w:val="20"/>
          <w:szCs w:val="20"/>
          <w:lang w:val="en-US"/>
        </w:rPr>
        <w:t>Laorwins</w:t>
      </w:r>
      <w:proofErr w:type="spellEnd"/>
      <w:r w:rsidRPr="003D60A1">
        <w:rPr>
          <w:rFonts w:ascii="Cambria" w:hAnsi="Cambria"/>
          <w:sz w:val="20"/>
          <w:szCs w:val="20"/>
          <w:lang w:val="en-US"/>
        </w:rPr>
        <w:t xml:space="preserve"> José Rodríguez and </w:t>
      </w:r>
      <w:proofErr w:type="spellStart"/>
      <w:r w:rsidRPr="003D60A1">
        <w:rPr>
          <w:rFonts w:ascii="Cambria" w:hAnsi="Cambria"/>
          <w:sz w:val="20"/>
          <w:szCs w:val="20"/>
          <w:lang w:val="en-US"/>
        </w:rPr>
        <w:t>Randolfo</w:t>
      </w:r>
      <w:proofErr w:type="spellEnd"/>
      <w:r w:rsidRPr="003D60A1">
        <w:rPr>
          <w:rFonts w:ascii="Cambria" w:hAnsi="Cambria"/>
          <w:sz w:val="20"/>
          <w:szCs w:val="20"/>
          <w:lang w:val="en-US"/>
        </w:rPr>
        <w:t xml:space="preserve"> Blanco were covering political events when they were assaulted by supporters of President Chavez.  They further alleged that on April 11, 2002, Messrs. Luis Alfonso </w:t>
      </w:r>
      <w:proofErr w:type="spellStart"/>
      <w:r w:rsidRPr="003D60A1">
        <w:rPr>
          <w:rFonts w:ascii="Cambria" w:hAnsi="Cambria"/>
          <w:sz w:val="20"/>
          <w:szCs w:val="20"/>
          <w:lang w:val="en-US"/>
        </w:rPr>
        <w:t>Fernández</w:t>
      </w:r>
      <w:proofErr w:type="spellEnd"/>
      <w:r w:rsidRPr="003D60A1">
        <w:rPr>
          <w:rFonts w:ascii="Cambria" w:hAnsi="Cambria"/>
          <w:sz w:val="20"/>
          <w:szCs w:val="20"/>
          <w:lang w:val="en-US"/>
        </w:rPr>
        <w:t xml:space="preserve"> and José Gregorio Rodríguez were ordered by armed military officers to stop recording anti-government protests near </w:t>
      </w:r>
      <w:proofErr w:type="spellStart"/>
      <w:r w:rsidRPr="003D60A1">
        <w:rPr>
          <w:rFonts w:ascii="Cambria" w:hAnsi="Cambria"/>
          <w:sz w:val="20"/>
          <w:szCs w:val="20"/>
          <w:lang w:val="en-US"/>
        </w:rPr>
        <w:t>Miraflores</w:t>
      </w:r>
      <w:proofErr w:type="spellEnd"/>
      <w:r w:rsidRPr="003D60A1">
        <w:rPr>
          <w:rFonts w:ascii="Cambria" w:hAnsi="Cambria"/>
          <w:sz w:val="20"/>
          <w:szCs w:val="20"/>
          <w:lang w:val="en-US"/>
        </w:rPr>
        <w:t xml:space="preserve"> Palace.  They also claimed that on April 11, 2002, Mr. </w:t>
      </w:r>
      <w:proofErr w:type="spellStart"/>
      <w:r w:rsidRPr="003D60A1">
        <w:rPr>
          <w:rFonts w:ascii="Cambria" w:hAnsi="Cambria"/>
          <w:sz w:val="20"/>
          <w:szCs w:val="20"/>
          <w:lang w:val="en-US"/>
        </w:rPr>
        <w:t>Randolfo</w:t>
      </w:r>
      <w:proofErr w:type="spellEnd"/>
      <w:r w:rsidRPr="003D60A1">
        <w:rPr>
          <w:rFonts w:ascii="Cambria" w:hAnsi="Cambria"/>
          <w:sz w:val="20"/>
          <w:szCs w:val="20"/>
          <w:lang w:val="en-US"/>
        </w:rPr>
        <w:t xml:space="preserve"> Blanco Valencia was verbally assaulted by government supporters and, subsequently, received threats, which prompted him to temporarily leave the country.  </w:t>
      </w:r>
    </w:p>
    <w:p w:rsidR="00D31A6E" w:rsidRPr="003D60A1" w:rsidRDefault="00D31A6E" w:rsidP="00D31A6E">
      <w:pPr>
        <w:pStyle w:val="EndnoteText"/>
        <w:tabs>
          <w:tab w:val="left" w:pos="0"/>
        </w:tabs>
        <w:spacing w:before="0" w:beforeAutospacing="0" w:after="0" w:afterAutospacing="0"/>
        <w:ind w:firstLine="720"/>
        <w:jc w:val="both"/>
        <w:rPr>
          <w:rFonts w:ascii="Cambria" w:hAnsi="Cambria"/>
          <w:color w:val="000000"/>
          <w:sz w:val="20"/>
          <w:szCs w:val="20"/>
          <w:lang w:val="en-US"/>
        </w:rPr>
      </w:pPr>
    </w:p>
    <w:p w:rsidR="00D31A6E" w:rsidRPr="003D60A1" w:rsidRDefault="00D31A6E" w:rsidP="00D31A6E">
      <w:pPr>
        <w:pStyle w:val="EndnoteText"/>
        <w:numPr>
          <w:ilvl w:val="0"/>
          <w:numId w:val="110"/>
        </w:numPr>
        <w:tabs>
          <w:tab w:val="clear" w:pos="1410"/>
          <w:tab w:val="left" w:pos="0"/>
        </w:tabs>
        <w:spacing w:before="0" w:beforeAutospacing="0" w:after="0" w:afterAutospacing="0"/>
        <w:ind w:left="0" w:firstLine="720"/>
        <w:jc w:val="both"/>
        <w:rPr>
          <w:rFonts w:ascii="Cambria" w:hAnsi="Cambria"/>
          <w:sz w:val="20"/>
          <w:szCs w:val="20"/>
          <w:lang w:val="en-US"/>
        </w:rPr>
      </w:pPr>
      <w:r w:rsidRPr="003D60A1">
        <w:rPr>
          <w:rFonts w:ascii="Cambria" w:hAnsi="Cambria"/>
          <w:sz w:val="20"/>
          <w:szCs w:val="20"/>
          <w:lang w:val="en-US"/>
        </w:rPr>
        <w:t xml:space="preserve">The petitioners also contend that the alleged victims reported all of the assaults to the Office of the Attorney General of the Republic; however, the Office did not conduct a serious investigation into the incidents.  They also argued that the perpetrators of the assaults must be considered “agents of the State” because they acted with the support and acquiescence of the government.  </w:t>
      </w:r>
    </w:p>
    <w:p w:rsidR="00D31A6E" w:rsidRPr="003D60A1" w:rsidRDefault="00D31A6E" w:rsidP="00D31A6E">
      <w:pPr>
        <w:pStyle w:val="Heading2"/>
        <w:spacing w:before="0"/>
        <w:ind w:firstLine="720"/>
        <w:jc w:val="both"/>
        <w:rPr>
          <w:rFonts w:ascii="Cambria" w:hAnsi="Cambria"/>
          <w:sz w:val="20"/>
          <w:szCs w:val="20"/>
        </w:rPr>
      </w:pPr>
    </w:p>
    <w:p w:rsidR="00D31A6E" w:rsidRPr="003D60A1" w:rsidRDefault="00D31A6E" w:rsidP="00D31A6E">
      <w:pPr>
        <w:pStyle w:val="Heading2"/>
        <w:spacing w:before="0"/>
        <w:ind w:firstLine="720"/>
        <w:jc w:val="both"/>
        <w:rPr>
          <w:rFonts w:ascii="Cambria" w:hAnsi="Cambria"/>
          <w:sz w:val="20"/>
          <w:szCs w:val="20"/>
        </w:rPr>
      </w:pPr>
      <w:r w:rsidRPr="003D60A1">
        <w:rPr>
          <w:rFonts w:ascii="Cambria" w:hAnsi="Cambria"/>
          <w:sz w:val="20"/>
          <w:szCs w:val="20"/>
        </w:rPr>
        <w:t>II.</w:t>
      </w:r>
      <w:r w:rsidRPr="003D60A1">
        <w:rPr>
          <w:rFonts w:ascii="Cambria" w:hAnsi="Cambria"/>
          <w:sz w:val="20"/>
          <w:szCs w:val="20"/>
        </w:rPr>
        <w:tab/>
        <w:t xml:space="preserve">POSITION OF THE STATE </w:t>
      </w:r>
    </w:p>
    <w:p w:rsidR="00D31A6E" w:rsidRPr="003D60A1" w:rsidRDefault="00D31A6E" w:rsidP="00D31A6E">
      <w:pPr>
        <w:pStyle w:val="BodyTextIndent3"/>
        <w:spacing w:after="0"/>
        <w:ind w:firstLine="720"/>
        <w:jc w:val="both"/>
        <w:rPr>
          <w:rFonts w:ascii="Cambria" w:hAnsi="Cambria"/>
          <w:sz w:val="20"/>
          <w:szCs w:val="20"/>
        </w:rPr>
      </w:pPr>
    </w:p>
    <w:p w:rsidR="00D31A6E" w:rsidRPr="003D60A1" w:rsidRDefault="00D31A6E" w:rsidP="00D31A6E">
      <w:pPr>
        <w:pStyle w:val="BodyTextIndent3"/>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10"/>
          <w:tab w:val="num" w:pos="0"/>
        </w:tabs>
        <w:spacing w:after="0"/>
        <w:ind w:left="0" w:firstLine="720"/>
        <w:jc w:val="both"/>
        <w:rPr>
          <w:rFonts w:ascii="Cambria" w:hAnsi="Cambria"/>
          <w:sz w:val="20"/>
          <w:szCs w:val="20"/>
        </w:rPr>
      </w:pPr>
      <w:r w:rsidRPr="003D60A1">
        <w:rPr>
          <w:rFonts w:ascii="Cambria" w:hAnsi="Cambria"/>
          <w:sz w:val="20"/>
          <w:szCs w:val="20"/>
        </w:rPr>
        <w:t xml:space="preserve">The State reported that, in the case of Mauro Acosta </w:t>
      </w:r>
      <w:proofErr w:type="spellStart"/>
      <w:r w:rsidRPr="003D60A1">
        <w:rPr>
          <w:rFonts w:ascii="Cambria" w:hAnsi="Cambria"/>
          <w:sz w:val="20"/>
          <w:szCs w:val="20"/>
        </w:rPr>
        <w:t>Padrón</w:t>
      </w:r>
      <w:proofErr w:type="spellEnd"/>
      <w:r w:rsidRPr="003D60A1">
        <w:rPr>
          <w:rFonts w:ascii="Cambria" w:hAnsi="Cambria"/>
          <w:sz w:val="20"/>
          <w:szCs w:val="20"/>
        </w:rPr>
        <w:t xml:space="preserve">, the investigation had been closed by decision of the lead prosecuting attorney, because even though it was proven that the crime of “serious bodily harm” had been committed against him, it was not possible to obtain evidence to individually charge the person responsible for the crime.  With regard to Messrs. Luis A. </w:t>
      </w:r>
      <w:proofErr w:type="spellStart"/>
      <w:r w:rsidRPr="003D60A1">
        <w:rPr>
          <w:rFonts w:ascii="Cambria" w:hAnsi="Cambria"/>
          <w:sz w:val="20"/>
          <w:szCs w:val="20"/>
        </w:rPr>
        <w:t>Fernández</w:t>
      </w:r>
      <w:proofErr w:type="spellEnd"/>
      <w:r w:rsidRPr="003D60A1">
        <w:rPr>
          <w:rFonts w:ascii="Cambria" w:hAnsi="Cambria"/>
          <w:sz w:val="20"/>
          <w:szCs w:val="20"/>
        </w:rPr>
        <w:t xml:space="preserve">, Julio G. Rodríguez and Sol Vargas, the State noted that the Office of the Public Prosecutor was in the process of conducting the respective investigation.  As to Messrs. </w:t>
      </w:r>
      <w:proofErr w:type="spellStart"/>
      <w:r w:rsidRPr="003D60A1">
        <w:rPr>
          <w:rFonts w:ascii="Cambria" w:hAnsi="Cambria"/>
          <w:sz w:val="20"/>
          <w:szCs w:val="20"/>
        </w:rPr>
        <w:t>Laorwins</w:t>
      </w:r>
      <w:proofErr w:type="spellEnd"/>
      <w:r w:rsidRPr="003D60A1">
        <w:rPr>
          <w:rFonts w:ascii="Cambria" w:hAnsi="Cambria"/>
          <w:sz w:val="20"/>
          <w:szCs w:val="20"/>
        </w:rPr>
        <w:t xml:space="preserve"> J. Rodríguez and </w:t>
      </w:r>
      <w:proofErr w:type="spellStart"/>
      <w:r w:rsidRPr="003D60A1">
        <w:rPr>
          <w:rFonts w:ascii="Cambria" w:hAnsi="Cambria"/>
          <w:sz w:val="20"/>
          <w:szCs w:val="20"/>
        </w:rPr>
        <w:t>Randolfo</w:t>
      </w:r>
      <w:proofErr w:type="spellEnd"/>
      <w:r w:rsidRPr="003D60A1">
        <w:rPr>
          <w:rFonts w:ascii="Cambria" w:hAnsi="Cambria"/>
          <w:sz w:val="20"/>
          <w:szCs w:val="20"/>
        </w:rPr>
        <w:t xml:space="preserve"> Blanco, the Venezuelan State </w:t>
      </w:r>
      <w:r w:rsidRPr="003D60A1">
        <w:rPr>
          <w:rFonts w:ascii="Cambria" w:hAnsi="Cambria"/>
          <w:sz w:val="20"/>
          <w:szCs w:val="20"/>
        </w:rPr>
        <w:lastRenderedPageBreak/>
        <w:t xml:space="preserve">reported that they had been interviewed during the investigation into the incidents pertaining to Mr. Mauro Acosta as witnesses rather than victims in a criminal proceeding. </w:t>
      </w:r>
    </w:p>
    <w:p w:rsidR="00D31A6E" w:rsidRPr="003D60A1" w:rsidRDefault="00D31A6E" w:rsidP="00D31A6E">
      <w:pPr>
        <w:pStyle w:val="BodyTextIndent3"/>
        <w:spacing w:after="0"/>
        <w:jc w:val="both"/>
        <w:rPr>
          <w:rFonts w:ascii="Cambria" w:hAnsi="Cambria"/>
          <w:sz w:val="20"/>
          <w:szCs w:val="20"/>
        </w:rPr>
      </w:pPr>
    </w:p>
    <w:p w:rsidR="00D31A6E" w:rsidRPr="003D60A1" w:rsidRDefault="00D31A6E" w:rsidP="00D31A6E">
      <w:pPr>
        <w:pStyle w:val="BodyTextIndent3"/>
        <w:tabs>
          <w:tab w:val="left" w:pos="720"/>
          <w:tab w:val="left" w:pos="1440"/>
          <w:tab w:val="left" w:pos="2160"/>
        </w:tabs>
        <w:spacing w:after="0"/>
        <w:ind w:firstLine="360"/>
        <w:rPr>
          <w:rFonts w:ascii="Cambria" w:hAnsi="Cambria"/>
          <w:b/>
          <w:sz w:val="20"/>
          <w:szCs w:val="20"/>
        </w:rPr>
      </w:pPr>
      <w:r w:rsidRPr="003D60A1">
        <w:rPr>
          <w:rFonts w:ascii="Cambria" w:hAnsi="Cambria"/>
          <w:b/>
          <w:sz w:val="20"/>
          <w:szCs w:val="20"/>
        </w:rPr>
        <w:t>III.</w:t>
      </w:r>
      <w:r w:rsidRPr="003D60A1">
        <w:rPr>
          <w:rFonts w:ascii="Cambria" w:hAnsi="Cambria"/>
          <w:b/>
          <w:sz w:val="20"/>
          <w:szCs w:val="20"/>
        </w:rPr>
        <w:tab/>
        <w:t xml:space="preserve">PROCEEDINGS BEFORE THE IACHR </w:t>
      </w:r>
    </w:p>
    <w:p w:rsidR="00D31A6E" w:rsidRPr="003D60A1" w:rsidRDefault="00D31A6E" w:rsidP="00D31A6E">
      <w:pPr>
        <w:ind w:firstLine="720"/>
        <w:jc w:val="both"/>
        <w:rPr>
          <w:rFonts w:ascii="Cambria" w:hAnsi="Cambria" w:cs="Arial"/>
          <w:sz w:val="20"/>
          <w:szCs w:val="20"/>
        </w:rPr>
      </w:pPr>
    </w:p>
    <w:p w:rsidR="00D31A6E" w:rsidRPr="003D60A1" w:rsidRDefault="00D31A6E" w:rsidP="00D31A6E">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10"/>
          <w:tab w:val="num" w:pos="0"/>
        </w:tabs>
        <w:ind w:left="0" w:firstLine="720"/>
        <w:jc w:val="both"/>
        <w:rPr>
          <w:rFonts w:ascii="Cambria" w:hAnsi="Cambria" w:cs="Arial"/>
          <w:sz w:val="20"/>
          <w:szCs w:val="20"/>
        </w:rPr>
      </w:pPr>
      <w:r w:rsidRPr="003D60A1">
        <w:rPr>
          <w:rFonts w:ascii="Cambria" w:hAnsi="Cambria"/>
          <w:sz w:val="20"/>
          <w:szCs w:val="20"/>
        </w:rPr>
        <w:t xml:space="preserve">On February 27, 2004, the IACHR approved Admissibility Report No. 8/04, and notified the parties on March 11, 2004.  On that date, the IACHR requested the parties to submit additional comments on the merits of the matter within a period of two months and placed itself at their disposal in order to reach a friendly settlement, as provided under Article 38.1 of the current Rules of Procedure of the Commission and Article 48.1 of the American Convention.  </w:t>
      </w:r>
    </w:p>
    <w:p w:rsidR="00D31A6E" w:rsidRPr="003D60A1" w:rsidRDefault="00D31A6E" w:rsidP="00D31A6E">
      <w:pPr>
        <w:ind w:firstLine="720"/>
        <w:jc w:val="both"/>
        <w:rPr>
          <w:rFonts w:ascii="Cambria" w:hAnsi="Cambria" w:cs="Arial"/>
          <w:sz w:val="20"/>
          <w:szCs w:val="20"/>
        </w:rPr>
      </w:pPr>
    </w:p>
    <w:p w:rsidR="00D31A6E" w:rsidRPr="003D60A1" w:rsidRDefault="00D31A6E" w:rsidP="00D31A6E">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10"/>
          <w:tab w:val="num" w:pos="0"/>
        </w:tabs>
        <w:ind w:left="0" w:firstLine="720"/>
        <w:jc w:val="both"/>
        <w:rPr>
          <w:rFonts w:ascii="Cambria" w:hAnsi="Cambria" w:cs="Arial"/>
          <w:sz w:val="20"/>
          <w:szCs w:val="20"/>
        </w:rPr>
      </w:pPr>
      <w:r w:rsidRPr="003D60A1">
        <w:rPr>
          <w:rFonts w:ascii="Cambria" w:hAnsi="Cambria" w:cs="Arial"/>
          <w:sz w:val="20"/>
          <w:szCs w:val="20"/>
        </w:rPr>
        <w:t xml:space="preserve">On April 1, 2004, the Commission received a communication from the petitioners stating that they did not wish to engage in a friendly settlement process and this communication was forwarded to the State on April 22, 2004.  On November 23, 2004, the Commission restated its request for comments on the merits of the matter from the petitioners and, on December 22 of that year, the petitioners reported that they were awaiting the outcome of the investigation in order to send the comments. </w:t>
      </w:r>
    </w:p>
    <w:p w:rsidR="00D31A6E" w:rsidRPr="003D60A1" w:rsidRDefault="00D31A6E" w:rsidP="00D31A6E">
      <w:pPr>
        <w:ind w:firstLine="720"/>
        <w:jc w:val="both"/>
        <w:rPr>
          <w:rFonts w:ascii="Cambria" w:hAnsi="Cambria" w:cs="Arial"/>
          <w:sz w:val="20"/>
          <w:szCs w:val="20"/>
        </w:rPr>
      </w:pPr>
    </w:p>
    <w:p w:rsidR="00D31A6E" w:rsidRPr="003D60A1" w:rsidRDefault="00D31A6E" w:rsidP="00D31A6E">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10"/>
          <w:tab w:val="num" w:pos="0"/>
        </w:tabs>
        <w:ind w:left="0" w:firstLine="720"/>
        <w:jc w:val="both"/>
        <w:rPr>
          <w:rFonts w:ascii="Cambria" w:hAnsi="Cambria" w:cs="Arial"/>
          <w:sz w:val="20"/>
          <w:szCs w:val="20"/>
        </w:rPr>
      </w:pPr>
      <w:r w:rsidRPr="003D60A1">
        <w:rPr>
          <w:rFonts w:ascii="Cambria" w:hAnsi="Cambria" w:cs="Arial"/>
          <w:sz w:val="20"/>
          <w:szCs w:val="20"/>
        </w:rPr>
        <w:t xml:space="preserve">On November 3, 2005, December 15, 2005 and December 21, 2006, the State submitted its comments on the merits of the matter, which were forwarded to the petitioners for their reply. </w:t>
      </w:r>
    </w:p>
    <w:p w:rsidR="00D31A6E" w:rsidRPr="003D60A1" w:rsidRDefault="00D31A6E" w:rsidP="00D31A6E">
      <w:pPr>
        <w:ind w:firstLine="720"/>
        <w:jc w:val="both"/>
        <w:rPr>
          <w:rFonts w:ascii="Cambria" w:hAnsi="Cambria" w:cs="Arial"/>
          <w:sz w:val="20"/>
          <w:szCs w:val="20"/>
        </w:rPr>
      </w:pPr>
    </w:p>
    <w:p w:rsidR="00D31A6E" w:rsidRPr="003D60A1" w:rsidRDefault="00D31A6E" w:rsidP="00D31A6E">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10"/>
          <w:tab w:val="num" w:pos="0"/>
        </w:tabs>
        <w:ind w:left="0" w:firstLine="720"/>
        <w:jc w:val="both"/>
        <w:rPr>
          <w:rFonts w:ascii="Cambria" w:hAnsi="Cambria" w:cs="Arial"/>
          <w:sz w:val="20"/>
          <w:szCs w:val="20"/>
        </w:rPr>
      </w:pPr>
      <w:r w:rsidRPr="003D60A1">
        <w:rPr>
          <w:rFonts w:ascii="Cambria" w:hAnsi="Cambria" w:cs="Arial"/>
          <w:sz w:val="20"/>
          <w:szCs w:val="20"/>
        </w:rPr>
        <w:t xml:space="preserve">On November 27, 2007 and May 5, 2009, the IACHR requested information from the petitioner in order to establish whether the grounds for the petition have subsisted.  On August 2, 2012, the Commission restated its request for the petitioner to submit information to determine whether the grounds for the petition still existed, as well as observations on the current status of the alleged victims.  The IACHR warned the petitioner it could order the case file to be closed if it did not receive the information it was requesting, in accordance with Article 48.1.b of the American Convention.  Thus far, no response has been received from the petitioner. </w:t>
      </w:r>
    </w:p>
    <w:p w:rsidR="00D31A6E" w:rsidRPr="003D60A1" w:rsidRDefault="00D31A6E" w:rsidP="00D31A6E">
      <w:pPr>
        <w:jc w:val="both"/>
        <w:rPr>
          <w:rFonts w:ascii="Cambria" w:hAnsi="Cambria" w:cs="Arial"/>
          <w:sz w:val="20"/>
          <w:szCs w:val="20"/>
        </w:rPr>
      </w:pPr>
    </w:p>
    <w:p w:rsidR="00D31A6E" w:rsidRPr="003D60A1" w:rsidRDefault="00D31A6E" w:rsidP="00D31A6E">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hAnsi="Cambria" w:cs="Arial"/>
          <w:b/>
          <w:sz w:val="20"/>
          <w:szCs w:val="20"/>
        </w:rPr>
      </w:pPr>
      <w:r w:rsidRPr="003D60A1">
        <w:rPr>
          <w:rFonts w:ascii="Cambria" w:hAnsi="Cambria" w:cs="Arial"/>
          <w:b/>
          <w:sz w:val="20"/>
          <w:szCs w:val="20"/>
        </w:rPr>
        <w:t xml:space="preserve">BASIS FOR THE DECISION TO ARCHIVE </w:t>
      </w:r>
    </w:p>
    <w:p w:rsidR="00D31A6E" w:rsidRPr="003D60A1" w:rsidRDefault="00D31A6E" w:rsidP="00D31A6E">
      <w:pPr>
        <w:pStyle w:val="BodyText"/>
        <w:spacing w:after="0"/>
        <w:ind w:firstLine="720"/>
        <w:jc w:val="both"/>
        <w:rPr>
          <w:rFonts w:ascii="Cambria" w:hAnsi="Cambria"/>
          <w:sz w:val="20"/>
          <w:szCs w:val="20"/>
        </w:rPr>
      </w:pPr>
    </w:p>
    <w:p w:rsidR="00D31A6E" w:rsidRPr="003D60A1" w:rsidRDefault="00D31A6E" w:rsidP="00D31A6E">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10"/>
          <w:tab w:val="num" w:pos="0"/>
        </w:tabs>
        <w:spacing w:after="0"/>
        <w:ind w:left="0" w:firstLine="720"/>
        <w:jc w:val="both"/>
        <w:rPr>
          <w:rFonts w:ascii="Cambria" w:hAnsi="Cambria" w:cs="Arial"/>
          <w:sz w:val="20"/>
          <w:szCs w:val="20"/>
        </w:rPr>
      </w:pPr>
      <w:r w:rsidRPr="003D60A1">
        <w:rPr>
          <w:rFonts w:ascii="Cambria" w:hAnsi="Cambria"/>
          <w:sz w:val="20"/>
          <w:szCs w:val="20"/>
        </w:rPr>
        <w:t xml:space="preserve">Both Article 48.1.b of the Convention and Article 42.1 of the Rules of Procedure of the Commission establish that when a petition is processed by the IACHR, it shall ascertain whether the grounds for the petition or communication still exist. If they do not, the Commission shall order the record to be closed.  Article 42.1 of the Rules of Procedure also provides that, at any time during the proceedings, the IACHR may archive the case file, when the information necessary for the adoption of a decision on the case is unavailable or when the petitioner’s unjustified procedural inactivity constitutes a serious indication of lack of interest in the processing of the petition. </w:t>
      </w:r>
    </w:p>
    <w:p w:rsidR="00D31A6E" w:rsidRPr="003D60A1" w:rsidRDefault="00D31A6E" w:rsidP="00D31A6E">
      <w:pPr>
        <w:pStyle w:val="BodyText"/>
        <w:spacing w:after="0"/>
        <w:ind w:firstLine="720"/>
        <w:jc w:val="both"/>
        <w:rPr>
          <w:rFonts w:ascii="Cambria" w:hAnsi="Cambria" w:cs="Arial"/>
          <w:sz w:val="20"/>
          <w:szCs w:val="20"/>
        </w:rPr>
      </w:pPr>
    </w:p>
    <w:p w:rsidR="00D31A6E" w:rsidRPr="00D7630B" w:rsidRDefault="00D31A6E" w:rsidP="00D31A6E">
      <w:pPr>
        <w:pStyle w:val="BodyT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1410"/>
          <w:tab w:val="num" w:pos="0"/>
        </w:tabs>
        <w:spacing w:after="0"/>
        <w:ind w:left="0" w:firstLine="720"/>
        <w:jc w:val="both"/>
        <w:rPr>
          <w:rFonts w:ascii="Cambria" w:hAnsi="Cambria" w:cs="Arial"/>
          <w:sz w:val="20"/>
          <w:szCs w:val="20"/>
        </w:rPr>
      </w:pPr>
      <w:r w:rsidRPr="003D60A1">
        <w:rPr>
          <w:rFonts w:ascii="Cambria" w:hAnsi="Cambria"/>
          <w:sz w:val="20"/>
          <w:szCs w:val="20"/>
        </w:rPr>
        <w:t>More than six years have elapsed since the last communication was received from the petitioner and the Commission has still not received any additional comments on the merits or any response to the requests made by the IACHR on November 27, 2007, May 5, 2007, May 5, 2009 and August 2, 2012.  The petitioner’s failure to respond has continued despite being warned that the case file may be archived.  Additionally, the IACHR notes that the information contained in the case file, which served as the basis for approval of the admissibility report does not contain sufficient evidence for the IACHR to decide on the merits of the matter.  Based on the foregoing and in accordance with Article 42.1 of the Rules of Procedure, the IACHR decides to archive the instant case.</w:t>
      </w:r>
    </w:p>
    <w:p w:rsidR="00D31A6E" w:rsidRDefault="00D31A6E" w:rsidP="00D31A6E">
      <w:pPr>
        <w:pStyle w:val="ListParagraph"/>
        <w:ind w:left="0" w:firstLine="720"/>
        <w:jc w:val="both"/>
        <w:rPr>
          <w:rFonts w:cs="Arial"/>
          <w:sz w:val="20"/>
          <w:szCs w:val="20"/>
        </w:rPr>
      </w:pPr>
    </w:p>
    <w:p w:rsidR="00022422" w:rsidRPr="00B10D36" w:rsidRDefault="00022422" w:rsidP="00022422">
      <w:pPr>
        <w:suppressAutoHyphens/>
        <w:ind w:firstLine="720"/>
        <w:jc w:val="both"/>
        <w:rPr>
          <w:rFonts w:ascii="Cambria" w:hAnsi="Cambria"/>
          <w:noProof/>
          <w:spacing w:val="-2"/>
          <w:sz w:val="20"/>
          <w:szCs w:val="20"/>
        </w:rPr>
      </w:pPr>
      <w:proofErr w:type="gramStart"/>
      <w:r>
        <w:rPr>
          <w:rFonts w:ascii="Cambria" w:hAnsi="Cambria"/>
          <w:spacing w:val="-2"/>
          <w:sz w:val="20"/>
        </w:rPr>
        <w:t>Approved by the Inter-American Commission on Human Rights</w:t>
      </w:r>
      <w:r w:rsidRPr="00365F2F">
        <w:rPr>
          <w:rFonts w:ascii="Cambria" w:hAnsi="Cambria"/>
          <w:spacing w:val="-2"/>
          <w:sz w:val="20"/>
        </w:rPr>
        <w:t xml:space="preserve"> in the city of </w:t>
      </w:r>
      <w:r>
        <w:rPr>
          <w:rFonts w:ascii="Cambria" w:hAnsi="Cambria"/>
          <w:spacing w:val="-2"/>
          <w:sz w:val="20"/>
        </w:rPr>
        <w:t>Mexico on the 15</w:t>
      </w:r>
      <w:r w:rsidRPr="00565805">
        <w:rPr>
          <w:rFonts w:ascii="Cambria" w:hAnsi="Cambria"/>
          <w:spacing w:val="-2"/>
          <w:sz w:val="20"/>
        </w:rPr>
        <w:t xml:space="preserve">th day of the month of </w:t>
      </w:r>
      <w:r>
        <w:rPr>
          <w:rFonts w:ascii="Cambria" w:hAnsi="Cambria"/>
          <w:spacing w:val="-2"/>
          <w:sz w:val="20"/>
        </w:rPr>
        <w:t>August</w:t>
      </w:r>
      <w:r w:rsidRPr="00565805">
        <w:rPr>
          <w:rFonts w:ascii="Cambria" w:hAnsi="Cambria"/>
          <w:spacing w:val="-2"/>
          <w:sz w:val="20"/>
        </w:rPr>
        <w:t>, 2014.</w:t>
      </w:r>
      <w:proofErr w:type="gramEnd"/>
      <w:r w:rsidRPr="00565805">
        <w:rPr>
          <w:rFonts w:ascii="Cambria" w:hAnsi="Cambria"/>
          <w:spacing w:val="-2"/>
          <w:sz w:val="20"/>
        </w:rPr>
        <w:t xml:space="preserve"> (Signed):  Tracy Robinson, President; </w:t>
      </w:r>
      <w:r>
        <w:rPr>
          <w:rFonts w:ascii="Cambria" w:hAnsi="Cambria"/>
          <w:spacing w:val="-2"/>
          <w:sz w:val="20"/>
        </w:rPr>
        <w:t xml:space="preserve">Rose-Marie Belle Antoine, First Vice-President; </w:t>
      </w:r>
      <w:r w:rsidRPr="00565805">
        <w:rPr>
          <w:rFonts w:ascii="Cambria" w:hAnsi="Cambria"/>
          <w:spacing w:val="-2"/>
          <w:sz w:val="20"/>
        </w:rPr>
        <w:t xml:space="preserve">Felipe González, Second Vice President; José de </w:t>
      </w:r>
      <w:proofErr w:type="spellStart"/>
      <w:r w:rsidRPr="00565805">
        <w:rPr>
          <w:rFonts w:ascii="Cambria" w:hAnsi="Cambria"/>
          <w:spacing w:val="-2"/>
          <w:sz w:val="20"/>
        </w:rPr>
        <w:t>Jesús</w:t>
      </w:r>
      <w:proofErr w:type="spellEnd"/>
      <w:r w:rsidRPr="00565805">
        <w:rPr>
          <w:rFonts w:ascii="Cambria" w:hAnsi="Cambria"/>
          <w:spacing w:val="-2"/>
          <w:sz w:val="20"/>
        </w:rPr>
        <w:t xml:space="preserve"> Orozco </w:t>
      </w:r>
      <w:proofErr w:type="spellStart"/>
      <w:r w:rsidRPr="00565805">
        <w:rPr>
          <w:rFonts w:ascii="Cambria" w:hAnsi="Cambria"/>
          <w:spacing w:val="-2"/>
          <w:sz w:val="20"/>
        </w:rPr>
        <w:t>Henríquez</w:t>
      </w:r>
      <w:proofErr w:type="spellEnd"/>
      <w:r w:rsidRPr="00565805">
        <w:rPr>
          <w:rFonts w:ascii="Cambria" w:hAnsi="Cambria"/>
          <w:spacing w:val="-2"/>
          <w:sz w:val="20"/>
        </w:rPr>
        <w:t xml:space="preserve">, Rosa María Ortiz, Paulo </w:t>
      </w:r>
      <w:proofErr w:type="spellStart"/>
      <w:r w:rsidRPr="00565805">
        <w:rPr>
          <w:rFonts w:ascii="Cambria" w:hAnsi="Cambria"/>
          <w:spacing w:val="-2"/>
          <w:sz w:val="20"/>
        </w:rPr>
        <w:t>Vannuchi</w:t>
      </w:r>
      <w:proofErr w:type="spellEnd"/>
      <w:r w:rsidRPr="00565805">
        <w:rPr>
          <w:rFonts w:ascii="Cambria" w:hAnsi="Cambria"/>
          <w:spacing w:val="-2"/>
          <w:sz w:val="20"/>
        </w:rPr>
        <w:t xml:space="preserve"> and James L. </w:t>
      </w:r>
      <w:proofErr w:type="spellStart"/>
      <w:r w:rsidRPr="00565805">
        <w:rPr>
          <w:rFonts w:ascii="Cambria" w:hAnsi="Cambria"/>
          <w:spacing w:val="-2"/>
          <w:sz w:val="20"/>
        </w:rPr>
        <w:t>Cavallaro</w:t>
      </w:r>
      <w:proofErr w:type="spellEnd"/>
      <w:r w:rsidRPr="00565805">
        <w:rPr>
          <w:rFonts w:ascii="Cambria" w:hAnsi="Cambria"/>
          <w:spacing w:val="-2"/>
          <w:sz w:val="20"/>
        </w:rPr>
        <w:t>, Commissioners.</w:t>
      </w:r>
    </w:p>
    <w:p w:rsidR="00D31A6E" w:rsidRPr="003D60A1" w:rsidRDefault="00D31A6E" w:rsidP="00D31A6E">
      <w:pPr>
        <w:pStyle w:val="BodyText"/>
        <w:spacing w:after="0"/>
        <w:ind w:left="705"/>
        <w:jc w:val="both"/>
        <w:rPr>
          <w:rFonts w:ascii="Cambria" w:hAnsi="Cambria" w:cs="Arial"/>
          <w:sz w:val="20"/>
          <w:szCs w:val="20"/>
        </w:rPr>
      </w:pPr>
    </w:p>
    <w:p w:rsidR="00C55560" w:rsidRPr="00145EDC" w:rsidRDefault="00C55560" w:rsidP="00D31A6E">
      <w:pPr>
        <w:jc w:val="center"/>
        <w:rPr>
          <w:rFonts w:asciiTheme="majorHAnsi" w:hAnsiTheme="majorHAnsi"/>
          <w:sz w:val="20"/>
          <w:szCs w:val="20"/>
        </w:rPr>
      </w:pPr>
    </w:p>
    <w:sectPr w:rsidR="00C55560" w:rsidRPr="00145EDC" w:rsidSect="00D31A6E">
      <w:footerReference w:type="even" r:id="rId17"/>
      <w:foot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B24" w:rsidRDefault="00701B24" w:rsidP="00036A8A">
      <w:r>
        <w:separator/>
      </w:r>
    </w:p>
  </w:endnote>
  <w:endnote w:type="continuationSeparator" w:id="0">
    <w:p w:rsidR="00701B24" w:rsidRDefault="00701B24"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D31A6E">
          <w:rPr>
            <w:noProof/>
            <w:sz w:val="16"/>
          </w:rPr>
          <w:t>3</w:t>
        </w:r>
        <w:r w:rsidRPr="006311DA">
          <w:rPr>
            <w:noProof/>
            <w:sz w:val="16"/>
          </w:rPr>
          <w:fldChar w:fldCharType="end"/>
        </w:r>
      </w:p>
    </w:sdtContent>
  </w:sdt>
  <w:p w:rsidR="00F1380F" w:rsidRDefault="00F13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0A1" w:rsidRDefault="00D31A6E">
    <w:pPr>
      <w:pStyle w:val="Footer"/>
      <w:jc w:val="center"/>
    </w:pPr>
    <w:r>
      <w:fldChar w:fldCharType="begin"/>
    </w:r>
    <w:r>
      <w:instrText xml:space="preserve"> PAGE   \* MERGEFORMAT </w:instrText>
    </w:r>
    <w:r>
      <w:fldChar w:fldCharType="separate"/>
    </w:r>
    <w:r>
      <w:rPr>
        <w:noProof/>
      </w:rPr>
      <w:t>2</w:t>
    </w:r>
    <w:r>
      <w:rPr>
        <w:noProof/>
      </w:rPr>
      <w:fldChar w:fldCharType="end"/>
    </w:r>
  </w:p>
  <w:p w:rsidR="003D60A1" w:rsidRDefault="00FA0DD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0A1" w:rsidRPr="003D60A1" w:rsidRDefault="00D31A6E">
    <w:pPr>
      <w:pStyle w:val="Footer"/>
      <w:jc w:val="center"/>
      <w:rPr>
        <w:sz w:val="20"/>
        <w:szCs w:val="20"/>
      </w:rPr>
    </w:pPr>
    <w:r w:rsidRPr="003D60A1">
      <w:rPr>
        <w:sz w:val="20"/>
        <w:szCs w:val="20"/>
      </w:rPr>
      <w:fldChar w:fldCharType="begin"/>
    </w:r>
    <w:r w:rsidRPr="003D60A1">
      <w:rPr>
        <w:sz w:val="20"/>
        <w:szCs w:val="20"/>
      </w:rPr>
      <w:instrText xml:space="preserve"> PAGE   \* MERGEFORMAT </w:instrText>
    </w:r>
    <w:r w:rsidRPr="003D60A1">
      <w:rPr>
        <w:sz w:val="20"/>
        <w:szCs w:val="20"/>
      </w:rPr>
      <w:fldChar w:fldCharType="separate"/>
    </w:r>
    <w:r w:rsidR="00022422">
      <w:rPr>
        <w:noProof/>
        <w:sz w:val="20"/>
        <w:szCs w:val="20"/>
      </w:rPr>
      <w:t>3</w:t>
    </w:r>
    <w:r w:rsidRPr="003D60A1">
      <w:rPr>
        <w:noProof/>
        <w:sz w:val="20"/>
        <w:szCs w:val="20"/>
      </w:rPr>
      <w:fldChar w:fldCharType="end"/>
    </w:r>
  </w:p>
  <w:p w:rsidR="003D60A1" w:rsidRDefault="00FA0D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B24" w:rsidRPr="00036A8A" w:rsidRDefault="00701B24"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701B24" w:rsidRPr="00036A8A" w:rsidRDefault="00701B24" w:rsidP="00036A8A">
      <w:pPr>
        <w:rPr>
          <w:rFonts w:asciiTheme="majorHAnsi" w:hAnsiTheme="majorHAnsi"/>
          <w:sz w:val="16"/>
          <w:szCs w:val="16"/>
        </w:rPr>
      </w:pPr>
      <w:r w:rsidRPr="00036A8A">
        <w:rPr>
          <w:rFonts w:asciiTheme="majorHAnsi" w:hAnsiTheme="majorHAnsi"/>
          <w:sz w:val="16"/>
          <w:szCs w:val="16"/>
        </w:rPr>
        <w:separator/>
      </w:r>
    </w:p>
    <w:p w:rsidR="00701B24" w:rsidRPr="00036A8A" w:rsidRDefault="00701B24"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701B24" w:rsidRPr="0093441A" w:rsidRDefault="00701B24"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D31A6E" w:rsidRPr="003D60A1" w:rsidRDefault="00D31A6E" w:rsidP="00D31A6E">
      <w:pPr>
        <w:tabs>
          <w:tab w:val="left" w:pos="360"/>
          <w:tab w:val="left" w:pos="720"/>
        </w:tabs>
        <w:ind w:left="720" w:hanging="360"/>
        <w:jc w:val="both"/>
        <w:rPr>
          <w:rFonts w:ascii="Cambria" w:hAnsi="Cambria" w:cs="Calibri"/>
          <w:sz w:val="16"/>
          <w:szCs w:val="16"/>
        </w:rPr>
      </w:pPr>
      <w:r w:rsidRPr="003D60A1">
        <w:rPr>
          <w:rStyle w:val="FootnoteReference"/>
          <w:rFonts w:ascii="Cambria" w:hAnsi="Cambria" w:cs="Calibri"/>
          <w:sz w:val="16"/>
          <w:szCs w:val="16"/>
        </w:rPr>
        <w:footnoteRef/>
      </w:r>
      <w:r w:rsidRPr="003D60A1">
        <w:rPr>
          <w:rFonts w:ascii="Cambria" w:hAnsi="Cambria" w:cs="Calibri"/>
          <w:sz w:val="16"/>
          <w:szCs w:val="16"/>
        </w:rPr>
        <w:t>.</w:t>
      </w:r>
      <w:r w:rsidRPr="003D60A1">
        <w:rPr>
          <w:rFonts w:ascii="Cambria" w:hAnsi="Cambria" w:cs="Calibri"/>
          <w:sz w:val="16"/>
          <w:szCs w:val="16"/>
        </w:rPr>
        <w:tab/>
        <w:t xml:space="preserve">On October 11, 2007, it was reported to the IACHR by the petitioners that Carlos Ayala and Pedro Nikken were resigning as representatives of the victims, leaving Claudio Grossman as the sole representative.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FA0DD5"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ABF6361"/>
    <w:multiLevelType w:val="hybridMultilevel"/>
    <w:tmpl w:val="36469F0A"/>
    <w:lvl w:ilvl="0" w:tplc="AAF4DFB2">
      <w:start w:val="1"/>
      <w:numFmt w:val="decimal"/>
      <w:lvlText w:val="%1."/>
      <w:lvlJc w:val="left"/>
      <w:pPr>
        <w:tabs>
          <w:tab w:val="num" w:pos="1410"/>
        </w:tabs>
        <w:ind w:left="1410" w:hanging="705"/>
      </w:pPr>
      <w:rPr>
        <w:rFonts w:ascii="Calibri" w:hAnsi="Calibri" w:hint="default"/>
      </w:rPr>
    </w:lvl>
    <w:lvl w:ilvl="1" w:tplc="0C0A0019">
      <w:start w:val="1"/>
      <w:numFmt w:val="lowerLetter"/>
      <w:lvlText w:val="%2."/>
      <w:lvlJc w:val="left"/>
      <w:pPr>
        <w:tabs>
          <w:tab w:val="num" w:pos="1785"/>
        </w:tabs>
        <w:ind w:left="1785" w:hanging="360"/>
      </w:pPr>
    </w:lvl>
    <w:lvl w:ilvl="2" w:tplc="0C0A001B">
      <w:start w:val="1"/>
      <w:numFmt w:val="lowerRoman"/>
      <w:lvlText w:val="%3."/>
      <w:lvlJc w:val="right"/>
      <w:pPr>
        <w:tabs>
          <w:tab w:val="num" w:pos="2505"/>
        </w:tabs>
        <w:ind w:left="2505" w:hanging="180"/>
      </w:pPr>
    </w:lvl>
    <w:lvl w:ilvl="3" w:tplc="0C0A000F">
      <w:start w:val="1"/>
      <w:numFmt w:val="decimal"/>
      <w:lvlText w:val="%4."/>
      <w:lvlJc w:val="left"/>
      <w:pPr>
        <w:tabs>
          <w:tab w:val="num" w:pos="3225"/>
        </w:tabs>
        <w:ind w:left="3225" w:hanging="360"/>
      </w:pPr>
      <w:rPr>
        <w:rFonts w:hint="default"/>
      </w:r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4615B5"/>
    <w:multiLevelType w:val="hybridMultilevel"/>
    <w:tmpl w:val="E50E030E"/>
    <w:lvl w:ilvl="0" w:tplc="692C18DC">
      <w:start w:val="4"/>
      <w:numFmt w:val="upperRoman"/>
      <w:lvlText w:val="%1."/>
      <w:lvlJc w:val="left"/>
      <w:pPr>
        <w:tabs>
          <w:tab w:val="num" w:pos="1440"/>
        </w:tabs>
        <w:ind w:left="1440" w:hanging="720"/>
      </w:pPr>
      <w:rPr>
        <w:rFonts w:hint="default"/>
      </w:rPr>
    </w:lvl>
    <w:lvl w:ilvl="1" w:tplc="2AD81CD6">
      <w:start w:val="1"/>
      <w:numFmt w:val="decimal"/>
      <w:lvlText w:val="%2."/>
      <w:lvlJc w:val="left"/>
      <w:pPr>
        <w:tabs>
          <w:tab w:val="num" w:pos="2145"/>
        </w:tabs>
        <w:ind w:left="2145" w:hanging="705"/>
      </w:pPr>
      <w:rPr>
        <w:rFonts w:ascii="Univers" w:hAnsi="Univer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6F95DD4"/>
    <w:multiLevelType w:val="hybridMultilevel"/>
    <w:tmpl w:val="3F62F214"/>
    <w:lvl w:ilvl="0" w:tplc="0ABE835E">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BAD4739"/>
    <w:multiLevelType w:val="hybridMultilevel"/>
    <w:tmpl w:val="3D6A7E94"/>
    <w:lvl w:ilvl="0" w:tplc="21E258CC">
      <w:start w:val="1"/>
      <w:numFmt w:val="upperLetter"/>
      <w:lvlText w:val="%1."/>
      <w:lvlJc w:val="left"/>
      <w:pPr>
        <w:tabs>
          <w:tab w:val="num" w:pos="1080"/>
        </w:tabs>
        <w:ind w:left="1080" w:hanging="360"/>
      </w:pPr>
      <w:rPr>
        <w:rFonts w:hint="default"/>
      </w:rPr>
    </w:lvl>
    <w:lvl w:ilvl="1" w:tplc="8D5C6530">
      <w:start w:val="1"/>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3F3578E"/>
    <w:multiLevelType w:val="hybridMultilevel"/>
    <w:tmpl w:val="D69491C6"/>
    <w:lvl w:ilvl="0" w:tplc="6E505B66">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nsid w:val="6C9979FE"/>
    <w:multiLevelType w:val="hybridMultilevel"/>
    <w:tmpl w:val="7E480202"/>
    <w:lvl w:ilvl="0" w:tplc="6A303A7E">
      <w:start w:val="1"/>
      <w:numFmt w:val="decimal"/>
      <w:lvlText w:val="%1."/>
      <w:lvlJc w:val="left"/>
      <w:pPr>
        <w:tabs>
          <w:tab w:val="num" w:pos="720"/>
        </w:tabs>
        <w:ind w:left="0" w:firstLine="720"/>
      </w:pPr>
      <w:rPr>
        <w:rFonts w:ascii="Cambria" w:hAnsi="Cambria" w:hint="default"/>
        <w:b w:val="0"/>
      </w:rPr>
    </w:lvl>
    <w:lvl w:ilvl="1" w:tplc="AA80750E">
      <w:start w:val="2"/>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3B24028"/>
    <w:multiLevelType w:val="hybridMultilevel"/>
    <w:tmpl w:val="F5D47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2"/>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5"/>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1"/>
  </w:num>
  <w:num w:numId="12">
    <w:abstractNumId w:val="60"/>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7"/>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1"/>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7"/>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10"/>
  </w:num>
  <w:num w:numId="60">
    <w:abstractNumId w:val="11"/>
  </w:num>
  <w:num w:numId="61">
    <w:abstractNumId w:val="12"/>
  </w:num>
  <w:num w:numId="62">
    <w:abstractNumId w:val="13"/>
  </w:num>
  <w:num w:numId="63">
    <w:abstractNumId w:val="14"/>
  </w:num>
  <w:num w:numId="64">
    <w:abstractNumId w:val="15"/>
  </w:num>
  <w:num w:numId="65">
    <w:abstractNumId w:val="16"/>
  </w:num>
  <w:num w:numId="66">
    <w:abstractNumId w:val="18"/>
  </w:num>
  <w:num w:numId="67">
    <w:abstractNumId w:val="19"/>
  </w:num>
  <w:num w:numId="68">
    <w:abstractNumId w:val="22"/>
  </w:num>
  <w:num w:numId="69">
    <w:abstractNumId w:val="23"/>
  </w:num>
  <w:num w:numId="70">
    <w:abstractNumId w:val="26"/>
  </w:num>
  <w:num w:numId="71">
    <w:abstractNumId w:val="27"/>
  </w:num>
  <w:num w:numId="72">
    <w:abstractNumId w:val="28"/>
  </w:num>
  <w:num w:numId="73">
    <w:abstractNumId w:val="30"/>
  </w:num>
  <w:num w:numId="74">
    <w:abstractNumId w:val="32"/>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7"/>
  </w:num>
  <w:num w:numId="94">
    <w:abstractNumId w:val="24"/>
  </w:num>
  <w:num w:numId="95">
    <w:abstractNumId w:val="45"/>
  </w:num>
  <w:num w:numId="96">
    <w:abstractNumId w:val="57"/>
  </w:num>
  <w:num w:numId="97">
    <w:abstractNumId w:val="54"/>
  </w:num>
  <w:num w:numId="98">
    <w:abstractNumId w:val="49"/>
  </w:num>
  <w:num w:numId="99">
    <w:abstractNumId w:val="40"/>
  </w:num>
  <w:num w:numId="100">
    <w:abstractNumId w:val="3"/>
  </w:num>
  <w:num w:numId="101">
    <w:abstractNumId w:val="29"/>
  </w:num>
  <w:num w:numId="102">
    <w:abstractNumId w:val="51"/>
  </w:num>
  <w:num w:numId="103">
    <w:abstractNumId w:val="6"/>
  </w:num>
  <w:num w:numId="104">
    <w:abstractNumId w:val="55"/>
  </w:num>
  <w:num w:numId="105">
    <w:abstractNumId w:val="46"/>
  </w:num>
  <w:num w:numId="106">
    <w:abstractNumId w:val="20"/>
  </w:num>
  <w:num w:numId="107">
    <w:abstractNumId w:val="17"/>
  </w:num>
  <w:num w:numId="108">
    <w:abstractNumId w:val="58"/>
  </w:num>
  <w:num w:numId="109">
    <w:abstractNumId w:val="7"/>
  </w:num>
  <w:num w:numId="110">
    <w:abstractNumId w:val="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hyphenationZone w:val="425"/>
  <w:characterSpacingControl w:val="doNotCompress"/>
  <w:hdrShapeDefaults>
    <o:shapedefaults v:ext="edit" spidmax="14338"/>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22422"/>
    <w:rsid w:val="00036A8A"/>
    <w:rsid w:val="00040C3A"/>
    <w:rsid w:val="000639C0"/>
    <w:rsid w:val="00070F3A"/>
    <w:rsid w:val="000716C5"/>
    <w:rsid w:val="00075E23"/>
    <w:rsid w:val="00092F32"/>
    <w:rsid w:val="0009344A"/>
    <w:rsid w:val="000A575F"/>
    <w:rsid w:val="000D10DB"/>
    <w:rsid w:val="0013104F"/>
    <w:rsid w:val="00137EBA"/>
    <w:rsid w:val="00145EDC"/>
    <w:rsid w:val="00167A34"/>
    <w:rsid w:val="0018037F"/>
    <w:rsid w:val="001A5F27"/>
    <w:rsid w:val="001A7870"/>
    <w:rsid w:val="001C1B41"/>
    <w:rsid w:val="00210E0E"/>
    <w:rsid w:val="00247403"/>
    <w:rsid w:val="00247542"/>
    <w:rsid w:val="00257893"/>
    <w:rsid w:val="00266092"/>
    <w:rsid w:val="00266B61"/>
    <w:rsid w:val="0026712A"/>
    <w:rsid w:val="002704DB"/>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6CF0"/>
    <w:rsid w:val="003C32BC"/>
    <w:rsid w:val="003F1BBF"/>
    <w:rsid w:val="004165C2"/>
    <w:rsid w:val="00450A4A"/>
    <w:rsid w:val="004666FB"/>
    <w:rsid w:val="00467B7E"/>
    <w:rsid w:val="0049419D"/>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032BF"/>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318CD"/>
    <w:rsid w:val="00745899"/>
    <w:rsid w:val="007607C4"/>
    <w:rsid w:val="0076643F"/>
    <w:rsid w:val="007A2F70"/>
    <w:rsid w:val="007C3334"/>
    <w:rsid w:val="007C52BB"/>
    <w:rsid w:val="007D2B98"/>
    <w:rsid w:val="00803F1C"/>
    <w:rsid w:val="0080600E"/>
    <w:rsid w:val="00817612"/>
    <w:rsid w:val="00837C45"/>
    <w:rsid w:val="00853419"/>
    <w:rsid w:val="00897E12"/>
    <w:rsid w:val="008A0DE6"/>
    <w:rsid w:val="008D43BA"/>
    <w:rsid w:val="008E3759"/>
    <w:rsid w:val="009041DC"/>
    <w:rsid w:val="009104B4"/>
    <w:rsid w:val="00925FCD"/>
    <w:rsid w:val="0093441A"/>
    <w:rsid w:val="00954BF7"/>
    <w:rsid w:val="0096706E"/>
    <w:rsid w:val="00981FBA"/>
    <w:rsid w:val="009B381B"/>
    <w:rsid w:val="009D7611"/>
    <w:rsid w:val="009E53DE"/>
    <w:rsid w:val="00A352B4"/>
    <w:rsid w:val="00A43458"/>
    <w:rsid w:val="00A528D1"/>
    <w:rsid w:val="00A66BE5"/>
    <w:rsid w:val="00AB1B21"/>
    <w:rsid w:val="00AD37C1"/>
    <w:rsid w:val="00AE66EC"/>
    <w:rsid w:val="00AE6F91"/>
    <w:rsid w:val="00AF5571"/>
    <w:rsid w:val="00B167E9"/>
    <w:rsid w:val="00B314DB"/>
    <w:rsid w:val="00B31EBE"/>
    <w:rsid w:val="00B3718B"/>
    <w:rsid w:val="00B4632A"/>
    <w:rsid w:val="00BA276C"/>
    <w:rsid w:val="00BB306F"/>
    <w:rsid w:val="00BD232B"/>
    <w:rsid w:val="00BD4B89"/>
    <w:rsid w:val="00C21762"/>
    <w:rsid w:val="00C24543"/>
    <w:rsid w:val="00C256A2"/>
    <w:rsid w:val="00C3492D"/>
    <w:rsid w:val="00C55560"/>
    <w:rsid w:val="00C66B72"/>
    <w:rsid w:val="00C9567A"/>
    <w:rsid w:val="00CB2660"/>
    <w:rsid w:val="00CC5E90"/>
    <w:rsid w:val="00CD046C"/>
    <w:rsid w:val="00CE5199"/>
    <w:rsid w:val="00CE66D5"/>
    <w:rsid w:val="00D31A6E"/>
    <w:rsid w:val="00D34786"/>
    <w:rsid w:val="00D40A1E"/>
    <w:rsid w:val="00D712D3"/>
    <w:rsid w:val="00D71422"/>
    <w:rsid w:val="00D7145E"/>
    <w:rsid w:val="00D7558D"/>
    <w:rsid w:val="00D81D92"/>
    <w:rsid w:val="00D93446"/>
    <w:rsid w:val="00DA7B5F"/>
    <w:rsid w:val="00E308B3"/>
    <w:rsid w:val="00E43157"/>
    <w:rsid w:val="00E533FF"/>
    <w:rsid w:val="00E616FA"/>
    <w:rsid w:val="00E709B3"/>
    <w:rsid w:val="00E864D6"/>
    <w:rsid w:val="00E8789F"/>
    <w:rsid w:val="00E97B71"/>
    <w:rsid w:val="00EB454D"/>
    <w:rsid w:val="00EE3522"/>
    <w:rsid w:val="00EF619B"/>
    <w:rsid w:val="00F00B55"/>
    <w:rsid w:val="00F1380F"/>
    <w:rsid w:val="00F14F0E"/>
    <w:rsid w:val="00F24C29"/>
    <w:rsid w:val="00F253CC"/>
    <w:rsid w:val="00F56BA5"/>
    <w:rsid w:val="00F644E6"/>
    <w:rsid w:val="00F9653B"/>
    <w:rsid w:val="00FA0DD5"/>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31A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nhideWhenUsed/>
    <w:rsid w:val="009B381B"/>
    <w:rPr>
      <w:rFonts w:ascii="Tahoma" w:hAnsi="Tahoma" w:cs="Tahoma"/>
      <w:sz w:val="16"/>
      <w:szCs w:val="16"/>
    </w:rPr>
  </w:style>
  <w:style w:type="character" w:customStyle="1" w:styleId="BalloonTextChar">
    <w:name w:val="Balloon Text Char"/>
    <w:basedOn w:val="DefaultParagraphFont"/>
    <w:link w:val="BalloonText"/>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nhideWhenUsed/>
    <w:rsid w:val="00036A8A"/>
    <w:pPr>
      <w:spacing w:after="120"/>
    </w:pPr>
  </w:style>
  <w:style w:type="character" w:customStyle="1" w:styleId="BodyTextChar">
    <w:name w:val="Body Text Char"/>
    <w:basedOn w:val="DefaultParagraphFont"/>
    <w:link w:val="BodyText"/>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tref,Footnote symbol,Footnot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numbering" w:customStyle="1" w:styleId="NoList1">
    <w:name w:val="No List1"/>
    <w:next w:val="NoList"/>
    <w:semiHidden/>
    <w:unhideWhenUsed/>
    <w:rsid w:val="00E864D6"/>
  </w:style>
  <w:style w:type="character" w:customStyle="1" w:styleId="StyleUnivers10pt">
    <w:name w:val="Style Univers 10 pt"/>
    <w:rsid w:val="00E864D6"/>
    <w:rPr>
      <w:rFonts w:ascii="Univers" w:hAnsi="Univers"/>
      <w:sz w:val="20"/>
    </w:rPr>
  </w:style>
  <w:style w:type="character" w:customStyle="1" w:styleId="FootnoteCharacters">
    <w:name w:val="Footnote Characters"/>
    <w:rsid w:val="00E864D6"/>
    <w:rPr>
      <w:vertAlign w:val="superscript"/>
    </w:rPr>
  </w:style>
  <w:style w:type="character" w:styleId="Emphasis">
    <w:name w:val="Emphasis"/>
    <w:qFormat/>
    <w:rsid w:val="00E864D6"/>
    <w:rPr>
      <w:i/>
      <w:iCs/>
    </w:rPr>
  </w:style>
  <w:style w:type="character" w:styleId="FollowedHyperlink">
    <w:name w:val="FollowedHyperlink"/>
    <w:rsid w:val="00E864D6"/>
    <w:rPr>
      <w:color w:val="800080"/>
      <w:u w:val="single"/>
    </w:rPr>
  </w:style>
  <w:style w:type="character" w:customStyle="1" w:styleId="Heading2Char">
    <w:name w:val="Heading 2 Char"/>
    <w:basedOn w:val="DefaultParagraphFont"/>
    <w:link w:val="Heading2"/>
    <w:uiPriority w:val="9"/>
    <w:semiHidden/>
    <w:rsid w:val="00D31A6E"/>
    <w:rPr>
      <w:rFonts w:asciiTheme="majorHAnsi" w:eastAsiaTheme="majorEastAsia" w:hAnsiTheme="majorHAnsi" w:cstheme="majorBidi"/>
      <w:b/>
      <w:bCs/>
      <w:color w:val="4F81BD" w:themeColor="accent1"/>
      <w:sz w:val="26"/>
      <w:szCs w:val="26"/>
      <w:lang w:val="en-US" w:eastAsia="en-US"/>
    </w:rPr>
  </w:style>
  <w:style w:type="paragraph" w:styleId="BodyTextIndent3">
    <w:name w:val="Body Text Indent 3"/>
    <w:basedOn w:val="Normal"/>
    <w:link w:val="BodyTextIndent3Char"/>
    <w:uiPriority w:val="99"/>
    <w:semiHidden/>
    <w:unhideWhenUsed/>
    <w:rsid w:val="00D31A6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31A6E"/>
    <w:rPr>
      <w:sz w:val="16"/>
      <w:szCs w:val="16"/>
      <w:lang w:val="en-US" w:eastAsia="en-US"/>
    </w:rPr>
  </w:style>
  <w:style w:type="paragraph" w:styleId="EndnoteText">
    <w:name w:val="endnote text"/>
    <w:basedOn w:val="Normal"/>
    <w:link w:val="EndnoteTextChar"/>
    <w:rsid w:val="00D31A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
    </w:rPr>
  </w:style>
  <w:style w:type="character" w:customStyle="1" w:styleId="EndnoteTextChar">
    <w:name w:val="Endnote Text Char"/>
    <w:basedOn w:val="DefaultParagraphFont"/>
    <w:link w:val="EndnoteText"/>
    <w:rsid w:val="00D31A6E"/>
    <w:rPr>
      <w:rFonts w:eastAsia="Times New Roman"/>
      <w:sz w:val="24"/>
      <w:szCs w:val="24"/>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31A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nhideWhenUsed/>
    <w:rsid w:val="009B381B"/>
    <w:rPr>
      <w:rFonts w:ascii="Tahoma" w:hAnsi="Tahoma" w:cs="Tahoma"/>
      <w:sz w:val="16"/>
      <w:szCs w:val="16"/>
    </w:rPr>
  </w:style>
  <w:style w:type="character" w:customStyle="1" w:styleId="BalloonTextChar">
    <w:name w:val="Balloon Text Char"/>
    <w:basedOn w:val="DefaultParagraphFont"/>
    <w:link w:val="BalloonText"/>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nhideWhenUsed/>
    <w:rsid w:val="00036A8A"/>
    <w:pPr>
      <w:spacing w:after="120"/>
    </w:pPr>
  </w:style>
  <w:style w:type="character" w:customStyle="1" w:styleId="BodyTextChar">
    <w:name w:val="Body Text Char"/>
    <w:basedOn w:val="DefaultParagraphFont"/>
    <w:link w:val="BodyText"/>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tref,Footnote symbol,Footnot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numbering" w:customStyle="1" w:styleId="NoList1">
    <w:name w:val="No List1"/>
    <w:next w:val="NoList"/>
    <w:semiHidden/>
    <w:unhideWhenUsed/>
    <w:rsid w:val="00E864D6"/>
  </w:style>
  <w:style w:type="character" w:customStyle="1" w:styleId="StyleUnivers10pt">
    <w:name w:val="Style Univers 10 pt"/>
    <w:rsid w:val="00E864D6"/>
    <w:rPr>
      <w:rFonts w:ascii="Univers" w:hAnsi="Univers"/>
      <w:sz w:val="20"/>
    </w:rPr>
  </w:style>
  <w:style w:type="character" w:customStyle="1" w:styleId="FootnoteCharacters">
    <w:name w:val="Footnote Characters"/>
    <w:rsid w:val="00E864D6"/>
    <w:rPr>
      <w:vertAlign w:val="superscript"/>
    </w:rPr>
  </w:style>
  <w:style w:type="character" w:styleId="Emphasis">
    <w:name w:val="Emphasis"/>
    <w:qFormat/>
    <w:rsid w:val="00E864D6"/>
    <w:rPr>
      <w:i/>
      <w:iCs/>
    </w:rPr>
  </w:style>
  <w:style w:type="character" w:styleId="FollowedHyperlink">
    <w:name w:val="FollowedHyperlink"/>
    <w:rsid w:val="00E864D6"/>
    <w:rPr>
      <w:color w:val="800080"/>
      <w:u w:val="single"/>
    </w:rPr>
  </w:style>
  <w:style w:type="character" w:customStyle="1" w:styleId="Heading2Char">
    <w:name w:val="Heading 2 Char"/>
    <w:basedOn w:val="DefaultParagraphFont"/>
    <w:link w:val="Heading2"/>
    <w:uiPriority w:val="9"/>
    <w:semiHidden/>
    <w:rsid w:val="00D31A6E"/>
    <w:rPr>
      <w:rFonts w:asciiTheme="majorHAnsi" w:eastAsiaTheme="majorEastAsia" w:hAnsiTheme="majorHAnsi" w:cstheme="majorBidi"/>
      <w:b/>
      <w:bCs/>
      <w:color w:val="4F81BD" w:themeColor="accent1"/>
      <w:sz w:val="26"/>
      <w:szCs w:val="26"/>
      <w:lang w:val="en-US" w:eastAsia="en-US"/>
    </w:rPr>
  </w:style>
  <w:style w:type="paragraph" w:styleId="BodyTextIndent3">
    <w:name w:val="Body Text Indent 3"/>
    <w:basedOn w:val="Normal"/>
    <w:link w:val="BodyTextIndent3Char"/>
    <w:uiPriority w:val="99"/>
    <w:semiHidden/>
    <w:unhideWhenUsed/>
    <w:rsid w:val="00D31A6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31A6E"/>
    <w:rPr>
      <w:sz w:val="16"/>
      <w:szCs w:val="16"/>
      <w:lang w:val="en-US" w:eastAsia="en-US"/>
    </w:rPr>
  </w:style>
  <w:style w:type="paragraph" w:styleId="EndnoteText">
    <w:name w:val="endnote text"/>
    <w:basedOn w:val="Normal"/>
    <w:link w:val="EndnoteTextChar"/>
    <w:rsid w:val="00D31A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
    </w:rPr>
  </w:style>
  <w:style w:type="character" w:customStyle="1" w:styleId="EndnoteTextChar">
    <w:name w:val="Endnote Text Char"/>
    <w:basedOn w:val="DefaultParagraphFont"/>
    <w:link w:val="EndnoteText"/>
    <w:rsid w:val="00D31A6E"/>
    <w:rPr>
      <w:rFonts w:eastAsia="Times New Roman"/>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AAC28-55BA-4375-9BAE-8EE11C83F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1111</Words>
  <Characters>5711</Characters>
  <Application>Microsoft Office Word</Application>
  <DocSecurity>0</DocSecurity>
  <Lines>184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%OAS%</cp:lastModifiedBy>
  <cp:revision>5</cp:revision>
  <cp:lastPrinted>2014-06-04T21:22:00Z</cp:lastPrinted>
  <dcterms:created xsi:type="dcterms:W3CDTF">2015-03-05T20:54:00Z</dcterms:created>
  <dcterms:modified xsi:type="dcterms:W3CDTF">2015-03-05T21:07:00Z</dcterms:modified>
</cp:coreProperties>
</file>