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A81" w:rsidRPr="008E156C" w:rsidRDefault="008D1750" w:rsidP="00DE7D1B">
      <w:pPr>
        <w:pBdr>
          <w:top w:val="none" w:sz="0" w:space="0" w:color="auto"/>
          <w:left w:val="none" w:sz="0" w:space="0" w:color="auto"/>
          <w:bottom w:val="none" w:sz="0" w:space="0" w:color="auto"/>
          <w:right w:val="none" w:sz="0" w:space="0" w:color="auto"/>
          <w:bar w:val="none" w:sz="0" w:color="auto"/>
        </w:pBdr>
        <w:jc w:val="both"/>
        <w:rPr>
          <w:rFonts w:ascii="Cambria" w:hAnsi="Cambria" w:cs="Cambria"/>
          <w:b/>
          <w:bCs/>
          <w:sz w:val="20"/>
          <w:szCs w:val="20"/>
        </w:rPr>
      </w:pPr>
      <w:bookmarkStart w:id="0" w:name="_GoBack"/>
      <w:bookmarkEnd w:id="0"/>
      <w:r>
        <w:rPr>
          <w:rFonts w:ascii="Cambria" w:hAnsi="Cambria"/>
          <w:sz w:val="20"/>
          <w:szCs w:val="20"/>
        </w:rPr>
        <w:pict>
          <v:rect id="Rectangle 1" o:spid="_x0000_s1026" style="position:absolute;left:0;text-align:left;margin-left:-27pt;margin-top:-36pt;width:111pt;height:706.9pt;z-index:8;visibility:visible;v-text-anchor:middle" fillcolor="#67ae3c" stroked="f" strokeweight="2pt"/>
        </w:pict>
      </w:r>
      <w:r>
        <w:rPr>
          <w:rFonts w:ascii="Cambria" w:hAnsi="Cambria"/>
          <w:sz w:val="20"/>
          <w:szCs w:val="20"/>
        </w:rPr>
        <w:pict>
          <v:shapetype id="_x0000_t202" coordsize="21600,21600" o:spt="202" path="m,l,21600r21600,l21600,xe">
            <v:stroke joinstyle="miter"/>
            <v:path gradientshapeok="t" o:connecttype="rect"/>
          </v:shapetype>
          <v:shape id="_x0000_s1027" type="#_x0000_t202" style="position:absolute;left:0;text-align:left;margin-left:-27pt;margin-top:180.6pt;width:109.5pt;height:108.45pt;z-index:9;visibility:visible" filled="f" stroked="f" strokeweight=".5pt">
            <v:textbox>
              <w:txbxContent>
                <w:p w:rsidR="00444A81" w:rsidRPr="003A6A4F" w:rsidRDefault="00444A81" w:rsidP="00DE7D1B">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s="Calibri"/>
                      <w:noProof/>
                      <w:color w:val="FFFFFF"/>
                      <w:sz w:val="22"/>
                      <w:szCs w:val="22"/>
                      <w:lang w:val="pt-BR"/>
                    </w:rPr>
                  </w:pPr>
                  <w:r w:rsidRPr="003A6A4F">
                    <w:rPr>
                      <w:rFonts w:ascii="Calibri" w:hAnsi="Calibri" w:cs="Calibri"/>
                      <w:noProof/>
                      <w:color w:val="FFFFFF"/>
                      <w:sz w:val="22"/>
                      <w:szCs w:val="22"/>
                      <w:lang w:val="pt-BR"/>
                    </w:rPr>
                    <w:t>OEA/Ser.L/V/II.</w:t>
                  </w:r>
                </w:p>
                <w:p w:rsidR="00444A81" w:rsidRPr="003A6A4F" w:rsidRDefault="00444A81" w:rsidP="00DE7D1B">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s="Calibri"/>
                      <w:noProof/>
                      <w:color w:val="FFFFFF"/>
                      <w:sz w:val="22"/>
                      <w:szCs w:val="22"/>
                      <w:lang w:val="pt-BR"/>
                    </w:rPr>
                  </w:pPr>
                  <w:r w:rsidRPr="003A6A4F">
                    <w:rPr>
                      <w:rFonts w:ascii="Calibri" w:hAnsi="Calibri" w:cs="Calibri"/>
                      <w:noProof/>
                      <w:color w:val="FFFFFF"/>
                      <w:sz w:val="22"/>
                      <w:szCs w:val="22"/>
                      <w:lang w:val="pt-BR"/>
                    </w:rPr>
                    <w:t xml:space="preserve">Doc. </w:t>
                  </w:r>
                  <w:r w:rsidR="00556636">
                    <w:rPr>
                      <w:rFonts w:ascii="Calibri" w:hAnsi="Calibri" w:cs="Calibri"/>
                      <w:noProof/>
                      <w:color w:val="FFFFFF"/>
                      <w:sz w:val="22"/>
                      <w:szCs w:val="22"/>
                      <w:lang w:val="pt-BR"/>
                    </w:rPr>
                    <w:t>7</w:t>
                  </w:r>
                </w:p>
                <w:p w:rsidR="00444A81" w:rsidRDefault="00556636" w:rsidP="00DE7D1B">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s="Calibri"/>
                      <w:noProof/>
                      <w:color w:val="FFFFFF"/>
                      <w:sz w:val="22"/>
                      <w:szCs w:val="22"/>
                    </w:rPr>
                  </w:pPr>
                  <w:r>
                    <w:rPr>
                      <w:rFonts w:ascii="Calibri" w:hAnsi="Calibri" w:cs="Calibri"/>
                      <w:noProof/>
                      <w:color w:val="FFFFFF"/>
                      <w:sz w:val="22"/>
                      <w:szCs w:val="22"/>
                    </w:rPr>
                    <w:t>29 January</w:t>
                  </w:r>
                  <w:r w:rsidR="00444A81">
                    <w:rPr>
                      <w:rFonts w:ascii="Calibri" w:hAnsi="Calibri" w:cs="Calibri"/>
                      <w:noProof/>
                      <w:color w:val="FFFFFF"/>
                      <w:sz w:val="22"/>
                      <w:szCs w:val="22"/>
                    </w:rPr>
                    <w:t xml:space="preserve"> 2015</w:t>
                  </w:r>
                </w:p>
                <w:p w:rsidR="00444A81" w:rsidRDefault="00444A81" w:rsidP="00DE7D1B">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s="Calibri"/>
                      <w:noProof/>
                      <w:color w:val="FFFFFF"/>
                      <w:sz w:val="22"/>
                      <w:szCs w:val="22"/>
                    </w:rPr>
                  </w:pPr>
                  <w:r>
                    <w:rPr>
                      <w:rFonts w:ascii="Calibri" w:hAnsi="Calibri" w:cs="Calibri"/>
                      <w:noProof/>
                      <w:color w:val="FFFFFF"/>
                      <w:sz w:val="22"/>
                      <w:szCs w:val="22"/>
                    </w:rPr>
                    <w:t>Original: Spanish</w:t>
                  </w:r>
                </w:p>
              </w:txbxContent>
            </v:textbox>
          </v:shape>
        </w:pict>
      </w:r>
      <w:r>
        <w:rPr>
          <w:rFonts w:ascii="Cambria" w:hAnsi="Cambria"/>
          <w:sz w:val="20"/>
          <w:szCs w:val="20"/>
        </w:rPr>
        <w:pict>
          <v:shape id="Text Box 11" o:spid="_x0000_s1028" type="#_x0000_t202" style="position:absolute;left:0;text-align:left;margin-left:100.95pt;margin-top:-33.4pt;width:413.25pt;height:71.05pt;z-index:4;visibility:visible" filled="f" stroked="f" strokeweight=".5pt">
            <v:textbox>
              <w:txbxContent>
                <w:p w:rsidR="00444A81" w:rsidRPr="00CF4E6F" w:rsidRDefault="008D1750" w:rsidP="00DE7D1B">
                  <w:pPr>
                    <w:pBdr>
                      <w:top w:val="none" w:sz="0" w:space="0" w:color="auto"/>
                      <w:left w:val="none" w:sz="0" w:space="0" w:color="auto"/>
                      <w:bottom w:val="none" w:sz="0" w:space="0" w:color="auto"/>
                      <w:right w:val="none" w:sz="0" w:space="0" w:color="auto"/>
                      <w:bar w:val="none" w:sz="0" w:color="auto"/>
                    </w:pBdr>
                    <w:rPr>
                      <w:noProof/>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i1025" type="#_x0000_t75" style="width:207.25pt;height:40.05pt;visibility:visible">
                        <v:imagedata r:id="rId8" o:title=""/>
                      </v:shape>
                    </w:pict>
                  </w:r>
                </w:p>
              </w:txbxContent>
            </v:textbox>
          </v:shape>
        </w:pict>
      </w: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cs="Cambria"/>
          <w:sz w:val="20"/>
          <w:szCs w:val="20"/>
        </w:rPr>
      </w:pP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cs="Cambria"/>
          <w:sz w:val="20"/>
          <w:szCs w:val="20"/>
        </w:rPr>
      </w:pP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cs="Cambria"/>
          <w:sz w:val="20"/>
          <w:szCs w:val="20"/>
        </w:rPr>
      </w:pP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cs="Cambria"/>
          <w:sz w:val="20"/>
          <w:szCs w:val="20"/>
        </w:rPr>
      </w:pP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cs="Cambria"/>
          <w:sz w:val="20"/>
          <w:szCs w:val="20"/>
        </w:rPr>
      </w:pP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0"/>
          <w:szCs w:val="20"/>
        </w:rPr>
      </w:pP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0"/>
          <w:szCs w:val="20"/>
        </w:rPr>
      </w:pP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0"/>
          <w:szCs w:val="20"/>
        </w:rPr>
      </w:pP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0"/>
          <w:szCs w:val="20"/>
        </w:rPr>
      </w:pP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0"/>
          <w:szCs w:val="20"/>
        </w:rPr>
      </w:pP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0"/>
          <w:szCs w:val="20"/>
        </w:rPr>
      </w:pP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0"/>
          <w:szCs w:val="20"/>
        </w:rPr>
      </w:pPr>
    </w:p>
    <w:p w:rsidR="00444A81" w:rsidRPr="008E156C" w:rsidRDefault="008D1750" w:rsidP="00DE7D1B">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0"/>
          <w:szCs w:val="20"/>
        </w:rPr>
      </w:pPr>
      <w:r>
        <w:rPr>
          <w:rFonts w:ascii="Cambria" w:hAnsi="Cambria"/>
          <w:sz w:val="20"/>
          <w:szCs w:val="20"/>
        </w:rPr>
        <w:pict>
          <v:shape id="Text Box 8" o:spid="_x0000_s1029" type="#_x0000_t202" style="position:absolute;left:0;text-align:left;margin-left:351pt;margin-top:12.35pt;width:109.5pt;height:108.45pt;z-index:3;visibility:visible" filled="f" stroked="f" strokeweight=".5pt">
            <v:textbox>
              <w:txbxContent>
                <w:p w:rsidR="00444A81" w:rsidRPr="003A6A4F" w:rsidRDefault="00444A81" w:rsidP="00DE7D1B">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s="Calibri"/>
                      <w:noProof/>
                      <w:color w:val="FFFFFF"/>
                      <w:sz w:val="22"/>
                      <w:szCs w:val="22"/>
                      <w:lang w:val="pt-BR"/>
                    </w:rPr>
                  </w:pPr>
                  <w:r w:rsidRPr="003A6A4F">
                    <w:rPr>
                      <w:rFonts w:ascii="Calibri" w:hAnsi="Calibri" w:cs="Calibri"/>
                      <w:noProof/>
                      <w:color w:val="FFFFFF"/>
                      <w:sz w:val="22"/>
                      <w:szCs w:val="22"/>
                      <w:lang w:val="pt-BR"/>
                    </w:rPr>
                    <w:t>OEA/Ser.L/V/II.</w:t>
                  </w:r>
                </w:p>
                <w:p w:rsidR="00444A81" w:rsidRPr="003A6A4F" w:rsidRDefault="00444A81" w:rsidP="00DE7D1B">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s="Calibri"/>
                      <w:noProof/>
                      <w:color w:val="FFFFFF"/>
                      <w:sz w:val="22"/>
                      <w:szCs w:val="22"/>
                      <w:lang w:val="pt-BR"/>
                    </w:rPr>
                  </w:pPr>
                  <w:r w:rsidRPr="003A6A4F">
                    <w:rPr>
                      <w:rFonts w:ascii="Calibri" w:hAnsi="Calibri" w:cs="Calibri"/>
                      <w:noProof/>
                      <w:color w:val="FFFFFF"/>
                      <w:sz w:val="22"/>
                      <w:szCs w:val="22"/>
                      <w:lang w:val="pt-BR"/>
                    </w:rPr>
                    <w:t>Doc. XX</w:t>
                  </w:r>
                </w:p>
                <w:p w:rsidR="00444A81" w:rsidRDefault="00444A81" w:rsidP="00DE7D1B">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s="Calibri"/>
                      <w:noProof/>
                      <w:color w:val="FFFFFF"/>
                      <w:sz w:val="22"/>
                      <w:szCs w:val="22"/>
                    </w:rPr>
                  </w:pPr>
                  <w:r>
                    <w:rPr>
                      <w:rFonts w:ascii="Calibri" w:hAnsi="Calibri" w:cs="Calibri"/>
                      <w:noProof/>
                      <w:color w:val="FFFFFF"/>
                      <w:sz w:val="22"/>
                      <w:szCs w:val="22"/>
                    </w:rPr>
                    <w:t>Xxx xx, 2015</w:t>
                  </w:r>
                </w:p>
                <w:p w:rsidR="00444A81" w:rsidRDefault="00444A81" w:rsidP="00DE7D1B">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s="Calibri"/>
                      <w:noProof/>
                      <w:color w:val="FFFFFF"/>
                      <w:sz w:val="22"/>
                      <w:szCs w:val="22"/>
                    </w:rPr>
                  </w:pPr>
                  <w:r>
                    <w:rPr>
                      <w:rFonts w:ascii="Calibri" w:hAnsi="Calibri" w:cs="Calibri"/>
                      <w:noProof/>
                      <w:color w:val="FFFFFF"/>
                      <w:sz w:val="22"/>
                      <w:szCs w:val="22"/>
                    </w:rPr>
                    <w:t>Original: Spanish</w:t>
                  </w:r>
                </w:p>
              </w:txbxContent>
            </v:textbox>
          </v:shape>
        </w:pict>
      </w:r>
      <w:r>
        <w:rPr>
          <w:rFonts w:ascii="Cambria" w:hAnsi="Cambria"/>
          <w:sz w:val="20"/>
          <w:szCs w:val="20"/>
        </w:rPr>
        <w:pict>
          <v:shape id="Text Box 5" o:spid="_x0000_s1030" type="#_x0000_t202" style="position:absolute;left:0;text-align:left;margin-left:106.5pt;margin-top:8.45pt;width:349.7pt;height:171.75pt;z-index:1;visibility:visible" filled="f" stroked="f" strokeweight=".5pt">
            <v:textbox>
              <w:txbxContent>
                <w:p w:rsidR="00444A81" w:rsidRDefault="00444A81" w:rsidP="00DE7D1B">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Cambria"/>
                      <w:b/>
                      <w:bCs/>
                      <w:noProof/>
                      <w:color w:val="0D0D0D"/>
                      <w:sz w:val="36"/>
                      <w:szCs w:val="36"/>
                    </w:rPr>
                  </w:pPr>
                  <w:r>
                    <w:rPr>
                      <w:rFonts w:ascii="Cambria" w:hAnsi="Cambria" w:cs="Cambria"/>
                      <w:b/>
                      <w:bCs/>
                      <w:noProof/>
                      <w:color w:val="0D0D0D"/>
                      <w:sz w:val="36"/>
                      <w:szCs w:val="36"/>
                    </w:rPr>
                    <w:t xml:space="preserve">REPORT No. </w:t>
                  </w:r>
                  <w:r w:rsidR="00556636">
                    <w:rPr>
                      <w:rFonts w:ascii="Cambria" w:hAnsi="Cambria" w:cs="Cambria"/>
                      <w:b/>
                      <w:bCs/>
                      <w:noProof/>
                      <w:color w:val="0D0D0D"/>
                      <w:sz w:val="36"/>
                      <w:szCs w:val="36"/>
                    </w:rPr>
                    <w:t>6</w:t>
                  </w:r>
                  <w:r>
                    <w:rPr>
                      <w:rFonts w:ascii="Cambria" w:hAnsi="Cambria" w:cs="Cambria"/>
                      <w:b/>
                      <w:bCs/>
                      <w:noProof/>
                      <w:color w:val="0D0D0D"/>
                      <w:sz w:val="36"/>
                      <w:szCs w:val="36"/>
                    </w:rPr>
                    <w:t>/15</w:t>
                  </w:r>
                </w:p>
                <w:p w:rsidR="00444A81" w:rsidRDefault="00444A81" w:rsidP="00DE7D1B">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Cambria"/>
                      <w:b/>
                      <w:bCs/>
                      <w:noProof/>
                      <w:color w:val="0D0D0D"/>
                      <w:sz w:val="36"/>
                      <w:szCs w:val="36"/>
                    </w:rPr>
                  </w:pPr>
                  <w:r>
                    <w:rPr>
                      <w:rFonts w:ascii="Cambria" w:hAnsi="Cambria" w:cs="Cambria"/>
                      <w:b/>
                      <w:bCs/>
                      <w:noProof/>
                      <w:color w:val="0D0D0D"/>
                      <w:sz w:val="36"/>
                      <w:szCs w:val="36"/>
                    </w:rPr>
                    <w:t xml:space="preserve">PETITION 518-03 </w:t>
                  </w:r>
                </w:p>
                <w:p w:rsidR="00444A81" w:rsidRDefault="00444A81" w:rsidP="00DE7D1B">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Cambria"/>
                      <w:noProof/>
                      <w:color w:val="0D0D0D"/>
                    </w:rPr>
                  </w:pPr>
                  <w:r>
                    <w:rPr>
                      <w:rFonts w:ascii="Cambria" w:hAnsi="Cambria" w:cs="Cambria"/>
                      <w:noProof/>
                      <w:color w:val="0D0D0D"/>
                    </w:rPr>
                    <w:t>REPORT ON ADMISSIBILITY</w:t>
                  </w:r>
                </w:p>
                <w:p w:rsidR="00444A81" w:rsidRDefault="00444A81" w:rsidP="00DE7D1B">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Cambria"/>
                      <w:noProof/>
                      <w:color w:val="0D0D0D"/>
                    </w:rPr>
                  </w:pPr>
                  <w:bookmarkStart w:id="1" w:name="_ftnref1"/>
                </w:p>
                <w:bookmarkEnd w:id="1"/>
                <w:p w:rsidR="00444A81" w:rsidRDefault="00444A81" w:rsidP="00DE7D1B">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Cambria"/>
                      <w:noProof/>
                      <w:color w:val="0D0D0D"/>
                    </w:rPr>
                  </w:pPr>
                  <w:r>
                    <w:rPr>
                      <w:rFonts w:ascii="Cambria" w:hAnsi="Cambria" w:cs="Cambria"/>
                      <w:noProof/>
                      <w:color w:val="0D0D0D"/>
                    </w:rPr>
                    <w:t xml:space="preserve">JORGE VILLARROEL AND OTHERS </w:t>
                  </w:r>
                </w:p>
                <w:p w:rsidR="00444A81" w:rsidRDefault="00444A81" w:rsidP="00DE7D1B">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Cambria"/>
                      <w:noProof/>
                      <w:color w:val="0D0D0D"/>
                    </w:rPr>
                  </w:pPr>
                  <w:r>
                    <w:rPr>
                      <w:rFonts w:ascii="Cambria" w:hAnsi="Cambria" w:cs="Cambria"/>
                      <w:noProof/>
                      <w:color w:val="0D0D0D"/>
                    </w:rPr>
                    <w:t xml:space="preserve">ECUADOR </w:t>
                  </w:r>
                </w:p>
                <w:p w:rsidR="00444A81" w:rsidRDefault="00444A81" w:rsidP="00DE7D1B">
                  <w:pPr>
                    <w:pBdr>
                      <w:top w:val="none" w:sz="0" w:space="0" w:color="auto"/>
                      <w:left w:val="none" w:sz="0" w:space="0" w:color="auto"/>
                      <w:bottom w:val="none" w:sz="0" w:space="0" w:color="auto"/>
                      <w:right w:val="none" w:sz="0" w:space="0" w:color="auto"/>
                      <w:bar w:val="none" w:sz="0" w:color="auto"/>
                    </w:pBdr>
                    <w:rPr>
                      <w:noProof/>
                      <w:color w:val="0D0D0D"/>
                    </w:rPr>
                  </w:pPr>
                </w:p>
              </w:txbxContent>
            </v:textbox>
          </v:shape>
        </w:pict>
      </w: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0"/>
          <w:szCs w:val="20"/>
        </w:rPr>
      </w:pP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0"/>
          <w:szCs w:val="20"/>
        </w:rPr>
      </w:pP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0"/>
          <w:szCs w:val="20"/>
        </w:rPr>
      </w:pP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0"/>
          <w:szCs w:val="20"/>
        </w:rPr>
      </w:pP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0"/>
          <w:szCs w:val="20"/>
        </w:rPr>
      </w:pP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0"/>
          <w:szCs w:val="20"/>
        </w:rPr>
      </w:pP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0"/>
          <w:szCs w:val="20"/>
        </w:rPr>
      </w:pP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0"/>
          <w:szCs w:val="20"/>
        </w:rPr>
      </w:pP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0"/>
          <w:szCs w:val="20"/>
        </w:rPr>
      </w:pP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0"/>
          <w:szCs w:val="20"/>
        </w:rPr>
      </w:pP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0"/>
          <w:szCs w:val="20"/>
        </w:rPr>
      </w:pP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0"/>
          <w:szCs w:val="20"/>
        </w:rPr>
      </w:pP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0"/>
          <w:szCs w:val="20"/>
        </w:rPr>
      </w:pP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0"/>
          <w:szCs w:val="20"/>
        </w:rPr>
      </w:pP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0"/>
          <w:szCs w:val="20"/>
        </w:rPr>
      </w:pP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0"/>
          <w:szCs w:val="20"/>
        </w:rPr>
      </w:pP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0"/>
          <w:szCs w:val="20"/>
        </w:rPr>
      </w:pP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0"/>
          <w:szCs w:val="20"/>
        </w:rPr>
      </w:pP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0"/>
          <w:szCs w:val="20"/>
        </w:rPr>
      </w:pP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0"/>
          <w:szCs w:val="20"/>
        </w:rPr>
      </w:pP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0"/>
          <w:szCs w:val="20"/>
        </w:rPr>
      </w:pP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0"/>
          <w:szCs w:val="20"/>
        </w:rPr>
      </w:pP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0"/>
          <w:szCs w:val="20"/>
        </w:rPr>
      </w:pP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0"/>
          <w:szCs w:val="20"/>
        </w:rPr>
      </w:pP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0"/>
          <w:szCs w:val="20"/>
        </w:rPr>
      </w:pPr>
    </w:p>
    <w:p w:rsidR="00444A81" w:rsidRPr="008E156C" w:rsidRDefault="00444A81" w:rsidP="005B0925">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cs="Cambria"/>
          <w:sz w:val="20"/>
          <w:szCs w:val="20"/>
        </w:rPr>
      </w:pPr>
    </w:p>
    <w:p w:rsidR="00444A81" w:rsidRPr="008E156C" w:rsidRDefault="008D1750" w:rsidP="00DE7D1B">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0"/>
          <w:szCs w:val="20"/>
        </w:rPr>
      </w:pPr>
      <w:r>
        <w:rPr>
          <w:rFonts w:ascii="Cambria" w:hAnsi="Cambria"/>
          <w:sz w:val="20"/>
          <w:szCs w:val="20"/>
        </w:rPr>
        <w:pict>
          <v:shape id="Text Box 7" o:spid="_x0000_s1031" type="#_x0000_t202" style="position:absolute;left:0;text-align:left;margin-left:105.65pt;margin-top:1.8pt;width:388.5pt;height:52.35pt;z-index:2;visibility:visible" filled="f" stroked="f" strokeweight=".5pt">
            <v:textbox style="mso-next-textbox:#Text Box 7">
              <w:txbxContent>
                <w:p w:rsidR="00444A81" w:rsidRDefault="00444A81" w:rsidP="00DE7D1B">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Calibri"/>
                      <w:noProof/>
                      <w:color w:val="0D0D0D"/>
                      <w:sz w:val="20"/>
                      <w:szCs w:val="20"/>
                    </w:rPr>
                  </w:pPr>
                  <w:r>
                    <w:rPr>
                      <w:rFonts w:ascii="Cambria" w:hAnsi="Cambria" w:cs="Cambria"/>
                      <w:noProof/>
                      <w:color w:val="0D0D0D"/>
                      <w:sz w:val="18"/>
                      <w:szCs w:val="18"/>
                    </w:rPr>
                    <w:t xml:space="preserve">Approved by the Commission on </w:t>
                  </w:r>
                  <w:r w:rsidR="00556636">
                    <w:rPr>
                      <w:rFonts w:ascii="Cambria" w:hAnsi="Cambria" w:cs="Cambria"/>
                      <w:noProof/>
                      <w:color w:val="0D0D0D"/>
                      <w:sz w:val="18"/>
                      <w:szCs w:val="18"/>
                    </w:rPr>
                    <w:t>January 29</w:t>
                  </w:r>
                  <w:r>
                    <w:rPr>
                      <w:rFonts w:ascii="Cambria" w:hAnsi="Cambria" w:cs="Cambria"/>
                      <w:noProof/>
                      <w:color w:val="0D0D0D"/>
                      <w:sz w:val="18"/>
                      <w:szCs w:val="18"/>
                    </w:rPr>
                    <w:t>, 2015</w:t>
                  </w:r>
                  <w:r>
                    <w:rPr>
                      <w:rFonts w:ascii="Cambria" w:hAnsi="Cambria" w:cs="Cambria"/>
                      <w:noProof/>
                      <w:color w:val="0D0D0D"/>
                      <w:sz w:val="18"/>
                      <w:szCs w:val="18"/>
                    </w:rPr>
                    <w:br/>
                  </w:r>
                </w:p>
                <w:p w:rsidR="00444A81" w:rsidRDefault="00444A81" w:rsidP="00DE7D1B">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Calibri"/>
                      <w:noProof/>
                      <w:color w:val="FFFFFF"/>
                      <w:sz w:val="16"/>
                      <w:szCs w:val="16"/>
                    </w:rPr>
                  </w:pPr>
                </w:p>
              </w:txbxContent>
            </v:textbox>
          </v:shape>
        </w:pict>
      </w: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0"/>
          <w:szCs w:val="20"/>
        </w:rPr>
      </w:pP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0"/>
          <w:szCs w:val="20"/>
        </w:rPr>
      </w:pP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0"/>
          <w:szCs w:val="20"/>
        </w:rPr>
      </w:pP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0"/>
          <w:szCs w:val="20"/>
        </w:rPr>
      </w:pPr>
    </w:p>
    <w:p w:rsidR="00444A81" w:rsidRPr="008E156C" w:rsidRDefault="008D1750" w:rsidP="00DE7D1B">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0"/>
          <w:szCs w:val="20"/>
        </w:rPr>
      </w:pPr>
      <w:r>
        <w:rPr>
          <w:rFonts w:ascii="Cambria" w:hAnsi="Cambria"/>
          <w:sz w:val="20"/>
          <w:szCs w:val="20"/>
        </w:rPr>
        <w:pict>
          <v:shape id="Text Box 10" o:spid="_x0000_s1032" type="#_x0000_t202" style="position:absolute;left:0;text-align:left;margin-left:105pt;margin-top:.45pt;width:389.25pt;height:51.75pt;z-index:5;visibility:visible" filled="f" stroked="f" strokeweight=".5pt">
            <v:textbox style="mso-next-textbox:#Text Box 10">
              <w:txbxContent>
                <w:p w:rsidR="00444A81" w:rsidRDefault="00444A81" w:rsidP="00DE7D1B">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Cambria"/>
                      <w:noProof/>
                      <w:color w:val="595959"/>
                      <w:sz w:val="18"/>
                      <w:szCs w:val="18"/>
                    </w:rPr>
                  </w:pPr>
                  <w:r>
                    <w:rPr>
                      <w:rFonts w:ascii="Cambria" w:hAnsi="Cambria" w:cs="Cambria"/>
                      <w:b/>
                      <w:bCs/>
                      <w:noProof/>
                      <w:color w:val="595959"/>
                      <w:sz w:val="18"/>
                      <w:szCs w:val="18"/>
                    </w:rPr>
                    <w:t xml:space="preserve">Cite as: </w:t>
                  </w:r>
                  <w:r>
                    <w:rPr>
                      <w:rFonts w:ascii="Cambria" w:hAnsi="Cambria" w:cs="Cambria"/>
                      <w:noProof/>
                      <w:color w:val="595959"/>
                      <w:sz w:val="18"/>
                      <w:szCs w:val="18"/>
                    </w:rPr>
                    <w:t xml:space="preserve">IACHR, Report No. </w:t>
                  </w:r>
                  <w:r w:rsidR="00556636">
                    <w:rPr>
                      <w:rFonts w:ascii="Cambria" w:hAnsi="Cambria" w:cs="Cambria"/>
                      <w:noProof/>
                      <w:color w:val="595959"/>
                      <w:sz w:val="18"/>
                      <w:szCs w:val="18"/>
                    </w:rPr>
                    <w:t>6/15</w:t>
                  </w:r>
                  <w:r>
                    <w:rPr>
                      <w:rFonts w:ascii="Cambria" w:hAnsi="Cambria" w:cs="Cambria"/>
                      <w:noProof/>
                      <w:color w:val="595959"/>
                      <w:sz w:val="18"/>
                      <w:szCs w:val="18"/>
                    </w:rPr>
                    <w:t>, Petition 518-03. Admissibility. Jorge V</w:t>
                  </w:r>
                  <w:r w:rsidR="00556636">
                    <w:rPr>
                      <w:rFonts w:ascii="Cambria" w:hAnsi="Cambria" w:cs="Cambria"/>
                      <w:noProof/>
                      <w:color w:val="595959"/>
                      <w:sz w:val="18"/>
                      <w:szCs w:val="18"/>
                    </w:rPr>
                    <w:t>illarroel and others. Ecuador. January 29,2015</w:t>
                  </w:r>
                  <w:r>
                    <w:rPr>
                      <w:rFonts w:ascii="Cambria" w:hAnsi="Cambria" w:cs="Cambria"/>
                      <w:noProof/>
                      <w:color w:val="595959"/>
                      <w:sz w:val="18"/>
                      <w:szCs w:val="18"/>
                    </w:rPr>
                    <w:t>.</w:t>
                  </w:r>
                </w:p>
              </w:txbxContent>
            </v:textbox>
          </v:shape>
        </w:pict>
      </w: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sz w:val="20"/>
          <w:szCs w:val="20"/>
        </w:rPr>
      </w:pPr>
    </w:p>
    <w:p w:rsidR="00444A81" w:rsidRPr="008E156C" w:rsidRDefault="008D1750" w:rsidP="00DE7D1B">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b/>
          <w:bCs/>
          <w:sz w:val="20"/>
          <w:szCs w:val="20"/>
        </w:rPr>
      </w:pPr>
      <w:r>
        <w:rPr>
          <w:rFonts w:ascii="Cambria" w:hAnsi="Cambria"/>
          <w:sz w:val="20"/>
          <w:szCs w:val="20"/>
        </w:rPr>
        <w:pict>
          <v:shape id="Text Box 9" o:spid="_x0000_s1033" type="#_x0000_t202" style="position:absolute;left:0;text-align:left;margin-left:104.7pt;margin-top:50.3pt;width:322.55pt;height:44.65pt;z-index:6;visibility:visible" stroked="f" strokeweight=".5pt">
            <v:textbox style="mso-next-textbox:#Text Box 9">
              <w:txbxContent>
                <w:p w:rsidR="00444A81" w:rsidRDefault="008D1750" w:rsidP="00DE7D1B">
                  <w:pPr>
                    <w:pBdr>
                      <w:top w:val="none" w:sz="0" w:space="0" w:color="auto"/>
                      <w:left w:val="none" w:sz="0" w:space="0" w:color="auto"/>
                      <w:bottom w:val="none" w:sz="0" w:space="0" w:color="auto"/>
                      <w:right w:val="none" w:sz="0" w:space="0" w:color="auto"/>
                      <w:bar w:val="none" w:sz="0" w:color="auto"/>
                    </w:pBdr>
                    <w:rPr>
                      <w:noProof/>
                    </w:rPr>
                  </w:pPr>
                  <w:r>
                    <w:rPr>
                      <w:noProof/>
                    </w:rPr>
                    <w:pict>
                      <v:shape id="Picture 4" o:spid="_x0000_i1026" type="#_x0000_t75" style="width:86.4pt;height:28.8pt;visibility:visible">
                        <v:imagedata r:id="rId9" o:title=""/>
                      </v:shape>
                    </w:pict>
                  </w:r>
                </w:p>
              </w:txbxContent>
            </v:textbox>
          </v:shape>
        </w:pict>
      </w:r>
      <w:r>
        <w:rPr>
          <w:rFonts w:ascii="Cambria" w:hAnsi="Cambria"/>
          <w:sz w:val="20"/>
          <w:szCs w:val="20"/>
        </w:rPr>
        <w:pict>
          <v:shape id="Text Box 4" o:spid="_x0000_s1034" type="#_x0000_t202" style="position:absolute;left:0;text-align:left;margin-left:-21.45pt;margin-top:72.05pt;width:93pt;height:26.2pt;z-index:7;visibility:visible" filled="f" stroked="f" strokeweight=".5pt">
            <v:textbox>
              <w:txbxContent>
                <w:p w:rsidR="00444A81" w:rsidRDefault="00444A81" w:rsidP="00DE7D1B">
                  <w:pPr>
                    <w:pBdr>
                      <w:top w:val="none" w:sz="0" w:space="0" w:color="auto"/>
                      <w:left w:val="none" w:sz="0" w:space="0" w:color="auto"/>
                      <w:bottom w:val="none" w:sz="0" w:space="0" w:color="auto"/>
                      <w:right w:val="none" w:sz="0" w:space="0" w:color="auto"/>
                      <w:bar w:val="none" w:sz="0" w:color="auto"/>
                    </w:pBdr>
                    <w:jc w:val="center"/>
                    <w:rPr>
                      <w:rFonts w:ascii="Calibri" w:hAnsi="Calibri" w:cs="Calibri"/>
                      <w:b/>
                      <w:bCs/>
                      <w:noProof/>
                      <w:color w:val="FFFFFF"/>
                    </w:rPr>
                  </w:pPr>
                  <w:r>
                    <w:rPr>
                      <w:rFonts w:ascii="Calibri" w:hAnsi="Calibri" w:cs="Calibri"/>
                      <w:b/>
                      <w:bCs/>
                      <w:noProof/>
                      <w:color w:val="FFFFFF"/>
                    </w:rPr>
                    <w:t>www.cidh.org</w:t>
                  </w:r>
                </w:p>
              </w:txbxContent>
            </v:textbox>
          </v:shape>
        </w:pict>
      </w: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Cambria"/>
          <w:b/>
          <w:bCs/>
          <w:sz w:val="20"/>
          <w:szCs w:val="20"/>
        </w:rPr>
        <w:sectPr w:rsidR="00444A81" w:rsidRPr="008E156C"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rtlGutter/>
          <w:docGrid w:linePitch="326"/>
        </w:sectPr>
      </w:pPr>
    </w:p>
    <w:p w:rsidR="00444A81" w:rsidRPr="008E156C" w:rsidRDefault="00444A81" w:rsidP="00736D7D">
      <w:pPr>
        <w:pBdr>
          <w:top w:val="none" w:sz="0" w:space="0" w:color="auto"/>
          <w:left w:val="none" w:sz="0" w:space="0" w:color="auto"/>
          <w:bottom w:val="none" w:sz="0" w:space="0" w:color="auto"/>
          <w:right w:val="none" w:sz="0" w:space="0" w:color="auto"/>
          <w:bar w:val="none" w:sz="0" w:color="auto"/>
        </w:pBdr>
        <w:suppressAutoHyphens/>
        <w:spacing w:line="276" w:lineRule="auto"/>
        <w:jc w:val="center"/>
        <w:rPr>
          <w:rFonts w:ascii="Cambria" w:hAnsi="Cambria" w:cs="Cambria"/>
          <w:b/>
          <w:bCs/>
          <w:sz w:val="20"/>
          <w:szCs w:val="20"/>
        </w:rPr>
      </w:pPr>
      <w:r w:rsidRPr="008E156C">
        <w:rPr>
          <w:rFonts w:ascii="Cambria" w:hAnsi="Cambria" w:cs="Cambria"/>
          <w:b/>
          <w:bCs/>
          <w:sz w:val="20"/>
          <w:szCs w:val="20"/>
        </w:rPr>
        <w:lastRenderedPageBreak/>
        <w:t xml:space="preserve">REPORT No. </w:t>
      </w:r>
      <w:r w:rsidR="00556636" w:rsidRPr="008E156C">
        <w:rPr>
          <w:rFonts w:ascii="Cambria" w:hAnsi="Cambria" w:cs="Cambria"/>
          <w:b/>
          <w:bCs/>
          <w:sz w:val="20"/>
          <w:szCs w:val="20"/>
        </w:rPr>
        <w:t>6</w:t>
      </w:r>
      <w:r w:rsidRPr="008E156C">
        <w:rPr>
          <w:rFonts w:ascii="Cambria" w:hAnsi="Cambria" w:cs="Cambria"/>
          <w:b/>
          <w:bCs/>
          <w:sz w:val="20"/>
          <w:szCs w:val="20"/>
        </w:rPr>
        <w:t>/15</w:t>
      </w:r>
    </w:p>
    <w:p w:rsidR="00556636" w:rsidRPr="008E156C" w:rsidRDefault="00444A81" w:rsidP="00DE7D1B">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cs="Cambria"/>
          <w:b/>
          <w:bCs/>
          <w:sz w:val="20"/>
          <w:szCs w:val="20"/>
        </w:rPr>
      </w:pPr>
      <w:r w:rsidRPr="008E156C">
        <w:rPr>
          <w:rFonts w:ascii="Cambria" w:hAnsi="Cambria" w:cs="Cambria"/>
          <w:b/>
          <w:bCs/>
          <w:sz w:val="20"/>
          <w:szCs w:val="20"/>
        </w:rPr>
        <w:t>PETITION 518-03</w:t>
      </w: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cs="Cambria"/>
          <w:sz w:val="20"/>
          <w:szCs w:val="20"/>
        </w:rPr>
      </w:pPr>
      <w:r w:rsidRPr="008E156C">
        <w:rPr>
          <w:rFonts w:ascii="Cambria" w:hAnsi="Cambria" w:cs="Cambria"/>
          <w:sz w:val="20"/>
          <w:szCs w:val="20"/>
        </w:rPr>
        <w:t xml:space="preserve">REPORT ON ADMISSIBILITY </w:t>
      </w:r>
    </w:p>
    <w:p w:rsidR="00444A81" w:rsidRPr="008E156C" w:rsidRDefault="00444A81" w:rsidP="00DE7D1B">
      <w:pPr>
        <w:widowControl w:val="0"/>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cs="Cambria"/>
          <w:sz w:val="20"/>
          <w:szCs w:val="20"/>
        </w:rPr>
      </w:pPr>
      <w:r w:rsidRPr="008E156C">
        <w:rPr>
          <w:rFonts w:ascii="Cambria" w:hAnsi="Cambria" w:cs="Cambria"/>
          <w:sz w:val="20"/>
          <w:szCs w:val="20"/>
        </w:rPr>
        <w:t xml:space="preserve">JORGE VILLARROEL AND OTHERS </w:t>
      </w:r>
    </w:p>
    <w:p w:rsidR="00444A81" w:rsidRPr="008E156C" w:rsidRDefault="00444A81" w:rsidP="00DE7D1B">
      <w:pPr>
        <w:widowControl w:val="0"/>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cs="Cambria"/>
          <w:sz w:val="20"/>
          <w:szCs w:val="20"/>
        </w:rPr>
      </w:pPr>
      <w:r w:rsidRPr="008E156C">
        <w:rPr>
          <w:rFonts w:ascii="Cambria" w:hAnsi="Cambria" w:cs="Cambria"/>
          <w:sz w:val="20"/>
          <w:szCs w:val="20"/>
        </w:rPr>
        <w:t xml:space="preserve">ECUADOR </w:t>
      </w:r>
    </w:p>
    <w:p w:rsidR="00444A81" w:rsidRPr="008E156C" w:rsidRDefault="00053D62" w:rsidP="00DE7D1B">
      <w:pPr>
        <w:widowControl w:val="0"/>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cs="Cambria"/>
          <w:sz w:val="20"/>
          <w:szCs w:val="20"/>
        </w:rPr>
      </w:pPr>
      <w:r w:rsidRPr="008E156C">
        <w:rPr>
          <w:rFonts w:ascii="Cambria" w:hAnsi="Cambria" w:cs="Cambria"/>
          <w:sz w:val="20"/>
          <w:szCs w:val="20"/>
        </w:rPr>
        <w:t>JANUARY</w:t>
      </w:r>
      <w:r w:rsidR="00444A81" w:rsidRPr="008E156C">
        <w:rPr>
          <w:rFonts w:ascii="Cambria" w:hAnsi="Cambria" w:cs="Cambria"/>
          <w:sz w:val="20"/>
          <w:szCs w:val="20"/>
        </w:rPr>
        <w:t xml:space="preserve"> </w:t>
      </w:r>
      <w:r w:rsidRPr="008E156C">
        <w:rPr>
          <w:rFonts w:ascii="Cambria" w:hAnsi="Cambria" w:cs="Cambria"/>
          <w:sz w:val="20"/>
          <w:szCs w:val="20"/>
        </w:rPr>
        <w:t>29</w:t>
      </w:r>
      <w:r w:rsidR="00444A81" w:rsidRPr="008E156C">
        <w:rPr>
          <w:rFonts w:ascii="Cambria" w:hAnsi="Cambria" w:cs="Cambria"/>
          <w:sz w:val="20"/>
          <w:szCs w:val="20"/>
        </w:rPr>
        <w:t>, 2015</w:t>
      </w: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rPr>
          <w:rFonts w:ascii="Cambria" w:hAnsi="Cambria" w:cs="Cambria"/>
          <w:sz w:val="20"/>
          <w:szCs w:val="20"/>
        </w:rPr>
      </w:pPr>
    </w:p>
    <w:p w:rsidR="00444A81" w:rsidRPr="008E156C" w:rsidRDefault="00444A81" w:rsidP="00DE7D1B">
      <w:pPr>
        <w:pStyle w:val="Heading1"/>
        <w:numPr>
          <w:ilvl w:val="0"/>
          <w:numId w:val="51"/>
        </w:numPr>
        <w:pBdr>
          <w:top w:val="none" w:sz="0" w:space="0" w:color="auto"/>
          <w:left w:val="none" w:sz="0" w:space="0" w:color="auto"/>
          <w:bottom w:val="none" w:sz="0" w:space="0" w:color="auto"/>
          <w:right w:val="none" w:sz="0" w:space="0" w:color="auto"/>
          <w:bar w:val="none" w:sz="0" w:color="auto"/>
        </w:pBdr>
        <w:rPr>
          <w:color w:val="auto"/>
          <w:lang w:val="en-US"/>
        </w:rPr>
      </w:pPr>
      <w:r w:rsidRPr="008E156C">
        <w:rPr>
          <w:color w:val="auto"/>
          <w:lang w:val="en-US"/>
        </w:rPr>
        <w:t>SUMMARY</w:t>
      </w: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rPr>
          <w:rFonts w:ascii="Cambria" w:hAnsi="Cambria" w:cs="Cambria"/>
          <w:sz w:val="20"/>
          <w:szCs w:val="20"/>
        </w:rPr>
      </w:pPr>
    </w:p>
    <w:p w:rsidR="00444A81" w:rsidRPr="008E156C" w:rsidRDefault="00015D66" w:rsidP="00DE7D1B">
      <w:pPr>
        <w:pStyle w:val="BodyText"/>
        <w:numPr>
          <w:ilvl w:val="0"/>
          <w:numId w:val="53"/>
        </w:numPr>
        <w:pBdr>
          <w:top w:val="none" w:sz="0" w:space="0" w:color="auto"/>
          <w:left w:val="none" w:sz="0" w:space="0" w:color="auto"/>
          <w:bottom w:val="none" w:sz="0" w:space="0" w:color="auto"/>
          <w:right w:val="none" w:sz="0" w:space="0" w:color="auto"/>
          <w:bar w:val="none" w:sz="0" w:color="auto"/>
        </w:pBdr>
        <w:spacing w:after="0"/>
        <w:jc w:val="both"/>
        <w:rPr>
          <w:rFonts w:ascii="Cambria" w:hAnsi="Cambria" w:cs="Cambria"/>
          <w:sz w:val="20"/>
          <w:szCs w:val="20"/>
        </w:rPr>
      </w:pPr>
      <w:r w:rsidRPr="008E156C">
        <w:rPr>
          <w:rFonts w:ascii="Cambria" w:hAnsi="Cambria" w:cs="Cambria"/>
          <w:sz w:val="20"/>
          <w:szCs w:val="20"/>
        </w:rPr>
        <w:t>On July 15, 2003,</w:t>
      </w:r>
      <w:r w:rsidR="00444A81" w:rsidRPr="008E156C">
        <w:rPr>
          <w:rFonts w:ascii="Cambria" w:hAnsi="Cambria" w:cs="Cambria"/>
          <w:sz w:val="20"/>
          <w:szCs w:val="20"/>
        </w:rPr>
        <w:t xml:space="preserve"> the Inter-American Commission on Human Rights (hereinafter </w:t>
      </w:r>
      <w:r w:rsidR="003112BD" w:rsidRPr="008E156C">
        <w:rPr>
          <w:rFonts w:ascii="Cambria" w:hAnsi="Cambria" w:cs="Cambria"/>
          <w:sz w:val="20"/>
          <w:szCs w:val="20"/>
        </w:rPr>
        <w:t>“</w:t>
      </w:r>
      <w:r w:rsidR="00444A81" w:rsidRPr="008E156C">
        <w:rPr>
          <w:rFonts w:ascii="Cambria" w:hAnsi="Cambria" w:cs="Cambria"/>
          <w:sz w:val="20"/>
          <w:szCs w:val="20"/>
        </w:rPr>
        <w:t>the Commission</w:t>
      </w:r>
      <w:r w:rsidR="003112BD" w:rsidRPr="008E156C">
        <w:rPr>
          <w:rFonts w:ascii="Cambria" w:hAnsi="Cambria" w:cs="Cambria"/>
          <w:sz w:val="20"/>
          <w:szCs w:val="20"/>
        </w:rPr>
        <w:t>”</w:t>
      </w:r>
      <w:r w:rsidR="00444A81" w:rsidRPr="008E156C">
        <w:rPr>
          <w:rFonts w:ascii="Cambria" w:hAnsi="Cambria" w:cs="Cambria"/>
          <w:sz w:val="20"/>
          <w:szCs w:val="20"/>
        </w:rPr>
        <w:t xml:space="preserve"> or </w:t>
      </w:r>
      <w:r w:rsidR="003112BD" w:rsidRPr="008E156C">
        <w:rPr>
          <w:rFonts w:ascii="Cambria" w:hAnsi="Cambria" w:cs="Cambria"/>
          <w:sz w:val="20"/>
          <w:szCs w:val="20"/>
        </w:rPr>
        <w:t>“</w:t>
      </w:r>
      <w:r w:rsidR="00444A81" w:rsidRPr="008E156C">
        <w:rPr>
          <w:rFonts w:ascii="Cambria" w:hAnsi="Cambria" w:cs="Cambria"/>
          <w:sz w:val="20"/>
          <w:szCs w:val="20"/>
        </w:rPr>
        <w:t>the IACHR</w:t>
      </w:r>
      <w:r w:rsidR="003112BD" w:rsidRPr="008E156C">
        <w:rPr>
          <w:rFonts w:ascii="Cambria" w:hAnsi="Cambria" w:cs="Cambria"/>
          <w:sz w:val="20"/>
          <w:szCs w:val="20"/>
        </w:rPr>
        <w:t>”</w:t>
      </w:r>
      <w:r w:rsidR="00444A81" w:rsidRPr="008E156C">
        <w:rPr>
          <w:rFonts w:ascii="Cambria" w:hAnsi="Cambria" w:cs="Cambria"/>
          <w:sz w:val="20"/>
          <w:szCs w:val="20"/>
        </w:rPr>
        <w:t>) received a petition</w:t>
      </w:r>
      <w:r w:rsidR="00444A81" w:rsidRPr="008E156C">
        <w:rPr>
          <w:rFonts w:ascii="Cambria" w:hAnsi="Cambria" w:cs="Cambria"/>
          <w:sz w:val="20"/>
          <w:szCs w:val="20"/>
          <w:vertAlign w:val="superscript"/>
        </w:rPr>
        <w:footnoteReference w:id="2"/>
      </w:r>
      <w:r w:rsidR="00444A81" w:rsidRPr="008E156C">
        <w:rPr>
          <w:rFonts w:ascii="Cambria" w:hAnsi="Cambria" w:cs="Cambria"/>
          <w:sz w:val="20"/>
          <w:szCs w:val="20"/>
          <w:vertAlign w:val="superscript"/>
        </w:rPr>
        <w:t xml:space="preserve"> </w:t>
      </w:r>
      <w:r w:rsidR="00444A81" w:rsidRPr="008E156C">
        <w:rPr>
          <w:rFonts w:ascii="Cambria" w:hAnsi="Cambria" w:cs="Cambria"/>
          <w:sz w:val="20"/>
          <w:szCs w:val="20"/>
        </w:rPr>
        <w:t xml:space="preserve">on behalf of several officers of the National Police of Ecuador </w:t>
      </w:r>
      <w:r w:rsidRPr="008E156C">
        <w:rPr>
          <w:rFonts w:ascii="Cambria" w:hAnsi="Cambria" w:cs="Cambria"/>
          <w:sz w:val="20"/>
          <w:szCs w:val="20"/>
        </w:rPr>
        <w:t xml:space="preserve">— </w:t>
      </w:r>
      <w:r w:rsidR="00444A81" w:rsidRPr="008E156C">
        <w:rPr>
          <w:rFonts w:ascii="Cambria" w:hAnsi="Cambria" w:cs="Cambria"/>
          <w:sz w:val="20"/>
          <w:szCs w:val="20"/>
        </w:rPr>
        <w:t xml:space="preserve">Jorge Villarroel Merino, Mario Rommel Cevallos Moreno, Jorge Coloma Gaybor, Fernando López Ortiz, Amílcar Ascazubi Albán, and Patricio Vinuesa Pánchez </w:t>
      </w:r>
      <w:r w:rsidRPr="008E156C">
        <w:rPr>
          <w:rFonts w:ascii="Cambria" w:hAnsi="Cambria" w:cs="Cambria"/>
          <w:sz w:val="20"/>
          <w:szCs w:val="20"/>
        </w:rPr>
        <w:t>—</w:t>
      </w:r>
      <w:r w:rsidR="00444A81" w:rsidRPr="008E156C">
        <w:rPr>
          <w:rFonts w:ascii="Cambria" w:hAnsi="Cambria" w:cs="Cambria"/>
          <w:sz w:val="20"/>
          <w:szCs w:val="20"/>
        </w:rPr>
        <w:t xml:space="preserve"> (hereinafter </w:t>
      </w:r>
      <w:r w:rsidR="003112BD" w:rsidRPr="008E156C">
        <w:rPr>
          <w:rFonts w:ascii="Cambria" w:hAnsi="Cambria" w:cs="Cambria"/>
          <w:sz w:val="20"/>
          <w:szCs w:val="20"/>
        </w:rPr>
        <w:t>“</w:t>
      </w:r>
      <w:r w:rsidR="00444A81" w:rsidRPr="008E156C">
        <w:rPr>
          <w:rFonts w:ascii="Cambria" w:hAnsi="Cambria" w:cs="Cambria"/>
          <w:sz w:val="20"/>
          <w:szCs w:val="20"/>
        </w:rPr>
        <w:t>the alleged victims</w:t>
      </w:r>
      <w:r w:rsidR="003112BD" w:rsidRPr="008E156C">
        <w:rPr>
          <w:rFonts w:ascii="Cambria" w:hAnsi="Cambria" w:cs="Cambria"/>
          <w:sz w:val="20"/>
          <w:szCs w:val="20"/>
        </w:rPr>
        <w:t>”</w:t>
      </w:r>
      <w:r w:rsidR="00444A81" w:rsidRPr="008E156C">
        <w:rPr>
          <w:rFonts w:ascii="Cambria" w:hAnsi="Cambria" w:cs="Cambria"/>
          <w:sz w:val="20"/>
          <w:szCs w:val="20"/>
        </w:rPr>
        <w:t xml:space="preserve">), alleging the responsibility of the Republic of Ecuador (hereinafter </w:t>
      </w:r>
      <w:r w:rsidR="003112BD" w:rsidRPr="008E156C">
        <w:rPr>
          <w:rFonts w:ascii="Cambria" w:hAnsi="Cambria" w:cs="Cambria"/>
          <w:sz w:val="20"/>
          <w:szCs w:val="20"/>
        </w:rPr>
        <w:t>“</w:t>
      </w:r>
      <w:r w:rsidR="00444A81" w:rsidRPr="008E156C">
        <w:rPr>
          <w:rFonts w:ascii="Cambria" w:hAnsi="Cambria" w:cs="Cambria"/>
          <w:sz w:val="20"/>
          <w:szCs w:val="20"/>
        </w:rPr>
        <w:t>the State</w:t>
      </w:r>
      <w:r w:rsidR="003112BD" w:rsidRPr="008E156C">
        <w:rPr>
          <w:rFonts w:ascii="Cambria" w:hAnsi="Cambria" w:cs="Cambria"/>
          <w:sz w:val="20"/>
          <w:szCs w:val="20"/>
        </w:rPr>
        <w:t>”</w:t>
      </w:r>
      <w:r w:rsidR="00444A81" w:rsidRPr="008E156C">
        <w:rPr>
          <w:rFonts w:ascii="Cambria" w:hAnsi="Cambria" w:cs="Cambria"/>
          <w:sz w:val="20"/>
          <w:szCs w:val="20"/>
        </w:rPr>
        <w:t xml:space="preserve"> or </w:t>
      </w:r>
      <w:r w:rsidR="003112BD" w:rsidRPr="008E156C">
        <w:rPr>
          <w:rFonts w:ascii="Cambria" w:hAnsi="Cambria" w:cs="Cambria"/>
          <w:sz w:val="20"/>
          <w:szCs w:val="20"/>
        </w:rPr>
        <w:t>“</w:t>
      </w:r>
      <w:r w:rsidR="00444A81" w:rsidRPr="008E156C">
        <w:rPr>
          <w:rFonts w:ascii="Cambria" w:hAnsi="Cambria" w:cs="Cambria"/>
          <w:sz w:val="20"/>
          <w:szCs w:val="20"/>
        </w:rPr>
        <w:t>Ecuador</w:t>
      </w:r>
      <w:r w:rsidR="003112BD" w:rsidRPr="008E156C">
        <w:rPr>
          <w:rFonts w:ascii="Cambria" w:hAnsi="Cambria" w:cs="Cambria"/>
          <w:sz w:val="20"/>
          <w:szCs w:val="20"/>
        </w:rPr>
        <w:t>”</w:t>
      </w:r>
      <w:r w:rsidR="00444A81" w:rsidRPr="008E156C">
        <w:rPr>
          <w:rFonts w:ascii="Cambria" w:hAnsi="Cambria" w:cs="Cambria"/>
          <w:sz w:val="20"/>
          <w:szCs w:val="20"/>
        </w:rPr>
        <w:t xml:space="preserve">) for the alleged violation of the rights enshrined in Articles 1.1 (obligation to respect rights), 7 (personal liberty), 8 (right to a fair trial), 9 (principle of legality and freedom from </w:t>
      </w:r>
      <w:r w:rsidR="00444A81" w:rsidRPr="008E156C">
        <w:rPr>
          <w:rFonts w:ascii="Cambria" w:hAnsi="Cambria" w:cs="Cambria"/>
          <w:i/>
          <w:sz w:val="20"/>
          <w:szCs w:val="20"/>
        </w:rPr>
        <w:t>ex post facto</w:t>
      </w:r>
      <w:r w:rsidR="00444A81" w:rsidRPr="008E156C">
        <w:rPr>
          <w:rFonts w:ascii="Cambria" w:hAnsi="Cambria" w:cs="Cambria"/>
          <w:sz w:val="20"/>
          <w:szCs w:val="20"/>
        </w:rPr>
        <w:t xml:space="preserve"> laws), 10 (compensation), 11 (privacy), 21 (property), 24 (equal protection), and 25 (judicial protection) of the American Convention on Human Rights (hereinafter </w:t>
      </w:r>
      <w:r w:rsidR="003112BD" w:rsidRPr="008E156C">
        <w:rPr>
          <w:rFonts w:ascii="Cambria" w:hAnsi="Cambria" w:cs="Cambria"/>
          <w:sz w:val="20"/>
          <w:szCs w:val="20"/>
        </w:rPr>
        <w:t>“</w:t>
      </w:r>
      <w:r w:rsidR="00444A81" w:rsidRPr="008E156C">
        <w:rPr>
          <w:rFonts w:ascii="Cambria" w:hAnsi="Cambria" w:cs="Cambria"/>
          <w:sz w:val="20"/>
          <w:szCs w:val="20"/>
        </w:rPr>
        <w:t>the American Convention</w:t>
      </w:r>
      <w:r w:rsidR="003112BD" w:rsidRPr="008E156C">
        <w:rPr>
          <w:rFonts w:ascii="Cambria" w:hAnsi="Cambria" w:cs="Cambria"/>
          <w:sz w:val="20"/>
          <w:szCs w:val="20"/>
        </w:rPr>
        <w:t>”</w:t>
      </w:r>
      <w:r w:rsidR="00444A81" w:rsidRPr="008E156C">
        <w:rPr>
          <w:rFonts w:ascii="Cambria" w:hAnsi="Cambria" w:cs="Cambria"/>
          <w:sz w:val="20"/>
          <w:szCs w:val="20"/>
        </w:rPr>
        <w:t xml:space="preserve"> or </w:t>
      </w:r>
      <w:r w:rsidR="003112BD" w:rsidRPr="008E156C">
        <w:rPr>
          <w:rFonts w:ascii="Cambria" w:hAnsi="Cambria" w:cs="Cambria"/>
          <w:sz w:val="20"/>
          <w:szCs w:val="20"/>
        </w:rPr>
        <w:t>“</w:t>
      </w:r>
      <w:r w:rsidR="00444A81" w:rsidRPr="008E156C">
        <w:rPr>
          <w:rFonts w:ascii="Cambria" w:hAnsi="Cambria" w:cs="Cambria"/>
          <w:sz w:val="20"/>
          <w:szCs w:val="20"/>
        </w:rPr>
        <w:t>the Convention</w:t>
      </w:r>
      <w:r w:rsidR="003112BD" w:rsidRPr="008E156C">
        <w:rPr>
          <w:rFonts w:ascii="Cambria" w:hAnsi="Cambria" w:cs="Cambria"/>
          <w:sz w:val="20"/>
          <w:szCs w:val="20"/>
        </w:rPr>
        <w:t>”</w:t>
      </w:r>
      <w:r w:rsidR="00444A81" w:rsidRPr="008E156C">
        <w:rPr>
          <w:rFonts w:ascii="Cambria" w:hAnsi="Cambria" w:cs="Cambria"/>
          <w:sz w:val="20"/>
          <w:szCs w:val="20"/>
        </w:rPr>
        <w:t xml:space="preserve">) and </w:t>
      </w:r>
      <w:r w:rsidRPr="008E156C">
        <w:rPr>
          <w:rFonts w:ascii="Cambria" w:hAnsi="Cambria" w:cs="Cambria"/>
          <w:sz w:val="20"/>
          <w:szCs w:val="20"/>
        </w:rPr>
        <w:t xml:space="preserve">in </w:t>
      </w:r>
      <w:r w:rsidR="00444A81" w:rsidRPr="008E156C">
        <w:rPr>
          <w:rFonts w:ascii="Cambria" w:hAnsi="Cambria" w:cs="Cambria"/>
          <w:sz w:val="20"/>
          <w:szCs w:val="20"/>
        </w:rPr>
        <w:t xml:space="preserve">Articles I (life, liberty, and personal security), II (equality before the law), XVIII (fair trial), XXV (protection against arbitrary arrest), and XXVI (due process of law) of the American Declaration of the Rights and Duties of Man (hereinafter </w:t>
      </w:r>
      <w:r w:rsidR="003112BD" w:rsidRPr="008E156C">
        <w:rPr>
          <w:rFonts w:ascii="Cambria" w:hAnsi="Cambria" w:cs="Cambria"/>
          <w:sz w:val="20"/>
          <w:szCs w:val="20"/>
        </w:rPr>
        <w:t>“</w:t>
      </w:r>
      <w:r w:rsidR="00444A81" w:rsidRPr="008E156C">
        <w:rPr>
          <w:rFonts w:ascii="Cambria" w:hAnsi="Cambria" w:cs="Cambria"/>
          <w:sz w:val="20"/>
          <w:szCs w:val="20"/>
        </w:rPr>
        <w:t>the Declaration</w:t>
      </w:r>
      <w:r w:rsidR="003112BD" w:rsidRPr="008E156C">
        <w:rPr>
          <w:rFonts w:ascii="Cambria" w:hAnsi="Cambria" w:cs="Cambria"/>
          <w:sz w:val="20"/>
          <w:szCs w:val="20"/>
        </w:rPr>
        <w:t>”</w:t>
      </w:r>
      <w:r w:rsidR="00444A81" w:rsidRPr="008E156C">
        <w:rPr>
          <w:rFonts w:ascii="Cambria" w:hAnsi="Cambria" w:cs="Cambria"/>
          <w:sz w:val="20"/>
          <w:szCs w:val="20"/>
        </w:rPr>
        <w:t>) in criminal proceedings for the offense of embezzlement brought against the alleged victims.</w:t>
      </w:r>
    </w:p>
    <w:p w:rsidR="00444A81" w:rsidRPr="008E156C" w:rsidRDefault="00444A81" w:rsidP="00DE7D1B">
      <w:pPr>
        <w:pStyle w:val="BodyText"/>
        <w:pBdr>
          <w:top w:val="none" w:sz="0" w:space="0" w:color="auto"/>
          <w:left w:val="none" w:sz="0" w:space="0" w:color="auto"/>
          <w:bottom w:val="none" w:sz="0" w:space="0" w:color="auto"/>
          <w:right w:val="none" w:sz="0" w:space="0" w:color="auto"/>
          <w:bar w:val="none" w:sz="0" w:color="auto"/>
        </w:pBdr>
        <w:spacing w:after="0"/>
        <w:jc w:val="both"/>
        <w:rPr>
          <w:rFonts w:ascii="Cambria" w:hAnsi="Cambria" w:cs="Cambria"/>
          <w:sz w:val="20"/>
          <w:szCs w:val="20"/>
        </w:rPr>
      </w:pPr>
    </w:p>
    <w:p w:rsidR="00444A81" w:rsidRPr="008E156C" w:rsidRDefault="00444A81" w:rsidP="00DE7D1B">
      <w:pPr>
        <w:pStyle w:val="BodyText"/>
        <w:numPr>
          <w:ilvl w:val="0"/>
          <w:numId w:val="53"/>
        </w:numPr>
        <w:pBdr>
          <w:top w:val="none" w:sz="0" w:space="0" w:color="auto"/>
          <w:left w:val="none" w:sz="0" w:space="0" w:color="auto"/>
          <w:bottom w:val="none" w:sz="0" w:space="0" w:color="auto"/>
          <w:right w:val="none" w:sz="0" w:space="0" w:color="auto"/>
          <w:bar w:val="none" w:sz="0" w:color="auto"/>
        </w:pBdr>
        <w:spacing w:after="0"/>
        <w:jc w:val="both"/>
        <w:rPr>
          <w:rFonts w:ascii="Cambria" w:hAnsi="Cambria" w:cs="Cambria"/>
          <w:sz w:val="20"/>
          <w:szCs w:val="20"/>
        </w:rPr>
      </w:pPr>
      <w:r w:rsidRPr="008E156C">
        <w:rPr>
          <w:rFonts w:ascii="Cambria" w:hAnsi="Cambria" w:cs="Cambria"/>
          <w:sz w:val="20"/>
          <w:szCs w:val="20"/>
        </w:rPr>
        <w:t xml:space="preserve">In turn, the State </w:t>
      </w:r>
      <w:r w:rsidR="001C76BC" w:rsidRPr="008E156C">
        <w:rPr>
          <w:rFonts w:ascii="Cambria" w:hAnsi="Cambria" w:cs="Cambria"/>
          <w:sz w:val="20"/>
          <w:szCs w:val="20"/>
        </w:rPr>
        <w:t>contends</w:t>
      </w:r>
      <w:r w:rsidRPr="008E156C">
        <w:rPr>
          <w:rFonts w:ascii="Cambria" w:hAnsi="Cambria" w:cs="Cambria"/>
          <w:sz w:val="20"/>
          <w:szCs w:val="20"/>
        </w:rPr>
        <w:t xml:space="preserve"> that the claim is inadmissible because domestic remedies were not exhausted, in that the petition was lodged prior to the conclusion of the work of the domestic </w:t>
      </w:r>
      <w:r w:rsidR="00D53EE7" w:rsidRPr="008E156C">
        <w:rPr>
          <w:rFonts w:ascii="Cambria" w:hAnsi="Cambria" w:cs="Cambria"/>
          <w:sz w:val="20"/>
          <w:szCs w:val="20"/>
        </w:rPr>
        <w:t>courts</w:t>
      </w:r>
      <w:r w:rsidRPr="008E156C">
        <w:rPr>
          <w:rFonts w:ascii="Cambria" w:hAnsi="Cambria" w:cs="Cambria"/>
          <w:sz w:val="20"/>
          <w:szCs w:val="20"/>
        </w:rPr>
        <w:t>. It further contends that the petition does not describe facts tending to establish violations of the rights enshrined in the Convention and that the judicial remedies brought during the criminal trial were effective, in that they concluded with the alleged victims</w:t>
      </w:r>
      <w:r w:rsidR="003112BD" w:rsidRPr="008E156C">
        <w:rPr>
          <w:rFonts w:ascii="Cambria" w:hAnsi="Cambria" w:cs="Cambria"/>
          <w:sz w:val="20"/>
          <w:szCs w:val="20"/>
        </w:rPr>
        <w:t>’</w:t>
      </w:r>
      <w:r w:rsidRPr="008E156C">
        <w:rPr>
          <w:rFonts w:ascii="Cambria" w:hAnsi="Cambria" w:cs="Cambria"/>
          <w:sz w:val="20"/>
          <w:szCs w:val="20"/>
        </w:rPr>
        <w:t xml:space="preserve"> acquittal. </w:t>
      </w:r>
    </w:p>
    <w:p w:rsidR="00444A81" w:rsidRPr="008E156C" w:rsidRDefault="00444A81" w:rsidP="00DE7D1B">
      <w:pPr>
        <w:pStyle w:val="BodyText"/>
        <w:pBdr>
          <w:top w:val="none" w:sz="0" w:space="0" w:color="auto"/>
          <w:left w:val="none" w:sz="0" w:space="0" w:color="auto"/>
          <w:bottom w:val="none" w:sz="0" w:space="0" w:color="auto"/>
          <w:right w:val="none" w:sz="0" w:space="0" w:color="auto"/>
          <w:bar w:val="none" w:sz="0" w:color="auto"/>
        </w:pBdr>
        <w:spacing w:after="0"/>
        <w:jc w:val="both"/>
        <w:rPr>
          <w:rFonts w:ascii="Cambria" w:hAnsi="Cambria" w:cs="Cambria"/>
          <w:sz w:val="20"/>
          <w:szCs w:val="20"/>
        </w:rPr>
      </w:pPr>
    </w:p>
    <w:p w:rsidR="00444A81" w:rsidRPr="008E156C" w:rsidRDefault="00444A81" w:rsidP="00444A81">
      <w:pPr>
        <w:pStyle w:val="BodyText"/>
        <w:numPr>
          <w:ilvl w:val="0"/>
          <w:numId w:val="53"/>
        </w:numPr>
        <w:pBdr>
          <w:top w:val="none" w:sz="0" w:space="0" w:color="auto"/>
          <w:left w:val="none" w:sz="0" w:space="0" w:color="auto"/>
          <w:bottom w:val="none" w:sz="0" w:space="0" w:color="auto"/>
          <w:right w:val="none" w:sz="0" w:space="0" w:color="auto"/>
          <w:bar w:val="none" w:sz="0" w:color="auto"/>
        </w:pBdr>
        <w:tabs>
          <w:tab w:val="clear" w:pos="720"/>
        </w:tabs>
        <w:spacing w:after="0"/>
        <w:jc w:val="both"/>
        <w:rPr>
          <w:rFonts w:ascii="Cambria" w:hAnsi="Cambria" w:cs="Cambria"/>
          <w:sz w:val="20"/>
          <w:szCs w:val="20"/>
        </w:rPr>
      </w:pPr>
      <w:r w:rsidRPr="008E156C">
        <w:rPr>
          <w:rFonts w:ascii="Cambria" w:hAnsi="Cambria" w:cs="Cambria"/>
          <w:sz w:val="20"/>
          <w:szCs w:val="20"/>
        </w:rPr>
        <w:t>After analyzing the positions of the parties and in accordance with the requirements set forth in Articles 46 and 47 of the Convention</w:t>
      </w:r>
      <w:r w:rsidR="00D53EE7" w:rsidRPr="008E156C">
        <w:rPr>
          <w:rFonts w:ascii="Cambria" w:hAnsi="Cambria" w:cs="Cambria"/>
          <w:sz w:val="20"/>
          <w:szCs w:val="20"/>
        </w:rPr>
        <w:t>, the IACHR decides</w:t>
      </w:r>
      <w:r w:rsidRPr="008E156C">
        <w:rPr>
          <w:rFonts w:ascii="Cambria" w:hAnsi="Cambria" w:cs="Cambria"/>
          <w:sz w:val="20"/>
          <w:szCs w:val="20"/>
        </w:rPr>
        <w:t xml:space="preserve"> to </w:t>
      </w:r>
      <w:r w:rsidR="00D53EE7" w:rsidRPr="008E156C">
        <w:rPr>
          <w:rFonts w:ascii="Cambria" w:hAnsi="Cambria" w:cs="Cambria"/>
          <w:sz w:val="20"/>
          <w:szCs w:val="20"/>
        </w:rPr>
        <w:t xml:space="preserve">admit </w:t>
      </w:r>
      <w:r w:rsidRPr="008E156C">
        <w:rPr>
          <w:rFonts w:ascii="Cambria" w:hAnsi="Cambria" w:cs="Cambria"/>
          <w:sz w:val="20"/>
          <w:szCs w:val="20"/>
        </w:rPr>
        <w:t>the claims related to the alleged violation of Articles 7, 8, 9, and 25 of the Convention, in conjunction with Article 1.1 thereof. Similarly, it rule</w:t>
      </w:r>
      <w:r w:rsidR="00D53EE7" w:rsidRPr="008E156C">
        <w:rPr>
          <w:rFonts w:ascii="Cambria" w:hAnsi="Cambria" w:cs="Cambria"/>
          <w:sz w:val="20"/>
          <w:szCs w:val="20"/>
        </w:rPr>
        <w:t>s</w:t>
      </w:r>
      <w:r w:rsidRPr="008E156C">
        <w:rPr>
          <w:rFonts w:ascii="Cambria" w:hAnsi="Cambria" w:cs="Cambria"/>
          <w:sz w:val="20"/>
          <w:szCs w:val="20"/>
        </w:rPr>
        <w:t xml:space="preserve"> the petition inadmissible as regards Articles 10, 11, 21, and 24 of the Convention and Articles I, II, XVIII, XXV, and XXVI of the Declaration. Finally, the IACHR resolve</w:t>
      </w:r>
      <w:r w:rsidR="00D53EE7" w:rsidRPr="008E156C">
        <w:rPr>
          <w:rFonts w:ascii="Cambria" w:hAnsi="Cambria" w:cs="Cambria"/>
          <w:sz w:val="20"/>
          <w:szCs w:val="20"/>
        </w:rPr>
        <w:t>s</w:t>
      </w:r>
      <w:r w:rsidRPr="008E156C">
        <w:rPr>
          <w:rFonts w:ascii="Cambria" w:hAnsi="Cambria" w:cs="Cambria"/>
          <w:sz w:val="20"/>
          <w:szCs w:val="20"/>
        </w:rPr>
        <w:t xml:space="preserve"> to notify the parties of this report and to order its publication in its Annual Report to the OAS General Assembly.</w:t>
      </w: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rPr>
          <w:rFonts w:ascii="Cambria" w:hAnsi="Cambria" w:cs="Cambria"/>
          <w:sz w:val="20"/>
          <w:szCs w:val="20"/>
        </w:rPr>
      </w:pPr>
    </w:p>
    <w:p w:rsidR="00444A81" w:rsidRPr="008E156C" w:rsidRDefault="00444A81" w:rsidP="00DE7D1B">
      <w:pPr>
        <w:pStyle w:val="Heading1"/>
        <w:numPr>
          <w:ilvl w:val="0"/>
          <w:numId w:val="51"/>
        </w:numPr>
        <w:pBdr>
          <w:top w:val="none" w:sz="0" w:space="0" w:color="auto"/>
          <w:left w:val="none" w:sz="0" w:space="0" w:color="auto"/>
          <w:bottom w:val="none" w:sz="0" w:space="0" w:color="auto"/>
          <w:right w:val="none" w:sz="0" w:space="0" w:color="auto"/>
          <w:bar w:val="none" w:sz="0" w:color="auto"/>
        </w:pBdr>
        <w:rPr>
          <w:color w:val="auto"/>
          <w:lang w:val="en-US"/>
        </w:rPr>
      </w:pPr>
      <w:r w:rsidRPr="008E156C">
        <w:rPr>
          <w:color w:val="auto"/>
          <w:lang w:val="en-US"/>
        </w:rPr>
        <w:t>PROCESSING BY THE IACHR</w:t>
      </w: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rPr>
          <w:rFonts w:ascii="Cambria" w:hAnsi="Cambria" w:cs="Cambria"/>
          <w:sz w:val="20"/>
          <w:szCs w:val="20"/>
        </w:rPr>
      </w:pPr>
    </w:p>
    <w:p w:rsidR="00444A81" w:rsidRPr="008E156C" w:rsidRDefault="00444A81" w:rsidP="00444A81">
      <w:pPr>
        <w:pStyle w:val="BodyText"/>
        <w:numPr>
          <w:ilvl w:val="0"/>
          <w:numId w:val="53"/>
        </w:numPr>
        <w:pBdr>
          <w:top w:val="none" w:sz="0" w:space="0" w:color="auto"/>
          <w:left w:val="none" w:sz="0" w:space="0" w:color="auto"/>
          <w:bottom w:val="none" w:sz="0" w:space="0" w:color="auto"/>
          <w:right w:val="none" w:sz="0" w:space="0" w:color="auto"/>
          <w:bar w:val="none" w:sz="0" w:color="auto"/>
        </w:pBdr>
        <w:tabs>
          <w:tab w:val="clear" w:pos="720"/>
        </w:tabs>
        <w:spacing w:after="0"/>
        <w:jc w:val="both"/>
        <w:rPr>
          <w:rFonts w:ascii="Cambria" w:hAnsi="Cambria" w:cs="Cambria"/>
          <w:sz w:val="20"/>
          <w:szCs w:val="20"/>
        </w:rPr>
      </w:pPr>
      <w:r w:rsidRPr="008E156C">
        <w:rPr>
          <w:rFonts w:ascii="Cambria" w:hAnsi="Cambria" w:cs="Cambria"/>
          <w:sz w:val="20"/>
          <w:szCs w:val="20"/>
        </w:rPr>
        <w:t xml:space="preserve">The Commission received the petition on July 15, 2003, </w:t>
      </w:r>
      <w:r w:rsidR="00E71A73" w:rsidRPr="008E156C">
        <w:rPr>
          <w:rFonts w:ascii="Cambria" w:hAnsi="Cambria" w:cs="Cambria"/>
          <w:sz w:val="20"/>
          <w:szCs w:val="20"/>
        </w:rPr>
        <w:t xml:space="preserve">and </w:t>
      </w:r>
      <w:r w:rsidRPr="008E156C">
        <w:rPr>
          <w:rFonts w:ascii="Cambria" w:hAnsi="Cambria" w:cs="Cambria"/>
          <w:sz w:val="20"/>
          <w:szCs w:val="20"/>
        </w:rPr>
        <w:t xml:space="preserve">additional information on the following July 21. As part of its preliminary analysis, it asked the petitioner for information on May 18, 2004. The petitioner submitted additional information on May 21 and 24, June 7, and November 12, 2004, and on March 10, 2005. The IACHR forwarded the relevant parts of the petition to the State on July 29, 2005. </w:t>
      </w:r>
    </w:p>
    <w:p w:rsidR="00444A81" w:rsidRPr="008E156C" w:rsidRDefault="00444A81" w:rsidP="00DE7D1B">
      <w:pPr>
        <w:pStyle w:val="ListParagraph"/>
        <w:pBdr>
          <w:top w:val="none" w:sz="0" w:space="0" w:color="auto"/>
          <w:left w:val="none" w:sz="0" w:space="0" w:color="auto"/>
          <w:bottom w:val="none" w:sz="0" w:space="0" w:color="auto"/>
          <w:right w:val="none" w:sz="0" w:space="0" w:color="auto"/>
          <w:bar w:val="none" w:sz="0" w:color="auto"/>
        </w:pBdr>
        <w:rPr>
          <w:rFonts w:cs="Times New Roman"/>
          <w:color w:val="auto"/>
          <w:sz w:val="20"/>
          <w:szCs w:val="20"/>
        </w:rPr>
      </w:pPr>
    </w:p>
    <w:p w:rsidR="00444A81" w:rsidRPr="008E156C" w:rsidRDefault="00444A81" w:rsidP="00444A81">
      <w:pPr>
        <w:pStyle w:val="BodyText"/>
        <w:numPr>
          <w:ilvl w:val="0"/>
          <w:numId w:val="53"/>
        </w:numPr>
        <w:pBdr>
          <w:top w:val="none" w:sz="0" w:space="0" w:color="auto"/>
          <w:left w:val="none" w:sz="0" w:space="0" w:color="auto"/>
          <w:bottom w:val="none" w:sz="0" w:space="0" w:color="auto"/>
          <w:right w:val="none" w:sz="0" w:space="0" w:color="auto"/>
          <w:bar w:val="none" w:sz="0" w:color="auto"/>
        </w:pBdr>
        <w:tabs>
          <w:tab w:val="clear" w:pos="720"/>
        </w:tabs>
        <w:spacing w:after="0"/>
        <w:jc w:val="both"/>
        <w:rPr>
          <w:rFonts w:ascii="Cambria" w:hAnsi="Cambria" w:cs="Cambria"/>
          <w:sz w:val="20"/>
          <w:szCs w:val="20"/>
        </w:rPr>
      </w:pPr>
      <w:r w:rsidRPr="008E156C">
        <w:rPr>
          <w:rFonts w:ascii="Cambria" w:hAnsi="Cambria" w:cs="Cambria"/>
          <w:sz w:val="20"/>
          <w:szCs w:val="20"/>
        </w:rPr>
        <w:t xml:space="preserve">The petitioner submitted additional information on November 9 and 21, 2005, </w:t>
      </w:r>
      <w:r w:rsidR="00E71A73" w:rsidRPr="008E156C">
        <w:rPr>
          <w:rFonts w:ascii="Cambria" w:hAnsi="Cambria" w:cs="Cambria"/>
          <w:sz w:val="20"/>
          <w:szCs w:val="20"/>
        </w:rPr>
        <w:t xml:space="preserve">which </w:t>
      </w:r>
      <w:r w:rsidRPr="008E156C">
        <w:rPr>
          <w:rFonts w:ascii="Cambria" w:hAnsi="Cambria" w:cs="Cambria"/>
          <w:sz w:val="20"/>
          <w:szCs w:val="20"/>
        </w:rPr>
        <w:t xml:space="preserve">was conveyed to the State on December 19, 2005. On January 9, 2006, Ecuador submitted comments. The petitioner sent additional information on January 8, February 28, and March 14, 2007, which was conveyed to the State for its comments on March 29 of that year. Given the lack of any response, the request for the State to comment was made again on November 15, 2007. On October 7, 2008, the petitioner submitted additional information; this was conveyed to the State on October 29, 2008, along with a fresh request for it to present the comments pending since March 29, 2007. </w:t>
      </w:r>
    </w:p>
    <w:p w:rsidR="00444A81" w:rsidRPr="008E156C" w:rsidRDefault="00444A81" w:rsidP="00DE7D1B">
      <w:pPr>
        <w:pStyle w:val="ListParagraph"/>
        <w:pBdr>
          <w:top w:val="none" w:sz="0" w:space="0" w:color="auto"/>
          <w:left w:val="none" w:sz="0" w:space="0" w:color="auto"/>
          <w:bottom w:val="none" w:sz="0" w:space="0" w:color="auto"/>
          <w:right w:val="none" w:sz="0" w:space="0" w:color="auto"/>
          <w:bar w:val="none" w:sz="0" w:color="auto"/>
        </w:pBdr>
        <w:rPr>
          <w:rFonts w:cs="Times New Roman"/>
          <w:color w:val="auto"/>
          <w:sz w:val="20"/>
          <w:szCs w:val="20"/>
        </w:rPr>
      </w:pPr>
    </w:p>
    <w:p w:rsidR="00444A81" w:rsidRPr="008E156C" w:rsidRDefault="00444A81" w:rsidP="00444A81">
      <w:pPr>
        <w:pStyle w:val="BodyText"/>
        <w:numPr>
          <w:ilvl w:val="0"/>
          <w:numId w:val="53"/>
        </w:numPr>
        <w:pBdr>
          <w:top w:val="none" w:sz="0" w:space="0" w:color="auto"/>
          <w:left w:val="none" w:sz="0" w:space="0" w:color="auto"/>
          <w:bottom w:val="none" w:sz="0" w:space="0" w:color="auto"/>
          <w:right w:val="none" w:sz="0" w:space="0" w:color="auto"/>
          <w:bar w:val="none" w:sz="0" w:color="auto"/>
        </w:pBdr>
        <w:tabs>
          <w:tab w:val="clear" w:pos="720"/>
        </w:tabs>
        <w:spacing w:after="0"/>
        <w:jc w:val="both"/>
        <w:rPr>
          <w:rFonts w:ascii="Cambria" w:hAnsi="Cambria" w:cs="Cambria"/>
          <w:sz w:val="20"/>
          <w:szCs w:val="20"/>
        </w:rPr>
      </w:pPr>
      <w:r w:rsidRPr="008E156C">
        <w:rPr>
          <w:rFonts w:ascii="Cambria" w:hAnsi="Cambria" w:cs="Cambria"/>
          <w:sz w:val="20"/>
          <w:szCs w:val="20"/>
        </w:rPr>
        <w:lastRenderedPageBreak/>
        <w:t>On November 13, 2012, the alleged victims appointed a new representative, Mr. Marcelo Dueñas Veloz. That information was conveyed to the State on November 19, with a request for its comments and a reiteration of the request for the comments</w:t>
      </w:r>
      <w:r w:rsidR="00E71A73" w:rsidRPr="008E156C">
        <w:rPr>
          <w:rFonts w:ascii="Cambria" w:hAnsi="Cambria" w:cs="Cambria"/>
          <w:sz w:val="20"/>
          <w:szCs w:val="20"/>
        </w:rPr>
        <w:t xml:space="preserve"> still pending</w:t>
      </w:r>
      <w:r w:rsidRPr="008E156C">
        <w:rPr>
          <w:rFonts w:ascii="Cambria" w:hAnsi="Cambria" w:cs="Cambria"/>
          <w:sz w:val="20"/>
          <w:szCs w:val="20"/>
        </w:rPr>
        <w:t xml:space="preserve">. On February 5, 2013, the petitioner submitted information. On February 22, 2013, the IACHR forwarded </w:t>
      </w:r>
      <w:r w:rsidR="00E71A73" w:rsidRPr="008E156C">
        <w:rPr>
          <w:rFonts w:ascii="Cambria" w:hAnsi="Cambria" w:cs="Cambria"/>
          <w:sz w:val="20"/>
          <w:szCs w:val="20"/>
        </w:rPr>
        <w:t xml:space="preserve">that information </w:t>
      </w:r>
      <w:r w:rsidRPr="008E156C">
        <w:rPr>
          <w:rFonts w:ascii="Cambria" w:hAnsi="Cambria" w:cs="Cambria"/>
          <w:sz w:val="20"/>
          <w:szCs w:val="20"/>
        </w:rPr>
        <w:t xml:space="preserve">to the State and </w:t>
      </w:r>
      <w:r w:rsidR="00E71A73" w:rsidRPr="008E156C">
        <w:rPr>
          <w:rFonts w:ascii="Cambria" w:hAnsi="Cambria" w:cs="Cambria"/>
          <w:sz w:val="20"/>
          <w:szCs w:val="20"/>
        </w:rPr>
        <w:t xml:space="preserve">asked it for </w:t>
      </w:r>
      <w:r w:rsidRPr="008E156C">
        <w:rPr>
          <w:rFonts w:ascii="Cambria" w:hAnsi="Cambria" w:cs="Cambria"/>
          <w:sz w:val="20"/>
          <w:szCs w:val="20"/>
        </w:rPr>
        <w:t xml:space="preserve">its comments. On March 4, 2013, the State asked for a copy of the case file and an extension of the deadline for responding to the request. On March 11, 2013, the IACHR sent a copy of the case file to the State, with a deadline of one additional month in which to respond. The petitioner submitted information on April 29 and </w:t>
      </w:r>
      <w:r w:rsidR="00E71A73" w:rsidRPr="008E156C">
        <w:rPr>
          <w:rFonts w:ascii="Cambria" w:hAnsi="Cambria" w:cs="Cambria"/>
          <w:sz w:val="20"/>
          <w:szCs w:val="20"/>
        </w:rPr>
        <w:t xml:space="preserve">on </w:t>
      </w:r>
      <w:r w:rsidRPr="008E156C">
        <w:rPr>
          <w:rFonts w:ascii="Cambria" w:hAnsi="Cambria" w:cs="Cambria"/>
          <w:sz w:val="20"/>
          <w:szCs w:val="20"/>
        </w:rPr>
        <w:t>July 24 and 26, 2013. On August 8, 2013, the State presented its comments, which were forwarded to the petitioner on August 19. On August 15, 2013, the IACHR sent the petitioner</w:t>
      </w:r>
      <w:r w:rsidR="003112BD" w:rsidRPr="008E156C">
        <w:rPr>
          <w:rFonts w:ascii="Cambria" w:hAnsi="Cambria" w:cs="Cambria"/>
          <w:sz w:val="20"/>
          <w:szCs w:val="20"/>
        </w:rPr>
        <w:t>’</w:t>
      </w:r>
      <w:r w:rsidRPr="008E156C">
        <w:rPr>
          <w:rFonts w:ascii="Cambria" w:hAnsi="Cambria" w:cs="Cambria"/>
          <w:sz w:val="20"/>
          <w:szCs w:val="20"/>
        </w:rPr>
        <w:t>s communications to the State.</w:t>
      </w:r>
    </w:p>
    <w:p w:rsidR="00444A81" w:rsidRPr="008E156C" w:rsidRDefault="00444A81" w:rsidP="00DE7D1B">
      <w:pPr>
        <w:pStyle w:val="ListParagraph"/>
        <w:pBdr>
          <w:top w:val="none" w:sz="0" w:space="0" w:color="auto"/>
          <w:left w:val="none" w:sz="0" w:space="0" w:color="auto"/>
          <w:bottom w:val="none" w:sz="0" w:space="0" w:color="auto"/>
          <w:right w:val="none" w:sz="0" w:space="0" w:color="auto"/>
          <w:bar w:val="none" w:sz="0" w:color="auto"/>
        </w:pBdr>
        <w:rPr>
          <w:rFonts w:cs="Times New Roman"/>
          <w:color w:val="auto"/>
          <w:sz w:val="20"/>
          <w:szCs w:val="20"/>
        </w:rPr>
      </w:pPr>
    </w:p>
    <w:p w:rsidR="00444A81" w:rsidRPr="008E156C" w:rsidRDefault="00444A81" w:rsidP="00444A81">
      <w:pPr>
        <w:pStyle w:val="BodyText"/>
        <w:numPr>
          <w:ilvl w:val="0"/>
          <w:numId w:val="53"/>
        </w:numPr>
        <w:pBdr>
          <w:top w:val="none" w:sz="0" w:space="0" w:color="auto"/>
          <w:left w:val="none" w:sz="0" w:space="0" w:color="auto"/>
          <w:bottom w:val="none" w:sz="0" w:space="0" w:color="auto"/>
          <w:right w:val="none" w:sz="0" w:space="0" w:color="auto"/>
          <w:bar w:val="none" w:sz="0" w:color="auto"/>
        </w:pBdr>
        <w:tabs>
          <w:tab w:val="clear" w:pos="720"/>
        </w:tabs>
        <w:spacing w:after="0"/>
        <w:jc w:val="both"/>
        <w:rPr>
          <w:rFonts w:ascii="Cambria" w:hAnsi="Cambria" w:cs="Cambria"/>
          <w:sz w:val="20"/>
          <w:szCs w:val="20"/>
        </w:rPr>
      </w:pPr>
      <w:r w:rsidRPr="008E156C">
        <w:rPr>
          <w:rFonts w:ascii="Cambria" w:hAnsi="Cambria" w:cs="Cambria"/>
          <w:sz w:val="20"/>
          <w:szCs w:val="20"/>
        </w:rPr>
        <w:t>The petitioner submitted comments on September 17 and 26, 2013, which were conveyed to the State on September 27, 2013. Also on September 27, the IACHR sent the petitioner the State</w:t>
      </w:r>
      <w:r w:rsidR="003112BD" w:rsidRPr="008E156C">
        <w:rPr>
          <w:rFonts w:ascii="Cambria" w:hAnsi="Cambria" w:cs="Cambria"/>
          <w:sz w:val="20"/>
          <w:szCs w:val="20"/>
        </w:rPr>
        <w:t>’</w:t>
      </w:r>
      <w:r w:rsidRPr="008E156C">
        <w:rPr>
          <w:rFonts w:ascii="Cambria" w:hAnsi="Cambria" w:cs="Cambria"/>
          <w:sz w:val="20"/>
          <w:szCs w:val="20"/>
        </w:rPr>
        <w:t>s reply of January 9, 2006, since the record failed to indicate that it had been forwarded at that time. The State sent additional information on October 21, 2013, which was forwarded to the petitioner on October 23 and to which the petitioner replied on November 1, 2013. That communication was forwarded to the State on November 14. On February 28, 2014, the petitioner asked the IACHR to rule on the merits of the matter and, on March 18, 2014, the State presented comments, which were forwarded to petitioner on May 2, 2014. The petitioners presented additional information on December 11, 2014.</w:t>
      </w: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rPr>
          <w:rFonts w:ascii="Cambria" w:hAnsi="Cambria" w:cs="Cambria"/>
          <w:sz w:val="20"/>
          <w:szCs w:val="20"/>
        </w:rPr>
      </w:pPr>
    </w:p>
    <w:p w:rsidR="00444A81" w:rsidRPr="008E156C" w:rsidRDefault="00444A81" w:rsidP="00DE7D1B">
      <w:pPr>
        <w:pStyle w:val="Heading1"/>
        <w:pBdr>
          <w:top w:val="none" w:sz="0" w:space="0" w:color="auto"/>
          <w:left w:val="none" w:sz="0" w:space="0" w:color="auto"/>
          <w:bottom w:val="none" w:sz="0" w:space="0" w:color="auto"/>
          <w:right w:val="none" w:sz="0" w:space="0" w:color="auto"/>
          <w:bar w:val="none" w:sz="0" w:color="auto"/>
        </w:pBdr>
        <w:rPr>
          <w:color w:val="auto"/>
          <w:lang w:val="en-US"/>
        </w:rPr>
      </w:pPr>
      <w:r w:rsidRPr="008E156C">
        <w:rPr>
          <w:color w:val="auto"/>
          <w:lang w:val="en-US"/>
        </w:rPr>
        <w:t>III.</w:t>
      </w:r>
      <w:r w:rsidRPr="008E156C">
        <w:rPr>
          <w:color w:val="auto"/>
          <w:lang w:val="en-US"/>
        </w:rPr>
        <w:tab/>
        <w:t>POSITIONS OF THE PARTIES</w:t>
      </w: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rPr>
          <w:rFonts w:ascii="Cambria" w:hAnsi="Cambria" w:cs="Cambria"/>
          <w:sz w:val="20"/>
          <w:szCs w:val="20"/>
        </w:rPr>
      </w:pPr>
    </w:p>
    <w:p w:rsidR="00444A81" w:rsidRPr="008E156C" w:rsidRDefault="00444A81" w:rsidP="00DE7D1B">
      <w:pPr>
        <w:pStyle w:val="Heading2"/>
      </w:pPr>
      <w:r w:rsidRPr="008E156C">
        <w:t>Position of the Petitioner</w:t>
      </w: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rPr>
          <w:rFonts w:ascii="Cambria" w:hAnsi="Cambria" w:cs="Cambria"/>
          <w:sz w:val="20"/>
          <w:szCs w:val="20"/>
        </w:rPr>
      </w:pPr>
    </w:p>
    <w:p w:rsidR="00444A81" w:rsidRPr="008E156C" w:rsidRDefault="00444A81" w:rsidP="00444A81">
      <w:pPr>
        <w:pStyle w:val="BodyText"/>
        <w:numPr>
          <w:ilvl w:val="0"/>
          <w:numId w:val="53"/>
        </w:numPr>
        <w:pBdr>
          <w:top w:val="none" w:sz="0" w:space="0" w:color="auto"/>
          <w:left w:val="none" w:sz="0" w:space="0" w:color="auto"/>
          <w:bottom w:val="none" w:sz="0" w:space="0" w:color="auto"/>
          <w:right w:val="none" w:sz="0" w:space="0" w:color="auto"/>
          <w:bar w:val="none" w:sz="0" w:color="auto"/>
        </w:pBdr>
        <w:tabs>
          <w:tab w:val="clear" w:pos="720"/>
        </w:tabs>
        <w:spacing w:after="0"/>
        <w:jc w:val="both"/>
        <w:rPr>
          <w:rFonts w:ascii="Cambria" w:hAnsi="Cambria" w:cs="Cambria"/>
          <w:sz w:val="20"/>
          <w:szCs w:val="20"/>
        </w:rPr>
      </w:pPr>
      <w:r w:rsidRPr="008E156C">
        <w:rPr>
          <w:rFonts w:ascii="Cambria" w:hAnsi="Cambria" w:cs="Cambria"/>
          <w:sz w:val="20"/>
          <w:szCs w:val="20"/>
        </w:rPr>
        <w:t xml:space="preserve">The petitioner claims that Ecuador incurred in responsibility through criminal proceedings brought against the alleged victims </w:t>
      </w:r>
      <w:r w:rsidR="00DC7E07" w:rsidRPr="008E156C">
        <w:rPr>
          <w:rFonts w:ascii="Cambria" w:hAnsi="Cambria" w:cs="Cambria"/>
          <w:sz w:val="20"/>
          <w:szCs w:val="20"/>
        </w:rPr>
        <w:t xml:space="preserve">before the police courts </w:t>
      </w:r>
      <w:r w:rsidRPr="008E156C">
        <w:rPr>
          <w:rFonts w:ascii="Cambria" w:hAnsi="Cambria" w:cs="Cambria"/>
          <w:sz w:val="20"/>
          <w:szCs w:val="20"/>
        </w:rPr>
        <w:t>without due guarantees, during which a custodial order was issued by means of the retroactive enforcement of a provision of criminal law; and through the subsequent failure to provide compensation for the</w:t>
      </w:r>
      <w:r w:rsidR="00DC7E07" w:rsidRPr="008E156C">
        <w:rPr>
          <w:rFonts w:ascii="Cambria" w:hAnsi="Cambria" w:cs="Cambria"/>
          <w:sz w:val="20"/>
          <w:szCs w:val="20"/>
        </w:rPr>
        <w:t>ir</w:t>
      </w:r>
      <w:r w:rsidRPr="008E156C">
        <w:rPr>
          <w:rFonts w:ascii="Cambria" w:hAnsi="Cambria" w:cs="Cambria"/>
          <w:sz w:val="20"/>
          <w:szCs w:val="20"/>
        </w:rPr>
        <w:t xml:space="preserve"> criminal trial and firm arrest, the lack of independence and impartiality on the part of the courts, and the failure to conclude the criminal trial for perversion of the course of justice brought against the former President of the National Court of Police Justice, who initiated the criminal proceedings. </w:t>
      </w:r>
    </w:p>
    <w:p w:rsidR="00444A81" w:rsidRPr="008E156C" w:rsidRDefault="00444A81" w:rsidP="00DE7D1B">
      <w:pPr>
        <w:pStyle w:val="BodyText"/>
        <w:pBdr>
          <w:top w:val="none" w:sz="0" w:space="0" w:color="auto"/>
          <w:left w:val="none" w:sz="0" w:space="0" w:color="auto"/>
          <w:bottom w:val="none" w:sz="0" w:space="0" w:color="auto"/>
          <w:right w:val="none" w:sz="0" w:space="0" w:color="auto"/>
          <w:bar w:val="none" w:sz="0" w:color="auto"/>
        </w:pBdr>
        <w:spacing w:after="0"/>
        <w:ind w:left="720"/>
        <w:jc w:val="both"/>
        <w:rPr>
          <w:rFonts w:ascii="Cambria" w:hAnsi="Cambria" w:cs="Cambria"/>
          <w:sz w:val="20"/>
          <w:szCs w:val="20"/>
        </w:rPr>
      </w:pPr>
    </w:p>
    <w:p w:rsidR="0043566F" w:rsidRPr="008E156C" w:rsidRDefault="00444A81" w:rsidP="00444A81">
      <w:pPr>
        <w:pStyle w:val="BodyText"/>
        <w:numPr>
          <w:ilvl w:val="0"/>
          <w:numId w:val="53"/>
        </w:numPr>
        <w:pBdr>
          <w:top w:val="none" w:sz="0" w:space="0" w:color="auto"/>
          <w:left w:val="none" w:sz="0" w:space="0" w:color="auto"/>
          <w:bottom w:val="none" w:sz="0" w:space="0" w:color="auto"/>
          <w:right w:val="none" w:sz="0" w:space="0" w:color="auto"/>
          <w:bar w:val="none" w:sz="0" w:color="auto"/>
        </w:pBdr>
        <w:tabs>
          <w:tab w:val="clear" w:pos="720"/>
        </w:tabs>
        <w:spacing w:after="0"/>
        <w:jc w:val="both"/>
        <w:rPr>
          <w:rFonts w:ascii="Cambria" w:hAnsi="Cambria" w:cs="Cambria"/>
          <w:sz w:val="20"/>
          <w:szCs w:val="20"/>
        </w:rPr>
      </w:pPr>
      <w:r w:rsidRPr="008E156C">
        <w:rPr>
          <w:rFonts w:ascii="Cambria" w:hAnsi="Cambria" w:cs="Cambria"/>
          <w:sz w:val="20"/>
          <w:szCs w:val="20"/>
        </w:rPr>
        <w:t xml:space="preserve">The petitioner further notes that the alleged victims are officers of the National Police of Ecuador (hereinafter </w:t>
      </w:r>
      <w:r w:rsidR="003112BD" w:rsidRPr="008E156C">
        <w:rPr>
          <w:rFonts w:ascii="Cambria" w:hAnsi="Cambria" w:cs="Cambria"/>
          <w:sz w:val="20"/>
          <w:szCs w:val="20"/>
        </w:rPr>
        <w:t>“</w:t>
      </w:r>
      <w:r w:rsidRPr="008E156C">
        <w:rPr>
          <w:rFonts w:ascii="Cambria" w:hAnsi="Cambria" w:cs="Cambria"/>
          <w:sz w:val="20"/>
          <w:szCs w:val="20"/>
        </w:rPr>
        <w:t>PN</w:t>
      </w:r>
      <w:r w:rsidR="003112BD" w:rsidRPr="008E156C">
        <w:rPr>
          <w:rFonts w:ascii="Cambria" w:hAnsi="Cambria" w:cs="Cambria"/>
          <w:sz w:val="20"/>
          <w:szCs w:val="20"/>
        </w:rPr>
        <w:t>”</w:t>
      </w:r>
      <w:r w:rsidRPr="008E156C">
        <w:rPr>
          <w:rFonts w:ascii="Cambria" w:hAnsi="Cambria" w:cs="Cambria"/>
          <w:sz w:val="20"/>
          <w:szCs w:val="20"/>
        </w:rPr>
        <w:t xml:space="preserve">). Criminal proceedings were brought against them </w:t>
      </w:r>
      <w:r w:rsidR="00DC7E07" w:rsidRPr="008E156C">
        <w:rPr>
          <w:rFonts w:ascii="Cambria" w:hAnsi="Cambria" w:cs="Cambria"/>
          <w:sz w:val="20"/>
          <w:szCs w:val="20"/>
        </w:rPr>
        <w:t xml:space="preserve">before the police courts </w:t>
      </w:r>
      <w:r w:rsidRPr="008E156C">
        <w:rPr>
          <w:rFonts w:ascii="Cambria" w:hAnsi="Cambria" w:cs="Cambria"/>
          <w:sz w:val="20"/>
          <w:szCs w:val="20"/>
        </w:rPr>
        <w:t>following the publication, by the State</w:t>
      </w:r>
      <w:r w:rsidR="003112BD" w:rsidRPr="008E156C">
        <w:rPr>
          <w:rFonts w:ascii="Cambria" w:hAnsi="Cambria" w:cs="Cambria"/>
          <w:sz w:val="20"/>
          <w:szCs w:val="20"/>
        </w:rPr>
        <w:t>’</w:t>
      </w:r>
      <w:r w:rsidRPr="008E156C">
        <w:rPr>
          <w:rFonts w:ascii="Cambria" w:hAnsi="Cambria" w:cs="Cambria"/>
          <w:sz w:val="20"/>
          <w:szCs w:val="20"/>
        </w:rPr>
        <w:t>s Comptroller General</w:t>
      </w:r>
      <w:r w:rsidR="003112BD" w:rsidRPr="008E156C">
        <w:rPr>
          <w:rFonts w:ascii="Cambria" w:hAnsi="Cambria" w:cs="Cambria"/>
          <w:sz w:val="20"/>
          <w:szCs w:val="20"/>
        </w:rPr>
        <w:t>’</w:t>
      </w:r>
      <w:r w:rsidRPr="008E156C">
        <w:rPr>
          <w:rFonts w:ascii="Cambria" w:hAnsi="Cambria" w:cs="Cambria"/>
          <w:sz w:val="20"/>
          <w:szCs w:val="20"/>
        </w:rPr>
        <w:t xml:space="preserve">s Office, of the </w:t>
      </w:r>
      <w:r w:rsidR="003112BD" w:rsidRPr="008E156C">
        <w:rPr>
          <w:rFonts w:ascii="Cambria" w:hAnsi="Cambria" w:cs="Cambria"/>
          <w:sz w:val="20"/>
          <w:szCs w:val="20"/>
        </w:rPr>
        <w:t>“</w:t>
      </w:r>
      <w:r w:rsidRPr="008E156C">
        <w:rPr>
          <w:rFonts w:ascii="Cambria" w:hAnsi="Cambria" w:cs="Cambria"/>
          <w:sz w:val="20"/>
          <w:szCs w:val="20"/>
        </w:rPr>
        <w:t>Partial Report on Indications of Criminal Liability in the Special Examination of the National Police General Command</w:t>
      </w:r>
      <w:r w:rsidR="003112BD" w:rsidRPr="008E156C">
        <w:rPr>
          <w:rFonts w:ascii="Cambria" w:hAnsi="Cambria" w:cs="Cambria"/>
          <w:sz w:val="20"/>
          <w:szCs w:val="20"/>
        </w:rPr>
        <w:t>’</w:t>
      </w:r>
      <w:r w:rsidRPr="008E156C">
        <w:rPr>
          <w:rFonts w:ascii="Cambria" w:hAnsi="Cambria" w:cs="Cambria"/>
          <w:sz w:val="20"/>
          <w:szCs w:val="20"/>
        </w:rPr>
        <w:t>s Administrative and Financial Operations. Commercial Enterprises: TECMADIESEL GRUP, COTRANSA, and DIJORMING</w:t>
      </w:r>
      <w:r w:rsidR="003112BD" w:rsidRPr="008E156C">
        <w:rPr>
          <w:rFonts w:ascii="Cambria" w:hAnsi="Cambria" w:cs="Cambria"/>
          <w:sz w:val="20"/>
          <w:szCs w:val="20"/>
        </w:rPr>
        <w:t>”</w:t>
      </w:r>
      <w:r w:rsidRPr="008E156C">
        <w:rPr>
          <w:rFonts w:ascii="Cambria" w:hAnsi="Cambria" w:cs="Cambria"/>
          <w:sz w:val="20"/>
          <w:szCs w:val="20"/>
        </w:rPr>
        <w:t xml:space="preserve"> (hereinafter </w:t>
      </w:r>
      <w:r w:rsidR="003112BD" w:rsidRPr="008E156C">
        <w:rPr>
          <w:rFonts w:ascii="Cambria" w:hAnsi="Cambria" w:cs="Cambria"/>
          <w:sz w:val="20"/>
          <w:szCs w:val="20"/>
        </w:rPr>
        <w:t>“</w:t>
      </w:r>
      <w:r w:rsidRPr="008E156C">
        <w:rPr>
          <w:rFonts w:ascii="Cambria" w:hAnsi="Cambria" w:cs="Cambria"/>
          <w:sz w:val="20"/>
          <w:szCs w:val="20"/>
        </w:rPr>
        <w:t>the report</w:t>
      </w:r>
      <w:r w:rsidR="003112BD" w:rsidRPr="008E156C">
        <w:rPr>
          <w:rFonts w:ascii="Cambria" w:hAnsi="Cambria" w:cs="Cambria"/>
          <w:sz w:val="20"/>
          <w:szCs w:val="20"/>
        </w:rPr>
        <w:t>”</w:t>
      </w:r>
      <w:r w:rsidRPr="008E156C">
        <w:rPr>
          <w:rFonts w:ascii="Cambria" w:hAnsi="Cambria" w:cs="Cambria"/>
          <w:sz w:val="20"/>
          <w:szCs w:val="20"/>
        </w:rPr>
        <w:t>).</w:t>
      </w:r>
      <w:r w:rsidRPr="008E156C">
        <w:rPr>
          <w:rFonts w:ascii="Cambria" w:hAnsi="Cambria" w:cs="Cambria"/>
          <w:sz w:val="20"/>
          <w:szCs w:val="20"/>
          <w:vertAlign w:val="superscript"/>
        </w:rPr>
        <w:footnoteReference w:id="3"/>
      </w:r>
      <w:r w:rsidRPr="008E156C">
        <w:rPr>
          <w:rFonts w:ascii="Cambria" w:hAnsi="Cambria" w:cs="Cambria"/>
          <w:sz w:val="20"/>
          <w:szCs w:val="20"/>
          <w:vertAlign w:val="superscript"/>
        </w:rPr>
        <w:t xml:space="preserve"> </w:t>
      </w:r>
    </w:p>
    <w:p w:rsidR="0043566F" w:rsidRPr="008E156C" w:rsidRDefault="0043566F" w:rsidP="00DE7D1B">
      <w:pPr>
        <w:pStyle w:val="BodyText"/>
        <w:pBdr>
          <w:top w:val="none" w:sz="0" w:space="0" w:color="auto"/>
          <w:left w:val="none" w:sz="0" w:space="0" w:color="auto"/>
          <w:bottom w:val="none" w:sz="0" w:space="0" w:color="auto"/>
          <w:right w:val="none" w:sz="0" w:space="0" w:color="auto"/>
          <w:bar w:val="none" w:sz="0" w:color="auto"/>
        </w:pBdr>
        <w:spacing w:after="0"/>
        <w:ind w:left="720"/>
        <w:jc w:val="both"/>
        <w:rPr>
          <w:rFonts w:ascii="Cambria" w:hAnsi="Cambria" w:cs="Cambria"/>
          <w:sz w:val="20"/>
          <w:szCs w:val="20"/>
        </w:rPr>
      </w:pPr>
    </w:p>
    <w:p w:rsidR="00444A81" w:rsidRPr="008E156C" w:rsidRDefault="00444A81" w:rsidP="00444A81">
      <w:pPr>
        <w:pStyle w:val="BodyText"/>
        <w:numPr>
          <w:ilvl w:val="0"/>
          <w:numId w:val="53"/>
        </w:numPr>
        <w:pBdr>
          <w:top w:val="none" w:sz="0" w:space="0" w:color="auto"/>
          <w:left w:val="none" w:sz="0" w:space="0" w:color="auto"/>
          <w:bottom w:val="none" w:sz="0" w:space="0" w:color="auto"/>
          <w:right w:val="none" w:sz="0" w:space="0" w:color="auto"/>
          <w:bar w:val="none" w:sz="0" w:color="auto"/>
        </w:pBdr>
        <w:tabs>
          <w:tab w:val="clear" w:pos="720"/>
        </w:tabs>
        <w:spacing w:after="0"/>
        <w:jc w:val="both"/>
        <w:rPr>
          <w:rFonts w:ascii="Cambria" w:hAnsi="Cambria" w:cs="Cambria"/>
          <w:sz w:val="20"/>
          <w:szCs w:val="20"/>
        </w:rPr>
      </w:pPr>
      <w:r w:rsidRPr="008E156C">
        <w:rPr>
          <w:rFonts w:ascii="Cambria" w:hAnsi="Cambria" w:cs="Cambria"/>
          <w:sz w:val="20"/>
          <w:szCs w:val="20"/>
        </w:rPr>
        <w:t>According to the petitioner, the report</w:t>
      </w:r>
      <w:r w:rsidR="00267196" w:rsidRPr="008E156C">
        <w:rPr>
          <w:rFonts w:ascii="Cambria" w:hAnsi="Cambria" w:cs="Cambria"/>
          <w:sz w:val="20"/>
          <w:szCs w:val="20"/>
        </w:rPr>
        <w:t xml:space="preserve"> from</w:t>
      </w:r>
      <w:r w:rsidRPr="008E156C">
        <w:rPr>
          <w:rFonts w:ascii="Cambria" w:hAnsi="Cambria" w:cs="Cambria"/>
          <w:sz w:val="20"/>
          <w:szCs w:val="20"/>
        </w:rPr>
        <w:t xml:space="preserve"> the Comptroller</w:t>
      </w:r>
      <w:r w:rsidR="003112BD" w:rsidRPr="008E156C">
        <w:rPr>
          <w:rFonts w:ascii="Cambria" w:hAnsi="Cambria" w:cs="Cambria"/>
          <w:sz w:val="20"/>
          <w:szCs w:val="20"/>
        </w:rPr>
        <w:t>’</w:t>
      </w:r>
      <w:r w:rsidRPr="008E156C">
        <w:rPr>
          <w:rFonts w:ascii="Cambria" w:hAnsi="Cambria" w:cs="Cambria"/>
          <w:sz w:val="20"/>
          <w:szCs w:val="20"/>
        </w:rPr>
        <w:t>s Office concluded that there were grounds for opening a criminal investigation for embezzlement</w:t>
      </w:r>
      <w:r w:rsidRPr="008E156C">
        <w:rPr>
          <w:rFonts w:ascii="Cambria" w:hAnsi="Cambria" w:cs="Cambria"/>
          <w:sz w:val="20"/>
          <w:szCs w:val="20"/>
          <w:vertAlign w:val="superscript"/>
        </w:rPr>
        <w:footnoteReference w:id="4"/>
      </w:r>
      <w:r w:rsidRPr="008E156C">
        <w:rPr>
          <w:rFonts w:ascii="Cambria" w:hAnsi="Cambria" w:cs="Cambria"/>
          <w:sz w:val="20"/>
          <w:szCs w:val="20"/>
          <w:vertAlign w:val="superscript"/>
        </w:rPr>
        <w:t xml:space="preserve"> </w:t>
      </w:r>
      <w:r w:rsidRPr="008E156C">
        <w:rPr>
          <w:rFonts w:ascii="Cambria" w:hAnsi="Cambria" w:cs="Cambria"/>
          <w:sz w:val="20"/>
          <w:szCs w:val="20"/>
        </w:rPr>
        <w:t xml:space="preserve">and named the alleged victims as participants; however, </w:t>
      </w:r>
      <w:r w:rsidR="00267196" w:rsidRPr="008E156C">
        <w:rPr>
          <w:rFonts w:ascii="Cambria" w:hAnsi="Cambria" w:cs="Cambria"/>
          <w:sz w:val="20"/>
          <w:szCs w:val="20"/>
        </w:rPr>
        <w:t xml:space="preserve">it contained </w:t>
      </w:r>
      <w:r w:rsidRPr="008E156C">
        <w:rPr>
          <w:rFonts w:ascii="Cambria" w:hAnsi="Cambria" w:cs="Cambria"/>
          <w:sz w:val="20"/>
          <w:szCs w:val="20"/>
        </w:rPr>
        <w:t xml:space="preserve">no clear identification of </w:t>
      </w:r>
      <w:r w:rsidR="00267196" w:rsidRPr="008E156C">
        <w:rPr>
          <w:rFonts w:ascii="Cambria" w:hAnsi="Cambria" w:cs="Cambria"/>
          <w:sz w:val="20"/>
          <w:szCs w:val="20"/>
        </w:rPr>
        <w:t xml:space="preserve">their </w:t>
      </w:r>
      <w:r w:rsidRPr="008E156C">
        <w:rPr>
          <w:rFonts w:ascii="Cambria" w:hAnsi="Cambria" w:cs="Cambria"/>
          <w:sz w:val="20"/>
          <w:szCs w:val="20"/>
        </w:rPr>
        <w:t>individual responsibilities and the alleged victims were unable to defend themselves. The petitioner states that the alleged victims were informed of the Comptroller</w:t>
      </w:r>
      <w:r w:rsidR="003112BD" w:rsidRPr="008E156C">
        <w:rPr>
          <w:rFonts w:ascii="Cambria" w:hAnsi="Cambria" w:cs="Cambria"/>
          <w:sz w:val="20"/>
          <w:szCs w:val="20"/>
        </w:rPr>
        <w:t>’</w:t>
      </w:r>
      <w:r w:rsidRPr="008E156C">
        <w:rPr>
          <w:rFonts w:ascii="Cambria" w:hAnsi="Cambria" w:cs="Cambria"/>
          <w:sz w:val="20"/>
          <w:szCs w:val="20"/>
        </w:rPr>
        <w:t>s report by means of a story in the press dated December 22, 2001.</w:t>
      </w:r>
    </w:p>
    <w:p w:rsidR="00444A81" w:rsidRPr="008E156C" w:rsidRDefault="00444A81" w:rsidP="00DE7D1B">
      <w:pPr>
        <w:pStyle w:val="BodyText"/>
        <w:pBdr>
          <w:top w:val="none" w:sz="0" w:space="0" w:color="auto"/>
          <w:left w:val="none" w:sz="0" w:space="0" w:color="auto"/>
          <w:bottom w:val="none" w:sz="0" w:space="0" w:color="auto"/>
          <w:right w:val="none" w:sz="0" w:space="0" w:color="auto"/>
          <w:bar w:val="none" w:sz="0" w:color="auto"/>
        </w:pBdr>
        <w:spacing w:after="0"/>
        <w:ind w:left="720"/>
        <w:jc w:val="both"/>
        <w:rPr>
          <w:rFonts w:ascii="Cambria" w:hAnsi="Cambria" w:cs="Cambria"/>
          <w:sz w:val="20"/>
          <w:szCs w:val="20"/>
        </w:rPr>
      </w:pPr>
    </w:p>
    <w:p w:rsidR="00444A81" w:rsidRPr="008E156C" w:rsidRDefault="00444A81" w:rsidP="00444A81">
      <w:pPr>
        <w:pStyle w:val="BodyText"/>
        <w:numPr>
          <w:ilvl w:val="0"/>
          <w:numId w:val="53"/>
        </w:numPr>
        <w:pBdr>
          <w:top w:val="none" w:sz="0" w:space="0" w:color="auto"/>
          <w:left w:val="none" w:sz="0" w:space="0" w:color="auto"/>
          <w:bottom w:val="none" w:sz="0" w:space="0" w:color="auto"/>
          <w:right w:val="none" w:sz="0" w:space="0" w:color="auto"/>
          <w:bar w:val="none" w:sz="0" w:color="auto"/>
        </w:pBdr>
        <w:tabs>
          <w:tab w:val="clear" w:pos="720"/>
        </w:tabs>
        <w:spacing w:after="0"/>
        <w:jc w:val="both"/>
        <w:rPr>
          <w:rFonts w:ascii="Cambria" w:hAnsi="Cambria" w:cs="Cambria"/>
          <w:sz w:val="20"/>
          <w:szCs w:val="20"/>
        </w:rPr>
      </w:pPr>
      <w:r w:rsidRPr="008E156C">
        <w:rPr>
          <w:rFonts w:ascii="Cambria" w:hAnsi="Cambria" w:cs="Cambria"/>
          <w:sz w:val="20"/>
          <w:szCs w:val="20"/>
        </w:rPr>
        <w:t>He claims that the report was conveyed by the Comptroller</w:t>
      </w:r>
      <w:r w:rsidR="003112BD" w:rsidRPr="008E156C">
        <w:rPr>
          <w:rFonts w:ascii="Cambria" w:hAnsi="Cambria" w:cs="Cambria"/>
          <w:sz w:val="20"/>
          <w:szCs w:val="20"/>
        </w:rPr>
        <w:t>’</w:t>
      </w:r>
      <w:r w:rsidRPr="008E156C">
        <w:rPr>
          <w:rFonts w:ascii="Cambria" w:hAnsi="Cambria" w:cs="Cambria"/>
          <w:sz w:val="20"/>
          <w:szCs w:val="20"/>
        </w:rPr>
        <w:t xml:space="preserve">s Office to the District Prosecutor on December 19, 2001, and that the prosecution service launched an investigation and </w:t>
      </w:r>
      <w:r w:rsidR="00267196" w:rsidRPr="008E156C">
        <w:rPr>
          <w:rFonts w:ascii="Cambria" w:hAnsi="Cambria" w:cs="Cambria"/>
          <w:sz w:val="20"/>
          <w:szCs w:val="20"/>
        </w:rPr>
        <w:t xml:space="preserve">summoned </w:t>
      </w:r>
      <w:r w:rsidRPr="008E156C">
        <w:rPr>
          <w:rFonts w:ascii="Cambria" w:hAnsi="Cambria" w:cs="Cambria"/>
          <w:sz w:val="20"/>
          <w:szCs w:val="20"/>
        </w:rPr>
        <w:t xml:space="preserve">the individuals involved to give a statement. In addition, the President of the National Court of Police Justice (hereinafter </w:t>
      </w:r>
      <w:r w:rsidR="003112BD" w:rsidRPr="008E156C">
        <w:rPr>
          <w:rFonts w:ascii="Cambria" w:hAnsi="Cambria" w:cs="Cambria"/>
          <w:sz w:val="20"/>
          <w:szCs w:val="20"/>
        </w:rPr>
        <w:t>“</w:t>
      </w:r>
      <w:r w:rsidRPr="008E156C">
        <w:rPr>
          <w:rFonts w:ascii="Cambria" w:hAnsi="Cambria" w:cs="Cambria"/>
          <w:sz w:val="20"/>
          <w:szCs w:val="20"/>
        </w:rPr>
        <w:t>CNJP</w:t>
      </w:r>
      <w:r w:rsidR="003112BD" w:rsidRPr="008E156C">
        <w:rPr>
          <w:rFonts w:ascii="Cambria" w:hAnsi="Cambria" w:cs="Cambria"/>
          <w:sz w:val="20"/>
          <w:szCs w:val="20"/>
        </w:rPr>
        <w:t>”</w:t>
      </w:r>
      <w:r w:rsidRPr="008E156C">
        <w:rPr>
          <w:rFonts w:ascii="Cambria" w:hAnsi="Cambria" w:cs="Cambria"/>
          <w:sz w:val="20"/>
          <w:szCs w:val="20"/>
        </w:rPr>
        <w:t xml:space="preserve">) requested a copy of the report, which was sent to him on January 28, 2002, thereby </w:t>
      </w:r>
      <w:r w:rsidR="003112BD" w:rsidRPr="008E156C">
        <w:rPr>
          <w:rFonts w:ascii="Cambria" w:hAnsi="Cambria" w:cs="Cambria"/>
          <w:sz w:val="20"/>
          <w:szCs w:val="20"/>
        </w:rPr>
        <w:t>“</w:t>
      </w:r>
      <w:r w:rsidRPr="008E156C">
        <w:rPr>
          <w:rFonts w:ascii="Cambria" w:hAnsi="Cambria" w:cs="Cambria"/>
          <w:sz w:val="20"/>
          <w:szCs w:val="20"/>
        </w:rPr>
        <w:t>transferring the proceedings to the police courts.</w:t>
      </w:r>
      <w:r w:rsidR="003112BD" w:rsidRPr="008E156C">
        <w:rPr>
          <w:rFonts w:ascii="Cambria" w:hAnsi="Cambria" w:cs="Cambria"/>
          <w:sz w:val="20"/>
          <w:szCs w:val="20"/>
        </w:rPr>
        <w:t>”</w:t>
      </w:r>
    </w:p>
    <w:p w:rsidR="00444A81" w:rsidRPr="008E156C" w:rsidRDefault="00444A81" w:rsidP="00DE7D1B">
      <w:pPr>
        <w:pStyle w:val="ListParagraph"/>
        <w:pBdr>
          <w:top w:val="none" w:sz="0" w:space="0" w:color="auto"/>
          <w:left w:val="none" w:sz="0" w:space="0" w:color="auto"/>
          <w:bottom w:val="none" w:sz="0" w:space="0" w:color="auto"/>
          <w:right w:val="none" w:sz="0" w:space="0" w:color="auto"/>
          <w:bar w:val="none" w:sz="0" w:color="auto"/>
        </w:pBdr>
        <w:rPr>
          <w:rFonts w:cs="Times New Roman"/>
          <w:color w:val="auto"/>
          <w:sz w:val="20"/>
          <w:szCs w:val="20"/>
        </w:rPr>
      </w:pPr>
    </w:p>
    <w:p w:rsidR="00444A81" w:rsidRPr="008E156C" w:rsidRDefault="00444A81" w:rsidP="00444A81">
      <w:pPr>
        <w:pStyle w:val="BodyText"/>
        <w:numPr>
          <w:ilvl w:val="0"/>
          <w:numId w:val="53"/>
        </w:numPr>
        <w:pBdr>
          <w:top w:val="none" w:sz="0" w:space="0" w:color="auto"/>
          <w:left w:val="none" w:sz="0" w:space="0" w:color="auto"/>
          <w:bottom w:val="none" w:sz="0" w:space="0" w:color="auto"/>
          <w:right w:val="none" w:sz="0" w:space="0" w:color="auto"/>
          <w:bar w:val="none" w:sz="0" w:color="auto"/>
        </w:pBdr>
        <w:tabs>
          <w:tab w:val="clear" w:pos="720"/>
        </w:tabs>
        <w:spacing w:after="0"/>
        <w:ind w:left="90" w:firstLine="630"/>
        <w:jc w:val="both"/>
        <w:rPr>
          <w:rFonts w:ascii="Cambria" w:hAnsi="Cambria" w:cs="Cambria"/>
          <w:sz w:val="20"/>
          <w:szCs w:val="20"/>
        </w:rPr>
      </w:pPr>
      <w:r w:rsidRPr="008E156C">
        <w:rPr>
          <w:rFonts w:ascii="Cambria" w:hAnsi="Cambria" w:cs="Cambria"/>
          <w:sz w:val="20"/>
          <w:szCs w:val="20"/>
        </w:rPr>
        <w:lastRenderedPageBreak/>
        <w:t xml:space="preserve">The petitioner </w:t>
      </w:r>
      <w:r w:rsidR="00E961D8" w:rsidRPr="008E156C">
        <w:rPr>
          <w:rFonts w:ascii="Cambria" w:hAnsi="Cambria" w:cs="Cambria"/>
          <w:sz w:val="20"/>
          <w:szCs w:val="20"/>
        </w:rPr>
        <w:t>states</w:t>
      </w:r>
      <w:r w:rsidRPr="008E156C">
        <w:rPr>
          <w:rFonts w:ascii="Cambria" w:hAnsi="Cambria" w:cs="Cambria"/>
          <w:sz w:val="20"/>
          <w:szCs w:val="20"/>
        </w:rPr>
        <w:t xml:space="preserve"> that the report spoke of the possible commission of the crime of minor embezzlement, which is punishable by a prison term of between 1 and 5 years; under the PN</w:t>
      </w:r>
      <w:r w:rsidR="003112BD" w:rsidRPr="008E156C">
        <w:rPr>
          <w:rFonts w:ascii="Cambria" w:hAnsi="Cambria" w:cs="Cambria"/>
          <w:sz w:val="20"/>
          <w:szCs w:val="20"/>
        </w:rPr>
        <w:t>’</w:t>
      </w:r>
      <w:r w:rsidRPr="008E156C">
        <w:rPr>
          <w:rFonts w:ascii="Cambria" w:hAnsi="Cambria" w:cs="Cambria"/>
          <w:sz w:val="20"/>
          <w:szCs w:val="20"/>
        </w:rPr>
        <w:t xml:space="preserve">s Criminal Code, however, that crime is punishable by </w:t>
      </w:r>
      <w:r w:rsidR="003C0DE7" w:rsidRPr="008E156C">
        <w:rPr>
          <w:rFonts w:ascii="Cambria" w:hAnsi="Cambria" w:cs="Cambria"/>
          <w:sz w:val="20"/>
          <w:szCs w:val="20"/>
        </w:rPr>
        <w:t xml:space="preserve">special </w:t>
      </w:r>
      <w:r w:rsidRPr="008E156C">
        <w:rPr>
          <w:rFonts w:ascii="Cambria" w:hAnsi="Cambria" w:cs="Cambria"/>
          <w:sz w:val="20"/>
          <w:szCs w:val="20"/>
        </w:rPr>
        <w:t xml:space="preserve">minor-level prison for a period of between 3 and 6 years: thus, within the police justice system, the </w:t>
      </w:r>
      <w:r w:rsidR="00E961D8" w:rsidRPr="008E156C">
        <w:rPr>
          <w:rFonts w:ascii="Cambria" w:hAnsi="Cambria" w:cs="Cambria"/>
          <w:sz w:val="20"/>
          <w:szCs w:val="20"/>
        </w:rPr>
        <w:t xml:space="preserve">possible punishment faced by the </w:t>
      </w:r>
      <w:r w:rsidRPr="008E156C">
        <w:rPr>
          <w:rFonts w:ascii="Cambria" w:hAnsi="Cambria" w:cs="Cambria"/>
          <w:sz w:val="20"/>
          <w:szCs w:val="20"/>
        </w:rPr>
        <w:t>alleged victims was harsher. On March 19, 2002, the petitioner reports, the President of the CNJP issued the trial commencement deed and, on the following November 26, concluded that preliminary stage of the proceedings. On January 19, 2003, the Police Prosecutor requested that the preliminary stage be reopened; that request was denied and the Police Prosecutor issued his ruling on April 9, 2003. In that ruling</w:t>
      </w:r>
      <w:r w:rsidR="00E961D8" w:rsidRPr="008E156C">
        <w:rPr>
          <w:rFonts w:ascii="Cambria" w:hAnsi="Cambria" w:cs="Cambria"/>
          <w:sz w:val="20"/>
          <w:szCs w:val="20"/>
        </w:rPr>
        <w:t>,</w:t>
      </w:r>
      <w:r w:rsidRPr="008E156C">
        <w:rPr>
          <w:rFonts w:ascii="Cambria" w:hAnsi="Cambria" w:cs="Cambria"/>
          <w:sz w:val="20"/>
          <w:szCs w:val="20"/>
        </w:rPr>
        <w:t xml:space="preserve"> the prosecutor refrained from formalizing any charges, with the exception of two individuals, one of whom was Mr. Patricio Vinueza. </w:t>
      </w:r>
    </w:p>
    <w:p w:rsidR="00444A81" w:rsidRPr="008E156C" w:rsidRDefault="00444A81" w:rsidP="00DE7D1B">
      <w:pPr>
        <w:pStyle w:val="ListParagraph"/>
        <w:pBdr>
          <w:top w:val="none" w:sz="0" w:space="0" w:color="auto"/>
          <w:left w:val="none" w:sz="0" w:space="0" w:color="auto"/>
          <w:bottom w:val="none" w:sz="0" w:space="0" w:color="auto"/>
          <w:right w:val="none" w:sz="0" w:space="0" w:color="auto"/>
          <w:bar w:val="none" w:sz="0" w:color="auto"/>
        </w:pBdr>
        <w:rPr>
          <w:rFonts w:cs="Times New Roman"/>
          <w:color w:val="auto"/>
          <w:sz w:val="20"/>
          <w:szCs w:val="20"/>
        </w:rPr>
      </w:pPr>
    </w:p>
    <w:p w:rsidR="00444A81" w:rsidRPr="008E156C" w:rsidRDefault="00444A81" w:rsidP="00444A81">
      <w:pPr>
        <w:pStyle w:val="BodyText"/>
        <w:numPr>
          <w:ilvl w:val="0"/>
          <w:numId w:val="53"/>
        </w:numPr>
        <w:pBdr>
          <w:top w:val="none" w:sz="0" w:space="0" w:color="auto"/>
          <w:left w:val="none" w:sz="0" w:space="0" w:color="auto"/>
          <w:bottom w:val="none" w:sz="0" w:space="0" w:color="auto"/>
          <w:right w:val="none" w:sz="0" w:space="0" w:color="auto"/>
          <w:bar w:val="none" w:sz="0" w:color="auto"/>
        </w:pBdr>
        <w:tabs>
          <w:tab w:val="clear" w:pos="720"/>
        </w:tabs>
        <w:spacing w:after="0"/>
        <w:jc w:val="both"/>
        <w:rPr>
          <w:rFonts w:ascii="Cambria" w:hAnsi="Cambria" w:cs="Cambria"/>
          <w:sz w:val="20"/>
          <w:szCs w:val="20"/>
        </w:rPr>
      </w:pPr>
      <w:r w:rsidRPr="008E156C">
        <w:rPr>
          <w:rFonts w:ascii="Cambria" w:hAnsi="Cambria" w:cs="Cambria"/>
          <w:sz w:val="20"/>
          <w:szCs w:val="20"/>
        </w:rPr>
        <w:t>The petitioner adds that there was a change in the CNJP</w:t>
      </w:r>
      <w:r w:rsidR="003112BD" w:rsidRPr="008E156C">
        <w:rPr>
          <w:rFonts w:ascii="Cambria" w:hAnsi="Cambria" w:cs="Cambria"/>
          <w:sz w:val="20"/>
          <w:szCs w:val="20"/>
        </w:rPr>
        <w:t>’</w:t>
      </w:r>
      <w:r w:rsidRPr="008E156C">
        <w:rPr>
          <w:rFonts w:ascii="Cambria" w:hAnsi="Cambria" w:cs="Cambria"/>
          <w:sz w:val="20"/>
          <w:szCs w:val="20"/>
        </w:rPr>
        <w:t xml:space="preserve">s composition and, on May 26, 2003, the new President issued a </w:t>
      </w:r>
      <w:r w:rsidR="003112BD" w:rsidRPr="008E156C">
        <w:rPr>
          <w:rFonts w:ascii="Cambria" w:hAnsi="Cambria" w:cs="Cambria"/>
          <w:sz w:val="20"/>
          <w:szCs w:val="20"/>
        </w:rPr>
        <w:t>“</w:t>
      </w:r>
      <w:r w:rsidRPr="008E156C">
        <w:rPr>
          <w:rFonts w:ascii="Cambria" w:hAnsi="Cambria" w:cs="Cambria"/>
          <w:sz w:val="20"/>
          <w:szCs w:val="20"/>
        </w:rPr>
        <w:t>grounded deed</w:t>
      </w:r>
      <w:r w:rsidR="003112BD" w:rsidRPr="008E156C">
        <w:rPr>
          <w:rFonts w:ascii="Cambria" w:hAnsi="Cambria" w:cs="Cambria"/>
          <w:sz w:val="20"/>
          <w:szCs w:val="20"/>
        </w:rPr>
        <w:t>”</w:t>
      </w:r>
      <w:r w:rsidRPr="008E156C">
        <w:rPr>
          <w:rFonts w:ascii="Cambria" w:hAnsi="Cambria" w:cs="Cambria"/>
          <w:sz w:val="20"/>
          <w:szCs w:val="20"/>
        </w:rPr>
        <w:t xml:space="preserve"> ordering the </w:t>
      </w:r>
      <w:r w:rsidR="003112BD" w:rsidRPr="008E156C">
        <w:rPr>
          <w:rFonts w:ascii="Cambria" w:hAnsi="Cambria" w:cs="Cambria"/>
          <w:sz w:val="20"/>
          <w:szCs w:val="20"/>
        </w:rPr>
        <w:t>“</w:t>
      </w:r>
      <w:r w:rsidRPr="008E156C">
        <w:rPr>
          <w:rFonts w:ascii="Cambria" w:hAnsi="Cambria" w:cs="Cambria"/>
          <w:sz w:val="20"/>
          <w:szCs w:val="20"/>
        </w:rPr>
        <w:t>firm arrest</w:t>
      </w:r>
      <w:r w:rsidR="003112BD" w:rsidRPr="008E156C">
        <w:rPr>
          <w:rFonts w:ascii="Cambria" w:hAnsi="Cambria" w:cs="Cambria"/>
          <w:sz w:val="20"/>
          <w:szCs w:val="20"/>
        </w:rPr>
        <w:t>”</w:t>
      </w:r>
      <w:r w:rsidRPr="008E156C">
        <w:rPr>
          <w:rFonts w:ascii="Cambria" w:hAnsi="Cambria" w:cs="Cambria"/>
          <w:sz w:val="20"/>
          <w:szCs w:val="20"/>
        </w:rPr>
        <w:t xml:space="preserve"> and seizure of the assets of eight accused individuals, including the alleged victims. He claims that the President based this decision on a mix of articles from police codes and common criminal codes. </w:t>
      </w:r>
    </w:p>
    <w:p w:rsidR="00444A81" w:rsidRPr="008E156C" w:rsidRDefault="00444A81" w:rsidP="00DE7D1B">
      <w:pPr>
        <w:pStyle w:val="ListParagraph"/>
        <w:pBdr>
          <w:top w:val="none" w:sz="0" w:space="0" w:color="auto"/>
          <w:left w:val="none" w:sz="0" w:space="0" w:color="auto"/>
          <w:bottom w:val="none" w:sz="0" w:space="0" w:color="auto"/>
          <w:right w:val="none" w:sz="0" w:space="0" w:color="auto"/>
          <w:bar w:val="none" w:sz="0" w:color="auto"/>
        </w:pBdr>
        <w:rPr>
          <w:rFonts w:cs="Times New Roman"/>
          <w:color w:val="auto"/>
          <w:sz w:val="20"/>
          <w:szCs w:val="20"/>
        </w:rPr>
      </w:pPr>
    </w:p>
    <w:p w:rsidR="00444A81" w:rsidRPr="008E156C" w:rsidRDefault="00444A81" w:rsidP="00444A81">
      <w:pPr>
        <w:pStyle w:val="BodyText"/>
        <w:numPr>
          <w:ilvl w:val="0"/>
          <w:numId w:val="53"/>
        </w:numPr>
        <w:pBdr>
          <w:top w:val="none" w:sz="0" w:space="0" w:color="auto"/>
          <w:left w:val="none" w:sz="0" w:space="0" w:color="auto"/>
          <w:bottom w:val="none" w:sz="0" w:space="0" w:color="auto"/>
          <w:right w:val="none" w:sz="0" w:space="0" w:color="auto"/>
          <w:bar w:val="none" w:sz="0" w:color="auto"/>
        </w:pBdr>
        <w:tabs>
          <w:tab w:val="clear" w:pos="720"/>
        </w:tabs>
        <w:spacing w:after="0"/>
        <w:ind w:left="90" w:firstLine="630"/>
        <w:jc w:val="both"/>
        <w:rPr>
          <w:rFonts w:ascii="Cambria" w:hAnsi="Cambria" w:cs="Cambria"/>
          <w:sz w:val="20"/>
          <w:szCs w:val="20"/>
        </w:rPr>
      </w:pPr>
      <w:r w:rsidRPr="008E156C">
        <w:rPr>
          <w:rFonts w:ascii="Cambria" w:hAnsi="Cambria" w:cs="Cambria"/>
          <w:sz w:val="20"/>
          <w:szCs w:val="20"/>
        </w:rPr>
        <w:t>The petitioner states that, following the arrest of the alleged victims,</w:t>
      </w:r>
      <w:r w:rsidRPr="008E156C">
        <w:rPr>
          <w:rStyle w:val="FootnoteReference"/>
          <w:rFonts w:ascii="Cambria" w:hAnsi="Cambria" w:cs="Cambria"/>
          <w:sz w:val="20"/>
          <w:szCs w:val="20"/>
        </w:rPr>
        <w:footnoteReference w:id="5"/>
      </w:r>
      <w:r w:rsidRPr="008E156C">
        <w:rPr>
          <w:rFonts w:ascii="Cambria" w:hAnsi="Cambria" w:cs="Cambria"/>
          <w:sz w:val="20"/>
          <w:szCs w:val="20"/>
        </w:rPr>
        <w:t xml:space="preserve"> an </w:t>
      </w:r>
      <w:r w:rsidRPr="008E156C">
        <w:rPr>
          <w:rFonts w:ascii="Cambria" w:hAnsi="Cambria" w:cs="Cambria"/>
          <w:i/>
          <w:sz w:val="20"/>
          <w:szCs w:val="20"/>
        </w:rPr>
        <w:t>amparo</w:t>
      </w:r>
      <w:r w:rsidRPr="008E156C">
        <w:rPr>
          <w:rFonts w:ascii="Cambria" w:hAnsi="Cambria" w:cs="Cambria"/>
          <w:sz w:val="20"/>
          <w:szCs w:val="20"/>
        </w:rPr>
        <w:t xml:space="preserve"> remedy for their release was filed, claiming that the mechanism of </w:t>
      </w:r>
      <w:r w:rsidR="003112BD" w:rsidRPr="008E156C">
        <w:rPr>
          <w:rFonts w:ascii="Cambria" w:hAnsi="Cambria" w:cs="Cambria"/>
          <w:sz w:val="20"/>
          <w:szCs w:val="20"/>
        </w:rPr>
        <w:t>“</w:t>
      </w:r>
      <w:r w:rsidRPr="008E156C">
        <w:rPr>
          <w:rFonts w:ascii="Cambria" w:hAnsi="Cambria" w:cs="Cambria"/>
          <w:sz w:val="20"/>
          <w:szCs w:val="20"/>
        </w:rPr>
        <w:t>firm arrest</w:t>
      </w:r>
      <w:r w:rsidR="003112BD" w:rsidRPr="008E156C">
        <w:rPr>
          <w:rFonts w:ascii="Cambria" w:hAnsi="Cambria" w:cs="Cambria"/>
          <w:sz w:val="20"/>
          <w:szCs w:val="20"/>
        </w:rPr>
        <w:t>”</w:t>
      </w:r>
      <w:r w:rsidRPr="008E156C">
        <w:rPr>
          <w:rFonts w:ascii="Cambria" w:hAnsi="Cambria" w:cs="Cambria"/>
          <w:sz w:val="20"/>
          <w:szCs w:val="20"/>
        </w:rPr>
        <w:t xml:space="preserve"> did not exist under police law and stating that the President of the CNJP had applied an article that came into force following the commencement of the proceedings.</w:t>
      </w:r>
      <w:r w:rsidRPr="008E156C">
        <w:rPr>
          <w:rFonts w:ascii="Cambria" w:hAnsi="Cambria" w:cs="Cambria"/>
          <w:sz w:val="20"/>
          <w:szCs w:val="20"/>
          <w:vertAlign w:val="superscript"/>
        </w:rPr>
        <w:footnoteReference w:id="6"/>
      </w:r>
      <w:r w:rsidRPr="008E156C">
        <w:rPr>
          <w:rFonts w:ascii="Cambria" w:hAnsi="Cambria" w:cs="Cambria"/>
          <w:sz w:val="20"/>
          <w:szCs w:val="20"/>
          <w:vertAlign w:val="superscript"/>
        </w:rPr>
        <w:t xml:space="preserve"> </w:t>
      </w:r>
      <w:r w:rsidRPr="008E156C">
        <w:rPr>
          <w:rFonts w:ascii="Cambria" w:hAnsi="Cambria" w:cs="Cambria"/>
          <w:sz w:val="20"/>
          <w:szCs w:val="20"/>
        </w:rPr>
        <w:t xml:space="preserve">He adds that on July 3, 2003, the release </w:t>
      </w:r>
      <w:r w:rsidRPr="008E156C">
        <w:rPr>
          <w:rFonts w:ascii="Cambria" w:hAnsi="Cambria" w:cs="Cambria"/>
          <w:i/>
          <w:sz w:val="20"/>
          <w:szCs w:val="20"/>
        </w:rPr>
        <w:t>amparo</w:t>
      </w:r>
      <w:r w:rsidRPr="008E156C">
        <w:rPr>
          <w:rFonts w:ascii="Cambria" w:hAnsi="Cambria" w:cs="Cambria"/>
          <w:sz w:val="20"/>
          <w:szCs w:val="20"/>
        </w:rPr>
        <w:t xml:space="preserve"> was denied and that the alleged victims were kept under arrest in spite of a resolution of the Supreme Court of Justice, dated January 23, 2004, ruling that </w:t>
      </w:r>
      <w:r w:rsidR="003112BD" w:rsidRPr="008E156C">
        <w:rPr>
          <w:rFonts w:ascii="Cambria" w:hAnsi="Cambria" w:cs="Cambria"/>
          <w:sz w:val="20"/>
          <w:szCs w:val="20"/>
        </w:rPr>
        <w:t>“</w:t>
      </w:r>
      <w:r w:rsidRPr="008E156C">
        <w:rPr>
          <w:rFonts w:ascii="Cambria" w:hAnsi="Cambria" w:cs="Cambria"/>
          <w:sz w:val="20"/>
          <w:szCs w:val="20"/>
        </w:rPr>
        <w:t>firm arrest</w:t>
      </w:r>
      <w:r w:rsidR="003112BD" w:rsidRPr="008E156C">
        <w:rPr>
          <w:rFonts w:ascii="Cambria" w:hAnsi="Cambria" w:cs="Cambria"/>
          <w:sz w:val="20"/>
          <w:szCs w:val="20"/>
        </w:rPr>
        <w:t>”</w:t>
      </w:r>
      <w:r w:rsidRPr="008E156C">
        <w:rPr>
          <w:rFonts w:ascii="Cambria" w:hAnsi="Cambria" w:cs="Cambria"/>
          <w:sz w:val="20"/>
          <w:szCs w:val="20"/>
        </w:rPr>
        <w:t xml:space="preserve"> was not applicable to people whose trials had begun </w:t>
      </w:r>
      <w:r w:rsidR="00DD0C43" w:rsidRPr="008E156C">
        <w:rPr>
          <w:rFonts w:ascii="Cambria" w:hAnsi="Cambria" w:cs="Cambria"/>
          <w:sz w:val="20"/>
          <w:szCs w:val="20"/>
        </w:rPr>
        <w:t xml:space="preserve">before </w:t>
      </w:r>
      <w:r w:rsidRPr="008E156C">
        <w:rPr>
          <w:rFonts w:ascii="Cambria" w:hAnsi="Cambria" w:cs="Cambria"/>
          <w:sz w:val="20"/>
          <w:szCs w:val="20"/>
        </w:rPr>
        <w:t>the new code</w:t>
      </w:r>
      <w:r w:rsidR="00DD0C43" w:rsidRPr="008E156C">
        <w:rPr>
          <w:rFonts w:ascii="Cambria" w:hAnsi="Cambria" w:cs="Cambria"/>
          <w:sz w:val="20"/>
          <w:szCs w:val="20"/>
        </w:rPr>
        <w:t xml:space="preserve"> came </w:t>
      </w:r>
      <w:r w:rsidRPr="008E156C">
        <w:rPr>
          <w:rFonts w:ascii="Cambria" w:hAnsi="Cambria" w:cs="Cambria"/>
          <w:sz w:val="20"/>
          <w:szCs w:val="20"/>
        </w:rPr>
        <w:t xml:space="preserve">into force. </w:t>
      </w:r>
    </w:p>
    <w:p w:rsidR="00444A81" w:rsidRPr="008E156C" w:rsidRDefault="00444A81" w:rsidP="00DE7D1B">
      <w:pPr>
        <w:pStyle w:val="ListParagraph"/>
        <w:pBdr>
          <w:top w:val="none" w:sz="0" w:space="0" w:color="auto"/>
          <w:left w:val="none" w:sz="0" w:space="0" w:color="auto"/>
          <w:bottom w:val="none" w:sz="0" w:space="0" w:color="auto"/>
          <w:right w:val="none" w:sz="0" w:space="0" w:color="auto"/>
          <w:bar w:val="none" w:sz="0" w:color="auto"/>
        </w:pBdr>
        <w:rPr>
          <w:rFonts w:cs="Times New Roman"/>
          <w:color w:val="auto"/>
          <w:sz w:val="20"/>
          <w:szCs w:val="20"/>
        </w:rPr>
      </w:pPr>
    </w:p>
    <w:p w:rsidR="00444A81" w:rsidRPr="008E156C" w:rsidRDefault="00444A81" w:rsidP="00444A81">
      <w:pPr>
        <w:pStyle w:val="BodyText"/>
        <w:numPr>
          <w:ilvl w:val="0"/>
          <w:numId w:val="53"/>
        </w:numPr>
        <w:pBdr>
          <w:top w:val="none" w:sz="0" w:space="0" w:color="auto"/>
          <w:left w:val="none" w:sz="0" w:space="0" w:color="auto"/>
          <w:bottom w:val="none" w:sz="0" w:space="0" w:color="auto"/>
          <w:right w:val="none" w:sz="0" w:space="0" w:color="auto"/>
          <w:bar w:val="none" w:sz="0" w:color="auto"/>
        </w:pBdr>
        <w:tabs>
          <w:tab w:val="clear" w:pos="720"/>
        </w:tabs>
        <w:spacing w:after="0"/>
        <w:jc w:val="both"/>
        <w:rPr>
          <w:rFonts w:ascii="Cambria" w:hAnsi="Cambria" w:cs="Cambria"/>
          <w:sz w:val="20"/>
          <w:szCs w:val="20"/>
        </w:rPr>
      </w:pPr>
      <w:r w:rsidRPr="008E156C">
        <w:rPr>
          <w:rFonts w:ascii="Cambria" w:hAnsi="Cambria" w:cs="Cambria"/>
          <w:sz w:val="20"/>
          <w:szCs w:val="20"/>
        </w:rPr>
        <w:t xml:space="preserve">The petitioner contends that on January 27, 2004, the President of the CNJP took over the proceedings and overruled the </w:t>
      </w:r>
      <w:r w:rsidR="003112BD" w:rsidRPr="008E156C">
        <w:rPr>
          <w:rFonts w:ascii="Cambria" w:hAnsi="Cambria" w:cs="Cambria"/>
          <w:sz w:val="20"/>
          <w:szCs w:val="20"/>
        </w:rPr>
        <w:t>“</w:t>
      </w:r>
      <w:r w:rsidRPr="008E156C">
        <w:rPr>
          <w:rFonts w:ascii="Cambria" w:hAnsi="Cambria" w:cs="Cambria"/>
          <w:sz w:val="20"/>
          <w:szCs w:val="20"/>
        </w:rPr>
        <w:t>firm arrest.</w:t>
      </w:r>
      <w:r w:rsidR="003112BD" w:rsidRPr="008E156C">
        <w:rPr>
          <w:rFonts w:ascii="Cambria" w:hAnsi="Cambria" w:cs="Cambria"/>
          <w:sz w:val="20"/>
          <w:szCs w:val="20"/>
        </w:rPr>
        <w:t>”</w:t>
      </w:r>
      <w:r w:rsidRPr="008E156C">
        <w:rPr>
          <w:rFonts w:ascii="Cambria" w:hAnsi="Cambria" w:cs="Cambria"/>
          <w:sz w:val="20"/>
          <w:szCs w:val="20"/>
        </w:rPr>
        <w:t xml:space="preserve"> In addition, he states that alongside the relief </w:t>
      </w:r>
      <w:r w:rsidRPr="008E156C">
        <w:rPr>
          <w:rFonts w:ascii="Cambria" w:hAnsi="Cambria" w:cs="Cambria"/>
          <w:i/>
          <w:sz w:val="20"/>
          <w:szCs w:val="20"/>
        </w:rPr>
        <w:t>amparo</w:t>
      </w:r>
      <w:r w:rsidRPr="008E156C">
        <w:rPr>
          <w:rFonts w:ascii="Cambria" w:hAnsi="Cambria" w:cs="Cambria"/>
          <w:sz w:val="20"/>
          <w:szCs w:val="20"/>
        </w:rPr>
        <w:t>, the alleged victims filed a remedy for annulment and an appeal remedy</w:t>
      </w:r>
      <w:r w:rsidRPr="008E156C">
        <w:rPr>
          <w:rFonts w:ascii="Cambria" w:hAnsi="Cambria" w:cs="Cambria"/>
          <w:sz w:val="20"/>
          <w:szCs w:val="20"/>
          <w:vertAlign w:val="superscript"/>
        </w:rPr>
        <w:footnoteReference w:id="7"/>
      </w:r>
      <w:r w:rsidRPr="008E156C">
        <w:rPr>
          <w:rFonts w:ascii="Cambria" w:hAnsi="Cambria" w:cs="Cambria"/>
          <w:sz w:val="20"/>
          <w:szCs w:val="20"/>
          <w:vertAlign w:val="superscript"/>
        </w:rPr>
        <w:t xml:space="preserve"> </w:t>
      </w:r>
      <w:r w:rsidRPr="008E156C">
        <w:rPr>
          <w:rFonts w:ascii="Cambria" w:hAnsi="Cambria" w:cs="Cambria"/>
          <w:sz w:val="20"/>
          <w:szCs w:val="20"/>
        </w:rPr>
        <w:t xml:space="preserve">with the CNJP on June 13, 2003. Both were dismissed: the remedy for annulment on July 31, 2003, and the appeal remedy on November 11 of that year. </w:t>
      </w:r>
    </w:p>
    <w:p w:rsidR="00444A81" w:rsidRPr="008E156C" w:rsidRDefault="00444A81" w:rsidP="00DE7D1B">
      <w:pPr>
        <w:pStyle w:val="BodyText"/>
        <w:pBdr>
          <w:top w:val="none" w:sz="0" w:space="0" w:color="auto"/>
          <w:left w:val="none" w:sz="0" w:space="0" w:color="auto"/>
          <w:bottom w:val="none" w:sz="0" w:space="0" w:color="auto"/>
          <w:right w:val="none" w:sz="0" w:space="0" w:color="auto"/>
          <w:bar w:val="none" w:sz="0" w:color="auto"/>
        </w:pBdr>
        <w:spacing w:after="0"/>
        <w:jc w:val="both"/>
        <w:rPr>
          <w:rFonts w:ascii="Cambria" w:hAnsi="Cambria" w:cs="Cambria"/>
          <w:sz w:val="20"/>
          <w:szCs w:val="20"/>
        </w:rPr>
      </w:pPr>
    </w:p>
    <w:p w:rsidR="00444A81" w:rsidRPr="008E156C" w:rsidRDefault="00C10D84" w:rsidP="00DE7D1B">
      <w:pPr>
        <w:pStyle w:val="BodyText"/>
        <w:numPr>
          <w:ilvl w:val="0"/>
          <w:numId w:val="53"/>
        </w:numPr>
        <w:pBdr>
          <w:top w:val="none" w:sz="0" w:space="0" w:color="auto"/>
          <w:left w:val="none" w:sz="0" w:space="0" w:color="auto"/>
          <w:bottom w:val="none" w:sz="0" w:space="0" w:color="auto"/>
          <w:right w:val="none" w:sz="0" w:space="0" w:color="auto"/>
          <w:bar w:val="none" w:sz="0" w:color="auto"/>
        </w:pBdr>
        <w:spacing w:after="0"/>
        <w:jc w:val="both"/>
        <w:rPr>
          <w:rFonts w:ascii="Cambria" w:hAnsi="Cambria" w:cs="Cambria"/>
          <w:sz w:val="20"/>
          <w:szCs w:val="20"/>
        </w:rPr>
      </w:pPr>
      <w:r w:rsidRPr="008E156C">
        <w:rPr>
          <w:rFonts w:ascii="Cambria" w:hAnsi="Cambria" w:cs="Cambria"/>
          <w:sz w:val="20"/>
          <w:szCs w:val="20"/>
        </w:rPr>
        <w:t>H</w:t>
      </w:r>
      <w:r w:rsidR="00444A81" w:rsidRPr="008E156C">
        <w:rPr>
          <w:rFonts w:ascii="Cambria" w:hAnsi="Cambria" w:cs="Cambria"/>
          <w:sz w:val="20"/>
          <w:szCs w:val="20"/>
        </w:rPr>
        <w:t xml:space="preserve">e reports that once the trial commencement deed was confirmed, they requested the recusal of the President of the CNJP. That motion was rejected on the grounds that his recusal was impossible. An application for revocation and a demand for the President of the CNJP to decline competence were also dismissed. In addition, on January 7, 2004, they filed a request for the Interior Ministry to oversee the proceedings, invoking the alleged violations committed against them. </w:t>
      </w:r>
    </w:p>
    <w:p w:rsidR="00444A81" w:rsidRPr="008E156C" w:rsidRDefault="00444A81" w:rsidP="00DE7D1B">
      <w:pPr>
        <w:pStyle w:val="ListParagraph"/>
        <w:pBdr>
          <w:top w:val="none" w:sz="0" w:space="0" w:color="auto"/>
          <w:left w:val="none" w:sz="0" w:space="0" w:color="auto"/>
          <w:bottom w:val="none" w:sz="0" w:space="0" w:color="auto"/>
          <w:right w:val="none" w:sz="0" w:space="0" w:color="auto"/>
          <w:bar w:val="none" w:sz="0" w:color="auto"/>
        </w:pBdr>
        <w:rPr>
          <w:rFonts w:cs="Times New Roman"/>
          <w:color w:val="auto"/>
          <w:sz w:val="20"/>
          <w:szCs w:val="20"/>
        </w:rPr>
      </w:pPr>
    </w:p>
    <w:p w:rsidR="00444A81" w:rsidRPr="008E156C" w:rsidRDefault="00444A81" w:rsidP="00DE7D1B">
      <w:pPr>
        <w:pStyle w:val="BodyText"/>
        <w:numPr>
          <w:ilvl w:val="0"/>
          <w:numId w:val="53"/>
        </w:numPr>
        <w:pBdr>
          <w:top w:val="none" w:sz="0" w:space="0" w:color="auto"/>
          <w:left w:val="none" w:sz="0" w:space="0" w:color="auto"/>
          <w:bottom w:val="none" w:sz="0" w:space="0" w:color="auto"/>
          <w:right w:val="none" w:sz="0" w:space="0" w:color="auto"/>
          <w:bar w:val="none" w:sz="0" w:color="auto"/>
        </w:pBdr>
        <w:spacing w:after="0"/>
        <w:jc w:val="both"/>
        <w:rPr>
          <w:rFonts w:ascii="Cambria" w:hAnsi="Cambria" w:cs="Cambria"/>
          <w:sz w:val="20"/>
          <w:szCs w:val="20"/>
        </w:rPr>
      </w:pPr>
      <w:r w:rsidRPr="008E156C">
        <w:rPr>
          <w:rFonts w:ascii="Cambria" w:hAnsi="Cambria" w:cs="Cambria"/>
          <w:sz w:val="20"/>
          <w:szCs w:val="20"/>
        </w:rPr>
        <w:t xml:space="preserve">At the same time, the petitioner reports that on July 3, 2003, he filed suit </w:t>
      </w:r>
      <w:r w:rsidR="00C10D84" w:rsidRPr="008E156C">
        <w:rPr>
          <w:rFonts w:ascii="Cambria" w:hAnsi="Cambria" w:cs="Cambria"/>
          <w:sz w:val="20"/>
          <w:szCs w:val="20"/>
        </w:rPr>
        <w:t xml:space="preserve">against the President of the CNJP </w:t>
      </w:r>
      <w:r w:rsidRPr="008E156C">
        <w:rPr>
          <w:rFonts w:ascii="Cambria" w:hAnsi="Cambria" w:cs="Cambria"/>
          <w:sz w:val="20"/>
          <w:szCs w:val="20"/>
        </w:rPr>
        <w:t xml:space="preserve">for perverting the course of justice. He states that the prosecutorial inquiry was opened, the proceedings were referred to the President of the Quito Court Superior, a trial was </w:t>
      </w:r>
      <w:r w:rsidR="00C10D84" w:rsidRPr="008E156C">
        <w:rPr>
          <w:rFonts w:ascii="Cambria" w:hAnsi="Cambria" w:cs="Cambria"/>
          <w:sz w:val="20"/>
          <w:szCs w:val="20"/>
        </w:rPr>
        <w:t>begun</w:t>
      </w:r>
      <w:r w:rsidRPr="008E156C">
        <w:rPr>
          <w:rFonts w:ascii="Cambria" w:hAnsi="Cambria" w:cs="Cambria"/>
          <w:sz w:val="20"/>
          <w:szCs w:val="20"/>
        </w:rPr>
        <w:t>, and the preventive custody of the former President of the CNJP was ordered; however, he had fled to await the triggering of statutory limitations in the proceedings brought against him.</w:t>
      </w:r>
    </w:p>
    <w:p w:rsidR="00444A81" w:rsidRPr="008E156C" w:rsidRDefault="00444A81" w:rsidP="00DE7D1B">
      <w:pPr>
        <w:pStyle w:val="ListParagraph"/>
        <w:pBdr>
          <w:top w:val="none" w:sz="0" w:space="0" w:color="auto"/>
          <w:left w:val="none" w:sz="0" w:space="0" w:color="auto"/>
          <w:bottom w:val="none" w:sz="0" w:space="0" w:color="auto"/>
          <w:right w:val="none" w:sz="0" w:space="0" w:color="auto"/>
          <w:bar w:val="none" w:sz="0" w:color="auto"/>
        </w:pBdr>
        <w:rPr>
          <w:rFonts w:cs="Times New Roman"/>
          <w:color w:val="auto"/>
          <w:sz w:val="20"/>
          <w:szCs w:val="20"/>
        </w:rPr>
      </w:pPr>
    </w:p>
    <w:p w:rsidR="00444A81" w:rsidRPr="008E156C" w:rsidRDefault="00444A81" w:rsidP="00DE7D1B">
      <w:pPr>
        <w:pStyle w:val="BodyText"/>
        <w:numPr>
          <w:ilvl w:val="0"/>
          <w:numId w:val="53"/>
        </w:numPr>
        <w:pBdr>
          <w:top w:val="none" w:sz="0" w:space="0" w:color="auto"/>
          <w:left w:val="none" w:sz="0" w:space="0" w:color="auto"/>
          <w:bottom w:val="none" w:sz="0" w:space="0" w:color="auto"/>
          <w:right w:val="none" w:sz="0" w:space="0" w:color="auto"/>
          <w:bar w:val="none" w:sz="0" w:color="auto"/>
        </w:pBdr>
        <w:spacing w:after="0"/>
        <w:jc w:val="both"/>
        <w:rPr>
          <w:rFonts w:ascii="Cambria" w:hAnsi="Cambria" w:cs="Cambria"/>
          <w:sz w:val="20"/>
          <w:szCs w:val="20"/>
        </w:rPr>
      </w:pPr>
      <w:r w:rsidRPr="008E156C">
        <w:rPr>
          <w:rFonts w:ascii="Cambria" w:hAnsi="Cambria" w:cs="Cambria"/>
          <w:sz w:val="20"/>
          <w:szCs w:val="20"/>
        </w:rPr>
        <w:t>According to the petitioner, with the confirmation of the grounded deed, the charges against Mr. Cevallos were temporarily suspended and Mr. Villarroel</w:t>
      </w:r>
      <w:r w:rsidR="003112BD" w:rsidRPr="008E156C">
        <w:rPr>
          <w:rFonts w:ascii="Cambria" w:hAnsi="Cambria" w:cs="Cambria"/>
          <w:sz w:val="20"/>
          <w:szCs w:val="20"/>
        </w:rPr>
        <w:t>’</w:t>
      </w:r>
      <w:r w:rsidRPr="008E156C">
        <w:rPr>
          <w:rFonts w:ascii="Cambria" w:hAnsi="Cambria" w:cs="Cambria"/>
          <w:sz w:val="20"/>
          <w:szCs w:val="20"/>
        </w:rPr>
        <w:t>s status in the proceedings was amended from perpetrator to suspected accomplice. Later, on September 6, 2004, the CN</w:t>
      </w:r>
      <w:r w:rsidR="00700DB1" w:rsidRPr="008E156C">
        <w:rPr>
          <w:rFonts w:ascii="Cambria" w:hAnsi="Cambria" w:cs="Cambria"/>
          <w:sz w:val="20"/>
          <w:szCs w:val="20"/>
        </w:rPr>
        <w:t>J</w:t>
      </w:r>
      <w:r w:rsidRPr="008E156C">
        <w:rPr>
          <w:rFonts w:ascii="Cambria" w:hAnsi="Cambria" w:cs="Cambria"/>
          <w:sz w:val="20"/>
          <w:szCs w:val="20"/>
        </w:rPr>
        <w:t>P requested th</w:t>
      </w:r>
      <w:r w:rsidR="00C10D84" w:rsidRPr="008E156C">
        <w:rPr>
          <w:rFonts w:ascii="Cambria" w:hAnsi="Cambria" w:cs="Cambria"/>
          <w:sz w:val="20"/>
          <w:szCs w:val="20"/>
        </w:rPr>
        <w:t>at</w:t>
      </w:r>
      <w:r w:rsidRPr="008E156C">
        <w:rPr>
          <w:rFonts w:ascii="Cambria" w:hAnsi="Cambria" w:cs="Cambria"/>
          <w:sz w:val="20"/>
          <w:szCs w:val="20"/>
        </w:rPr>
        <w:t xml:space="preserve"> Police Prosecutor present his final ruling, to which the Prosecutor replied on October 8 indicating that there was insufficient evidence for charges to be brought. </w:t>
      </w: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rPr>
          <w:rFonts w:ascii="Cambria" w:hAnsi="Cambria" w:cs="Cambria"/>
          <w:sz w:val="20"/>
          <w:szCs w:val="20"/>
        </w:rPr>
      </w:pPr>
    </w:p>
    <w:p w:rsidR="00444A81" w:rsidRPr="008E156C" w:rsidRDefault="00444A81" w:rsidP="00444A81">
      <w:pPr>
        <w:pStyle w:val="BodyText"/>
        <w:numPr>
          <w:ilvl w:val="0"/>
          <w:numId w:val="53"/>
        </w:numPr>
        <w:pBdr>
          <w:top w:val="none" w:sz="0" w:space="0" w:color="auto"/>
          <w:left w:val="none" w:sz="0" w:space="0" w:color="auto"/>
          <w:bottom w:val="none" w:sz="0" w:space="0" w:color="auto"/>
          <w:right w:val="none" w:sz="0" w:space="0" w:color="auto"/>
          <w:bar w:val="none" w:sz="0" w:color="auto"/>
        </w:pBdr>
        <w:tabs>
          <w:tab w:val="clear" w:pos="720"/>
        </w:tabs>
        <w:spacing w:after="0"/>
        <w:jc w:val="both"/>
        <w:rPr>
          <w:rFonts w:ascii="Cambria" w:hAnsi="Cambria" w:cs="Cambria"/>
          <w:sz w:val="20"/>
          <w:szCs w:val="20"/>
        </w:rPr>
      </w:pPr>
      <w:r w:rsidRPr="008E156C">
        <w:rPr>
          <w:rFonts w:ascii="Cambria" w:hAnsi="Cambria" w:cs="Cambria"/>
          <w:sz w:val="20"/>
          <w:szCs w:val="20"/>
        </w:rPr>
        <w:t xml:space="preserve">The petitioner contends that even so, a conviction was handed down on January 10, 2005. Messrs. Vinueza, Coloma, and Villarroel were convicted of the crime </w:t>
      </w:r>
      <w:r w:rsidR="003C06D8" w:rsidRPr="008E156C">
        <w:rPr>
          <w:rFonts w:ascii="Cambria" w:hAnsi="Cambria" w:cs="Cambria"/>
          <w:sz w:val="20"/>
          <w:szCs w:val="20"/>
        </w:rPr>
        <w:t>set out</w:t>
      </w:r>
      <w:r w:rsidRPr="008E156C">
        <w:rPr>
          <w:rFonts w:ascii="Cambria" w:hAnsi="Cambria" w:cs="Cambria"/>
          <w:sz w:val="20"/>
          <w:szCs w:val="20"/>
        </w:rPr>
        <w:t xml:space="preserve"> in Article 222, sections 1, 3, 4, and 10, of the Police Criminal Code</w:t>
      </w:r>
      <w:r w:rsidR="003C06D8" w:rsidRPr="008E156C">
        <w:rPr>
          <w:rFonts w:ascii="Cambria" w:hAnsi="Cambria" w:cs="Cambria"/>
          <w:sz w:val="20"/>
          <w:szCs w:val="20"/>
        </w:rPr>
        <w:t xml:space="preserve">, while </w:t>
      </w:r>
      <w:r w:rsidRPr="008E156C">
        <w:rPr>
          <w:rFonts w:ascii="Cambria" w:hAnsi="Cambria" w:cs="Cambria"/>
          <w:sz w:val="20"/>
          <w:szCs w:val="20"/>
        </w:rPr>
        <w:t xml:space="preserve">Mr. Amílcar Ascazubi Albán was acquitted. An appeal against the judgment was lodged with the CNJP. On May 4, 2005, the Court conveyed the appeal to the Police Prosecutor for his response, which was given on May 6, reiterating his ruling that there should be no indictments. </w:t>
      </w:r>
    </w:p>
    <w:p w:rsidR="00444A81" w:rsidRPr="008E156C" w:rsidRDefault="00444A81" w:rsidP="00DE7D1B">
      <w:pPr>
        <w:pStyle w:val="ListParagraph"/>
        <w:pBdr>
          <w:top w:val="none" w:sz="0" w:space="0" w:color="auto"/>
          <w:left w:val="none" w:sz="0" w:space="0" w:color="auto"/>
          <w:bottom w:val="none" w:sz="0" w:space="0" w:color="auto"/>
          <w:right w:val="none" w:sz="0" w:space="0" w:color="auto"/>
          <w:bar w:val="none" w:sz="0" w:color="auto"/>
        </w:pBdr>
        <w:rPr>
          <w:rFonts w:cs="Times New Roman"/>
          <w:color w:val="auto"/>
          <w:sz w:val="20"/>
          <w:szCs w:val="20"/>
        </w:rPr>
      </w:pPr>
    </w:p>
    <w:p w:rsidR="00444A81" w:rsidRPr="008E156C" w:rsidRDefault="00444A81" w:rsidP="00444A81">
      <w:pPr>
        <w:pStyle w:val="BodyText"/>
        <w:numPr>
          <w:ilvl w:val="0"/>
          <w:numId w:val="53"/>
        </w:numPr>
        <w:pBdr>
          <w:top w:val="none" w:sz="0" w:space="0" w:color="auto"/>
          <w:left w:val="none" w:sz="0" w:space="0" w:color="auto"/>
          <w:bottom w:val="none" w:sz="0" w:space="0" w:color="auto"/>
          <w:right w:val="none" w:sz="0" w:space="0" w:color="auto"/>
          <w:bar w:val="none" w:sz="0" w:color="auto"/>
        </w:pBdr>
        <w:tabs>
          <w:tab w:val="clear" w:pos="720"/>
        </w:tabs>
        <w:spacing w:after="0"/>
        <w:jc w:val="both"/>
        <w:rPr>
          <w:rFonts w:ascii="Cambria" w:hAnsi="Cambria" w:cs="Cambria"/>
          <w:sz w:val="20"/>
          <w:szCs w:val="20"/>
        </w:rPr>
      </w:pPr>
      <w:r w:rsidRPr="008E156C">
        <w:rPr>
          <w:rFonts w:ascii="Cambria" w:hAnsi="Cambria" w:cs="Cambria"/>
          <w:sz w:val="20"/>
          <w:szCs w:val="20"/>
        </w:rPr>
        <w:t>He adds that before the appeal could be resolved, new judges were appointed to the CNJP. On appeal, heard by the new bench, the CNJP found that there was no full evidence of the convicted defendants</w:t>
      </w:r>
      <w:r w:rsidR="003112BD" w:rsidRPr="008E156C">
        <w:rPr>
          <w:rFonts w:ascii="Cambria" w:hAnsi="Cambria" w:cs="Cambria"/>
          <w:sz w:val="20"/>
          <w:szCs w:val="20"/>
        </w:rPr>
        <w:t>’</w:t>
      </w:r>
      <w:r w:rsidRPr="008E156C">
        <w:rPr>
          <w:rFonts w:ascii="Cambria" w:hAnsi="Cambria" w:cs="Cambria"/>
          <w:sz w:val="20"/>
          <w:szCs w:val="20"/>
        </w:rPr>
        <w:t xml:space="preserve"> guilt and ordered the definitive dismissal of the charges against Messrs. Villarroel and Coloma and the acquittal of Mr. Vinueza in September 2005. </w:t>
      </w:r>
    </w:p>
    <w:p w:rsidR="00444A81" w:rsidRPr="008E156C" w:rsidRDefault="00444A81" w:rsidP="00DE7D1B">
      <w:pPr>
        <w:pStyle w:val="BodyText"/>
        <w:pBdr>
          <w:top w:val="none" w:sz="0" w:space="0" w:color="auto"/>
          <w:left w:val="none" w:sz="0" w:space="0" w:color="auto"/>
          <w:bottom w:val="none" w:sz="0" w:space="0" w:color="auto"/>
          <w:right w:val="none" w:sz="0" w:space="0" w:color="auto"/>
          <w:bar w:val="none" w:sz="0" w:color="auto"/>
        </w:pBdr>
        <w:spacing w:after="0"/>
        <w:jc w:val="both"/>
        <w:rPr>
          <w:rFonts w:ascii="Cambria" w:hAnsi="Cambria" w:cs="Cambria"/>
          <w:sz w:val="20"/>
          <w:szCs w:val="20"/>
        </w:rPr>
      </w:pPr>
    </w:p>
    <w:p w:rsidR="00444A81" w:rsidRPr="008E156C" w:rsidRDefault="00444A81" w:rsidP="00DE7D1B">
      <w:pPr>
        <w:pStyle w:val="BodyText"/>
        <w:numPr>
          <w:ilvl w:val="0"/>
          <w:numId w:val="53"/>
        </w:numPr>
        <w:pBdr>
          <w:top w:val="none" w:sz="0" w:space="0" w:color="auto"/>
          <w:left w:val="none" w:sz="0" w:space="0" w:color="auto"/>
          <w:bottom w:val="none" w:sz="0" w:space="0" w:color="auto"/>
          <w:right w:val="none" w:sz="0" w:space="0" w:color="auto"/>
          <w:bar w:val="none" w:sz="0" w:color="auto"/>
        </w:pBdr>
        <w:spacing w:after="0"/>
        <w:jc w:val="both"/>
        <w:rPr>
          <w:rFonts w:ascii="Cambria" w:hAnsi="Cambria" w:cs="Cambria"/>
          <w:sz w:val="20"/>
          <w:szCs w:val="20"/>
        </w:rPr>
      </w:pPr>
      <w:r w:rsidRPr="008E156C">
        <w:rPr>
          <w:rFonts w:ascii="Cambria" w:hAnsi="Cambria" w:cs="Cambria"/>
          <w:sz w:val="20"/>
          <w:szCs w:val="20"/>
        </w:rPr>
        <w:t xml:space="preserve">The petitioner adds that following his definitive dismissal, Mr. Villarroel sought redress for </w:t>
      </w:r>
      <w:r w:rsidR="003C06D8" w:rsidRPr="008E156C">
        <w:rPr>
          <w:rFonts w:ascii="Cambria" w:hAnsi="Cambria" w:cs="Cambria"/>
          <w:sz w:val="20"/>
          <w:szCs w:val="20"/>
        </w:rPr>
        <w:t xml:space="preserve">his </w:t>
      </w:r>
      <w:r w:rsidR="003112BD" w:rsidRPr="008E156C">
        <w:rPr>
          <w:rFonts w:ascii="Cambria" w:hAnsi="Cambria" w:cs="Cambria"/>
          <w:sz w:val="20"/>
          <w:szCs w:val="20"/>
        </w:rPr>
        <w:t>“</w:t>
      </w:r>
      <w:r w:rsidRPr="008E156C">
        <w:rPr>
          <w:rFonts w:ascii="Cambria" w:hAnsi="Cambria" w:cs="Cambria"/>
          <w:sz w:val="20"/>
          <w:szCs w:val="20"/>
        </w:rPr>
        <w:t>firm arrest</w:t>
      </w:r>
      <w:r w:rsidR="003112BD" w:rsidRPr="008E156C">
        <w:rPr>
          <w:rFonts w:ascii="Cambria" w:hAnsi="Cambria" w:cs="Cambria"/>
          <w:sz w:val="20"/>
          <w:szCs w:val="20"/>
        </w:rPr>
        <w:t>”</w:t>
      </w:r>
      <w:r w:rsidRPr="008E156C">
        <w:rPr>
          <w:rFonts w:ascii="Cambria" w:hAnsi="Cambria" w:cs="Cambria"/>
          <w:sz w:val="20"/>
          <w:szCs w:val="20"/>
        </w:rPr>
        <w:t xml:space="preserve"> and </w:t>
      </w:r>
      <w:r w:rsidR="003C06D8" w:rsidRPr="008E156C">
        <w:rPr>
          <w:rFonts w:ascii="Cambria" w:hAnsi="Cambria" w:cs="Cambria"/>
          <w:sz w:val="20"/>
          <w:szCs w:val="20"/>
        </w:rPr>
        <w:t>prosecution</w:t>
      </w:r>
      <w:r w:rsidRPr="008E156C">
        <w:rPr>
          <w:rFonts w:ascii="Cambria" w:hAnsi="Cambria" w:cs="Cambria"/>
          <w:sz w:val="20"/>
          <w:szCs w:val="20"/>
        </w:rPr>
        <w:t>. Thus, he filed a suit for compensation with the President of the CNJP on March 24, 2006, which was rejected on April 5 on the grounds that the matter should be de</w:t>
      </w:r>
      <w:r w:rsidR="00C27A06" w:rsidRPr="008E156C">
        <w:rPr>
          <w:rFonts w:ascii="Cambria" w:hAnsi="Cambria" w:cs="Cambria"/>
          <w:sz w:val="20"/>
          <w:szCs w:val="20"/>
        </w:rPr>
        <w:t>alt with by the regular civil</w:t>
      </w:r>
      <w:r w:rsidRPr="008E156C">
        <w:rPr>
          <w:rFonts w:ascii="Cambria" w:hAnsi="Cambria" w:cs="Cambria"/>
          <w:sz w:val="20"/>
          <w:szCs w:val="20"/>
        </w:rPr>
        <w:t xml:space="preserve"> courts. He reports that he thereupon filed an application with the President of the Republic, which was also dismissed on the grounds of incompetence. Later, he filed a suit with the civil judge of Pichincha and, subsequently, with the Supreme Court of Justice, both of which were dismissed. The petitioner offers no information on any similar remedies lodged by the other alleged victims.</w:t>
      </w:r>
    </w:p>
    <w:p w:rsidR="00444A81" w:rsidRPr="008E156C" w:rsidRDefault="00444A81" w:rsidP="00DE7D1B">
      <w:pPr>
        <w:pStyle w:val="BodyText"/>
        <w:pBdr>
          <w:top w:val="none" w:sz="0" w:space="0" w:color="auto"/>
          <w:left w:val="none" w:sz="0" w:space="0" w:color="auto"/>
          <w:bottom w:val="none" w:sz="0" w:space="0" w:color="auto"/>
          <w:right w:val="none" w:sz="0" w:space="0" w:color="auto"/>
          <w:bar w:val="none" w:sz="0" w:color="auto"/>
        </w:pBdr>
        <w:spacing w:after="0"/>
        <w:jc w:val="both"/>
        <w:rPr>
          <w:rFonts w:ascii="Cambria" w:hAnsi="Cambria" w:cs="Cambria"/>
          <w:sz w:val="20"/>
          <w:szCs w:val="20"/>
        </w:rPr>
      </w:pPr>
    </w:p>
    <w:p w:rsidR="00444A81" w:rsidRPr="008E156C" w:rsidRDefault="00444A81" w:rsidP="00DE7D1B">
      <w:pPr>
        <w:pStyle w:val="BodyText"/>
        <w:numPr>
          <w:ilvl w:val="0"/>
          <w:numId w:val="53"/>
        </w:numPr>
        <w:pBdr>
          <w:top w:val="none" w:sz="0" w:space="0" w:color="auto"/>
          <w:left w:val="none" w:sz="0" w:space="0" w:color="auto"/>
          <w:bottom w:val="none" w:sz="0" w:space="0" w:color="auto"/>
          <w:right w:val="none" w:sz="0" w:space="0" w:color="auto"/>
          <w:bar w:val="none" w:sz="0" w:color="auto"/>
        </w:pBdr>
        <w:spacing w:after="0"/>
        <w:jc w:val="both"/>
        <w:rPr>
          <w:rFonts w:ascii="Cambria" w:hAnsi="Cambria" w:cs="Cambria"/>
          <w:sz w:val="20"/>
          <w:szCs w:val="20"/>
        </w:rPr>
      </w:pPr>
      <w:r w:rsidRPr="008E156C">
        <w:rPr>
          <w:rFonts w:ascii="Cambria" w:hAnsi="Cambria" w:cs="Cambria"/>
          <w:sz w:val="20"/>
          <w:szCs w:val="20"/>
        </w:rPr>
        <w:t xml:space="preserve">The petitioner further claims that the judgment acquitting the alleged victims represents </w:t>
      </w:r>
      <w:r w:rsidR="003112BD" w:rsidRPr="008E156C">
        <w:rPr>
          <w:rFonts w:ascii="Cambria" w:hAnsi="Cambria" w:cs="Cambria"/>
          <w:sz w:val="20"/>
          <w:szCs w:val="20"/>
        </w:rPr>
        <w:t>“</w:t>
      </w:r>
      <w:r w:rsidRPr="008E156C">
        <w:rPr>
          <w:rFonts w:ascii="Cambria" w:hAnsi="Cambria" w:cs="Cambria"/>
          <w:sz w:val="20"/>
          <w:szCs w:val="20"/>
        </w:rPr>
        <w:t>irrefutable proof of the systematic violation of constitutional and legal rights</w:t>
      </w:r>
      <w:r w:rsidR="003112BD" w:rsidRPr="008E156C">
        <w:rPr>
          <w:rFonts w:ascii="Cambria" w:hAnsi="Cambria" w:cs="Cambria"/>
          <w:sz w:val="20"/>
          <w:szCs w:val="20"/>
        </w:rPr>
        <w:t>”</w:t>
      </w:r>
      <w:r w:rsidRPr="008E156C">
        <w:rPr>
          <w:rFonts w:ascii="Cambria" w:hAnsi="Cambria" w:cs="Cambria"/>
          <w:sz w:val="20"/>
          <w:szCs w:val="20"/>
        </w:rPr>
        <w:t xml:space="preserve"> and that they were acquitted because there was a new bench of judges at the CNJP. He argues that the proceedings were brought against the alleged victims because of </w:t>
      </w:r>
      <w:r w:rsidR="003112BD" w:rsidRPr="008E156C">
        <w:rPr>
          <w:rFonts w:ascii="Cambria" w:hAnsi="Cambria" w:cs="Cambria"/>
          <w:sz w:val="20"/>
          <w:szCs w:val="20"/>
        </w:rPr>
        <w:t>“</w:t>
      </w:r>
      <w:r w:rsidRPr="008E156C">
        <w:rPr>
          <w:rFonts w:ascii="Cambria" w:hAnsi="Cambria" w:cs="Cambria"/>
          <w:sz w:val="20"/>
          <w:szCs w:val="20"/>
        </w:rPr>
        <w:t>personal revenge</w:t>
      </w:r>
      <w:r w:rsidR="003112BD" w:rsidRPr="008E156C">
        <w:rPr>
          <w:rFonts w:ascii="Cambria" w:hAnsi="Cambria" w:cs="Cambria"/>
          <w:sz w:val="20"/>
          <w:szCs w:val="20"/>
        </w:rPr>
        <w:t>”</w:t>
      </w:r>
      <w:r w:rsidRPr="008E156C">
        <w:rPr>
          <w:rFonts w:ascii="Cambria" w:hAnsi="Cambria" w:cs="Cambria"/>
          <w:sz w:val="20"/>
          <w:szCs w:val="20"/>
        </w:rPr>
        <w:t xml:space="preserve"> against General Villarroel, involving President Lucio Gutiérrez, members of the CNJP, and other senior police authorities. He alleges that the former President of the CNJP assumed functions for which he did not have competence: for example, on the date the grounded deed was issued, he had not taken </w:t>
      </w:r>
      <w:r w:rsidR="003C06D8" w:rsidRPr="008E156C">
        <w:rPr>
          <w:rFonts w:ascii="Cambria" w:hAnsi="Cambria" w:cs="Cambria"/>
          <w:sz w:val="20"/>
          <w:szCs w:val="20"/>
        </w:rPr>
        <w:t xml:space="preserve">possession </w:t>
      </w:r>
      <w:r w:rsidRPr="008E156C">
        <w:rPr>
          <w:rFonts w:ascii="Cambria" w:hAnsi="Cambria" w:cs="Cambria"/>
          <w:sz w:val="20"/>
          <w:szCs w:val="20"/>
        </w:rPr>
        <w:t>of his position as the court</w:t>
      </w:r>
      <w:r w:rsidR="003112BD" w:rsidRPr="008E156C">
        <w:rPr>
          <w:rFonts w:ascii="Cambria" w:hAnsi="Cambria" w:cs="Cambria"/>
          <w:sz w:val="20"/>
          <w:szCs w:val="20"/>
        </w:rPr>
        <w:t>’</w:t>
      </w:r>
      <w:r w:rsidRPr="008E156C">
        <w:rPr>
          <w:rFonts w:ascii="Cambria" w:hAnsi="Cambria" w:cs="Cambria"/>
          <w:sz w:val="20"/>
          <w:szCs w:val="20"/>
        </w:rPr>
        <w:t xml:space="preserve">s president. </w:t>
      </w:r>
    </w:p>
    <w:p w:rsidR="00444A81" w:rsidRPr="008E156C" w:rsidRDefault="00444A81" w:rsidP="00DE7D1B">
      <w:pPr>
        <w:pStyle w:val="ListParagraph"/>
        <w:pBdr>
          <w:top w:val="none" w:sz="0" w:space="0" w:color="auto"/>
          <w:left w:val="none" w:sz="0" w:space="0" w:color="auto"/>
          <w:bottom w:val="none" w:sz="0" w:space="0" w:color="auto"/>
          <w:right w:val="none" w:sz="0" w:space="0" w:color="auto"/>
          <w:bar w:val="none" w:sz="0" w:color="auto"/>
        </w:pBdr>
        <w:rPr>
          <w:rFonts w:cs="Times New Roman"/>
          <w:color w:val="auto"/>
          <w:sz w:val="20"/>
          <w:szCs w:val="20"/>
        </w:rPr>
      </w:pPr>
    </w:p>
    <w:p w:rsidR="00444A81" w:rsidRPr="008E156C" w:rsidRDefault="00444A81" w:rsidP="00DE7D1B">
      <w:pPr>
        <w:pStyle w:val="BodyText"/>
        <w:numPr>
          <w:ilvl w:val="0"/>
          <w:numId w:val="53"/>
        </w:numPr>
        <w:pBdr>
          <w:top w:val="none" w:sz="0" w:space="0" w:color="auto"/>
          <w:left w:val="none" w:sz="0" w:space="0" w:color="auto"/>
          <w:bottom w:val="none" w:sz="0" w:space="0" w:color="auto"/>
          <w:right w:val="none" w:sz="0" w:space="0" w:color="auto"/>
          <w:bar w:val="none" w:sz="0" w:color="auto"/>
        </w:pBdr>
        <w:spacing w:after="0"/>
        <w:jc w:val="both"/>
        <w:rPr>
          <w:rFonts w:ascii="Cambria" w:hAnsi="Cambria" w:cs="Cambria"/>
          <w:sz w:val="20"/>
          <w:szCs w:val="20"/>
        </w:rPr>
      </w:pPr>
      <w:r w:rsidRPr="008E156C">
        <w:rPr>
          <w:rFonts w:ascii="Cambria" w:hAnsi="Cambria" w:cs="Cambria"/>
          <w:sz w:val="20"/>
          <w:szCs w:val="20"/>
        </w:rPr>
        <w:t xml:space="preserve">In addition, the petitioner points to the </w:t>
      </w:r>
      <w:r w:rsidR="003C06D8" w:rsidRPr="008E156C">
        <w:rPr>
          <w:rFonts w:ascii="Cambria" w:hAnsi="Cambria" w:cs="Cambria"/>
          <w:sz w:val="20"/>
          <w:szCs w:val="20"/>
        </w:rPr>
        <w:t>application</w:t>
      </w:r>
      <w:r w:rsidRPr="008E156C">
        <w:rPr>
          <w:rFonts w:ascii="Cambria" w:hAnsi="Cambria" w:cs="Cambria"/>
          <w:sz w:val="20"/>
          <w:szCs w:val="20"/>
        </w:rPr>
        <w:t xml:space="preserve"> of a crim</w:t>
      </w:r>
      <w:r w:rsidR="003C06D8" w:rsidRPr="008E156C">
        <w:rPr>
          <w:rFonts w:ascii="Cambria" w:hAnsi="Cambria" w:cs="Cambria"/>
          <w:sz w:val="20"/>
          <w:szCs w:val="20"/>
        </w:rPr>
        <w:t>inal offense</w:t>
      </w:r>
      <w:r w:rsidRPr="008E156C">
        <w:rPr>
          <w:rFonts w:ascii="Cambria" w:hAnsi="Cambria" w:cs="Cambria"/>
          <w:sz w:val="20"/>
          <w:szCs w:val="20"/>
        </w:rPr>
        <w:t xml:space="preserve"> deemed more serious under the police justice system and, in addition, to a precedent set by the former Supreme Court of Justice holding that the crime of embezzlement was not a police crime and should therefore be prosecuted by the regular courts. Finally, he claims a lack of impartiality and independence on the part of the CNJP in that, under the rules that applied, there were no other venues or chambers for hearing and ruling on the remedies lodged. Thus, he argues that all the remedies filed during the alleged victims</w:t>
      </w:r>
      <w:r w:rsidR="003112BD" w:rsidRPr="008E156C">
        <w:rPr>
          <w:rFonts w:ascii="Cambria" w:hAnsi="Cambria" w:cs="Cambria"/>
          <w:sz w:val="20"/>
          <w:szCs w:val="20"/>
        </w:rPr>
        <w:t>’</w:t>
      </w:r>
      <w:r w:rsidRPr="008E156C">
        <w:rPr>
          <w:rFonts w:ascii="Cambria" w:hAnsi="Cambria" w:cs="Cambria"/>
          <w:sz w:val="20"/>
          <w:szCs w:val="20"/>
        </w:rPr>
        <w:t xml:space="preserve"> criminal prosecution were resolved by the same CNJP judges. Finally, the petitioner adds that the new Constitution of the Republic of Ecuador came into force on October 20, 2008, which repealed the provisions of military and police criminal law and transferred all such </w:t>
      </w:r>
      <w:r w:rsidR="009A793F" w:rsidRPr="008E156C">
        <w:rPr>
          <w:rFonts w:ascii="Cambria" w:hAnsi="Cambria" w:cs="Cambria"/>
          <w:sz w:val="20"/>
          <w:szCs w:val="20"/>
        </w:rPr>
        <w:t xml:space="preserve">matters </w:t>
      </w:r>
      <w:r w:rsidRPr="008E156C">
        <w:rPr>
          <w:rFonts w:ascii="Cambria" w:hAnsi="Cambria" w:cs="Cambria"/>
          <w:sz w:val="20"/>
          <w:szCs w:val="20"/>
        </w:rPr>
        <w:t xml:space="preserve">to the regular courts. </w:t>
      </w:r>
    </w:p>
    <w:p w:rsidR="00444A81" w:rsidRPr="008E156C" w:rsidRDefault="00444A81" w:rsidP="00DE7D1B">
      <w:pPr>
        <w:pStyle w:val="ListParagraph"/>
        <w:pBdr>
          <w:top w:val="none" w:sz="0" w:space="0" w:color="auto"/>
          <w:left w:val="none" w:sz="0" w:space="0" w:color="auto"/>
          <w:bottom w:val="none" w:sz="0" w:space="0" w:color="auto"/>
          <w:right w:val="none" w:sz="0" w:space="0" w:color="auto"/>
          <w:bar w:val="none" w:sz="0" w:color="auto"/>
        </w:pBdr>
        <w:rPr>
          <w:rFonts w:cs="Times New Roman"/>
          <w:color w:val="auto"/>
          <w:sz w:val="20"/>
          <w:szCs w:val="20"/>
        </w:rPr>
      </w:pPr>
    </w:p>
    <w:p w:rsidR="00444A81" w:rsidRPr="008E156C" w:rsidRDefault="00444A81" w:rsidP="00DE7D1B">
      <w:pPr>
        <w:pStyle w:val="BodyText"/>
        <w:numPr>
          <w:ilvl w:val="0"/>
          <w:numId w:val="53"/>
        </w:numPr>
        <w:pBdr>
          <w:top w:val="none" w:sz="0" w:space="0" w:color="auto"/>
          <w:left w:val="none" w:sz="0" w:space="0" w:color="auto"/>
          <w:bottom w:val="none" w:sz="0" w:space="0" w:color="auto"/>
          <w:right w:val="none" w:sz="0" w:space="0" w:color="auto"/>
          <w:bar w:val="none" w:sz="0" w:color="auto"/>
        </w:pBdr>
        <w:spacing w:after="0"/>
        <w:jc w:val="both"/>
        <w:rPr>
          <w:rFonts w:ascii="Cambria" w:hAnsi="Cambria" w:cs="Cambria"/>
          <w:sz w:val="20"/>
          <w:szCs w:val="20"/>
        </w:rPr>
      </w:pPr>
      <w:r w:rsidRPr="008E156C">
        <w:rPr>
          <w:rFonts w:ascii="Cambria" w:hAnsi="Cambria" w:cs="Cambria"/>
          <w:sz w:val="20"/>
          <w:szCs w:val="20"/>
        </w:rPr>
        <w:t xml:space="preserve">The petitioner claims violations of Articles 1.1 (obligation to respect rights), 7 (personal liberty), 8 (right to a fair trial), 9 (principle of legality and freedom from </w:t>
      </w:r>
      <w:r w:rsidRPr="008E156C">
        <w:rPr>
          <w:rFonts w:ascii="Cambria" w:hAnsi="Cambria" w:cs="Cambria"/>
          <w:i/>
          <w:sz w:val="20"/>
          <w:szCs w:val="20"/>
        </w:rPr>
        <w:t>ex post facto</w:t>
      </w:r>
      <w:r w:rsidRPr="008E156C">
        <w:rPr>
          <w:rFonts w:ascii="Cambria" w:hAnsi="Cambria" w:cs="Cambria"/>
          <w:sz w:val="20"/>
          <w:szCs w:val="20"/>
        </w:rPr>
        <w:t xml:space="preserve"> laws), 10 (compensation), 11 (privacy), 21 (property), 24 (equal protection), and 25 (judicial protection) of the American Convention on Human Rights (hereinafter </w:t>
      </w:r>
      <w:r w:rsidR="003112BD" w:rsidRPr="008E156C">
        <w:rPr>
          <w:rFonts w:ascii="Cambria" w:hAnsi="Cambria" w:cs="Cambria"/>
          <w:sz w:val="20"/>
          <w:szCs w:val="20"/>
        </w:rPr>
        <w:t>“</w:t>
      </w:r>
      <w:r w:rsidRPr="008E156C">
        <w:rPr>
          <w:rFonts w:ascii="Cambria" w:hAnsi="Cambria" w:cs="Cambria"/>
          <w:sz w:val="20"/>
          <w:szCs w:val="20"/>
        </w:rPr>
        <w:t>the American Convention</w:t>
      </w:r>
      <w:r w:rsidR="003112BD" w:rsidRPr="008E156C">
        <w:rPr>
          <w:rFonts w:ascii="Cambria" w:hAnsi="Cambria" w:cs="Cambria"/>
          <w:sz w:val="20"/>
          <w:szCs w:val="20"/>
        </w:rPr>
        <w:t>”</w:t>
      </w:r>
      <w:r w:rsidRPr="008E156C">
        <w:rPr>
          <w:rFonts w:ascii="Cambria" w:hAnsi="Cambria" w:cs="Cambria"/>
          <w:sz w:val="20"/>
          <w:szCs w:val="20"/>
        </w:rPr>
        <w:t xml:space="preserve"> or </w:t>
      </w:r>
      <w:r w:rsidR="003112BD" w:rsidRPr="008E156C">
        <w:rPr>
          <w:rFonts w:ascii="Cambria" w:hAnsi="Cambria" w:cs="Cambria"/>
          <w:sz w:val="20"/>
          <w:szCs w:val="20"/>
        </w:rPr>
        <w:t>“</w:t>
      </w:r>
      <w:r w:rsidRPr="008E156C">
        <w:rPr>
          <w:rFonts w:ascii="Cambria" w:hAnsi="Cambria" w:cs="Cambria"/>
          <w:sz w:val="20"/>
          <w:szCs w:val="20"/>
        </w:rPr>
        <w:t>the Convention</w:t>
      </w:r>
      <w:r w:rsidR="003112BD" w:rsidRPr="008E156C">
        <w:rPr>
          <w:rFonts w:ascii="Cambria" w:hAnsi="Cambria" w:cs="Cambria"/>
          <w:sz w:val="20"/>
          <w:szCs w:val="20"/>
        </w:rPr>
        <w:t>”</w:t>
      </w:r>
      <w:r w:rsidRPr="008E156C">
        <w:rPr>
          <w:rFonts w:ascii="Cambria" w:hAnsi="Cambria" w:cs="Cambria"/>
          <w:sz w:val="20"/>
          <w:szCs w:val="20"/>
        </w:rPr>
        <w:t xml:space="preserve">), and of Articles I (life, liberty, and personal security), II (equality before the law), XVIII (fair trial), XXV (protection against arbitrary arrest), and XXVI (due process of law) of the American Declaration of the Rights and Duties of Man. </w:t>
      </w:r>
    </w:p>
    <w:p w:rsidR="00444A81" w:rsidRPr="008E156C" w:rsidRDefault="00444A81" w:rsidP="00DE7D1B">
      <w:pPr>
        <w:pStyle w:val="BodyText"/>
        <w:pBdr>
          <w:top w:val="none" w:sz="0" w:space="0" w:color="auto"/>
          <w:left w:val="none" w:sz="0" w:space="0" w:color="auto"/>
          <w:bottom w:val="none" w:sz="0" w:space="0" w:color="auto"/>
          <w:right w:val="none" w:sz="0" w:space="0" w:color="auto"/>
          <w:bar w:val="none" w:sz="0" w:color="auto"/>
        </w:pBdr>
        <w:spacing w:after="0"/>
        <w:ind w:left="720"/>
        <w:jc w:val="both"/>
        <w:rPr>
          <w:rFonts w:ascii="Cambria" w:hAnsi="Cambria" w:cs="Cambria"/>
          <w:sz w:val="20"/>
          <w:szCs w:val="20"/>
        </w:rPr>
      </w:pPr>
    </w:p>
    <w:p w:rsidR="00444A81" w:rsidRPr="008E156C" w:rsidRDefault="00444A81" w:rsidP="00DE7D1B">
      <w:pPr>
        <w:pStyle w:val="Heading2"/>
      </w:pPr>
      <w:r w:rsidRPr="008E156C">
        <w:t>Position of the State</w:t>
      </w: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rPr>
          <w:rFonts w:ascii="Cambria" w:hAnsi="Cambria" w:cs="Cambria"/>
          <w:sz w:val="20"/>
          <w:szCs w:val="20"/>
        </w:rPr>
      </w:pPr>
    </w:p>
    <w:p w:rsidR="00444A81" w:rsidRPr="008E156C" w:rsidRDefault="00444A81" w:rsidP="00DE7D1B">
      <w:pPr>
        <w:pStyle w:val="BodyText"/>
        <w:numPr>
          <w:ilvl w:val="0"/>
          <w:numId w:val="53"/>
        </w:numPr>
        <w:pBdr>
          <w:top w:val="none" w:sz="0" w:space="0" w:color="auto"/>
          <w:left w:val="none" w:sz="0" w:space="0" w:color="auto"/>
          <w:bottom w:val="none" w:sz="0" w:space="0" w:color="auto"/>
          <w:right w:val="none" w:sz="0" w:space="0" w:color="auto"/>
          <w:bar w:val="none" w:sz="0" w:color="auto"/>
        </w:pBdr>
        <w:spacing w:after="0"/>
        <w:jc w:val="both"/>
        <w:rPr>
          <w:rFonts w:ascii="Cambria" w:hAnsi="Cambria" w:cs="Cambria"/>
          <w:sz w:val="20"/>
          <w:szCs w:val="20"/>
        </w:rPr>
      </w:pPr>
      <w:r w:rsidRPr="008E156C">
        <w:rPr>
          <w:rFonts w:ascii="Cambria" w:hAnsi="Cambria" w:cs="Cambria"/>
          <w:sz w:val="20"/>
          <w:szCs w:val="20"/>
        </w:rPr>
        <w:t xml:space="preserve">The State maintains that the facts set out in the petition do not tend to establish violations of rights enshrined in the Convention and that the petitioner has not exhausted the resources available under domestic law. In addition, it holds that in accordance with the fourth instance formula, any claim that seeks to question decisions adopted by domestic venues in compliance with the terms of the Convention, as is the case with the instant petition, must be ruled groundless. </w:t>
      </w:r>
    </w:p>
    <w:p w:rsidR="00444A81" w:rsidRPr="008E156C" w:rsidRDefault="00444A81" w:rsidP="00DE7D1B">
      <w:pPr>
        <w:pStyle w:val="BodyText"/>
        <w:pBdr>
          <w:top w:val="none" w:sz="0" w:space="0" w:color="auto"/>
          <w:left w:val="none" w:sz="0" w:space="0" w:color="auto"/>
          <w:bottom w:val="none" w:sz="0" w:space="0" w:color="auto"/>
          <w:right w:val="none" w:sz="0" w:space="0" w:color="auto"/>
          <w:bar w:val="none" w:sz="0" w:color="auto"/>
        </w:pBdr>
        <w:spacing w:after="0"/>
        <w:jc w:val="both"/>
        <w:rPr>
          <w:rFonts w:ascii="Cambria" w:hAnsi="Cambria" w:cs="Cambria"/>
          <w:sz w:val="20"/>
          <w:szCs w:val="20"/>
        </w:rPr>
      </w:pPr>
    </w:p>
    <w:p w:rsidR="00444A81" w:rsidRPr="008E156C" w:rsidRDefault="00444A81" w:rsidP="00DE7D1B">
      <w:pPr>
        <w:pStyle w:val="BodyText"/>
        <w:numPr>
          <w:ilvl w:val="0"/>
          <w:numId w:val="53"/>
        </w:numPr>
        <w:pBdr>
          <w:top w:val="none" w:sz="0" w:space="0" w:color="auto"/>
          <w:left w:val="none" w:sz="0" w:space="0" w:color="auto"/>
          <w:bottom w:val="none" w:sz="0" w:space="0" w:color="auto"/>
          <w:right w:val="none" w:sz="0" w:space="0" w:color="auto"/>
          <w:bar w:val="none" w:sz="0" w:color="auto"/>
        </w:pBdr>
        <w:spacing w:after="0"/>
        <w:jc w:val="both"/>
        <w:rPr>
          <w:rFonts w:ascii="Cambria" w:hAnsi="Cambria" w:cs="Cambria"/>
          <w:sz w:val="20"/>
          <w:szCs w:val="20"/>
        </w:rPr>
      </w:pPr>
      <w:r w:rsidRPr="008E156C">
        <w:rPr>
          <w:rFonts w:ascii="Cambria" w:hAnsi="Cambria" w:cs="Cambria"/>
          <w:sz w:val="20"/>
          <w:szCs w:val="20"/>
        </w:rPr>
        <w:lastRenderedPageBreak/>
        <w:t>In response to the petitioner</w:t>
      </w:r>
      <w:r w:rsidR="003112BD" w:rsidRPr="008E156C">
        <w:rPr>
          <w:rFonts w:ascii="Cambria" w:hAnsi="Cambria" w:cs="Cambria"/>
          <w:sz w:val="20"/>
          <w:szCs w:val="20"/>
        </w:rPr>
        <w:t>’</w:t>
      </w:r>
      <w:r w:rsidRPr="008E156C">
        <w:rPr>
          <w:rFonts w:ascii="Cambria" w:hAnsi="Cambria" w:cs="Cambria"/>
          <w:sz w:val="20"/>
          <w:szCs w:val="20"/>
        </w:rPr>
        <w:t xml:space="preserve">s initial claim regarding the initiation of the criminal trial before the police courts without due guarantees, Ecuador first argues that when the petitioner lodged the petition with the IACHR, the domestic remedies had not yet been exhausted. Secondly, the State holds that the appeal brought by the alleged victims against the conviction </w:t>
      </w:r>
      <w:r w:rsidR="003112BD" w:rsidRPr="008E156C">
        <w:rPr>
          <w:rFonts w:ascii="Cambria" w:hAnsi="Cambria" w:cs="Cambria"/>
          <w:sz w:val="20"/>
          <w:szCs w:val="20"/>
        </w:rPr>
        <w:t>“</w:t>
      </w:r>
      <w:r w:rsidRPr="008E156C">
        <w:rPr>
          <w:rFonts w:ascii="Cambria" w:hAnsi="Cambria" w:cs="Cambria"/>
          <w:sz w:val="20"/>
          <w:szCs w:val="20"/>
        </w:rPr>
        <w:t>was effective, served the purpose of double confirmation, was carried out in a reasonable time, and even secured the result sought by the petitioners.</w:t>
      </w:r>
      <w:r w:rsidR="003112BD" w:rsidRPr="008E156C">
        <w:rPr>
          <w:rFonts w:ascii="Cambria" w:hAnsi="Cambria" w:cs="Cambria"/>
          <w:sz w:val="20"/>
          <w:szCs w:val="20"/>
        </w:rPr>
        <w:t>”</w:t>
      </w:r>
      <w:r w:rsidRPr="008E156C">
        <w:rPr>
          <w:rFonts w:ascii="Cambria" w:hAnsi="Cambria" w:cs="Cambria"/>
          <w:sz w:val="20"/>
          <w:szCs w:val="20"/>
        </w:rPr>
        <w:t xml:space="preserve"> The remedies were effective for resolving the alleged victims</w:t>
      </w:r>
      <w:r w:rsidR="003112BD" w:rsidRPr="008E156C">
        <w:rPr>
          <w:rFonts w:ascii="Cambria" w:hAnsi="Cambria" w:cs="Cambria"/>
          <w:sz w:val="20"/>
          <w:szCs w:val="20"/>
        </w:rPr>
        <w:t>’</w:t>
      </w:r>
      <w:r w:rsidRPr="008E156C">
        <w:rPr>
          <w:rFonts w:ascii="Cambria" w:hAnsi="Cambria" w:cs="Cambria"/>
          <w:sz w:val="20"/>
          <w:szCs w:val="20"/>
        </w:rPr>
        <w:t xml:space="preserve"> legal situation, for which reason there was no violation of the American Convention. In addition, the State notes that the IACHR is not a court of appeal for </w:t>
      </w:r>
      <w:r w:rsidR="009E3E9C" w:rsidRPr="008E156C">
        <w:rPr>
          <w:rFonts w:ascii="Cambria" w:hAnsi="Cambria" w:cs="Cambria"/>
          <w:sz w:val="20"/>
          <w:szCs w:val="20"/>
        </w:rPr>
        <w:t xml:space="preserve">the </w:t>
      </w:r>
      <w:r w:rsidRPr="008E156C">
        <w:rPr>
          <w:rFonts w:ascii="Cambria" w:hAnsi="Cambria" w:cs="Cambria"/>
          <w:sz w:val="20"/>
          <w:szCs w:val="20"/>
        </w:rPr>
        <w:t>review</w:t>
      </w:r>
      <w:r w:rsidR="009E3E9C" w:rsidRPr="008E156C">
        <w:rPr>
          <w:rFonts w:ascii="Cambria" w:hAnsi="Cambria" w:cs="Cambria"/>
          <w:sz w:val="20"/>
          <w:szCs w:val="20"/>
        </w:rPr>
        <w:t xml:space="preserve"> of</w:t>
      </w:r>
      <w:r w:rsidRPr="008E156C">
        <w:rPr>
          <w:rFonts w:ascii="Cambria" w:hAnsi="Cambria" w:cs="Cambria"/>
          <w:sz w:val="20"/>
          <w:szCs w:val="20"/>
        </w:rPr>
        <w:t xml:space="preserve"> domestic proceedings. </w:t>
      </w:r>
    </w:p>
    <w:p w:rsidR="00444A81" w:rsidRPr="008E156C" w:rsidRDefault="00444A81" w:rsidP="00DE7D1B">
      <w:pPr>
        <w:pStyle w:val="ListParagraph"/>
        <w:pBdr>
          <w:top w:val="none" w:sz="0" w:space="0" w:color="auto"/>
          <w:left w:val="none" w:sz="0" w:space="0" w:color="auto"/>
          <w:bottom w:val="none" w:sz="0" w:space="0" w:color="auto"/>
          <w:right w:val="none" w:sz="0" w:space="0" w:color="auto"/>
          <w:bar w:val="none" w:sz="0" w:color="auto"/>
        </w:pBdr>
        <w:rPr>
          <w:rFonts w:cs="Times New Roman"/>
          <w:color w:val="auto"/>
          <w:sz w:val="20"/>
          <w:szCs w:val="20"/>
        </w:rPr>
      </w:pPr>
    </w:p>
    <w:p w:rsidR="00444A81" w:rsidRPr="008E156C" w:rsidRDefault="00444A81" w:rsidP="00DE7D1B">
      <w:pPr>
        <w:pStyle w:val="BodyText"/>
        <w:numPr>
          <w:ilvl w:val="0"/>
          <w:numId w:val="53"/>
        </w:numPr>
        <w:pBdr>
          <w:top w:val="none" w:sz="0" w:space="0" w:color="auto"/>
          <w:left w:val="none" w:sz="0" w:space="0" w:color="auto"/>
          <w:bottom w:val="none" w:sz="0" w:space="0" w:color="auto"/>
          <w:right w:val="none" w:sz="0" w:space="0" w:color="auto"/>
          <w:bar w:val="none" w:sz="0" w:color="auto"/>
        </w:pBdr>
        <w:spacing w:after="0"/>
        <w:jc w:val="both"/>
        <w:rPr>
          <w:rFonts w:ascii="Cambria" w:hAnsi="Cambria" w:cs="Cambria"/>
          <w:sz w:val="20"/>
          <w:szCs w:val="20"/>
        </w:rPr>
      </w:pPr>
      <w:r w:rsidRPr="008E156C">
        <w:rPr>
          <w:rFonts w:ascii="Cambria" w:hAnsi="Cambria" w:cs="Cambria"/>
          <w:sz w:val="20"/>
          <w:szCs w:val="20"/>
        </w:rPr>
        <w:t>The State adds that following the rejecti</w:t>
      </w:r>
      <w:r w:rsidR="00F8104B" w:rsidRPr="008E156C">
        <w:rPr>
          <w:rFonts w:ascii="Cambria" w:hAnsi="Cambria" w:cs="Cambria"/>
          <w:sz w:val="20"/>
          <w:szCs w:val="20"/>
        </w:rPr>
        <w:t>on</w:t>
      </w:r>
      <w:r w:rsidRPr="008E156C">
        <w:rPr>
          <w:rFonts w:ascii="Cambria" w:hAnsi="Cambria" w:cs="Cambria"/>
          <w:sz w:val="20"/>
          <w:szCs w:val="20"/>
        </w:rPr>
        <w:t xml:space="preserve"> of the remedy for annulment and </w:t>
      </w:r>
      <w:r w:rsidR="00F8104B" w:rsidRPr="008E156C">
        <w:rPr>
          <w:rFonts w:ascii="Cambria" w:hAnsi="Cambria" w:cs="Cambria"/>
          <w:sz w:val="20"/>
          <w:szCs w:val="20"/>
        </w:rPr>
        <w:t xml:space="preserve">the </w:t>
      </w:r>
      <w:r w:rsidRPr="008E156C">
        <w:rPr>
          <w:rFonts w:ascii="Cambria" w:hAnsi="Cambria" w:cs="Cambria"/>
          <w:sz w:val="20"/>
          <w:szCs w:val="20"/>
        </w:rPr>
        <w:t xml:space="preserve">appeal presented by the petitioner in connection with the release </w:t>
      </w:r>
      <w:r w:rsidRPr="008E156C">
        <w:rPr>
          <w:rFonts w:ascii="Cambria" w:hAnsi="Cambria" w:cs="Cambria"/>
          <w:i/>
          <w:sz w:val="20"/>
          <w:szCs w:val="20"/>
        </w:rPr>
        <w:t>amparo</w:t>
      </w:r>
      <w:r w:rsidRPr="008E156C">
        <w:rPr>
          <w:rFonts w:ascii="Cambria" w:hAnsi="Cambria" w:cs="Cambria"/>
          <w:sz w:val="20"/>
          <w:szCs w:val="20"/>
        </w:rPr>
        <w:t xml:space="preserve">, they filed requests for expansion and clarification, both of which were dismissed. The expansion remedy was denied on the grounds that, according to the court, the rejection of the remedy for annulment was not unclear. Similarly, the clarification remedy was denied because it was deemed inadmissible. </w:t>
      </w:r>
    </w:p>
    <w:p w:rsidR="00444A81" w:rsidRPr="008E156C" w:rsidRDefault="00444A81" w:rsidP="00DE7D1B">
      <w:pPr>
        <w:pStyle w:val="ListParagraph"/>
        <w:pBdr>
          <w:top w:val="none" w:sz="0" w:space="0" w:color="auto"/>
          <w:left w:val="none" w:sz="0" w:space="0" w:color="auto"/>
          <w:bottom w:val="none" w:sz="0" w:space="0" w:color="auto"/>
          <w:right w:val="none" w:sz="0" w:space="0" w:color="auto"/>
          <w:bar w:val="none" w:sz="0" w:color="auto"/>
        </w:pBdr>
        <w:rPr>
          <w:rFonts w:cs="Times New Roman"/>
          <w:color w:val="auto"/>
          <w:sz w:val="20"/>
          <w:szCs w:val="20"/>
        </w:rPr>
      </w:pPr>
    </w:p>
    <w:p w:rsidR="00444A81" w:rsidRPr="008E156C" w:rsidRDefault="00444A81" w:rsidP="00DE7D1B">
      <w:pPr>
        <w:pStyle w:val="BodyText"/>
        <w:numPr>
          <w:ilvl w:val="0"/>
          <w:numId w:val="53"/>
        </w:numPr>
        <w:pBdr>
          <w:top w:val="none" w:sz="0" w:space="0" w:color="auto"/>
          <w:left w:val="none" w:sz="0" w:space="0" w:color="auto"/>
          <w:bottom w:val="none" w:sz="0" w:space="0" w:color="auto"/>
          <w:right w:val="none" w:sz="0" w:space="0" w:color="auto"/>
          <w:bar w:val="none" w:sz="0" w:color="auto"/>
        </w:pBdr>
        <w:spacing w:after="0"/>
        <w:jc w:val="both"/>
        <w:rPr>
          <w:rFonts w:ascii="Cambria" w:hAnsi="Cambria" w:cs="Cambria"/>
          <w:sz w:val="20"/>
          <w:szCs w:val="20"/>
        </w:rPr>
      </w:pPr>
      <w:r w:rsidRPr="008E156C">
        <w:rPr>
          <w:rFonts w:ascii="Cambria" w:hAnsi="Cambria" w:cs="Cambria"/>
          <w:sz w:val="20"/>
          <w:szCs w:val="20"/>
        </w:rPr>
        <w:t>The State contends that the alleged victims were judged by the appropriate venue and, if they had any disagreement with former President Pinto, the Law of the Judicial Function of the National Police was available to them for challenging his position as president. Ecuador states that there is no evidence of the petitioner having filed an administrative action with the competent authority in connection with that matter. Similarly, regarding</w:t>
      </w:r>
      <w:r w:rsidR="00696E04" w:rsidRPr="008E156C">
        <w:rPr>
          <w:rFonts w:ascii="Cambria" w:hAnsi="Cambria" w:cs="Cambria"/>
          <w:sz w:val="20"/>
          <w:szCs w:val="20"/>
        </w:rPr>
        <w:t xml:space="preserve"> the failure of the Minister of the Interior </w:t>
      </w:r>
      <w:r w:rsidRPr="008E156C">
        <w:rPr>
          <w:rFonts w:ascii="Cambria" w:hAnsi="Cambria" w:cs="Cambria"/>
          <w:sz w:val="20"/>
          <w:szCs w:val="20"/>
        </w:rPr>
        <w:t>and Police to intervene, it notes that the minister had no jurisdiction to participate directly in the alleged victims</w:t>
      </w:r>
      <w:r w:rsidR="003112BD" w:rsidRPr="008E156C">
        <w:rPr>
          <w:rFonts w:ascii="Cambria" w:hAnsi="Cambria" w:cs="Cambria"/>
          <w:sz w:val="20"/>
          <w:szCs w:val="20"/>
        </w:rPr>
        <w:t>’</w:t>
      </w:r>
      <w:r w:rsidRPr="008E156C">
        <w:rPr>
          <w:rFonts w:ascii="Cambria" w:hAnsi="Cambria" w:cs="Cambria"/>
          <w:sz w:val="20"/>
          <w:szCs w:val="20"/>
        </w:rPr>
        <w:t xml:space="preserve"> criminal trial and, had he done so, he would have assumed functions that did not correspond to his office, thereby incurring in a violation of Article 8 of the Convention. In addition, Ecuador maintains that the judges acted with full independence and impartiality in the legal proceedings and at all times due process was upheld. </w:t>
      </w:r>
    </w:p>
    <w:p w:rsidR="00444A81" w:rsidRPr="008E156C" w:rsidRDefault="00444A81" w:rsidP="00DE7D1B">
      <w:pPr>
        <w:pStyle w:val="ListParagraph"/>
        <w:pBdr>
          <w:top w:val="none" w:sz="0" w:space="0" w:color="auto"/>
          <w:left w:val="none" w:sz="0" w:space="0" w:color="auto"/>
          <w:bottom w:val="none" w:sz="0" w:space="0" w:color="auto"/>
          <w:right w:val="none" w:sz="0" w:space="0" w:color="auto"/>
          <w:bar w:val="none" w:sz="0" w:color="auto"/>
        </w:pBdr>
        <w:rPr>
          <w:rFonts w:cs="Times New Roman"/>
          <w:color w:val="auto"/>
          <w:sz w:val="20"/>
          <w:szCs w:val="20"/>
        </w:rPr>
      </w:pPr>
    </w:p>
    <w:p w:rsidR="00444A81" w:rsidRPr="008E156C" w:rsidRDefault="00444A81" w:rsidP="00DE7D1B">
      <w:pPr>
        <w:pStyle w:val="BodyText"/>
        <w:numPr>
          <w:ilvl w:val="0"/>
          <w:numId w:val="53"/>
        </w:numPr>
        <w:pBdr>
          <w:top w:val="none" w:sz="0" w:space="0" w:color="auto"/>
          <w:left w:val="none" w:sz="0" w:space="0" w:color="auto"/>
          <w:bottom w:val="none" w:sz="0" w:space="0" w:color="auto"/>
          <w:right w:val="none" w:sz="0" w:space="0" w:color="auto"/>
          <w:bar w:val="none" w:sz="0" w:color="auto"/>
        </w:pBdr>
        <w:spacing w:after="0"/>
        <w:jc w:val="both"/>
        <w:rPr>
          <w:rFonts w:ascii="Cambria" w:hAnsi="Cambria" w:cs="Cambria"/>
          <w:sz w:val="20"/>
          <w:szCs w:val="20"/>
        </w:rPr>
      </w:pPr>
      <w:r w:rsidRPr="008E156C">
        <w:rPr>
          <w:rFonts w:ascii="Cambria" w:hAnsi="Cambria" w:cs="Cambria"/>
          <w:sz w:val="20"/>
          <w:szCs w:val="20"/>
        </w:rPr>
        <w:t xml:space="preserve">At the same time, as regards the compensation suit, it claims that the petitioner did not </w:t>
      </w:r>
      <w:r w:rsidR="00D32956" w:rsidRPr="008E156C">
        <w:rPr>
          <w:rFonts w:ascii="Cambria" w:hAnsi="Cambria" w:cs="Cambria"/>
          <w:sz w:val="20"/>
          <w:szCs w:val="20"/>
        </w:rPr>
        <w:t>bring</w:t>
      </w:r>
      <w:r w:rsidRPr="008E156C">
        <w:rPr>
          <w:rFonts w:ascii="Cambria" w:hAnsi="Cambria" w:cs="Cambria"/>
          <w:sz w:val="20"/>
          <w:szCs w:val="20"/>
        </w:rPr>
        <w:t xml:space="preserve"> that matter before the civil courts, which would have been the appropriate venue. It also claims that after conducting a search in the judicial archive of cases lodged with the Supreme Court of Justice, it was unable to locate a case dealing with the alleged victims. As a result, on this point the domestic remedies were not exhausted. The State indicates three ways in which the alleged victims could have brought a suit for damages: </w:t>
      </w:r>
    </w:p>
    <w:p w:rsidR="00444A81" w:rsidRPr="008E156C" w:rsidRDefault="00444A81" w:rsidP="00DE7D1B">
      <w:pPr>
        <w:pStyle w:val="ListParagraph"/>
        <w:pBdr>
          <w:top w:val="none" w:sz="0" w:space="0" w:color="auto"/>
          <w:left w:val="none" w:sz="0" w:space="0" w:color="auto"/>
          <w:bottom w:val="none" w:sz="0" w:space="0" w:color="auto"/>
          <w:right w:val="none" w:sz="0" w:space="0" w:color="auto"/>
          <w:bar w:val="none" w:sz="0" w:color="auto"/>
        </w:pBdr>
        <w:rPr>
          <w:rFonts w:cs="Times New Roman"/>
          <w:color w:val="auto"/>
          <w:sz w:val="20"/>
          <w:szCs w:val="20"/>
        </w:rPr>
      </w:pPr>
    </w:p>
    <w:p w:rsidR="00444A81" w:rsidRPr="008E156C" w:rsidRDefault="00444A81" w:rsidP="00444A81">
      <w:pPr>
        <w:pStyle w:val="BodyText"/>
        <w:numPr>
          <w:ilvl w:val="0"/>
          <w:numId w:val="54"/>
        </w:numPr>
        <w:pBdr>
          <w:top w:val="none" w:sz="0" w:space="0" w:color="auto"/>
          <w:left w:val="none" w:sz="0" w:space="0" w:color="auto"/>
          <w:bottom w:val="none" w:sz="0" w:space="0" w:color="auto"/>
          <w:right w:val="none" w:sz="0" w:space="0" w:color="auto"/>
          <w:bar w:val="none" w:sz="0" w:color="auto"/>
        </w:pBdr>
        <w:spacing w:after="0"/>
        <w:ind w:left="1440" w:hanging="720"/>
        <w:jc w:val="both"/>
        <w:rPr>
          <w:rFonts w:ascii="Cambria" w:hAnsi="Cambria" w:cs="Cambria"/>
          <w:sz w:val="20"/>
          <w:szCs w:val="20"/>
        </w:rPr>
      </w:pPr>
      <w:r w:rsidRPr="008E156C">
        <w:rPr>
          <w:rFonts w:ascii="Cambria" w:hAnsi="Cambria" w:cs="Cambria"/>
          <w:sz w:val="20"/>
          <w:szCs w:val="20"/>
        </w:rPr>
        <w:t>Against former President Pinto before the police courts, pursuant to Articles 20, 21, and 22 of the Constitution. In such proceedings, according to the State, the petitioner could have invoked Articles 2232, 2233</w:t>
      </w:r>
      <w:r w:rsidR="00D32956" w:rsidRPr="008E156C">
        <w:rPr>
          <w:rFonts w:ascii="Cambria" w:hAnsi="Cambria" w:cs="Cambria"/>
          <w:sz w:val="20"/>
          <w:szCs w:val="20"/>
        </w:rPr>
        <w:t>,</w:t>
      </w:r>
      <w:r w:rsidRPr="008E156C">
        <w:rPr>
          <w:rFonts w:ascii="Cambria" w:hAnsi="Cambria" w:cs="Cambria"/>
          <w:sz w:val="20"/>
          <w:szCs w:val="20"/>
        </w:rPr>
        <w:t xml:space="preserve"> and 2234 of the Codification of the Civil Code</w:t>
      </w:r>
      <w:r w:rsidR="00D32956" w:rsidRPr="008E156C">
        <w:rPr>
          <w:rFonts w:ascii="Cambria" w:hAnsi="Cambria" w:cs="Cambria"/>
          <w:sz w:val="20"/>
          <w:szCs w:val="20"/>
        </w:rPr>
        <w:t xml:space="preserve">, dealing with the civil courts, </w:t>
      </w:r>
      <w:r w:rsidRPr="008E156C">
        <w:rPr>
          <w:rFonts w:ascii="Cambria" w:hAnsi="Cambria" w:cs="Cambria"/>
          <w:sz w:val="20"/>
          <w:szCs w:val="20"/>
        </w:rPr>
        <w:t>in his case against former President Pinto in pursuit of redress for pain and suffering,</w:t>
      </w:r>
      <w:r w:rsidR="00D32956" w:rsidRPr="008E156C">
        <w:rPr>
          <w:rFonts w:ascii="Cambria" w:hAnsi="Cambria" w:cs="Cambria"/>
          <w:sz w:val="20"/>
          <w:szCs w:val="20"/>
        </w:rPr>
        <w:t xml:space="preserve"> regarding which </w:t>
      </w:r>
      <w:r w:rsidRPr="008E156C">
        <w:rPr>
          <w:rFonts w:ascii="Cambria" w:hAnsi="Cambria" w:cs="Cambria"/>
          <w:sz w:val="20"/>
          <w:szCs w:val="20"/>
        </w:rPr>
        <w:t>the police courts were not competent</w:t>
      </w:r>
      <w:r w:rsidR="00D32956" w:rsidRPr="008E156C">
        <w:rPr>
          <w:rFonts w:ascii="Cambria" w:hAnsi="Cambria" w:cs="Cambria"/>
          <w:sz w:val="20"/>
          <w:szCs w:val="20"/>
        </w:rPr>
        <w:t xml:space="preserve">. </w:t>
      </w:r>
    </w:p>
    <w:p w:rsidR="00444A81" w:rsidRPr="008E156C" w:rsidRDefault="00444A81" w:rsidP="00DE7D1B">
      <w:pPr>
        <w:pStyle w:val="BodyText"/>
        <w:pBdr>
          <w:top w:val="none" w:sz="0" w:space="0" w:color="auto"/>
          <w:left w:val="none" w:sz="0" w:space="0" w:color="auto"/>
          <w:bottom w:val="none" w:sz="0" w:space="0" w:color="auto"/>
          <w:right w:val="none" w:sz="0" w:space="0" w:color="auto"/>
          <w:bar w:val="none" w:sz="0" w:color="auto"/>
        </w:pBdr>
        <w:spacing w:after="0"/>
        <w:ind w:left="1440" w:hanging="720"/>
        <w:jc w:val="both"/>
        <w:rPr>
          <w:rFonts w:ascii="Cambria" w:hAnsi="Cambria" w:cs="Cambria"/>
          <w:sz w:val="20"/>
          <w:szCs w:val="20"/>
        </w:rPr>
      </w:pPr>
    </w:p>
    <w:p w:rsidR="00444A81" w:rsidRPr="008E156C" w:rsidRDefault="00D32956" w:rsidP="00444A81">
      <w:pPr>
        <w:pStyle w:val="BodyText"/>
        <w:numPr>
          <w:ilvl w:val="0"/>
          <w:numId w:val="54"/>
        </w:numPr>
        <w:pBdr>
          <w:top w:val="none" w:sz="0" w:space="0" w:color="auto"/>
          <w:left w:val="none" w:sz="0" w:space="0" w:color="auto"/>
          <w:bottom w:val="none" w:sz="0" w:space="0" w:color="auto"/>
          <w:right w:val="none" w:sz="0" w:space="0" w:color="auto"/>
          <w:bar w:val="none" w:sz="0" w:color="auto"/>
        </w:pBdr>
        <w:spacing w:after="0"/>
        <w:ind w:left="1440" w:hanging="720"/>
        <w:jc w:val="both"/>
        <w:rPr>
          <w:rFonts w:ascii="Cambria" w:hAnsi="Cambria" w:cs="Cambria"/>
          <w:sz w:val="20"/>
          <w:szCs w:val="20"/>
        </w:rPr>
      </w:pPr>
      <w:r w:rsidRPr="008E156C">
        <w:rPr>
          <w:rFonts w:ascii="Cambria" w:hAnsi="Cambria" w:cs="Cambria"/>
          <w:sz w:val="20"/>
          <w:szCs w:val="20"/>
        </w:rPr>
        <w:t xml:space="preserve">Proceedings against </w:t>
      </w:r>
      <w:r w:rsidR="00444A81" w:rsidRPr="008E156C">
        <w:rPr>
          <w:rFonts w:ascii="Cambria" w:hAnsi="Cambria" w:cs="Cambria"/>
          <w:sz w:val="20"/>
          <w:szCs w:val="20"/>
        </w:rPr>
        <w:t>former President Pinto before what is now the former Supreme Court of Justice</w:t>
      </w:r>
      <w:r w:rsidR="00696E04" w:rsidRPr="008E156C">
        <w:rPr>
          <w:rFonts w:ascii="Cambria" w:hAnsi="Cambria" w:cs="Cambria"/>
          <w:sz w:val="20"/>
          <w:szCs w:val="20"/>
        </w:rPr>
        <w:t>, under</w:t>
      </w:r>
      <w:r w:rsidR="00444A81" w:rsidRPr="008E156C">
        <w:rPr>
          <w:rFonts w:ascii="Cambria" w:hAnsi="Cambria" w:cs="Cambria"/>
          <w:sz w:val="20"/>
          <w:szCs w:val="20"/>
        </w:rPr>
        <w:t xml:space="preserve"> Article 979 of the Code of Civil Procedure. Upon receiving the suit, the Supreme Court would have asked the CNJP</w:t>
      </w:r>
      <w:r w:rsidR="003112BD" w:rsidRPr="008E156C">
        <w:rPr>
          <w:rFonts w:ascii="Cambria" w:hAnsi="Cambria" w:cs="Cambria"/>
          <w:sz w:val="20"/>
          <w:szCs w:val="20"/>
        </w:rPr>
        <w:t>’</w:t>
      </w:r>
      <w:r w:rsidR="00444A81" w:rsidRPr="008E156C">
        <w:rPr>
          <w:rFonts w:ascii="Cambria" w:hAnsi="Cambria" w:cs="Cambria"/>
          <w:sz w:val="20"/>
          <w:szCs w:val="20"/>
        </w:rPr>
        <w:t>s judges for a report. If the harm was established, the judgment would pr</w:t>
      </w:r>
      <w:r w:rsidRPr="008E156C">
        <w:rPr>
          <w:rFonts w:ascii="Cambria" w:hAnsi="Cambria" w:cs="Cambria"/>
          <w:sz w:val="20"/>
          <w:szCs w:val="20"/>
        </w:rPr>
        <w:t>ovide for financial reparations.</w:t>
      </w:r>
    </w:p>
    <w:p w:rsidR="00444A81" w:rsidRPr="008E156C" w:rsidRDefault="00444A81" w:rsidP="00DE7D1B">
      <w:pPr>
        <w:pStyle w:val="ListParagraph"/>
        <w:pBdr>
          <w:top w:val="none" w:sz="0" w:space="0" w:color="auto"/>
          <w:left w:val="none" w:sz="0" w:space="0" w:color="auto"/>
          <w:bottom w:val="none" w:sz="0" w:space="0" w:color="auto"/>
          <w:right w:val="none" w:sz="0" w:space="0" w:color="auto"/>
          <w:bar w:val="none" w:sz="0" w:color="auto"/>
        </w:pBdr>
        <w:ind w:left="1440" w:hanging="720"/>
        <w:rPr>
          <w:rFonts w:cs="Times New Roman"/>
          <w:color w:val="auto"/>
          <w:sz w:val="20"/>
          <w:szCs w:val="20"/>
        </w:rPr>
      </w:pPr>
    </w:p>
    <w:p w:rsidR="00444A81" w:rsidRPr="008E156C" w:rsidRDefault="00444A81" w:rsidP="00444A81">
      <w:pPr>
        <w:pStyle w:val="BodyText"/>
        <w:numPr>
          <w:ilvl w:val="0"/>
          <w:numId w:val="54"/>
        </w:numPr>
        <w:pBdr>
          <w:top w:val="none" w:sz="0" w:space="0" w:color="auto"/>
          <w:left w:val="none" w:sz="0" w:space="0" w:color="auto"/>
          <w:bottom w:val="none" w:sz="0" w:space="0" w:color="auto"/>
          <w:right w:val="none" w:sz="0" w:space="0" w:color="auto"/>
          <w:bar w:val="none" w:sz="0" w:color="auto"/>
        </w:pBdr>
        <w:spacing w:after="0"/>
        <w:ind w:left="1440" w:hanging="720"/>
        <w:jc w:val="both"/>
        <w:rPr>
          <w:rFonts w:ascii="Cambria" w:hAnsi="Cambria" w:cs="Cambria"/>
          <w:sz w:val="20"/>
          <w:szCs w:val="20"/>
        </w:rPr>
      </w:pPr>
      <w:r w:rsidRPr="008E156C">
        <w:rPr>
          <w:rFonts w:ascii="Cambria" w:hAnsi="Cambria" w:cs="Cambria"/>
          <w:sz w:val="20"/>
          <w:szCs w:val="20"/>
        </w:rPr>
        <w:t>Against former President Pinto before the civil courts, on the basis of Article 22 of the Constitution.</w:t>
      </w:r>
    </w:p>
    <w:p w:rsidR="00444A81" w:rsidRPr="008E156C" w:rsidRDefault="00444A81" w:rsidP="00DE7D1B">
      <w:pPr>
        <w:pStyle w:val="ListParagraph"/>
        <w:pBdr>
          <w:top w:val="none" w:sz="0" w:space="0" w:color="auto"/>
          <w:left w:val="none" w:sz="0" w:space="0" w:color="auto"/>
          <w:bottom w:val="none" w:sz="0" w:space="0" w:color="auto"/>
          <w:right w:val="none" w:sz="0" w:space="0" w:color="auto"/>
          <w:bar w:val="none" w:sz="0" w:color="auto"/>
        </w:pBdr>
        <w:rPr>
          <w:rFonts w:cs="Times New Roman"/>
          <w:color w:val="auto"/>
          <w:sz w:val="20"/>
          <w:szCs w:val="20"/>
        </w:rPr>
      </w:pPr>
    </w:p>
    <w:p w:rsidR="00444A81" w:rsidRPr="008E156C" w:rsidRDefault="00444A81" w:rsidP="00DE7D1B">
      <w:pPr>
        <w:pStyle w:val="BodyText"/>
        <w:numPr>
          <w:ilvl w:val="0"/>
          <w:numId w:val="53"/>
        </w:numPr>
        <w:pBdr>
          <w:top w:val="none" w:sz="0" w:space="0" w:color="auto"/>
          <w:left w:val="none" w:sz="0" w:space="0" w:color="auto"/>
          <w:bottom w:val="none" w:sz="0" w:space="0" w:color="auto"/>
          <w:right w:val="none" w:sz="0" w:space="0" w:color="auto"/>
          <w:bar w:val="none" w:sz="0" w:color="auto"/>
        </w:pBdr>
        <w:spacing w:after="0"/>
        <w:jc w:val="both"/>
        <w:rPr>
          <w:rFonts w:ascii="Cambria" w:hAnsi="Cambria" w:cs="Cambria"/>
          <w:sz w:val="20"/>
          <w:szCs w:val="20"/>
        </w:rPr>
      </w:pPr>
      <w:r w:rsidRPr="008E156C">
        <w:rPr>
          <w:rFonts w:ascii="Cambria" w:hAnsi="Cambria" w:cs="Cambria"/>
          <w:sz w:val="20"/>
          <w:szCs w:val="20"/>
        </w:rPr>
        <w:t xml:space="preserve">In addition, the State contends the petitioner incurs in inconsistency and </w:t>
      </w:r>
      <w:r w:rsidR="003112BD" w:rsidRPr="008E156C">
        <w:rPr>
          <w:rFonts w:ascii="Cambria" w:hAnsi="Cambria" w:cs="Cambria"/>
          <w:sz w:val="20"/>
          <w:szCs w:val="20"/>
        </w:rPr>
        <w:t>“</w:t>
      </w:r>
      <w:r w:rsidRPr="008E156C">
        <w:rPr>
          <w:rFonts w:ascii="Cambria" w:hAnsi="Cambria" w:cs="Cambria"/>
          <w:sz w:val="20"/>
          <w:szCs w:val="20"/>
        </w:rPr>
        <w:t>bad faith</w:t>
      </w:r>
      <w:r w:rsidR="003112BD" w:rsidRPr="008E156C">
        <w:rPr>
          <w:rFonts w:ascii="Cambria" w:hAnsi="Cambria" w:cs="Cambria"/>
          <w:sz w:val="20"/>
          <w:szCs w:val="20"/>
        </w:rPr>
        <w:t>”</w:t>
      </w:r>
      <w:r w:rsidRPr="008E156C">
        <w:rPr>
          <w:rFonts w:ascii="Cambria" w:hAnsi="Cambria" w:cs="Cambria"/>
          <w:sz w:val="20"/>
          <w:szCs w:val="20"/>
        </w:rPr>
        <w:t xml:space="preserve"> by arguing that the</w:t>
      </w:r>
      <w:r w:rsidR="00D1088C" w:rsidRPr="008E156C">
        <w:rPr>
          <w:rFonts w:ascii="Cambria" w:hAnsi="Cambria" w:cs="Cambria"/>
          <w:sz w:val="20"/>
          <w:szCs w:val="20"/>
        </w:rPr>
        <w:t xml:space="preserve"> case was </w:t>
      </w:r>
      <w:r w:rsidRPr="008E156C">
        <w:rPr>
          <w:rFonts w:ascii="Cambria" w:hAnsi="Cambria" w:cs="Cambria"/>
          <w:sz w:val="20"/>
          <w:szCs w:val="20"/>
        </w:rPr>
        <w:t xml:space="preserve">judged by a flawed inquisitorial system, considering that in August 2007 Mr. Villarroel assumed the presidency of the CNJP. Finally, the State asks the Commission to rule the petition inadmissible for not meeting the requirements set in Articles 46 and 47 of the Convention and for not establishing deficient actions on the part of the agencies of justice. </w:t>
      </w: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rPr>
          <w:rFonts w:ascii="Cambria" w:hAnsi="Cambria" w:cs="Cambria"/>
          <w:sz w:val="20"/>
          <w:szCs w:val="20"/>
        </w:rPr>
      </w:pPr>
    </w:p>
    <w:p w:rsidR="00444A81" w:rsidRPr="008E156C" w:rsidRDefault="00CF4E6F" w:rsidP="00DE7D1B">
      <w:pPr>
        <w:pStyle w:val="Heading1"/>
        <w:pBdr>
          <w:top w:val="none" w:sz="0" w:space="0" w:color="auto"/>
          <w:left w:val="none" w:sz="0" w:space="0" w:color="auto"/>
          <w:bottom w:val="none" w:sz="0" w:space="0" w:color="auto"/>
          <w:right w:val="none" w:sz="0" w:space="0" w:color="auto"/>
          <w:bar w:val="none" w:sz="0" w:color="auto"/>
        </w:pBdr>
        <w:rPr>
          <w:color w:val="auto"/>
          <w:lang w:val="en-US"/>
        </w:rPr>
      </w:pPr>
      <w:r w:rsidRPr="008E156C">
        <w:rPr>
          <w:color w:val="auto"/>
          <w:lang w:val="en-US"/>
        </w:rPr>
        <w:br w:type="page"/>
      </w:r>
      <w:r w:rsidR="00444A81" w:rsidRPr="008E156C">
        <w:rPr>
          <w:color w:val="auto"/>
          <w:lang w:val="en-US"/>
        </w:rPr>
        <w:lastRenderedPageBreak/>
        <w:t>IV.</w:t>
      </w:r>
      <w:r w:rsidR="00444A81" w:rsidRPr="008E156C">
        <w:rPr>
          <w:color w:val="auto"/>
          <w:lang w:val="en-US"/>
        </w:rPr>
        <w:tab/>
        <w:t>ANALYSIS ON COMPETENCE AND ADMISSIBILITY</w:t>
      </w: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rPr>
          <w:rFonts w:ascii="Cambria" w:hAnsi="Cambria"/>
          <w:sz w:val="20"/>
          <w:szCs w:val="20"/>
        </w:rPr>
      </w:pPr>
    </w:p>
    <w:p w:rsidR="00444A81" w:rsidRPr="008E156C" w:rsidRDefault="00444A81" w:rsidP="00444A81">
      <w:pPr>
        <w:pStyle w:val="Heading2"/>
        <w:numPr>
          <w:ilvl w:val="0"/>
          <w:numId w:val="56"/>
        </w:numPr>
        <w:ind w:left="1440"/>
        <w:rPr>
          <w:iCs/>
        </w:rPr>
      </w:pPr>
      <w:r w:rsidRPr="008E156C">
        <w:rPr>
          <w:iCs/>
        </w:rPr>
        <w:t xml:space="preserve">Competence of the Commission </w:t>
      </w:r>
      <w:r w:rsidRPr="008E156C">
        <w:rPr>
          <w:i/>
        </w:rPr>
        <w:t xml:space="preserve">ratione materiae, ratione personae, ratione temporis, </w:t>
      </w:r>
      <w:r w:rsidRPr="008E156C">
        <w:rPr>
          <w:iCs/>
        </w:rPr>
        <w:t>and</w:t>
      </w:r>
      <w:r w:rsidRPr="008E156C">
        <w:t xml:space="preserve"> </w:t>
      </w:r>
      <w:r w:rsidRPr="008E156C">
        <w:rPr>
          <w:i/>
        </w:rPr>
        <w:t>ratione loci</w:t>
      </w:r>
      <w:r w:rsidRPr="008E156C">
        <w:rPr>
          <w:iCs/>
        </w:rPr>
        <w:t xml:space="preserve"> </w:t>
      </w:r>
    </w:p>
    <w:p w:rsidR="00444A81" w:rsidRPr="008E156C" w:rsidRDefault="00444A81" w:rsidP="00DE7D1B">
      <w:pPr>
        <w:pStyle w:val="BodyText"/>
        <w:pBdr>
          <w:top w:val="none" w:sz="0" w:space="0" w:color="auto"/>
          <w:left w:val="none" w:sz="0" w:space="0" w:color="auto"/>
          <w:bottom w:val="none" w:sz="0" w:space="0" w:color="auto"/>
          <w:right w:val="none" w:sz="0" w:space="0" w:color="auto"/>
          <w:bar w:val="none" w:sz="0" w:color="auto"/>
        </w:pBdr>
        <w:spacing w:after="0"/>
        <w:jc w:val="both"/>
        <w:rPr>
          <w:rFonts w:ascii="Cambria" w:hAnsi="Cambria" w:cs="Cambria"/>
          <w:sz w:val="20"/>
          <w:szCs w:val="20"/>
        </w:rPr>
      </w:pPr>
    </w:p>
    <w:p w:rsidR="00444A81" w:rsidRPr="008E156C" w:rsidRDefault="00444A81" w:rsidP="00DE7D1B">
      <w:pPr>
        <w:pStyle w:val="BodyText"/>
        <w:numPr>
          <w:ilvl w:val="0"/>
          <w:numId w:val="53"/>
        </w:numPr>
        <w:pBdr>
          <w:top w:val="none" w:sz="0" w:space="0" w:color="auto"/>
          <w:left w:val="none" w:sz="0" w:space="0" w:color="auto"/>
          <w:bottom w:val="none" w:sz="0" w:space="0" w:color="auto"/>
          <w:right w:val="none" w:sz="0" w:space="0" w:color="auto"/>
          <w:bar w:val="none" w:sz="0" w:color="auto"/>
        </w:pBdr>
        <w:spacing w:after="0"/>
        <w:jc w:val="both"/>
        <w:rPr>
          <w:rFonts w:ascii="Cambria" w:hAnsi="Cambria" w:cs="Cambria"/>
          <w:sz w:val="20"/>
          <w:szCs w:val="20"/>
        </w:rPr>
      </w:pPr>
      <w:r w:rsidRPr="008E156C">
        <w:rPr>
          <w:rFonts w:ascii="Cambria" w:hAnsi="Cambria" w:cs="Cambria"/>
          <w:sz w:val="20"/>
          <w:szCs w:val="20"/>
        </w:rPr>
        <w:t xml:space="preserve">The petitioner is entitled, in principle, to lodge petitions with the Commission under Article 44 of the American Convention. The petition names, as its alleged victims, individuals with respect to whom the State had agreed to respect and ensure the rights enshrined in the Convention. With respect to the State, Ecuador has been a party to the American Convention since December 8, 1977, when it deposited the corresponding instrument of ratification. The IACHR therefore has competence </w:t>
      </w:r>
      <w:r w:rsidRPr="008E156C">
        <w:rPr>
          <w:rFonts w:ascii="Cambria" w:hAnsi="Cambria" w:cs="Cambria"/>
          <w:i/>
          <w:iCs/>
          <w:sz w:val="20"/>
          <w:szCs w:val="20"/>
        </w:rPr>
        <w:t>ratione personae</w:t>
      </w:r>
      <w:r w:rsidRPr="008E156C">
        <w:rPr>
          <w:rFonts w:ascii="Cambria" w:hAnsi="Cambria" w:cs="Cambria"/>
          <w:sz w:val="20"/>
          <w:szCs w:val="20"/>
        </w:rPr>
        <w:t xml:space="preserve"> to examine the petition. The Commission has also competence </w:t>
      </w:r>
      <w:r w:rsidRPr="008E156C">
        <w:rPr>
          <w:rFonts w:ascii="Cambria" w:hAnsi="Cambria" w:cs="Cambria"/>
          <w:i/>
          <w:iCs/>
          <w:sz w:val="20"/>
          <w:szCs w:val="20"/>
        </w:rPr>
        <w:t>ratione loci</w:t>
      </w:r>
      <w:r w:rsidRPr="008E156C">
        <w:rPr>
          <w:rFonts w:ascii="Cambria" w:hAnsi="Cambria" w:cs="Cambria"/>
          <w:sz w:val="20"/>
          <w:szCs w:val="20"/>
        </w:rPr>
        <w:t xml:space="preserve"> to hear the petition since it alleges violations of rights protected by that instrument that allegedly occurred within the territory of Ecuador, which is a state party to that treaty. </w:t>
      </w:r>
    </w:p>
    <w:p w:rsidR="00444A81" w:rsidRPr="008E156C" w:rsidRDefault="00444A81" w:rsidP="00DE7D1B">
      <w:pPr>
        <w:pStyle w:val="BodyText"/>
        <w:pBdr>
          <w:top w:val="none" w:sz="0" w:space="0" w:color="auto"/>
          <w:left w:val="none" w:sz="0" w:space="0" w:color="auto"/>
          <w:bottom w:val="none" w:sz="0" w:space="0" w:color="auto"/>
          <w:right w:val="none" w:sz="0" w:space="0" w:color="auto"/>
          <w:bar w:val="none" w:sz="0" w:color="auto"/>
        </w:pBdr>
        <w:spacing w:after="0"/>
        <w:jc w:val="both"/>
        <w:rPr>
          <w:rFonts w:ascii="Cambria" w:hAnsi="Cambria" w:cs="Cambria"/>
          <w:sz w:val="20"/>
          <w:szCs w:val="20"/>
        </w:rPr>
      </w:pPr>
    </w:p>
    <w:p w:rsidR="0043566F" w:rsidRPr="008E156C" w:rsidRDefault="00444A81" w:rsidP="00DE7D1B">
      <w:pPr>
        <w:pStyle w:val="BodyText"/>
        <w:numPr>
          <w:ilvl w:val="0"/>
          <w:numId w:val="53"/>
        </w:numPr>
        <w:pBdr>
          <w:top w:val="none" w:sz="0" w:space="0" w:color="auto"/>
          <w:left w:val="none" w:sz="0" w:space="0" w:color="auto"/>
          <w:bottom w:val="none" w:sz="0" w:space="0" w:color="auto"/>
          <w:right w:val="none" w:sz="0" w:space="0" w:color="auto"/>
          <w:bar w:val="none" w:sz="0" w:color="auto"/>
        </w:pBdr>
        <w:spacing w:after="0"/>
        <w:jc w:val="both"/>
        <w:rPr>
          <w:rFonts w:ascii="Cambria" w:hAnsi="Cambria" w:cs="Cambria"/>
          <w:sz w:val="20"/>
          <w:szCs w:val="20"/>
        </w:rPr>
      </w:pPr>
      <w:r w:rsidRPr="008E156C">
        <w:rPr>
          <w:rFonts w:ascii="Cambria" w:hAnsi="Cambria" w:cs="Cambria"/>
          <w:sz w:val="20"/>
          <w:szCs w:val="20"/>
        </w:rPr>
        <w:t xml:space="preserve">The Commission has competence </w:t>
      </w:r>
      <w:r w:rsidRPr="008E156C">
        <w:rPr>
          <w:rFonts w:ascii="Cambria" w:hAnsi="Cambria" w:cs="Cambria"/>
          <w:i/>
          <w:iCs/>
          <w:sz w:val="20"/>
          <w:szCs w:val="20"/>
        </w:rPr>
        <w:t>ratione temporis</w:t>
      </w:r>
      <w:r w:rsidRPr="008E156C">
        <w:rPr>
          <w:rFonts w:ascii="Cambria" w:hAnsi="Cambria" w:cs="Cambria"/>
          <w:sz w:val="20"/>
          <w:szCs w:val="20"/>
        </w:rPr>
        <w:t xml:space="preserve"> since the obligation of respecting and ensuring the rights protected by the Convention was already in force for the State on the date on which the incidents described in the petition allegedly occurred. Finally, the Commission has competence </w:t>
      </w:r>
      <w:r w:rsidRPr="008E156C">
        <w:rPr>
          <w:rFonts w:ascii="Cambria" w:hAnsi="Cambria" w:cs="Cambria"/>
          <w:i/>
          <w:iCs/>
          <w:sz w:val="20"/>
          <w:szCs w:val="20"/>
        </w:rPr>
        <w:t>ratione materiae</w:t>
      </w:r>
      <w:r w:rsidRPr="008E156C">
        <w:rPr>
          <w:rFonts w:ascii="Cambria" w:hAnsi="Cambria" w:cs="Cambria"/>
          <w:sz w:val="20"/>
          <w:szCs w:val="20"/>
        </w:rPr>
        <w:t xml:space="preserve"> since the petition describes possible violations of human rights that are protected by the American Convention. Regarding the alleged violations of the American Declaration, in accordance with the terms of Articles 23 and 49 of its Rules of Procedure, the Commission is, in principle, competent </w:t>
      </w:r>
      <w:r w:rsidRPr="008E156C">
        <w:rPr>
          <w:rFonts w:ascii="Cambria" w:hAnsi="Cambria" w:cs="Cambria"/>
          <w:i/>
          <w:iCs/>
          <w:sz w:val="20"/>
          <w:szCs w:val="20"/>
        </w:rPr>
        <w:t>ratione materiae</w:t>
      </w:r>
      <w:r w:rsidR="003112BD" w:rsidRPr="008E156C">
        <w:rPr>
          <w:rFonts w:ascii="Cambria" w:hAnsi="Cambria" w:cs="Cambria"/>
          <w:i/>
          <w:iCs/>
          <w:sz w:val="20"/>
          <w:szCs w:val="20"/>
        </w:rPr>
        <w:t xml:space="preserve"> </w:t>
      </w:r>
      <w:r w:rsidRPr="008E156C">
        <w:rPr>
          <w:rFonts w:ascii="Cambria" w:hAnsi="Cambria" w:cs="Cambria"/>
          <w:sz w:val="20"/>
          <w:szCs w:val="20"/>
        </w:rPr>
        <w:t>to examine violations of the rights that the Declaration protects. However, the IACHR has previously ruled</w:t>
      </w:r>
      <w:r w:rsidR="003112BD" w:rsidRPr="008E156C">
        <w:rPr>
          <w:rFonts w:ascii="Cambria" w:hAnsi="Cambria" w:cs="Cambria"/>
          <w:sz w:val="20"/>
          <w:szCs w:val="20"/>
        </w:rPr>
        <w:t xml:space="preserve"> </w:t>
      </w:r>
      <w:r w:rsidRPr="008E156C">
        <w:rPr>
          <w:rFonts w:ascii="Cambria" w:hAnsi="Cambria" w:cs="Cambria"/>
          <w:sz w:val="20"/>
          <w:szCs w:val="20"/>
        </w:rPr>
        <w:t>that once the Convention has come into force for a State, it is that instrument and not the Declaration that is the specific source of law that the Inter-American Commission is to apply, provided that the petition alleges violations of rights that are substantially identical in the two instruments and that an ongoing situation is not involved.</w:t>
      </w:r>
      <w:r w:rsidRPr="008E156C">
        <w:rPr>
          <w:rFonts w:ascii="Cambria" w:hAnsi="Cambria" w:cs="Cambria"/>
          <w:sz w:val="20"/>
          <w:szCs w:val="20"/>
          <w:vertAlign w:val="superscript"/>
        </w:rPr>
        <w:footnoteReference w:id="8"/>
      </w:r>
    </w:p>
    <w:p w:rsidR="0043566F" w:rsidRPr="008E156C" w:rsidRDefault="0043566F" w:rsidP="00DE7D1B">
      <w:pPr>
        <w:pBdr>
          <w:top w:val="none" w:sz="0" w:space="0" w:color="auto"/>
          <w:left w:val="none" w:sz="0" w:space="0" w:color="auto"/>
          <w:bottom w:val="none" w:sz="0" w:space="0" w:color="auto"/>
          <w:right w:val="none" w:sz="0" w:space="0" w:color="auto"/>
          <w:bar w:val="none" w:sz="0" w:color="auto"/>
        </w:pBdr>
        <w:rPr>
          <w:rFonts w:ascii="Cambria" w:hAnsi="Cambria" w:cs="Cambria"/>
          <w:sz w:val="20"/>
          <w:szCs w:val="20"/>
        </w:rPr>
      </w:pPr>
    </w:p>
    <w:p w:rsidR="00444A81" w:rsidRPr="008E156C" w:rsidRDefault="00444A81" w:rsidP="00DE7D1B">
      <w:pPr>
        <w:pStyle w:val="Heading2"/>
      </w:pPr>
      <w:r w:rsidRPr="008E156C">
        <w:t xml:space="preserve">Admissibility </w:t>
      </w:r>
      <w:r w:rsidR="004B26E5" w:rsidRPr="008E156C">
        <w:t>requirements</w:t>
      </w:r>
    </w:p>
    <w:p w:rsidR="00444A81" w:rsidRPr="008E156C" w:rsidRDefault="00444A81" w:rsidP="00DE7D1B">
      <w:pPr>
        <w:pStyle w:val="Heading3"/>
        <w:spacing w:before="0" w:after="0"/>
        <w:ind w:left="1440" w:hanging="720"/>
        <w:rPr>
          <w:rFonts w:ascii="Cambria" w:hAnsi="Cambria" w:cs="Cambria"/>
          <w:sz w:val="20"/>
          <w:szCs w:val="20"/>
        </w:rPr>
      </w:pPr>
    </w:p>
    <w:p w:rsidR="00444A81" w:rsidRPr="008E156C" w:rsidRDefault="00444A81" w:rsidP="00444A81">
      <w:pPr>
        <w:pStyle w:val="Heading3"/>
        <w:keepNext w:val="0"/>
        <w:numPr>
          <w:ilvl w:val="0"/>
          <w:numId w:val="52"/>
        </w:numPr>
        <w:tabs>
          <w:tab w:val="clear" w:pos="3600"/>
          <w:tab w:val="num" w:pos="1440"/>
        </w:tabs>
        <w:spacing w:before="0" w:after="0"/>
        <w:ind w:hanging="2880"/>
        <w:rPr>
          <w:rFonts w:ascii="Cambria" w:hAnsi="Cambria" w:cs="Cambria"/>
          <w:sz w:val="20"/>
          <w:szCs w:val="20"/>
        </w:rPr>
      </w:pPr>
      <w:r w:rsidRPr="008E156C">
        <w:rPr>
          <w:rFonts w:ascii="Cambria" w:hAnsi="Cambria" w:cs="Cambria"/>
          <w:sz w:val="20"/>
          <w:szCs w:val="20"/>
        </w:rPr>
        <w:t xml:space="preserve">Exhaustion </w:t>
      </w:r>
      <w:r w:rsidR="004B26E5" w:rsidRPr="008E156C">
        <w:rPr>
          <w:rFonts w:ascii="Cambria" w:hAnsi="Cambria" w:cs="Cambria"/>
          <w:sz w:val="20"/>
          <w:szCs w:val="20"/>
        </w:rPr>
        <w:t>of domestic remedies</w:t>
      </w: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rPr>
          <w:rFonts w:ascii="Cambria" w:hAnsi="Cambria" w:cs="Cambria"/>
          <w:sz w:val="20"/>
          <w:szCs w:val="20"/>
        </w:rPr>
      </w:pPr>
    </w:p>
    <w:p w:rsidR="00444A81" w:rsidRPr="008E156C" w:rsidRDefault="00444A81" w:rsidP="00DE7D1B">
      <w:pPr>
        <w:pStyle w:val="BodyText"/>
        <w:numPr>
          <w:ilvl w:val="0"/>
          <w:numId w:val="53"/>
        </w:numPr>
        <w:pBdr>
          <w:top w:val="none" w:sz="0" w:space="0" w:color="auto"/>
          <w:left w:val="none" w:sz="0" w:space="0" w:color="auto"/>
          <w:bottom w:val="none" w:sz="0" w:space="0" w:color="auto"/>
          <w:right w:val="none" w:sz="0" w:space="0" w:color="auto"/>
          <w:bar w:val="none" w:sz="0" w:color="auto"/>
        </w:pBdr>
        <w:spacing w:after="0"/>
        <w:jc w:val="both"/>
        <w:rPr>
          <w:rFonts w:ascii="Cambria" w:hAnsi="Cambria" w:cs="Cambria"/>
          <w:sz w:val="20"/>
          <w:szCs w:val="20"/>
        </w:rPr>
      </w:pPr>
      <w:r w:rsidRPr="008E156C">
        <w:rPr>
          <w:rFonts w:ascii="Cambria" w:hAnsi="Cambria" w:cs="Cambria"/>
          <w:sz w:val="20"/>
          <w:szCs w:val="20"/>
        </w:rPr>
        <w:t xml:space="preserve">Article 46.1.a of the American Convention requires the prior exhaustion of the resources available under domestic law, in accordance with generally recognized principles of international law, as a requirement for the admissibility of claims regarding alleged violations of the Convention. In turn, Article 46.2 of the American Convention states that the prior exhaustion of domestic remedies shall not be required when: (i) the domestic legislation of the state concerned does not afford due process of law for the protection of the right or rights that have allegedly been violated; (ii) the party alleging violation of his rights has been denied access to the remedies under domestic law or has been prevented from exhausting them; or (iii) there has been unwarranted delay in rendering a final judgment under the aforementioned remedies. </w:t>
      </w: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jc w:val="both"/>
        <w:rPr>
          <w:rFonts w:ascii="Cambria" w:hAnsi="Cambria" w:cs="Cambria"/>
          <w:sz w:val="20"/>
          <w:szCs w:val="20"/>
        </w:rPr>
      </w:pPr>
    </w:p>
    <w:p w:rsidR="0043566F" w:rsidRPr="008E156C" w:rsidRDefault="0071357F" w:rsidP="00DE7D1B">
      <w:pPr>
        <w:pStyle w:val="BodyText"/>
        <w:numPr>
          <w:ilvl w:val="0"/>
          <w:numId w:val="53"/>
        </w:numPr>
        <w:pBdr>
          <w:top w:val="none" w:sz="0" w:space="0" w:color="auto"/>
          <w:left w:val="none" w:sz="0" w:space="0" w:color="auto"/>
          <w:bottom w:val="none" w:sz="0" w:space="0" w:color="auto"/>
          <w:right w:val="none" w:sz="0" w:space="0" w:color="auto"/>
          <w:bar w:val="none" w:sz="0" w:color="auto"/>
        </w:pBdr>
        <w:spacing w:after="0"/>
        <w:jc w:val="both"/>
        <w:rPr>
          <w:rFonts w:ascii="Cambria" w:hAnsi="Cambria" w:cs="Cambria"/>
          <w:sz w:val="20"/>
          <w:szCs w:val="20"/>
        </w:rPr>
      </w:pPr>
      <w:r w:rsidRPr="008E156C">
        <w:rPr>
          <w:rFonts w:ascii="Cambria" w:hAnsi="Cambria" w:cs="Cambria"/>
          <w:sz w:val="20"/>
          <w:szCs w:val="20"/>
        </w:rPr>
        <w:t>According to</w:t>
      </w:r>
      <w:r w:rsidR="00444A81" w:rsidRPr="008E156C">
        <w:rPr>
          <w:rFonts w:ascii="Cambria" w:hAnsi="Cambria" w:cs="Cambria"/>
          <w:sz w:val="20"/>
          <w:szCs w:val="20"/>
        </w:rPr>
        <w:t xml:space="preserve"> the Commission</w:t>
      </w:r>
      <w:r w:rsidR="003112BD" w:rsidRPr="008E156C">
        <w:rPr>
          <w:rFonts w:ascii="Cambria" w:hAnsi="Cambria" w:cs="Cambria"/>
          <w:sz w:val="20"/>
          <w:szCs w:val="20"/>
        </w:rPr>
        <w:t>’</w:t>
      </w:r>
      <w:r w:rsidR="00444A81" w:rsidRPr="008E156C">
        <w:rPr>
          <w:rFonts w:ascii="Cambria" w:hAnsi="Cambria" w:cs="Cambria"/>
          <w:sz w:val="20"/>
          <w:szCs w:val="20"/>
        </w:rPr>
        <w:t xml:space="preserve">s Rules of Procedure, and as the Inter-American Court has established, whenever a State claims that a petitioner has not exhausted the relevant domestic remedies, it is required to identify the remedies that have not been exhausted and to demonstrate that they are </w:t>
      </w:r>
      <w:r w:rsidR="003112BD" w:rsidRPr="008E156C">
        <w:rPr>
          <w:rFonts w:ascii="Cambria" w:hAnsi="Cambria" w:cs="Cambria"/>
          <w:sz w:val="20"/>
          <w:szCs w:val="20"/>
        </w:rPr>
        <w:t>“</w:t>
      </w:r>
      <w:r w:rsidR="00444A81" w:rsidRPr="008E156C">
        <w:rPr>
          <w:rFonts w:ascii="Cambria" w:hAnsi="Cambria" w:cs="Cambria"/>
          <w:sz w:val="20"/>
          <w:szCs w:val="20"/>
        </w:rPr>
        <w:t>suitable</w:t>
      </w:r>
      <w:r w:rsidR="003112BD" w:rsidRPr="008E156C">
        <w:rPr>
          <w:rFonts w:ascii="Cambria" w:hAnsi="Cambria" w:cs="Cambria"/>
          <w:sz w:val="20"/>
          <w:szCs w:val="20"/>
        </w:rPr>
        <w:t>”</w:t>
      </w:r>
      <w:r w:rsidR="00444A81" w:rsidRPr="008E156C">
        <w:rPr>
          <w:rFonts w:ascii="Cambria" w:hAnsi="Cambria" w:cs="Cambria"/>
          <w:sz w:val="20"/>
          <w:szCs w:val="20"/>
        </w:rPr>
        <w:t xml:space="preserve"> for remedying the alleged violation and that the function of those resources within the domestic legal system is applicable to protecting the violated juridical situation.</w:t>
      </w:r>
      <w:r w:rsidR="00444A81" w:rsidRPr="008E156C">
        <w:rPr>
          <w:rFonts w:ascii="Cambria" w:hAnsi="Cambria" w:cs="Cambria"/>
          <w:sz w:val="20"/>
          <w:szCs w:val="20"/>
          <w:vertAlign w:val="superscript"/>
        </w:rPr>
        <w:footnoteReference w:id="9"/>
      </w:r>
      <w:r w:rsidR="00444A81" w:rsidRPr="008E156C">
        <w:rPr>
          <w:rFonts w:ascii="Cambria" w:hAnsi="Cambria" w:cs="Cambria"/>
          <w:sz w:val="20"/>
          <w:szCs w:val="20"/>
          <w:vertAlign w:val="superscript"/>
        </w:rPr>
        <w:t xml:space="preserve"> </w:t>
      </w:r>
    </w:p>
    <w:p w:rsidR="0043566F" w:rsidRPr="008E156C" w:rsidRDefault="0043566F" w:rsidP="00DE7D1B">
      <w:pPr>
        <w:pStyle w:val="BodyText"/>
        <w:pBdr>
          <w:top w:val="none" w:sz="0" w:space="0" w:color="auto"/>
          <w:left w:val="none" w:sz="0" w:space="0" w:color="auto"/>
          <w:bottom w:val="none" w:sz="0" w:space="0" w:color="auto"/>
          <w:right w:val="none" w:sz="0" w:space="0" w:color="auto"/>
          <w:bar w:val="none" w:sz="0" w:color="auto"/>
        </w:pBdr>
        <w:spacing w:after="0"/>
        <w:jc w:val="both"/>
        <w:rPr>
          <w:rFonts w:ascii="Cambria" w:hAnsi="Cambria" w:cs="Cambria"/>
          <w:sz w:val="20"/>
          <w:szCs w:val="20"/>
        </w:rPr>
      </w:pPr>
    </w:p>
    <w:p w:rsidR="00444A81" w:rsidRPr="008E156C" w:rsidRDefault="00444A81" w:rsidP="00DE7D1B">
      <w:pPr>
        <w:pStyle w:val="BodyText"/>
        <w:numPr>
          <w:ilvl w:val="0"/>
          <w:numId w:val="53"/>
        </w:numPr>
        <w:pBdr>
          <w:top w:val="none" w:sz="0" w:space="0" w:color="auto"/>
          <w:left w:val="none" w:sz="0" w:space="0" w:color="auto"/>
          <w:bottom w:val="none" w:sz="0" w:space="0" w:color="auto"/>
          <w:right w:val="none" w:sz="0" w:space="0" w:color="auto"/>
          <w:bar w:val="none" w:sz="0" w:color="auto"/>
        </w:pBdr>
        <w:spacing w:after="0"/>
        <w:jc w:val="both"/>
        <w:rPr>
          <w:rFonts w:ascii="Cambria" w:hAnsi="Cambria" w:cs="Cambria"/>
          <w:sz w:val="20"/>
          <w:szCs w:val="20"/>
        </w:rPr>
      </w:pPr>
      <w:r w:rsidRPr="008E156C">
        <w:rPr>
          <w:rFonts w:ascii="Cambria" w:hAnsi="Cambria" w:cs="Cambria"/>
          <w:sz w:val="20"/>
          <w:szCs w:val="20"/>
        </w:rPr>
        <w:t xml:space="preserve">The State initially held that the petition was not in compliance with the prior exhaustion requirement in that at the time it was presented, no final judgment had been issued in the criminal proceedings brought against the alleged victims. On this point, the IACHR again notes that the situation to be taken into account to determine whether the remedies offered by domestic jurisdiction have been exhausted is the one that exists when deciding on admissibility, since the time at which the complaint is lodged and the </w:t>
      </w:r>
      <w:r w:rsidRPr="008E156C">
        <w:rPr>
          <w:rFonts w:ascii="Cambria" w:hAnsi="Cambria" w:cs="Cambria"/>
          <w:sz w:val="20"/>
          <w:szCs w:val="20"/>
        </w:rPr>
        <w:lastRenderedPageBreak/>
        <w:t>time when the admissibility ruling is given are different.</w:t>
      </w:r>
      <w:r w:rsidRPr="008E156C">
        <w:rPr>
          <w:rFonts w:ascii="Cambria" w:hAnsi="Cambria" w:cs="Cambria"/>
          <w:sz w:val="20"/>
          <w:szCs w:val="20"/>
          <w:vertAlign w:val="superscript"/>
        </w:rPr>
        <w:footnoteReference w:id="10"/>
      </w:r>
      <w:r w:rsidRPr="008E156C">
        <w:rPr>
          <w:rFonts w:ascii="Cambria" w:hAnsi="Cambria" w:cs="Cambria"/>
          <w:sz w:val="20"/>
          <w:szCs w:val="20"/>
          <w:vertAlign w:val="superscript"/>
        </w:rPr>
        <w:t xml:space="preserve"> </w:t>
      </w:r>
      <w:r w:rsidRPr="008E156C">
        <w:rPr>
          <w:rFonts w:ascii="Cambria" w:hAnsi="Cambria" w:cs="Cambria"/>
          <w:sz w:val="20"/>
          <w:szCs w:val="20"/>
        </w:rPr>
        <w:t>Regarding the criminal proceedings, the IACHR notes that the domestic remedies were exhausted by means of the CNJP</w:t>
      </w:r>
      <w:r w:rsidR="003112BD" w:rsidRPr="008E156C">
        <w:rPr>
          <w:rFonts w:ascii="Cambria" w:hAnsi="Cambria" w:cs="Cambria"/>
          <w:sz w:val="20"/>
          <w:szCs w:val="20"/>
        </w:rPr>
        <w:t>’</w:t>
      </w:r>
      <w:r w:rsidRPr="008E156C">
        <w:rPr>
          <w:rFonts w:ascii="Cambria" w:hAnsi="Cambria" w:cs="Cambria"/>
          <w:sz w:val="20"/>
          <w:szCs w:val="20"/>
        </w:rPr>
        <w:t>s decision of September 19, 2005, whereby the alleged victims were acquitted. Accordingly, and based on the information available, the IACHR believes that without prejudice to the analysis that it must perform regarding the applicability of the exceptions to the rule requiring the prior exhaustion of domestic remedies, the exception argued by the State was no longer applicable at the time this report was drafted</w:t>
      </w:r>
      <w:r w:rsidR="007F06FA" w:rsidRPr="008E156C">
        <w:rPr>
          <w:rFonts w:ascii="Cambria" w:hAnsi="Cambria" w:cs="Cambria"/>
          <w:sz w:val="20"/>
          <w:szCs w:val="20"/>
        </w:rPr>
        <w:t>,</w:t>
      </w:r>
      <w:r w:rsidRPr="008E156C">
        <w:rPr>
          <w:rFonts w:ascii="Cambria" w:hAnsi="Cambria" w:cs="Cambria"/>
          <w:sz w:val="20"/>
          <w:szCs w:val="20"/>
        </w:rPr>
        <w:t xml:space="preserve"> in that the remedy in question was exhausted by the CNJP</w:t>
      </w:r>
      <w:r w:rsidR="003112BD" w:rsidRPr="008E156C">
        <w:rPr>
          <w:rFonts w:ascii="Cambria" w:hAnsi="Cambria" w:cs="Cambria"/>
          <w:sz w:val="20"/>
          <w:szCs w:val="20"/>
        </w:rPr>
        <w:t>’</w:t>
      </w:r>
      <w:r w:rsidRPr="008E156C">
        <w:rPr>
          <w:rFonts w:ascii="Cambria" w:hAnsi="Cambria" w:cs="Cambria"/>
          <w:sz w:val="20"/>
          <w:szCs w:val="20"/>
        </w:rPr>
        <w:t xml:space="preserve">s decision referred to above. For that reason, and in accordance with this argument, the petition meets the requirement set in Article 46.1.a of the Convention. </w:t>
      </w: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Cambria"/>
          <w:sz w:val="20"/>
          <w:szCs w:val="20"/>
        </w:rPr>
      </w:pPr>
    </w:p>
    <w:p w:rsidR="00444A81" w:rsidRPr="008E156C" w:rsidRDefault="00444A81" w:rsidP="00DE7D1B">
      <w:pPr>
        <w:pStyle w:val="BodyText"/>
        <w:numPr>
          <w:ilvl w:val="0"/>
          <w:numId w:val="53"/>
        </w:numPr>
        <w:pBdr>
          <w:top w:val="none" w:sz="0" w:space="0" w:color="auto"/>
          <w:left w:val="none" w:sz="0" w:space="0" w:color="auto"/>
          <w:bottom w:val="none" w:sz="0" w:space="0" w:color="auto"/>
          <w:right w:val="none" w:sz="0" w:space="0" w:color="auto"/>
          <w:bar w:val="none" w:sz="0" w:color="auto"/>
        </w:pBdr>
        <w:spacing w:after="0"/>
        <w:jc w:val="both"/>
        <w:rPr>
          <w:rFonts w:ascii="Cambria" w:hAnsi="Cambria" w:cs="Cambria"/>
          <w:sz w:val="20"/>
          <w:szCs w:val="20"/>
        </w:rPr>
      </w:pPr>
      <w:r w:rsidRPr="008E156C">
        <w:rPr>
          <w:rFonts w:ascii="Cambria" w:hAnsi="Cambria" w:cs="Cambria"/>
          <w:sz w:val="20"/>
          <w:szCs w:val="20"/>
        </w:rPr>
        <w:t xml:space="preserve">Second, as regards the grounded deed that ordered the </w:t>
      </w:r>
      <w:r w:rsidR="003112BD" w:rsidRPr="008E156C">
        <w:rPr>
          <w:rFonts w:ascii="Cambria" w:hAnsi="Cambria" w:cs="Cambria"/>
          <w:sz w:val="20"/>
          <w:szCs w:val="20"/>
        </w:rPr>
        <w:t>“</w:t>
      </w:r>
      <w:r w:rsidRPr="008E156C">
        <w:rPr>
          <w:rFonts w:ascii="Cambria" w:hAnsi="Cambria" w:cs="Cambria"/>
          <w:sz w:val="20"/>
          <w:szCs w:val="20"/>
        </w:rPr>
        <w:t>firm arrest,</w:t>
      </w:r>
      <w:r w:rsidR="003112BD" w:rsidRPr="008E156C">
        <w:rPr>
          <w:rFonts w:ascii="Cambria" w:hAnsi="Cambria" w:cs="Cambria"/>
          <w:sz w:val="20"/>
          <w:szCs w:val="20"/>
        </w:rPr>
        <w:t>”</w:t>
      </w:r>
      <w:r w:rsidRPr="008E156C">
        <w:rPr>
          <w:rFonts w:ascii="Cambria" w:hAnsi="Cambria" w:cs="Cambria"/>
          <w:sz w:val="20"/>
          <w:szCs w:val="20"/>
        </w:rPr>
        <w:t xml:space="preserve"> the petitioner reportedly filed a release </w:t>
      </w:r>
      <w:r w:rsidRPr="008E156C">
        <w:rPr>
          <w:rFonts w:ascii="Cambria" w:hAnsi="Cambria" w:cs="Cambria"/>
          <w:i/>
          <w:sz w:val="20"/>
          <w:szCs w:val="20"/>
        </w:rPr>
        <w:t>amparo</w:t>
      </w:r>
      <w:r w:rsidRPr="008E156C">
        <w:rPr>
          <w:rFonts w:ascii="Cambria" w:hAnsi="Cambria" w:cs="Cambria"/>
          <w:sz w:val="20"/>
          <w:szCs w:val="20"/>
        </w:rPr>
        <w:t xml:space="preserve">, a remedy for annulment, and appeal to challenge it, alleging, </w:t>
      </w:r>
      <w:r w:rsidRPr="008E156C">
        <w:rPr>
          <w:rFonts w:ascii="Cambria" w:hAnsi="Cambria" w:cs="Cambria"/>
          <w:i/>
          <w:sz w:val="20"/>
          <w:szCs w:val="20"/>
        </w:rPr>
        <w:t>inter alia</w:t>
      </w:r>
      <w:r w:rsidRPr="008E156C">
        <w:rPr>
          <w:rFonts w:ascii="Cambria" w:hAnsi="Cambria" w:cs="Cambria"/>
          <w:sz w:val="20"/>
          <w:szCs w:val="20"/>
        </w:rPr>
        <w:t xml:space="preserve">, the retroactive enforcement of a law to the detriment of the alleged victims. Those remedies failed to prosper. Since the State has made no claims regarding a possible failure to exhaust the domestic remedies, it is found that, on this point, they were exhausted. </w:t>
      </w:r>
    </w:p>
    <w:p w:rsidR="00444A81" w:rsidRPr="008E156C" w:rsidRDefault="00444A81" w:rsidP="00DE7D1B">
      <w:pPr>
        <w:pStyle w:val="ListParagraph"/>
        <w:pBdr>
          <w:top w:val="none" w:sz="0" w:space="0" w:color="auto"/>
          <w:left w:val="none" w:sz="0" w:space="0" w:color="auto"/>
          <w:bottom w:val="none" w:sz="0" w:space="0" w:color="auto"/>
          <w:right w:val="none" w:sz="0" w:space="0" w:color="auto"/>
          <w:bar w:val="none" w:sz="0" w:color="auto"/>
        </w:pBdr>
        <w:rPr>
          <w:rFonts w:cs="Times New Roman"/>
          <w:color w:val="auto"/>
          <w:sz w:val="20"/>
          <w:szCs w:val="20"/>
        </w:rPr>
      </w:pPr>
    </w:p>
    <w:p w:rsidR="00444A81" w:rsidRPr="008E156C" w:rsidRDefault="00444A81" w:rsidP="00DE7D1B">
      <w:pPr>
        <w:pStyle w:val="BodyText"/>
        <w:numPr>
          <w:ilvl w:val="0"/>
          <w:numId w:val="53"/>
        </w:numPr>
        <w:pBdr>
          <w:top w:val="none" w:sz="0" w:space="0" w:color="auto"/>
          <w:left w:val="none" w:sz="0" w:space="0" w:color="auto"/>
          <w:bottom w:val="none" w:sz="0" w:space="0" w:color="auto"/>
          <w:right w:val="none" w:sz="0" w:space="0" w:color="auto"/>
          <w:bar w:val="none" w:sz="0" w:color="auto"/>
        </w:pBdr>
        <w:spacing w:after="0"/>
        <w:jc w:val="both"/>
        <w:rPr>
          <w:rFonts w:ascii="Cambria" w:hAnsi="Cambria" w:cs="Cambria"/>
          <w:sz w:val="20"/>
          <w:szCs w:val="20"/>
        </w:rPr>
      </w:pPr>
      <w:r w:rsidRPr="008E156C">
        <w:rPr>
          <w:rFonts w:ascii="Cambria" w:hAnsi="Cambria" w:cs="Cambria"/>
          <w:sz w:val="20"/>
          <w:szCs w:val="20"/>
        </w:rPr>
        <w:t xml:space="preserve">The State also argues a failure to exhaust the domestic remedies in the compensation action, in that the petitioner filed the suit before the police courts on the basis of regulations applicable to the procedure before the civil courts. The State indicates three channels that the petitioner could have exhausted that were appropriate, suitable, and available for his claim. In response to that stance, the petitioner contends that at least one </w:t>
      </w:r>
      <w:r w:rsidR="00145F8A" w:rsidRPr="008E156C">
        <w:rPr>
          <w:rFonts w:ascii="Cambria" w:hAnsi="Cambria" w:cs="Cambria"/>
          <w:sz w:val="20"/>
          <w:szCs w:val="20"/>
        </w:rPr>
        <w:t xml:space="preserve">of </w:t>
      </w:r>
      <w:r w:rsidRPr="008E156C">
        <w:rPr>
          <w:rFonts w:ascii="Cambria" w:hAnsi="Cambria" w:cs="Cambria"/>
          <w:sz w:val="20"/>
          <w:szCs w:val="20"/>
        </w:rPr>
        <w:t xml:space="preserve">the alleged victims pursued the matter with the police courts, then with the President of the Republic, before the civilian courts, and, finally, at the Supreme Court of Justice. The petitioner </w:t>
      </w:r>
      <w:r w:rsidR="00145F8A" w:rsidRPr="008E156C">
        <w:rPr>
          <w:rFonts w:ascii="Cambria" w:hAnsi="Cambria" w:cs="Cambria"/>
          <w:sz w:val="20"/>
          <w:szCs w:val="20"/>
        </w:rPr>
        <w:t xml:space="preserve">contends </w:t>
      </w:r>
      <w:r w:rsidRPr="008E156C">
        <w:rPr>
          <w:rFonts w:ascii="Cambria" w:hAnsi="Cambria" w:cs="Cambria"/>
          <w:sz w:val="20"/>
          <w:szCs w:val="20"/>
        </w:rPr>
        <w:t xml:space="preserve">that he </w:t>
      </w:r>
      <w:r w:rsidR="00145F8A" w:rsidRPr="008E156C">
        <w:rPr>
          <w:rFonts w:ascii="Cambria" w:hAnsi="Cambria" w:cs="Cambria"/>
          <w:sz w:val="20"/>
          <w:szCs w:val="20"/>
        </w:rPr>
        <w:t xml:space="preserve">was </w:t>
      </w:r>
      <w:r w:rsidRPr="008E156C">
        <w:rPr>
          <w:rFonts w:ascii="Cambria" w:hAnsi="Cambria" w:cs="Cambria"/>
          <w:sz w:val="20"/>
          <w:szCs w:val="20"/>
        </w:rPr>
        <w:t xml:space="preserve">not successful in that action. </w:t>
      </w: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rPr>
          <w:rFonts w:ascii="Cambria" w:hAnsi="Cambria" w:cs="Cambria"/>
          <w:sz w:val="20"/>
          <w:szCs w:val="20"/>
        </w:rPr>
      </w:pPr>
    </w:p>
    <w:p w:rsidR="00444A81" w:rsidRPr="008E156C" w:rsidRDefault="00444A81" w:rsidP="00DE7D1B">
      <w:pPr>
        <w:pStyle w:val="BodyText"/>
        <w:numPr>
          <w:ilvl w:val="0"/>
          <w:numId w:val="53"/>
        </w:numPr>
        <w:pBdr>
          <w:top w:val="none" w:sz="0" w:space="0" w:color="auto"/>
          <w:left w:val="none" w:sz="0" w:space="0" w:color="auto"/>
          <w:bottom w:val="none" w:sz="0" w:space="0" w:color="auto"/>
          <w:right w:val="none" w:sz="0" w:space="0" w:color="auto"/>
          <w:bar w:val="none" w:sz="0" w:color="auto"/>
        </w:pBdr>
        <w:spacing w:after="0"/>
        <w:jc w:val="both"/>
        <w:rPr>
          <w:rFonts w:ascii="Cambria" w:hAnsi="Cambria" w:cs="Cambria"/>
          <w:sz w:val="20"/>
          <w:szCs w:val="20"/>
        </w:rPr>
      </w:pPr>
      <w:r w:rsidRPr="008E156C">
        <w:rPr>
          <w:rFonts w:ascii="Cambria" w:hAnsi="Cambria" w:cs="Cambria"/>
          <w:sz w:val="20"/>
          <w:szCs w:val="20"/>
        </w:rPr>
        <w:t>The Commission notes that the instant case deals with the possible violation of the alleged victims</w:t>
      </w:r>
      <w:r w:rsidR="003112BD" w:rsidRPr="008E156C">
        <w:rPr>
          <w:rFonts w:ascii="Cambria" w:hAnsi="Cambria" w:cs="Cambria"/>
          <w:sz w:val="20"/>
          <w:szCs w:val="20"/>
        </w:rPr>
        <w:t>’</w:t>
      </w:r>
      <w:r w:rsidRPr="008E156C">
        <w:rPr>
          <w:rFonts w:ascii="Cambria" w:hAnsi="Cambria" w:cs="Cambria"/>
          <w:sz w:val="20"/>
          <w:szCs w:val="20"/>
        </w:rPr>
        <w:t xml:space="preserve"> right to a fair trial and judicial protection in the criminal proceedings</w:t>
      </w:r>
      <w:r w:rsidR="00F85ADC" w:rsidRPr="008E156C">
        <w:rPr>
          <w:rFonts w:ascii="Cambria" w:hAnsi="Cambria" w:cs="Cambria"/>
          <w:sz w:val="20"/>
          <w:szCs w:val="20"/>
        </w:rPr>
        <w:t xml:space="preserve"> before the police courts</w:t>
      </w:r>
      <w:r w:rsidRPr="008E156C">
        <w:rPr>
          <w:rFonts w:ascii="Cambria" w:hAnsi="Cambria" w:cs="Cambria"/>
          <w:sz w:val="20"/>
          <w:szCs w:val="20"/>
        </w:rPr>
        <w:t>. Thus, as regards the appropriate and effective remedies, it notes that the petitioner pursued the channels identified by the State but was unable to secure a favorable response. Specifically, he first filed a claim before the President of the CNJP under Articles 20, 21, and 22 of the Constitution (good name, honor, and reputation), in conjunction with Articles 2232 to 2234 of the Codification of the Civil Code and Article 71 of the Organic Law of the Judicial Branch. In contrast to what the State claims, the petitioner based his action on articles of the Constitution, no only on the Codification of the Civil Code. In addition, in response to the State</w:t>
      </w:r>
      <w:r w:rsidR="003112BD" w:rsidRPr="008E156C">
        <w:rPr>
          <w:rFonts w:ascii="Cambria" w:hAnsi="Cambria" w:cs="Cambria"/>
          <w:sz w:val="20"/>
          <w:szCs w:val="20"/>
        </w:rPr>
        <w:t>’</w:t>
      </w:r>
      <w:r w:rsidRPr="008E156C">
        <w:rPr>
          <w:rFonts w:ascii="Cambria" w:hAnsi="Cambria" w:cs="Cambria"/>
          <w:sz w:val="20"/>
          <w:szCs w:val="20"/>
        </w:rPr>
        <w:t xml:space="preserve">s argument that the civil challenges were not exhausted, at least one of the alleged victims did pursue compensation through civil channels, albeit fruitlessly. In any event, the IACHR does not believe that the exhaustion of that remedy should be a requirement for processing the case at hand, given that it does not address the substantive matter of the petition. Consequently, the Commission believes that this aspect of the petition meets the requirement established in Article 46.1.a of the Convention. </w:t>
      </w:r>
    </w:p>
    <w:p w:rsidR="00444A81" w:rsidRPr="008E156C" w:rsidRDefault="00444A81" w:rsidP="00DE7D1B">
      <w:pPr>
        <w:pStyle w:val="BodyText"/>
        <w:pBdr>
          <w:top w:val="none" w:sz="0" w:space="0" w:color="auto"/>
          <w:left w:val="none" w:sz="0" w:space="0" w:color="auto"/>
          <w:bottom w:val="none" w:sz="0" w:space="0" w:color="auto"/>
          <w:right w:val="none" w:sz="0" w:space="0" w:color="auto"/>
          <w:bar w:val="none" w:sz="0" w:color="auto"/>
        </w:pBdr>
        <w:spacing w:after="0"/>
        <w:ind w:left="720"/>
        <w:jc w:val="both"/>
        <w:rPr>
          <w:rFonts w:ascii="Cambria" w:hAnsi="Cambria" w:cs="Cambria"/>
          <w:sz w:val="20"/>
          <w:szCs w:val="20"/>
        </w:rPr>
      </w:pPr>
    </w:p>
    <w:p w:rsidR="00444A81" w:rsidRPr="008E156C" w:rsidRDefault="00444A81" w:rsidP="00444A81">
      <w:pPr>
        <w:pStyle w:val="Heading3"/>
        <w:keepNext w:val="0"/>
        <w:numPr>
          <w:ilvl w:val="0"/>
          <w:numId w:val="52"/>
        </w:numPr>
        <w:tabs>
          <w:tab w:val="clear" w:pos="3600"/>
          <w:tab w:val="num" w:pos="1440"/>
        </w:tabs>
        <w:spacing w:before="0" w:after="0"/>
        <w:ind w:hanging="2880"/>
        <w:rPr>
          <w:rFonts w:ascii="Cambria" w:hAnsi="Cambria" w:cs="Cambria"/>
          <w:sz w:val="20"/>
          <w:szCs w:val="20"/>
        </w:rPr>
      </w:pPr>
      <w:r w:rsidRPr="008E156C">
        <w:rPr>
          <w:rFonts w:ascii="Cambria" w:hAnsi="Cambria" w:cs="Cambria"/>
          <w:sz w:val="20"/>
          <w:szCs w:val="20"/>
        </w:rPr>
        <w:t xml:space="preserve">Timeliness of the </w:t>
      </w:r>
      <w:r w:rsidR="00F85ADC" w:rsidRPr="008E156C">
        <w:rPr>
          <w:rFonts w:ascii="Cambria" w:hAnsi="Cambria" w:cs="Cambria"/>
          <w:sz w:val="20"/>
          <w:szCs w:val="20"/>
        </w:rPr>
        <w:t>petition</w:t>
      </w: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rPr>
          <w:rFonts w:ascii="Cambria" w:hAnsi="Cambria" w:cs="Cambria"/>
          <w:sz w:val="20"/>
          <w:szCs w:val="20"/>
        </w:rPr>
      </w:pPr>
    </w:p>
    <w:p w:rsidR="00444A81" w:rsidRPr="008E156C" w:rsidRDefault="00444A81" w:rsidP="00DE7D1B">
      <w:pPr>
        <w:numPr>
          <w:ilvl w:val="0"/>
          <w:numId w:val="53"/>
        </w:numPr>
        <w:pBdr>
          <w:top w:val="none" w:sz="0" w:space="0" w:color="auto"/>
          <w:left w:val="none" w:sz="0" w:space="0" w:color="auto"/>
          <w:bottom w:val="none" w:sz="0" w:space="0" w:color="auto"/>
          <w:right w:val="none" w:sz="0" w:space="0" w:color="auto"/>
          <w:bar w:val="none" w:sz="0" w:color="auto"/>
        </w:pBdr>
        <w:tabs>
          <w:tab w:val="num" w:pos="1440"/>
        </w:tabs>
        <w:jc w:val="both"/>
        <w:rPr>
          <w:rFonts w:ascii="Cambria" w:hAnsi="Cambria" w:cs="Cambria"/>
          <w:sz w:val="20"/>
          <w:szCs w:val="20"/>
        </w:rPr>
      </w:pPr>
      <w:r w:rsidRPr="008E156C">
        <w:rPr>
          <w:rFonts w:ascii="Cambria" w:hAnsi="Cambria" w:cs="Cambria"/>
          <w:sz w:val="20"/>
          <w:szCs w:val="20"/>
        </w:rPr>
        <w:t>The Convention states that for a petition to be admissible, it must be lodged within a period of six months following the date on which the alleged victim was notified of the final judgment adopted by the domestic courts. Similarly, Article 32 of the Commission</w:t>
      </w:r>
      <w:r w:rsidR="003112BD" w:rsidRPr="008E156C">
        <w:rPr>
          <w:rFonts w:ascii="Cambria" w:hAnsi="Cambria" w:cs="Cambria"/>
          <w:sz w:val="20"/>
          <w:szCs w:val="20"/>
        </w:rPr>
        <w:t>’</w:t>
      </w:r>
      <w:r w:rsidRPr="008E156C">
        <w:rPr>
          <w:rFonts w:ascii="Cambria" w:hAnsi="Cambria" w:cs="Cambria"/>
          <w:sz w:val="20"/>
          <w:szCs w:val="20"/>
        </w:rPr>
        <w:t>s Rules of Procedure establishes that in cases in which the exceptions to the prior exhaustion requirement are applicable, the petition must be presented within what the Commission deems to be a reasonable period of time.</w:t>
      </w: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jc w:val="both"/>
        <w:rPr>
          <w:rFonts w:ascii="Cambria" w:hAnsi="Cambria" w:cs="Cambria"/>
          <w:sz w:val="20"/>
          <w:szCs w:val="20"/>
        </w:rPr>
      </w:pPr>
    </w:p>
    <w:p w:rsidR="00444A81" w:rsidRPr="008E156C" w:rsidRDefault="00444A81" w:rsidP="00DE7D1B">
      <w:pPr>
        <w:numPr>
          <w:ilvl w:val="0"/>
          <w:numId w:val="53"/>
        </w:numPr>
        <w:pBdr>
          <w:top w:val="none" w:sz="0" w:space="0" w:color="auto"/>
          <w:left w:val="none" w:sz="0" w:space="0" w:color="auto"/>
          <w:bottom w:val="none" w:sz="0" w:space="0" w:color="auto"/>
          <w:right w:val="none" w:sz="0" w:space="0" w:color="auto"/>
          <w:bar w:val="none" w:sz="0" w:color="auto"/>
        </w:pBdr>
        <w:tabs>
          <w:tab w:val="num" w:pos="1440"/>
        </w:tabs>
        <w:jc w:val="both"/>
        <w:rPr>
          <w:rFonts w:ascii="Cambria" w:hAnsi="Cambria" w:cs="Cambria"/>
          <w:sz w:val="20"/>
          <w:szCs w:val="20"/>
        </w:rPr>
      </w:pPr>
      <w:r w:rsidRPr="008E156C">
        <w:rPr>
          <w:rFonts w:ascii="Cambria" w:hAnsi="Cambria" w:cs="Cambria"/>
          <w:sz w:val="20"/>
          <w:szCs w:val="20"/>
        </w:rPr>
        <w:t>The petition was received on July 15, 2003, and in this case, the Commission has ruled that the alleged victims</w:t>
      </w:r>
      <w:r w:rsidR="003112BD" w:rsidRPr="008E156C">
        <w:rPr>
          <w:rFonts w:ascii="Cambria" w:hAnsi="Cambria" w:cs="Cambria"/>
          <w:sz w:val="20"/>
          <w:szCs w:val="20"/>
        </w:rPr>
        <w:t>’</w:t>
      </w:r>
      <w:r w:rsidRPr="008E156C">
        <w:rPr>
          <w:rFonts w:ascii="Cambria" w:hAnsi="Cambria" w:cs="Cambria"/>
          <w:sz w:val="20"/>
          <w:szCs w:val="20"/>
        </w:rPr>
        <w:t xml:space="preserve"> legal situation was finally resolved by means of the CNJP</w:t>
      </w:r>
      <w:r w:rsidR="003112BD" w:rsidRPr="008E156C">
        <w:rPr>
          <w:rFonts w:ascii="Cambria" w:hAnsi="Cambria" w:cs="Cambria"/>
          <w:sz w:val="20"/>
          <w:szCs w:val="20"/>
        </w:rPr>
        <w:t>’</w:t>
      </w:r>
      <w:r w:rsidRPr="008E156C">
        <w:rPr>
          <w:rFonts w:ascii="Cambria" w:hAnsi="Cambria" w:cs="Cambria"/>
          <w:sz w:val="20"/>
          <w:szCs w:val="20"/>
        </w:rPr>
        <w:t xml:space="preserve">s decision of September 19, 2005. Consequently, considering the context and characteristics of this case, the Commission believes that the petition was lodged in a timely fashion and that the admissibility requirement regarding the timeliness of the petition must be deemed met. </w:t>
      </w: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rPr>
          <w:rFonts w:ascii="Cambria" w:hAnsi="Cambria" w:cs="Cambria"/>
          <w:sz w:val="20"/>
          <w:szCs w:val="20"/>
        </w:rPr>
      </w:pPr>
    </w:p>
    <w:p w:rsidR="00444A81" w:rsidRPr="008E156C" w:rsidRDefault="009C041C" w:rsidP="00444A81">
      <w:pPr>
        <w:pStyle w:val="Heading3"/>
        <w:keepNext w:val="0"/>
        <w:numPr>
          <w:ilvl w:val="0"/>
          <w:numId w:val="52"/>
        </w:numPr>
        <w:tabs>
          <w:tab w:val="clear" w:pos="3600"/>
          <w:tab w:val="num" w:pos="1440"/>
        </w:tabs>
        <w:spacing w:before="0" w:after="0"/>
        <w:ind w:hanging="2880"/>
        <w:jc w:val="both"/>
        <w:rPr>
          <w:rFonts w:ascii="Cambria" w:hAnsi="Cambria" w:cs="Cambria"/>
          <w:sz w:val="20"/>
          <w:szCs w:val="20"/>
        </w:rPr>
      </w:pPr>
      <w:r w:rsidRPr="008E156C">
        <w:rPr>
          <w:rFonts w:ascii="Cambria" w:hAnsi="Cambria" w:cs="Cambria"/>
          <w:sz w:val="20"/>
          <w:szCs w:val="20"/>
        </w:rPr>
        <w:lastRenderedPageBreak/>
        <w:t>Duplication of international proceedings</w:t>
      </w: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rPr>
          <w:rFonts w:ascii="Cambria" w:hAnsi="Cambria" w:cs="Cambria"/>
          <w:sz w:val="20"/>
          <w:szCs w:val="20"/>
        </w:rPr>
      </w:pPr>
    </w:p>
    <w:p w:rsidR="00444A81" w:rsidRPr="008E156C" w:rsidRDefault="00444A81" w:rsidP="00DE7D1B">
      <w:pPr>
        <w:pStyle w:val="BodyText"/>
        <w:numPr>
          <w:ilvl w:val="0"/>
          <w:numId w:val="53"/>
        </w:numPr>
        <w:pBdr>
          <w:top w:val="none" w:sz="0" w:space="0" w:color="auto"/>
          <w:left w:val="none" w:sz="0" w:space="0" w:color="auto"/>
          <w:bottom w:val="none" w:sz="0" w:space="0" w:color="auto"/>
          <w:right w:val="none" w:sz="0" w:space="0" w:color="auto"/>
          <w:bar w:val="none" w:sz="0" w:color="auto"/>
        </w:pBdr>
        <w:spacing w:after="0"/>
        <w:jc w:val="both"/>
        <w:rPr>
          <w:rFonts w:ascii="Cambria" w:hAnsi="Cambria" w:cs="Cambria"/>
          <w:sz w:val="20"/>
          <w:szCs w:val="20"/>
        </w:rPr>
      </w:pPr>
      <w:r w:rsidRPr="008E156C">
        <w:rPr>
          <w:rFonts w:ascii="Cambria" w:hAnsi="Cambria" w:cs="Cambria"/>
          <w:sz w:val="20"/>
          <w:szCs w:val="20"/>
        </w:rPr>
        <w:t>The record of the petition does not contain any information that tends to establish that the subject of the petition is pending in another international proceeding for settlement, or that it has been previously decided by the IACHR. Hence, the requirements set forth in Articles 46.1.c and 47.d of the Convention have been met.</w:t>
      </w: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rPr>
          <w:rFonts w:ascii="Cambria" w:hAnsi="Cambria" w:cs="Cambria"/>
          <w:sz w:val="20"/>
          <w:szCs w:val="20"/>
        </w:rPr>
      </w:pPr>
    </w:p>
    <w:p w:rsidR="00444A81" w:rsidRPr="008E156C" w:rsidRDefault="00444A81" w:rsidP="00444A81">
      <w:pPr>
        <w:pStyle w:val="Heading3"/>
        <w:keepNext w:val="0"/>
        <w:numPr>
          <w:ilvl w:val="0"/>
          <w:numId w:val="52"/>
        </w:numPr>
        <w:tabs>
          <w:tab w:val="clear" w:pos="3600"/>
          <w:tab w:val="num" w:pos="1440"/>
        </w:tabs>
        <w:spacing w:before="0" w:after="0"/>
        <w:ind w:hanging="2880"/>
        <w:jc w:val="both"/>
        <w:rPr>
          <w:rFonts w:ascii="Cambria" w:hAnsi="Cambria" w:cs="Cambria"/>
          <w:sz w:val="20"/>
          <w:szCs w:val="20"/>
        </w:rPr>
      </w:pPr>
      <w:r w:rsidRPr="008E156C">
        <w:rPr>
          <w:rFonts w:ascii="Cambria" w:hAnsi="Cambria" w:cs="Cambria"/>
          <w:sz w:val="20"/>
          <w:szCs w:val="20"/>
        </w:rPr>
        <w:t xml:space="preserve">Colorable </w:t>
      </w:r>
      <w:r w:rsidR="009C041C" w:rsidRPr="008E156C">
        <w:rPr>
          <w:rFonts w:ascii="Cambria" w:hAnsi="Cambria" w:cs="Cambria"/>
          <w:sz w:val="20"/>
          <w:szCs w:val="20"/>
        </w:rPr>
        <w:t>c</w:t>
      </w:r>
      <w:r w:rsidRPr="008E156C">
        <w:rPr>
          <w:rFonts w:ascii="Cambria" w:hAnsi="Cambria" w:cs="Cambria"/>
          <w:sz w:val="20"/>
          <w:szCs w:val="20"/>
        </w:rPr>
        <w:t>laim</w:t>
      </w:r>
    </w:p>
    <w:p w:rsidR="00444A81" w:rsidRPr="008E156C" w:rsidRDefault="00444A81" w:rsidP="00DE7D1B">
      <w:pPr>
        <w:pStyle w:val="BodyText"/>
        <w:pBdr>
          <w:top w:val="none" w:sz="0" w:space="0" w:color="auto"/>
          <w:left w:val="none" w:sz="0" w:space="0" w:color="auto"/>
          <w:bottom w:val="none" w:sz="0" w:space="0" w:color="auto"/>
          <w:right w:val="none" w:sz="0" w:space="0" w:color="auto"/>
          <w:bar w:val="none" w:sz="0" w:color="auto"/>
        </w:pBdr>
        <w:spacing w:after="0"/>
        <w:jc w:val="both"/>
        <w:rPr>
          <w:rFonts w:ascii="Cambria" w:hAnsi="Cambria" w:cs="Cambria"/>
          <w:sz w:val="20"/>
          <w:szCs w:val="20"/>
        </w:rPr>
      </w:pPr>
    </w:p>
    <w:p w:rsidR="0043566F" w:rsidRPr="008E156C" w:rsidRDefault="00444A81" w:rsidP="00DE7D1B">
      <w:pPr>
        <w:pStyle w:val="ListParagraph"/>
        <w:widowControl w:val="0"/>
        <w:numPr>
          <w:ilvl w:val="0"/>
          <w:numId w:val="53"/>
        </w:numPr>
        <w:pBdr>
          <w:top w:val="none" w:sz="0" w:space="0" w:color="auto"/>
          <w:left w:val="none" w:sz="0" w:space="0" w:color="auto"/>
          <w:bottom w:val="none" w:sz="0" w:space="0" w:color="auto"/>
          <w:right w:val="none" w:sz="0" w:space="0" w:color="auto"/>
          <w:bar w:val="none" w:sz="0" w:color="auto"/>
        </w:pBdr>
        <w:ind w:left="0"/>
        <w:jc w:val="both"/>
        <w:rPr>
          <w:rFonts w:cs="Times New Roman"/>
          <w:color w:val="auto"/>
          <w:sz w:val="20"/>
          <w:szCs w:val="20"/>
        </w:rPr>
      </w:pPr>
      <w:r w:rsidRPr="008E156C">
        <w:rPr>
          <w:color w:val="auto"/>
          <w:sz w:val="20"/>
          <w:szCs w:val="20"/>
        </w:rPr>
        <w:t xml:space="preserve">For the purposes of admissibility, the Commission must decide whether the alleged facts tend to establish a rights violation, as stipulated in Article 47.b of the American Convention, or whether the petition is </w:t>
      </w:r>
      <w:r w:rsidR="003112BD" w:rsidRPr="008E156C">
        <w:rPr>
          <w:bCs/>
          <w:color w:val="auto"/>
          <w:sz w:val="20"/>
          <w:szCs w:val="20"/>
        </w:rPr>
        <w:t>“</w:t>
      </w:r>
      <w:r w:rsidRPr="008E156C">
        <w:rPr>
          <w:color w:val="auto"/>
          <w:sz w:val="20"/>
          <w:szCs w:val="20"/>
        </w:rPr>
        <w:t>manifestly groundless</w:t>
      </w:r>
      <w:r w:rsidR="003112BD" w:rsidRPr="008E156C">
        <w:rPr>
          <w:bCs/>
          <w:color w:val="auto"/>
          <w:sz w:val="20"/>
          <w:szCs w:val="20"/>
        </w:rPr>
        <w:t>”</w:t>
      </w:r>
      <w:r w:rsidRPr="008E156C">
        <w:rPr>
          <w:bCs/>
          <w:color w:val="auto"/>
          <w:sz w:val="20"/>
          <w:szCs w:val="20"/>
        </w:rPr>
        <w:t xml:space="preserve"> </w:t>
      </w:r>
      <w:r w:rsidRPr="008E156C">
        <w:rPr>
          <w:color w:val="auto"/>
          <w:sz w:val="20"/>
          <w:szCs w:val="20"/>
        </w:rPr>
        <w:t xml:space="preserve">or </w:t>
      </w:r>
      <w:r w:rsidR="003112BD" w:rsidRPr="008E156C">
        <w:rPr>
          <w:bCs/>
          <w:color w:val="auto"/>
          <w:sz w:val="20"/>
          <w:szCs w:val="20"/>
        </w:rPr>
        <w:t>“</w:t>
      </w:r>
      <w:r w:rsidRPr="008E156C">
        <w:rPr>
          <w:color w:val="auto"/>
          <w:sz w:val="20"/>
          <w:szCs w:val="20"/>
        </w:rPr>
        <w:t>obviously out of order</w:t>
      </w:r>
      <w:r w:rsidRPr="008E156C">
        <w:rPr>
          <w:bCs/>
          <w:color w:val="auto"/>
          <w:sz w:val="20"/>
          <w:szCs w:val="20"/>
        </w:rPr>
        <w:t>,</w:t>
      </w:r>
      <w:r w:rsidR="003112BD" w:rsidRPr="008E156C">
        <w:rPr>
          <w:bCs/>
          <w:color w:val="auto"/>
          <w:sz w:val="20"/>
          <w:szCs w:val="20"/>
        </w:rPr>
        <w:t>”</w:t>
      </w:r>
      <w:r w:rsidRPr="008E156C">
        <w:rPr>
          <w:bCs/>
          <w:color w:val="auto"/>
          <w:sz w:val="20"/>
          <w:szCs w:val="20"/>
        </w:rPr>
        <w:t xml:space="preserve"> </w:t>
      </w:r>
      <w:r w:rsidRPr="008E156C">
        <w:rPr>
          <w:color w:val="auto"/>
          <w:sz w:val="20"/>
          <w:szCs w:val="20"/>
        </w:rPr>
        <w:t xml:space="preserve">as described in Article 47.c. The level of conviction regarding those standards is different from that required in deciding on the merits of a complaint; the Commission must perform a </w:t>
      </w:r>
      <w:r w:rsidRPr="008E156C">
        <w:rPr>
          <w:i/>
          <w:color w:val="auto"/>
          <w:sz w:val="20"/>
          <w:szCs w:val="20"/>
        </w:rPr>
        <w:t>prima</w:t>
      </w:r>
      <w:r w:rsidRPr="008E156C">
        <w:rPr>
          <w:color w:val="auto"/>
          <w:sz w:val="20"/>
          <w:szCs w:val="20"/>
        </w:rPr>
        <w:t xml:space="preserve"> </w:t>
      </w:r>
      <w:r w:rsidRPr="008E156C">
        <w:rPr>
          <w:i/>
          <w:iCs/>
          <w:color w:val="auto"/>
          <w:sz w:val="20"/>
          <w:szCs w:val="20"/>
        </w:rPr>
        <w:t>facie</w:t>
      </w:r>
      <w:r w:rsidRPr="008E156C">
        <w:rPr>
          <w:color w:val="auto"/>
          <w:sz w:val="20"/>
          <w:szCs w:val="20"/>
        </w:rPr>
        <w:t xml:space="preserve"> evaluation, not to establish the existence of a violation, but to examine if the petition establishes grounds for the apparent or potential violation of a right guaranteed by the Convention. That determination is a preliminary analysis and does not represent a prejudgment on the merits of the matter.</w:t>
      </w:r>
      <w:r w:rsidRPr="008E156C">
        <w:rPr>
          <w:rFonts w:cs="Times New Roman"/>
          <w:color w:val="auto"/>
          <w:sz w:val="20"/>
          <w:szCs w:val="20"/>
          <w:vertAlign w:val="superscript"/>
        </w:rPr>
        <w:footnoteReference w:id="11"/>
      </w:r>
    </w:p>
    <w:p w:rsidR="0043566F" w:rsidRPr="008E156C" w:rsidRDefault="0043566F" w:rsidP="00DE7D1B">
      <w:pPr>
        <w:pStyle w:val="BodyText"/>
        <w:pBdr>
          <w:top w:val="none" w:sz="0" w:space="0" w:color="auto"/>
          <w:left w:val="none" w:sz="0" w:space="0" w:color="auto"/>
          <w:bottom w:val="none" w:sz="0" w:space="0" w:color="auto"/>
          <w:right w:val="none" w:sz="0" w:space="0" w:color="auto"/>
          <w:bar w:val="none" w:sz="0" w:color="auto"/>
        </w:pBdr>
        <w:spacing w:after="0"/>
        <w:jc w:val="both"/>
        <w:rPr>
          <w:rFonts w:ascii="Cambria" w:hAnsi="Cambria"/>
          <w:sz w:val="20"/>
          <w:szCs w:val="20"/>
        </w:rPr>
      </w:pPr>
    </w:p>
    <w:p w:rsidR="00444A81" w:rsidRPr="008E156C" w:rsidRDefault="00444A81" w:rsidP="00DE7D1B">
      <w:pPr>
        <w:pStyle w:val="BodyText"/>
        <w:numPr>
          <w:ilvl w:val="0"/>
          <w:numId w:val="53"/>
        </w:numPr>
        <w:pBdr>
          <w:top w:val="none" w:sz="0" w:space="0" w:color="auto"/>
          <w:left w:val="none" w:sz="0" w:space="0" w:color="auto"/>
          <w:bottom w:val="none" w:sz="0" w:space="0" w:color="auto"/>
          <w:right w:val="none" w:sz="0" w:space="0" w:color="auto"/>
          <w:bar w:val="none" w:sz="0" w:color="auto"/>
        </w:pBdr>
        <w:spacing w:after="0"/>
        <w:jc w:val="both"/>
        <w:rPr>
          <w:rFonts w:ascii="Cambria" w:hAnsi="Cambria" w:cs="Cambria"/>
          <w:sz w:val="20"/>
          <w:szCs w:val="20"/>
        </w:rPr>
      </w:pPr>
      <w:r w:rsidRPr="008E156C">
        <w:rPr>
          <w:rFonts w:ascii="Cambria" w:hAnsi="Cambria" w:cs="Cambria"/>
          <w:sz w:val="20"/>
          <w:szCs w:val="20"/>
        </w:rPr>
        <w:t>Neither the American Convention nor the IACHR</w:t>
      </w:r>
      <w:r w:rsidR="009C041C" w:rsidRPr="008E156C">
        <w:rPr>
          <w:rFonts w:ascii="Cambria" w:hAnsi="Cambria" w:cs="Cambria"/>
          <w:sz w:val="20"/>
          <w:szCs w:val="20"/>
        </w:rPr>
        <w:t>’s</w:t>
      </w:r>
      <w:r w:rsidRPr="008E156C">
        <w:rPr>
          <w:rFonts w:ascii="Cambria" w:hAnsi="Cambria" w:cs="Cambria"/>
          <w:sz w:val="20"/>
          <w:szCs w:val="20"/>
        </w:rPr>
        <w:t xml:space="preserve"> Rules of Procedure require a petitioner to identify the specific rights allegedly violated by the State in the matter brought before the Commission, although petitioners may do so. Instead, it falls to the IACHR, based on the precedents set by the system, to determine in its admissibility reports what provisions of the relevant inter-American instruments are applicable, the violation of which could be established if the alleged facts are proven by means of adequate evidence. </w:t>
      </w:r>
    </w:p>
    <w:p w:rsidR="00444A81" w:rsidRPr="008E156C" w:rsidRDefault="00444A81" w:rsidP="00DE7D1B">
      <w:pPr>
        <w:pStyle w:val="BodyText"/>
        <w:pBdr>
          <w:top w:val="none" w:sz="0" w:space="0" w:color="auto"/>
          <w:left w:val="none" w:sz="0" w:space="0" w:color="auto"/>
          <w:bottom w:val="none" w:sz="0" w:space="0" w:color="auto"/>
          <w:right w:val="none" w:sz="0" w:space="0" w:color="auto"/>
          <w:bar w:val="none" w:sz="0" w:color="auto"/>
        </w:pBdr>
        <w:spacing w:after="0"/>
        <w:jc w:val="both"/>
        <w:rPr>
          <w:rFonts w:ascii="Cambria" w:hAnsi="Cambria" w:cs="Cambria"/>
          <w:sz w:val="20"/>
          <w:szCs w:val="20"/>
        </w:rPr>
      </w:pPr>
    </w:p>
    <w:p w:rsidR="00444A81" w:rsidRPr="008E156C" w:rsidRDefault="00444A81" w:rsidP="00DE7D1B">
      <w:pPr>
        <w:numPr>
          <w:ilvl w:val="0"/>
          <w:numId w:val="53"/>
        </w:numPr>
        <w:pBdr>
          <w:top w:val="none" w:sz="0" w:space="0" w:color="auto"/>
          <w:left w:val="none" w:sz="0" w:space="0" w:color="auto"/>
          <w:bottom w:val="none" w:sz="0" w:space="0" w:color="auto"/>
          <w:right w:val="none" w:sz="0" w:space="0" w:color="auto"/>
          <w:bar w:val="none" w:sz="0" w:color="auto"/>
        </w:pBdr>
        <w:jc w:val="both"/>
        <w:rPr>
          <w:rFonts w:ascii="Cambria" w:hAnsi="Cambria" w:cs="Cambria"/>
          <w:sz w:val="20"/>
          <w:szCs w:val="20"/>
        </w:rPr>
      </w:pPr>
      <w:r w:rsidRPr="008E156C">
        <w:rPr>
          <w:rFonts w:ascii="Cambria" w:hAnsi="Cambria" w:cs="Cambria"/>
          <w:sz w:val="20"/>
          <w:szCs w:val="20"/>
        </w:rPr>
        <w:t xml:space="preserve">The IACHR notes that there is a dispute regarding the characterization of the alleged facts in the criminal proceedings. The State maintains that in the case at hand, the </w:t>
      </w:r>
      <w:r w:rsidR="003112BD" w:rsidRPr="008E156C">
        <w:rPr>
          <w:rFonts w:ascii="Cambria" w:hAnsi="Cambria" w:cs="Cambria"/>
          <w:sz w:val="20"/>
          <w:szCs w:val="20"/>
        </w:rPr>
        <w:t>“</w:t>
      </w:r>
      <w:r w:rsidRPr="008E156C">
        <w:rPr>
          <w:rFonts w:ascii="Cambria" w:hAnsi="Cambria" w:cs="Cambria"/>
          <w:sz w:val="20"/>
          <w:szCs w:val="20"/>
        </w:rPr>
        <w:t>fourth instance</w:t>
      </w:r>
      <w:r w:rsidR="003112BD" w:rsidRPr="008E156C">
        <w:rPr>
          <w:rFonts w:ascii="Cambria" w:hAnsi="Cambria" w:cs="Cambria"/>
          <w:sz w:val="20"/>
          <w:szCs w:val="20"/>
        </w:rPr>
        <w:t>”</w:t>
      </w:r>
      <w:r w:rsidRPr="008E156C">
        <w:rPr>
          <w:rFonts w:ascii="Cambria" w:hAnsi="Cambria" w:cs="Cambria"/>
          <w:sz w:val="20"/>
          <w:szCs w:val="20"/>
        </w:rPr>
        <w:t xml:space="preserve"> formula applies and that the petition does not set out facts that tend to establish a violation of any rights guaranteed by the Convention because the alleged victims were successful in the domestic remedies they pursued. In contrast, the petitioner contends that the alleged victims faced proceedings marked by notorious irregularities in which their rights were violated. </w:t>
      </w: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jc w:val="both"/>
        <w:rPr>
          <w:rFonts w:ascii="Cambria" w:hAnsi="Cambria" w:cs="Cambria"/>
          <w:sz w:val="20"/>
          <w:szCs w:val="20"/>
        </w:rPr>
      </w:pPr>
    </w:p>
    <w:p w:rsidR="0043566F" w:rsidRPr="008E156C" w:rsidRDefault="00444A81" w:rsidP="00DE7D1B">
      <w:pPr>
        <w:numPr>
          <w:ilvl w:val="0"/>
          <w:numId w:val="53"/>
        </w:numPr>
        <w:pBdr>
          <w:top w:val="none" w:sz="0" w:space="0" w:color="auto"/>
          <w:left w:val="none" w:sz="0" w:space="0" w:color="auto"/>
          <w:bottom w:val="none" w:sz="0" w:space="0" w:color="auto"/>
          <w:right w:val="none" w:sz="0" w:space="0" w:color="auto"/>
          <w:bar w:val="none" w:sz="0" w:color="auto"/>
        </w:pBdr>
        <w:jc w:val="both"/>
        <w:rPr>
          <w:rFonts w:ascii="Cambria" w:hAnsi="Cambria" w:cs="Cambria"/>
          <w:sz w:val="20"/>
          <w:szCs w:val="20"/>
        </w:rPr>
      </w:pPr>
      <w:r w:rsidRPr="008E156C">
        <w:rPr>
          <w:rFonts w:ascii="Cambria" w:hAnsi="Cambria" w:cs="Cambria"/>
          <w:sz w:val="20"/>
          <w:szCs w:val="20"/>
        </w:rPr>
        <w:t xml:space="preserve">The basic premise of the fourth instance formula is that the Commission may not review </w:t>
      </w:r>
      <w:r w:rsidR="003112BD" w:rsidRPr="008E156C">
        <w:rPr>
          <w:rFonts w:ascii="Cambria" w:hAnsi="Cambria" w:cs="Cambria"/>
          <w:sz w:val="20"/>
          <w:szCs w:val="20"/>
        </w:rPr>
        <w:t>“</w:t>
      </w:r>
      <w:r w:rsidRPr="008E156C">
        <w:rPr>
          <w:rFonts w:ascii="Cambria" w:hAnsi="Cambria" w:cs="Cambria"/>
          <w:sz w:val="20"/>
          <w:szCs w:val="20"/>
        </w:rPr>
        <w:t>decisions handed down by national courts acting within their authority and applying the appropriate legal guarantees, unless it is found that there has been a violation of some right protected by the Convention.</w:t>
      </w:r>
      <w:r w:rsidR="003112BD" w:rsidRPr="008E156C">
        <w:rPr>
          <w:rFonts w:ascii="Cambria" w:hAnsi="Cambria" w:cs="Cambria"/>
          <w:sz w:val="20"/>
          <w:szCs w:val="20"/>
        </w:rPr>
        <w:t>”</w:t>
      </w:r>
      <w:r w:rsidRPr="008E156C">
        <w:rPr>
          <w:rFonts w:ascii="Cambria" w:hAnsi="Cambria" w:cs="Cambria"/>
          <w:sz w:val="20"/>
          <w:szCs w:val="20"/>
          <w:vertAlign w:val="superscript"/>
        </w:rPr>
        <w:footnoteReference w:id="12"/>
      </w:r>
      <w:r w:rsidRPr="008E156C">
        <w:rPr>
          <w:rFonts w:ascii="Cambria" w:hAnsi="Cambria" w:cs="Cambria"/>
          <w:sz w:val="20"/>
          <w:szCs w:val="20"/>
          <w:vertAlign w:val="superscript"/>
        </w:rPr>
        <w:t xml:space="preserve"> </w:t>
      </w:r>
      <w:r w:rsidRPr="008E156C">
        <w:rPr>
          <w:rFonts w:ascii="Cambria" w:hAnsi="Cambria" w:cs="Cambria"/>
          <w:sz w:val="20"/>
          <w:szCs w:val="20"/>
        </w:rPr>
        <w:t xml:space="preserve">Accordingly, the IACHR has ruled that it is competent </w:t>
      </w:r>
      <w:r w:rsidR="003112BD" w:rsidRPr="008E156C">
        <w:rPr>
          <w:rFonts w:ascii="Cambria" w:hAnsi="Cambria" w:cs="Cambria"/>
          <w:sz w:val="20"/>
          <w:szCs w:val="20"/>
        </w:rPr>
        <w:t>“</w:t>
      </w:r>
      <w:r w:rsidRPr="008E156C">
        <w:rPr>
          <w:rFonts w:ascii="Cambria" w:hAnsi="Cambria" w:cs="Cambria"/>
          <w:sz w:val="20"/>
          <w:szCs w:val="20"/>
        </w:rPr>
        <w:t>to declare a petition admissible and rule on its merits when it portrays a claim that a domestic legal decision constitutes a disregard of the right to a fair trial, or if it appears to violate any other right guaranteed by the Convention.</w:t>
      </w:r>
      <w:r w:rsidR="003112BD" w:rsidRPr="008E156C">
        <w:rPr>
          <w:rFonts w:ascii="Cambria" w:hAnsi="Cambria" w:cs="Cambria"/>
          <w:sz w:val="20"/>
          <w:szCs w:val="20"/>
        </w:rPr>
        <w:t>”</w:t>
      </w:r>
      <w:r w:rsidRPr="008E156C">
        <w:rPr>
          <w:rFonts w:ascii="Cambria" w:hAnsi="Cambria" w:cs="Cambria"/>
          <w:sz w:val="20"/>
          <w:szCs w:val="20"/>
          <w:vertAlign w:val="superscript"/>
        </w:rPr>
        <w:footnoteReference w:id="13"/>
      </w:r>
      <w:r w:rsidRPr="008E156C">
        <w:rPr>
          <w:rFonts w:ascii="Cambria" w:hAnsi="Cambria" w:cs="Cambria"/>
          <w:sz w:val="20"/>
          <w:szCs w:val="20"/>
          <w:vertAlign w:val="superscript"/>
        </w:rPr>
        <w:t xml:space="preserve"> </w:t>
      </w:r>
    </w:p>
    <w:p w:rsidR="0043566F" w:rsidRPr="008E156C" w:rsidRDefault="0043566F" w:rsidP="00DE7D1B">
      <w:pPr>
        <w:pBdr>
          <w:top w:val="none" w:sz="0" w:space="0" w:color="auto"/>
          <w:left w:val="none" w:sz="0" w:space="0" w:color="auto"/>
          <w:bottom w:val="none" w:sz="0" w:space="0" w:color="auto"/>
          <w:right w:val="none" w:sz="0" w:space="0" w:color="auto"/>
          <w:bar w:val="none" w:sz="0" w:color="auto"/>
        </w:pBdr>
        <w:jc w:val="both"/>
        <w:rPr>
          <w:rFonts w:ascii="Cambria" w:hAnsi="Cambria" w:cs="Cambria"/>
          <w:sz w:val="20"/>
          <w:szCs w:val="20"/>
        </w:rPr>
      </w:pPr>
    </w:p>
    <w:p w:rsidR="00444A81" w:rsidRPr="008E156C" w:rsidRDefault="00444A81" w:rsidP="00444A81">
      <w:pPr>
        <w:numPr>
          <w:ilvl w:val="0"/>
          <w:numId w:val="53"/>
        </w:numPr>
        <w:pBdr>
          <w:top w:val="none" w:sz="0" w:space="0" w:color="auto"/>
          <w:left w:val="none" w:sz="0" w:space="0" w:color="auto"/>
          <w:bottom w:val="none" w:sz="0" w:space="0" w:color="auto"/>
          <w:right w:val="none" w:sz="0" w:space="0" w:color="auto"/>
          <w:bar w:val="none" w:sz="0" w:color="auto"/>
        </w:pBdr>
        <w:tabs>
          <w:tab w:val="clear" w:pos="720"/>
          <w:tab w:val="num" w:pos="-90"/>
          <w:tab w:val="left" w:pos="0"/>
        </w:tabs>
        <w:jc w:val="both"/>
        <w:rPr>
          <w:rFonts w:ascii="Cambria" w:hAnsi="Cambria" w:cs="Cambria"/>
          <w:sz w:val="20"/>
          <w:szCs w:val="20"/>
        </w:rPr>
      </w:pPr>
      <w:r w:rsidRPr="008E156C">
        <w:rPr>
          <w:rFonts w:ascii="Cambria" w:hAnsi="Cambria" w:cs="Cambria"/>
          <w:sz w:val="20"/>
          <w:szCs w:val="20"/>
        </w:rPr>
        <w:t>In consideration of the foregoing, the IACHR finds that in the case at hand it must rule that the petitioner</w:t>
      </w:r>
      <w:r w:rsidR="003112BD" w:rsidRPr="008E156C">
        <w:rPr>
          <w:rFonts w:ascii="Cambria" w:hAnsi="Cambria" w:cs="Cambria"/>
          <w:sz w:val="20"/>
          <w:szCs w:val="20"/>
        </w:rPr>
        <w:t>’</w:t>
      </w:r>
      <w:r w:rsidRPr="008E156C">
        <w:rPr>
          <w:rFonts w:ascii="Cambria" w:hAnsi="Cambria" w:cs="Cambria"/>
          <w:sz w:val="20"/>
          <w:szCs w:val="20"/>
        </w:rPr>
        <w:t>s claims related to the alleged violation of the alleged victims</w:t>
      </w:r>
      <w:r w:rsidR="003112BD" w:rsidRPr="008E156C">
        <w:rPr>
          <w:rFonts w:ascii="Cambria" w:hAnsi="Cambria" w:cs="Cambria"/>
          <w:sz w:val="20"/>
          <w:szCs w:val="20"/>
        </w:rPr>
        <w:t>’</w:t>
      </w:r>
      <w:r w:rsidRPr="008E156C">
        <w:rPr>
          <w:rFonts w:ascii="Cambria" w:hAnsi="Cambria" w:cs="Cambria"/>
          <w:sz w:val="20"/>
          <w:szCs w:val="20"/>
        </w:rPr>
        <w:t xml:space="preserve"> right to a fair trial and judicial protection in the police criminal proceedings could tend to establish violations of the rights protected in Articles 8 and 25 of the Convention, in conjunction with Article 1.1 thereof. </w:t>
      </w:r>
    </w:p>
    <w:p w:rsidR="00444A81" w:rsidRPr="008E156C" w:rsidRDefault="00444A81" w:rsidP="00DE7D1B">
      <w:pPr>
        <w:pStyle w:val="ListParagraph"/>
        <w:pBdr>
          <w:top w:val="none" w:sz="0" w:space="0" w:color="auto"/>
          <w:left w:val="none" w:sz="0" w:space="0" w:color="auto"/>
          <w:bottom w:val="none" w:sz="0" w:space="0" w:color="auto"/>
          <w:right w:val="none" w:sz="0" w:space="0" w:color="auto"/>
          <w:bar w:val="none" w:sz="0" w:color="auto"/>
        </w:pBdr>
        <w:rPr>
          <w:rFonts w:cs="Times New Roman"/>
          <w:color w:val="auto"/>
          <w:sz w:val="20"/>
          <w:szCs w:val="20"/>
        </w:rPr>
      </w:pPr>
    </w:p>
    <w:p w:rsidR="00444A81" w:rsidRPr="008E156C" w:rsidRDefault="00444A81" w:rsidP="00DE7D1B">
      <w:pPr>
        <w:pStyle w:val="BodyText"/>
        <w:numPr>
          <w:ilvl w:val="0"/>
          <w:numId w:val="53"/>
        </w:numPr>
        <w:pBdr>
          <w:top w:val="none" w:sz="0" w:space="0" w:color="auto"/>
          <w:left w:val="none" w:sz="0" w:space="0" w:color="auto"/>
          <w:bottom w:val="none" w:sz="0" w:space="0" w:color="auto"/>
          <w:right w:val="none" w:sz="0" w:space="0" w:color="auto"/>
          <w:bar w:val="none" w:sz="0" w:color="auto"/>
        </w:pBdr>
        <w:spacing w:after="0"/>
        <w:jc w:val="both"/>
        <w:rPr>
          <w:rFonts w:ascii="Cambria" w:hAnsi="Cambria" w:cs="Cambria"/>
          <w:sz w:val="20"/>
          <w:szCs w:val="20"/>
        </w:rPr>
      </w:pPr>
      <w:r w:rsidRPr="008E156C">
        <w:rPr>
          <w:rFonts w:ascii="Cambria" w:hAnsi="Cambria" w:cs="Cambria"/>
          <w:sz w:val="20"/>
          <w:szCs w:val="20"/>
        </w:rPr>
        <w:lastRenderedPageBreak/>
        <w:t>In addition, the Commission finds that in the case at hand it must establish that the petitioner</w:t>
      </w:r>
      <w:r w:rsidR="003112BD" w:rsidRPr="008E156C">
        <w:rPr>
          <w:rFonts w:ascii="Cambria" w:hAnsi="Cambria" w:cs="Cambria"/>
          <w:sz w:val="20"/>
          <w:szCs w:val="20"/>
        </w:rPr>
        <w:t>’</w:t>
      </w:r>
      <w:r w:rsidRPr="008E156C">
        <w:rPr>
          <w:rFonts w:ascii="Cambria" w:hAnsi="Cambria" w:cs="Cambria"/>
          <w:sz w:val="20"/>
          <w:szCs w:val="20"/>
        </w:rPr>
        <w:t xml:space="preserve">s arguments, which the State did not dispute, regarding the alleged retroactive enforcement of the </w:t>
      </w:r>
      <w:r w:rsidR="003112BD" w:rsidRPr="008E156C">
        <w:rPr>
          <w:rFonts w:ascii="Cambria" w:hAnsi="Cambria" w:cs="Cambria"/>
          <w:sz w:val="20"/>
          <w:szCs w:val="20"/>
        </w:rPr>
        <w:t>“</w:t>
      </w:r>
      <w:r w:rsidRPr="008E156C">
        <w:rPr>
          <w:rFonts w:ascii="Cambria" w:hAnsi="Cambria" w:cs="Cambria"/>
          <w:sz w:val="20"/>
          <w:szCs w:val="20"/>
        </w:rPr>
        <w:t>firm arrest</w:t>
      </w:r>
      <w:r w:rsidR="003112BD" w:rsidRPr="008E156C">
        <w:rPr>
          <w:rFonts w:ascii="Cambria" w:hAnsi="Cambria" w:cs="Cambria"/>
          <w:sz w:val="20"/>
          <w:szCs w:val="20"/>
        </w:rPr>
        <w:t>”</w:t>
      </w:r>
      <w:r w:rsidRPr="008E156C">
        <w:rPr>
          <w:rFonts w:ascii="Cambria" w:hAnsi="Cambria" w:cs="Cambria"/>
          <w:sz w:val="20"/>
          <w:szCs w:val="20"/>
        </w:rPr>
        <w:t xml:space="preserve"> mechanism to the detriment of the alleged victims could tend to establish violations of the rights protected in Articles 7, 9, 8, and 25 of the Convention, in conjunction with Article 1.1 thereof. Moreover, the petitioner</w:t>
      </w:r>
      <w:r w:rsidR="003112BD" w:rsidRPr="008E156C">
        <w:rPr>
          <w:rFonts w:ascii="Cambria" w:hAnsi="Cambria" w:cs="Cambria"/>
          <w:sz w:val="20"/>
          <w:szCs w:val="20"/>
        </w:rPr>
        <w:t>’</w:t>
      </w:r>
      <w:r w:rsidRPr="008E156C">
        <w:rPr>
          <w:rFonts w:ascii="Cambria" w:hAnsi="Cambria" w:cs="Cambria"/>
          <w:sz w:val="20"/>
          <w:szCs w:val="20"/>
        </w:rPr>
        <w:t>s claim, which the State did not dispute, regarding the action brought against former President Pinto for perverting the course of justice could tend to establish a violation of Articles 8 and 25, in conjunction with Article 1.1, due to the possible failure to establish judicial clarification.</w:t>
      </w:r>
    </w:p>
    <w:p w:rsidR="00444A81" w:rsidRPr="008E156C" w:rsidRDefault="00444A81" w:rsidP="00DE7D1B">
      <w:pPr>
        <w:pStyle w:val="ListParagraph"/>
        <w:pBdr>
          <w:top w:val="none" w:sz="0" w:space="0" w:color="auto"/>
          <w:left w:val="none" w:sz="0" w:space="0" w:color="auto"/>
          <w:bottom w:val="none" w:sz="0" w:space="0" w:color="auto"/>
          <w:right w:val="none" w:sz="0" w:space="0" w:color="auto"/>
          <w:bar w:val="none" w:sz="0" w:color="auto"/>
        </w:pBdr>
        <w:rPr>
          <w:rFonts w:cs="Times New Roman"/>
          <w:color w:val="auto"/>
          <w:sz w:val="20"/>
          <w:szCs w:val="20"/>
        </w:rPr>
      </w:pPr>
    </w:p>
    <w:p w:rsidR="0043566F" w:rsidRPr="008E156C" w:rsidRDefault="00444A81" w:rsidP="00DE7D1B">
      <w:pPr>
        <w:pStyle w:val="BodyText"/>
        <w:numPr>
          <w:ilvl w:val="0"/>
          <w:numId w:val="53"/>
        </w:numPr>
        <w:pBdr>
          <w:top w:val="none" w:sz="0" w:space="0" w:color="auto"/>
          <w:left w:val="none" w:sz="0" w:space="0" w:color="auto"/>
          <w:bottom w:val="none" w:sz="0" w:space="0" w:color="auto"/>
          <w:right w:val="none" w:sz="0" w:space="0" w:color="auto"/>
          <w:bar w:val="none" w:sz="0" w:color="auto"/>
        </w:pBdr>
        <w:spacing w:after="0"/>
        <w:jc w:val="both"/>
        <w:rPr>
          <w:rFonts w:ascii="Cambria" w:hAnsi="Cambria" w:cs="Cambria"/>
          <w:sz w:val="20"/>
          <w:szCs w:val="20"/>
        </w:rPr>
      </w:pPr>
      <w:r w:rsidRPr="008E156C">
        <w:rPr>
          <w:rFonts w:ascii="Cambria" w:hAnsi="Cambria" w:cs="Cambria"/>
          <w:sz w:val="20"/>
          <w:szCs w:val="20"/>
        </w:rPr>
        <w:t>Similarly, with respect to the alleged violation of Article 11, the petitioner contends that the incarceration of the alleged victims, as officers of the National Police, was an affront to the</w:t>
      </w:r>
      <w:r w:rsidR="006C6D7E" w:rsidRPr="008E156C">
        <w:rPr>
          <w:rFonts w:ascii="Cambria" w:hAnsi="Cambria" w:cs="Cambria"/>
          <w:sz w:val="20"/>
          <w:szCs w:val="20"/>
        </w:rPr>
        <w:t>ir</w:t>
      </w:r>
      <w:r w:rsidRPr="008E156C">
        <w:rPr>
          <w:rFonts w:ascii="Cambria" w:hAnsi="Cambria" w:cs="Cambria"/>
          <w:sz w:val="20"/>
          <w:szCs w:val="20"/>
        </w:rPr>
        <w:t xml:space="preserve"> dignity and reputation. Regarding the alleged violation of Article 24, the petitioner states that several of the accused in the criminal proceedings were benefited by their dismissal from the proceedings prior to the acquittal, even though they were in the same legal and factual situation as the alleged victims, which would imply an unwarranted differentiation in the treatment given to the two groups. The IACHR </w:t>
      </w:r>
      <w:r w:rsidR="006C6D7E" w:rsidRPr="008E156C">
        <w:rPr>
          <w:rFonts w:ascii="Cambria" w:hAnsi="Cambria" w:cs="Cambria"/>
          <w:sz w:val="20"/>
          <w:szCs w:val="20"/>
        </w:rPr>
        <w:t>finds that</w:t>
      </w:r>
      <w:r w:rsidRPr="008E156C">
        <w:rPr>
          <w:rFonts w:ascii="Cambria" w:hAnsi="Cambria" w:cs="Cambria"/>
          <w:sz w:val="20"/>
          <w:szCs w:val="20"/>
        </w:rPr>
        <w:t xml:space="preserve"> the petitioner did not provide sufficient elements to establish a potential violation </w:t>
      </w:r>
      <w:r w:rsidR="006C6D7E" w:rsidRPr="008E156C">
        <w:rPr>
          <w:rFonts w:ascii="Cambria" w:hAnsi="Cambria" w:cs="Cambria"/>
          <w:sz w:val="20"/>
          <w:szCs w:val="20"/>
        </w:rPr>
        <w:t>of Articles 11 and 24</w:t>
      </w:r>
      <w:r w:rsidRPr="008E156C">
        <w:rPr>
          <w:rFonts w:ascii="Cambria" w:hAnsi="Cambria" w:cs="Cambria"/>
          <w:sz w:val="20"/>
          <w:szCs w:val="20"/>
        </w:rPr>
        <w:t xml:space="preserve">. The IACHR therefore rules the claims relating to Articles 11 and 24 inadmissible. Similarly, the petitioner provided no information regarding the alleged violation of Article 21, for which reason the IACHR rules the claims related to that article inadmissible. Finally, as regards the alleged violation of Article 10 of the Convention, which establishes the right to compensation </w:t>
      </w:r>
      <w:r w:rsidR="006C6D7E" w:rsidRPr="008E156C">
        <w:rPr>
          <w:rFonts w:ascii="Cambria" w:hAnsi="Cambria" w:cs="Cambria"/>
          <w:sz w:val="20"/>
          <w:szCs w:val="20"/>
        </w:rPr>
        <w:t xml:space="preserve">when </w:t>
      </w:r>
      <w:r w:rsidRPr="008E156C">
        <w:rPr>
          <w:rFonts w:ascii="Cambria" w:hAnsi="Cambria" w:cs="Cambria"/>
          <w:sz w:val="20"/>
          <w:szCs w:val="20"/>
        </w:rPr>
        <w:t xml:space="preserve">a firm conviction </w:t>
      </w:r>
      <w:r w:rsidR="006C6D7E" w:rsidRPr="008E156C">
        <w:rPr>
          <w:rFonts w:ascii="Cambria" w:hAnsi="Cambria" w:cs="Cambria"/>
          <w:sz w:val="20"/>
          <w:szCs w:val="20"/>
        </w:rPr>
        <w:t xml:space="preserve">is handed down </w:t>
      </w:r>
      <w:r w:rsidRPr="008E156C">
        <w:rPr>
          <w:rFonts w:ascii="Cambria" w:hAnsi="Cambria" w:cs="Cambria"/>
          <w:sz w:val="20"/>
          <w:szCs w:val="20"/>
        </w:rPr>
        <w:t>through a miscarriage of justice, the Commission believes that in this case, the prerequisites for establishing a violation of that provision have not been met, in that no final conviction was handed down against the alleged victims.</w:t>
      </w:r>
      <w:r w:rsidRPr="008E156C">
        <w:rPr>
          <w:rFonts w:ascii="Cambria" w:hAnsi="Cambria" w:cs="Cambria"/>
          <w:sz w:val="20"/>
          <w:szCs w:val="20"/>
          <w:vertAlign w:val="superscript"/>
        </w:rPr>
        <w:footnoteReference w:id="14"/>
      </w:r>
      <w:r w:rsidRPr="008E156C">
        <w:rPr>
          <w:rFonts w:ascii="Cambria" w:hAnsi="Cambria" w:cs="Cambria"/>
          <w:sz w:val="20"/>
          <w:szCs w:val="20"/>
          <w:vertAlign w:val="superscript"/>
        </w:rPr>
        <w:t xml:space="preserve"> </w:t>
      </w:r>
    </w:p>
    <w:p w:rsidR="0043566F" w:rsidRPr="008E156C" w:rsidRDefault="0043566F" w:rsidP="00DE7D1B">
      <w:pPr>
        <w:pStyle w:val="BodyText"/>
        <w:pBdr>
          <w:top w:val="none" w:sz="0" w:space="0" w:color="auto"/>
          <w:left w:val="none" w:sz="0" w:space="0" w:color="auto"/>
          <w:bottom w:val="none" w:sz="0" w:space="0" w:color="auto"/>
          <w:right w:val="none" w:sz="0" w:space="0" w:color="auto"/>
          <w:bar w:val="none" w:sz="0" w:color="auto"/>
        </w:pBdr>
        <w:spacing w:after="0"/>
        <w:jc w:val="both"/>
        <w:rPr>
          <w:rFonts w:ascii="Cambria" w:hAnsi="Cambria" w:cs="Cambria"/>
          <w:sz w:val="20"/>
          <w:szCs w:val="20"/>
        </w:rPr>
      </w:pPr>
    </w:p>
    <w:p w:rsidR="00444A81" w:rsidRPr="008E156C" w:rsidRDefault="00444A81" w:rsidP="00DE7D1B">
      <w:pPr>
        <w:pStyle w:val="Heading1"/>
        <w:pBdr>
          <w:top w:val="none" w:sz="0" w:space="0" w:color="auto"/>
          <w:left w:val="none" w:sz="0" w:space="0" w:color="auto"/>
          <w:bottom w:val="none" w:sz="0" w:space="0" w:color="auto"/>
          <w:right w:val="none" w:sz="0" w:space="0" w:color="auto"/>
          <w:bar w:val="none" w:sz="0" w:color="auto"/>
        </w:pBdr>
        <w:rPr>
          <w:color w:val="auto"/>
          <w:lang w:val="en-US"/>
        </w:rPr>
      </w:pPr>
      <w:r w:rsidRPr="008E156C">
        <w:rPr>
          <w:color w:val="auto"/>
          <w:lang w:val="en-US"/>
        </w:rPr>
        <w:t>V.</w:t>
      </w:r>
      <w:r w:rsidRPr="008E156C">
        <w:rPr>
          <w:color w:val="auto"/>
          <w:lang w:val="en-US"/>
        </w:rPr>
        <w:tab/>
        <w:t>CONCLUSIONS</w:t>
      </w: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rPr>
          <w:rFonts w:ascii="Cambria" w:hAnsi="Cambria" w:cs="Cambria"/>
          <w:sz w:val="20"/>
          <w:szCs w:val="20"/>
        </w:rPr>
      </w:pPr>
    </w:p>
    <w:p w:rsidR="00444A81" w:rsidRPr="008E156C" w:rsidRDefault="00444A81" w:rsidP="00DE7D1B">
      <w:pPr>
        <w:numPr>
          <w:ilvl w:val="0"/>
          <w:numId w:val="53"/>
        </w:numPr>
        <w:pBdr>
          <w:top w:val="none" w:sz="0" w:space="0" w:color="auto"/>
          <w:left w:val="none" w:sz="0" w:space="0" w:color="auto"/>
          <w:bottom w:val="none" w:sz="0" w:space="0" w:color="auto"/>
          <w:right w:val="none" w:sz="0" w:space="0" w:color="auto"/>
          <w:bar w:val="none" w:sz="0" w:color="auto"/>
        </w:pBdr>
        <w:jc w:val="both"/>
        <w:rPr>
          <w:rFonts w:ascii="Cambria" w:hAnsi="Cambria" w:cs="Cambria"/>
          <w:sz w:val="20"/>
          <w:szCs w:val="20"/>
        </w:rPr>
      </w:pPr>
      <w:r w:rsidRPr="008E156C">
        <w:rPr>
          <w:rFonts w:ascii="Cambria" w:hAnsi="Cambria" w:cs="Cambria"/>
          <w:sz w:val="20"/>
          <w:szCs w:val="20"/>
        </w:rPr>
        <w:t>The Commission concludes that it is competent to examine the claims presented by the petitioner regarding the alleged violation of Articles 7, 8, 9, and 25 of the American Convention, in conjunction with Article 1.1 thereof, in accordance with the requirements established by Articles 46 and 47 of that same instrument.</w:t>
      </w: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ind w:left="720"/>
        <w:jc w:val="both"/>
        <w:rPr>
          <w:rFonts w:ascii="Cambria" w:hAnsi="Cambria" w:cs="Cambria"/>
          <w:sz w:val="20"/>
          <w:szCs w:val="20"/>
        </w:rPr>
      </w:pPr>
    </w:p>
    <w:p w:rsidR="00444A81" w:rsidRPr="008E156C" w:rsidRDefault="00444A81" w:rsidP="00DE7D1B">
      <w:pPr>
        <w:numPr>
          <w:ilvl w:val="0"/>
          <w:numId w:val="53"/>
        </w:numPr>
        <w:pBdr>
          <w:top w:val="none" w:sz="0" w:space="0" w:color="auto"/>
          <w:left w:val="none" w:sz="0" w:space="0" w:color="auto"/>
          <w:bottom w:val="none" w:sz="0" w:space="0" w:color="auto"/>
          <w:right w:val="none" w:sz="0" w:space="0" w:color="auto"/>
          <w:bar w:val="none" w:sz="0" w:color="auto"/>
        </w:pBdr>
        <w:jc w:val="both"/>
        <w:rPr>
          <w:rFonts w:ascii="Cambria" w:hAnsi="Cambria" w:cs="Cambria"/>
          <w:sz w:val="20"/>
          <w:szCs w:val="20"/>
        </w:rPr>
      </w:pPr>
      <w:r w:rsidRPr="008E156C">
        <w:rPr>
          <w:rFonts w:ascii="Cambria" w:hAnsi="Cambria" w:cs="Cambria"/>
          <w:sz w:val="20"/>
          <w:szCs w:val="20"/>
        </w:rPr>
        <w:t>The Commission also decides to declare this petition inadmissible as regards Articles 10, 11, 21, and 24 of the American Convention on Human Rights and Articles I, II, XVIII, XXV, and XXVI of the American Declaration of the Rights and Duties of Man.</w:t>
      </w:r>
    </w:p>
    <w:p w:rsidR="00444A81" w:rsidRPr="008E156C" w:rsidRDefault="00444A81" w:rsidP="00DE7D1B">
      <w:pPr>
        <w:pStyle w:val="BodyText"/>
        <w:pBdr>
          <w:top w:val="none" w:sz="0" w:space="0" w:color="auto"/>
          <w:left w:val="none" w:sz="0" w:space="0" w:color="auto"/>
          <w:bottom w:val="none" w:sz="0" w:space="0" w:color="auto"/>
          <w:right w:val="none" w:sz="0" w:space="0" w:color="auto"/>
          <w:bar w:val="none" w:sz="0" w:color="auto"/>
        </w:pBdr>
        <w:spacing w:after="0"/>
        <w:jc w:val="both"/>
        <w:rPr>
          <w:rFonts w:ascii="Cambria" w:hAnsi="Cambria" w:cs="Cambria"/>
          <w:sz w:val="20"/>
          <w:szCs w:val="20"/>
        </w:rPr>
      </w:pPr>
    </w:p>
    <w:p w:rsidR="00444A81" w:rsidRPr="008E156C" w:rsidRDefault="00444A81" w:rsidP="00DE7D1B">
      <w:pPr>
        <w:numPr>
          <w:ilvl w:val="0"/>
          <w:numId w:val="53"/>
        </w:numPr>
        <w:pBdr>
          <w:top w:val="none" w:sz="0" w:space="0" w:color="auto"/>
          <w:left w:val="none" w:sz="0" w:space="0" w:color="auto"/>
          <w:bottom w:val="none" w:sz="0" w:space="0" w:color="auto"/>
          <w:right w:val="none" w:sz="0" w:space="0" w:color="auto"/>
          <w:bar w:val="none" w:sz="0" w:color="auto"/>
        </w:pBdr>
        <w:jc w:val="both"/>
        <w:rPr>
          <w:rFonts w:ascii="Cambria" w:hAnsi="Cambria" w:cs="Cambria"/>
          <w:sz w:val="20"/>
          <w:szCs w:val="20"/>
        </w:rPr>
      </w:pPr>
      <w:r w:rsidRPr="008E156C">
        <w:rPr>
          <w:rFonts w:ascii="Cambria" w:hAnsi="Cambria" w:cs="Cambria"/>
          <w:sz w:val="20"/>
          <w:szCs w:val="20"/>
        </w:rPr>
        <w:t xml:space="preserve">Based on the foregoing considerations of fact and law, </w:t>
      </w:r>
    </w:p>
    <w:p w:rsidR="00444A81" w:rsidRPr="008E156C" w:rsidRDefault="00444A81" w:rsidP="00DE7D1B">
      <w:pPr>
        <w:pStyle w:val="ListParagraph"/>
        <w:pBdr>
          <w:top w:val="none" w:sz="0" w:space="0" w:color="auto"/>
          <w:left w:val="none" w:sz="0" w:space="0" w:color="auto"/>
          <w:bottom w:val="none" w:sz="0" w:space="0" w:color="auto"/>
          <w:right w:val="none" w:sz="0" w:space="0" w:color="auto"/>
          <w:bar w:val="none" w:sz="0" w:color="auto"/>
        </w:pBdr>
        <w:rPr>
          <w:rFonts w:cs="Times New Roman"/>
          <w:color w:val="auto"/>
          <w:sz w:val="20"/>
          <w:szCs w:val="20"/>
        </w:rPr>
      </w:pP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ind w:left="720" w:firstLine="720"/>
        <w:rPr>
          <w:rFonts w:ascii="Cambria" w:hAnsi="Cambria" w:cs="Cambria"/>
          <w:b/>
          <w:bCs/>
          <w:sz w:val="20"/>
          <w:szCs w:val="20"/>
        </w:rPr>
      </w:pPr>
      <w:r w:rsidRPr="008E156C">
        <w:rPr>
          <w:rFonts w:ascii="Cambria" w:hAnsi="Cambria" w:cs="Cambria"/>
          <w:b/>
          <w:bCs/>
          <w:sz w:val="20"/>
          <w:szCs w:val="20"/>
        </w:rPr>
        <w:t xml:space="preserve">THE INTER-AMERICAN COMMISSION ON HUMAN RIGHTS </w:t>
      </w:r>
    </w:p>
    <w:p w:rsidR="00444A81" w:rsidRPr="008E156C" w:rsidRDefault="00444A81" w:rsidP="00C9111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Cambria"/>
          <w:sz w:val="20"/>
          <w:szCs w:val="20"/>
        </w:rPr>
      </w:pPr>
    </w:p>
    <w:p w:rsidR="00444A81" w:rsidRPr="008E156C" w:rsidRDefault="00444A81" w:rsidP="00C9111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Cambria"/>
          <w:b/>
          <w:bCs/>
          <w:sz w:val="20"/>
          <w:szCs w:val="20"/>
        </w:rPr>
      </w:pPr>
      <w:r w:rsidRPr="008E156C">
        <w:rPr>
          <w:rFonts w:ascii="Cambria" w:hAnsi="Cambria" w:cs="Cambria"/>
          <w:b/>
          <w:bCs/>
          <w:sz w:val="20"/>
          <w:szCs w:val="20"/>
        </w:rPr>
        <w:t xml:space="preserve">DECIDES: </w:t>
      </w:r>
    </w:p>
    <w:p w:rsidR="00444A81" w:rsidRPr="008E156C" w:rsidRDefault="00444A81" w:rsidP="00C9111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Cambria"/>
          <w:sz w:val="20"/>
          <w:szCs w:val="20"/>
        </w:rPr>
      </w:pPr>
    </w:p>
    <w:p w:rsidR="00444A81" w:rsidRPr="008E156C" w:rsidRDefault="00444A81" w:rsidP="00C91115">
      <w:pPr>
        <w:pStyle w:val="BodyText"/>
        <w:numPr>
          <w:ilvl w:val="0"/>
          <w:numId w:val="50"/>
        </w:numPr>
        <w:pBdr>
          <w:top w:val="none" w:sz="0" w:space="0" w:color="auto"/>
          <w:left w:val="none" w:sz="0" w:space="0" w:color="auto"/>
          <w:bottom w:val="none" w:sz="0" w:space="0" w:color="auto"/>
          <w:right w:val="none" w:sz="0" w:space="0" w:color="auto"/>
          <w:bar w:val="none" w:sz="0" w:color="auto"/>
        </w:pBdr>
        <w:tabs>
          <w:tab w:val="clear" w:pos="1440"/>
        </w:tabs>
        <w:spacing w:after="0"/>
        <w:ind w:left="0" w:firstLine="720"/>
        <w:jc w:val="both"/>
        <w:rPr>
          <w:rFonts w:ascii="Cambria" w:hAnsi="Cambria" w:cs="Cambria"/>
          <w:sz w:val="20"/>
          <w:szCs w:val="20"/>
        </w:rPr>
      </w:pPr>
      <w:r w:rsidRPr="008E156C">
        <w:rPr>
          <w:rFonts w:ascii="Cambria" w:hAnsi="Cambria" w:cs="Cambria"/>
          <w:sz w:val="20"/>
          <w:szCs w:val="20"/>
        </w:rPr>
        <w:t>To rule this petition admissible as regards Articles 7, 8, 9, and 25 of the American Convention on Human Rights, in conjunction with Article 1.1 thereof, with respect to Messrs. Jorge Villarroel Merino, Mario Rommel Cevallos Moreno, Jorge Coloma Gaybor, Fernando López Ortiz, Amílcar Ascazubi Albán, and Patricio Vinuesa Pánchez.</w:t>
      </w:r>
    </w:p>
    <w:p w:rsidR="00444A81" w:rsidRPr="008E156C" w:rsidRDefault="00444A81" w:rsidP="00C91115">
      <w:pPr>
        <w:pStyle w:val="BodyText"/>
        <w:pBdr>
          <w:top w:val="none" w:sz="0" w:space="0" w:color="auto"/>
          <w:left w:val="none" w:sz="0" w:space="0" w:color="auto"/>
          <w:bottom w:val="none" w:sz="0" w:space="0" w:color="auto"/>
          <w:right w:val="none" w:sz="0" w:space="0" w:color="auto"/>
          <w:bar w:val="none" w:sz="0" w:color="auto"/>
        </w:pBdr>
        <w:spacing w:after="0"/>
        <w:ind w:firstLine="720"/>
        <w:jc w:val="both"/>
        <w:rPr>
          <w:rFonts w:ascii="Cambria" w:hAnsi="Cambria" w:cs="Cambria"/>
          <w:sz w:val="20"/>
          <w:szCs w:val="20"/>
        </w:rPr>
      </w:pPr>
    </w:p>
    <w:p w:rsidR="00444A81" w:rsidRPr="008E156C" w:rsidRDefault="00444A81" w:rsidP="00C91115">
      <w:pPr>
        <w:pStyle w:val="BodyText"/>
        <w:numPr>
          <w:ilvl w:val="0"/>
          <w:numId w:val="50"/>
        </w:numPr>
        <w:pBdr>
          <w:top w:val="none" w:sz="0" w:space="0" w:color="auto"/>
          <w:left w:val="none" w:sz="0" w:space="0" w:color="auto"/>
          <w:bottom w:val="none" w:sz="0" w:space="0" w:color="auto"/>
          <w:right w:val="none" w:sz="0" w:space="0" w:color="auto"/>
          <w:bar w:val="none" w:sz="0" w:color="auto"/>
        </w:pBdr>
        <w:tabs>
          <w:tab w:val="clear" w:pos="1440"/>
        </w:tabs>
        <w:spacing w:after="0"/>
        <w:ind w:left="0" w:firstLine="720"/>
        <w:jc w:val="both"/>
        <w:rPr>
          <w:rFonts w:ascii="Cambria" w:hAnsi="Cambria" w:cs="Cambria"/>
          <w:sz w:val="20"/>
          <w:szCs w:val="20"/>
        </w:rPr>
      </w:pPr>
      <w:r w:rsidRPr="008E156C">
        <w:rPr>
          <w:rFonts w:ascii="Cambria" w:hAnsi="Cambria" w:cs="Cambria"/>
          <w:sz w:val="20"/>
          <w:szCs w:val="20"/>
        </w:rPr>
        <w:t>To rule this petition inadmissible as regards Articles 10, 11, 21, and 24 of the American Convention on Human Rights and Articles I, II, XVIII, XXV, and XXVI of the American Declaration of the Rights and Duties of Man.</w:t>
      </w:r>
    </w:p>
    <w:p w:rsidR="00444A81" w:rsidRPr="008E156C" w:rsidRDefault="00444A81" w:rsidP="00C91115">
      <w:pPr>
        <w:pStyle w:val="ListParagraph"/>
        <w:pBdr>
          <w:top w:val="none" w:sz="0" w:space="0" w:color="auto"/>
          <w:left w:val="none" w:sz="0" w:space="0" w:color="auto"/>
          <w:bottom w:val="none" w:sz="0" w:space="0" w:color="auto"/>
          <w:right w:val="none" w:sz="0" w:space="0" w:color="auto"/>
          <w:bar w:val="none" w:sz="0" w:color="auto"/>
        </w:pBdr>
        <w:ind w:firstLine="720"/>
        <w:jc w:val="both"/>
        <w:rPr>
          <w:rFonts w:cs="Times New Roman"/>
          <w:color w:val="auto"/>
          <w:sz w:val="20"/>
          <w:szCs w:val="20"/>
        </w:rPr>
      </w:pPr>
    </w:p>
    <w:p w:rsidR="00444A81" w:rsidRPr="008E156C" w:rsidRDefault="00444A81" w:rsidP="00C91115">
      <w:pPr>
        <w:pStyle w:val="BodyText"/>
        <w:numPr>
          <w:ilvl w:val="0"/>
          <w:numId w:val="50"/>
        </w:numPr>
        <w:pBdr>
          <w:top w:val="none" w:sz="0" w:space="0" w:color="auto"/>
          <w:left w:val="none" w:sz="0" w:space="0" w:color="auto"/>
          <w:bottom w:val="none" w:sz="0" w:space="0" w:color="auto"/>
          <w:right w:val="none" w:sz="0" w:space="0" w:color="auto"/>
          <w:bar w:val="none" w:sz="0" w:color="auto"/>
        </w:pBdr>
        <w:tabs>
          <w:tab w:val="clear" w:pos="1440"/>
        </w:tabs>
        <w:spacing w:after="0"/>
        <w:ind w:left="0" w:firstLine="720"/>
        <w:jc w:val="both"/>
        <w:rPr>
          <w:rFonts w:ascii="Cambria" w:hAnsi="Cambria" w:cs="Cambria"/>
          <w:sz w:val="20"/>
          <w:szCs w:val="20"/>
        </w:rPr>
      </w:pPr>
      <w:r w:rsidRPr="008E156C">
        <w:rPr>
          <w:rFonts w:ascii="Cambria" w:hAnsi="Cambria" w:cs="Cambria"/>
          <w:sz w:val="20"/>
          <w:szCs w:val="20"/>
        </w:rPr>
        <w:t>To give notice of this decision to the Ecuadorian State and to the petitioner.</w:t>
      </w:r>
    </w:p>
    <w:p w:rsidR="00444A81" w:rsidRPr="008E156C" w:rsidRDefault="00444A81" w:rsidP="00C91115">
      <w:pPr>
        <w:pStyle w:val="BodyText"/>
        <w:pBdr>
          <w:top w:val="none" w:sz="0" w:space="0" w:color="auto"/>
          <w:left w:val="none" w:sz="0" w:space="0" w:color="auto"/>
          <w:bottom w:val="none" w:sz="0" w:space="0" w:color="auto"/>
          <w:right w:val="none" w:sz="0" w:space="0" w:color="auto"/>
          <w:bar w:val="none" w:sz="0" w:color="auto"/>
        </w:pBdr>
        <w:spacing w:after="0"/>
        <w:ind w:firstLine="720"/>
        <w:jc w:val="both"/>
        <w:rPr>
          <w:rFonts w:ascii="Cambria" w:hAnsi="Cambria" w:cs="Cambria"/>
          <w:sz w:val="20"/>
          <w:szCs w:val="20"/>
        </w:rPr>
      </w:pPr>
    </w:p>
    <w:p w:rsidR="00444A81" w:rsidRPr="008E156C" w:rsidRDefault="00444A81" w:rsidP="00C91115">
      <w:pPr>
        <w:pStyle w:val="BodyText"/>
        <w:numPr>
          <w:ilvl w:val="0"/>
          <w:numId w:val="50"/>
        </w:numPr>
        <w:pBdr>
          <w:top w:val="none" w:sz="0" w:space="0" w:color="auto"/>
          <w:left w:val="none" w:sz="0" w:space="0" w:color="auto"/>
          <w:bottom w:val="none" w:sz="0" w:space="0" w:color="auto"/>
          <w:right w:val="none" w:sz="0" w:space="0" w:color="auto"/>
          <w:bar w:val="none" w:sz="0" w:color="auto"/>
        </w:pBdr>
        <w:tabs>
          <w:tab w:val="clear" w:pos="1440"/>
        </w:tabs>
        <w:spacing w:after="0"/>
        <w:ind w:left="0" w:firstLine="720"/>
        <w:jc w:val="both"/>
        <w:rPr>
          <w:rFonts w:ascii="Cambria" w:hAnsi="Cambria" w:cs="Cambria"/>
          <w:sz w:val="20"/>
          <w:szCs w:val="20"/>
        </w:rPr>
      </w:pPr>
      <w:r w:rsidRPr="008E156C">
        <w:rPr>
          <w:rFonts w:ascii="Cambria" w:hAnsi="Cambria" w:cs="Cambria"/>
          <w:sz w:val="20"/>
          <w:szCs w:val="20"/>
        </w:rPr>
        <w:t>To continue with its analysis of the merits of the complaint.</w:t>
      </w:r>
    </w:p>
    <w:p w:rsidR="00444A81" w:rsidRPr="008E156C" w:rsidRDefault="00444A81" w:rsidP="00C91115">
      <w:pPr>
        <w:pStyle w:val="BodyText"/>
        <w:pBdr>
          <w:top w:val="none" w:sz="0" w:space="0" w:color="auto"/>
          <w:left w:val="none" w:sz="0" w:space="0" w:color="auto"/>
          <w:bottom w:val="none" w:sz="0" w:space="0" w:color="auto"/>
          <w:right w:val="none" w:sz="0" w:space="0" w:color="auto"/>
          <w:bar w:val="none" w:sz="0" w:color="auto"/>
        </w:pBdr>
        <w:spacing w:after="0"/>
        <w:ind w:firstLine="720"/>
        <w:jc w:val="both"/>
        <w:rPr>
          <w:rFonts w:ascii="Cambria" w:hAnsi="Cambria" w:cs="Cambria"/>
          <w:sz w:val="20"/>
          <w:szCs w:val="20"/>
        </w:rPr>
      </w:pPr>
    </w:p>
    <w:p w:rsidR="00444A81" w:rsidRPr="008E156C" w:rsidRDefault="00444A81" w:rsidP="00C91115">
      <w:pPr>
        <w:pStyle w:val="BodyText"/>
        <w:numPr>
          <w:ilvl w:val="0"/>
          <w:numId w:val="50"/>
        </w:numPr>
        <w:pBdr>
          <w:top w:val="none" w:sz="0" w:space="0" w:color="auto"/>
          <w:left w:val="none" w:sz="0" w:space="0" w:color="auto"/>
          <w:bottom w:val="none" w:sz="0" w:space="0" w:color="auto"/>
          <w:right w:val="none" w:sz="0" w:space="0" w:color="auto"/>
          <w:bar w:val="none" w:sz="0" w:color="auto"/>
        </w:pBdr>
        <w:tabs>
          <w:tab w:val="clear" w:pos="1440"/>
        </w:tabs>
        <w:spacing w:after="0"/>
        <w:ind w:left="0" w:firstLine="720"/>
        <w:jc w:val="both"/>
        <w:rPr>
          <w:rFonts w:ascii="Cambria" w:hAnsi="Cambria" w:cs="Cambria"/>
          <w:sz w:val="20"/>
          <w:szCs w:val="20"/>
        </w:rPr>
      </w:pPr>
      <w:r w:rsidRPr="008E156C">
        <w:rPr>
          <w:rFonts w:ascii="Cambria" w:hAnsi="Cambria" w:cs="Cambria"/>
          <w:sz w:val="20"/>
          <w:szCs w:val="20"/>
        </w:rPr>
        <w:lastRenderedPageBreak/>
        <w:t>To publish this decision and to include it in its Annual Report to the OAS General Assembly.</w:t>
      </w:r>
    </w:p>
    <w:p w:rsidR="005A4113" w:rsidRPr="008E156C" w:rsidRDefault="005A4113" w:rsidP="00DE7D1B">
      <w:pPr>
        <w:pBdr>
          <w:top w:val="none" w:sz="0" w:space="0" w:color="auto"/>
          <w:left w:val="none" w:sz="0" w:space="0" w:color="auto"/>
          <w:bottom w:val="none" w:sz="0" w:space="0" w:color="auto"/>
          <w:right w:val="none" w:sz="0" w:space="0" w:color="auto"/>
          <w:bar w:val="none" w:sz="0" w:color="auto"/>
        </w:pBdr>
        <w:ind w:left="1440" w:hanging="720"/>
        <w:rPr>
          <w:rFonts w:ascii="Cambria" w:hAnsi="Cambria" w:cs="Cambria"/>
          <w:sz w:val="20"/>
          <w:szCs w:val="20"/>
        </w:rPr>
      </w:pPr>
    </w:p>
    <w:p w:rsidR="00C91115" w:rsidRPr="008E156C" w:rsidRDefault="00C91115" w:rsidP="00C9111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Cambria"/>
          <w:sz w:val="20"/>
          <w:szCs w:val="20"/>
        </w:rPr>
      </w:pPr>
      <w:r w:rsidRPr="008E156C">
        <w:rPr>
          <w:rFonts w:ascii="Cambria" w:hAnsi="Cambria" w:cs="Cambria"/>
          <w:sz w:val="20"/>
          <w:szCs w:val="20"/>
        </w:rPr>
        <w:t>Done and signed in the city of Washington, D.C., on the 29</w:t>
      </w:r>
      <w:r w:rsidRPr="008E156C">
        <w:rPr>
          <w:rFonts w:ascii="Cambria" w:hAnsi="Cambria" w:cs="Cambria"/>
          <w:sz w:val="20"/>
          <w:szCs w:val="20"/>
          <w:vertAlign w:val="superscript"/>
        </w:rPr>
        <w:t>th</w:t>
      </w:r>
      <w:r w:rsidRPr="008E156C">
        <w:rPr>
          <w:rFonts w:ascii="Cambria" w:hAnsi="Cambria" w:cs="Cambria"/>
          <w:sz w:val="20"/>
          <w:szCs w:val="20"/>
        </w:rPr>
        <w:t xml:space="preserve"> day of the month of January, 2015.</w:t>
      </w:r>
      <w:r w:rsidR="005A6477">
        <w:rPr>
          <w:rFonts w:ascii="Cambria" w:hAnsi="Cambria" w:cs="Cambria"/>
          <w:sz w:val="20"/>
          <w:szCs w:val="20"/>
        </w:rPr>
        <w:t xml:space="preserve"> </w:t>
      </w:r>
      <w:r w:rsidRPr="008E156C">
        <w:rPr>
          <w:rFonts w:ascii="Cambria" w:hAnsi="Cambria" w:cs="Cambria"/>
          <w:sz w:val="20"/>
          <w:szCs w:val="20"/>
        </w:rPr>
        <w:t>(Signed):  Tracy Robinson, President;  Felipe Gonzalez, Second Vice President;  José de Jesús Orozco Henríquez, Rosa María Ortiz, Paulo Vannuchi and James L. Cavallaro, Commissioners.</w:t>
      </w:r>
    </w:p>
    <w:p w:rsidR="00C91115" w:rsidRPr="008E156C" w:rsidRDefault="00C91115" w:rsidP="00DE7D1B">
      <w:pPr>
        <w:pBdr>
          <w:top w:val="none" w:sz="0" w:space="0" w:color="auto"/>
          <w:left w:val="none" w:sz="0" w:space="0" w:color="auto"/>
          <w:bottom w:val="none" w:sz="0" w:space="0" w:color="auto"/>
          <w:right w:val="none" w:sz="0" w:space="0" w:color="auto"/>
          <w:bar w:val="none" w:sz="0" w:color="auto"/>
        </w:pBdr>
        <w:ind w:left="1440" w:hanging="720"/>
        <w:rPr>
          <w:rFonts w:ascii="Cambria" w:hAnsi="Cambria" w:cs="Cambria"/>
          <w:sz w:val="20"/>
          <w:szCs w:val="20"/>
        </w:rPr>
      </w:pPr>
    </w:p>
    <w:p w:rsidR="00C91115" w:rsidRPr="008E156C" w:rsidRDefault="00C91115" w:rsidP="00C91115">
      <w:pPr>
        <w:pBdr>
          <w:top w:val="none" w:sz="0" w:space="0" w:color="auto"/>
          <w:left w:val="none" w:sz="0" w:space="0" w:color="auto"/>
          <w:bottom w:val="none" w:sz="0" w:space="0" w:color="auto"/>
          <w:right w:val="none" w:sz="0" w:space="0" w:color="auto"/>
          <w:bar w:val="none" w:sz="0" w:color="auto"/>
        </w:pBdr>
        <w:rPr>
          <w:rFonts w:ascii="Cambria" w:hAnsi="Cambria" w:cs="Cambria"/>
          <w:sz w:val="20"/>
          <w:szCs w:val="20"/>
        </w:rPr>
      </w:pPr>
    </w:p>
    <w:p w:rsidR="00444A81" w:rsidRPr="008E156C" w:rsidRDefault="00444A81" w:rsidP="00DE7D1B">
      <w:pPr>
        <w:pBdr>
          <w:top w:val="none" w:sz="0" w:space="0" w:color="auto"/>
          <w:left w:val="none" w:sz="0" w:space="0" w:color="auto"/>
          <w:bottom w:val="none" w:sz="0" w:space="0" w:color="auto"/>
          <w:right w:val="none" w:sz="0" w:space="0" w:color="auto"/>
          <w:bar w:val="none" w:sz="0" w:color="auto"/>
        </w:pBdr>
        <w:tabs>
          <w:tab w:val="center" w:pos="4680"/>
          <w:tab w:val="left" w:pos="6511"/>
        </w:tabs>
        <w:jc w:val="center"/>
        <w:rPr>
          <w:rFonts w:ascii="Cambria" w:hAnsi="Cambria" w:cs="Cambria"/>
          <w:sz w:val="20"/>
          <w:szCs w:val="20"/>
        </w:rPr>
      </w:pPr>
    </w:p>
    <w:sectPr w:rsidR="00444A81" w:rsidRPr="008E156C" w:rsidSect="00736D7D">
      <w:headerReference w:type="default" r:id="rId16"/>
      <w:footerReference w:type="default" r:id="rId17"/>
      <w:type w:val="oddPage"/>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750" w:rsidRDefault="008D1750">
      <w:pPr>
        <w:pBdr>
          <w:top w:val="none" w:sz="0" w:space="0" w:color="auto"/>
          <w:left w:val="none" w:sz="0" w:space="0" w:color="auto"/>
          <w:bottom w:val="none" w:sz="0" w:space="0" w:color="auto"/>
          <w:right w:val="none" w:sz="0" w:space="0" w:color="auto"/>
          <w:bar w:val="none" w:sz="0" w:color="auto"/>
        </w:pBdr>
        <w:rPr>
          <w:noProof/>
        </w:rPr>
      </w:pPr>
      <w:r>
        <w:rPr>
          <w:noProof/>
        </w:rPr>
        <w:separator/>
      </w:r>
    </w:p>
  </w:endnote>
  <w:endnote w:type="continuationSeparator" w:id="0">
    <w:p w:rsidR="008D1750" w:rsidRDefault="008D1750">
      <w:pPr>
        <w:pBdr>
          <w:top w:val="none" w:sz="0" w:space="0" w:color="auto"/>
          <w:left w:val="none" w:sz="0" w:space="0" w:color="auto"/>
          <w:bottom w:val="none" w:sz="0" w:space="0" w:color="auto"/>
          <w:right w:val="none" w:sz="0" w:space="0" w:color="auto"/>
          <w:bar w:val="none" w:sz="0" w:color="auto"/>
        </w:pBd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BF8" w:rsidRDefault="00FE4B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A81" w:rsidRDefault="00444A81">
    <w:pPr>
      <w:pStyle w:val="Footer"/>
      <w:pBdr>
        <w:top w:val="none" w:sz="0" w:space="0" w:color="auto"/>
        <w:left w:val="none" w:sz="0" w:space="0" w:color="auto"/>
        <w:bottom w:val="none" w:sz="0" w:space="0" w:color="auto"/>
        <w:right w:val="none" w:sz="0" w:space="0" w:color="auto"/>
        <w:bar w:val="none" w:sz="0" w:color="auto"/>
      </w:pBdr>
      <w:jc w:val="center"/>
      <w:rPr>
        <w:rFonts w:cs="Times New Roman"/>
        <w:noProof/>
        <w:sz w:val="16"/>
        <w:szCs w:val="16"/>
      </w:rPr>
    </w:pPr>
    <w:r>
      <w:rPr>
        <w:noProof/>
        <w:sz w:val="16"/>
        <w:szCs w:val="16"/>
      </w:rPr>
      <w:fldChar w:fldCharType="begin"/>
    </w:r>
    <w:r>
      <w:rPr>
        <w:noProof/>
        <w:sz w:val="16"/>
        <w:szCs w:val="16"/>
      </w:rPr>
      <w:instrText xml:space="preserve"> PAGE   \* MERGEFORMAT </w:instrText>
    </w:r>
    <w:r>
      <w:rPr>
        <w:noProof/>
        <w:sz w:val="16"/>
        <w:szCs w:val="16"/>
      </w:rPr>
      <w:fldChar w:fldCharType="separate"/>
    </w:r>
    <w:r>
      <w:rPr>
        <w:noProof/>
        <w:sz w:val="16"/>
        <w:szCs w:val="16"/>
      </w:rPr>
      <w:t>1</w:t>
    </w:r>
    <w:r>
      <w:rPr>
        <w:noProof/>
        <w:sz w:val="16"/>
        <w:szCs w:val="16"/>
      </w:rPr>
      <w:fldChar w:fldCharType="end"/>
    </w:r>
  </w:p>
  <w:p w:rsidR="00444A81" w:rsidRDefault="00444A81">
    <w:pPr>
      <w:pStyle w:val="Footer"/>
      <w:pBdr>
        <w:top w:val="none" w:sz="0" w:space="0" w:color="auto"/>
        <w:left w:val="none" w:sz="0" w:space="0" w:color="auto"/>
        <w:bottom w:val="none" w:sz="0" w:space="0" w:color="auto"/>
        <w:right w:val="none" w:sz="0" w:space="0" w:color="auto"/>
        <w:bar w:val="none" w:sz="0" w:color="auto"/>
      </w:pBdr>
      <w:rPr>
        <w:rFonts w:cs="Times New Roman"/>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A81" w:rsidRDefault="00444A81">
    <w:pPr>
      <w:pStyle w:val="Footer"/>
      <w:pBdr>
        <w:top w:val="none" w:sz="0" w:space="0" w:color="auto"/>
        <w:left w:val="none" w:sz="0" w:space="0" w:color="auto"/>
        <w:bottom w:val="none" w:sz="0" w:space="0" w:color="auto"/>
        <w:right w:val="none" w:sz="0" w:space="0" w:color="auto"/>
        <w:bar w:val="none" w:sz="0" w:color="auto"/>
      </w:pBdr>
      <w:jc w:val="center"/>
      <w:rPr>
        <w:rFonts w:cs="Times New Roman"/>
        <w:noProof/>
        <w:sz w:val="16"/>
        <w:szCs w:val="16"/>
      </w:rPr>
    </w:pPr>
  </w:p>
  <w:p w:rsidR="00444A81" w:rsidRDefault="00444A81">
    <w:pPr>
      <w:pStyle w:val="Footer"/>
      <w:pBdr>
        <w:top w:val="none" w:sz="0" w:space="0" w:color="auto"/>
        <w:left w:val="none" w:sz="0" w:space="0" w:color="auto"/>
        <w:bottom w:val="none" w:sz="0" w:space="0" w:color="auto"/>
        <w:right w:val="none" w:sz="0" w:space="0" w:color="auto"/>
        <w:bar w:val="none" w:sz="0" w:color="auto"/>
      </w:pBdr>
      <w:rPr>
        <w:rFonts w:cs="Times New Roman"/>
        <w:noProof/>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A81" w:rsidRDefault="00444A81">
    <w:pPr>
      <w:pStyle w:val="Footer"/>
      <w:pBdr>
        <w:top w:val="none" w:sz="0" w:space="0" w:color="auto"/>
        <w:left w:val="none" w:sz="0" w:space="0" w:color="auto"/>
        <w:bottom w:val="none" w:sz="0" w:space="0" w:color="auto"/>
        <w:right w:val="none" w:sz="0" w:space="0" w:color="auto"/>
        <w:bar w:val="none" w:sz="0" w:color="auto"/>
      </w:pBdr>
      <w:jc w:val="center"/>
      <w:rPr>
        <w:rFonts w:cs="Times New Roman"/>
        <w:noProof/>
        <w:sz w:val="16"/>
        <w:szCs w:val="16"/>
      </w:rPr>
    </w:pPr>
    <w:r>
      <w:rPr>
        <w:noProof/>
        <w:sz w:val="16"/>
        <w:szCs w:val="16"/>
      </w:rPr>
      <w:fldChar w:fldCharType="begin"/>
    </w:r>
    <w:r>
      <w:rPr>
        <w:noProof/>
        <w:sz w:val="16"/>
        <w:szCs w:val="16"/>
      </w:rPr>
      <w:instrText xml:space="preserve"> PAGE   \* MERGEFORMAT </w:instrText>
    </w:r>
    <w:r>
      <w:rPr>
        <w:noProof/>
        <w:sz w:val="16"/>
        <w:szCs w:val="16"/>
      </w:rPr>
      <w:fldChar w:fldCharType="separate"/>
    </w:r>
    <w:r w:rsidR="00FE4BF8">
      <w:rPr>
        <w:noProof/>
        <w:sz w:val="16"/>
        <w:szCs w:val="16"/>
      </w:rPr>
      <w:t>10</w:t>
    </w:r>
    <w:r>
      <w:rPr>
        <w:noProof/>
        <w:sz w:val="16"/>
        <w:szCs w:val="16"/>
      </w:rPr>
      <w:fldChar w:fldCharType="end"/>
    </w:r>
  </w:p>
  <w:p w:rsidR="00444A81" w:rsidRDefault="00444A81">
    <w:pPr>
      <w:pStyle w:val="Footer"/>
      <w:pBdr>
        <w:top w:val="none" w:sz="0" w:space="0" w:color="auto"/>
        <w:left w:val="none" w:sz="0" w:space="0" w:color="auto"/>
        <w:bottom w:val="none" w:sz="0" w:space="0" w:color="auto"/>
        <w:right w:val="none" w:sz="0" w:space="0" w:color="auto"/>
        <w:bar w:val="none" w:sz="0" w:color="auto"/>
      </w:pBdr>
      <w:rPr>
        <w:rFonts w:cs="Times New Roman"/>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750" w:rsidRDefault="008D1750">
      <w:pPr>
        <w:pBdr>
          <w:top w:val="none" w:sz="0" w:space="0" w:color="auto"/>
          <w:left w:val="none" w:sz="0" w:space="0" w:color="auto"/>
          <w:bottom w:val="none" w:sz="0" w:space="0" w:color="auto"/>
          <w:right w:val="none" w:sz="0" w:space="0" w:color="auto"/>
          <w:bar w:val="none" w:sz="0" w:color="auto"/>
        </w:pBdr>
        <w:rPr>
          <w:rFonts w:ascii="Cambria" w:hAnsi="Cambria" w:cs="Cambria"/>
          <w:noProof/>
          <w:sz w:val="16"/>
          <w:szCs w:val="16"/>
        </w:rPr>
      </w:pPr>
      <w:r>
        <w:rPr>
          <w:rFonts w:ascii="Cambria" w:hAnsi="Cambria" w:cs="Cambria"/>
          <w:noProof/>
          <w:sz w:val="16"/>
          <w:szCs w:val="16"/>
        </w:rPr>
        <w:separator/>
      </w:r>
    </w:p>
  </w:footnote>
  <w:footnote w:type="continuationSeparator" w:id="0">
    <w:p w:rsidR="008D1750" w:rsidRDefault="008D1750" w:rsidP="000F35ED">
      <w:pPr>
        <w:pBdr>
          <w:top w:val="none" w:sz="0" w:space="0" w:color="auto"/>
          <w:left w:val="none" w:sz="0" w:space="0" w:color="auto"/>
          <w:bottom w:val="none" w:sz="0" w:space="0" w:color="auto"/>
          <w:right w:val="none" w:sz="0" w:space="0" w:color="auto"/>
          <w:bar w:val="none" w:sz="0" w:color="auto"/>
        </w:pBdr>
        <w:rPr>
          <w:rFonts w:ascii="Cambria" w:hAnsi="Cambria" w:cs="Cambria"/>
          <w:noProof/>
          <w:sz w:val="16"/>
          <w:szCs w:val="16"/>
        </w:rPr>
      </w:pPr>
      <w:r>
        <w:rPr>
          <w:rFonts w:ascii="Cambria" w:hAnsi="Cambria" w:cs="Cambria"/>
          <w:noProof/>
          <w:sz w:val="16"/>
          <w:szCs w:val="16"/>
        </w:rPr>
        <w:separator/>
      </w:r>
    </w:p>
    <w:p w:rsidR="008D1750" w:rsidRDefault="008D1750" w:rsidP="000F35ED">
      <w:pPr>
        <w:pStyle w:val="Footer"/>
        <w:pBdr>
          <w:top w:val="none" w:sz="0" w:space="0" w:color="auto"/>
          <w:left w:val="none" w:sz="0" w:space="0" w:color="auto"/>
          <w:bottom w:val="none" w:sz="0" w:space="0" w:color="auto"/>
          <w:right w:val="none" w:sz="0" w:space="0" w:color="auto"/>
          <w:bar w:val="none" w:sz="0" w:color="auto"/>
        </w:pBdr>
        <w:rPr>
          <w:noProof/>
          <w:sz w:val="16"/>
          <w:szCs w:val="16"/>
        </w:rPr>
      </w:pPr>
      <w:r>
        <w:rPr>
          <w:noProof/>
          <w:sz w:val="16"/>
          <w:szCs w:val="16"/>
        </w:rPr>
        <w:t>[… continuación]</w:t>
      </w:r>
    </w:p>
  </w:footnote>
  <w:footnote w:type="continuationNotice" w:id="1">
    <w:p w:rsidR="008D1750" w:rsidRDefault="008D1750" w:rsidP="000F35ED">
      <w:pPr>
        <w:pBdr>
          <w:top w:val="none" w:sz="0" w:space="0" w:color="auto"/>
          <w:left w:val="none" w:sz="0" w:space="0" w:color="auto"/>
          <w:bottom w:val="none" w:sz="0" w:space="0" w:color="auto"/>
          <w:right w:val="none" w:sz="0" w:space="0" w:color="auto"/>
          <w:bar w:val="none" w:sz="0" w:color="auto"/>
        </w:pBdr>
        <w:jc w:val="right"/>
        <w:rPr>
          <w:rFonts w:ascii="Cambria" w:hAnsi="Cambria" w:cs="Cambria"/>
          <w:noProof/>
          <w:sz w:val="16"/>
          <w:szCs w:val="16"/>
        </w:rPr>
      </w:pPr>
      <w:r>
        <w:rPr>
          <w:rFonts w:ascii="Cambria" w:hAnsi="Cambria" w:cs="Cambria"/>
          <w:noProof/>
          <w:sz w:val="16"/>
          <w:szCs w:val="16"/>
        </w:rPr>
        <w:t>[continúa…]</w:t>
      </w:r>
    </w:p>
  </w:footnote>
  <w:footnote w:id="2">
    <w:p w:rsidR="00444A81" w:rsidRPr="00905BD7" w:rsidRDefault="00444A81" w:rsidP="00DE7D1B">
      <w:pPr>
        <w:pStyle w:val="FootnoteText"/>
        <w:pBdr>
          <w:top w:val="none" w:sz="0" w:space="0" w:color="auto"/>
          <w:left w:val="none" w:sz="0" w:space="0" w:color="auto"/>
          <w:bottom w:val="none" w:sz="0" w:space="0" w:color="auto"/>
          <w:right w:val="none" w:sz="0" w:space="0" w:color="auto"/>
          <w:bar w:val="none" w:sz="0" w:color="auto"/>
        </w:pBdr>
        <w:spacing w:after="120"/>
        <w:ind w:firstLine="360"/>
        <w:jc w:val="both"/>
        <w:rPr>
          <w:rFonts w:cs="Times New Roman"/>
          <w:color w:val="auto"/>
        </w:rPr>
      </w:pPr>
      <w:r w:rsidRPr="00905BD7">
        <w:rPr>
          <w:rStyle w:val="FootnoteReference"/>
          <w:rFonts w:ascii="Cambria" w:hAnsi="Cambria" w:cs="Cambria"/>
          <w:color w:val="auto"/>
          <w:sz w:val="16"/>
          <w:szCs w:val="16"/>
        </w:rPr>
        <w:footnoteRef/>
      </w:r>
      <w:r w:rsidRPr="00905BD7">
        <w:rPr>
          <w:rFonts w:ascii="Cambria" w:hAnsi="Cambria" w:cs="Cambria"/>
          <w:color w:val="auto"/>
          <w:sz w:val="16"/>
          <w:szCs w:val="16"/>
        </w:rPr>
        <w:tab/>
        <w:t>The petition</w:t>
      </w:r>
      <w:r w:rsidR="003112BD" w:rsidRPr="00905BD7">
        <w:rPr>
          <w:rFonts w:ascii="Cambria" w:hAnsi="Cambria" w:cs="Cambria"/>
          <w:color w:val="auto"/>
          <w:sz w:val="16"/>
          <w:szCs w:val="16"/>
        </w:rPr>
        <w:t xml:space="preserve"> </w:t>
      </w:r>
      <w:r w:rsidRPr="00905BD7">
        <w:rPr>
          <w:rFonts w:ascii="Cambria" w:hAnsi="Cambria" w:cs="Cambria"/>
          <w:color w:val="auto"/>
          <w:sz w:val="16"/>
          <w:szCs w:val="16"/>
        </w:rPr>
        <w:t>was presented by Ms. María Paula Romo, who was later replaced by Mr. Marcelo Dueñas. See para. 7</w:t>
      </w:r>
      <w:r w:rsidR="00E71A73" w:rsidRPr="00905BD7">
        <w:rPr>
          <w:rFonts w:ascii="Cambria" w:hAnsi="Cambria" w:cs="Cambria"/>
          <w:i/>
          <w:iCs/>
          <w:color w:val="auto"/>
          <w:sz w:val="16"/>
          <w:szCs w:val="16"/>
        </w:rPr>
        <w:t xml:space="preserve"> infra</w:t>
      </w:r>
      <w:r w:rsidRPr="00905BD7">
        <w:rPr>
          <w:rFonts w:ascii="Cambria" w:hAnsi="Cambria" w:cs="Cambria"/>
          <w:color w:val="auto"/>
          <w:sz w:val="16"/>
          <w:szCs w:val="16"/>
        </w:rPr>
        <w:t>, Processing by the IACHR.</w:t>
      </w:r>
    </w:p>
  </w:footnote>
  <w:footnote w:id="3">
    <w:p w:rsidR="00444A81" w:rsidRPr="00905BD7" w:rsidRDefault="00444A81" w:rsidP="00DE7D1B">
      <w:pPr>
        <w:pBdr>
          <w:top w:val="none" w:sz="0" w:space="0" w:color="auto"/>
          <w:left w:val="none" w:sz="0" w:space="0" w:color="auto"/>
          <w:bottom w:val="none" w:sz="0" w:space="0" w:color="auto"/>
          <w:right w:val="none" w:sz="0" w:space="0" w:color="auto"/>
          <w:bar w:val="none" w:sz="0" w:color="auto"/>
        </w:pBdr>
        <w:spacing w:after="120"/>
        <w:ind w:firstLine="360"/>
        <w:jc w:val="both"/>
      </w:pPr>
      <w:r w:rsidRPr="00905BD7">
        <w:rPr>
          <w:rStyle w:val="FootnoteReference"/>
          <w:rFonts w:ascii="Cambria" w:hAnsi="Cambria" w:cs="Cambria"/>
          <w:sz w:val="16"/>
          <w:szCs w:val="16"/>
        </w:rPr>
        <w:footnoteRef/>
      </w:r>
      <w:r w:rsidRPr="00905BD7">
        <w:rPr>
          <w:rFonts w:ascii="Cambria" w:hAnsi="Cambria" w:cs="Cambria"/>
          <w:sz w:val="16"/>
          <w:szCs w:val="16"/>
        </w:rPr>
        <w:t xml:space="preserve"> </w:t>
      </w:r>
      <w:r w:rsidRPr="00905BD7">
        <w:rPr>
          <w:rFonts w:ascii="Cambria" w:hAnsi="Cambria" w:cs="Cambria"/>
          <w:sz w:val="16"/>
          <w:szCs w:val="16"/>
        </w:rPr>
        <w:tab/>
        <w:t xml:space="preserve">The purpose of the report was to examine the procurement and financial operations of the General Command of the National Police over the period January 1, 1998, to June 30, 2000. </w:t>
      </w:r>
    </w:p>
  </w:footnote>
  <w:footnote w:id="4">
    <w:p w:rsidR="00444A81" w:rsidRPr="00905BD7" w:rsidRDefault="00444A81" w:rsidP="00DE7D1B">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120"/>
        <w:ind w:firstLine="360"/>
        <w:jc w:val="both"/>
      </w:pPr>
      <w:r w:rsidRPr="00905BD7">
        <w:rPr>
          <w:rStyle w:val="FootnoteReference"/>
          <w:rFonts w:ascii="Cambria" w:hAnsi="Cambria" w:cs="Cambria"/>
          <w:sz w:val="16"/>
          <w:szCs w:val="16"/>
        </w:rPr>
        <w:footnoteRef/>
      </w:r>
      <w:r w:rsidRPr="00905BD7">
        <w:rPr>
          <w:rFonts w:ascii="Cambria" w:hAnsi="Cambria" w:cs="Cambria"/>
          <w:sz w:val="16"/>
          <w:szCs w:val="16"/>
        </w:rPr>
        <w:t xml:space="preserve"> </w:t>
      </w:r>
      <w:r w:rsidRPr="00905BD7">
        <w:rPr>
          <w:rFonts w:ascii="Cambria" w:hAnsi="Cambria" w:cs="Cambria"/>
          <w:sz w:val="16"/>
          <w:szCs w:val="16"/>
        </w:rPr>
        <w:tab/>
        <w:t xml:space="preserve">Offense criminalized in Articles 257.3 and Article 340 of the (common) Criminal Code. </w:t>
      </w:r>
    </w:p>
  </w:footnote>
  <w:footnote w:id="5">
    <w:p w:rsidR="00444A81" w:rsidRPr="00905BD7" w:rsidRDefault="00444A81" w:rsidP="00DE7D1B">
      <w:pPr>
        <w:pBdr>
          <w:top w:val="none" w:sz="0" w:space="0" w:color="auto"/>
          <w:left w:val="none" w:sz="0" w:space="0" w:color="auto"/>
          <w:bottom w:val="none" w:sz="0" w:space="0" w:color="auto"/>
          <w:right w:val="none" w:sz="0" w:space="0" w:color="auto"/>
          <w:bar w:val="none" w:sz="0" w:color="auto"/>
        </w:pBdr>
        <w:spacing w:after="120"/>
        <w:ind w:firstLine="360"/>
        <w:jc w:val="both"/>
      </w:pPr>
      <w:r w:rsidRPr="00905BD7">
        <w:rPr>
          <w:rStyle w:val="FootnoteReference"/>
          <w:rFonts w:ascii="Cambria" w:hAnsi="Cambria" w:cs="Cambria"/>
          <w:sz w:val="16"/>
          <w:szCs w:val="16"/>
        </w:rPr>
        <w:footnoteRef/>
      </w:r>
      <w:r w:rsidR="005A6477">
        <w:rPr>
          <w:rFonts w:ascii="Cambria" w:hAnsi="Cambria" w:cs="Cambria"/>
          <w:sz w:val="16"/>
          <w:szCs w:val="16"/>
        </w:rPr>
        <w:t xml:space="preserve"> </w:t>
      </w:r>
      <w:r w:rsidRPr="00905BD7">
        <w:rPr>
          <w:rFonts w:ascii="Cambria" w:hAnsi="Cambria" w:cs="Cambria"/>
          <w:sz w:val="16"/>
          <w:szCs w:val="16"/>
        </w:rPr>
        <w:t xml:space="preserve">The grounded deed ordered the firm arrest, as </w:t>
      </w:r>
      <w:r w:rsidR="003112BD" w:rsidRPr="00905BD7">
        <w:rPr>
          <w:rFonts w:ascii="Cambria" w:hAnsi="Cambria" w:cs="Cambria"/>
          <w:sz w:val="16"/>
          <w:szCs w:val="16"/>
        </w:rPr>
        <w:t>“</w:t>
      </w:r>
      <w:r w:rsidRPr="00905BD7">
        <w:rPr>
          <w:rFonts w:ascii="Cambria" w:hAnsi="Cambria" w:cs="Cambria"/>
          <w:sz w:val="16"/>
          <w:szCs w:val="16"/>
        </w:rPr>
        <w:t>perpetrators,</w:t>
      </w:r>
      <w:r w:rsidR="003112BD" w:rsidRPr="00905BD7">
        <w:rPr>
          <w:rFonts w:ascii="Cambria" w:hAnsi="Cambria" w:cs="Cambria"/>
          <w:sz w:val="16"/>
          <w:szCs w:val="16"/>
        </w:rPr>
        <w:t>”</w:t>
      </w:r>
      <w:r w:rsidRPr="00905BD7">
        <w:rPr>
          <w:rFonts w:ascii="Cambria" w:hAnsi="Cambria" w:cs="Cambria"/>
          <w:sz w:val="16"/>
          <w:szCs w:val="16"/>
        </w:rPr>
        <w:t xml:space="preserve"> of Messrs. Villarroel, Cevallos Moreno, Coloma Gaibor, Trujillo Soto, and Vinueza Panchez; and, as </w:t>
      </w:r>
      <w:r w:rsidR="003112BD" w:rsidRPr="00905BD7">
        <w:rPr>
          <w:rFonts w:ascii="Cambria" w:hAnsi="Cambria" w:cs="Cambria"/>
          <w:sz w:val="16"/>
          <w:szCs w:val="16"/>
        </w:rPr>
        <w:t>“</w:t>
      </w:r>
      <w:r w:rsidRPr="00905BD7">
        <w:rPr>
          <w:rFonts w:ascii="Cambria" w:hAnsi="Cambria" w:cs="Cambria"/>
          <w:sz w:val="16"/>
          <w:szCs w:val="16"/>
        </w:rPr>
        <w:t>accomplices,</w:t>
      </w:r>
      <w:r w:rsidR="003112BD" w:rsidRPr="00905BD7">
        <w:rPr>
          <w:rFonts w:ascii="Cambria" w:hAnsi="Cambria" w:cs="Cambria"/>
          <w:sz w:val="16"/>
          <w:szCs w:val="16"/>
        </w:rPr>
        <w:t>”</w:t>
      </w:r>
      <w:r w:rsidRPr="00905BD7">
        <w:rPr>
          <w:rFonts w:ascii="Cambria" w:hAnsi="Cambria" w:cs="Cambria"/>
          <w:sz w:val="16"/>
          <w:szCs w:val="16"/>
        </w:rPr>
        <w:t xml:space="preserve"> of Messrs. López Ortiz, Azcásubi Albán, and Estrella Borja. </w:t>
      </w:r>
    </w:p>
  </w:footnote>
  <w:footnote w:id="6">
    <w:p w:rsidR="00444A81" w:rsidRPr="00905BD7" w:rsidRDefault="00444A81" w:rsidP="00DE7D1B">
      <w:pPr>
        <w:pBdr>
          <w:top w:val="none" w:sz="0" w:space="0" w:color="auto"/>
          <w:left w:val="none" w:sz="0" w:space="0" w:color="auto"/>
          <w:bottom w:val="none" w:sz="0" w:space="0" w:color="auto"/>
          <w:right w:val="none" w:sz="0" w:space="0" w:color="auto"/>
          <w:bar w:val="none" w:sz="0" w:color="auto"/>
        </w:pBdr>
        <w:spacing w:after="120"/>
        <w:ind w:firstLine="360"/>
        <w:jc w:val="both"/>
      </w:pPr>
      <w:r w:rsidRPr="00905BD7">
        <w:rPr>
          <w:rStyle w:val="FootnoteReference"/>
          <w:rFonts w:ascii="Cambria" w:hAnsi="Cambria" w:cs="Cambria"/>
          <w:sz w:val="16"/>
          <w:szCs w:val="16"/>
        </w:rPr>
        <w:footnoteRef/>
      </w:r>
      <w:r w:rsidRPr="00905BD7">
        <w:rPr>
          <w:rFonts w:ascii="Cambria" w:hAnsi="Cambria" w:cs="Cambria"/>
          <w:sz w:val="16"/>
          <w:szCs w:val="16"/>
        </w:rPr>
        <w:t xml:space="preserve"> The petitioner reports that the first transitory article of the common Code of Criminal Procedure, as amended, states that proceedings commenced prior to the date of its date of entry into force shall continue under the previous rules, except when </w:t>
      </w:r>
      <w:r w:rsidR="00C10D84" w:rsidRPr="00905BD7">
        <w:rPr>
          <w:rFonts w:ascii="Cambria" w:hAnsi="Cambria" w:cs="Cambria"/>
          <w:sz w:val="16"/>
          <w:szCs w:val="16"/>
        </w:rPr>
        <w:t xml:space="preserve">an individual </w:t>
      </w:r>
      <w:r w:rsidRPr="00905BD7">
        <w:rPr>
          <w:rFonts w:ascii="Cambria" w:hAnsi="Cambria" w:cs="Cambria"/>
          <w:sz w:val="16"/>
          <w:szCs w:val="16"/>
        </w:rPr>
        <w:t xml:space="preserve">would benefit from the new provisions. </w:t>
      </w:r>
    </w:p>
  </w:footnote>
  <w:footnote w:id="7">
    <w:p w:rsidR="00444A81" w:rsidRPr="00905BD7" w:rsidRDefault="00444A81" w:rsidP="00DE7D1B">
      <w:pPr>
        <w:pStyle w:val="FootnoteText"/>
        <w:pBdr>
          <w:top w:val="none" w:sz="0" w:space="0" w:color="auto"/>
          <w:left w:val="none" w:sz="0" w:space="0" w:color="auto"/>
          <w:bottom w:val="none" w:sz="0" w:space="0" w:color="auto"/>
          <w:right w:val="none" w:sz="0" w:space="0" w:color="auto"/>
          <w:bar w:val="none" w:sz="0" w:color="auto"/>
        </w:pBdr>
        <w:spacing w:after="120"/>
        <w:ind w:firstLine="360"/>
        <w:jc w:val="both"/>
        <w:rPr>
          <w:rFonts w:cs="Times New Roman"/>
          <w:color w:val="auto"/>
        </w:rPr>
      </w:pPr>
      <w:r w:rsidRPr="00905BD7">
        <w:rPr>
          <w:rStyle w:val="FootnoteReference"/>
          <w:rFonts w:ascii="Cambria" w:hAnsi="Cambria" w:cs="Cambria"/>
          <w:color w:val="auto"/>
          <w:sz w:val="16"/>
          <w:szCs w:val="16"/>
        </w:rPr>
        <w:footnoteRef/>
      </w:r>
      <w:r w:rsidRPr="00905BD7">
        <w:rPr>
          <w:rFonts w:ascii="Cambria" w:hAnsi="Cambria" w:cs="Cambria"/>
          <w:color w:val="auto"/>
          <w:sz w:val="16"/>
          <w:szCs w:val="16"/>
        </w:rPr>
        <w:t xml:space="preserve"> In the appeal remedy presented by the petitioner, the CNJP </w:t>
      </w:r>
      <w:r w:rsidR="00C10D84" w:rsidRPr="00905BD7">
        <w:rPr>
          <w:rFonts w:ascii="Cambria" w:hAnsi="Cambria" w:cs="Cambria"/>
          <w:color w:val="auto"/>
          <w:sz w:val="16"/>
          <w:szCs w:val="16"/>
        </w:rPr>
        <w:t>wa</w:t>
      </w:r>
      <w:r w:rsidRPr="00905BD7">
        <w:rPr>
          <w:rFonts w:ascii="Cambria" w:hAnsi="Cambria" w:cs="Cambria"/>
          <w:color w:val="auto"/>
          <w:sz w:val="16"/>
          <w:szCs w:val="16"/>
        </w:rPr>
        <w:t xml:space="preserve">s also asked to enforce Article 160 of the National Police Code of Criminal Procedure, which orders the definitive dismissal of proceedings when the prosecutor issues a final ruling for nonindictment. </w:t>
      </w:r>
    </w:p>
  </w:footnote>
  <w:footnote w:id="8">
    <w:p w:rsidR="00444A81" w:rsidRPr="00905BD7" w:rsidRDefault="00444A81" w:rsidP="00DE7D1B">
      <w:pPr>
        <w:pBdr>
          <w:top w:val="none" w:sz="0" w:space="0" w:color="auto"/>
          <w:left w:val="none" w:sz="0" w:space="0" w:color="auto"/>
          <w:bottom w:val="none" w:sz="0" w:space="0" w:color="auto"/>
          <w:right w:val="none" w:sz="0" w:space="0" w:color="auto"/>
          <w:bar w:val="none" w:sz="0" w:color="auto"/>
        </w:pBdr>
        <w:spacing w:after="120"/>
        <w:ind w:firstLine="360"/>
        <w:jc w:val="both"/>
      </w:pPr>
      <w:r w:rsidRPr="00905BD7">
        <w:rPr>
          <w:rStyle w:val="FootnoteReference"/>
          <w:rFonts w:ascii="Cambria" w:hAnsi="Cambria" w:cs="Cambria"/>
          <w:sz w:val="16"/>
          <w:szCs w:val="16"/>
        </w:rPr>
        <w:footnoteRef/>
      </w:r>
      <w:r w:rsidRPr="00905BD7">
        <w:rPr>
          <w:rFonts w:ascii="Cambria" w:hAnsi="Cambria" w:cs="Cambria"/>
          <w:sz w:val="16"/>
          <w:szCs w:val="16"/>
        </w:rPr>
        <w:t xml:space="preserve"> IACHR, Report No. 44/04, Inadmissibility, Petition 2584-02, </w:t>
      </w:r>
      <w:r w:rsidRPr="00905BD7">
        <w:rPr>
          <w:rFonts w:ascii="Cambria" w:hAnsi="Cambria" w:cs="Cambria"/>
          <w:i/>
          <w:iCs/>
          <w:sz w:val="16"/>
          <w:szCs w:val="16"/>
        </w:rPr>
        <w:t>Laura Tena Colunga and Others</w:t>
      </w:r>
      <w:r w:rsidRPr="00905BD7">
        <w:rPr>
          <w:rFonts w:ascii="Cambria" w:hAnsi="Cambria" w:cs="Cambria"/>
          <w:sz w:val="16"/>
          <w:szCs w:val="16"/>
        </w:rPr>
        <w:t xml:space="preserve"> (Mexico), October 13, 2004, para. 37.</w:t>
      </w:r>
    </w:p>
  </w:footnote>
  <w:footnote w:id="9">
    <w:p w:rsidR="00444A81" w:rsidRPr="009A5052" w:rsidRDefault="00444A81" w:rsidP="00DE7D1B">
      <w:pPr>
        <w:pBdr>
          <w:top w:val="none" w:sz="0" w:space="0" w:color="auto"/>
          <w:left w:val="none" w:sz="0" w:space="0" w:color="auto"/>
          <w:bottom w:val="none" w:sz="0" w:space="0" w:color="auto"/>
          <w:right w:val="none" w:sz="0" w:space="0" w:color="auto"/>
          <w:bar w:val="none" w:sz="0" w:color="auto"/>
        </w:pBdr>
        <w:spacing w:after="120"/>
        <w:ind w:firstLine="360"/>
        <w:jc w:val="both"/>
        <w:rPr>
          <w:lang w:val="es-ES"/>
        </w:rPr>
      </w:pPr>
      <w:r w:rsidRPr="00905BD7">
        <w:rPr>
          <w:rStyle w:val="FootnoteReference"/>
          <w:rFonts w:ascii="Cambria" w:hAnsi="Cambria" w:cs="Cambria"/>
          <w:sz w:val="16"/>
          <w:szCs w:val="16"/>
        </w:rPr>
        <w:footnoteRef/>
      </w:r>
      <w:r w:rsidRPr="00905BD7">
        <w:rPr>
          <w:rFonts w:ascii="Cambria" w:hAnsi="Cambria" w:cs="Cambria"/>
          <w:sz w:val="16"/>
          <w:szCs w:val="16"/>
        </w:rPr>
        <w:t xml:space="preserve"> Article 31.3 of the Commission</w:t>
      </w:r>
      <w:r w:rsidR="003112BD" w:rsidRPr="00905BD7">
        <w:rPr>
          <w:rFonts w:ascii="Cambria" w:hAnsi="Cambria" w:cs="Cambria"/>
          <w:sz w:val="16"/>
          <w:szCs w:val="16"/>
        </w:rPr>
        <w:t>’</w:t>
      </w:r>
      <w:r w:rsidRPr="00905BD7">
        <w:rPr>
          <w:rFonts w:ascii="Cambria" w:hAnsi="Cambria" w:cs="Cambria"/>
          <w:sz w:val="16"/>
          <w:szCs w:val="16"/>
        </w:rPr>
        <w:t xml:space="preserve">s Rules of Procedure. See </w:t>
      </w:r>
      <w:r w:rsidR="003112BD" w:rsidRPr="00905BD7">
        <w:rPr>
          <w:rFonts w:ascii="Cambria" w:hAnsi="Cambria" w:cs="Cambria"/>
          <w:sz w:val="16"/>
          <w:szCs w:val="16"/>
        </w:rPr>
        <w:t>also: I</w:t>
      </w:r>
      <w:r w:rsidRPr="00905BD7">
        <w:rPr>
          <w:rFonts w:ascii="Cambria" w:hAnsi="Cambria" w:cs="Cambria"/>
          <w:sz w:val="16"/>
          <w:szCs w:val="16"/>
        </w:rPr>
        <w:t xml:space="preserve">/A Court H. R., </w:t>
      </w:r>
      <w:r w:rsidRPr="00905BD7">
        <w:rPr>
          <w:rFonts w:ascii="Cambria" w:hAnsi="Cambria" w:cs="Cambria"/>
          <w:i/>
          <w:iCs/>
          <w:sz w:val="16"/>
          <w:szCs w:val="16"/>
        </w:rPr>
        <w:t>Case of Velásquez Rodríguez v. Honduras</w:t>
      </w:r>
      <w:r w:rsidRPr="00905BD7">
        <w:rPr>
          <w:rFonts w:ascii="Cambria" w:hAnsi="Cambria" w:cs="Cambria"/>
          <w:sz w:val="16"/>
          <w:szCs w:val="16"/>
        </w:rPr>
        <w:t xml:space="preserve">, Judgment of July 29, 1988, Series C No. 4, para. </w:t>
      </w:r>
      <w:r w:rsidRPr="009A5052">
        <w:rPr>
          <w:rFonts w:ascii="Cambria" w:hAnsi="Cambria" w:cs="Cambria"/>
          <w:sz w:val="16"/>
          <w:szCs w:val="16"/>
          <w:lang w:val="es-ES"/>
        </w:rPr>
        <w:t>64.</w:t>
      </w:r>
    </w:p>
  </w:footnote>
  <w:footnote w:id="10">
    <w:p w:rsidR="00444A81" w:rsidRPr="00905BD7" w:rsidRDefault="00444A81" w:rsidP="00DE7D1B">
      <w:pPr>
        <w:pBdr>
          <w:top w:val="none" w:sz="0" w:space="0" w:color="auto"/>
          <w:left w:val="none" w:sz="0" w:space="0" w:color="auto"/>
          <w:bottom w:val="none" w:sz="0" w:space="0" w:color="auto"/>
          <w:right w:val="none" w:sz="0" w:space="0" w:color="auto"/>
          <w:bar w:val="none" w:sz="0" w:color="auto"/>
        </w:pBdr>
        <w:spacing w:after="120"/>
        <w:ind w:firstLine="360"/>
        <w:jc w:val="both"/>
      </w:pPr>
      <w:r w:rsidRPr="00905BD7">
        <w:rPr>
          <w:rStyle w:val="FootnoteReference"/>
          <w:rFonts w:ascii="Cambria" w:hAnsi="Cambria" w:cs="Cambria"/>
          <w:sz w:val="16"/>
          <w:szCs w:val="16"/>
        </w:rPr>
        <w:footnoteRef/>
      </w:r>
      <w:r w:rsidR="005A6477" w:rsidRPr="009A5052">
        <w:rPr>
          <w:rFonts w:ascii="Cambria" w:hAnsi="Cambria" w:cs="Cambria"/>
          <w:sz w:val="16"/>
          <w:szCs w:val="16"/>
          <w:lang w:val="es-ES"/>
        </w:rPr>
        <w:t xml:space="preserve"> </w:t>
      </w:r>
      <w:r w:rsidRPr="009A5052">
        <w:rPr>
          <w:rFonts w:ascii="Cambria" w:hAnsi="Cambria" w:cs="Cambria"/>
          <w:sz w:val="16"/>
          <w:szCs w:val="16"/>
          <w:lang w:val="es-ES"/>
        </w:rPr>
        <w:t xml:space="preserve">IACHR, Report No. 45-13, Admissibility, </w:t>
      </w:r>
      <w:r w:rsidRPr="009A5052">
        <w:rPr>
          <w:rFonts w:ascii="Cambria" w:hAnsi="Cambria" w:cs="Cambria"/>
          <w:i/>
          <w:iCs/>
          <w:sz w:val="16"/>
          <w:szCs w:val="16"/>
          <w:lang w:val="es-ES"/>
        </w:rPr>
        <w:t>Eduardo Julián Parrilla Ortiz</w:t>
      </w:r>
      <w:r w:rsidRPr="009A5052">
        <w:rPr>
          <w:rFonts w:ascii="Cambria" w:hAnsi="Cambria" w:cs="Cambria"/>
          <w:sz w:val="16"/>
          <w:szCs w:val="16"/>
          <w:lang w:val="es-ES"/>
        </w:rPr>
        <w:t xml:space="preserve"> (Ecuador), July 11, 2013, para. </w:t>
      </w:r>
      <w:r w:rsidRPr="00905BD7">
        <w:rPr>
          <w:rFonts w:ascii="Cambria" w:hAnsi="Cambria" w:cs="Cambria"/>
          <w:sz w:val="16"/>
          <w:szCs w:val="16"/>
        </w:rPr>
        <w:t xml:space="preserve">23; IACHR, Report No. 52/00, </w:t>
      </w:r>
      <w:r w:rsidRPr="00905BD7">
        <w:rPr>
          <w:rFonts w:ascii="Cambria" w:hAnsi="Cambria" w:cs="Cambria"/>
          <w:i/>
          <w:iCs/>
          <w:sz w:val="16"/>
          <w:szCs w:val="16"/>
        </w:rPr>
        <w:t>Dismissed Congressional Workers</w:t>
      </w:r>
      <w:r w:rsidRPr="00905BD7">
        <w:rPr>
          <w:rFonts w:ascii="Cambria" w:hAnsi="Cambria" w:cs="Cambria"/>
          <w:sz w:val="16"/>
          <w:szCs w:val="16"/>
        </w:rPr>
        <w:t>, June 15, 2000, para. 21.</w:t>
      </w:r>
    </w:p>
  </w:footnote>
  <w:footnote w:id="11">
    <w:p w:rsidR="00444A81" w:rsidRPr="00905BD7" w:rsidRDefault="00444A81" w:rsidP="00DE7D1B">
      <w:pPr>
        <w:pStyle w:val="FootnoteText"/>
        <w:pBdr>
          <w:top w:val="none" w:sz="0" w:space="0" w:color="auto"/>
          <w:left w:val="none" w:sz="0" w:space="0" w:color="auto"/>
          <w:bottom w:val="none" w:sz="0" w:space="0" w:color="auto"/>
          <w:right w:val="none" w:sz="0" w:space="0" w:color="auto"/>
          <w:bar w:val="none" w:sz="0" w:color="auto"/>
        </w:pBdr>
        <w:spacing w:after="120"/>
        <w:ind w:firstLine="360"/>
        <w:jc w:val="both"/>
        <w:rPr>
          <w:rFonts w:cs="Times New Roman"/>
          <w:color w:val="auto"/>
        </w:rPr>
      </w:pPr>
      <w:r w:rsidRPr="00905BD7">
        <w:rPr>
          <w:rStyle w:val="FootnoteReference"/>
          <w:rFonts w:ascii="Cambria" w:hAnsi="Cambria" w:cs="Cambria"/>
          <w:color w:val="auto"/>
          <w:sz w:val="16"/>
          <w:szCs w:val="16"/>
        </w:rPr>
        <w:footnoteRef/>
      </w:r>
      <w:r w:rsidR="005A6477">
        <w:rPr>
          <w:rFonts w:ascii="Cambria" w:hAnsi="Cambria" w:cs="Cambria"/>
          <w:color w:val="auto"/>
          <w:sz w:val="16"/>
          <w:szCs w:val="16"/>
        </w:rPr>
        <w:t xml:space="preserve"> </w:t>
      </w:r>
      <w:r w:rsidRPr="00905BD7">
        <w:rPr>
          <w:rFonts w:ascii="Cambria" w:hAnsi="Cambria" w:cs="Cambria"/>
          <w:color w:val="auto"/>
          <w:sz w:val="16"/>
          <w:szCs w:val="16"/>
        </w:rPr>
        <w:t xml:space="preserve">See, </w:t>
      </w:r>
      <w:r w:rsidRPr="00905BD7">
        <w:rPr>
          <w:rFonts w:ascii="Cambria" w:hAnsi="Cambria" w:cs="Cambria"/>
          <w:i/>
          <w:color w:val="auto"/>
          <w:sz w:val="16"/>
          <w:szCs w:val="16"/>
        </w:rPr>
        <w:t>inter alia</w:t>
      </w:r>
      <w:r w:rsidRPr="00905BD7">
        <w:rPr>
          <w:rFonts w:ascii="Cambria" w:hAnsi="Cambria" w:cs="Cambria"/>
          <w:color w:val="auto"/>
          <w:sz w:val="16"/>
          <w:szCs w:val="16"/>
        </w:rPr>
        <w:t xml:space="preserve">: IACHR, Report No. 173/11, Petition 897-04, </w:t>
      </w:r>
      <w:r w:rsidRPr="00905BD7">
        <w:rPr>
          <w:rFonts w:ascii="Cambria" w:hAnsi="Cambria" w:cs="Cambria"/>
          <w:i/>
          <w:iCs/>
          <w:color w:val="auto"/>
          <w:sz w:val="16"/>
          <w:szCs w:val="16"/>
        </w:rPr>
        <w:t>Alejandro Daniel Esteve and Sons</w:t>
      </w:r>
      <w:r w:rsidRPr="00905BD7">
        <w:rPr>
          <w:rFonts w:ascii="Cambria" w:hAnsi="Cambria" w:cs="Cambria"/>
          <w:color w:val="auto"/>
          <w:sz w:val="16"/>
          <w:szCs w:val="16"/>
        </w:rPr>
        <w:t xml:space="preserve"> (Brazil), November 2, 2011, para. 43; IACHR, Report No. 3/11, Petition 491-98, Admissibility, </w:t>
      </w:r>
      <w:r w:rsidRPr="00905BD7">
        <w:rPr>
          <w:rFonts w:ascii="Cambria" w:hAnsi="Cambria" w:cs="Cambria"/>
          <w:i/>
          <w:iCs/>
          <w:color w:val="auto"/>
          <w:sz w:val="16"/>
          <w:szCs w:val="16"/>
        </w:rPr>
        <w:t>Néstor Rolando López and Others</w:t>
      </w:r>
      <w:r w:rsidRPr="00905BD7">
        <w:rPr>
          <w:rFonts w:ascii="Cambria" w:hAnsi="Cambria" w:cs="Cambria"/>
          <w:color w:val="auto"/>
          <w:sz w:val="16"/>
          <w:szCs w:val="16"/>
        </w:rPr>
        <w:t xml:space="preserve">, January 5, 2011, para. 37; IACHR, Report No. 12/10, Case 12.106, Admissibility, </w:t>
      </w:r>
      <w:r w:rsidRPr="00905BD7">
        <w:rPr>
          <w:rFonts w:ascii="Cambria" w:hAnsi="Cambria" w:cs="Cambria"/>
          <w:i/>
          <w:iCs/>
          <w:color w:val="auto"/>
          <w:sz w:val="16"/>
          <w:szCs w:val="16"/>
        </w:rPr>
        <w:t>Enrique Hermann Pfister Frías and Lucrecia Pfister Frías</w:t>
      </w:r>
      <w:r w:rsidRPr="00905BD7">
        <w:rPr>
          <w:rFonts w:ascii="Cambria" w:hAnsi="Cambria" w:cs="Cambria"/>
          <w:color w:val="auto"/>
          <w:sz w:val="16"/>
          <w:szCs w:val="16"/>
        </w:rPr>
        <w:t xml:space="preserve"> (Argentina), March 16, 2010, para. 46; IACHR, Report No. 10/10, Petition No. 214-08, Admissibility, </w:t>
      </w:r>
      <w:r w:rsidRPr="00905BD7">
        <w:rPr>
          <w:rFonts w:ascii="Cambria" w:hAnsi="Cambria" w:cs="Cambria"/>
          <w:i/>
          <w:iCs/>
          <w:color w:val="auto"/>
          <w:sz w:val="16"/>
          <w:szCs w:val="16"/>
        </w:rPr>
        <w:t>Koempai and Others</w:t>
      </w:r>
      <w:r w:rsidRPr="00905BD7">
        <w:rPr>
          <w:rFonts w:ascii="Cambria" w:hAnsi="Cambria" w:cs="Cambria"/>
          <w:color w:val="auto"/>
          <w:sz w:val="16"/>
          <w:szCs w:val="16"/>
        </w:rPr>
        <w:t xml:space="preserve"> (Suriname), March 16, 2010, para. 43.</w:t>
      </w:r>
    </w:p>
  </w:footnote>
  <w:footnote w:id="12">
    <w:p w:rsidR="00444A81" w:rsidRPr="00905BD7" w:rsidRDefault="00444A81" w:rsidP="00DE7D1B">
      <w:pPr>
        <w:pBdr>
          <w:top w:val="none" w:sz="0" w:space="0" w:color="auto"/>
          <w:left w:val="none" w:sz="0" w:space="0" w:color="auto"/>
          <w:bottom w:val="none" w:sz="0" w:space="0" w:color="auto"/>
          <w:right w:val="none" w:sz="0" w:space="0" w:color="auto"/>
          <w:bar w:val="none" w:sz="0" w:color="auto"/>
        </w:pBdr>
        <w:spacing w:after="120"/>
        <w:ind w:firstLine="360"/>
        <w:jc w:val="both"/>
      </w:pPr>
      <w:r w:rsidRPr="00905BD7">
        <w:rPr>
          <w:rStyle w:val="FootnoteReference"/>
          <w:rFonts w:ascii="Cambria" w:hAnsi="Cambria" w:cs="Cambria"/>
          <w:sz w:val="16"/>
          <w:szCs w:val="16"/>
        </w:rPr>
        <w:footnoteRef/>
      </w:r>
      <w:r w:rsidR="005A6477">
        <w:rPr>
          <w:rFonts w:ascii="Cambria" w:hAnsi="Cambria" w:cs="Cambria"/>
          <w:sz w:val="16"/>
          <w:szCs w:val="16"/>
        </w:rPr>
        <w:t xml:space="preserve"> </w:t>
      </w:r>
      <w:r w:rsidRPr="00905BD7">
        <w:rPr>
          <w:rFonts w:ascii="Cambria" w:hAnsi="Cambria" w:cs="Cambria"/>
          <w:sz w:val="16"/>
          <w:szCs w:val="16"/>
        </w:rPr>
        <w:t xml:space="preserve">IACHR, Report No. 8/98, Case 11.671, </w:t>
      </w:r>
      <w:r w:rsidR="00B71ADE" w:rsidRPr="00905BD7">
        <w:rPr>
          <w:rFonts w:ascii="Cambria" w:hAnsi="Cambria" w:cs="Cambria"/>
          <w:sz w:val="16"/>
          <w:szCs w:val="16"/>
        </w:rPr>
        <w:t xml:space="preserve">Inadmissibility, </w:t>
      </w:r>
      <w:r w:rsidRPr="00905BD7">
        <w:rPr>
          <w:rFonts w:ascii="Cambria" w:hAnsi="Cambria" w:cs="Cambria"/>
          <w:i/>
          <w:iCs/>
          <w:sz w:val="16"/>
          <w:szCs w:val="16"/>
        </w:rPr>
        <w:t>Carlos García Saccone</w:t>
      </w:r>
      <w:r w:rsidRPr="00905BD7">
        <w:rPr>
          <w:rFonts w:ascii="Cambria" w:hAnsi="Cambria" w:cs="Cambria"/>
          <w:sz w:val="16"/>
          <w:szCs w:val="16"/>
        </w:rPr>
        <w:t xml:space="preserve"> (Argentina), March 2, 1998, para. 53; and Report No. 2/05, Petition 11.618, Admissibility, </w:t>
      </w:r>
      <w:r w:rsidRPr="00905BD7">
        <w:rPr>
          <w:rFonts w:ascii="Cambria" w:hAnsi="Cambria" w:cs="Cambria"/>
          <w:i/>
          <w:iCs/>
          <w:sz w:val="16"/>
          <w:szCs w:val="16"/>
        </w:rPr>
        <w:t>Carlos Alberto Mohamed</w:t>
      </w:r>
      <w:r w:rsidRPr="00905BD7">
        <w:rPr>
          <w:rFonts w:ascii="Cambria" w:hAnsi="Cambria" w:cs="Cambria"/>
          <w:sz w:val="16"/>
          <w:szCs w:val="16"/>
        </w:rPr>
        <w:t xml:space="preserve"> (Argentina), February 22, 2005, para. 32.</w:t>
      </w:r>
    </w:p>
  </w:footnote>
  <w:footnote w:id="13">
    <w:p w:rsidR="00444A81" w:rsidRPr="00905BD7" w:rsidRDefault="00444A81" w:rsidP="00DE7D1B">
      <w:pPr>
        <w:pBdr>
          <w:top w:val="none" w:sz="0" w:space="0" w:color="auto"/>
          <w:left w:val="none" w:sz="0" w:space="0" w:color="auto"/>
          <w:bottom w:val="none" w:sz="0" w:space="0" w:color="auto"/>
          <w:right w:val="none" w:sz="0" w:space="0" w:color="auto"/>
          <w:bar w:val="none" w:sz="0" w:color="auto"/>
        </w:pBdr>
        <w:spacing w:after="120"/>
        <w:ind w:firstLine="360"/>
        <w:jc w:val="both"/>
      </w:pPr>
      <w:r w:rsidRPr="00905BD7">
        <w:rPr>
          <w:rStyle w:val="FootnoteReference"/>
          <w:rFonts w:ascii="Cambria" w:hAnsi="Cambria" w:cs="Cambria"/>
          <w:sz w:val="16"/>
          <w:szCs w:val="16"/>
        </w:rPr>
        <w:footnoteRef/>
      </w:r>
      <w:r w:rsidR="005A6477">
        <w:rPr>
          <w:rFonts w:ascii="Cambria" w:hAnsi="Cambria" w:cs="Cambria"/>
          <w:sz w:val="16"/>
          <w:szCs w:val="16"/>
        </w:rPr>
        <w:t xml:space="preserve"> </w:t>
      </w:r>
      <w:r w:rsidRPr="00905BD7">
        <w:rPr>
          <w:rFonts w:ascii="Cambria" w:hAnsi="Cambria" w:cs="Cambria"/>
          <w:sz w:val="16"/>
          <w:szCs w:val="16"/>
        </w:rPr>
        <w:t xml:space="preserve">IACHR, Report No. 36/13, Petition 403-02, Admissibility, </w:t>
      </w:r>
      <w:r w:rsidRPr="00905BD7">
        <w:rPr>
          <w:rFonts w:ascii="Cambria" w:hAnsi="Cambria" w:cs="Cambria"/>
          <w:i/>
          <w:iCs/>
          <w:sz w:val="16"/>
          <w:szCs w:val="16"/>
        </w:rPr>
        <w:t>José Delfin Acosta Martínez and Family</w:t>
      </w:r>
      <w:r w:rsidRPr="00905BD7">
        <w:rPr>
          <w:rFonts w:ascii="Cambria" w:hAnsi="Cambria" w:cs="Cambria"/>
          <w:sz w:val="16"/>
          <w:szCs w:val="16"/>
        </w:rPr>
        <w:t xml:space="preserve"> (Argentina), July 11, 2013, para. 43; IACHR, Report No. 105/99, Case 10.194, Admissibility and Merits, </w:t>
      </w:r>
      <w:r w:rsidRPr="00905BD7">
        <w:rPr>
          <w:rFonts w:ascii="Cambria" w:hAnsi="Cambria" w:cs="Cambria"/>
          <w:i/>
          <w:iCs/>
          <w:sz w:val="16"/>
          <w:szCs w:val="16"/>
        </w:rPr>
        <w:t>Narciso Palacios</w:t>
      </w:r>
      <w:r w:rsidRPr="00905BD7">
        <w:rPr>
          <w:rFonts w:ascii="Cambria" w:hAnsi="Cambria" w:cs="Cambria"/>
          <w:sz w:val="16"/>
          <w:szCs w:val="16"/>
        </w:rPr>
        <w:t xml:space="preserve"> (Argentina), September 29, 1999, para. 45.</w:t>
      </w:r>
    </w:p>
  </w:footnote>
  <w:footnote w:id="14">
    <w:p w:rsidR="00444A81" w:rsidRPr="00905BD7" w:rsidRDefault="00444A81" w:rsidP="00DE7D1B">
      <w:pPr>
        <w:pStyle w:val="FootnoteText"/>
        <w:pBdr>
          <w:top w:val="none" w:sz="0" w:space="0" w:color="auto"/>
          <w:left w:val="none" w:sz="0" w:space="0" w:color="auto"/>
          <w:bottom w:val="none" w:sz="0" w:space="0" w:color="auto"/>
          <w:right w:val="none" w:sz="0" w:space="0" w:color="auto"/>
          <w:bar w:val="none" w:sz="0" w:color="auto"/>
        </w:pBdr>
        <w:spacing w:after="120"/>
        <w:ind w:firstLine="360"/>
        <w:jc w:val="both"/>
        <w:rPr>
          <w:rFonts w:cs="Times New Roman"/>
          <w:color w:val="auto"/>
        </w:rPr>
      </w:pPr>
      <w:r w:rsidRPr="00905BD7">
        <w:rPr>
          <w:rStyle w:val="FootnoteReference"/>
          <w:rFonts w:ascii="Cambria" w:hAnsi="Cambria" w:cs="Cambria"/>
          <w:color w:val="auto"/>
          <w:sz w:val="16"/>
          <w:szCs w:val="16"/>
        </w:rPr>
        <w:footnoteRef/>
      </w:r>
      <w:r w:rsidRPr="00905BD7">
        <w:rPr>
          <w:rFonts w:ascii="Cambria" w:hAnsi="Cambria" w:cs="Cambria"/>
          <w:color w:val="auto"/>
          <w:sz w:val="16"/>
          <w:szCs w:val="16"/>
        </w:rPr>
        <w:t xml:space="preserve"> </w:t>
      </w:r>
      <w:r w:rsidRPr="00905BD7">
        <w:rPr>
          <w:rFonts w:ascii="Cambria" w:hAnsi="Cambria" w:cs="Cambria"/>
          <w:color w:val="auto"/>
          <w:sz w:val="16"/>
          <w:szCs w:val="16"/>
        </w:rPr>
        <w:tab/>
        <w:t xml:space="preserve">IACHR, Report No. 50/04, Admissibility, Petition 12.056, </w:t>
      </w:r>
      <w:r w:rsidRPr="00905BD7">
        <w:rPr>
          <w:rFonts w:ascii="Cambria" w:hAnsi="Cambria" w:cs="Cambria"/>
          <w:i/>
          <w:iCs/>
          <w:color w:val="auto"/>
          <w:sz w:val="16"/>
          <w:szCs w:val="16"/>
        </w:rPr>
        <w:t>Gabriel Oscar Jenkins,</w:t>
      </w:r>
      <w:r w:rsidRPr="00905BD7">
        <w:rPr>
          <w:rFonts w:ascii="Cambria" w:hAnsi="Cambria" w:cs="Cambria"/>
          <w:color w:val="auto"/>
          <w:sz w:val="16"/>
          <w:szCs w:val="16"/>
        </w:rPr>
        <w:t xml:space="preserve"> October 13, 2004, para. 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BF8" w:rsidRDefault="00FE4B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A81" w:rsidRDefault="009A5052" w:rsidP="00A50FCF">
    <w:pPr>
      <w:pStyle w:val="Header"/>
      <w:tabs>
        <w:tab w:val="clear" w:pos="4320"/>
        <w:tab w:val="clear" w:pos="8640"/>
      </w:tabs>
      <w:jc w:val="center"/>
      <w:rPr>
        <w:noProof/>
        <w:sz w:val="22"/>
        <w:szCs w:val="22"/>
      </w:rPr>
    </w:pPr>
    <w:r>
      <w:rPr>
        <w:noProof/>
        <w:sz w:val="22"/>
        <w:szCs w:val="22"/>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7" type="#_x0000_t75" style="width:153.4pt;height:8.15pt;visibility:visible">
          <v:imagedata r:id="rId1" o:title=""/>
        </v:shape>
      </w:pict>
    </w:r>
  </w:p>
  <w:p w:rsidR="00444A81" w:rsidRDefault="008D1750" w:rsidP="00A50FCF">
    <w:pPr>
      <w:pStyle w:val="Header"/>
      <w:tabs>
        <w:tab w:val="clear" w:pos="4320"/>
        <w:tab w:val="clear" w:pos="8640"/>
      </w:tabs>
      <w:jc w:val="center"/>
      <w:rPr>
        <w:noProof/>
        <w:sz w:val="22"/>
        <w:szCs w:val="22"/>
      </w:rPr>
    </w:pPr>
    <w:r>
      <w:rPr>
        <w:noProof/>
        <w:sz w:val="22"/>
        <w:szCs w:val="22"/>
      </w:rPr>
      <w:pict>
        <v:rect id="_x0000_i1028" style="width:0;height:1.5pt" o:hralign="center" o:hrstd="t" o:hr="t" fillcolor="#a0a0a0" stroked="f">
          <v:imagedata r:id="rId2" o:title=""/>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BF8" w:rsidRDefault="00FE4B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A81" w:rsidRDefault="009A5052" w:rsidP="00A50FCF">
    <w:pPr>
      <w:pStyle w:val="Header"/>
      <w:tabs>
        <w:tab w:val="clear" w:pos="4320"/>
        <w:tab w:val="clear" w:pos="8640"/>
      </w:tabs>
      <w:jc w:val="center"/>
      <w:rPr>
        <w:noProof/>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i1029" type="#_x0000_t75" style="width:172.8pt;height:9.4pt;visibility:visible">
          <v:imagedata r:id="rId1" o:title=""/>
        </v:shape>
      </w:pict>
    </w:r>
  </w:p>
  <w:p w:rsidR="00444A81" w:rsidRDefault="008D1750" w:rsidP="00A50FCF">
    <w:pPr>
      <w:pStyle w:val="Header"/>
      <w:tabs>
        <w:tab w:val="clear" w:pos="4320"/>
        <w:tab w:val="clear" w:pos="8640"/>
      </w:tabs>
      <w:jc w:val="center"/>
      <w:rPr>
        <w:noProof/>
        <w:sz w:val="22"/>
        <w:szCs w:val="22"/>
      </w:rPr>
    </w:pPr>
    <w:r>
      <w:rPr>
        <w:noProof/>
        <w:sz w:val="22"/>
        <w:szCs w:val="22"/>
      </w:rPr>
      <w:pict>
        <v:rect id="_x0000_i1030" style="width:0;height:1.5pt" o:hralign="center" o:hrstd="t" o:hr="t" fillcolor="#a0a0a0" stroked="f">
          <v:imagedata r:id="rId2" o:titl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b/>
        <w:bCs/>
        <w:color w:val="000000"/>
        <w:position w:val="0"/>
        <w:sz w:val="22"/>
        <w:szCs w:val="22"/>
        <w:u w:val="single"/>
      </w:rPr>
    </w:lvl>
    <w:lvl w:ilvl="1">
      <w:start w:val="1"/>
      <w:numFmt w:val="decimal"/>
      <w:lvlText w:val="%1.%2."/>
      <w:lvlJc w:val="left"/>
      <w:pPr>
        <w:tabs>
          <w:tab w:val="num" w:pos="720"/>
        </w:tabs>
        <w:ind w:left="720" w:hanging="360"/>
      </w:pPr>
      <w:rPr>
        <w:rFonts w:ascii="Trebuchet MS" w:eastAsia="Times New Roman" w:hAnsi="Trebuchet MS"/>
        <w:b/>
        <w:bCs/>
        <w:color w:val="000000"/>
        <w:position w:val="0"/>
        <w:sz w:val="22"/>
        <w:szCs w:val="22"/>
        <w:u w:val="single"/>
      </w:rPr>
    </w:lvl>
    <w:lvl w:ilvl="2">
      <w:start w:val="1"/>
      <w:numFmt w:val="decimal"/>
      <w:lvlText w:val="%1.%2.%3."/>
      <w:lvlJc w:val="left"/>
      <w:pPr>
        <w:tabs>
          <w:tab w:val="num" w:pos="1020"/>
        </w:tabs>
        <w:ind w:left="1020" w:hanging="660"/>
      </w:pPr>
      <w:rPr>
        <w:rFonts w:ascii="Calibri" w:eastAsia="Times New Roman" w:hAnsi="Calibri"/>
        <w:b/>
        <w:bCs/>
        <w:color w:val="000000"/>
        <w:position w:val="0"/>
        <w:sz w:val="22"/>
        <w:szCs w:val="22"/>
        <w:u w:val="single"/>
      </w:rPr>
    </w:lvl>
    <w:lvl w:ilvl="3">
      <w:start w:val="1"/>
      <w:numFmt w:val="decimal"/>
      <w:lvlText w:val="%1.%2.%3.%4."/>
      <w:lvlJc w:val="left"/>
      <w:pPr>
        <w:tabs>
          <w:tab w:val="num" w:pos="1020"/>
        </w:tabs>
        <w:ind w:left="1020" w:hanging="660"/>
      </w:pPr>
      <w:rPr>
        <w:rFonts w:ascii="Calibri" w:eastAsia="Times New Roman" w:hAnsi="Calibri"/>
        <w:b/>
        <w:bCs/>
        <w:color w:val="000000"/>
        <w:position w:val="0"/>
        <w:sz w:val="22"/>
        <w:szCs w:val="22"/>
        <w:u w:val="single"/>
      </w:rPr>
    </w:lvl>
    <w:lvl w:ilvl="4">
      <w:start w:val="1"/>
      <w:numFmt w:val="decimal"/>
      <w:lvlText w:val="%1.%2.%3.%4.%5."/>
      <w:lvlJc w:val="left"/>
      <w:pPr>
        <w:tabs>
          <w:tab w:val="num" w:pos="1350"/>
        </w:tabs>
        <w:ind w:left="1350" w:hanging="990"/>
      </w:pPr>
      <w:rPr>
        <w:rFonts w:ascii="Calibri" w:eastAsia="Times New Roman" w:hAnsi="Calibri"/>
        <w:b/>
        <w:bCs/>
        <w:color w:val="000000"/>
        <w:position w:val="0"/>
        <w:sz w:val="22"/>
        <w:szCs w:val="22"/>
        <w:u w:val="single"/>
      </w:rPr>
    </w:lvl>
    <w:lvl w:ilvl="5">
      <w:start w:val="1"/>
      <w:numFmt w:val="decimal"/>
      <w:lvlText w:val="%1.%2.%3.%4.%5.%6."/>
      <w:lvlJc w:val="left"/>
      <w:pPr>
        <w:tabs>
          <w:tab w:val="num" w:pos="1350"/>
        </w:tabs>
        <w:ind w:left="1350" w:hanging="990"/>
      </w:pPr>
      <w:rPr>
        <w:rFonts w:ascii="Calibri" w:eastAsia="Times New Roman" w:hAnsi="Calibri"/>
        <w:b/>
        <w:bCs/>
        <w:color w:val="000000"/>
        <w:position w:val="0"/>
        <w:sz w:val="22"/>
        <w:szCs w:val="22"/>
        <w:u w:val="single"/>
      </w:rPr>
    </w:lvl>
    <w:lvl w:ilvl="6">
      <w:start w:val="1"/>
      <w:numFmt w:val="decimal"/>
      <w:lvlText w:val="%1.%2.%3.%4.%5.%6.%7."/>
      <w:lvlJc w:val="left"/>
      <w:pPr>
        <w:tabs>
          <w:tab w:val="num" w:pos="1680"/>
        </w:tabs>
        <w:ind w:left="1680" w:hanging="1320"/>
      </w:pPr>
      <w:rPr>
        <w:rFonts w:ascii="Calibri" w:eastAsia="Times New Roman" w:hAnsi="Calibri"/>
        <w:b/>
        <w:bCs/>
        <w:color w:val="000000"/>
        <w:position w:val="0"/>
        <w:sz w:val="22"/>
        <w:szCs w:val="22"/>
        <w:u w:val="single"/>
      </w:rPr>
    </w:lvl>
    <w:lvl w:ilvl="7">
      <w:start w:val="1"/>
      <w:numFmt w:val="decimal"/>
      <w:lvlText w:val="%1.%2.%3.%4.%5.%6.%7.%8."/>
      <w:lvlJc w:val="left"/>
      <w:pPr>
        <w:tabs>
          <w:tab w:val="num" w:pos="1680"/>
        </w:tabs>
        <w:ind w:left="1680" w:hanging="1320"/>
      </w:pPr>
      <w:rPr>
        <w:rFonts w:ascii="Calibri" w:eastAsia="Times New Roman" w:hAnsi="Calibri"/>
        <w:b/>
        <w:bCs/>
        <w:color w:val="000000"/>
        <w:position w:val="0"/>
        <w:sz w:val="22"/>
        <w:szCs w:val="22"/>
        <w:u w:val="single"/>
      </w:rPr>
    </w:lvl>
    <w:lvl w:ilvl="8">
      <w:start w:val="1"/>
      <w:numFmt w:val="decimal"/>
      <w:lvlText w:val="%1.%2.%3.%4.%5.%6.%7.%8.%9."/>
      <w:lvlJc w:val="left"/>
      <w:pPr>
        <w:tabs>
          <w:tab w:val="num" w:pos="2010"/>
        </w:tabs>
        <w:ind w:left="2010" w:hanging="1650"/>
      </w:pPr>
      <w:rPr>
        <w:rFonts w:ascii="Calibri" w:eastAsia="Times New Roman" w:hAnsi="Calibri"/>
        <w:b/>
        <w:bCs/>
        <w:color w:val="000000"/>
        <w:position w:val="0"/>
        <w:sz w:val="22"/>
        <w:szCs w:val="22"/>
        <w:u w:val="single"/>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color w:val="000000"/>
        <w:position w:val="0"/>
        <w:sz w:val="22"/>
        <w:szCs w:val="22"/>
      </w:rPr>
    </w:lvl>
  </w:abstractNum>
  <w:abstractNum w:abstractNumId="4">
    <w:nsid w:val="137E6ED1"/>
    <w:multiLevelType w:val="hybridMultilevel"/>
    <w:tmpl w:val="D4C2BE6A"/>
    <w:lvl w:ilvl="0" w:tplc="A1E2F8E6">
      <w:start w:val="1"/>
      <w:numFmt w:val="decimal"/>
      <w:lvlText w:val="%1."/>
      <w:lvlJc w:val="left"/>
      <w:pPr>
        <w:tabs>
          <w:tab w:val="num" w:pos="720"/>
        </w:tabs>
        <w:ind w:firstLine="720"/>
      </w:pPr>
      <w:rPr>
        <w:rFonts w:ascii="Cambria" w:hAnsi="Cambria" w:cs="Cambria" w:hint="default"/>
        <w:b w:val="0"/>
        <w:bCs w:val="0"/>
        <w:vanish w:val="0"/>
        <w:color w:val="auto"/>
        <w:sz w:val="20"/>
        <w:szCs w:val="2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olor w:val="000000"/>
        <w:position w:val="0"/>
        <w:sz w:val="22"/>
        <w:szCs w:val="22"/>
      </w:rPr>
    </w:lvl>
    <w:lvl w:ilvl="1">
      <w:start w:val="1"/>
      <w:numFmt w:val="lowerLetter"/>
      <w:lvlText w:val="%2."/>
      <w:lvlJc w:val="left"/>
      <w:pPr>
        <w:tabs>
          <w:tab w:val="num" w:pos="1440"/>
        </w:tabs>
        <w:ind w:left="1440" w:hanging="360"/>
      </w:pPr>
      <w:rPr>
        <w:rFonts w:ascii="Trebuchet MS" w:eastAsia="Times New Roman" w:hAnsi="Trebuchet M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690"/>
        </w:tabs>
        <w:ind w:left="69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6">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decimal"/>
      <w:lvlText w:val="%1.%2."/>
      <w:lvlJc w:val="left"/>
      <w:pPr>
        <w:tabs>
          <w:tab w:val="num" w:pos="690"/>
        </w:tabs>
        <w:ind w:left="690" w:hanging="330"/>
      </w:pPr>
      <w:rPr>
        <w:rFonts w:ascii="Calibri" w:eastAsia="Times New Roman" w:hAnsi="Calibri"/>
        <w:b/>
        <w:bCs/>
        <w:color w:val="000000"/>
        <w:position w:val="0"/>
        <w:sz w:val="22"/>
        <w:szCs w:val="22"/>
      </w:rPr>
    </w:lvl>
    <w:lvl w:ilvl="2">
      <w:start w:val="1"/>
      <w:numFmt w:val="decimal"/>
      <w:lvlText w:val="%1.%2.%3."/>
      <w:lvlJc w:val="left"/>
      <w:pPr>
        <w:tabs>
          <w:tab w:val="num" w:pos="1020"/>
        </w:tabs>
        <w:ind w:left="1020" w:hanging="660"/>
      </w:pPr>
      <w:rPr>
        <w:rFonts w:ascii="Calibri" w:eastAsia="Times New Roman" w:hAnsi="Calibri"/>
        <w:b/>
        <w:bCs/>
        <w:color w:val="000000"/>
        <w:position w:val="0"/>
        <w:sz w:val="22"/>
        <w:szCs w:val="22"/>
      </w:rPr>
    </w:lvl>
    <w:lvl w:ilvl="3">
      <w:start w:val="1"/>
      <w:numFmt w:val="decimal"/>
      <w:lvlText w:val="%1.%2.%3.%4."/>
      <w:lvlJc w:val="left"/>
      <w:pPr>
        <w:tabs>
          <w:tab w:val="num" w:pos="1020"/>
        </w:tabs>
        <w:ind w:left="1020" w:hanging="660"/>
      </w:pPr>
      <w:rPr>
        <w:rFonts w:ascii="Calibri" w:eastAsia="Times New Roman" w:hAnsi="Calibri"/>
        <w:b/>
        <w:bCs/>
        <w:color w:val="000000"/>
        <w:position w:val="0"/>
        <w:sz w:val="22"/>
        <w:szCs w:val="22"/>
      </w:rPr>
    </w:lvl>
    <w:lvl w:ilvl="4">
      <w:start w:val="1"/>
      <w:numFmt w:val="decimal"/>
      <w:lvlText w:val="%1.%2.%3.%4.%5."/>
      <w:lvlJc w:val="left"/>
      <w:pPr>
        <w:tabs>
          <w:tab w:val="num" w:pos="1350"/>
        </w:tabs>
        <w:ind w:left="1350" w:hanging="990"/>
      </w:pPr>
      <w:rPr>
        <w:rFonts w:ascii="Calibri" w:eastAsia="Times New Roman" w:hAnsi="Calibri"/>
        <w:b/>
        <w:bCs/>
        <w:color w:val="000000"/>
        <w:position w:val="0"/>
        <w:sz w:val="22"/>
        <w:szCs w:val="22"/>
      </w:rPr>
    </w:lvl>
    <w:lvl w:ilvl="5">
      <w:start w:val="1"/>
      <w:numFmt w:val="decimal"/>
      <w:lvlText w:val="%1.%2.%3.%4.%5.%6."/>
      <w:lvlJc w:val="left"/>
      <w:pPr>
        <w:tabs>
          <w:tab w:val="num" w:pos="1350"/>
        </w:tabs>
        <w:ind w:left="1350" w:hanging="990"/>
      </w:pPr>
      <w:rPr>
        <w:rFonts w:ascii="Calibri" w:eastAsia="Times New Roman" w:hAnsi="Calibri"/>
        <w:b/>
        <w:bCs/>
        <w:color w:val="000000"/>
        <w:position w:val="0"/>
        <w:sz w:val="22"/>
        <w:szCs w:val="22"/>
      </w:rPr>
    </w:lvl>
    <w:lvl w:ilvl="6">
      <w:start w:val="1"/>
      <w:numFmt w:val="decimal"/>
      <w:lvlText w:val="%1.%2.%3.%4.%5.%6.%7."/>
      <w:lvlJc w:val="left"/>
      <w:pPr>
        <w:tabs>
          <w:tab w:val="num" w:pos="1680"/>
        </w:tabs>
        <w:ind w:left="1680" w:hanging="1320"/>
      </w:pPr>
      <w:rPr>
        <w:rFonts w:ascii="Calibri" w:eastAsia="Times New Roman" w:hAnsi="Calibri"/>
        <w:b/>
        <w:bCs/>
        <w:color w:val="000000"/>
        <w:position w:val="0"/>
        <w:sz w:val="22"/>
        <w:szCs w:val="22"/>
      </w:rPr>
    </w:lvl>
    <w:lvl w:ilvl="7">
      <w:start w:val="1"/>
      <w:numFmt w:val="decimal"/>
      <w:lvlText w:val="%1.%2.%3.%4.%5.%6.%7.%8."/>
      <w:lvlJc w:val="left"/>
      <w:pPr>
        <w:tabs>
          <w:tab w:val="num" w:pos="1680"/>
        </w:tabs>
        <w:ind w:left="1680" w:hanging="1320"/>
      </w:pPr>
      <w:rPr>
        <w:rFonts w:ascii="Calibri" w:eastAsia="Times New Roman" w:hAnsi="Calibri"/>
        <w:b/>
        <w:bCs/>
        <w:color w:val="000000"/>
        <w:position w:val="0"/>
        <w:sz w:val="22"/>
        <w:szCs w:val="22"/>
      </w:rPr>
    </w:lvl>
    <w:lvl w:ilvl="8">
      <w:start w:val="1"/>
      <w:numFmt w:val="decimal"/>
      <w:lvlText w:val="%1.%2.%3.%4.%5.%6.%7.%8.%9."/>
      <w:lvlJc w:val="left"/>
      <w:pPr>
        <w:tabs>
          <w:tab w:val="num" w:pos="2010"/>
        </w:tabs>
        <w:ind w:left="2010" w:hanging="1650"/>
      </w:pPr>
      <w:rPr>
        <w:rFonts w:ascii="Calibri" w:eastAsia="Times New Roman" w:hAnsi="Calibri"/>
        <w:b/>
        <w:bCs/>
        <w:color w:val="000000"/>
        <w:position w:val="0"/>
        <w:sz w:val="22"/>
        <w:szCs w:val="22"/>
      </w:rPr>
    </w:lvl>
  </w:abstractNum>
  <w:abstractNum w:abstractNumId="7">
    <w:nsid w:val="1DC53E12"/>
    <w:multiLevelType w:val="hybridMultilevel"/>
    <w:tmpl w:val="392CD9A6"/>
    <w:lvl w:ilvl="0" w:tplc="361C4BA4">
      <w:start w:val="1"/>
      <w:numFmt w:val="decimal"/>
      <w:lvlText w:val="%1."/>
      <w:lvlJc w:val="left"/>
      <w:pPr>
        <w:tabs>
          <w:tab w:val="num" w:pos="3600"/>
        </w:tabs>
        <w:ind w:left="3600" w:hanging="720"/>
      </w:pPr>
      <w:rPr>
        <w:rFonts w:hint="default"/>
        <w:vanish w:val="0"/>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start w:val="1"/>
      <w:numFmt w:val="lowerLetter"/>
      <w:lvlText w:val="%5."/>
      <w:lvlJc w:val="left"/>
      <w:pPr>
        <w:tabs>
          <w:tab w:val="num" w:pos="6120"/>
        </w:tabs>
        <w:ind w:left="6120" w:hanging="360"/>
      </w:pPr>
    </w:lvl>
    <w:lvl w:ilvl="5" w:tplc="0409001B">
      <w:start w:val="1"/>
      <w:numFmt w:val="lowerRoman"/>
      <w:lvlText w:val="%6."/>
      <w:lvlJc w:val="right"/>
      <w:pPr>
        <w:tabs>
          <w:tab w:val="num" w:pos="6840"/>
        </w:tabs>
        <w:ind w:left="6840" w:hanging="180"/>
      </w:pPr>
    </w:lvl>
    <w:lvl w:ilvl="6" w:tplc="0409000F">
      <w:start w:val="1"/>
      <w:numFmt w:val="decimal"/>
      <w:lvlText w:val="%7."/>
      <w:lvlJc w:val="left"/>
      <w:pPr>
        <w:tabs>
          <w:tab w:val="num" w:pos="7560"/>
        </w:tabs>
        <w:ind w:left="7560" w:hanging="360"/>
      </w:pPr>
    </w:lvl>
    <w:lvl w:ilvl="7" w:tplc="04090019">
      <w:start w:val="1"/>
      <w:numFmt w:val="lowerLetter"/>
      <w:lvlText w:val="%8."/>
      <w:lvlJc w:val="left"/>
      <w:pPr>
        <w:tabs>
          <w:tab w:val="num" w:pos="8280"/>
        </w:tabs>
        <w:ind w:left="8280" w:hanging="360"/>
      </w:pPr>
    </w:lvl>
    <w:lvl w:ilvl="8" w:tplc="0409001B">
      <w:start w:val="1"/>
      <w:numFmt w:val="lowerRoman"/>
      <w:lvlText w:val="%9."/>
      <w:lvlJc w:val="right"/>
      <w:pPr>
        <w:tabs>
          <w:tab w:val="num" w:pos="9000"/>
        </w:tabs>
        <w:ind w:left="9000" w:hanging="180"/>
      </w:p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2">
    <w:nsid w:val="1F9B2B89"/>
    <w:multiLevelType w:val="hybridMultilevel"/>
    <w:tmpl w:val="F02C6FAC"/>
    <w:lvl w:ilvl="0" w:tplc="7384031E">
      <w:start w:val="1"/>
      <w:numFmt w:val="decimal"/>
      <w:lvlText w:val="%1."/>
      <w:lvlJc w:val="left"/>
      <w:pPr>
        <w:tabs>
          <w:tab w:val="num" w:pos="1440"/>
        </w:tabs>
        <w:ind w:left="1440" w:hanging="360"/>
      </w:pPr>
      <w:rPr>
        <w:vanish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21">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2">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olor w:val="000000"/>
        <w:position w:val="0"/>
        <w:sz w:val="22"/>
        <w:szCs w:val="22"/>
      </w:rPr>
    </w:lvl>
    <w:lvl w:ilvl="1">
      <w:start w:val="1"/>
      <w:numFmt w:val="lowerLetter"/>
      <w:lvlText w:val="%2."/>
      <w:lvlJc w:val="left"/>
      <w:pPr>
        <w:tabs>
          <w:tab w:val="num" w:pos="1440"/>
        </w:tabs>
        <w:ind w:left="1440" w:hanging="360"/>
      </w:pPr>
      <w:rPr>
        <w:rFonts w:ascii="Trebuchet MS" w:eastAsia="Times New Roman" w:hAnsi="Trebuchet M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3">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4">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5">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color w:val="000000"/>
        <w:position w:val="0"/>
        <w:sz w:val="22"/>
        <w:szCs w:val="22"/>
      </w:rPr>
    </w:lvl>
  </w:abstractNum>
  <w:abstractNum w:abstractNumId="26">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27">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8">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9">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bullet"/>
      <w:lvlText w:val="•"/>
      <w:lvlJc w:val="left"/>
      <w:pPr>
        <w:tabs>
          <w:tab w:val="num" w:pos="1740"/>
        </w:tabs>
        <w:ind w:left="1740" w:hanging="66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1">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2">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u w:val="single"/>
      </w:rPr>
    </w:lvl>
    <w:lvl w:ilvl="1">
      <w:start w:val="1"/>
      <w:numFmt w:val="lowerLetter"/>
      <w:lvlText w:val="%2."/>
      <w:lvlJc w:val="left"/>
      <w:pPr>
        <w:tabs>
          <w:tab w:val="num" w:pos="1770"/>
        </w:tabs>
        <w:ind w:left="177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495"/>
        </w:tabs>
        <w:ind w:left="2495" w:hanging="271"/>
      </w:pPr>
      <w:rPr>
        <w:rFonts w:ascii="Calibri" w:eastAsia="Times New Roman" w:hAnsi="Calibri"/>
        <w:b/>
        <w:bCs/>
        <w:color w:val="000000"/>
        <w:position w:val="0"/>
        <w:sz w:val="22"/>
        <w:szCs w:val="22"/>
        <w:u w:val="single"/>
      </w:rPr>
    </w:lvl>
    <w:lvl w:ilvl="3">
      <w:start w:val="1"/>
      <w:numFmt w:val="decimal"/>
      <w:lvlText w:val="%4."/>
      <w:lvlJc w:val="left"/>
      <w:pPr>
        <w:tabs>
          <w:tab w:val="num" w:pos="3210"/>
        </w:tabs>
        <w:ind w:left="3210" w:hanging="330"/>
      </w:pPr>
      <w:rPr>
        <w:rFonts w:ascii="Calibri" w:eastAsia="Times New Roman" w:hAnsi="Calibri"/>
        <w:b/>
        <w:bCs/>
        <w:color w:val="000000"/>
        <w:position w:val="0"/>
        <w:sz w:val="22"/>
        <w:szCs w:val="22"/>
        <w:u w:val="single"/>
      </w:rPr>
    </w:lvl>
    <w:lvl w:ilvl="4">
      <w:start w:val="1"/>
      <w:numFmt w:val="lowerLetter"/>
      <w:lvlText w:val="%5."/>
      <w:lvlJc w:val="left"/>
      <w:pPr>
        <w:tabs>
          <w:tab w:val="num" w:pos="3930"/>
        </w:tabs>
        <w:ind w:left="393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655"/>
        </w:tabs>
        <w:ind w:left="465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370"/>
        </w:tabs>
        <w:ind w:left="537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6090"/>
        </w:tabs>
        <w:ind w:left="609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815"/>
        </w:tabs>
        <w:ind w:left="6815" w:hanging="271"/>
      </w:pPr>
      <w:rPr>
        <w:rFonts w:ascii="Calibri" w:eastAsia="Times New Roman" w:hAnsi="Calibri"/>
        <w:b/>
        <w:bCs/>
        <w:color w:val="000000"/>
        <w:position w:val="0"/>
        <w:sz w:val="22"/>
        <w:szCs w:val="22"/>
        <w:u w:val="single"/>
      </w:rPr>
    </w:lvl>
  </w:abstractNum>
  <w:abstractNum w:abstractNumId="33">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u w:val="single"/>
      </w:rPr>
    </w:lvl>
    <w:lvl w:ilvl="3">
      <w:start w:val="1"/>
      <w:numFmt w:val="decimal"/>
      <w:lvlText w:val="%4."/>
      <w:lvlJc w:val="left"/>
      <w:pPr>
        <w:tabs>
          <w:tab w:val="num" w:pos="720"/>
        </w:tabs>
        <w:ind w:left="720" w:hanging="360"/>
      </w:pPr>
      <w:rPr>
        <w:rFonts w:ascii="Trebuchet MS" w:eastAsia="Times New Roman" w:hAnsi="Trebuchet MS"/>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u w:val="single"/>
      </w:rPr>
    </w:lvl>
  </w:abstractNum>
  <w:abstractNum w:abstractNumId="34">
    <w:nsid w:val="4E4161E8"/>
    <w:multiLevelType w:val="hybridMultilevel"/>
    <w:tmpl w:val="3F341F5C"/>
    <w:lvl w:ilvl="0" w:tplc="76C4B472">
      <w:start w:val="1"/>
      <w:numFmt w:val="upperLetter"/>
      <w:pStyle w:val="Heading2"/>
      <w:lvlText w:val="%1."/>
      <w:lvlJc w:val="left"/>
      <w:pPr>
        <w:ind w:left="2880" w:hanging="720"/>
      </w:pPr>
      <w:rPr>
        <w:rFonts w:hint="default"/>
        <w:vanish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5">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6">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7">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38">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39">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u w:val="single"/>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u w:val="single"/>
      </w:rPr>
    </w:lvl>
  </w:abstractNum>
  <w:abstractNum w:abstractNumId="4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41">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2">
    <w:nsid w:val="631A35F7"/>
    <w:multiLevelType w:val="hybridMultilevel"/>
    <w:tmpl w:val="F6302F26"/>
    <w:lvl w:ilvl="0" w:tplc="36F4A878">
      <w:start w:val="1"/>
      <w:numFmt w:val="upperRoman"/>
      <w:lvlText w:val="%1."/>
      <w:lvlJc w:val="left"/>
      <w:pPr>
        <w:tabs>
          <w:tab w:val="num" w:pos="1440"/>
        </w:tabs>
        <w:ind w:left="1440" w:hanging="720"/>
      </w:pPr>
      <w:rPr>
        <w:rFonts w:hint="default"/>
        <w:vanish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3">
    <w:nsid w:val="65D739ED"/>
    <w:multiLevelType w:val="hybridMultilevel"/>
    <w:tmpl w:val="129C7026"/>
    <w:lvl w:ilvl="0" w:tplc="DF101D78">
      <w:start w:val="1"/>
      <w:numFmt w:val="lowerLetter"/>
      <w:lvlText w:val="%1)"/>
      <w:lvlJc w:val="left"/>
      <w:pPr>
        <w:ind w:left="1080" w:hanging="360"/>
      </w:pPr>
      <w:rPr>
        <w:rFonts w:hint="default"/>
        <w:vanish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45">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b/>
        <w:bCs/>
        <w:color w:val="000000"/>
        <w:position w:val="0"/>
        <w:sz w:val="22"/>
        <w:szCs w:val="22"/>
        <w:u w:val="single"/>
      </w:rPr>
    </w:lvl>
    <w:lvl w:ilvl="1">
      <w:start w:val="2"/>
      <w:numFmt w:val="decimal"/>
      <w:lvlText w:val="%1.%2."/>
      <w:lvlJc w:val="left"/>
      <w:pPr>
        <w:tabs>
          <w:tab w:val="num" w:pos="720"/>
        </w:tabs>
        <w:ind w:left="720" w:hanging="360"/>
      </w:pPr>
      <w:rPr>
        <w:rFonts w:ascii="Trebuchet MS" w:eastAsia="Times New Roman" w:hAnsi="Trebuchet MS"/>
        <w:b/>
        <w:bCs/>
        <w:color w:val="000000"/>
        <w:position w:val="0"/>
        <w:sz w:val="22"/>
        <w:szCs w:val="22"/>
        <w:u w:val="single"/>
      </w:rPr>
    </w:lvl>
    <w:lvl w:ilvl="2">
      <w:start w:val="1"/>
      <w:numFmt w:val="decimal"/>
      <w:lvlText w:val="%1.%2.%3."/>
      <w:lvlJc w:val="left"/>
      <w:pPr>
        <w:tabs>
          <w:tab w:val="num" w:pos="1020"/>
        </w:tabs>
        <w:ind w:left="1020" w:hanging="660"/>
      </w:pPr>
      <w:rPr>
        <w:rFonts w:ascii="Calibri" w:eastAsia="Times New Roman" w:hAnsi="Calibri"/>
        <w:b/>
        <w:bCs/>
        <w:color w:val="000000"/>
        <w:position w:val="0"/>
        <w:sz w:val="22"/>
        <w:szCs w:val="22"/>
        <w:u w:val="single"/>
      </w:rPr>
    </w:lvl>
    <w:lvl w:ilvl="3">
      <w:start w:val="1"/>
      <w:numFmt w:val="decimal"/>
      <w:lvlText w:val="%1.%2.%3.%4."/>
      <w:lvlJc w:val="left"/>
      <w:pPr>
        <w:tabs>
          <w:tab w:val="num" w:pos="1020"/>
        </w:tabs>
        <w:ind w:left="1020" w:hanging="660"/>
      </w:pPr>
      <w:rPr>
        <w:rFonts w:ascii="Calibri" w:eastAsia="Times New Roman" w:hAnsi="Calibri"/>
        <w:b/>
        <w:bCs/>
        <w:color w:val="000000"/>
        <w:position w:val="0"/>
        <w:sz w:val="22"/>
        <w:szCs w:val="22"/>
        <w:u w:val="single"/>
      </w:rPr>
    </w:lvl>
    <w:lvl w:ilvl="4">
      <w:start w:val="1"/>
      <w:numFmt w:val="decimal"/>
      <w:lvlText w:val="%1.%2.%3.%4.%5."/>
      <w:lvlJc w:val="left"/>
      <w:pPr>
        <w:tabs>
          <w:tab w:val="num" w:pos="1350"/>
        </w:tabs>
        <w:ind w:left="1350" w:hanging="990"/>
      </w:pPr>
      <w:rPr>
        <w:rFonts w:ascii="Calibri" w:eastAsia="Times New Roman" w:hAnsi="Calibri"/>
        <w:b/>
        <w:bCs/>
        <w:color w:val="000000"/>
        <w:position w:val="0"/>
        <w:sz w:val="22"/>
        <w:szCs w:val="22"/>
        <w:u w:val="single"/>
      </w:rPr>
    </w:lvl>
    <w:lvl w:ilvl="5">
      <w:start w:val="1"/>
      <w:numFmt w:val="decimal"/>
      <w:lvlText w:val="%1.%2.%3.%4.%5.%6."/>
      <w:lvlJc w:val="left"/>
      <w:pPr>
        <w:tabs>
          <w:tab w:val="num" w:pos="1350"/>
        </w:tabs>
        <w:ind w:left="1350" w:hanging="990"/>
      </w:pPr>
      <w:rPr>
        <w:rFonts w:ascii="Calibri" w:eastAsia="Times New Roman" w:hAnsi="Calibri"/>
        <w:b/>
        <w:bCs/>
        <w:color w:val="000000"/>
        <w:position w:val="0"/>
        <w:sz w:val="22"/>
        <w:szCs w:val="22"/>
        <w:u w:val="single"/>
      </w:rPr>
    </w:lvl>
    <w:lvl w:ilvl="6">
      <w:start w:val="1"/>
      <w:numFmt w:val="decimal"/>
      <w:lvlText w:val="%1.%2.%3.%4.%5.%6.%7."/>
      <w:lvlJc w:val="left"/>
      <w:pPr>
        <w:tabs>
          <w:tab w:val="num" w:pos="1680"/>
        </w:tabs>
        <w:ind w:left="1680" w:hanging="1320"/>
      </w:pPr>
      <w:rPr>
        <w:rFonts w:ascii="Calibri" w:eastAsia="Times New Roman" w:hAnsi="Calibri"/>
        <w:b/>
        <w:bCs/>
        <w:color w:val="000000"/>
        <w:position w:val="0"/>
        <w:sz w:val="22"/>
        <w:szCs w:val="22"/>
        <w:u w:val="single"/>
      </w:rPr>
    </w:lvl>
    <w:lvl w:ilvl="7">
      <w:start w:val="1"/>
      <w:numFmt w:val="decimal"/>
      <w:lvlText w:val="%1.%2.%3.%4.%5.%6.%7.%8."/>
      <w:lvlJc w:val="left"/>
      <w:pPr>
        <w:tabs>
          <w:tab w:val="num" w:pos="1680"/>
        </w:tabs>
        <w:ind w:left="1680" w:hanging="1320"/>
      </w:pPr>
      <w:rPr>
        <w:rFonts w:ascii="Calibri" w:eastAsia="Times New Roman" w:hAnsi="Calibri"/>
        <w:b/>
        <w:bCs/>
        <w:color w:val="000000"/>
        <w:position w:val="0"/>
        <w:sz w:val="22"/>
        <w:szCs w:val="22"/>
        <w:u w:val="single"/>
      </w:rPr>
    </w:lvl>
    <w:lvl w:ilvl="8">
      <w:start w:val="1"/>
      <w:numFmt w:val="decimal"/>
      <w:lvlText w:val="%1.%2.%3.%4.%5.%6.%7.%8.%9."/>
      <w:lvlJc w:val="left"/>
      <w:pPr>
        <w:tabs>
          <w:tab w:val="num" w:pos="2010"/>
        </w:tabs>
        <w:ind w:left="2010" w:hanging="1650"/>
      </w:pPr>
      <w:rPr>
        <w:rFonts w:ascii="Calibri" w:eastAsia="Times New Roman" w:hAnsi="Calibri"/>
        <w:b/>
        <w:bCs/>
        <w:color w:val="000000"/>
        <w:position w:val="0"/>
        <w:sz w:val="22"/>
        <w:szCs w:val="22"/>
        <w:u w:val="single"/>
      </w:rPr>
    </w:lvl>
  </w:abstractNum>
  <w:abstractNum w:abstractNumId="4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690"/>
        </w:tabs>
        <w:ind w:left="69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7">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8">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9">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bC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b/>
        <w:bCs/>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b/>
        <w:bCs/>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b/>
        <w:bCs/>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b/>
        <w:bCs/>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b/>
        <w:bCs/>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b/>
        <w:bCs/>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b/>
        <w:bCs/>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b/>
        <w:bCs/>
        <w:color w:val="000000"/>
        <w:position w:val="0"/>
        <w:sz w:val="22"/>
        <w:szCs w:val="22"/>
      </w:rPr>
    </w:lvl>
  </w:abstractNum>
  <w:abstractNum w:abstractNumId="5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1">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2">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3">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4">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u w:val="single"/>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u w:val="single"/>
      </w:rPr>
    </w:lvl>
  </w:abstractNum>
  <w:num w:numId="1">
    <w:abstractNumId w:val="3"/>
  </w:num>
  <w:num w:numId="2">
    <w:abstractNumId w:val="49"/>
  </w:num>
  <w:num w:numId="3">
    <w:abstractNumId w:val="20"/>
  </w:num>
  <w:num w:numId="4">
    <w:abstractNumId w:val="44"/>
  </w:num>
  <w:num w:numId="5">
    <w:abstractNumId w:val="25"/>
  </w:num>
  <w:num w:numId="6">
    <w:abstractNumId w:val="5"/>
  </w:num>
  <w:num w:numId="7">
    <w:abstractNumId w:val="17"/>
  </w:num>
  <w:num w:numId="8">
    <w:abstractNumId w:val="38"/>
  </w:num>
  <w:num w:numId="9">
    <w:abstractNumId w:val="0"/>
  </w:num>
  <w:num w:numId="10">
    <w:abstractNumId w:val="32"/>
  </w:num>
  <w:num w:numId="11">
    <w:abstractNumId w:val="33"/>
  </w:num>
  <w:num w:numId="12">
    <w:abstractNumId w:val="39"/>
  </w:num>
  <w:num w:numId="13">
    <w:abstractNumId w:val="1"/>
  </w:num>
  <w:num w:numId="14">
    <w:abstractNumId w:val="2"/>
  </w:num>
  <w:num w:numId="15">
    <w:abstractNumId w:val="6"/>
  </w:num>
  <w:num w:numId="16">
    <w:abstractNumId w:val="8"/>
  </w:num>
  <w:num w:numId="17">
    <w:abstractNumId w:val="9"/>
  </w:num>
  <w:num w:numId="18">
    <w:abstractNumId w:val="10"/>
  </w:num>
  <w:num w:numId="19">
    <w:abstractNumId w:val="11"/>
  </w:num>
  <w:num w:numId="20">
    <w:abstractNumId w:val="13"/>
  </w:num>
  <w:num w:numId="21">
    <w:abstractNumId w:val="14"/>
  </w:num>
  <w:num w:numId="22">
    <w:abstractNumId w:val="15"/>
  </w:num>
  <w:num w:numId="23">
    <w:abstractNumId w:val="16"/>
  </w:num>
  <w:num w:numId="24">
    <w:abstractNumId w:val="18"/>
  </w:num>
  <w:num w:numId="25">
    <w:abstractNumId w:val="19"/>
  </w:num>
  <w:num w:numId="26">
    <w:abstractNumId w:val="21"/>
  </w:num>
  <w:num w:numId="27">
    <w:abstractNumId w:val="22"/>
  </w:num>
  <w:num w:numId="28">
    <w:abstractNumId w:val="23"/>
  </w:num>
  <w:num w:numId="29">
    <w:abstractNumId w:val="24"/>
  </w:num>
  <w:num w:numId="30">
    <w:abstractNumId w:val="26"/>
  </w:num>
  <w:num w:numId="31">
    <w:abstractNumId w:val="27"/>
  </w:num>
  <w:num w:numId="32">
    <w:abstractNumId w:val="28"/>
  </w:num>
  <w:num w:numId="33">
    <w:abstractNumId w:val="29"/>
  </w:num>
  <w:num w:numId="34">
    <w:abstractNumId w:val="30"/>
  </w:num>
  <w:num w:numId="35">
    <w:abstractNumId w:val="31"/>
  </w:num>
  <w:num w:numId="36">
    <w:abstractNumId w:val="35"/>
  </w:num>
  <w:num w:numId="37">
    <w:abstractNumId w:val="36"/>
  </w:num>
  <w:num w:numId="38">
    <w:abstractNumId w:val="41"/>
  </w:num>
  <w:num w:numId="39">
    <w:abstractNumId w:val="45"/>
  </w:num>
  <w:num w:numId="40">
    <w:abstractNumId w:val="46"/>
  </w:num>
  <w:num w:numId="41">
    <w:abstractNumId w:val="47"/>
  </w:num>
  <w:num w:numId="42">
    <w:abstractNumId w:val="48"/>
  </w:num>
  <w:num w:numId="43">
    <w:abstractNumId w:val="50"/>
  </w:num>
  <w:num w:numId="44">
    <w:abstractNumId w:val="51"/>
  </w:num>
  <w:num w:numId="45">
    <w:abstractNumId w:val="52"/>
  </w:num>
  <w:num w:numId="46">
    <w:abstractNumId w:val="53"/>
  </w:num>
  <w:num w:numId="47">
    <w:abstractNumId w:val="54"/>
  </w:num>
  <w:num w:numId="48">
    <w:abstractNumId w:val="37"/>
  </w:num>
  <w:num w:numId="49">
    <w:abstractNumId w:val="40"/>
  </w:num>
  <w:num w:numId="50">
    <w:abstractNumId w:val="12"/>
  </w:num>
  <w:num w:numId="51">
    <w:abstractNumId w:val="42"/>
  </w:num>
  <w:num w:numId="52">
    <w:abstractNumId w:val="7"/>
  </w:num>
  <w:num w:numId="53">
    <w:abstractNumId w:val="4"/>
  </w:num>
  <w:num w:numId="54">
    <w:abstractNumId w:val="43"/>
  </w:num>
  <w:num w:numId="55">
    <w:abstractNumId w:val="34"/>
  </w:num>
  <w:num w:numId="56">
    <w:abstractNumId w:val="34"/>
    <w:lvlOverride w:ilvl="0">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D5C"/>
    <w:rsid w:val="0000036F"/>
    <w:rsid w:val="00000CDA"/>
    <w:rsid w:val="00005446"/>
    <w:rsid w:val="00006E1F"/>
    <w:rsid w:val="000070D7"/>
    <w:rsid w:val="000155B4"/>
    <w:rsid w:val="00015D66"/>
    <w:rsid w:val="0001788C"/>
    <w:rsid w:val="00040C3A"/>
    <w:rsid w:val="00053D62"/>
    <w:rsid w:val="00056374"/>
    <w:rsid w:val="000716C5"/>
    <w:rsid w:val="00074AE1"/>
    <w:rsid w:val="0007516D"/>
    <w:rsid w:val="00075E23"/>
    <w:rsid w:val="00081F2E"/>
    <w:rsid w:val="00092443"/>
    <w:rsid w:val="0009344A"/>
    <w:rsid w:val="000A344F"/>
    <w:rsid w:val="000A392E"/>
    <w:rsid w:val="000A575F"/>
    <w:rsid w:val="000A5D0E"/>
    <w:rsid w:val="000D10DB"/>
    <w:rsid w:val="000E5EB5"/>
    <w:rsid w:val="000F35ED"/>
    <w:rsid w:val="000F5D86"/>
    <w:rsid w:val="00107131"/>
    <w:rsid w:val="0010736F"/>
    <w:rsid w:val="00113F73"/>
    <w:rsid w:val="00116F9E"/>
    <w:rsid w:val="00121BE0"/>
    <w:rsid w:val="00121CC2"/>
    <w:rsid w:val="00131F33"/>
    <w:rsid w:val="00133EE5"/>
    <w:rsid w:val="00145F8A"/>
    <w:rsid w:val="001464EA"/>
    <w:rsid w:val="00151C8D"/>
    <w:rsid w:val="00167A34"/>
    <w:rsid w:val="001817CF"/>
    <w:rsid w:val="00193D65"/>
    <w:rsid w:val="00197C2B"/>
    <w:rsid w:val="001A2122"/>
    <w:rsid w:val="001A7870"/>
    <w:rsid w:val="001B1F5C"/>
    <w:rsid w:val="001C1B41"/>
    <w:rsid w:val="001C76BC"/>
    <w:rsid w:val="001D65EF"/>
    <w:rsid w:val="001F51C3"/>
    <w:rsid w:val="002250A3"/>
    <w:rsid w:val="00235217"/>
    <w:rsid w:val="00235311"/>
    <w:rsid w:val="00246D1F"/>
    <w:rsid w:val="00247403"/>
    <w:rsid w:val="00247542"/>
    <w:rsid w:val="00253591"/>
    <w:rsid w:val="00257E1F"/>
    <w:rsid w:val="00266B61"/>
    <w:rsid w:val="0026712A"/>
    <w:rsid w:val="00267196"/>
    <w:rsid w:val="002704DB"/>
    <w:rsid w:val="00281C98"/>
    <w:rsid w:val="002865C2"/>
    <w:rsid w:val="002A0AAE"/>
    <w:rsid w:val="002A5820"/>
    <w:rsid w:val="002A6090"/>
    <w:rsid w:val="002B1970"/>
    <w:rsid w:val="002B1B6C"/>
    <w:rsid w:val="002C41BD"/>
    <w:rsid w:val="002D2B26"/>
    <w:rsid w:val="002D7B4B"/>
    <w:rsid w:val="002D7EA2"/>
    <w:rsid w:val="002E187C"/>
    <w:rsid w:val="002E6588"/>
    <w:rsid w:val="002F48F9"/>
    <w:rsid w:val="002F71AC"/>
    <w:rsid w:val="00302733"/>
    <w:rsid w:val="003112BD"/>
    <w:rsid w:val="00313C1B"/>
    <w:rsid w:val="00314078"/>
    <w:rsid w:val="0031535D"/>
    <w:rsid w:val="00316FFB"/>
    <w:rsid w:val="003303CD"/>
    <w:rsid w:val="0033169F"/>
    <w:rsid w:val="00341C8E"/>
    <w:rsid w:val="00346C95"/>
    <w:rsid w:val="00347E32"/>
    <w:rsid w:val="00356185"/>
    <w:rsid w:val="00360380"/>
    <w:rsid w:val="00374B68"/>
    <w:rsid w:val="0037519E"/>
    <w:rsid w:val="00386CF0"/>
    <w:rsid w:val="0039191D"/>
    <w:rsid w:val="003A17B4"/>
    <w:rsid w:val="003A5882"/>
    <w:rsid w:val="003A6A4F"/>
    <w:rsid w:val="003B2A41"/>
    <w:rsid w:val="003C06D8"/>
    <w:rsid w:val="003C0DE7"/>
    <w:rsid w:val="003C177F"/>
    <w:rsid w:val="003C676B"/>
    <w:rsid w:val="003D0AC5"/>
    <w:rsid w:val="003D3BC2"/>
    <w:rsid w:val="003D46A7"/>
    <w:rsid w:val="003D5789"/>
    <w:rsid w:val="003E6CA1"/>
    <w:rsid w:val="003F5B21"/>
    <w:rsid w:val="00405FF9"/>
    <w:rsid w:val="00413F13"/>
    <w:rsid w:val="004165C2"/>
    <w:rsid w:val="00422B31"/>
    <w:rsid w:val="00424B14"/>
    <w:rsid w:val="00431292"/>
    <w:rsid w:val="0043566F"/>
    <w:rsid w:val="00441ECB"/>
    <w:rsid w:val="00444A81"/>
    <w:rsid w:val="00445F4E"/>
    <w:rsid w:val="00464F29"/>
    <w:rsid w:val="00467B7E"/>
    <w:rsid w:val="00477592"/>
    <w:rsid w:val="00486C70"/>
    <w:rsid w:val="00486F1C"/>
    <w:rsid w:val="00490FDC"/>
    <w:rsid w:val="004921EA"/>
    <w:rsid w:val="0049419D"/>
    <w:rsid w:val="0049745E"/>
    <w:rsid w:val="004B26E5"/>
    <w:rsid w:val="004B5CDD"/>
    <w:rsid w:val="004C20D2"/>
    <w:rsid w:val="004C3779"/>
    <w:rsid w:val="004C4B62"/>
    <w:rsid w:val="004C4CCA"/>
    <w:rsid w:val="004C54C9"/>
    <w:rsid w:val="004D6025"/>
    <w:rsid w:val="004E2649"/>
    <w:rsid w:val="00501399"/>
    <w:rsid w:val="0050633D"/>
    <w:rsid w:val="00506CAF"/>
    <w:rsid w:val="00507BC4"/>
    <w:rsid w:val="005128E4"/>
    <w:rsid w:val="005133DB"/>
    <w:rsid w:val="00525560"/>
    <w:rsid w:val="0052778A"/>
    <w:rsid w:val="005325FF"/>
    <w:rsid w:val="00544C49"/>
    <w:rsid w:val="005516A1"/>
    <w:rsid w:val="00551819"/>
    <w:rsid w:val="00556636"/>
    <w:rsid w:val="00564A10"/>
    <w:rsid w:val="005661F0"/>
    <w:rsid w:val="0057402A"/>
    <w:rsid w:val="005771D0"/>
    <w:rsid w:val="0057753D"/>
    <w:rsid w:val="0059191A"/>
    <w:rsid w:val="005921FF"/>
    <w:rsid w:val="005A4113"/>
    <w:rsid w:val="005A6477"/>
    <w:rsid w:val="005A6D0E"/>
    <w:rsid w:val="005B0925"/>
    <w:rsid w:val="005B52B0"/>
    <w:rsid w:val="005B6806"/>
    <w:rsid w:val="005C2FEB"/>
    <w:rsid w:val="005C4225"/>
    <w:rsid w:val="005C6FCD"/>
    <w:rsid w:val="005C74CD"/>
    <w:rsid w:val="005D6C2A"/>
    <w:rsid w:val="005F0DAD"/>
    <w:rsid w:val="005F0F33"/>
    <w:rsid w:val="00600DEB"/>
    <w:rsid w:val="00615498"/>
    <w:rsid w:val="00626F0E"/>
    <w:rsid w:val="00627C9F"/>
    <w:rsid w:val="006311E9"/>
    <w:rsid w:val="0063165E"/>
    <w:rsid w:val="00632354"/>
    <w:rsid w:val="006415FC"/>
    <w:rsid w:val="00642805"/>
    <w:rsid w:val="00642810"/>
    <w:rsid w:val="00643F8F"/>
    <w:rsid w:val="00645FCA"/>
    <w:rsid w:val="00652333"/>
    <w:rsid w:val="00653A02"/>
    <w:rsid w:val="00674EC3"/>
    <w:rsid w:val="0067510F"/>
    <w:rsid w:val="0068009E"/>
    <w:rsid w:val="006815EF"/>
    <w:rsid w:val="00683AB1"/>
    <w:rsid w:val="00692219"/>
    <w:rsid w:val="00696E04"/>
    <w:rsid w:val="006A17D2"/>
    <w:rsid w:val="006A35C6"/>
    <w:rsid w:val="006A73E6"/>
    <w:rsid w:val="006B2D5C"/>
    <w:rsid w:val="006C4EB1"/>
    <w:rsid w:val="006C6D7E"/>
    <w:rsid w:val="006D3D07"/>
    <w:rsid w:val="006E0166"/>
    <w:rsid w:val="006E7B34"/>
    <w:rsid w:val="006F26F4"/>
    <w:rsid w:val="00700DB1"/>
    <w:rsid w:val="007016F5"/>
    <w:rsid w:val="00703B88"/>
    <w:rsid w:val="0070697F"/>
    <w:rsid w:val="00706FBC"/>
    <w:rsid w:val="00713248"/>
    <w:rsid w:val="0071357F"/>
    <w:rsid w:val="00721289"/>
    <w:rsid w:val="0072199C"/>
    <w:rsid w:val="00722C9F"/>
    <w:rsid w:val="007253B8"/>
    <w:rsid w:val="00735754"/>
    <w:rsid w:val="00736D7D"/>
    <w:rsid w:val="0073741F"/>
    <w:rsid w:val="00751DA3"/>
    <w:rsid w:val="00752F94"/>
    <w:rsid w:val="00762DB1"/>
    <w:rsid w:val="0076643F"/>
    <w:rsid w:val="007707D0"/>
    <w:rsid w:val="007750DA"/>
    <w:rsid w:val="00777F63"/>
    <w:rsid w:val="007901C3"/>
    <w:rsid w:val="00797726"/>
    <w:rsid w:val="007A100E"/>
    <w:rsid w:val="007A165D"/>
    <w:rsid w:val="007A5817"/>
    <w:rsid w:val="007B0134"/>
    <w:rsid w:val="007B1702"/>
    <w:rsid w:val="007B60E9"/>
    <w:rsid w:val="007B6CC3"/>
    <w:rsid w:val="007B7A7A"/>
    <w:rsid w:val="007C0317"/>
    <w:rsid w:val="007C3334"/>
    <w:rsid w:val="007C47F9"/>
    <w:rsid w:val="007D2B98"/>
    <w:rsid w:val="007E0228"/>
    <w:rsid w:val="007E21BC"/>
    <w:rsid w:val="007E3A64"/>
    <w:rsid w:val="007E7C11"/>
    <w:rsid w:val="007F06FA"/>
    <w:rsid w:val="007F5246"/>
    <w:rsid w:val="00803F1C"/>
    <w:rsid w:val="0080600E"/>
    <w:rsid w:val="00812E26"/>
    <w:rsid w:val="00817612"/>
    <w:rsid w:val="008338A4"/>
    <w:rsid w:val="008365BE"/>
    <w:rsid w:val="00837C45"/>
    <w:rsid w:val="0084095D"/>
    <w:rsid w:val="00843A07"/>
    <w:rsid w:val="00844730"/>
    <w:rsid w:val="00844779"/>
    <w:rsid w:val="008457C2"/>
    <w:rsid w:val="00857A82"/>
    <w:rsid w:val="00865553"/>
    <w:rsid w:val="00867BE8"/>
    <w:rsid w:val="00873836"/>
    <w:rsid w:val="00885737"/>
    <w:rsid w:val="00890650"/>
    <w:rsid w:val="00897E12"/>
    <w:rsid w:val="008A1E92"/>
    <w:rsid w:val="008A7E0F"/>
    <w:rsid w:val="008B12F5"/>
    <w:rsid w:val="008B34B7"/>
    <w:rsid w:val="008B774F"/>
    <w:rsid w:val="008C2834"/>
    <w:rsid w:val="008D1750"/>
    <w:rsid w:val="008D239F"/>
    <w:rsid w:val="008D34F0"/>
    <w:rsid w:val="008D528B"/>
    <w:rsid w:val="008D5C95"/>
    <w:rsid w:val="008D768D"/>
    <w:rsid w:val="008E156C"/>
    <w:rsid w:val="008E3759"/>
    <w:rsid w:val="008E4E69"/>
    <w:rsid w:val="008F1912"/>
    <w:rsid w:val="0090270B"/>
    <w:rsid w:val="009030B8"/>
    <w:rsid w:val="009041DC"/>
    <w:rsid w:val="00905BD7"/>
    <w:rsid w:val="00912B47"/>
    <w:rsid w:val="00917B5A"/>
    <w:rsid w:val="00920A58"/>
    <w:rsid w:val="00920A8C"/>
    <w:rsid w:val="00921E64"/>
    <w:rsid w:val="009257B3"/>
    <w:rsid w:val="009307DA"/>
    <w:rsid w:val="00934A2C"/>
    <w:rsid w:val="00935E36"/>
    <w:rsid w:val="00936695"/>
    <w:rsid w:val="00942D85"/>
    <w:rsid w:val="00946228"/>
    <w:rsid w:val="009526B4"/>
    <w:rsid w:val="00961F44"/>
    <w:rsid w:val="0096706E"/>
    <w:rsid w:val="009751D3"/>
    <w:rsid w:val="00975C4E"/>
    <w:rsid w:val="00980526"/>
    <w:rsid w:val="00981FBA"/>
    <w:rsid w:val="00997BC5"/>
    <w:rsid w:val="00997EE7"/>
    <w:rsid w:val="009A0632"/>
    <w:rsid w:val="009A4F41"/>
    <w:rsid w:val="009A5052"/>
    <w:rsid w:val="009A793F"/>
    <w:rsid w:val="009B28A5"/>
    <w:rsid w:val="009B381B"/>
    <w:rsid w:val="009C041C"/>
    <w:rsid w:val="009C38D7"/>
    <w:rsid w:val="009D1753"/>
    <w:rsid w:val="009D5042"/>
    <w:rsid w:val="009D65C5"/>
    <w:rsid w:val="009D7611"/>
    <w:rsid w:val="009E0B61"/>
    <w:rsid w:val="009E3E9C"/>
    <w:rsid w:val="009E53DE"/>
    <w:rsid w:val="00A22CF8"/>
    <w:rsid w:val="00A23012"/>
    <w:rsid w:val="00A23AA6"/>
    <w:rsid w:val="00A328B3"/>
    <w:rsid w:val="00A503C4"/>
    <w:rsid w:val="00A50D57"/>
    <w:rsid w:val="00A50FCF"/>
    <w:rsid w:val="00A528D1"/>
    <w:rsid w:val="00A56264"/>
    <w:rsid w:val="00A610CD"/>
    <w:rsid w:val="00A6304B"/>
    <w:rsid w:val="00A63756"/>
    <w:rsid w:val="00A66E29"/>
    <w:rsid w:val="00A84A60"/>
    <w:rsid w:val="00A84C7E"/>
    <w:rsid w:val="00A95648"/>
    <w:rsid w:val="00AA09A2"/>
    <w:rsid w:val="00AA7996"/>
    <w:rsid w:val="00AB4289"/>
    <w:rsid w:val="00AC19CB"/>
    <w:rsid w:val="00AE0B43"/>
    <w:rsid w:val="00AE5488"/>
    <w:rsid w:val="00AE656A"/>
    <w:rsid w:val="00AE6F91"/>
    <w:rsid w:val="00AE7370"/>
    <w:rsid w:val="00AF5571"/>
    <w:rsid w:val="00B062A0"/>
    <w:rsid w:val="00B07341"/>
    <w:rsid w:val="00B1460D"/>
    <w:rsid w:val="00B223A5"/>
    <w:rsid w:val="00B30539"/>
    <w:rsid w:val="00B314DB"/>
    <w:rsid w:val="00B361F2"/>
    <w:rsid w:val="00B3718B"/>
    <w:rsid w:val="00B4632A"/>
    <w:rsid w:val="00B530F1"/>
    <w:rsid w:val="00B53B79"/>
    <w:rsid w:val="00B55CE6"/>
    <w:rsid w:val="00B71ADE"/>
    <w:rsid w:val="00B83B1C"/>
    <w:rsid w:val="00B97B98"/>
    <w:rsid w:val="00BA276C"/>
    <w:rsid w:val="00BA5AAD"/>
    <w:rsid w:val="00BB306F"/>
    <w:rsid w:val="00BB4B56"/>
    <w:rsid w:val="00BC0E9D"/>
    <w:rsid w:val="00BC51D2"/>
    <w:rsid w:val="00BD4B89"/>
    <w:rsid w:val="00BD5449"/>
    <w:rsid w:val="00BE0B47"/>
    <w:rsid w:val="00BE459C"/>
    <w:rsid w:val="00BE7299"/>
    <w:rsid w:val="00BF127B"/>
    <w:rsid w:val="00BF6799"/>
    <w:rsid w:val="00BF6FD8"/>
    <w:rsid w:val="00C03680"/>
    <w:rsid w:val="00C054DF"/>
    <w:rsid w:val="00C10D84"/>
    <w:rsid w:val="00C11231"/>
    <w:rsid w:val="00C1303A"/>
    <w:rsid w:val="00C161FC"/>
    <w:rsid w:val="00C21762"/>
    <w:rsid w:val="00C24543"/>
    <w:rsid w:val="00C256A2"/>
    <w:rsid w:val="00C27A06"/>
    <w:rsid w:val="00C33D25"/>
    <w:rsid w:val="00C42532"/>
    <w:rsid w:val="00C51515"/>
    <w:rsid w:val="00C5660B"/>
    <w:rsid w:val="00C66B72"/>
    <w:rsid w:val="00C77FCA"/>
    <w:rsid w:val="00C80712"/>
    <w:rsid w:val="00C81799"/>
    <w:rsid w:val="00C85627"/>
    <w:rsid w:val="00C90E5A"/>
    <w:rsid w:val="00C91115"/>
    <w:rsid w:val="00C9567A"/>
    <w:rsid w:val="00CB212D"/>
    <w:rsid w:val="00CB2660"/>
    <w:rsid w:val="00CC5E90"/>
    <w:rsid w:val="00CD046C"/>
    <w:rsid w:val="00CE076C"/>
    <w:rsid w:val="00CE09C1"/>
    <w:rsid w:val="00CE5199"/>
    <w:rsid w:val="00CE66D5"/>
    <w:rsid w:val="00CF4E6F"/>
    <w:rsid w:val="00CF637A"/>
    <w:rsid w:val="00D059DE"/>
    <w:rsid w:val="00D065EA"/>
    <w:rsid w:val="00D1088C"/>
    <w:rsid w:val="00D13FCE"/>
    <w:rsid w:val="00D279CF"/>
    <w:rsid w:val="00D306D1"/>
    <w:rsid w:val="00D31054"/>
    <w:rsid w:val="00D32956"/>
    <w:rsid w:val="00D34786"/>
    <w:rsid w:val="00D37BFC"/>
    <w:rsid w:val="00D41F4D"/>
    <w:rsid w:val="00D47A8E"/>
    <w:rsid w:val="00D51107"/>
    <w:rsid w:val="00D52D14"/>
    <w:rsid w:val="00D53EE7"/>
    <w:rsid w:val="00D67820"/>
    <w:rsid w:val="00D712D3"/>
    <w:rsid w:val="00D71422"/>
    <w:rsid w:val="00D72DC6"/>
    <w:rsid w:val="00D7558D"/>
    <w:rsid w:val="00D81D92"/>
    <w:rsid w:val="00D90E71"/>
    <w:rsid w:val="00D910A3"/>
    <w:rsid w:val="00DA4072"/>
    <w:rsid w:val="00DA7B5F"/>
    <w:rsid w:val="00DB0420"/>
    <w:rsid w:val="00DB5E7B"/>
    <w:rsid w:val="00DC11E7"/>
    <w:rsid w:val="00DC7023"/>
    <w:rsid w:val="00DC769A"/>
    <w:rsid w:val="00DC7E07"/>
    <w:rsid w:val="00DD0C43"/>
    <w:rsid w:val="00DD15AB"/>
    <w:rsid w:val="00DD3D86"/>
    <w:rsid w:val="00DD5D25"/>
    <w:rsid w:val="00DE215B"/>
    <w:rsid w:val="00DE6093"/>
    <w:rsid w:val="00DE7D1B"/>
    <w:rsid w:val="00DF1EC4"/>
    <w:rsid w:val="00DF3F7C"/>
    <w:rsid w:val="00E0340B"/>
    <w:rsid w:val="00E04A90"/>
    <w:rsid w:val="00E11D95"/>
    <w:rsid w:val="00E135C7"/>
    <w:rsid w:val="00E21212"/>
    <w:rsid w:val="00E21618"/>
    <w:rsid w:val="00E219C7"/>
    <w:rsid w:val="00E43157"/>
    <w:rsid w:val="00E461CE"/>
    <w:rsid w:val="00E55898"/>
    <w:rsid w:val="00E71A73"/>
    <w:rsid w:val="00E720CA"/>
    <w:rsid w:val="00E84EB5"/>
    <w:rsid w:val="00E85662"/>
    <w:rsid w:val="00E8789F"/>
    <w:rsid w:val="00E94259"/>
    <w:rsid w:val="00E961D8"/>
    <w:rsid w:val="00E97B71"/>
    <w:rsid w:val="00EA3D34"/>
    <w:rsid w:val="00EB289A"/>
    <w:rsid w:val="00EB454D"/>
    <w:rsid w:val="00EC1A3D"/>
    <w:rsid w:val="00EC5D0C"/>
    <w:rsid w:val="00ED2F7F"/>
    <w:rsid w:val="00ED76BE"/>
    <w:rsid w:val="00EE6D72"/>
    <w:rsid w:val="00EF619B"/>
    <w:rsid w:val="00F00B55"/>
    <w:rsid w:val="00F02AD1"/>
    <w:rsid w:val="00F162D1"/>
    <w:rsid w:val="00F253CC"/>
    <w:rsid w:val="00F277C6"/>
    <w:rsid w:val="00F370F2"/>
    <w:rsid w:val="00F37106"/>
    <w:rsid w:val="00F426DD"/>
    <w:rsid w:val="00F44958"/>
    <w:rsid w:val="00F4586E"/>
    <w:rsid w:val="00F47167"/>
    <w:rsid w:val="00F507C2"/>
    <w:rsid w:val="00F519CF"/>
    <w:rsid w:val="00F53D08"/>
    <w:rsid w:val="00F55F38"/>
    <w:rsid w:val="00F56BA5"/>
    <w:rsid w:val="00F60E22"/>
    <w:rsid w:val="00F624DA"/>
    <w:rsid w:val="00F6265D"/>
    <w:rsid w:val="00F7018E"/>
    <w:rsid w:val="00F728D1"/>
    <w:rsid w:val="00F76BB7"/>
    <w:rsid w:val="00F8104B"/>
    <w:rsid w:val="00F81395"/>
    <w:rsid w:val="00F83D3A"/>
    <w:rsid w:val="00F85ADC"/>
    <w:rsid w:val="00F917D1"/>
    <w:rsid w:val="00F9653B"/>
    <w:rsid w:val="00FB413E"/>
    <w:rsid w:val="00FB62CF"/>
    <w:rsid w:val="00FC24C4"/>
    <w:rsid w:val="00FC3245"/>
    <w:rsid w:val="00FD3C3B"/>
    <w:rsid w:val="00FE234E"/>
    <w:rsid w:val="00FE4BF8"/>
    <w:rsid w:val="00FE6B45"/>
    <w:rsid w:val="00FF04D3"/>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eastAsia="Times New Roman"/>
      <w:sz w:val="24"/>
      <w:szCs w:val="24"/>
    </w:rPr>
  </w:style>
  <w:style w:type="paragraph" w:styleId="Heading1">
    <w:name w:val="heading 1"/>
    <w:basedOn w:val="Normal"/>
    <w:next w:val="Normal"/>
    <w:link w:val="Heading1Char"/>
    <w:qFormat/>
    <w:rsid w:val="00674EC3"/>
    <w:pPr>
      <w:keepNext/>
      <w:keepLines/>
      <w:ind w:left="1440" w:hanging="720"/>
      <w:outlineLvl w:val="0"/>
    </w:pPr>
    <w:rPr>
      <w:rFonts w:ascii="Cambria" w:eastAsia="Arial Unicode MS" w:hAnsi="Cambria" w:cs="Cambria"/>
      <w:b/>
      <w:bCs/>
      <w:color w:val="365F91"/>
      <w:sz w:val="20"/>
      <w:szCs w:val="20"/>
      <w:lang w:val="es-CR"/>
    </w:rPr>
  </w:style>
  <w:style w:type="paragraph" w:styleId="Heading2">
    <w:name w:val="heading 2"/>
    <w:basedOn w:val="Normal"/>
    <w:next w:val="Normal"/>
    <w:link w:val="Heading2Char"/>
    <w:qFormat/>
    <w:rsid w:val="00674EC3"/>
    <w:pPr>
      <w:keepNext/>
      <w:widowControl w:val="0"/>
      <w:numPr>
        <w:numId w:val="55"/>
      </w:numPr>
      <w:pBdr>
        <w:top w:val="none" w:sz="0" w:space="0" w:color="auto"/>
        <w:left w:val="none" w:sz="0" w:space="0" w:color="auto"/>
        <w:bottom w:val="none" w:sz="0" w:space="0" w:color="auto"/>
        <w:right w:val="none" w:sz="0" w:space="0" w:color="auto"/>
        <w:bar w:val="none" w:sz="0" w:color="auto"/>
      </w:pBdr>
      <w:ind w:left="1440"/>
      <w:outlineLvl w:val="1"/>
    </w:pPr>
    <w:rPr>
      <w:rFonts w:ascii="Cambria" w:eastAsia="Arial Unicode MS" w:hAnsi="Cambria" w:cs="Cambria"/>
      <w:b/>
      <w:bCs/>
      <w:sz w:val="20"/>
      <w:szCs w:val="20"/>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eastAsia="Arial Unicode MS"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9020"/>
      </w:tabs>
    </w:pPr>
    <w:rPr>
      <w:rFonts w:ascii="Helvetica" w:eastAsia="Times New Roman" w:hAnsi="Arial Unicode MS" w:cs="Helvetica"/>
      <w:color w:val="000000"/>
      <w:sz w:val="24"/>
      <w:szCs w:val="24"/>
      <w:lang w:val="es-ES" w:eastAsia="es-ES"/>
    </w:rPr>
  </w:style>
  <w:style w:type="paragraph" w:styleId="Footer">
    <w:name w:val="footer"/>
    <w:basedOn w:val="Normal"/>
    <w:link w:val="FooterChar"/>
    <w:pPr>
      <w:tabs>
        <w:tab w:val="center" w:pos="4513"/>
        <w:tab w:val="right" w:pos="9026"/>
      </w:tabs>
    </w:pPr>
    <w:rPr>
      <w:rFonts w:ascii="Cambria" w:hAnsi="Cambria" w:cs="Cambria"/>
      <w:color w:val="000000"/>
      <w:u w:color="000000"/>
    </w:rPr>
  </w:style>
  <w:style w:type="paragraph" w:customStyle="1" w:styleId="Cuerpo">
    <w:name w:val="Cuerpo"/>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Cambria" w:eastAsia="Times New Roman" w:hAnsi="Cambria" w:cs="Cambria"/>
      <w:color w:val="000000"/>
      <w:sz w:val="24"/>
      <w:szCs w:val="24"/>
      <w:u w:color="000000"/>
      <w:lang w:val="es-ES" w:eastAsia="es-ES"/>
    </w:rPr>
  </w:style>
  <w:style w:type="paragraph" w:styleId="BodyTextIndent">
    <w:name w:val="Body Text Indent"/>
    <w:basedOn w:val="Normal"/>
    <w:pPr>
      <w:ind w:left="2160" w:hanging="720"/>
    </w:pPr>
    <w:rPr>
      <w:rFonts w:eastAsia="Arial Unicode MS"/>
      <w:color w:val="000000"/>
      <w:u w:color="000000"/>
      <w:lang w:eastAsia="es-ES"/>
    </w:rPr>
  </w:style>
  <w:style w:type="paragraph" w:styleId="ListParagraph">
    <w:name w:val="List Paragraph"/>
    <w:qFormat/>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ind w:left="720"/>
    </w:pPr>
    <w:rPr>
      <w:rFonts w:ascii="Cambria" w:eastAsia="Times New Roman" w:hAnsi="Cambria" w:cs="Cambria"/>
      <w:color w:val="000000"/>
      <w:sz w:val="24"/>
      <w:szCs w:val="24"/>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ootnote text,ft"/>
    <w:basedOn w:val="Normal"/>
    <w:link w:val="FootnoteTextChar"/>
    <w:rPr>
      <w:rFonts w:ascii="Calibri" w:hAnsi="Calibri" w:cs="Calibri"/>
      <w:color w:val="000000"/>
      <w:sz w:val="20"/>
      <w:szCs w:val="20"/>
      <w:u w:color="000000"/>
    </w:rPr>
  </w:style>
  <w:style w:type="paragraph" w:styleId="BalloonText">
    <w:name w:val="Balloon Text"/>
    <w:basedOn w:val="Normal"/>
    <w:link w:val="BalloonTextChar"/>
    <w:semiHidden/>
    <w:rsid w:val="009B381B"/>
    <w:rPr>
      <w:rFonts w:ascii="Tahoma" w:hAnsi="Tahoma" w:cs="Tahoma"/>
      <w:sz w:val="16"/>
      <w:szCs w:val="16"/>
    </w:rPr>
  </w:style>
  <w:style w:type="character" w:customStyle="1" w:styleId="BalloonTextChar">
    <w:name w:val="Balloon Text Char"/>
    <w:link w:val="BalloonText"/>
    <w:semiHidden/>
    <w:locked/>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Arial Unicode MS" w:hAnsi="Univers" w:cs="Univers"/>
    </w:rPr>
  </w:style>
  <w:style w:type="character" w:customStyle="1" w:styleId="HeaderChar">
    <w:name w:val="Header Char"/>
    <w:aliases w:val="encabezado Char"/>
    <w:link w:val="Header"/>
    <w:locked/>
    <w:rsid w:val="00D81D92"/>
    <w:rPr>
      <w:rFonts w:ascii="Univers" w:eastAsia="Times New Roman" w:hAnsi="Univers" w:cs="Univers"/>
      <w:sz w:val="24"/>
      <w:szCs w:val="24"/>
      <w:lang w:val="en-US" w:eastAsia="en-US"/>
    </w:rPr>
  </w:style>
  <w:style w:type="character" w:customStyle="1" w:styleId="Heading1Char">
    <w:name w:val="Heading 1 Char"/>
    <w:link w:val="Heading1"/>
    <w:locked/>
    <w:rsid w:val="00674EC3"/>
    <w:rPr>
      <w:rFonts w:ascii="Cambria" w:eastAsia="Times New Roman" w:hAnsi="Cambria" w:cs="Cambria"/>
      <w:b/>
      <w:bCs/>
      <w:color w:val="365F91"/>
      <w:lang w:val="es-CR" w:eastAsia="x-none"/>
    </w:rPr>
  </w:style>
  <w:style w:type="table" w:customStyle="1" w:styleId="Sombreadomedio1-nfasis1">
    <w:name w:val="Sombreado medio 1 - Énfasis 1"/>
    <w:rsid w:val="006A17D2"/>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TOC2">
    <w:name w:val="toc 2"/>
    <w:basedOn w:val="Normal"/>
    <w:next w:val="Normal"/>
    <w:autoRedefine/>
    <w:semiHidden/>
    <w:rsid w:val="005C4225"/>
    <w:pPr>
      <w:tabs>
        <w:tab w:val="left" w:pos="1440"/>
        <w:tab w:val="right" w:leader="dot" w:pos="9350"/>
      </w:tabs>
      <w:spacing w:after="100"/>
      <w:ind w:left="1440" w:hanging="720"/>
    </w:pPr>
  </w:style>
  <w:style w:type="paragraph" w:styleId="TOC1">
    <w:name w:val="toc 1"/>
    <w:basedOn w:val="Normal"/>
    <w:next w:val="Normal"/>
    <w:autoRedefine/>
    <w:semiHidden/>
    <w:rsid w:val="005C4225"/>
    <w:pPr>
      <w:spacing w:after="100"/>
    </w:pPr>
    <w:rPr>
      <w:rFonts w:ascii="Calibri" w:hAnsi="Calibri" w:cs="Calibri"/>
      <w:sz w:val="22"/>
      <w:szCs w:val="22"/>
    </w:rPr>
  </w:style>
  <w:style w:type="paragraph" w:styleId="TOC3">
    <w:name w:val="toc 3"/>
    <w:basedOn w:val="Normal"/>
    <w:next w:val="Normal"/>
    <w:autoRedefine/>
    <w:semiHidden/>
    <w:rsid w:val="005C4225"/>
    <w:pPr>
      <w:tabs>
        <w:tab w:val="left" w:pos="880"/>
        <w:tab w:val="right" w:leader="dot" w:pos="9350"/>
      </w:tabs>
      <w:spacing w:after="100"/>
      <w:ind w:left="2160" w:hanging="720"/>
    </w:pPr>
  </w:style>
  <w:style w:type="paragraph" w:styleId="TOC4">
    <w:name w:val="toc 4"/>
    <w:basedOn w:val="Normal"/>
    <w:next w:val="Normal"/>
    <w:autoRedefine/>
    <w:semiHidden/>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locked/>
    <w:rsid w:val="00A50FCF"/>
    <w:rPr>
      <w:rFonts w:ascii="Cambria" w:eastAsia="Times New Roman" w:hAnsi="Cambria" w:cs="Cambria"/>
      <w:color w:val="000000"/>
      <w:sz w:val="24"/>
      <w:szCs w:val="24"/>
      <w:u w:color="000000"/>
      <w:lang w:val="en-US" w:eastAsia="x-none"/>
    </w:rPr>
  </w:style>
  <w:style w:type="character" w:styleId="FootnoteReference">
    <w:name w:val="footnote reference"/>
    <w:aliases w:val="Footnotes refss,Ref. de nota al pie.,Texto de nota al pie,Appel note de bas de page,referencia nota al pie,BVI fnr,Footnote number,f,4_G,16 Point,Superscript 6 Point,Texto nota al pie,ftref,Footnote symbol,Footnote,f1,Ref"/>
    <w:rsid w:val="000F35ED"/>
    <w:rPr>
      <w:vertAlign w:val="superscript"/>
    </w:rPr>
  </w:style>
  <w:style w:type="paragraph" w:styleId="BodyTextIndent2">
    <w:name w:val="Body Text Indent 2"/>
    <w:basedOn w:val="Normal"/>
    <w:link w:val="BodyTextIndent2Char"/>
    <w:semiHidden/>
    <w:rsid w:val="000F35ED"/>
    <w:pPr>
      <w:spacing w:after="120" w:line="480" w:lineRule="auto"/>
      <w:ind w:left="360"/>
    </w:pPr>
  </w:style>
  <w:style w:type="character" w:customStyle="1" w:styleId="BodyTextIndent2Char">
    <w:name w:val="Body Text Indent 2 Char"/>
    <w:link w:val="BodyTextIndent2"/>
    <w:semiHidden/>
    <w:locked/>
    <w:rsid w:val="000F35ED"/>
    <w:rPr>
      <w:sz w:val="24"/>
      <w:szCs w:val="24"/>
      <w:lang w:val="en-US" w:eastAsia="en-US"/>
    </w:rPr>
  </w:style>
  <w:style w:type="paragraph" w:styleId="BodyText">
    <w:name w:val="Body Text"/>
    <w:basedOn w:val="Normal"/>
    <w:link w:val="BodyTextChar"/>
    <w:rsid w:val="0031535D"/>
    <w:pPr>
      <w:spacing w:after="120"/>
    </w:pPr>
  </w:style>
  <w:style w:type="character" w:customStyle="1" w:styleId="BodyTextChar">
    <w:name w:val="Body Text Char"/>
    <w:link w:val="BodyText"/>
    <w:semiHidden/>
    <w:locked/>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Times New Roman" w:hAnsi="Calibri" w:cs="Calibri"/>
      <w:color w:val="000000"/>
      <w:u w:color="000000"/>
      <w:lang w:val="en-US" w:eastAsia="x-none"/>
    </w:rPr>
  </w:style>
  <w:style w:type="character" w:customStyle="1" w:styleId="Heading2Char">
    <w:name w:val="Heading 2 Char"/>
    <w:link w:val="Heading2"/>
    <w:locked/>
    <w:rsid w:val="00674EC3"/>
    <w:rPr>
      <w:rFonts w:ascii="Cambria" w:eastAsia="Arial Unicode MS" w:hAnsi="Cambria" w:cs="Cambria"/>
      <w:b/>
      <w:bCs/>
      <w:lang w:val="en-US" w:eastAsia="en-US" w:bidi="ar-SA"/>
    </w:rPr>
  </w:style>
  <w:style w:type="character" w:customStyle="1" w:styleId="Heading3Char">
    <w:name w:val="Heading 3 Char"/>
    <w:link w:val="Heading3"/>
    <w:locked/>
    <w:rsid w:val="00DF1EC4"/>
    <w:rPr>
      <w:rFonts w:ascii="Arial" w:eastAsia="Times New Roman" w:hAnsi="Arial" w:cs="Arial"/>
      <w:b/>
      <w:bCs/>
      <w:sz w:val="26"/>
      <w:szCs w:val="26"/>
      <w:lang w:val="en-US" w:eastAsia="en-US"/>
    </w:rPr>
  </w:style>
  <w:style w:type="paragraph" w:customStyle="1" w:styleId="Default">
    <w:name w:val="Default"/>
    <w:link w:val="DefaultChar"/>
    <w:rsid w:val="00DF1EC4"/>
    <w:pPr>
      <w:autoSpaceDE w:val="0"/>
      <w:autoSpaceDN w:val="0"/>
      <w:adjustRightInd w:val="0"/>
    </w:pPr>
    <w:rPr>
      <w:color w:val="000000"/>
      <w:sz w:val="24"/>
      <w:szCs w:val="24"/>
    </w:rPr>
  </w:style>
  <w:style w:type="paragraph" w:styleId="EndnoteText">
    <w:name w:val="endnote text"/>
    <w:basedOn w:val="Normal"/>
    <w:link w:val="EndnoteTextChar"/>
    <w:semiHidden/>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Arial Unicode MS"/>
    </w:rPr>
  </w:style>
  <w:style w:type="character" w:customStyle="1" w:styleId="EndnoteTextChar">
    <w:name w:val="Endnote Text Char"/>
    <w:link w:val="EndnoteText"/>
    <w:locked/>
    <w:rsid w:val="00DF1EC4"/>
    <w:rPr>
      <w:rFonts w:eastAsia="Times New Roman"/>
      <w:sz w:val="24"/>
      <w:szCs w:val="24"/>
      <w:lang w:val="en-US" w:eastAsia="en-US"/>
    </w:rPr>
  </w:style>
  <w:style w:type="character" w:customStyle="1" w:styleId="DefaultChar">
    <w:name w:val="Default Char"/>
    <w:link w:val="Default"/>
    <w:locked/>
    <w:rsid w:val="00DF1EC4"/>
    <w:rPr>
      <w:rFonts w:eastAsia="Times New Roman"/>
      <w:color w:val="000000"/>
      <w:sz w:val="24"/>
      <w:szCs w:val="24"/>
      <w:lang w:val="en-US" w:eastAsia="en-US"/>
    </w:rPr>
  </w:style>
  <w:style w:type="character" w:styleId="CommentReference">
    <w:name w:val="annotation reference"/>
    <w:semiHidden/>
    <w:rsid w:val="007B1702"/>
    <w:rPr>
      <w:sz w:val="16"/>
      <w:szCs w:val="16"/>
    </w:rPr>
  </w:style>
  <w:style w:type="table" w:styleId="TableGrid">
    <w:name w:val="Table Grid"/>
    <w:basedOn w:val="TableNormal"/>
    <w:rsid w:val="007B17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B1702"/>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Arial Unicode MS"/>
    </w:rPr>
  </w:style>
  <w:style w:type="paragraph" w:styleId="CommentText">
    <w:name w:val="annotation text"/>
    <w:basedOn w:val="Normal"/>
    <w:link w:val="CommentTextChar"/>
    <w:semiHidden/>
    <w:rsid w:val="00867BE8"/>
    <w:rPr>
      <w:sz w:val="20"/>
      <w:szCs w:val="20"/>
    </w:rPr>
  </w:style>
  <w:style w:type="character" w:customStyle="1" w:styleId="CommentTextChar">
    <w:name w:val="Comment Text Char"/>
    <w:link w:val="CommentText"/>
    <w:locked/>
    <w:rsid w:val="00867BE8"/>
    <w:rPr>
      <w:lang w:val="en-US" w:eastAsia="en-US"/>
    </w:rPr>
  </w:style>
  <w:style w:type="paragraph" w:styleId="CommentSubject">
    <w:name w:val="annotation subject"/>
    <w:basedOn w:val="CommentText"/>
    <w:next w:val="CommentText"/>
    <w:link w:val="CommentSubjectChar"/>
    <w:semiHidden/>
    <w:rsid w:val="00867BE8"/>
    <w:rPr>
      <w:b/>
      <w:bCs/>
    </w:rPr>
  </w:style>
  <w:style w:type="character" w:customStyle="1" w:styleId="CommentSubjectChar">
    <w:name w:val="Comment Subject Char"/>
    <w:link w:val="CommentSubject"/>
    <w:semiHidden/>
    <w:locked/>
    <w:rsid w:val="00867BE8"/>
    <w:rPr>
      <w:b/>
      <w:bCs/>
      <w:lang w:val="en-US" w:eastAsia="en-US"/>
    </w:rPr>
  </w:style>
  <w:style w:type="numbering" w:customStyle="1" w:styleId="List16">
    <w:name w:val="List 16"/>
    <w:pPr>
      <w:numPr>
        <w:numId w:val="9"/>
      </w:numPr>
    </w:pPr>
  </w:style>
  <w:style w:type="numbering" w:customStyle="1" w:styleId="List36">
    <w:name w:val="List 36"/>
    <w:pPr>
      <w:numPr>
        <w:numId w:val="13"/>
      </w:numPr>
    </w:pPr>
  </w:style>
  <w:style w:type="numbering" w:customStyle="1" w:styleId="List25">
    <w:name w:val="List 25"/>
    <w:pPr>
      <w:numPr>
        <w:numId w:val="14"/>
      </w:numPr>
    </w:pPr>
  </w:style>
  <w:style w:type="numbering" w:customStyle="1" w:styleId="List1">
    <w:name w:val="List 1"/>
    <w:pPr>
      <w:numPr>
        <w:numId w:val="1"/>
      </w:numPr>
    </w:pPr>
  </w:style>
  <w:style w:type="numbering" w:customStyle="1" w:styleId="List41">
    <w:name w:val="List 41"/>
    <w:pPr>
      <w:numPr>
        <w:numId w:val="41"/>
      </w:numPr>
    </w:pPr>
  </w:style>
  <w:style w:type="numbering" w:customStyle="1" w:styleId="List11">
    <w:name w:val="List 11"/>
    <w:pPr>
      <w:numPr>
        <w:numId w:val="6"/>
      </w:numPr>
    </w:pPr>
  </w:style>
  <w:style w:type="numbering" w:customStyle="1" w:styleId="List15">
    <w:name w:val="List 15"/>
    <w:pPr>
      <w:numPr>
        <w:numId w:val="15"/>
      </w:numPr>
    </w:pPr>
  </w:style>
  <w:style w:type="numbering" w:customStyle="1" w:styleId="List14">
    <w:name w:val="List 14"/>
    <w:pPr>
      <w:numPr>
        <w:numId w:val="16"/>
      </w:numPr>
    </w:pPr>
  </w:style>
  <w:style w:type="numbering" w:customStyle="1" w:styleId="List23">
    <w:name w:val="List 23"/>
    <w:pPr>
      <w:numPr>
        <w:numId w:val="17"/>
      </w:numPr>
    </w:pPr>
  </w:style>
  <w:style w:type="numbering" w:customStyle="1" w:styleId="List19">
    <w:name w:val="List 19"/>
    <w:pPr>
      <w:numPr>
        <w:numId w:val="18"/>
      </w:numPr>
    </w:pPr>
  </w:style>
  <w:style w:type="numbering" w:customStyle="1" w:styleId="List45">
    <w:name w:val="List 45"/>
    <w:pPr>
      <w:numPr>
        <w:numId w:val="19"/>
      </w:numPr>
    </w:pPr>
  </w:style>
  <w:style w:type="numbering" w:customStyle="1" w:styleId="List40">
    <w:name w:val="List 40"/>
    <w:pPr>
      <w:numPr>
        <w:numId w:val="20"/>
      </w:numPr>
    </w:pPr>
  </w:style>
  <w:style w:type="numbering" w:customStyle="1" w:styleId="List9">
    <w:name w:val="List 9"/>
    <w:pPr>
      <w:numPr>
        <w:numId w:val="21"/>
      </w:numPr>
    </w:pPr>
  </w:style>
  <w:style w:type="numbering" w:customStyle="1" w:styleId="List43">
    <w:name w:val="List 43"/>
    <w:pPr>
      <w:numPr>
        <w:numId w:val="22"/>
      </w:numPr>
    </w:pPr>
  </w:style>
  <w:style w:type="numbering" w:customStyle="1" w:styleId="List46">
    <w:name w:val="List 46"/>
    <w:pPr>
      <w:numPr>
        <w:numId w:val="23"/>
      </w:numPr>
    </w:pPr>
  </w:style>
  <w:style w:type="numbering" w:customStyle="1" w:styleId="List35">
    <w:name w:val="List 35"/>
    <w:pPr>
      <w:numPr>
        <w:numId w:val="7"/>
      </w:numPr>
    </w:pPr>
  </w:style>
  <w:style w:type="numbering" w:customStyle="1" w:styleId="List17">
    <w:name w:val="List 17"/>
    <w:pPr>
      <w:numPr>
        <w:numId w:val="24"/>
      </w:numPr>
    </w:pPr>
  </w:style>
  <w:style w:type="numbering" w:customStyle="1" w:styleId="List33">
    <w:name w:val="List 33"/>
    <w:pPr>
      <w:numPr>
        <w:numId w:val="25"/>
      </w:numPr>
    </w:pPr>
  </w:style>
  <w:style w:type="numbering" w:customStyle="1" w:styleId="List31">
    <w:name w:val="List 31"/>
    <w:pPr>
      <w:numPr>
        <w:numId w:val="42"/>
      </w:numPr>
    </w:pPr>
  </w:style>
  <w:style w:type="numbering" w:customStyle="1" w:styleId="List7">
    <w:name w:val="List 7"/>
    <w:pPr>
      <w:numPr>
        <w:numId w:val="3"/>
      </w:numPr>
    </w:pPr>
  </w:style>
  <w:style w:type="numbering" w:customStyle="1" w:styleId="List18">
    <w:name w:val="List 18"/>
    <w:pPr>
      <w:numPr>
        <w:numId w:val="26"/>
      </w:numPr>
    </w:pPr>
  </w:style>
  <w:style w:type="numbering" w:customStyle="1" w:styleId="List22">
    <w:name w:val="List 22"/>
    <w:pPr>
      <w:numPr>
        <w:numId w:val="27"/>
      </w:numPr>
    </w:pPr>
  </w:style>
  <w:style w:type="numbering" w:customStyle="1" w:styleId="List47">
    <w:name w:val="List 47"/>
    <w:pPr>
      <w:numPr>
        <w:numId w:val="28"/>
      </w:numPr>
    </w:pPr>
  </w:style>
  <w:style w:type="numbering" w:customStyle="1" w:styleId="List28">
    <w:name w:val="List 28"/>
    <w:pPr>
      <w:numPr>
        <w:numId w:val="29"/>
      </w:numPr>
    </w:pPr>
  </w:style>
  <w:style w:type="numbering" w:customStyle="1" w:styleId="List10">
    <w:name w:val="List 10"/>
    <w:pPr>
      <w:numPr>
        <w:numId w:val="5"/>
      </w:numPr>
    </w:pPr>
  </w:style>
  <w:style w:type="numbering" w:customStyle="1" w:styleId="List0">
    <w:name w:val="List 0"/>
    <w:pPr>
      <w:numPr>
        <w:numId w:val="30"/>
      </w:numPr>
    </w:pPr>
  </w:style>
  <w:style w:type="numbering" w:customStyle="1" w:styleId="List30">
    <w:name w:val="List 30"/>
    <w:pPr>
      <w:numPr>
        <w:numId w:val="31"/>
      </w:numPr>
    </w:pPr>
  </w:style>
  <w:style w:type="numbering" w:customStyle="1" w:styleId="List51">
    <w:name w:val="List 51"/>
    <w:pPr>
      <w:numPr>
        <w:numId w:val="49"/>
      </w:numPr>
    </w:pPr>
  </w:style>
  <w:style w:type="numbering" w:customStyle="1" w:styleId="List29">
    <w:name w:val="List 29"/>
    <w:pPr>
      <w:numPr>
        <w:numId w:val="32"/>
      </w:numPr>
    </w:pPr>
  </w:style>
  <w:style w:type="numbering" w:customStyle="1" w:styleId="List38">
    <w:name w:val="List 38"/>
    <w:pPr>
      <w:numPr>
        <w:numId w:val="33"/>
      </w:numPr>
    </w:pPr>
  </w:style>
  <w:style w:type="numbering" w:customStyle="1" w:styleId="List12">
    <w:name w:val="List 12"/>
    <w:pPr>
      <w:numPr>
        <w:numId w:val="34"/>
      </w:numPr>
    </w:pPr>
  </w:style>
  <w:style w:type="numbering" w:customStyle="1" w:styleId="List50">
    <w:name w:val="List 50"/>
    <w:pPr>
      <w:numPr>
        <w:numId w:val="35"/>
      </w:numPr>
    </w:pPr>
  </w:style>
  <w:style w:type="numbering" w:customStyle="1" w:styleId="List21">
    <w:name w:val="List 21"/>
    <w:pPr>
      <w:numPr>
        <w:numId w:val="48"/>
      </w:numPr>
    </w:pPr>
  </w:style>
  <w:style w:type="numbering" w:customStyle="1" w:styleId="List34">
    <w:name w:val="List 34"/>
    <w:pPr>
      <w:numPr>
        <w:numId w:val="10"/>
      </w:numPr>
    </w:pPr>
  </w:style>
  <w:style w:type="numbering" w:customStyle="1" w:styleId="List42">
    <w:name w:val="List 42"/>
    <w:pPr>
      <w:numPr>
        <w:numId w:val="11"/>
      </w:numPr>
    </w:pPr>
  </w:style>
  <w:style w:type="numbering" w:customStyle="1" w:styleId="List49">
    <w:name w:val="List 49"/>
    <w:pPr>
      <w:numPr>
        <w:numId w:val="36"/>
      </w:numPr>
    </w:pPr>
  </w:style>
  <w:style w:type="numbering" w:customStyle="1" w:styleId="List44">
    <w:name w:val="List 44"/>
    <w:pPr>
      <w:numPr>
        <w:numId w:val="37"/>
      </w:numPr>
    </w:pPr>
  </w:style>
  <w:style w:type="numbering" w:customStyle="1" w:styleId="List52">
    <w:name w:val="List 52"/>
    <w:pPr>
      <w:numPr>
        <w:numId w:val="8"/>
      </w:numPr>
    </w:pPr>
  </w:style>
  <w:style w:type="numbering" w:customStyle="1" w:styleId="List24">
    <w:name w:val="List 24"/>
    <w:pPr>
      <w:numPr>
        <w:numId w:val="12"/>
      </w:numPr>
    </w:pPr>
  </w:style>
  <w:style w:type="numbering" w:customStyle="1" w:styleId="List27">
    <w:name w:val="List 27"/>
    <w:pPr>
      <w:numPr>
        <w:numId w:val="38"/>
      </w:numPr>
    </w:pPr>
  </w:style>
  <w:style w:type="numbering" w:customStyle="1" w:styleId="List8">
    <w:name w:val="List 8"/>
    <w:pPr>
      <w:numPr>
        <w:numId w:val="4"/>
      </w:numPr>
    </w:pPr>
  </w:style>
  <w:style w:type="numbering" w:customStyle="1" w:styleId="List13">
    <w:name w:val="List 13"/>
    <w:pPr>
      <w:numPr>
        <w:numId w:val="39"/>
      </w:numPr>
    </w:pPr>
  </w:style>
  <w:style w:type="numbering" w:customStyle="1" w:styleId="List20">
    <w:name w:val="List 20"/>
    <w:pPr>
      <w:numPr>
        <w:numId w:val="40"/>
      </w:numPr>
    </w:pPr>
  </w:style>
  <w:style w:type="numbering" w:customStyle="1" w:styleId="List6">
    <w:name w:val="List 6"/>
    <w:pPr>
      <w:numPr>
        <w:numId w:val="2"/>
      </w:numPr>
    </w:pPr>
  </w:style>
  <w:style w:type="numbering" w:customStyle="1" w:styleId="List39">
    <w:name w:val="List 39"/>
    <w:pPr>
      <w:numPr>
        <w:numId w:val="43"/>
      </w:numPr>
    </w:pPr>
  </w:style>
  <w:style w:type="numbering" w:customStyle="1" w:styleId="List37">
    <w:name w:val="List 37"/>
    <w:pPr>
      <w:numPr>
        <w:numId w:val="44"/>
      </w:numPr>
    </w:pPr>
  </w:style>
  <w:style w:type="numbering" w:customStyle="1" w:styleId="List32">
    <w:name w:val="List 32"/>
    <w:pPr>
      <w:numPr>
        <w:numId w:val="45"/>
      </w:numPr>
    </w:pPr>
  </w:style>
  <w:style w:type="numbering" w:customStyle="1" w:styleId="List26">
    <w:name w:val="List 26"/>
    <w:pPr>
      <w:numPr>
        <w:numId w:val="46"/>
      </w:numPr>
    </w:pPr>
  </w:style>
  <w:style w:type="numbering" w:customStyle="1" w:styleId="List48">
    <w:name w:val="List 48"/>
    <w:pPr>
      <w:numPr>
        <w:numId w:val="4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6.wmf"/><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5698</Words>
  <Characters>29346</Characters>
  <Application>Microsoft Office Word</Application>
  <DocSecurity>0</DocSecurity>
  <Lines>497</Lines>
  <Paragraphs>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6/15</dc:title>
  <dc:creator/>
  <cp:lastModifiedBy/>
  <cp:revision>1</cp:revision>
  <dcterms:created xsi:type="dcterms:W3CDTF">2015-04-24T14:30:00Z</dcterms:created>
  <dcterms:modified xsi:type="dcterms:W3CDTF">2015-04-28T17:45:00Z</dcterms:modified>
</cp:coreProperties>
</file>