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48D" w:rsidRPr="00823B84" w:rsidRDefault="00D9648D" w:rsidP="00D9648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w:t>
                            </w:r>
                            <w:r w:rsidRPr="00823B84">
                              <w:rPr>
                                <w:rFonts w:asciiTheme="majorHAnsi" w:hAnsiTheme="majorHAnsi" w:cs="Arial"/>
                                <w:b/>
                                <w:bCs/>
                                <w:color w:val="0D0D0D" w:themeColor="text1" w:themeTint="F2"/>
                                <w:sz w:val="36"/>
                                <w:szCs w:val="22"/>
                              </w:rPr>
                              <w:t>E</w:t>
                            </w:r>
                            <w:r>
                              <w:rPr>
                                <w:rFonts w:asciiTheme="majorHAnsi" w:hAnsiTheme="majorHAnsi" w:cs="Arial"/>
                                <w:b/>
                                <w:bCs/>
                                <w:color w:val="0D0D0D" w:themeColor="text1" w:themeTint="F2"/>
                                <w:sz w:val="36"/>
                                <w:szCs w:val="22"/>
                              </w:rPr>
                              <w:t>PORT</w:t>
                            </w:r>
                            <w:r w:rsidRPr="00823B84">
                              <w:rPr>
                                <w:rFonts w:asciiTheme="majorHAnsi" w:hAnsiTheme="majorHAnsi" w:cs="Arial"/>
                                <w:b/>
                                <w:bCs/>
                                <w:color w:val="0D0D0D" w:themeColor="text1" w:themeTint="F2"/>
                                <w:sz w:val="36"/>
                                <w:szCs w:val="22"/>
                              </w:rPr>
                              <w:t xml:space="preserve"> </w:t>
                            </w:r>
                            <w:r w:rsidRPr="00823B84">
                              <w:rPr>
                                <w:rFonts w:asciiTheme="majorHAnsi" w:hAnsiTheme="majorHAnsi" w:cs="Arial"/>
                                <w:b/>
                                <w:bCs/>
                                <w:color w:val="0D0D0D" w:themeColor="text1" w:themeTint="F2"/>
                                <w:sz w:val="36"/>
                                <w:szCs w:val="40"/>
                              </w:rPr>
                              <w:t>No.</w:t>
                            </w:r>
                            <w:r w:rsidR="008304FC">
                              <w:rPr>
                                <w:rFonts w:asciiTheme="majorHAnsi" w:hAnsiTheme="majorHAnsi" w:cs="Arial"/>
                                <w:b/>
                                <w:bCs/>
                                <w:color w:val="0D0D0D" w:themeColor="text1" w:themeTint="F2"/>
                                <w:sz w:val="36"/>
                                <w:szCs w:val="22"/>
                              </w:rPr>
                              <w:t xml:space="preserve"> 8</w:t>
                            </w:r>
                            <w:r w:rsidRPr="00823B84">
                              <w:rPr>
                                <w:rFonts w:asciiTheme="majorHAnsi" w:hAnsiTheme="majorHAnsi" w:cs="Arial"/>
                                <w:b/>
                                <w:bCs/>
                                <w:color w:val="0D0D0D" w:themeColor="text1" w:themeTint="F2"/>
                                <w:sz w:val="36"/>
                                <w:szCs w:val="22"/>
                              </w:rPr>
                              <w:t>/17</w:t>
                            </w:r>
                          </w:p>
                          <w:p w:rsidR="00D9648D" w:rsidRPr="00823B84" w:rsidRDefault="00D9648D" w:rsidP="00D9648D">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823B84">
                              <w:rPr>
                                <w:rFonts w:asciiTheme="majorHAnsi" w:hAnsiTheme="majorHAnsi" w:cs="Arial"/>
                                <w:b/>
                                <w:color w:val="0D0D0D" w:themeColor="text1" w:themeTint="F2"/>
                                <w:sz w:val="36"/>
                                <w:szCs w:val="22"/>
                              </w:rPr>
                              <w:t xml:space="preserve">N 323-08 </w:t>
                            </w:r>
                          </w:p>
                          <w:p w:rsidR="00D9648D" w:rsidRPr="00823B84" w:rsidRDefault="00D9648D" w:rsidP="00D9648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ADMISSIBILITY REPORT </w:t>
                            </w:r>
                          </w:p>
                          <w:p w:rsidR="00D9648D" w:rsidRPr="00823B84" w:rsidRDefault="00D9648D" w:rsidP="00D9648D">
                            <w:pPr>
                              <w:spacing w:line="276" w:lineRule="auto"/>
                              <w:rPr>
                                <w:rFonts w:asciiTheme="majorHAnsi" w:hAnsiTheme="majorHAnsi" w:cs="Arial"/>
                                <w:color w:val="0D0D0D" w:themeColor="text1" w:themeTint="F2"/>
                                <w:szCs w:val="22"/>
                              </w:rPr>
                            </w:pPr>
                            <w:bookmarkStart w:id="1" w:name="_ftnref1"/>
                          </w:p>
                          <w:p w:rsidR="00D9648D" w:rsidRPr="00907A9A" w:rsidRDefault="00D9648D" w:rsidP="00D9648D">
                            <w:pPr>
                              <w:spacing w:line="276" w:lineRule="auto"/>
                              <w:rPr>
                                <w:rFonts w:asciiTheme="majorHAnsi" w:hAnsiTheme="majorHAnsi" w:cs="Arial"/>
                                <w:color w:val="0D0D0D" w:themeColor="text1" w:themeTint="F2"/>
                                <w:szCs w:val="22"/>
                              </w:rPr>
                            </w:pPr>
                            <w:r w:rsidRPr="00907A9A">
                              <w:rPr>
                                <w:rFonts w:asciiTheme="majorHAnsi" w:hAnsiTheme="majorHAnsi" w:cs="Arial"/>
                                <w:color w:val="0D0D0D" w:themeColor="text1" w:themeTint="F2"/>
                                <w:szCs w:val="22"/>
                              </w:rPr>
                              <w:t>DORA MARÍA VÉLEZ ROGER AND FAMILY</w:t>
                            </w:r>
                          </w:p>
                          <w:bookmarkEnd w:id="1"/>
                          <w:p w:rsidR="00D9648D" w:rsidRPr="00B25B10" w:rsidRDefault="00D9648D" w:rsidP="00D9648D">
                            <w:pPr>
                              <w:spacing w:line="276" w:lineRule="auto"/>
                              <w:rPr>
                                <w:rFonts w:asciiTheme="majorHAnsi" w:hAnsiTheme="majorHAnsi" w:cs="Arial"/>
                                <w:color w:val="0D0D0D" w:themeColor="text1" w:themeTint="F2"/>
                                <w:szCs w:val="22"/>
                                <w:lang w:val="es-ES"/>
                              </w:rPr>
                            </w:pPr>
                            <w:r w:rsidRPr="00B25B10">
                              <w:rPr>
                                <w:rFonts w:asciiTheme="majorHAnsi" w:hAnsiTheme="majorHAnsi" w:cs="Arial"/>
                                <w:color w:val="0D0D0D" w:themeColor="text1" w:themeTint="F2"/>
                                <w:szCs w:val="22"/>
                                <w:lang w:val="es-ES"/>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9648D" w:rsidRPr="00823B84" w:rsidRDefault="00D9648D" w:rsidP="00D9648D">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w:t>
                      </w:r>
                      <w:r w:rsidRPr="00823B84">
                        <w:rPr>
                          <w:rFonts w:asciiTheme="majorHAnsi" w:hAnsiTheme="majorHAnsi" w:cs="Arial"/>
                          <w:b/>
                          <w:bCs/>
                          <w:color w:val="0D0D0D" w:themeColor="text1" w:themeTint="F2"/>
                          <w:sz w:val="36"/>
                          <w:szCs w:val="22"/>
                        </w:rPr>
                        <w:t>E</w:t>
                      </w:r>
                      <w:r>
                        <w:rPr>
                          <w:rFonts w:asciiTheme="majorHAnsi" w:hAnsiTheme="majorHAnsi" w:cs="Arial"/>
                          <w:b/>
                          <w:bCs/>
                          <w:color w:val="0D0D0D" w:themeColor="text1" w:themeTint="F2"/>
                          <w:sz w:val="36"/>
                          <w:szCs w:val="22"/>
                        </w:rPr>
                        <w:t>PORT</w:t>
                      </w:r>
                      <w:r w:rsidRPr="00823B84">
                        <w:rPr>
                          <w:rFonts w:asciiTheme="majorHAnsi" w:hAnsiTheme="majorHAnsi" w:cs="Arial"/>
                          <w:b/>
                          <w:bCs/>
                          <w:color w:val="0D0D0D" w:themeColor="text1" w:themeTint="F2"/>
                          <w:sz w:val="36"/>
                          <w:szCs w:val="22"/>
                        </w:rPr>
                        <w:t xml:space="preserve"> </w:t>
                      </w:r>
                      <w:r w:rsidRPr="00823B84">
                        <w:rPr>
                          <w:rFonts w:asciiTheme="majorHAnsi" w:hAnsiTheme="majorHAnsi" w:cs="Arial"/>
                          <w:b/>
                          <w:bCs/>
                          <w:color w:val="0D0D0D" w:themeColor="text1" w:themeTint="F2"/>
                          <w:sz w:val="36"/>
                          <w:szCs w:val="40"/>
                        </w:rPr>
                        <w:t>No.</w:t>
                      </w:r>
                      <w:r w:rsidR="008304FC">
                        <w:rPr>
                          <w:rFonts w:asciiTheme="majorHAnsi" w:hAnsiTheme="majorHAnsi" w:cs="Arial"/>
                          <w:b/>
                          <w:bCs/>
                          <w:color w:val="0D0D0D" w:themeColor="text1" w:themeTint="F2"/>
                          <w:sz w:val="36"/>
                          <w:szCs w:val="22"/>
                        </w:rPr>
                        <w:t xml:space="preserve"> 8</w:t>
                      </w:r>
                      <w:r w:rsidRPr="00823B84">
                        <w:rPr>
                          <w:rFonts w:asciiTheme="majorHAnsi" w:hAnsiTheme="majorHAnsi" w:cs="Arial"/>
                          <w:b/>
                          <w:bCs/>
                          <w:color w:val="0D0D0D" w:themeColor="text1" w:themeTint="F2"/>
                          <w:sz w:val="36"/>
                          <w:szCs w:val="22"/>
                        </w:rPr>
                        <w:t>/17</w:t>
                      </w:r>
                    </w:p>
                    <w:p w:rsidR="00D9648D" w:rsidRPr="00823B84" w:rsidRDefault="00D9648D" w:rsidP="00D9648D">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w:t>
                      </w:r>
                      <w:r w:rsidRPr="00823B84">
                        <w:rPr>
                          <w:rFonts w:asciiTheme="majorHAnsi" w:hAnsiTheme="majorHAnsi" w:cs="Arial"/>
                          <w:b/>
                          <w:color w:val="0D0D0D" w:themeColor="text1" w:themeTint="F2"/>
                          <w:sz w:val="36"/>
                          <w:szCs w:val="22"/>
                        </w:rPr>
                        <w:t xml:space="preserve">N 323-08 </w:t>
                      </w:r>
                    </w:p>
                    <w:p w:rsidR="00D9648D" w:rsidRPr="00823B84" w:rsidRDefault="00D9648D" w:rsidP="00D9648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ADMISSIBILITY REPORT </w:t>
                      </w:r>
                    </w:p>
                    <w:p w:rsidR="00D9648D" w:rsidRPr="00823B84" w:rsidRDefault="00D9648D" w:rsidP="00D9648D">
                      <w:pPr>
                        <w:spacing w:line="276" w:lineRule="auto"/>
                        <w:rPr>
                          <w:rFonts w:asciiTheme="majorHAnsi" w:hAnsiTheme="majorHAnsi" w:cs="Arial"/>
                          <w:color w:val="0D0D0D" w:themeColor="text1" w:themeTint="F2"/>
                          <w:szCs w:val="22"/>
                        </w:rPr>
                      </w:pPr>
                      <w:bookmarkStart w:id="1" w:name="_ftnref1"/>
                    </w:p>
                    <w:p w:rsidR="00D9648D" w:rsidRPr="00907A9A" w:rsidRDefault="00D9648D" w:rsidP="00D9648D">
                      <w:pPr>
                        <w:spacing w:line="276" w:lineRule="auto"/>
                        <w:rPr>
                          <w:rFonts w:asciiTheme="majorHAnsi" w:hAnsiTheme="majorHAnsi" w:cs="Arial"/>
                          <w:color w:val="0D0D0D" w:themeColor="text1" w:themeTint="F2"/>
                          <w:szCs w:val="22"/>
                        </w:rPr>
                      </w:pPr>
                      <w:r w:rsidRPr="00907A9A">
                        <w:rPr>
                          <w:rFonts w:asciiTheme="majorHAnsi" w:hAnsiTheme="majorHAnsi" w:cs="Arial"/>
                          <w:color w:val="0D0D0D" w:themeColor="text1" w:themeTint="F2"/>
                          <w:szCs w:val="22"/>
                        </w:rPr>
                        <w:t>DORA MARÍA VÉLEZ ROGER AND FAMILY</w:t>
                      </w:r>
                    </w:p>
                    <w:bookmarkEnd w:id="1"/>
                    <w:p w:rsidR="00D9648D" w:rsidRPr="00B25B10" w:rsidRDefault="00D9648D" w:rsidP="00D9648D">
                      <w:pPr>
                        <w:spacing w:line="276" w:lineRule="auto"/>
                        <w:rPr>
                          <w:rFonts w:asciiTheme="majorHAnsi" w:hAnsiTheme="majorHAnsi" w:cs="Arial"/>
                          <w:color w:val="0D0D0D" w:themeColor="text1" w:themeTint="F2"/>
                          <w:szCs w:val="22"/>
                          <w:lang w:val="es-ES"/>
                        </w:rPr>
                      </w:pPr>
                      <w:r w:rsidRPr="00B25B10">
                        <w:rPr>
                          <w:rFonts w:asciiTheme="majorHAnsi" w:hAnsiTheme="majorHAnsi" w:cs="Arial"/>
                          <w:color w:val="0D0D0D" w:themeColor="text1" w:themeTint="F2"/>
                          <w:szCs w:val="22"/>
                          <w:lang w:val="es-ES"/>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304FC" w:rsidRDefault="00627C9F" w:rsidP="002C1641">
                            <w:pPr>
                              <w:jc w:val="right"/>
                              <w:rPr>
                                <w:rFonts w:asciiTheme="minorHAnsi" w:hAnsiTheme="minorHAnsi"/>
                                <w:color w:val="FFFFFF" w:themeColor="background1"/>
                                <w:sz w:val="22"/>
                                <w:lang w:val="pt-BR"/>
                              </w:rPr>
                            </w:pPr>
                            <w:r w:rsidRPr="008304FC">
                              <w:rPr>
                                <w:rFonts w:asciiTheme="minorHAnsi" w:hAnsiTheme="minorHAnsi"/>
                                <w:color w:val="FFFFFF" w:themeColor="background1"/>
                                <w:sz w:val="22"/>
                                <w:lang w:val="pt-BR"/>
                              </w:rPr>
                              <w:t>OEA/Ser.L/V/II.</w:t>
                            </w:r>
                          </w:p>
                          <w:p w:rsidR="00627C9F" w:rsidRPr="008304FC" w:rsidRDefault="008304F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4B7EB6" w:rsidRDefault="008304FC"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D9648D">
                              <w:rPr>
                                <w:rFonts w:asciiTheme="minorHAnsi" w:hAnsiTheme="minorHAnsi"/>
                                <w:color w:val="FFFFFF" w:themeColor="background1"/>
                                <w:sz w:val="22"/>
                              </w:rPr>
                              <w:t>January</w:t>
                            </w:r>
                            <w:r w:rsidR="00706D3C">
                              <w:rPr>
                                <w:rFonts w:asciiTheme="minorHAnsi" w:hAnsiTheme="minorHAnsi"/>
                                <w:color w:val="FFFFFF" w:themeColor="background1"/>
                                <w:sz w:val="22"/>
                              </w:rPr>
                              <w:t xml:space="preserve"> 201</w:t>
                            </w:r>
                            <w:r w:rsidR="00D9648D">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304FC" w:rsidRDefault="00627C9F" w:rsidP="002C1641">
                      <w:pPr>
                        <w:jc w:val="right"/>
                        <w:rPr>
                          <w:rFonts w:asciiTheme="minorHAnsi" w:hAnsiTheme="minorHAnsi"/>
                          <w:color w:val="FFFFFF" w:themeColor="background1"/>
                          <w:sz w:val="22"/>
                          <w:lang w:val="pt-BR"/>
                        </w:rPr>
                      </w:pPr>
                      <w:r w:rsidRPr="008304FC">
                        <w:rPr>
                          <w:rFonts w:asciiTheme="minorHAnsi" w:hAnsiTheme="minorHAnsi"/>
                          <w:color w:val="FFFFFF" w:themeColor="background1"/>
                          <w:sz w:val="22"/>
                          <w:lang w:val="pt-BR"/>
                        </w:rPr>
                        <w:t>OEA/Ser.L/V/II.</w:t>
                      </w:r>
                    </w:p>
                    <w:p w:rsidR="00627C9F" w:rsidRPr="008304FC" w:rsidRDefault="008304FC"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4B7EB6" w:rsidRDefault="008304FC"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D9648D">
                        <w:rPr>
                          <w:rFonts w:asciiTheme="minorHAnsi" w:hAnsiTheme="minorHAnsi"/>
                          <w:color w:val="FFFFFF" w:themeColor="background1"/>
                          <w:sz w:val="22"/>
                        </w:rPr>
                        <w:t>January</w:t>
                      </w:r>
                      <w:r w:rsidR="00706D3C">
                        <w:rPr>
                          <w:rFonts w:asciiTheme="minorHAnsi" w:hAnsiTheme="minorHAnsi"/>
                          <w:color w:val="FFFFFF" w:themeColor="background1"/>
                          <w:sz w:val="22"/>
                        </w:rPr>
                        <w:t xml:space="preserve"> 201</w:t>
                      </w:r>
                      <w:r w:rsidR="00D9648D">
                        <w:rPr>
                          <w:rFonts w:asciiTheme="minorHAnsi" w:hAnsiTheme="minorHAnsi"/>
                          <w:color w:val="FFFFFF" w:themeColor="background1"/>
                          <w:sz w:val="22"/>
                        </w:rPr>
                        <w:t>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48D" w:rsidRPr="003D17FF" w:rsidRDefault="008304FC" w:rsidP="00D9648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w:t>
                            </w:r>
                            <w:r w:rsidR="00D9648D">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January 27</w:t>
                            </w:r>
                            <w:r w:rsidR="00D9648D">
                              <w:rPr>
                                <w:rFonts w:asciiTheme="majorHAnsi" w:hAnsiTheme="majorHAnsi"/>
                                <w:color w:val="0D0D0D" w:themeColor="text1" w:themeTint="F2"/>
                                <w:sz w:val="18"/>
                                <w:szCs w:val="22"/>
                              </w:rPr>
                              <w:t>,</w:t>
                            </w:r>
                            <w:r w:rsidR="00D9648D" w:rsidRPr="003D17FF">
                              <w:rPr>
                                <w:rFonts w:asciiTheme="majorHAnsi" w:hAnsiTheme="majorHAnsi"/>
                                <w:color w:val="0D0D0D" w:themeColor="text1" w:themeTint="F2"/>
                                <w:sz w:val="18"/>
                                <w:szCs w:val="22"/>
                              </w:rPr>
                              <w:t xml:space="preserve"> 2017</w:t>
                            </w:r>
                            <w:r w:rsidR="00285162">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D9648D" w:rsidRPr="003D17FF" w:rsidRDefault="008304FC" w:rsidP="00D9648D">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w:t>
                      </w:r>
                      <w:r w:rsidR="00D9648D">
                        <w:rPr>
                          <w:rFonts w:asciiTheme="majorHAnsi" w:hAnsiTheme="majorHAnsi"/>
                          <w:color w:val="0D0D0D" w:themeColor="text1" w:themeTint="F2"/>
                          <w:sz w:val="18"/>
                          <w:szCs w:val="22"/>
                        </w:rPr>
                        <w:t xml:space="preserve"> by the Commission on </w:t>
                      </w:r>
                      <w:r>
                        <w:rPr>
                          <w:rFonts w:asciiTheme="majorHAnsi" w:hAnsiTheme="majorHAnsi"/>
                          <w:color w:val="0D0D0D" w:themeColor="text1" w:themeTint="F2"/>
                          <w:sz w:val="18"/>
                          <w:szCs w:val="22"/>
                        </w:rPr>
                        <w:t>January 27</w:t>
                      </w:r>
                      <w:r w:rsidR="00D9648D">
                        <w:rPr>
                          <w:rFonts w:asciiTheme="majorHAnsi" w:hAnsiTheme="majorHAnsi"/>
                          <w:color w:val="0D0D0D" w:themeColor="text1" w:themeTint="F2"/>
                          <w:sz w:val="18"/>
                          <w:szCs w:val="22"/>
                        </w:rPr>
                        <w:t>,</w:t>
                      </w:r>
                      <w:r w:rsidR="00D9648D" w:rsidRPr="003D17FF">
                        <w:rPr>
                          <w:rFonts w:asciiTheme="majorHAnsi" w:hAnsiTheme="majorHAnsi"/>
                          <w:color w:val="0D0D0D" w:themeColor="text1" w:themeTint="F2"/>
                          <w:sz w:val="18"/>
                          <w:szCs w:val="22"/>
                        </w:rPr>
                        <w:t xml:space="preserve"> 2017</w:t>
                      </w:r>
                      <w:r w:rsidR="00285162">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8304FC"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304FC">
                              <w:rPr>
                                <w:rFonts w:asciiTheme="majorHAnsi" w:hAnsiTheme="majorHAnsi"/>
                                <w:color w:val="595959" w:themeColor="text1" w:themeTint="A6"/>
                                <w:sz w:val="18"/>
                              </w:rPr>
                              <w:t xml:space="preserve">8/17.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8304FC">
                              <w:rPr>
                                <w:rFonts w:asciiTheme="majorHAnsi" w:hAnsiTheme="majorHAnsi"/>
                                <w:color w:val="595959" w:themeColor="text1" w:themeTint="A6"/>
                                <w:sz w:val="18"/>
                              </w:rPr>
                              <w:t xml:space="preserve">sibility.  </w:t>
                            </w:r>
                            <w:r w:rsidR="008304FC" w:rsidRPr="00907A9A">
                              <w:rPr>
                                <w:rFonts w:asciiTheme="majorHAnsi" w:hAnsiTheme="majorHAnsi"/>
                                <w:color w:val="595959" w:themeColor="text1" w:themeTint="A6"/>
                                <w:sz w:val="18"/>
                              </w:rPr>
                              <w:t xml:space="preserve">Dora María Vélez Roger And Family.  </w:t>
                            </w:r>
                            <w:r w:rsidR="008304FC">
                              <w:rPr>
                                <w:rFonts w:asciiTheme="majorHAnsi" w:hAnsiTheme="majorHAnsi"/>
                                <w:color w:val="595959" w:themeColor="text1" w:themeTint="A6"/>
                                <w:sz w:val="18"/>
                                <w:lang w:val="es-ES"/>
                              </w:rPr>
                              <w:t>Colombia.  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8304FC"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304FC">
                        <w:rPr>
                          <w:rFonts w:asciiTheme="majorHAnsi" w:hAnsiTheme="majorHAnsi"/>
                          <w:color w:val="595959" w:themeColor="text1" w:themeTint="A6"/>
                          <w:sz w:val="18"/>
                        </w:rPr>
                        <w:t xml:space="preserve">8/17.  </w:t>
                      </w:r>
                      <w:proofErr w:type="gramStart"/>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008304FC">
                        <w:rPr>
                          <w:rFonts w:asciiTheme="majorHAnsi" w:hAnsiTheme="majorHAnsi"/>
                          <w:color w:val="595959" w:themeColor="text1" w:themeTint="A6"/>
                          <w:sz w:val="18"/>
                        </w:rPr>
                        <w:t>sibility.</w:t>
                      </w:r>
                      <w:proofErr w:type="gramEnd"/>
                      <w:r w:rsidR="008304FC">
                        <w:rPr>
                          <w:rFonts w:asciiTheme="majorHAnsi" w:hAnsiTheme="majorHAnsi"/>
                          <w:color w:val="595959" w:themeColor="text1" w:themeTint="A6"/>
                          <w:sz w:val="18"/>
                        </w:rPr>
                        <w:t xml:space="preserve">  </w:t>
                      </w:r>
                      <w:r w:rsidR="008304FC" w:rsidRPr="00907A9A">
                        <w:rPr>
                          <w:rFonts w:asciiTheme="majorHAnsi" w:hAnsiTheme="majorHAnsi"/>
                          <w:color w:val="595959" w:themeColor="text1" w:themeTint="A6"/>
                          <w:sz w:val="18"/>
                        </w:rPr>
                        <w:t xml:space="preserve">Dora María Vélez Roger And Family.  </w:t>
                      </w:r>
                      <w:r w:rsidR="008304FC">
                        <w:rPr>
                          <w:rFonts w:asciiTheme="majorHAnsi" w:hAnsiTheme="majorHAnsi"/>
                          <w:color w:val="595959" w:themeColor="text1" w:themeTint="A6"/>
                          <w:sz w:val="18"/>
                          <w:lang w:val="es-ES"/>
                        </w:rPr>
                        <w:t xml:space="preserve">Colombia.  </w:t>
                      </w:r>
                      <w:proofErr w:type="spellStart"/>
                      <w:r w:rsidR="008304FC">
                        <w:rPr>
                          <w:rFonts w:asciiTheme="majorHAnsi" w:hAnsiTheme="majorHAnsi"/>
                          <w:color w:val="595959" w:themeColor="text1" w:themeTint="A6"/>
                          <w:sz w:val="18"/>
                          <w:lang w:val="es-ES"/>
                        </w:rPr>
                        <w:t>January</w:t>
                      </w:r>
                      <w:proofErr w:type="spellEnd"/>
                      <w:r w:rsidR="008304FC">
                        <w:rPr>
                          <w:rFonts w:asciiTheme="majorHAnsi" w:hAnsiTheme="majorHAnsi"/>
                          <w:color w:val="595959" w:themeColor="text1" w:themeTint="A6"/>
                          <w:sz w:val="18"/>
                          <w:lang w:val="es-ES"/>
                        </w:rPr>
                        <w:t xml:space="preserve"> 27, 2017.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D9648D" w:rsidRPr="00FF1FA4" w:rsidRDefault="00D9648D" w:rsidP="00D9648D">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 xml:space="preserve">REPORT </w:t>
      </w:r>
      <w:r w:rsidR="008304FC">
        <w:rPr>
          <w:rFonts w:asciiTheme="majorHAnsi" w:hAnsiTheme="majorHAnsi"/>
          <w:b/>
          <w:sz w:val="18"/>
          <w:szCs w:val="20"/>
        </w:rPr>
        <w:t>No. 8</w:t>
      </w:r>
      <w:r w:rsidRPr="00FF1FA4">
        <w:rPr>
          <w:rFonts w:asciiTheme="majorHAnsi" w:hAnsiTheme="majorHAnsi"/>
          <w:b/>
          <w:sz w:val="18"/>
          <w:szCs w:val="20"/>
        </w:rPr>
        <w:t>/17</w:t>
      </w:r>
      <w:r w:rsidRPr="00FF1FA4">
        <w:rPr>
          <w:rStyle w:val="FootnoteReference"/>
          <w:rFonts w:asciiTheme="majorHAnsi" w:hAnsiTheme="majorHAnsi"/>
          <w:b/>
          <w:sz w:val="18"/>
          <w:szCs w:val="20"/>
        </w:rPr>
        <w:footnoteReference w:id="2"/>
      </w:r>
    </w:p>
    <w:p w:rsidR="00D9648D" w:rsidRPr="00FF1FA4" w:rsidRDefault="00D9648D" w:rsidP="00D9648D">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PETITIO</w:t>
      </w:r>
      <w:r w:rsidRPr="00FF1FA4">
        <w:rPr>
          <w:rFonts w:asciiTheme="majorHAnsi" w:hAnsiTheme="majorHAnsi"/>
          <w:b/>
          <w:sz w:val="18"/>
          <w:szCs w:val="20"/>
        </w:rPr>
        <w:t xml:space="preserve">N 323-08 </w:t>
      </w:r>
    </w:p>
    <w:p w:rsidR="00D9648D" w:rsidRPr="00FF1FA4" w:rsidRDefault="00D9648D" w:rsidP="00D9648D">
      <w:pPr>
        <w:tabs>
          <w:tab w:val="center" w:pos="5400"/>
        </w:tabs>
        <w:suppressAutoHyphens/>
        <w:spacing w:line="276" w:lineRule="auto"/>
        <w:jc w:val="center"/>
        <w:rPr>
          <w:rFonts w:asciiTheme="majorHAnsi" w:hAnsiTheme="majorHAnsi"/>
          <w:sz w:val="18"/>
          <w:szCs w:val="20"/>
        </w:rPr>
      </w:pPr>
      <w:r w:rsidRPr="00FF1FA4">
        <w:rPr>
          <w:rFonts w:asciiTheme="majorHAnsi" w:hAnsiTheme="majorHAnsi"/>
          <w:sz w:val="18"/>
          <w:szCs w:val="20"/>
        </w:rPr>
        <w:t>ADMI</w:t>
      </w:r>
      <w:r>
        <w:rPr>
          <w:rFonts w:asciiTheme="majorHAnsi" w:hAnsiTheme="majorHAnsi"/>
          <w:sz w:val="18"/>
          <w:szCs w:val="20"/>
        </w:rPr>
        <w:t>SSIBILITY REPORT</w:t>
      </w:r>
    </w:p>
    <w:p w:rsidR="00D9648D" w:rsidRPr="008304FC" w:rsidRDefault="00D9648D" w:rsidP="00D9648D">
      <w:pPr>
        <w:tabs>
          <w:tab w:val="center" w:pos="5400"/>
        </w:tabs>
        <w:suppressAutoHyphens/>
        <w:spacing w:line="276" w:lineRule="auto"/>
        <w:jc w:val="center"/>
        <w:rPr>
          <w:rFonts w:asciiTheme="majorHAnsi" w:hAnsiTheme="majorHAnsi"/>
          <w:sz w:val="18"/>
          <w:szCs w:val="20"/>
        </w:rPr>
      </w:pPr>
      <w:r w:rsidRPr="008304FC">
        <w:rPr>
          <w:rFonts w:asciiTheme="majorHAnsi" w:hAnsiTheme="majorHAnsi"/>
          <w:sz w:val="18"/>
          <w:szCs w:val="20"/>
        </w:rPr>
        <w:t>DORA MARÍA VELÉZ ROGER AND FAMILY</w:t>
      </w:r>
    </w:p>
    <w:p w:rsidR="00D9648D" w:rsidRPr="008304FC" w:rsidRDefault="00D9648D" w:rsidP="00D9648D">
      <w:pPr>
        <w:tabs>
          <w:tab w:val="center" w:pos="5400"/>
        </w:tabs>
        <w:suppressAutoHyphens/>
        <w:spacing w:line="276" w:lineRule="auto"/>
        <w:jc w:val="center"/>
        <w:rPr>
          <w:rFonts w:asciiTheme="majorHAnsi" w:hAnsiTheme="majorHAnsi"/>
          <w:sz w:val="18"/>
          <w:szCs w:val="20"/>
        </w:rPr>
      </w:pPr>
      <w:r w:rsidRPr="008304FC">
        <w:rPr>
          <w:rFonts w:asciiTheme="majorHAnsi" w:hAnsiTheme="majorHAnsi"/>
          <w:sz w:val="18"/>
          <w:szCs w:val="20"/>
        </w:rPr>
        <w:t>COLOMBIA</w:t>
      </w:r>
    </w:p>
    <w:p w:rsidR="00D9648D" w:rsidRPr="00FF1FA4" w:rsidRDefault="008304FC" w:rsidP="00D9648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rsidR="00D9648D" w:rsidRDefault="00D9648D" w:rsidP="00285162">
      <w:pPr>
        <w:tabs>
          <w:tab w:val="center" w:pos="5400"/>
        </w:tabs>
        <w:suppressAutoHyphens/>
        <w:rPr>
          <w:rFonts w:asciiTheme="majorHAnsi" w:hAnsiTheme="majorHAnsi"/>
          <w:sz w:val="20"/>
          <w:szCs w:val="20"/>
        </w:rPr>
      </w:pPr>
    </w:p>
    <w:p w:rsidR="00285162" w:rsidRPr="00FF1FA4" w:rsidRDefault="00285162" w:rsidP="00285162">
      <w:pPr>
        <w:tabs>
          <w:tab w:val="center" w:pos="5400"/>
        </w:tabs>
        <w:suppressAutoHyphens/>
        <w:rPr>
          <w:rFonts w:asciiTheme="majorHAnsi" w:hAnsiTheme="majorHAnsi"/>
          <w:sz w:val="20"/>
          <w:szCs w:val="20"/>
        </w:rPr>
      </w:pPr>
    </w:p>
    <w:p w:rsidR="00D9648D" w:rsidRPr="00FF1FA4" w:rsidRDefault="00D9648D" w:rsidP="00D9648D">
      <w:pPr>
        <w:spacing w:after="240"/>
        <w:ind w:firstLine="720"/>
        <w:jc w:val="both"/>
        <w:rPr>
          <w:rFonts w:asciiTheme="majorHAnsi" w:hAnsiTheme="majorHAnsi"/>
          <w:b/>
          <w:bCs/>
          <w:sz w:val="20"/>
          <w:szCs w:val="20"/>
        </w:rPr>
      </w:pPr>
      <w:r>
        <w:rPr>
          <w:rFonts w:asciiTheme="majorHAnsi" w:hAnsiTheme="majorHAnsi"/>
          <w:b/>
          <w:bCs/>
          <w:sz w:val="20"/>
          <w:szCs w:val="20"/>
        </w:rPr>
        <w:t>I.</w:t>
      </w:r>
      <w:r>
        <w:rPr>
          <w:rFonts w:asciiTheme="majorHAnsi" w:hAnsiTheme="majorHAnsi"/>
          <w:b/>
          <w:bCs/>
          <w:sz w:val="20"/>
          <w:szCs w:val="20"/>
        </w:rPr>
        <w:tab/>
        <w:t>BASIC INFORMATION ON THE PETITION</w:t>
      </w:r>
      <w:r w:rsidRPr="00FF1FA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D9648D" w:rsidRPr="00285162" w:rsidTr="00D9648D">
        <w:tc>
          <w:tcPr>
            <w:tcW w:w="4590" w:type="dxa"/>
            <w:tcBorders>
              <w:top w:val="single" w:sz="4"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FF1FA4">
              <w:rPr>
                <w:rFonts w:ascii="Cambria" w:hAnsi="Cambria"/>
                <w:b/>
                <w:bCs/>
                <w:color w:val="FFFFFF" w:themeColor="background1"/>
                <w:sz w:val="20"/>
                <w:szCs w:val="20"/>
              </w:rPr>
              <w:t>:</w:t>
            </w:r>
          </w:p>
        </w:tc>
        <w:tc>
          <w:tcPr>
            <w:tcW w:w="4770" w:type="dxa"/>
            <w:vAlign w:val="center"/>
          </w:tcPr>
          <w:p w:rsidR="00D9648D" w:rsidRPr="00B25B10" w:rsidRDefault="00D9648D" w:rsidP="0048032D">
            <w:pPr>
              <w:jc w:val="both"/>
              <w:rPr>
                <w:rFonts w:ascii="Cambria" w:hAnsi="Cambria"/>
                <w:bCs/>
                <w:sz w:val="20"/>
                <w:szCs w:val="20"/>
                <w:lang w:val="es-ES"/>
              </w:rPr>
            </w:pPr>
            <w:r w:rsidRPr="00B25B10">
              <w:rPr>
                <w:rFonts w:ascii="Cambria" w:hAnsi="Cambria"/>
                <w:bCs/>
                <w:sz w:val="20"/>
                <w:szCs w:val="20"/>
                <w:lang w:val="es-ES"/>
              </w:rPr>
              <w:t>Grupo Interdisciplinario por los Derechos Humanos</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victims</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sidRPr="00FF1FA4">
              <w:rPr>
                <w:rFonts w:ascii="Cambria" w:hAnsi="Cambria"/>
                <w:bCs/>
                <w:sz w:val="20"/>
                <w:szCs w:val="20"/>
              </w:rPr>
              <w:t xml:space="preserve">Dora María Vélez Roger </w:t>
            </w:r>
            <w:r>
              <w:rPr>
                <w:rFonts w:ascii="Cambria" w:hAnsi="Cambria"/>
                <w:bCs/>
                <w:sz w:val="20"/>
                <w:szCs w:val="20"/>
              </w:rPr>
              <w:t>and family</w:t>
            </w:r>
            <w:r w:rsidRPr="00FF1FA4">
              <w:rPr>
                <w:rStyle w:val="FootnoteReference"/>
                <w:rFonts w:ascii="Cambria" w:hAnsi="Cambria"/>
                <w:bCs/>
                <w:sz w:val="20"/>
                <w:szCs w:val="20"/>
              </w:rPr>
              <w:footnoteReference w:id="3"/>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State denounced</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sidRPr="00FF1FA4">
              <w:rPr>
                <w:rFonts w:ascii="Cambria" w:hAnsi="Cambria"/>
                <w:bCs/>
                <w:sz w:val="20"/>
                <w:szCs w:val="20"/>
              </w:rPr>
              <w:t>Colombia</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sidRPr="00FF1FA4">
              <w:rPr>
                <w:rFonts w:ascii="Cambria" w:hAnsi="Cambria"/>
                <w:sz w:val="20"/>
                <w:szCs w:val="20"/>
              </w:rPr>
              <w:t>A</w:t>
            </w:r>
            <w:r>
              <w:rPr>
                <w:rFonts w:ascii="Cambria" w:hAnsi="Cambria"/>
                <w:sz w:val="20"/>
                <w:szCs w:val="20"/>
              </w:rPr>
              <w:t>rticle</w:t>
            </w:r>
            <w:r w:rsidRPr="00FF1FA4">
              <w:rPr>
                <w:rFonts w:ascii="Cambria" w:hAnsi="Cambria"/>
                <w:sz w:val="20"/>
                <w:szCs w:val="20"/>
              </w:rPr>
              <w:t>s 3 (</w:t>
            </w:r>
            <w:r>
              <w:rPr>
                <w:rFonts w:ascii="Cambria" w:hAnsi="Cambria"/>
                <w:sz w:val="20"/>
                <w:szCs w:val="20"/>
              </w:rPr>
              <w:t>right to the recognition of juridical personality</w:t>
            </w:r>
            <w:r w:rsidRPr="00FF1FA4">
              <w:rPr>
                <w:rFonts w:ascii="Cambria" w:hAnsi="Cambria"/>
                <w:sz w:val="20"/>
                <w:szCs w:val="20"/>
              </w:rPr>
              <w:t>), 4 (</w:t>
            </w:r>
            <w:r>
              <w:rPr>
                <w:rFonts w:ascii="Cambria" w:hAnsi="Cambria"/>
                <w:sz w:val="20"/>
                <w:szCs w:val="20"/>
              </w:rPr>
              <w:t>right to life</w:t>
            </w:r>
            <w:r w:rsidRPr="00FF1FA4">
              <w:rPr>
                <w:rFonts w:ascii="Cambria" w:hAnsi="Cambria"/>
                <w:sz w:val="20"/>
                <w:szCs w:val="20"/>
              </w:rPr>
              <w:t>), 5 (</w:t>
            </w:r>
            <w:r>
              <w:rPr>
                <w:rFonts w:ascii="Cambria" w:hAnsi="Cambria"/>
                <w:sz w:val="20"/>
                <w:szCs w:val="20"/>
              </w:rPr>
              <w:t>right to humane treatment</w:t>
            </w:r>
            <w:r w:rsidRPr="00FF1FA4">
              <w:rPr>
                <w:rFonts w:ascii="Cambria" w:hAnsi="Cambria"/>
                <w:sz w:val="20"/>
                <w:szCs w:val="20"/>
              </w:rPr>
              <w:t>), 7 (</w:t>
            </w:r>
            <w:r>
              <w:rPr>
                <w:rFonts w:ascii="Cambria" w:hAnsi="Cambria"/>
                <w:sz w:val="20"/>
                <w:szCs w:val="20"/>
              </w:rPr>
              <w:t>right to personal liberty</w:t>
            </w:r>
            <w:r w:rsidRPr="00FF1FA4">
              <w:rPr>
                <w:rFonts w:ascii="Cambria" w:hAnsi="Cambria"/>
                <w:sz w:val="20"/>
                <w:szCs w:val="20"/>
              </w:rPr>
              <w:t>), 8 (</w:t>
            </w:r>
            <w:r>
              <w:rPr>
                <w:rFonts w:ascii="Cambria" w:hAnsi="Cambria"/>
                <w:sz w:val="20"/>
                <w:szCs w:val="20"/>
              </w:rPr>
              <w:t>judicial guarantees</w:t>
            </w:r>
            <w:r w:rsidRPr="00FF1FA4">
              <w:rPr>
                <w:rFonts w:ascii="Cambria" w:hAnsi="Cambria"/>
                <w:sz w:val="20"/>
                <w:szCs w:val="20"/>
              </w:rPr>
              <w:t>), 17 (</w:t>
            </w:r>
            <w:r>
              <w:rPr>
                <w:rFonts w:ascii="Cambria" w:hAnsi="Cambria"/>
                <w:sz w:val="20"/>
                <w:szCs w:val="20"/>
              </w:rPr>
              <w:t>protection of the family</w:t>
            </w:r>
            <w:r w:rsidRPr="00FF1FA4">
              <w:rPr>
                <w:rFonts w:ascii="Cambria" w:hAnsi="Cambria"/>
                <w:sz w:val="20"/>
                <w:szCs w:val="20"/>
              </w:rPr>
              <w:t>), 19 (</w:t>
            </w:r>
            <w:r>
              <w:rPr>
                <w:rFonts w:ascii="Cambria" w:hAnsi="Cambria"/>
                <w:sz w:val="20"/>
                <w:szCs w:val="20"/>
              </w:rPr>
              <w:t>rights of the child</w:t>
            </w:r>
            <w:r w:rsidRPr="00FF1FA4">
              <w:rPr>
                <w:rFonts w:ascii="Cambria" w:hAnsi="Cambria"/>
                <w:sz w:val="20"/>
                <w:szCs w:val="20"/>
              </w:rPr>
              <w:t>)</w:t>
            </w:r>
            <w:r>
              <w:rPr>
                <w:rFonts w:ascii="Cambria" w:hAnsi="Cambria"/>
                <w:sz w:val="20"/>
                <w:szCs w:val="20"/>
              </w:rPr>
              <w:t xml:space="preserve">, and </w:t>
            </w:r>
            <w:r w:rsidRPr="00FF1FA4">
              <w:rPr>
                <w:rFonts w:ascii="Cambria" w:hAnsi="Cambria"/>
                <w:sz w:val="20"/>
                <w:szCs w:val="20"/>
              </w:rPr>
              <w:t>25 (judicial</w:t>
            </w:r>
            <w:r>
              <w:rPr>
                <w:rFonts w:ascii="Cambria" w:hAnsi="Cambria"/>
                <w:sz w:val="20"/>
                <w:szCs w:val="20"/>
              </w:rPr>
              <w:t xml:space="preserve"> protection</w:t>
            </w:r>
            <w:r w:rsidRPr="00FF1FA4">
              <w:rPr>
                <w:rFonts w:ascii="Cambria" w:hAnsi="Cambria"/>
                <w:sz w:val="20"/>
                <w:szCs w:val="20"/>
              </w:rPr>
              <w:t xml:space="preserve">) </w:t>
            </w:r>
            <w:r>
              <w:rPr>
                <w:rFonts w:ascii="Cambria" w:hAnsi="Cambria"/>
                <w:sz w:val="20"/>
                <w:szCs w:val="20"/>
              </w:rPr>
              <w:t>of the American Convention on Human Rights</w:t>
            </w:r>
            <w:r w:rsidRPr="00FF1FA4">
              <w:rPr>
                <w:rStyle w:val="FootnoteReference"/>
                <w:rFonts w:ascii="Cambria" w:hAnsi="Cambria"/>
                <w:bCs/>
                <w:sz w:val="20"/>
                <w:szCs w:val="20"/>
              </w:rPr>
              <w:footnoteReference w:id="4"/>
            </w:r>
            <w:r w:rsidRPr="00FF1FA4">
              <w:rPr>
                <w:rFonts w:ascii="Cambria" w:hAnsi="Cambria"/>
                <w:sz w:val="20"/>
                <w:szCs w:val="20"/>
              </w:rPr>
              <w:t xml:space="preserve">, </w:t>
            </w:r>
            <w:r>
              <w:rPr>
                <w:rFonts w:ascii="Cambria" w:hAnsi="Cambria"/>
                <w:sz w:val="20"/>
                <w:szCs w:val="20"/>
              </w:rPr>
              <w:t xml:space="preserve">in relation to Article </w:t>
            </w:r>
            <w:r w:rsidRPr="00FF1FA4">
              <w:rPr>
                <w:rFonts w:ascii="Cambria" w:hAnsi="Cambria"/>
                <w:sz w:val="20"/>
                <w:szCs w:val="20"/>
              </w:rPr>
              <w:t>1</w:t>
            </w:r>
            <w:r>
              <w:rPr>
                <w:rFonts w:ascii="Cambria" w:hAnsi="Cambria"/>
                <w:sz w:val="20"/>
                <w:szCs w:val="20"/>
              </w:rPr>
              <w:t>(</w:t>
            </w:r>
            <w:r w:rsidRPr="00FF1FA4">
              <w:rPr>
                <w:rFonts w:ascii="Cambria" w:hAnsi="Cambria"/>
                <w:sz w:val="20"/>
                <w:szCs w:val="20"/>
              </w:rPr>
              <w:t>1</w:t>
            </w:r>
            <w:r>
              <w:rPr>
                <w:rFonts w:ascii="Cambria" w:hAnsi="Cambria"/>
                <w:sz w:val="20"/>
                <w:szCs w:val="20"/>
              </w:rPr>
              <w:t>)</w:t>
            </w:r>
          </w:p>
        </w:tc>
      </w:tr>
    </w:tbl>
    <w:p w:rsidR="00D9648D" w:rsidRPr="00FF1FA4" w:rsidRDefault="00D9648D" w:rsidP="00D9648D">
      <w:pPr>
        <w:spacing w:before="240" w:after="240"/>
        <w:ind w:firstLine="720"/>
        <w:jc w:val="both"/>
        <w:rPr>
          <w:rFonts w:asciiTheme="majorHAnsi" w:hAnsiTheme="majorHAnsi"/>
          <w:b/>
          <w:bCs/>
          <w:sz w:val="20"/>
          <w:szCs w:val="20"/>
        </w:rPr>
      </w:pPr>
      <w:r w:rsidRPr="00FF1FA4">
        <w:rPr>
          <w:rFonts w:asciiTheme="majorHAnsi" w:hAnsiTheme="majorHAnsi"/>
          <w:b/>
          <w:bCs/>
          <w:sz w:val="20"/>
          <w:szCs w:val="20"/>
        </w:rPr>
        <w:t>II.</w:t>
      </w:r>
      <w:r w:rsidRPr="00FF1FA4">
        <w:rPr>
          <w:rFonts w:asciiTheme="majorHAnsi" w:hAnsiTheme="majorHAnsi"/>
          <w:b/>
          <w:bCs/>
          <w:sz w:val="20"/>
          <w:szCs w:val="20"/>
        </w:rPr>
        <w:tab/>
      </w:r>
      <w:r>
        <w:rPr>
          <w:rFonts w:asciiTheme="majorHAnsi" w:hAnsiTheme="majorHAnsi"/>
          <w:b/>
          <w:bCs/>
          <w:sz w:val="20"/>
          <w:szCs w:val="20"/>
        </w:rPr>
        <w:t>PROCEDURE BEFORE THE IACHR</w:t>
      </w:r>
      <w:r w:rsidRPr="00FF1FA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whih the petition was received</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 xml:space="preserve">March </w:t>
            </w:r>
            <w:r w:rsidRPr="00FF1FA4">
              <w:rPr>
                <w:rFonts w:ascii="Cambria" w:hAnsi="Cambria"/>
                <w:bCs/>
                <w:sz w:val="20"/>
                <w:szCs w:val="20"/>
              </w:rPr>
              <w:t>14</w:t>
            </w:r>
            <w:r>
              <w:rPr>
                <w:rFonts w:ascii="Cambria" w:hAnsi="Cambria"/>
                <w:bCs/>
                <w:sz w:val="20"/>
                <w:szCs w:val="20"/>
              </w:rPr>
              <w:t>,</w:t>
            </w:r>
            <w:r w:rsidRPr="00FF1FA4">
              <w:rPr>
                <w:rFonts w:ascii="Cambria" w:hAnsi="Cambria"/>
                <w:bCs/>
                <w:sz w:val="20"/>
                <w:szCs w:val="20"/>
              </w:rPr>
              <w:t xml:space="preserve"> 2008</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 xml:space="preserve">November </w:t>
            </w:r>
            <w:r w:rsidRPr="00FF1FA4">
              <w:rPr>
                <w:rFonts w:ascii="Cambria" w:hAnsi="Cambria"/>
                <w:bCs/>
                <w:sz w:val="20"/>
                <w:szCs w:val="20"/>
              </w:rPr>
              <w:t>28</w:t>
            </w:r>
            <w:r>
              <w:rPr>
                <w:rFonts w:ascii="Cambria" w:hAnsi="Cambria"/>
                <w:bCs/>
                <w:sz w:val="20"/>
                <w:szCs w:val="20"/>
              </w:rPr>
              <w:t>,</w:t>
            </w:r>
            <w:r w:rsidRPr="00FF1FA4">
              <w:rPr>
                <w:rFonts w:ascii="Cambria" w:hAnsi="Cambria"/>
                <w:bCs/>
                <w:sz w:val="20"/>
                <w:szCs w:val="20"/>
              </w:rPr>
              <w:t xml:space="preserve"> 2012</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 xml:space="preserve">June </w:t>
            </w:r>
            <w:r w:rsidRPr="00FF1FA4">
              <w:rPr>
                <w:rFonts w:ascii="Cambria" w:hAnsi="Cambria"/>
                <w:bCs/>
                <w:sz w:val="20"/>
                <w:szCs w:val="20"/>
              </w:rPr>
              <w:t>7</w:t>
            </w:r>
            <w:r>
              <w:rPr>
                <w:rFonts w:ascii="Cambria" w:hAnsi="Cambria"/>
                <w:bCs/>
                <w:sz w:val="20"/>
                <w:szCs w:val="20"/>
              </w:rPr>
              <w:t>,</w:t>
            </w:r>
            <w:r w:rsidRPr="00FF1FA4">
              <w:rPr>
                <w:rFonts w:ascii="Cambria" w:hAnsi="Cambria"/>
                <w:bCs/>
                <w:sz w:val="20"/>
                <w:szCs w:val="20"/>
              </w:rPr>
              <w:t xml:space="preserve"> 2013</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 xml:space="preserve">May </w:t>
            </w:r>
            <w:r w:rsidRPr="00FF1FA4">
              <w:rPr>
                <w:rFonts w:ascii="Cambria" w:hAnsi="Cambria"/>
                <w:bCs/>
                <w:sz w:val="20"/>
                <w:szCs w:val="20"/>
              </w:rPr>
              <w:t>23</w:t>
            </w:r>
            <w:r>
              <w:rPr>
                <w:rFonts w:ascii="Cambria" w:hAnsi="Cambria"/>
                <w:bCs/>
                <w:sz w:val="20"/>
                <w:szCs w:val="20"/>
              </w:rPr>
              <w:t>,</w:t>
            </w:r>
            <w:r w:rsidRPr="00FF1FA4">
              <w:rPr>
                <w:rFonts w:ascii="Cambria" w:hAnsi="Cambria"/>
                <w:bCs/>
                <w:sz w:val="20"/>
                <w:szCs w:val="20"/>
              </w:rPr>
              <w:t xml:space="preserve"> 2014</w:t>
            </w:r>
          </w:p>
        </w:tc>
      </w:tr>
      <w:tr w:rsidR="00D9648D" w:rsidRPr="00FF1FA4" w:rsidTr="00D9648D">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 xml:space="preserve">August </w:t>
            </w:r>
            <w:r w:rsidRPr="00FF1FA4">
              <w:rPr>
                <w:rFonts w:ascii="Cambria" w:hAnsi="Cambria"/>
                <w:bCs/>
                <w:sz w:val="20"/>
                <w:szCs w:val="20"/>
              </w:rPr>
              <w:t>14</w:t>
            </w:r>
            <w:r>
              <w:rPr>
                <w:rFonts w:ascii="Cambria" w:hAnsi="Cambria"/>
                <w:bCs/>
                <w:sz w:val="20"/>
                <w:szCs w:val="20"/>
              </w:rPr>
              <w:t>,</w:t>
            </w:r>
            <w:r w:rsidRPr="00FF1FA4">
              <w:rPr>
                <w:rFonts w:ascii="Cambria" w:hAnsi="Cambria"/>
                <w:bCs/>
                <w:sz w:val="20"/>
                <w:szCs w:val="20"/>
              </w:rPr>
              <w:t xml:space="preserve"> 2014</w:t>
            </w:r>
          </w:p>
        </w:tc>
      </w:tr>
    </w:tbl>
    <w:p w:rsidR="00D9648D" w:rsidRPr="00FF1FA4" w:rsidRDefault="00D9648D" w:rsidP="00D9648D">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Pr="00FF1FA4">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D9648D" w:rsidRPr="00FF1FA4" w:rsidTr="00D9648D">
        <w:trPr>
          <w:cantSplit/>
        </w:trPr>
        <w:tc>
          <w:tcPr>
            <w:tcW w:w="4590" w:type="dxa"/>
            <w:tcBorders>
              <w:top w:val="single" w:sz="4" w:space="0" w:color="auto"/>
              <w:bottom w:val="single" w:sz="6" w:space="0" w:color="auto"/>
            </w:tcBorders>
            <w:shd w:val="clear" w:color="auto" w:fill="67AE3C"/>
            <w:vAlign w:val="center"/>
          </w:tcPr>
          <w:p w:rsidR="00D9648D" w:rsidRPr="00FF1FA4" w:rsidRDefault="00D9648D" w:rsidP="0048032D">
            <w:pPr>
              <w:jc w:val="center"/>
              <w:rPr>
                <w:rFonts w:ascii="Cambria" w:hAnsi="Cambria"/>
                <w:b/>
                <w:bCs/>
                <w:i/>
                <w:color w:val="FFFFFF" w:themeColor="background1"/>
                <w:sz w:val="20"/>
                <w:szCs w:val="20"/>
              </w:rPr>
            </w:pPr>
            <w:r w:rsidRPr="00FF1FA4">
              <w:rPr>
                <w:rFonts w:ascii="Cambria" w:hAnsi="Cambria"/>
                <w:b/>
                <w:bCs/>
                <w:color w:val="FFFFFF" w:themeColor="background1"/>
                <w:sz w:val="20"/>
                <w:szCs w:val="20"/>
              </w:rPr>
              <w:t>Competenc</w:t>
            </w:r>
            <w:r>
              <w:rPr>
                <w:rFonts w:ascii="Cambria" w:hAnsi="Cambria"/>
                <w:b/>
                <w:bCs/>
                <w:color w:val="FFFFFF" w:themeColor="background1"/>
                <w:sz w:val="20"/>
                <w:szCs w:val="20"/>
              </w:rPr>
              <w:t>e</w:t>
            </w:r>
            <w:r>
              <w:rPr>
                <w:rFonts w:ascii="Cambria" w:hAnsi="Cambria"/>
                <w:b/>
                <w:bCs/>
                <w:i/>
                <w:color w:val="FFFFFF" w:themeColor="background1"/>
                <w:sz w:val="20"/>
                <w:szCs w:val="20"/>
              </w:rPr>
              <w:t xml:space="preserve"> r</w:t>
            </w:r>
            <w:r w:rsidRPr="00FF1FA4">
              <w:rPr>
                <w:rFonts w:ascii="Cambria" w:hAnsi="Cambria"/>
                <w:b/>
                <w:bCs/>
                <w:i/>
                <w:color w:val="FFFFFF" w:themeColor="background1"/>
                <w:sz w:val="20"/>
                <w:szCs w:val="20"/>
              </w:rPr>
              <w:t>atione personae:</w:t>
            </w:r>
          </w:p>
        </w:tc>
        <w:tc>
          <w:tcPr>
            <w:tcW w:w="4770" w:type="dxa"/>
            <w:vAlign w:val="center"/>
          </w:tcPr>
          <w:p w:rsidR="00D9648D" w:rsidRPr="00FF1FA4" w:rsidRDefault="00D9648D" w:rsidP="0048032D">
            <w:pPr>
              <w:rPr>
                <w:rFonts w:ascii="Cambria" w:hAnsi="Cambria"/>
                <w:bCs/>
                <w:sz w:val="20"/>
                <w:szCs w:val="20"/>
              </w:rPr>
            </w:pPr>
            <w:r>
              <w:rPr>
                <w:rFonts w:ascii="Cambria" w:hAnsi="Cambria"/>
                <w:bCs/>
                <w:sz w:val="20"/>
                <w:szCs w:val="20"/>
              </w:rPr>
              <w:t>Yes</w:t>
            </w:r>
          </w:p>
        </w:tc>
      </w:tr>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FF1FA4">
              <w:rPr>
                <w:rFonts w:ascii="Cambria" w:hAnsi="Cambria"/>
                <w:b/>
                <w:bCs/>
                <w:color w:val="FFFFFF" w:themeColor="background1"/>
                <w:sz w:val="20"/>
                <w:szCs w:val="20"/>
              </w:rPr>
              <w:t>Competenc</w:t>
            </w:r>
            <w:r>
              <w:rPr>
                <w:rFonts w:ascii="Cambria" w:hAnsi="Cambria"/>
                <w:b/>
                <w:bCs/>
                <w:color w:val="FFFFFF" w:themeColor="background1"/>
                <w:sz w:val="20"/>
                <w:szCs w:val="20"/>
              </w:rPr>
              <w:t>e</w:t>
            </w:r>
            <w:r>
              <w:rPr>
                <w:rFonts w:ascii="Cambria" w:hAnsi="Cambria"/>
                <w:b/>
                <w:bCs/>
                <w:i/>
                <w:color w:val="FFFFFF" w:themeColor="background1"/>
                <w:sz w:val="20"/>
                <w:szCs w:val="20"/>
              </w:rPr>
              <w:t xml:space="preserve"> r</w:t>
            </w:r>
            <w:r w:rsidRPr="00FF1FA4">
              <w:rPr>
                <w:rFonts w:ascii="Cambria" w:hAnsi="Cambria"/>
                <w:b/>
                <w:bCs/>
                <w:i/>
                <w:color w:val="FFFFFF" w:themeColor="background1"/>
                <w:sz w:val="20"/>
                <w:szCs w:val="20"/>
              </w:rPr>
              <w:t>atione loci</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rPr>
                <w:rFonts w:ascii="Cambria" w:hAnsi="Cambria"/>
                <w:bCs/>
                <w:sz w:val="20"/>
                <w:szCs w:val="20"/>
              </w:rPr>
            </w:pPr>
            <w:r>
              <w:rPr>
                <w:rFonts w:ascii="Cambria" w:hAnsi="Cambria"/>
                <w:bCs/>
                <w:sz w:val="20"/>
                <w:szCs w:val="20"/>
              </w:rPr>
              <w:t>Yes</w:t>
            </w:r>
          </w:p>
        </w:tc>
      </w:tr>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FF1FA4">
              <w:rPr>
                <w:rFonts w:ascii="Cambria" w:hAnsi="Cambria"/>
                <w:b/>
                <w:bCs/>
                <w:color w:val="FFFFFF" w:themeColor="background1"/>
                <w:sz w:val="20"/>
                <w:szCs w:val="20"/>
              </w:rPr>
              <w:t>Competenc</w:t>
            </w:r>
            <w:r>
              <w:rPr>
                <w:rFonts w:ascii="Cambria" w:hAnsi="Cambria"/>
                <w:b/>
                <w:bCs/>
                <w:color w:val="FFFFFF" w:themeColor="background1"/>
                <w:sz w:val="20"/>
                <w:szCs w:val="20"/>
              </w:rPr>
              <w:t>e</w:t>
            </w:r>
            <w:r>
              <w:rPr>
                <w:rFonts w:ascii="Cambria" w:hAnsi="Cambria"/>
                <w:b/>
                <w:bCs/>
                <w:i/>
                <w:color w:val="FFFFFF" w:themeColor="background1"/>
                <w:sz w:val="20"/>
                <w:szCs w:val="20"/>
              </w:rPr>
              <w:t xml:space="preserve"> r</w:t>
            </w:r>
            <w:r w:rsidRPr="00FF1FA4">
              <w:rPr>
                <w:rFonts w:ascii="Cambria" w:hAnsi="Cambria"/>
                <w:b/>
                <w:bCs/>
                <w:i/>
                <w:color w:val="FFFFFF" w:themeColor="background1"/>
                <w:sz w:val="20"/>
                <w:szCs w:val="20"/>
              </w:rPr>
              <w:t>atione temporis</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bCs/>
                <w:sz w:val="20"/>
                <w:szCs w:val="20"/>
              </w:rPr>
            </w:pPr>
            <w:r>
              <w:rPr>
                <w:rFonts w:ascii="Cambria" w:hAnsi="Cambria"/>
                <w:bCs/>
                <w:sz w:val="20"/>
                <w:szCs w:val="20"/>
              </w:rPr>
              <w:t>Yes</w:t>
            </w:r>
            <w:r w:rsidRPr="00FF1FA4">
              <w:rPr>
                <w:rFonts w:ascii="Cambria" w:hAnsi="Cambria"/>
                <w:bCs/>
                <w:sz w:val="20"/>
                <w:szCs w:val="20"/>
              </w:rPr>
              <w:t xml:space="preserve">, </w:t>
            </w:r>
            <w:r>
              <w:rPr>
                <w:rFonts w:ascii="Cambria" w:hAnsi="Cambria"/>
                <w:bCs/>
                <w:sz w:val="20"/>
                <w:szCs w:val="20"/>
              </w:rPr>
              <w:t xml:space="preserve">American Convention (deposited instrument July </w:t>
            </w:r>
            <w:r w:rsidRPr="00FF1FA4">
              <w:rPr>
                <w:rFonts w:ascii="Cambria" w:hAnsi="Cambria"/>
                <w:bCs/>
                <w:sz w:val="20"/>
                <w:szCs w:val="20"/>
              </w:rPr>
              <w:t>31</w:t>
            </w:r>
            <w:r>
              <w:rPr>
                <w:rFonts w:ascii="Cambria" w:hAnsi="Cambria"/>
                <w:bCs/>
                <w:sz w:val="20"/>
                <w:szCs w:val="20"/>
              </w:rPr>
              <w:t>,</w:t>
            </w:r>
            <w:r w:rsidRPr="00FF1FA4">
              <w:rPr>
                <w:rFonts w:ascii="Cambria" w:hAnsi="Cambria"/>
                <w:bCs/>
                <w:sz w:val="20"/>
                <w:szCs w:val="20"/>
              </w:rPr>
              <w:t xml:space="preserve"> 1973); </w:t>
            </w:r>
            <w:r>
              <w:rPr>
                <w:rFonts w:ascii="Cambria" w:hAnsi="Cambria"/>
                <w:bCs/>
                <w:sz w:val="20"/>
                <w:szCs w:val="20"/>
              </w:rPr>
              <w:t xml:space="preserve">Inter-American Convention on Forced Disappearance of Persons </w:t>
            </w:r>
            <w:r w:rsidRPr="00FF1FA4">
              <w:rPr>
                <w:rFonts w:ascii="Cambria" w:hAnsi="Cambria"/>
                <w:bCs/>
                <w:sz w:val="20"/>
                <w:szCs w:val="20"/>
              </w:rPr>
              <w:t>(dep</w:t>
            </w:r>
            <w:r>
              <w:rPr>
                <w:rFonts w:ascii="Cambria" w:hAnsi="Cambria"/>
                <w:bCs/>
                <w:sz w:val="20"/>
                <w:szCs w:val="20"/>
              </w:rPr>
              <w:t xml:space="preserve">osited instrument April </w:t>
            </w:r>
            <w:r w:rsidRPr="00FF1FA4">
              <w:rPr>
                <w:rFonts w:ascii="Cambria" w:hAnsi="Cambria"/>
                <w:bCs/>
                <w:sz w:val="20"/>
                <w:szCs w:val="20"/>
              </w:rPr>
              <w:t>12</w:t>
            </w:r>
            <w:r>
              <w:rPr>
                <w:rFonts w:ascii="Cambria" w:hAnsi="Cambria"/>
                <w:bCs/>
                <w:sz w:val="20"/>
                <w:szCs w:val="20"/>
              </w:rPr>
              <w:t>,</w:t>
            </w:r>
            <w:r w:rsidRPr="00FF1FA4">
              <w:rPr>
                <w:rFonts w:ascii="Cambria" w:hAnsi="Cambria"/>
                <w:bCs/>
                <w:sz w:val="20"/>
                <w:szCs w:val="20"/>
              </w:rPr>
              <w:t xml:space="preserve"> 2005)</w:t>
            </w:r>
          </w:p>
        </w:tc>
      </w:tr>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FF1FA4">
              <w:rPr>
                <w:rFonts w:ascii="Cambria" w:hAnsi="Cambria"/>
                <w:b/>
                <w:bCs/>
                <w:color w:val="FFFFFF" w:themeColor="background1"/>
                <w:sz w:val="20"/>
                <w:szCs w:val="20"/>
              </w:rPr>
              <w:t>Competenc</w:t>
            </w:r>
            <w:r>
              <w:rPr>
                <w:rFonts w:ascii="Cambria" w:hAnsi="Cambria"/>
                <w:b/>
                <w:bCs/>
                <w:color w:val="FFFFFF" w:themeColor="background1"/>
                <w:sz w:val="20"/>
                <w:szCs w:val="20"/>
              </w:rPr>
              <w:t>e</w:t>
            </w:r>
            <w:r>
              <w:rPr>
                <w:rFonts w:ascii="Cambria" w:hAnsi="Cambria"/>
                <w:b/>
                <w:bCs/>
                <w:i/>
                <w:color w:val="FFFFFF" w:themeColor="background1"/>
                <w:sz w:val="20"/>
                <w:szCs w:val="20"/>
              </w:rPr>
              <w:t xml:space="preserve"> r</w:t>
            </w:r>
            <w:r w:rsidRPr="00FF1FA4">
              <w:rPr>
                <w:rFonts w:ascii="Cambria" w:hAnsi="Cambria"/>
                <w:b/>
                <w:bCs/>
                <w:i/>
                <w:color w:val="FFFFFF" w:themeColor="background1"/>
                <w:sz w:val="20"/>
                <w:szCs w:val="20"/>
              </w:rPr>
              <w:t>atione materiae</w:t>
            </w:r>
            <w:r w:rsidRPr="00FF1FA4">
              <w:rPr>
                <w:rFonts w:ascii="Cambria" w:hAnsi="Cambria"/>
                <w:b/>
                <w:bCs/>
                <w:color w:val="FFFFFF" w:themeColor="background1"/>
                <w:sz w:val="20"/>
                <w:szCs w:val="20"/>
              </w:rPr>
              <w:t>:</w:t>
            </w:r>
          </w:p>
        </w:tc>
        <w:tc>
          <w:tcPr>
            <w:tcW w:w="4770" w:type="dxa"/>
            <w:vAlign w:val="center"/>
          </w:tcPr>
          <w:p w:rsidR="00D9648D" w:rsidRPr="00FF1FA4" w:rsidRDefault="00D9648D" w:rsidP="0048032D">
            <w:pPr>
              <w:jc w:val="both"/>
              <w:rPr>
                <w:rFonts w:ascii="Cambria" w:hAnsi="Cambria"/>
                <w:bCs/>
                <w:sz w:val="20"/>
                <w:szCs w:val="20"/>
              </w:rPr>
            </w:pPr>
            <w:r>
              <w:rPr>
                <w:rFonts w:ascii="Cambria" w:hAnsi="Cambria"/>
                <w:bCs/>
                <w:sz w:val="20"/>
                <w:szCs w:val="20"/>
              </w:rPr>
              <w:t>Yes</w:t>
            </w:r>
          </w:p>
        </w:tc>
      </w:tr>
    </w:tbl>
    <w:p w:rsidR="00D9648D" w:rsidRPr="000B6B7A" w:rsidRDefault="00D9648D" w:rsidP="00D9648D">
      <w:pPr>
        <w:spacing w:before="240" w:after="240"/>
        <w:ind w:firstLine="720"/>
        <w:jc w:val="both"/>
        <w:rPr>
          <w:rFonts w:asciiTheme="majorHAnsi" w:hAnsiTheme="majorHAnsi"/>
          <w:b/>
          <w:bCs/>
          <w:sz w:val="20"/>
          <w:szCs w:val="20"/>
        </w:rPr>
      </w:pPr>
      <w:r w:rsidRPr="00FF1FA4">
        <w:rPr>
          <w:rFonts w:asciiTheme="majorHAnsi" w:hAnsiTheme="majorHAnsi"/>
          <w:b/>
          <w:bCs/>
          <w:sz w:val="20"/>
          <w:szCs w:val="20"/>
        </w:rPr>
        <w:t xml:space="preserve">IV. </w:t>
      </w:r>
      <w:r w:rsidRPr="00FF1FA4">
        <w:rPr>
          <w:rFonts w:asciiTheme="majorHAnsi" w:hAnsiTheme="majorHAnsi"/>
          <w:b/>
          <w:bCs/>
          <w:sz w:val="20"/>
          <w:szCs w:val="20"/>
        </w:rPr>
        <w:tab/>
      </w:r>
      <w:r w:rsidRPr="000B6B7A">
        <w:rPr>
          <w:rFonts w:asciiTheme="majorHAnsi" w:hAnsiTheme="majorHAnsi"/>
          <w:b/>
          <w:bCs/>
          <w:sz w:val="20"/>
          <w:szCs w:val="20"/>
        </w:rPr>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i/>
                <w:color w:val="FFFFFF" w:themeColor="background1"/>
                <w:sz w:val="20"/>
                <w:szCs w:val="20"/>
              </w:rPr>
            </w:pPr>
            <w:r>
              <w:rPr>
                <w:rFonts w:asciiTheme="majorHAnsi" w:hAnsiTheme="majorHAnsi"/>
                <w:b/>
                <w:bCs/>
                <w:color w:val="FFFFFF" w:themeColor="background1"/>
                <w:sz w:val="20"/>
                <w:szCs w:val="20"/>
              </w:rPr>
              <w:t xml:space="preserve">Duplication of procedures and international </w:t>
            </w:r>
            <w:r w:rsidRPr="006A4B4F">
              <w:rPr>
                <w:rFonts w:asciiTheme="majorHAnsi" w:hAnsiTheme="majorHAnsi"/>
                <w:b/>
                <w:bCs/>
                <w:i/>
                <w:iCs/>
                <w:color w:val="FFFFFF" w:themeColor="background1"/>
                <w:sz w:val="20"/>
                <w:szCs w:val="20"/>
              </w:rPr>
              <w:t>res judicata</w:t>
            </w:r>
            <w:r>
              <w:rPr>
                <w:rFonts w:asciiTheme="majorHAnsi" w:hAnsiTheme="majorHAnsi"/>
                <w:b/>
                <w:bCs/>
                <w:color w:val="FFFFFF" w:themeColor="background1"/>
                <w:sz w:val="20"/>
                <w:szCs w:val="20"/>
              </w:rPr>
              <w:t xml:space="preserve"> </w:t>
            </w:r>
          </w:p>
        </w:tc>
        <w:tc>
          <w:tcPr>
            <w:tcW w:w="4770" w:type="dxa"/>
            <w:vAlign w:val="center"/>
          </w:tcPr>
          <w:p w:rsidR="00D9648D" w:rsidRPr="00FF1FA4" w:rsidRDefault="00D9648D" w:rsidP="0048032D">
            <w:pPr>
              <w:rPr>
                <w:rFonts w:ascii="Cambria" w:hAnsi="Cambria"/>
                <w:bCs/>
                <w:sz w:val="20"/>
                <w:szCs w:val="20"/>
                <w:bdr w:val="none" w:sz="0" w:space="0" w:color="auto" w:frame="1"/>
              </w:rPr>
            </w:pPr>
            <w:r w:rsidRPr="00FF1FA4">
              <w:rPr>
                <w:rFonts w:ascii="Cambria" w:hAnsi="Cambria"/>
                <w:bCs/>
                <w:sz w:val="20"/>
                <w:szCs w:val="20"/>
                <w:bdr w:val="none" w:sz="0" w:space="0" w:color="auto" w:frame="1"/>
              </w:rPr>
              <w:t>No</w:t>
            </w:r>
          </w:p>
        </w:tc>
      </w:tr>
      <w:tr w:rsidR="00D9648D" w:rsidRPr="00FF1FA4" w:rsidTr="00D9648D">
        <w:trPr>
          <w:cantSplit/>
        </w:trPr>
        <w:tc>
          <w:tcPr>
            <w:tcW w:w="4590" w:type="dxa"/>
            <w:tcBorders>
              <w:top w:val="single" w:sz="4" w:space="0" w:color="auto"/>
              <w:bottom w:val="single" w:sz="6" w:space="0" w:color="auto"/>
            </w:tcBorders>
            <w:shd w:val="clear" w:color="auto" w:fill="67AE3C"/>
            <w:vAlign w:val="center"/>
          </w:tcPr>
          <w:p w:rsidR="00D9648D" w:rsidRPr="00FF1FA4" w:rsidRDefault="00D9648D" w:rsidP="0048032D">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Rights declared admissible</w:t>
            </w:r>
            <w:r w:rsidRPr="00FF1FA4">
              <w:rPr>
                <w:rFonts w:ascii="Cambria" w:hAnsi="Cambria"/>
                <w:b/>
                <w:bCs/>
                <w:i/>
                <w:color w:val="FFFFFF" w:themeColor="background1"/>
                <w:sz w:val="20"/>
                <w:szCs w:val="20"/>
              </w:rPr>
              <w:t>:</w:t>
            </w:r>
          </w:p>
        </w:tc>
        <w:tc>
          <w:tcPr>
            <w:tcW w:w="4770" w:type="dxa"/>
            <w:vAlign w:val="center"/>
          </w:tcPr>
          <w:p w:rsidR="00D9648D" w:rsidRPr="00FF1FA4" w:rsidRDefault="00D9648D" w:rsidP="0048032D">
            <w:pPr>
              <w:rPr>
                <w:rFonts w:ascii="Cambria" w:hAnsi="Cambria"/>
                <w:bCs/>
                <w:sz w:val="20"/>
                <w:szCs w:val="20"/>
              </w:rPr>
            </w:pPr>
            <w:r w:rsidRPr="00FF1FA4">
              <w:rPr>
                <w:rFonts w:ascii="Cambria" w:hAnsi="Cambria"/>
                <w:bCs/>
                <w:sz w:val="20"/>
                <w:szCs w:val="20"/>
              </w:rPr>
              <w:t>A</w:t>
            </w:r>
            <w:r>
              <w:rPr>
                <w:rFonts w:ascii="Cambria" w:hAnsi="Cambria"/>
                <w:bCs/>
                <w:sz w:val="20"/>
                <w:szCs w:val="20"/>
              </w:rPr>
              <w:t>rticles 3, 4, 5, 7, 8, 19 and</w:t>
            </w:r>
            <w:r w:rsidRPr="00FF1FA4">
              <w:rPr>
                <w:rFonts w:ascii="Cambria" w:hAnsi="Cambria"/>
                <w:bCs/>
                <w:sz w:val="20"/>
                <w:szCs w:val="20"/>
              </w:rPr>
              <w:t xml:space="preserve"> 25 </w:t>
            </w:r>
            <w:r>
              <w:rPr>
                <w:rFonts w:ascii="Cambria" w:hAnsi="Cambria"/>
                <w:bCs/>
                <w:sz w:val="20"/>
                <w:szCs w:val="20"/>
              </w:rPr>
              <w:t>of the American Convention</w:t>
            </w:r>
            <w:r w:rsidRPr="00FF1FA4">
              <w:rPr>
                <w:rFonts w:ascii="Cambria" w:hAnsi="Cambria"/>
                <w:bCs/>
                <w:sz w:val="20"/>
                <w:szCs w:val="20"/>
              </w:rPr>
              <w:t xml:space="preserve">; </w:t>
            </w:r>
            <w:r>
              <w:rPr>
                <w:rFonts w:ascii="Cambria" w:hAnsi="Cambria"/>
                <w:bCs/>
                <w:sz w:val="20"/>
                <w:szCs w:val="20"/>
              </w:rPr>
              <w:t xml:space="preserve">and Article </w:t>
            </w:r>
            <w:r w:rsidRPr="00FF1FA4">
              <w:rPr>
                <w:rFonts w:ascii="Cambria" w:hAnsi="Cambria"/>
                <w:bCs/>
                <w:sz w:val="20"/>
                <w:szCs w:val="20"/>
              </w:rPr>
              <w:t xml:space="preserve">I </w:t>
            </w:r>
            <w:r>
              <w:rPr>
                <w:rFonts w:ascii="Cambria" w:hAnsi="Cambria"/>
                <w:bCs/>
                <w:sz w:val="20"/>
                <w:szCs w:val="20"/>
              </w:rPr>
              <w:t xml:space="preserve">of the Inter-American Convention on Forced Disappearance of Persons </w:t>
            </w:r>
          </w:p>
        </w:tc>
      </w:tr>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Exhaustion of domestic remedies or applicability of an exception </w:t>
            </w:r>
            <w:r w:rsidRPr="000B6B7A">
              <w:rPr>
                <w:rFonts w:ascii="Cambria" w:hAnsi="Cambria"/>
                <w:b/>
                <w:bCs/>
                <w:color w:val="FFFFFF" w:themeColor="background1"/>
                <w:sz w:val="20"/>
                <w:szCs w:val="20"/>
              </w:rPr>
              <w:t>to the rule:</w:t>
            </w:r>
          </w:p>
        </w:tc>
        <w:tc>
          <w:tcPr>
            <w:tcW w:w="4770" w:type="dxa"/>
            <w:vAlign w:val="center"/>
          </w:tcPr>
          <w:p w:rsidR="00D9648D" w:rsidRPr="00FF1FA4" w:rsidRDefault="00D9648D" w:rsidP="0048032D">
            <w:pPr>
              <w:rPr>
                <w:rFonts w:ascii="Cambria" w:hAnsi="Cambria"/>
                <w:bCs/>
                <w:sz w:val="20"/>
                <w:szCs w:val="20"/>
              </w:rPr>
            </w:pPr>
            <w:r>
              <w:rPr>
                <w:rFonts w:ascii="Cambria" w:hAnsi="Cambria"/>
                <w:bCs/>
                <w:sz w:val="20"/>
                <w:szCs w:val="20"/>
              </w:rPr>
              <w:t xml:space="preserve">Yes, exception provided for at Article </w:t>
            </w:r>
            <w:r w:rsidRPr="00FF1FA4">
              <w:rPr>
                <w:rFonts w:ascii="Cambria" w:hAnsi="Cambria"/>
                <w:bCs/>
                <w:sz w:val="20"/>
                <w:szCs w:val="20"/>
              </w:rPr>
              <w:t>46</w:t>
            </w:r>
            <w:r>
              <w:rPr>
                <w:rFonts w:ascii="Cambria" w:hAnsi="Cambria"/>
                <w:bCs/>
                <w:sz w:val="20"/>
                <w:szCs w:val="20"/>
              </w:rPr>
              <w:t>(</w:t>
            </w:r>
            <w:r w:rsidRPr="00FF1FA4">
              <w:rPr>
                <w:rFonts w:ascii="Cambria" w:hAnsi="Cambria"/>
                <w:bCs/>
                <w:sz w:val="20"/>
                <w:szCs w:val="20"/>
              </w:rPr>
              <w:t>2</w:t>
            </w:r>
            <w:r>
              <w:rPr>
                <w:rFonts w:ascii="Cambria" w:hAnsi="Cambria"/>
                <w:bCs/>
                <w:sz w:val="20"/>
                <w:szCs w:val="20"/>
              </w:rPr>
              <w:t>)(</w:t>
            </w:r>
            <w:r w:rsidRPr="00FF1FA4">
              <w:rPr>
                <w:rFonts w:ascii="Cambria" w:hAnsi="Cambria"/>
                <w:bCs/>
                <w:sz w:val="20"/>
                <w:szCs w:val="20"/>
              </w:rPr>
              <w:t>c</w:t>
            </w:r>
            <w:r>
              <w:rPr>
                <w:rFonts w:ascii="Cambria" w:hAnsi="Cambria"/>
                <w:bCs/>
                <w:sz w:val="20"/>
                <w:szCs w:val="20"/>
              </w:rPr>
              <w:t>)</w:t>
            </w:r>
            <w:r w:rsidRPr="00FF1FA4">
              <w:rPr>
                <w:rFonts w:ascii="Cambria" w:hAnsi="Cambria"/>
                <w:bCs/>
                <w:sz w:val="20"/>
                <w:szCs w:val="20"/>
              </w:rPr>
              <w:t xml:space="preserve"> </w:t>
            </w:r>
            <w:r>
              <w:rPr>
                <w:rFonts w:ascii="Cambria" w:hAnsi="Cambria"/>
                <w:bCs/>
                <w:sz w:val="20"/>
                <w:szCs w:val="20"/>
              </w:rPr>
              <w:t xml:space="preserve">of the American Convention on Human Rights </w:t>
            </w:r>
          </w:p>
        </w:tc>
      </w:tr>
      <w:tr w:rsidR="00D9648D" w:rsidRPr="00FF1FA4" w:rsidTr="00D9648D">
        <w:trPr>
          <w:cantSplit/>
        </w:trPr>
        <w:tc>
          <w:tcPr>
            <w:tcW w:w="4590" w:type="dxa"/>
            <w:tcBorders>
              <w:top w:val="single" w:sz="6" w:space="0" w:color="auto"/>
              <w:bottom w:val="single" w:sz="6" w:space="0" w:color="auto"/>
            </w:tcBorders>
            <w:shd w:val="clear" w:color="auto" w:fill="67AE3C"/>
            <w:vAlign w:val="center"/>
          </w:tcPr>
          <w:p w:rsidR="00D9648D" w:rsidRPr="00FF1FA4" w:rsidRDefault="00D9648D" w:rsidP="0048032D">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770" w:type="dxa"/>
            <w:vAlign w:val="center"/>
          </w:tcPr>
          <w:p w:rsidR="00D9648D" w:rsidRPr="00FF1FA4" w:rsidRDefault="00D9648D" w:rsidP="0048032D">
            <w:pPr>
              <w:rPr>
                <w:bCs/>
                <w:sz w:val="20"/>
                <w:szCs w:val="20"/>
              </w:rPr>
            </w:pPr>
            <w:r>
              <w:rPr>
                <w:bCs/>
                <w:sz w:val="20"/>
                <w:szCs w:val="20"/>
              </w:rPr>
              <w:t>Yes</w:t>
            </w:r>
            <w:r w:rsidRPr="00FF1FA4">
              <w:rPr>
                <w:bCs/>
                <w:sz w:val="20"/>
                <w:szCs w:val="20"/>
              </w:rPr>
              <w:t xml:space="preserve">, </w:t>
            </w:r>
            <w:r>
              <w:rPr>
                <w:bCs/>
                <w:sz w:val="20"/>
                <w:szCs w:val="20"/>
              </w:rPr>
              <w:t xml:space="preserve">as set forth in Section </w:t>
            </w:r>
            <w:r w:rsidRPr="00FF1FA4">
              <w:rPr>
                <w:bCs/>
                <w:sz w:val="20"/>
                <w:szCs w:val="20"/>
              </w:rPr>
              <w:t>VI</w:t>
            </w:r>
          </w:p>
        </w:tc>
      </w:tr>
    </w:tbl>
    <w:p w:rsidR="00D9648D" w:rsidRPr="00FF1FA4" w:rsidRDefault="00D9648D" w:rsidP="00D9648D">
      <w:pPr>
        <w:spacing w:before="240" w:after="240"/>
        <w:ind w:firstLine="720"/>
        <w:jc w:val="both"/>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ALLEGED FACTS</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alleges that sometime on July 29 or 30, 2000, Ms. </w:t>
      </w:r>
      <w:r w:rsidRPr="00FF1FA4">
        <w:rPr>
          <w:rFonts w:ascii="Cambria" w:hAnsi="Cambria"/>
          <w:sz w:val="20"/>
          <w:szCs w:val="20"/>
        </w:rPr>
        <w:t xml:space="preserve">Dora María Vélez Roger </w:t>
      </w:r>
      <w:r>
        <w:rPr>
          <w:rFonts w:ascii="Cambria" w:hAnsi="Cambria"/>
          <w:sz w:val="20"/>
          <w:szCs w:val="20"/>
        </w:rPr>
        <w:t xml:space="preserve">and her son </w:t>
      </w:r>
      <w:r w:rsidRPr="00FF1FA4">
        <w:rPr>
          <w:rFonts w:ascii="Cambria" w:hAnsi="Cambria"/>
          <w:sz w:val="20"/>
          <w:szCs w:val="20"/>
        </w:rPr>
        <w:t xml:space="preserve">Simón Callejas Vélez, 14 </w:t>
      </w:r>
      <w:r>
        <w:rPr>
          <w:rFonts w:ascii="Cambria" w:hAnsi="Cambria"/>
          <w:sz w:val="20"/>
          <w:szCs w:val="20"/>
        </w:rPr>
        <w:t xml:space="preserve">years of age, disappeared from their farm, situated in the hamlet of </w:t>
      </w:r>
      <w:r w:rsidRPr="00FF1FA4">
        <w:rPr>
          <w:rFonts w:ascii="Cambria" w:hAnsi="Cambria"/>
          <w:sz w:val="20"/>
          <w:szCs w:val="20"/>
        </w:rPr>
        <w:t xml:space="preserve">La Aguacatera, </w:t>
      </w:r>
      <w:r>
        <w:rPr>
          <w:rFonts w:ascii="Cambria" w:hAnsi="Cambria"/>
          <w:sz w:val="20"/>
          <w:szCs w:val="20"/>
        </w:rPr>
        <w:t xml:space="preserve">district of </w:t>
      </w:r>
      <w:r w:rsidRPr="00FF1FA4">
        <w:rPr>
          <w:rFonts w:ascii="Cambria" w:hAnsi="Cambria"/>
          <w:sz w:val="20"/>
          <w:szCs w:val="20"/>
        </w:rPr>
        <w:t xml:space="preserve">Guachacas, </w:t>
      </w:r>
      <w:r>
        <w:rPr>
          <w:rFonts w:ascii="Cambria" w:hAnsi="Cambria"/>
          <w:sz w:val="20"/>
          <w:szCs w:val="20"/>
        </w:rPr>
        <w:t xml:space="preserve">department of Magdalena; the area was under the absolute control of paramilitary groups that belonged to the unit known as </w:t>
      </w:r>
      <w:r w:rsidRPr="00FF1FA4">
        <w:rPr>
          <w:rFonts w:ascii="Cambria" w:hAnsi="Cambria"/>
          <w:sz w:val="20"/>
          <w:szCs w:val="20"/>
        </w:rPr>
        <w:t xml:space="preserve">Bloque Norte </w:t>
      </w:r>
      <w:r>
        <w:rPr>
          <w:rFonts w:ascii="Cambria" w:hAnsi="Cambria"/>
          <w:sz w:val="20"/>
          <w:szCs w:val="20"/>
        </w:rPr>
        <w:t xml:space="preserve">of the </w:t>
      </w:r>
      <w:r w:rsidRPr="00FF1FA4">
        <w:rPr>
          <w:rFonts w:ascii="Cambria" w:hAnsi="Cambria"/>
          <w:sz w:val="20"/>
          <w:szCs w:val="20"/>
        </w:rPr>
        <w:t xml:space="preserve">Autodefensas Unidas de Colombia (AUC). </w:t>
      </w:r>
      <w:r>
        <w:rPr>
          <w:rFonts w:ascii="Cambria" w:hAnsi="Cambria"/>
          <w:sz w:val="20"/>
          <w:szCs w:val="20"/>
        </w:rPr>
        <w:t xml:space="preserve">Petitioner indicates in this respect that it was widely known that the </w:t>
      </w:r>
      <w:r w:rsidRPr="00FF1FA4">
        <w:rPr>
          <w:rFonts w:ascii="Cambria" w:hAnsi="Cambria"/>
          <w:sz w:val="20"/>
          <w:szCs w:val="20"/>
        </w:rPr>
        <w:t xml:space="preserve">AUC </w:t>
      </w:r>
      <w:r>
        <w:rPr>
          <w:rFonts w:ascii="Cambria" w:hAnsi="Cambria"/>
          <w:sz w:val="20"/>
          <w:szCs w:val="20"/>
        </w:rPr>
        <w:t xml:space="preserve">intended to forcefully appropriate the lands and dwellings in that sector, and that even so the State failed to carry out operations to dismantle the Bloque Norte of the AUC, maintaining, instead, a permissive attitude. It indicates that Mr. </w:t>
      </w:r>
      <w:r w:rsidRPr="00FF1FA4">
        <w:rPr>
          <w:rFonts w:ascii="Cambria" w:hAnsi="Cambria"/>
          <w:sz w:val="20"/>
          <w:szCs w:val="20"/>
        </w:rPr>
        <w:t xml:space="preserve">Hernando Vélez Roger, </w:t>
      </w:r>
      <w:r>
        <w:rPr>
          <w:rFonts w:ascii="Cambria" w:hAnsi="Cambria"/>
          <w:sz w:val="20"/>
          <w:szCs w:val="20"/>
        </w:rPr>
        <w:t>the alleged victim’s brother, travelled to the scene and reported the disappearance of his sister and nephew to the office of the 18</w:t>
      </w:r>
      <w:r w:rsidRPr="00187F72">
        <w:rPr>
          <w:rFonts w:ascii="Cambria" w:hAnsi="Cambria"/>
          <w:sz w:val="20"/>
          <w:szCs w:val="20"/>
          <w:vertAlign w:val="superscript"/>
        </w:rPr>
        <w:t>th</w:t>
      </w:r>
      <w:r>
        <w:rPr>
          <w:rFonts w:ascii="Cambria" w:hAnsi="Cambria"/>
          <w:sz w:val="20"/>
          <w:szCs w:val="20"/>
        </w:rPr>
        <w:t xml:space="preserve"> Prosecutor before the Circuit Criminal Courts (</w:t>
      </w:r>
      <w:r w:rsidRPr="00FF1FA4">
        <w:rPr>
          <w:rFonts w:ascii="Cambria" w:hAnsi="Cambria"/>
          <w:sz w:val="20"/>
          <w:szCs w:val="20"/>
        </w:rPr>
        <w:t>Fiscalía Dieciocho Delegada ante los Jueces Penales del Circuito</w:t>
      </w:r>
      <w:r>
        <w:rPr>
          <w:rFonts w:ascii="Cambria" w:hAnsi="Cambria"/>
          <w:sz w:val="20"/>
          <w:szCs w:val="20"/>
        </w:rPr>
        <w:t xml:space="preserve">) on August 15, </w:t>
      </w:r>
      <w:r w:rsidRPr="00FF1FA4">
        <w:rPr>
          <w:rFonts w:ascii="Cambria" w:hAnsi="Cambria"/>
          <w:sz w:val="20"/>
          <w:szCs w:val="20"/>
        </w:rPr>
        <w:t xml:space="preserve">2000.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Petitioner further argues that the victims’ next-of-kin conducted the first investigations in the place where the disappearance occurred, as the investigators from the Technical Investigations Corps (CTI: </w:t>
      </w:r>
      <w:r w:rsidRPr="00FF1FA4">
        <w:rPr>
          <w:rFonts w:ascii="Cambria" w:hAnsi="Cambria"/>
          <w:sz w:val="20"/>
          <w:szCs w:val="20"/>
        </w:rPr>
        <w:t xml:space="preserve">Cuerpo Técnico de Investigación) </w:t>
      </w:r>
      <w:r>
        <w:rPr>
          <w:rFonts w:ascii="Cambria" w:hAnsi="Cambria"/>
          <w:sz w:val="20"/>
          <w:szCs w:val="20"/>
        </w:rPr>
        <w:t xml:space="preserve">of the Office of the Attorney General refused to inspect the farm where the facts occurred, arguing that it was a high-risk zone. It states that, consequently Mr. </w:t>
      </w:r>
      <w:r w:rsidRPr="00FF1FA4">
        <w:rPr>
          <w:rFonts w:ascii="Cambria" w:hAnsi="Cambria"/>
          <w:sz w:val="20"/>
          <w:szCs w:val="20"/>
        </w:rPr>
        <w:t xml:space="preserve">Vélez Roger </w:t>
      </w:r>
      <w:r>
        <w:rPr>
          <w:rFonts w:ascii="Cambria" w:hAnsi="Cambria"/>
          <w:sz w:val="20"/>
          <w:szCs w:val="20"/>
        </w:rPr>
        <w:t xml:space="preserve">travelled to the scene and gave the Office of the Attorney General and the </w:t>
      </w:r>
      <w:r w:rsidRPr="00FF1FA4">
        <w:rPr>
          <w:rFonts w:ascii="Cambria" w:hAnsi="Cambria"/>
          <w:sz w:val="20"/>
          <w:szCs w:val="20"/>
        </w:rPr>
        <w:t xml:space="preserve">CTI </w:t>
      </w:r>
      <w:r>
        <w:rPr>
          <w:rFonts w:ascii="Cambria" w:hAnsi="Cambria"/>
          <w:sz w:val="20"/>
          <w:szCs w:val="20"/>
        </w:rPr>
        <w:t xml:space="preserve">information on the existence of mass graves in </w:t>
      </w:r>
      <w:r w:rsidRPr="00FF1FA4">
        <w:rPr>
          <w:rFonts w:ascii="Cambria" w:hAnsi="Cambria"/>
          <w:sz w:val="20"/>
          <w:szCs w:val="20"/>
        </w:rPr>
        <w:t xml:space="preserve">Guachacas, </w:t>
      </w:r>
      <w:r>
        <w:rPr>
          <w:rFonts w:ascii="Cambria" w:hAnsi="Cambria"/>
          <w:sz w:val="20"/>
          <w:szCs w:val="20"/>
        </w:rPr>
        <w:t xml:space="preserve">yet the authorities did not go there. Petitioner further alleges that even though a demobilized soldier provided information in </w:t>
      </w:r>
      <w:r w:rsidRPr="00FF1FA4">
        <w:rPr>
          <w:rFonts w:ascii="Cambria" w:hAnsi="Cambria"/>
          <w:sz w:val="20"/>
          <w:szCs w:val="20"/>
        </w:rPr>
        <w:t xml:space="preserve">2007 </w:t>
      </w:r>
      <w:r>
        <w:rPr>
          <w:rFonts w:ascii="Cambria" w:hAnsi="Cambria"/>
          <w:sz w:val="20"/>
          <w:szCs w:val="20"/>
        </w:rPr>
        <w:t xml:space="preserve">about graves with corpses of persons who had been disappeared in the department of </w:t>
      </w:r>
      <w:r w:rsidRPr="00FF1FA4">
        <w:rPr>
          <w:rFonts w:ascii="Cambria" w:hAnsi="Cambria"/>
          <w:sz w:val="20"/>
          <w:szCs w:val="20"/>
        </w:rPr>
        <w:t>Magdalena</w:t>
      </w:r>
      <w:r>
        <w:rPr>
          <w:rFonts w:ascii="Cambria" w:hAnsi="Cambria"/>
          <w:sz w:val="20"/>
          <w:szCs w:val="20"/>
        </w:rPr>
        <w:t>, the authorities have not conducted clear investigations to corroborate the facts given in the confession or to identify the bodies found in the graves. The next-of-kin state that many petitions (</w:t>
      </w:r>
      <w:r w:rsidRPr="006A4B4F">
        <w:rPr>
          <w:rFonts w:ascii="Cambria" w:hAnsi="Cambria"/>
          <w:i/>
          <w:iCs/>
          <w:sz w:val="20"/>
          <w:szCs w:val="20"/>
        </w:rPr>
        <w:t>derechos de petición</w:t>
      </w:r>
      <w:r>
        <w:rPr>
          <w:rFonts w:ascii="Cambria" w:hAnsi="Cambria"/>
          <w:sz w:val="20"/>
          <w:szCs w:val="20"/>
        </w:rPr>
        <w:t>) and criminal complaints (</w:t>
      </w:r>
      <w:r w:rsidRPr="006A4B4F">
        <w:rPr>
          <w:rFonts w:ascii="Cambria" w:hAnsi="Cambria"/>
          <w:i/>
          <w:iCs/>
          <w:sz w:val="20"/>
          <w:szCs w:val="20"/>
        </w:rPr>
        <w:t>quejas</w:t>
      </w:r>
      <w:r>
        <w:rPr>
          <w:rFonts w:ascii="Cambria" w:hAnsi="Cambria"/>
          <w:sz w:val="20"/>
          <w:szCs w:val="20"/>
        </w:rPr>
        <w:t xml:space="preserve">) were lodged to give impetus to the investigation.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petitioner notes that in </w:t>
      </w:r>
      <w:r w:rsidRPr="00FF1FA4">
        <w:rPr>
          <w:rFonts w:ascii="Cambria" w:hAnsi="Cambria"/>
          <w:sz w:val="20"/>
          <w:szCs w:val="20"/>
        </w:rPr>
        <w:t xml:space="preserve">2013 </w:t>
      </w:r>
      <w:r>
        <w:rPr>
          <w:rFonts w:ascii="Cambria" w:hAnsi="Cambria"/>
          <w:sz w:val="20"/>
          <w:szCs w:val="20"/>
        </w:rPr>
        <w:t xml:space="preserve">the examination of the bony remains exhumed from a common grave yielded positive results for the adolescent </w:t>
      </w:r>
      <w:r w:rsidRPr="00FF1FA4">
        <w:rPr>
          <w:rFonts w:ascii="Cambria" w:hAnsi="Cambria"/>
          <w:sz w:val="20"/>
          <w:szCs w:val="20"/>
        </w:rPr>
        <w:t>Simón Callejas Vélez</w:t>
      </w:r>
      <w:r>
        <w:rPr>
          <w:rFonts w:ascii="Cambria" w:hAnsi="Cambria"/>
          <w:sz w:val="20"/>
          <w:szCs w:val="20"/>
        </w:rPr>
        <w:t xml:space="preserve">; the results of the DNA match with Ms. </w:t>
      </w:r>
      <w:r w:rsidRPr="00FF1FA4">
        <w:rPr>
          <w:rFonts w:ascii="Cambria" w:hAnsi="Cambria"/>
          <w:sz w:val="20"/>
          <w:szCs w:val="20"/>
        </w:rPr>
        <w:t>Vélez Roger</w:t>
      </w:r>
      <w:r>
        <w:rPr>
          <w:rFonts w:ascii="Cambria" w:hAnsi="Cambria"/>
          <w:sz w:val="20"/>
          <w:szCs w:val="20"/>
        </w:rPr>
        <w:t xml:space="preserve"> have yet to be reported. Petitioner indicates that the family asked that the remains of the adolescent be turned over to the family once the results were known with respect to Ms. </w:t>
      </w:r>
      <w:r w:rsidRPr="00FF1FA4">
        <w:rPr>
          <w:rFonts w:ascii="Cambria" w:hAnsi="Cambria"/>
          <w:sz w:val="20"/>
          <w:szCs w:val="20"/>
        </w:rPr>
        <w:t>Vélez Roger</w:t>
      </w:r>
      <w:r>
        <w:rPr>
          <w:rFonts w:ascii="Cambria" w:hAnsi="Cambria"/>
          <w:sz w:val="20"/>
          <w:szCs w:val="20"/>
        </w:rPr>
        <w:t>, so as to hold a single ceremony. It notes that nonetheless the 19</w:t>
      </w:r>
      <w:r w:rsidRPr="00350541">
        <w:rPr>
          <w:rFonts w:ascii="Cambria" w:hAnsi="Cambria"/>
          <w:sz w:val="20"/>
          <w:szCs w:val="20"/>
          <w:vertAlign w:val="superscript"/>
        </w:rPr>
        <w:t>th</w:t>
      </w:r>
      <w:r>
        <w:rPr>
          <w:rFonts w:ascii="Cambria" w:hAnsi="Cambria"/>
          <w:sz w:val="20"/>
          <w:szCs w:val="20"/>
        </w:rPr>
        <w:t xml:space="preserve"> Prosecutor Specialized in Human Rights summonsed the next-of-kin to receive the adolescent’s remains on May </w:t>
      </w:r>
      <w:r w:rsidRPr="00FF1FA4">
        <w:rPr>
          <w:rFonts w:ascii="Cambria" w:hAnsi="Cambria"/>
          <w:sz w:val="20"/>
          <w:szCs w:val="20"/>
        </w:rPr>
        <w:t>29</w:t>
      </w:r>
      <w:r>
        <w:rPr>
          <w:rFonts w:ascii="Cambria" w:hAnsi="Cambria"/>
          <w:sz w:val="20"/>
          <w:szCs w:val="20"/>
        </w:rPr>
        <w:t>,</w:t>
      </w:r>
      <w:r w:rsidRPr="00FF1FA4">
        <w:rPr>
          <w:rFonts w:ascii="Cambria" w:hAnsi="Cambria"/>
          <w:sz w:val="20"/>
          <w:szCs w:val="20"/>
        </w:rPr>
        <w:t xml:space="preserve"> 2014, </w:t>
      </w:r>
      <w:r>
        <w:rPr>
          <w:rFonts w:ascii="Cambria" w:hAnsi="Cambria"/>
          <w:sz w:val="20"/>
          <w:szCs w:val="20"/>
        </w:rPr>
        <w:t xml:space="preserve">without yet having obtained the results referred to above. Finally, the petitioner alleges that the State is responsible for the suffering of the next-of-kin all these years, and in particular that </w:t>
      </w:r>
      <w:r w:rsidRPr="00FF1FA4">
        <w:rPr>
          <w:rFonts w:ascii="Cambria" w:hAnsi="Cambria"/>
          <w:sz w:val="20"/>
          <w:szCs w:val="20"/>
        </w:rPr>
        <w:t xml:space="preserve">Sebastián Giraldo Vélez </w:t>
      </w:r>
      <w:r>
        <w:rPr>
          <w:rFonts w:ascii="Cambria" w:hAnsi="Cambria"/>
          <w:sz w:val="20"/>
          <w:szCs w:val="20"/>
        </w:rPr>
        <w:t xml:space="preserve">had his family taken away from him, as he lost both his mother and his brother.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alleges that the petition is inadmissible for failure to exhaust domestic remedies. It argues that it has implemented several measures as tools for addressing the cases of disappearance that have occurred in Colombian territory. It notes that the criminal investigation has not been exhausted, and that it has been carried out diligently</w:t>
      </w:r>
      <w:r w:rsidRPr="00FF1FA4">
        <w:rPr>
          <w:rFonts w:ascii="Cambria" w:hAnsi="Cambria"/>
          <w:sz w:val="20"/>
          <w:szCs w:val="20"/>
        </w:rPr>
        <w:t xml:space="preserve">, </w:t>
      </w:r>
      <w:r>
        <w:rPr>
          <w:rFonts w:ascii="Cambria" w:hAnsi="Cambria"/>
          <w:sz w:val="20"/>
          <w:szCs w:val="20"/>
        </w:rPr>
        <w:t xml:space="preserve">resulting in the identification and turning over of the remains of adolescent </w:t>
      </w:r>
      <w:r w:rsidRPr="00FF1FA4">
        <w:rPr>
          <w:rFonts w:ascii="Cambria" w:hAnsi="Cambria"/>
          <w:sz w:val="20"/>
          <w:szCs w:val="20"/>
        </w:rPr>
        <w:t xml:space="preserve">Simón Callejas Vélez </w:t>
      </w:r>
      <w:r>
        <w:rPr>
          <w:rFonts w:ascii="Cambria" w:hAnsi="Cambria"/>
          <w:sz w:val="20"/>
          <w:szCs w:val="20"/>
        </w:rPr>
        <w:t>to his next-of-kin, and the detention of one person said to be responsible for the disappearance and death of the alleged victims.</w:t>
      </w:r>
      <w:r w:rsidRPr="00FF1FA4">
        <w:rPr>
          <w:rFonts w:ascii="Cambria" w:hAnsi="Cambria"/>
          <w:sz w:val="20"/>
          <w:szCs w:val="20"/>
        </w:rPr>
        <w:t xml:space="preserve"> </w:t>
      </w:r>
      <w:r>
        <w:rPr>
          <w:rFonts w:ascii="Cambria" w:hAnsi="Cambria"/>
          <w:sz w:val="20"/>
          <w:szCs w:val="20"/>
        </w:rPr>
        <w:t xml:space="preserve">It states that the alleged victims did not exhaust administrative remedies so as to be able to access reparation for the harm allegedly caused by the State. </w:t>
      </w:r>
    </w:p>
    <w:p w:rsidR="00D9648D" w:rsidRPr="00FF1FA4" w:rsidRDefault="00D9648D" w:rsidP="00D9648D">
      <w:pPr>
        <w:spacing w:before="240" w:after="240"/>
        <w:ind w:firstLine="720"/>
        <w:jc w:val="both"/>
        <w:rPr>
          <w:rFonts w:ascii="Cambria" w:hAnsi="Cambria"/>
          <w:sz w:val="20"/>
          <w:szCs w:val="20"/>
        </w:rPr>
      </w:pPr>
      <w:r w:rsidRPr="00FF1FA4">
        <w:rPr>
          <w:rFonts w:asciiTheme="majorHAnsi" w:eastAsia="Cambria" w:hAnsiTheme="majorHAnsi" w:cs="Cambria"/>
          <w:b/>
          <w:bCs/>
          <w:color w:val="000000"/>
          <w:sz w:val="20"/>
          <w:szCs w:val="20"/>
          <w:u w:color="000000"/>
          <w:lang w:eastAsia="es-ES"/>
        </w:rPr>
        <w:t>VI.</w:t>
      </w:r>
      <w:r w:rsidRPr="00FF1FA4">
        <w:rPr>
          <w:rFonts w:asciiTheme="majorHAnsi" w:eastAsia="Cambria" w:hAnsiTheme="majorHAnsi" w:cs="Cambria"/>
          <w:b/>
          <w:bCs/>
          <w:color w:val="000000"/>
          <w:sz w:val="20"/>
          <w:szCs w:val="20"/>
          <w:u w:color="000000"/>
          <w:lang w:eastAsia="es-ES"/>
        </w:rPr>
        <w:tab/>
      </w:r>
      <w:r>
        <w:rPr>
          <w:rFonts w:asciiTheme="majorHAnsi" w:eastAsia="Cambria" w:hAnsiTheme="majorHAnsi" w:cs="Cambria"/>
          <w:b/>
          <w:bCs/>
          <w:color w:val="000000"/>
          <w:sz w:val="20"/>
          <w:szCs w:val="20"/>
          <w:u w:color="000000"/>
          <w:lang w:eastAsia="es-ES"/>
        </w:rPr>
        <w:t xml:space="preserve">EXHAUSTION OF DOMESTIC REMEDIES AND </w:t>
      </w:r>
      <w:r w:rsidRPr="000B6B7A">
        <w:rPr>
          <w:rFonts w:asciiTheme="majorHAnsi" w:hAnsiTheme="majorHAnsi"/>
          <w:b/>
          <w:sz w:val="20"/>
          <w:szCs w:val="20"/>
        </w:rPr>
        <w:t>TIMELINESS OF THE PETITION</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argues that on August </w:t>
      </w:r>
      <w:r w:rsidRPr="00FF1FA4">
        <w:rPr>
          <w:rFonts w:ascii="Cambria" w:hAnsi="Cambria"/>
          <w:sz w:val="20"/>
          <w:szCs w:val="20"/>
        </w:rPr>
        <w:t>15</w:t>
      </w:r>
      <w:r>
        <w:rPr>
          <w:rFonts w:ascii="Cambria" w:hAnsi="Cambria"/>
          <w:sz w:val="20"/>
          <w:szCs w:val="20"/>
        </w:rPr>
        <w:t>,</w:t>
      </w:r>
      <w:r w:rsidRPr="00FF1FA4">
        <w:rPr>
          <w:rFonts w:ascii="Cambria" w:hAnsi="Cambria"/>
          <w:sz w:val="20"/>
          <w:szCs w:val="20"/>
        </w:rPr>
        <w:t xml:space="preserve"> 2000</w:t>
      </w:r>
      <w:r>
        <w:rPr>
          <w:rFonts w:ascii="Cambria" w:hAnsi="Cambria"/>
          <w:sz w:val="20"/>
          <w:szCs w:val="20"/>
        </w:rPr>
        <w:t>, the alleged victims’ next-of-kin filed a criminal complaint concerning their disappearance, in addition to any number of petitions (</w:t>
      </w:r>
      <w:r w:rsidRPr="00354C1D">
        <w:rPr>
          <w:rFonts w:ascii="Cambria" w:hAnsi="Cambria"/>
          <w:i/>
          <w:iCs/>
          <w:sz w:val="20"/>
          <w:szCs w:val="20"/>
        </w:rPr>
        <w:t xml:space="preserve">derechos de </w:t>
      </w:r>
      <w:r w:rsidRPr="00354C1D">
        <w:rPr>
          <w:rFonts w:ascii="Cambria" w:hAnsi="Cambria"/>
          <w:i/>
          <w:iCs/>
          <w:sz w:val="20"/>
          <w:szCs w:val="20"/>
        </w:rPr>
        <w:lastRenderedPageBreak/>
        <w:t>petición</w:t>
      </w:r>
      <w:r>
        <w:rPr>
          <w:rFonts w:ascii="Cambria" w:hAnsi="Cambria"/>
          <w:sz w:val="20"/>
          <w:szCs w:val="20"/>
        </w:rPr>
        <w:t>) and criminal complaints (</w:t>
      </w:r>
      <w:r w:rsidRPr="00E92400">
        <w:rPr>
          <w:rFonts w:ascii="Cambria" w:hAnsi="Cambria"/>
          <w:i/>
          <w:iCs/>
          <w:sz w:val="20"/>
          <w:szCs w:val="20"/>
        </w:rPr>
        <w:t>quejas</w:t>
      </w:r>
      <w:r>
        <w:rPr>
          <w:rFonts w:ascii="Cambria" w:hAnsi="Cambria"/>
          <w:sz w:val="20"/>
          <w:szCs w:val="20"/>
        </w:rPr>
        <w:t xml:space="preserve">) to activate the investigation. It argues that the exception to the exhaustion of domestic remedies provided for at Article </w:t>
      </w:r>
      <w:r w:rsidRPr="00FF1FA4">
        <w:rPr>
          <w:rFonts w:ascii="Cambria" w:hAnsi="Cambria"/>
          <w:sz w:val="20"/>
          <w:szCs w:val="20"/>
        </w:rPr>
        <w:t>46</w:t>
      </w:r>
      <w:r>
        <w:rPr>
          <w:rFonts w:ascii="Cambria" w:hAnsi="Cambria"/>
          <w:sz w:val="20"/>
          <w:szCs w:val="20"/>
        </w:rPr>
        <w:t>(</w:t>
      </w:r>
      <w:r w:rsidRPr="00FF1FA4">
        <w:rPr>
          <w:rFonts w:ascii="Cambria" w:hAnsi="Cambria"/>
          <w:sz w:val="20"/>
          <w:szCs w:val="20"/>
        </w:rPr>
        <w:t>2</w:t>
      </w:r>
      <w:r>
        <w:rPr>
          <w:rFonts w:ascii="Cambria" w:hAnsi="Cambria"/>
          <w:sz w:val="20"/>
          <w:szCs w:val="20"/>
        </w:rPr>
        <w:t>)(</w:t>
      </w:r>
      <w:r w:rsidRPr="00FF1FA4">
        <w:rPr>
          <w:rFonts w:ascii="Cambria" w:hAnsi="Cambria"/>
          <w:sz w:val="20"/>
          <w:szCs w:val="20"/>
        </w:rPr>
        <w:t>c</w:t>
      </w:r>
      <w:r>
        <w:rPr>
          <w:rFonts w:ascii="Cambria" w:hAnsi="Cambria"/>
          <w:sz w:val="20"/>
          <w:szCs w:val="20"/>
        </w:rPr>
        <w:t>)</w:t>
      </w:r>
      <w:r w:rsidRPr="00FF1FA4">
        <w:rPr>
          <w:rFonts w:ascii="Cambria" w:hAnsi="Cambria"/>
          <w:sz w:val="20"/>
          <w:szCs w:val="20"/>
        </w:rPr>
        <w:t xml:space="preserve"> </w:t>
      </w:r>
      <w:r>
        <w:rPr>
          <w:rFonts w:ascii="Cambria" w:hAnsi="Cambria"/>
          <w:sz w:val="20"/>
          <w:szCs w:val="20"/>
        </w:rPr>
        <w:t>of the Convention applies, and that the petition was filed in a reasonable time. The State argues that the criminal action has gone forwarded diligently and has led to a determination of the whereabouts of the remains of the adolescent</w:t>
      </w:r>
      <w:r w:rsidRPr="00FF1FA4">
        <w:rPr>
          <w:rFonts w:ascii="Cambria" w:hAnsi="Cambria"/>
          <w:sz w:val="20"/>
          <w:szCs w:val="20"/>
        </w:rPr>
        <w:t xml:space="preserve"> Simón Callejas Vélez; </w:t>
      </w:r>
      <w:r>
        <w:rPr>
          <w:rFonts w:ascii="Cambria" w:hAnsi="Cambria"/>
          <w:sz w:val="20"/>
          <w:szCs w:val="20"/>
        </w:rPr>
        <w:t xml:space="preserve">in addition to the detention of the person responsible for the alleged victims’ disappearance and death. It asserts that the administrative procedure for reparations has not been exhausted, and, therefore, that the petition should not be declared admissible.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Commission reiterates that in situations such as the one posed the domestic remedies that should be taken into account for the purposes of the admissibility of the petition are those related to the investigation and punishment of the persons responsible through the regular judicial system, since those are the remedies suitable for clarifying the facts, prosecuting the persons responsible, and establishing the corresponding criminal sanctions, in addition to allowing for other forms of compensatio</w:t>
      </w:r>
      <w:r w:rsidRPr="00FF1FA4">
        <w:rPr>
          <w:rFonts w:ascii="Cambria" w:hAnsi="Cambria"/>
          <w:sz w:val="20"/>
          <w:szCs w:val="20"/>
        </w:rPr>
        <w:t>n</w:t>
      </w:r>
      <w:r>
        <w:rPr>
          <w:rFonts w:ascii="Cambria" w:hAnsi="Cambria"/>
          <w:sz w:val="20"/>
          <w:szCs w:val="20"/>
        </w:rPr>
        <w:t>.</w:t>
      </w:r>
      <w:r w:rsidRPr="00FF1FA4">
        <w:rPr>
          <w:rFonts w:ascii="Cambria" w:hAnsi="Cambria"/>
          <w:sz w:val="20"/>
          <w:szCs w:val="20"/>
          <w:vertAlign w:val="superscript"/>
        </w:rPr>
        <w:footnoteReference w:id="6"/>
      </w:r>
      <w:r w:rsidRPr="00FF1FA4">
        <w:rPr>
          <w:rFonts w:ascii="Cambria" w:hAnsi="Cambria"/>
          <w:sz w:val="20"/>
          <w:szCs w:val="20"/>
        </w:rPr>
        <w:t xml:space="preserve"> </w:t>
      </w:r>
      <w:r>
        <w:rPr>
          <w:rFonts w:ascii="Cambria" w:hAnsi="Cambria"/>
          <w:sz w:val="20"/>
          <w:szCs w:val="20"/>
        </w:rPr>
        <w:t xml:space="preserve">From the information available, the Commission observes that as of the issuance of the admissibility report 16 years have elapsed since the events at issue without any person responsible having been convicted, and without having clarified the facts related to the disappearance of Ms. </w:t>
      </w:r>
      <w:r w:rsidRPr="00FF1FA4">
        <w:rPr>
          <w:rFonts w:ascii="Cambria" w:hAnsi="Cambria"/>
          <w:sz w:val="20"/>
          <w:szCs w:val="20"/>
        </w:rPr>
        <w:t>Vélez Roger</w:t>
      </w:r>
      <w:r>
        <w:rPr>
          <w:rFonts w:ascii="Cambria" w:hAnsi="Cambria"/>
          <w:sz w:val="20"/>
          <w:szCs w:val="20"/>
        </w:rPr>
        <w:t>;</w:t>
      </w:r>
      <w:r w:rsidRPr="00FF1FA4">
        <w:rPr>
          <w:rFonts w:ascii="Cambria" w:hAnsi="Cambria"/>
          <w:sz w:val="20"/>
          <w:szCs w:val="20"/>
        </w:rPr>
        <w:t xml:space="preserve"> </w:t>
      </w:r>
      <w:r>
        <w:rPr>
          <w:rFonts w:ascii="Cambria" w:hAnsi="Cambria"/>
          <w:sz w:val="20"/>
          <w:szCs w:val="20"/>
        </w:rPr>
        <w:t>nor has any reparation been made to the next-of-kin. In view of this circumstance, the Commission considers that the exception contained at Article 46(</w:t>
      </w:r>
      <w:r w:rsidRPr="00FF1FA4">
        <w:rPr>
          <w:rFonts w:ascii="Cambria" w:hAnsi="Cambria"/>
          <w:sz w:val="20"/>
          <w:szCs w:val="20"/>
        </w:rPr>
        <w:t>2</w:t>
      </w:r>
      <w:r>
        <w:rPr>
          <w:rFonts w:ascii="Cambria" w:hAnsi="Cambria"/>
          <w:sz w:val="20"/>
          <w:szCs w:val="20"/>
        </w:rPr>
        <w:t>)(</w:t>
      </w:r>
      <w:r w:rsidRPr="00FF1FA4">
        <w:rPr>
          <w:rFonts w:ascii="Cambria" w:hAnsi="Cambria"/>
          <w:sz w:val="20"/>
          <w:szCs w:val="20"/>
        </w:rPr>
        <w:t>c</w:t>
      </w:r>
      <w:r>
        <w:rPr>
          <w:rFonts w:ascii="Cambria" w:hAnsi="Cambria"/>
          <w:sz w:val="20"/>
          <w:szCs w:val="20"/>
        </w:rPr>
        <w:t>)</w:t>
      </w:r>
      <w:r w:rsidRPr="00FF1FA4">
        <w:rPr>
          <w:rFonts w:ascii="Cambria" w:hAnsi="Cambria"/>
          <w:sz w:val="20"/>
          <w:szCs w:val="20"/>
        </w:rPr>
        <w:t xml:space="preserve"> </w:t>
      </w:r>
      <w:r>
        <w:rPr>
          <w:rFonts w:ascii="Cambria" w:hAnsi="Cambria"/>
          <w:sz w:val="20"/>
          <w:szCs w:val="20"/>
        </w:rPr>
        <w:t xml:space="preserve">applies, with the caveat that the causes and effects that have impeded the exhaustion of domestic remedies in the instant case will be analyzed, as relevant, in the report that the Commission adopts on the merits, where it will determine whether in effect there has been any violation of the Convention.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deadline for filing, since it has been established that the aforementioned exception to the prior exhaustion requirement applies, that the petition before the IACHR was received on March 14, 2008, and the facts that are the subject matter of the claim began on July 30, 2000, and that if true their effects would extend to this day, the Commission considers that said admissibility requirement should be considered satisfied. </w:t>
      </w:r>
    </w:p>
    <w:p w:rsidR="00D9648D" w:rsidRPr="00FF1FA4" w:rsidRDefault="00D9648D" w:rsidP="00D9648D">
      <w:pPr>
        <w:pStyle w:val="ListParagraph"/>
        <w:spacing w:before="240" w:after="240"/>
        <w:jc w:val="both"/>
        <w:rPr>
          <w:rFonts w:asciiTheme="majorHAnsi" w:hAnsiTheme="majorHAnsi"/>
          <w:b/>
          <w:sz w:val="20"/>
          <w:szCs w:val="20"/>
        </w:rPr>
      </w:pPr>
      <w:r w:rsidRPr="00FF1FA4">
        <w:rPr>
          <w:rFonts w:asciiTheme="majorHAnsi" w:hAnsiTheme="majorHAnsi"/>
          <w:b/>
          <w:bCs/>
          <w:sz w:val="20"/>
          <w:szCs w:val="20"/>
        </w:rPr>
        <w:t>VII.</w:t>
      </w:r>
      <w:r w:rsidRPr="00FF1FA4">
        <w:rPr>
          <w:rFonts w:asciiTheme="majorHAnsi" w:hAnsiTheme="majorHAnsi"/>
          <w:b/>
          <w:bCs/>
          <w:sz w:val="20"/>
          <w:szCs w:val="20"/>
        </w:rPr>
        <w:tab/>
        <w:t>C</w:t>
      </w:r>
      <w:r>
        <w:rPr>
          <w:rFonts w:asciiTheme="majorHAnsi" w:hAnsiTheme="majorHAnsi"/>
          <w:b/>
          <w:bCs/>
          <w:sz w:val="20"/>
          <w:szCs w:val="20"/>
        </w:rPr>
        <w:t xml:space="preserve">HARACTERIZATION OF THE FACTS ALLEGED </w:t>
      </w:r>
    </w:p>
    <w:p w:rsidR="00D9648D" w:rsidRPr="00FF1FA4" w:rsidRDefault="00D9648D" w:rsidP="00D964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view of the elements of fact and law presented by the parties and the nature of the matter put before it, the IACHR considers that the petitioners’ arguments on the scope of the alleged responsibility of the State with respect to the forced disappearance of the alleged victims, and the alleged unwarranted delay in the criminal investigation, could characterize possible violations of the rights set forth at Articles </w:t>
      </w:r>
      <w:r w:rsidRPr="00FF1FA4">
        <w:rPr>
          <w:rFonts w:ascii="Cambria" w:hAnsi="Cambria"/>
          <w:sz w:val="20"/>
          <w:szCs w:val="20"/>
        </w:rPr>
        <w:t>3, 4, 5, 7, 8</w:t>
      </w:r>
      <w:r>
        <w:rPr>
          <w:rFonts w:ascii="Cambria" w:hAnsi="Cambria"/>
          <w:sz w:val="20"/>
          <w:szCs w:val="20"/>
        </w:rPr>
        <w:t xml:space="preserve">, and </w:t>
      </w:r>
      <w:r w:rsidRPr="00FF1FA4">
        <w:rPr>
          <w:rFonts w:ascii="Cambria" w:hAnsi="Cambria"/>
          <w:sz w:val="20"/>
          <w:szCs w:val="20"/>
        </w:rPr>
        <w:t xml:space="preserve">25 </w:t>
      </w:r>
      <w:r>
        <w:rPr>
          <w:rFonts w:ascii="Cambria" w:hAnsi="Cambria"/>
          <w:sz w:val="20"/>
          <w:szCs w:val="20"/>
        </w:rPr>
        <w:t xml:space="preserve">of the American Convention on Human Rights in conjunction with its Article 1(1), and Article </w:t>
      </w:r>
      <w:r w:rsidRPr="00FF1FA4">
        <w:rPr>
          <w:rFonts w:ascii="Cambria" w:hAnsi="Cambria"/>
          <w:sz w:val="20"/>
          <w:szCs w:val="20"/>
        </w:rPr>
        <w:t xml:space="preserve">I </w:t>
      </w:r>
      <w:r>
        <w:rPr>
          <w:rFonts w:ascii="Cambria" w:hAnsi="Cambria"/>
          <w:sz w:val="20"/>
          <w:szCs w:val="20"/>
        </w:rPr>
        <w:t>of the Inter-American Convention on Forced Disappearance of Persons, to the detriment of Dora María Vélez Roger and</w:t>
      </w:r>
      <w:r w:rsidRPr="00FF1FA4">
        <w:rPr>
          <w:rFonts w:ascii="Cambria" w:hAnsi="Cambria"/>
          <w:sz w:val="20"/>
          <w:szCs w:val="20"/>
        </w:rPr>
        <w:t xml:space="preserve"> Simón Callejas Vélez. </w:t>
      </w:r>
      <w:r>
        <w:rPr>
          <w:rFonts w:ascii="Cambria" w:hAnsi="Cambria"/>
          <w:sz w:val="20"/>
          <w:szCs w:val="20"/>
        </w:rPr>
        <w:t xml:space="preserve">In addition, the facts, if true, tend to establish possible violations of the rights contained at Article </w:t>
      </w:r>
      <w:r w:rsidRPr="00FF1FA4">
        <w:rPr>
          <w:rFonts w:ascii="Cambria" w:hAnsi="Cambria"/>
          <w:sz w:val="20"/>
          <w:szCs w:val="20"/>
        </w:rPr>
        <w:t xml:space="preserve">19 </w:t>
      </w:r>
      <w:r>
        <w:rPr>
          <w:rFonts w:ascii="Cambria" w:hAnsi="Cambria"/>
          <w:sz w:val="20"/>
          <w:szCs w:val="20"/>
        </w:rPr>
        <w:t xml:space="preserve">of the Convention with respect to </w:t>
      </w:r>
      <w:r w:rsidRPr="00FF1FA4">
        <w:rPr>
          <w:rFonts w:ascii="Cambria" w:hAnsi="Cambria"/>
          <w:sz w:val="20"/>
          <w:szCs w:val="20"/>
        </w:rPr>
        <w:t xml:space="preserve">Simón Callejas Vélez; </w:t>
      </w:r>
      <w:r>
        <w:rPr>
          <w:rFonts w:ascii="Cambria" w:hAnsi="Cambria"/>
          <w:sz w:val="20"/>
          <w:szCs w:val="20"/>
        </w:rPr>
        <w:t xml:space="preserve">as well as at Articles </w:t>
      </w:r>
      <w:r w:rsidRPr="00FF1FA4">
        <w:rPr>
          <w:rFonts w:ascii="Cambria" w:hAnsi="Cambria"/>
          <w:sz w:val="20"/>
          <w:szCs w:val="20"/>
        </w:rPr>
        <w:t>5, 8</w:t>
      </w:r>
      <w:r>
        <w:rPr>
          <w:rFonts w:ascii="Cambria" w:hAnsi="Cambria"/>
          <w:sz w:val="20"/>
          <w:szCs w:val="20"/>
        </w:rPr>
        <w:t xml:space="preserve">, and </w:t>
      </w:r>
      <w:r w:rsidRPr="00FF1FA4">
        <w:rPr>
          <w:rFonts w:ascii="Cambria" w:hAnsi="Cambria"/>
          <w:sz w:val="20"/>
          <w:szCs w:val="20"/>
        </w:rPr>
        <w:t xml:space="preserve">25 </w:t>
      </w:r>
      <w:r>
        <w:rPr>
          <w:rFonts w:ascii="Cambria" w:hAnsi="Cambria"/>
          <w:sz w:val="20"/>
          <w:szCs w:val="20"/>
        </w:rPr>
        <w:t xml:space="preserve">of the American Convention to the detriment of the next-of-kin, in all keeping with Article </w:t>
      </w:r>
      <w:r w:rsidRPr="00FF1FA4">
        <w:rPr>
          <w:rFonts w:ascii="Cambria" w:hAnsi="Cambria"/>
          <w:sz w:val="20"/>
          <w:szCs w:val="20"/>
        </w:rPr>
        <w:t>1</w:t>
      </w:r>
      <w:r>
        <w:rPr>
          <w:rFonts w:ascii="Cambria" w:hAnsi="Cambria"/>
          <w:sz w:val="20"/>
          <w:szCs w:val="20"/>
        </w:rPr>
        <w:t>(</w:t>
      </w:r>
      <w:r w:rsidRPr="00FF1FA4">
        <w:rPr>
          <w:rFonts w:ascii="Cambria" w:hAnsi="Cambria"/>
          <w:sz w:val="20"/>
          <w:szCs w:val="20"/>
        </w:rPr>
        <w:t>1</w:t>
      </w:r>
      <w:r>
        <w:rPr>
          <w:rFonts w:ascii="Cambria" w:hAnsi="Cambria"/>
          <w:sz w:val="20"/>
          <w:szCs w:val="20"/>
        </w:rPr>
        <w:t xml:space="preserve">) of the same instrument. In addition, regarding the alleged violation of Article </w:t>
      </w:r>
      <w:r w:rsidRPr="00FF1FA4">
        <w:rPr>
          <w:rFonts w:ascii="Cambria" w:hAnsi="Cambria"/>
          <w:sz w:val="20"/>
          <w:szCs w:val="20"/>
        </w:rPr>
        <w:t>17 (</w:t>
      </w:r>
      <w:r>
        <w:rPr>
          <w:rFonts w:ascii="Cambria" w:hAnsi="Cambria"/>
          <w:sz w:val="20"/>
          <w:szCs w:val="20"/>
        </w:rPr>
        <w:t>protection of the family</w:t>
      </w:r>
      <w:r w:rsidRPr="00FF1FA4">
        <w:rPr>
          <w:rFonts w:ascii="Cambria" w:hAnsi="Cambria"/>
          <w:sz w:val="20"/>
          <w:szCs w:val="20"/>
        </w:rPr>
        <w:t xml:space="preserve">) </w:t>
      </w:r>
      <w:r>
        <w:rPr>
          <w:rFonts w:ascii="Cambria" w:hAnsi="Cambria"/>
          <w:sz w:val="20"/>
          <w:szCs w:val="20"/>
        </w:rPr>
        <w:t xml:space="preserve">of the Convention, the IACHR observes that even though the family’s suffering will be examined in the merits stage, the petitioner does not offer any arguments or support for determining, </w:t>
      </w:r>
      <w:r w:rsidRPr="00FF1FA4">
        <w:rPr>
          <w:rFonts w:ascii="Cambria" w:hAnsi="Cambria"/>
          <w:i/>
          <w:sz w:val="20"/>
          <w:szCs w:val="20"/>
        </w:rPr>
        <w:t>prima facie</w:t>
      </w:r>
      <w:r w:rsidRPr="00FF1FA4">
        <w:rPr>
          <w:rFonts w:ascii="Cambria" w:hAnsi="Cambria"/>
          <w:sz w:val="20"/>
          <w:szCs w:val="20"/>
        </w:rPr>
        <w:t xml:space="preserve">, </w:t>
      </w:r>
      <w:r>
        <w:rPr>
          <w:rFonts w:ascii="Cambria" w:hAnsi="Cambria"/>
          <w:sz w:val="20"/>
          <w:szCs w:val="20"/>
        </w:rPr>
        <w:t xml:space="preserve">a possible violation of that right. </w:t>
      </w:r>
    </w:p>
    <w:p w:rsidR="00D9648D" w:rsidRPr="00FF1FA4" w:rsidRDefault="00D9648D" w:rsidP="00D9648D">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r>
      <w:r w:rsidRPr="000B6B7A">
        <w:rPr>
          <w:rFonts w:asciiTheme="majorHAnsi" w:hAnsiTheme="majorHAnsi"/>
          <w:b/>
          <w:bCs/>
          <w:sz w:val="20"/>
          <w:szCs w:val="20"/>
        </w:rPr>
        <w:t>COLORABLE CLAIM</w:t>
      </w:r>
    </w:p>
    <w:p w:rsidR="00D9648D" w:rsidRPr="00FF1FA4" w:rsidRDefault="00D9648D" w:rsidP="00D9648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find this petition admissible in relation to Articles </w:t>
      </w:r>
      <w:r w:rsidRPr="00FF1FA4">
        <w:rPr>
          <w:rFonts w:asciiTheme="majorHAnsi" w:hAnsiTheme="majorHAnsi"/>
          <w:sz w:val="20"/>
          <w:szCs w:val="20"/>
        </w:rPr>
        <w:t>3, 4, 5, 7, 8, 19</w:t>
      </w:r>
      <w:r>
        <w:rPr>
          <w:rFonts w:asciiTheme="majorHAnsi" w:hAnsiTheme="majorHAnsi"/>
          <w:sz w:val="20"/>
          <w:szCs w:val="20"/>
        </w:rPr>
        <w:t xml:space="preserve">, and </w:t>
      </w:r>
      <w:r w:rsidRPr="00FF1FA4">
        <w:rPr>
          <w:rFonts w:asciiTheme="majorHAnsi" w:hAnsiTheme="majorHAnsi"/>
          <w:sz w:val="20"/>
          <w:szCs w:val="20"/>
        </w:rPr>
        <w:t xml:space="preserve">25 </w:t>
      </w:r>
      <w:r>
        <w:rPr>
          <w:rFonts w:asciiTheme="majorHAnsi" w:hAnsiTheme="majorHAnsi"/>
          <w:sz w:val="20"/>
          <w:szCs w:val="20"/>
        </w:rPr>
        <w:t xml:space="preserve">of the American Convention in conjunction with Article 1(1) of the same instrument and Article </w:t>
      </w:r>
      <w:r w:rsidRPr="00FF1FA4">
        <w:rPr>
          <w:rFonts w:asciiTheme="majorHAnsi" w:hAnsiTheme="majorHAnsi"/>
          <w:sz w:val="20"/>
          <w:szCs w:val="20"/>
        </w:rPr>
        <w:t xml:space="preserve">I </w:t>
      </w:r>
      <w:r>
        <w:rPr>
          <w:rFonts w:asciiTheme="majorHAnsi" w:hAnsiTheme="majorHAnsi"/>
          <w:sz w:val="20"/>
          <w:szCs w:val="20"/>
        </w:rPr>
        <w:t>of the Inter-American Convention on Forced Disappearance of Persons in the terms established in this report</w:t>
      </w:r>
      <w:r w:rsidRPr="00FF1FA4">
        <w:rPr>
          <w:rFonts w:asciiTheme="majorHAnsi" w:hAnsiTheme="majorHAnsi"/>
          <w:sz w:val="20"/>
          <w:szCs w:val="20"/>
        </w:rPr>
        <w:t>;</w:t>
      </w:r>
    </w:p>
    <w:p w:rsidR="00D9648D" w:rsidRPr="00FF1FA4" w:rsidRDefault="00D9648D" w:rsidP="00D9648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find the petition inadmissible with respect to Article </w:t>
      </w:r>
      <w:r w:rsidRPr="00FF1FA4">
        <w:rPr>
          <w:rFonts w:asciiTheme="majorHAnsi" w:hAnsiTheme="majorHAnsi"/>
          <w:sz w:val="20"/>
          <w:szCs w:val="20"/>
        </w:rPr>
        <w:t xml:space="preserve">17 </w:t>
      </w:r>
      <w:r>
        <w:rPr>
          <w:rFonts w:asciiTheme="majorHAnsi" w:hAnsiTheme="majorHAnsi"/>
          <w:sz w:val="20"/>
          <w:szCs w:val="20"/>
        </w:rPr>
        <w:t>of the Convention</w:t>
      </w:r>
      <w:r w:rsidRPr="00FF1FA4">
        <w:rPr>
          <w:rFonts w:asciiTheme="majorHAnsi" w:hAnsiTheme="majorHAnsi"/>
          <w:sz w:val="20"/>
          <w:szCs w:val="20"/>
        </w:rPr>
        <w:t>;</w:t>
      </w:r>
    </w:p>
    <w:p w:rsidR="00D9648D" w:rsidRPr="00FF1FA4" w:rsidRDefault="00D9648D" w:rsidP="00D9648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lastRenderedPageBreak/>
        <w:t>To notify the parties of this decision</w:t>
      </w:r>
      <w:r w:rsidRPr="00FF1FA4">
        <w:rPr>
          <w:rFonts w:asciiTheme="majorHAnsi" w:hAnsiTheme="majorHAnsi"/>
          <w:sz w:val="20"/>
          <w:szCs w:val="20"/>
        </w:rPr>
        <w:t>;</w:t>
      </w:r>
    </w:p>
    <w:p w:rsidR="00D9648D" w:rsidRPr="00FF1FA4" w:rsidRDefault="00D9648D" w:rsidP="00D9648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continue with the analysis on the merits</w:t>
      </w:r>
      <w:r w:rsidRPr="00FF1FA4">
        <w:rPr>
          <w:rFonts w:asciiTheme="majorHAnsi" w:hAnsiTheme="majorHAnsi"/>
          <w:sz w:val="20"/>
          <w:szCs w:val="20"/>
        </w:rPr>
        <w:t xml:space="preserve">; </w:t>
      </w:r>
      <w:r>
        <w:rPr>
          <w:rFonts w:asciiTheme="majorHAnsi" w:hAnsiTheme="majorHAnsi"/>
          <w:sz w:val="20"/>
          <w:szCs w:val="20"/>
        </w:rPr>
        <w:t>and,</w:t>
      </w:r>
    </w:p>
    <w:p w:rsidR="002E1455" w:rsidRDefault="00D9648D" w:rsidP="002E1455">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publish this decision and include it in its Annual Report to the </w:t>
      </w:r>
      <w:r w:rsidRPr="00FF1FA4">
        <w:rPr>
          <w:rFonts w:asciiTheme="majorHAnsi" w:hAnsiTheme="majorHAnsi"/>
          <w:sz w:val="20"/>
          <w:szCs w:val="20"/>
        </w:rPr>
        <w:t xml:space="preserve">General </w:t>
      </w:r>
      <w:r>
        <w:rPr>
          <w:rFonts w:asciiTheme="majorHAnsi" w:hAnsiTheme="majorHAnsi"/>
          <w:sz w:val="20"/>
          <w:szCs w:val="20"/>
        </w:rPr>
        <w:t>Assembly of the Organization of American States</w:t>
      </w:r>
      <w:r w:rsidRPr="00FF1FA4">
        <w:rPr>
          <w:rFonts w:asciiTheme="majorHAnsi" w:hAnsiTheme="majorHAnsi"/>
          <w:sz w:val="20"/>
          <w:szCs w:val="20"/>
        </w:rPr>
        <w:t>.</w:t>
      </w:r>
    </w:p>
    <w:p w:rsidR="002E1455" w:rsidRPr="00316EBF" w:rsidRDefault="002E1455" w:rsidP="002E14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sidR="00907A9A">
        <w:rPr>
          <w:rFonts w:ascii="Cambria" w:eastAsia="Times New Roman" w:hAnsi="Cambria"/>
          <w:snapToGrid w:val="0"/>
          <w:spacing w:val="-2"/>
          <w:sz w:val="20"/>
          <w:szCs w:val="20"/>
          <w:bdr w:val="none" w:sz="0" w:space="0" w:color="auto"/>
        </w:rPr>
        <w:t xml:space="preserve">San Francisco, California, </w:t>
      </w:r>
      <w:r w:rsidRPr="00316EBF">
        <w:rPr>
          <w:rFonts w:ascii="Cambria" w:eastAsia="Times New Roman" w:hAnsi="Cambria"/>
          <w:snapToGrid w:val="0"/>
          <w:spacing w:val="-2"/>
          <w:sz w:val="20"/>
          <w:szCs w:val="20"/>
          <w:bdr w:val="none" w:sz="0" w:space="0" w:color="auto"/>
        </w:rPr>
        <w:t xml:space="preserve">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 and</w:t>
      </w:r>
      <w:r w:rsidRPr="00316EBF">
        <w:rPr>
          <w:rFonts w:ascii="Cambria" w:eastAsia="Times New Roman" w:hAnsi="Cambria" w:cs="Arial"/>
          <w:noProof/>
          <w:snapToGrid w:val="0"/>
          <w:spacing w:val="-2"/>
          <w:sz w:val="20"/>
          <w:szCs w:val="20"/>
          <w:bdr w:val="none" w:sz="0" w:space="0" w:color="auto"/>
        </w:rPr>
        <w:t xml:space="preserve"> Esmeralda E. Arosemena Bernal de Troitiño</w:t>
      </w:r>
      <w:r>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p>
    <w:p w:rsidR="002E1455" w:rsidRDefault="002E1455" w:rsidP="002E14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rsidR="002E1455" w:rsidRPr="002E1455" w:rsidRDefault="002E1455" w:rsidP="002E14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rsidR="00D9648D" w:rsidRPr="00FF1FA4" w:rsidRDefault="00D9648D" w:rsidP="00D9648D">
      <w:pPr>
        <w:rPr>
          <w:rFonts w:asciiTheme="majorHAnsi" w:hAnsiTheme="majorHAnsi"/>
          <w:sz w:val="20"/>
          <w:szCs w:val="20"/>
        </w:rPr>
      </w:pPr>
      <w:r w:rsidRPr="00FF1FA4">
        <w:rPr>
          <w:rFonts w:asciiTheme="majorHAnsi" w:hAnsiTheme="majorHAnsi"/>
          <w:sz w:val="20"/>
          <w:szCs w:val="20"/>
        </w:rPr>
        <w:br w:type="page"/>
      </w:r>
    </w:p>
    <w:p w:rsidR="00D9648D" w:rsidRPr="00FF1FA4" w:rsidRDefault="00D9648D" w:rsidP="00D964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sz w:val="20"/>
          <w:szCs w:val="20"/>
        </w:rPr>
      </w:pPr>
      <w:r w:rsidRPr="00FF1FA4">
        <w:rPr>
          <w:rFonts w:asciiTheme="majorHAnsi" w:hAnsiTheme="majorHAnsi"/>
          <w:b/>
          <w:sz w:val="20"/>
          <w:szCs w:val="20"/>
        </w:rPr>
        <w:lastRenderedPageBreak/>
        <w:t>A</w:t>
      </w:r>
      <w:r>
        <w:rPr>
          <w:rFonts w:asciiTheme="majorHAnsi" w:hAnsiTheme="majorHAnsi"/>
          <w:b/>
          <w:sz w:val="20"/>
          <w:szCs w:val="20"/>
        </w:rPr>
        <w:t>n</w:t>
      </w:r>
      <w:r w:rsidRPr="00FF1FA4">
        <w:rPr>
          <w:rFonts w:asciiTheme="majorHAnsi" w:hAnsiTheme="majorHAnsi"/>
          <w:b/>
          <w:sz w:val="20"/>
          <w:szCs w:val="20"/>
        </w:rPr>
        <w:t xml:space="preserve">nex I: </w:t>
      </w:r>
      <w:r>
        <w:rPr>
          <w:rFonts w:asciiTheme="majorHAnsi" w:hAnsiTheme="majorHAnsi"/>
          <w:b/>
          <w:sz w:val="20"/>
          <w:szCs w:val="20"/>
        </w:rPr>
        <w:t xml:space="preserve">Alleged Victims </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Dora María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Simón Callejas Vélez</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Sebastián Giraldo Vélez</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Francisco Santiago Vélez</w:t>
      </w:r>
      <w:r>
        <w:rPr>
          <w:rFonts w:asciiTheme="majorHAnsi" w:hAnsiTheme="majorHAnsi"/>
          <w:sz w:val="20"/>
          <w:szCs w:val="20"/>
        </w:rPr>
        <w:t xml:space="preserve"> V</w:t>
      </w:r>
      <w:r>
        <w:rPr>
          <w:rFonts w:asciiTheme="majorHAnsi" w:hAnsiTheme="majorHAnsi"/>
          <w:sz w:val="20"/>
          <w:szCs w:val="20"/>
          <w:lang w:val="es-CO"/>
        </w:rPr>
        <w:t>élez</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Luz Helena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Margarita Rosa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Hernando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Gabriel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Hugo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Javier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Gustavo Vélez Roger</w:t>
      </w:r>
    </w:p>
    <w:p w:rsidR="00D9648D" w:rsidRPr="00FF1FA4" w:rsidRDefault="00D9648D" w:rsidP="00D9648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rPr>
      </w:pPr>
      <w:r w:rsidRPr="00FF1FA4">
        <w:rPr>
          <w:rFonts w:asciiTheme="majorHAnsi" w:hAnsiTheme="majorHAnsi"/>
          <w:sz w:val="20"/>
          <w:szCs w:val="20"/>
        </w:rPr>
        <w:t>Juan Manuel Vélez Roger</w:t>
      </w:r>
    </w:p>
    <w:p w:rsidR="00D9648D" w:rsidRPr="00FF1FA4" w:rsidRDefault="00D9648D" w:rsidP="00D9648D">
      <w:pPr>
        <w:tabs>
          <w:tab w:val="center" w:pos="5400"/>
        </w:tabs>
        <w:suppressAutoHyphens/>
        <w:spacing w:line="276" w:lineRule="auto"/>
        <w:rPr>
          <w:rFonts w:asciiTheme="majorHAnsi" w:hAnsiTheme="majorHAnsi"/>
          <w:sz w:val="20"/>
          <w:szCs w:val="20"/>
        </w:rPr>
      </w:pPr>
    </w:p>
    <w:p w:rsidR="00D9648D" w:rsidRPr="00FF1FA4" w:rsidRDefault="00D9648D" w:rsidP="00D9648D">
      <w:pPr>
        <w:tabs>
          <w:tab w:val="center" w:pos="5400"/>
        </w:tabs>
        <w:suppressAutoHyphens/>
        <w:spacing w:line="276" w:lineRule="auto"/>
        <w:rPr>
          <w:rFonts w:asciiTheme="majorHAnsi" w:hAnsiTheme="majorHAnsi"/>
          <w:sz w:val="20"/>
          <w:szCs w:val="20"/>
        </w:rPr>
      </w:pPr>
    </w:p>
    <w:p w:rsidR="00D9648D" w:rsidRPr="00FF1FA4" w:rsidRDefault="00D9648D" w:rsidP="00D9648D">
      <w:pPr>
        <w:rPr>
          <w:rFonts w:ascii="Cambria" w:hAnsi="Cambria" w:cs="Calibri"/>
          <w:sz w:val="20"/>
          <w:szCs w:val="20"/>
        </w:rPr>
      </w:pPr>
    </w:p>
    <w:p w:rsidR="00706D3C" w:rsidRPr="00706D3C" w:rsidRDefault="00706D3C" w:rsidP="00706D3C">
      <w:pPr>
        <w:tabs>
          <w:tab w:val="center" w:pos="5400"/>
        </w:tabs>
        <w:suppressAutoHyphens/>
        <w:jc w:val="center"/>
        <w:rPr>
          <w:rFonts w:asciiTheme="majorHAnsi" w:hAnsiTheme="majorHAnsi"/>
          <w:sz w:val="20"/>
          <w:szCs w:val="20"/>
          <w:lang w:val="es-UY"/>
        </w:rPr>
      </w:pPr>
    </w:p>
    <w:sectPr w:rsidR="00706D3C" w:rsidRPr="00706D3C" w:rsidSect="00D9648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DA" w:rsidRDefault="004C7CDA" w:rsidP="00036A8A">
      <w:r>
        <w:separator/>
      </w:r>
    </w:p>
  </w:endnote>
  <w:endnote w:type="continuationSeparator" w:id="0">
    <w:p w:rsidR="004C7CDA" w:rsidRDefault="004C7CD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3E" w:rsidRDefault="007C2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728A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DA" w:rsidRPr="00036A8A" w:rsidRDefault="004C7CD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C7CDA" w:rsidRPr="00036A8A" w:rsidRDefault="004C7CDA" w:rsidP="00036A8A">
      <w:pPr>
        <w:rPr>
          <w:rFonts w:asciiTheme="majorHAnsi" w:hAnsiTheme="majorHAnsi"/>
          <w:sz w:val="16"/>
          <w:szCs w:val="16"/>
        </w:rPr>
      </w:pPr>
      <w:r w:rsidRPr="00036A8A">
        <w:rPr>
          <w:rFonts w:asciiTheme="majorHAnsi" w:hAnsiTheme="majorHAnsi"/>
          <w:sz w:val="16"/>
          <w:szCs w:val="16"/>
        </w:rPr>
        <w:separator/>
      </w:r>
    </w:p>
    <w:p w:rsidR="004C7CDA" w:rsidRPr="00036A8A" w:rsidRDefault="004C7CD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C7CDA" w:rsidRPr="0093441A" w:rsidRDefault="004C7CD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9648D" w:rsidRPr="003B5070" w:rsidRDefault="00D9648D" w:rsidP="00D9648D">
      <w:pPr>
        <w:pStyle w:val="FootnoteText"/>
        <w:ind w:firstLine="720"/>
        <w:jc w:val="both"/>
      </w:pPr>
      <w:r w:rsidRPr="003B5070">
        <w:rPr>
          <w:rStyle w:val="FootnoteReference"/>
          <w:sz w:val="16"/>
          <w:szCs w:val="16"/>
        </w:rPr>
        <w:footnoteRef/>
      </w:r>
      <w:r w:rsidRPr="003B5070">
        <w:t xml:space="preserve"> </w:t>
      </w:r>
      <w:r>
        <w:rPr>
          <w:rFonts w:asciiTheme="majorHAnsi" w:eastAsia="Arial Unicode MS" w:hAnsiTheme="majorHAnsi" w:cs="Times New Roman"/>
          <w:color w:val="auto"/>
          <w:sz w:val="16"/>
          <w:szCs w:val="16"/>
          <w:lang w:eastAsia="en-US"/>
        </w:rPr>
        <w:t>In keeping with Article 17(</w:t>
      </w:r>
      <w:r w:rsidRPr="003B5070">
        <w:rPr>
          <w:rFonts w:asciiTheme="majorHAnsi" w:eastAsia="Arial Unicode MS" w:hAnsiTheme="majorHAnsi" w:cs="Times New Roman"/>
          <w:color w:val="auto"/>
          <w:sz w:val="16"/>
          <w:szCs w:val="16"/>
          <w:lang w:eastAsia="en-US"/>
        </w:rPr>
        <w:t>2</w:t>
      </w:r>
      <w:r>
        <w:rPr>
          <w:rFonts w:asciiTheme="majorHAnsi" w:eastAsia="Arial Unicode MS" w:hAnsiTheme="majorHAnsi" w:cs="Times New Roman"/>
          <w:color w:val="auto"/>
          <w:sz w:val="16"/>
          <w:szCs w:val="16"/>
          <w:lang w:eastAsia="en-US"/>
        </w:rPr>
        <w:t>)(</w:t>
      </w:r>
      <w:r w:rsidRPr="003B5070">
        <w:rPr>
          <w:rFonts w:asciiTheme="majorHAnsi" w:eastAsia="Arial Unicode MS" w:hAnsiTheme="majorHAnsi" w:cs="Times New Roman"/>
          <w:color w:val="auto"/>
          <w:sz w:val="16"/>
          <w:szCs w:val="16"/>
          <w:lang w:eastAsia="en-US"/>
        </w:rPr>
        <w:t>a</w:t>
      </w:r>
      <w:r>
        <w:rPr>
          <w:rFonts w:asciiTheme="majorHAnsi" w:eastAsia="Arial Unicode MS" w:hAnsiTheme="majorHAnsi" w:cs="Times New Roman"/>
          <w:color w:val="auto"/>
          <w:sz w:val="16"/>
          <w:szCs w:val="16"/>
          <w:lang w:eastAsia="en-US"/>
        </w:rPr>
        <w:t>)</w:t>
      </w:r>
      <w:r w:rsidRPr="003B5070">
        <w:rPr>
          <w:rFonts w:asciiTheme="majorHAnsi" w:eastAsia="Arial Unicode MS" w:hAnsiTheme="majorHAnsi" w:cs="Times New Roman"/>
          <w:color w:val="auto"/>
          <w:sz w:val="16"/>
          <w:szCs w:val="16"/>
          <w:lang w:eastAsia="en-US"/>
        </w:rPr>
        <w:t xml:space="preserve"> </w:t>
      </w:r>
      <w:r>
        <w:rPr>
          <w:rFonts w:asciiTheme="majorHAnsi" w:eastAsia="Arial Unicode MS" w:hAnsiTheme="majorHAnsi" w:cs="Times New Roman"/>
          <w:color w:val="auto"/>
          <w:sz w:val="16"/>
          <w:szCs w:val="16"/>
          <w:lang w:eastAsia="en-US"/>
        </w:rPr>
        <w:t xml:space="preserve">of the Commission’s Rules of Procedure Commissioner </w:t>
      </w:r>
      <w:r w:rsidRPr="003B5070">
        <w:rPr>
          <w:rFonts w:asciiTheme="majorHAnsi" w:eastAsia="Arial Unicode MS" w:hAnsiTheme="majorHAnsi" w:cs="Times New Roman"/>
          <w:color w:val="auto"/>
          <w:sz w:val="16"/>
          <w:szCs w:val="16"/>
          <w:lang w:eastAsia="en-US"/>
        </w:rPr>
        <w:t xml:space="preserve">Enrique Gil Botero, </w:t>
      </w:r>
      <w:r>
        <w:rPr>
          <w:rFonts w:asciiTheme="majorHAnsi" w:eastAsia="Arial Unicode MS" w:hAnsiTheme="majorHAnsi" w:cs="Times New Roman"/>
          <w:color w:val="auto"/>
          <w:sz w:val="16"/>
          <w:szCs w:val="16"/>
          <w:lang w:eastAsia="en-US"/>
        </w:rPr>
        <w:t xml:space="preserve">of Colombian nationality, did not participate in the deliberations or decision in the instant matter. </w:t>
      </w:r>
    </w:p>
  </w:footnote>
  <w:footnote w:id="3">
    <w:p w:rsidR="00D9648D" w:rsidRPr="003B5070" w:rsidRDefault="00D9648D" w:rsidP="00D9648D">
      <w:pPr>
        <w:pStyle w:val="FootnoteText"/>
        <w:spacing w:before="120"/>
        <w:ind w:firstLine="720"/>
        <w:rPr>
          <w:sz w:val="16"/>
          <w:szCs w:val="16"/>
        </w:rPr>
      </w:pPr>
      <w:r w:rsidRPr="003B5070">
        <w:rPr>
          <w:rFonts w:asciiTheme="majorHAnsi" w:eastAsia="Arial Unicode MS" w:hAnsiTheme="majorHAnsi" w:cs="Times New Roman"/>
          <w:color w:val="auto"/>
          <w:sz w:val="16"/>
          <w:szCs w:val="16"/>
          <w:vertAlign w:val="superscript"/>
          <w:lang w:eastAsia="en-US"/>
        </w:rPr>
        <w:footnoteRef/>
      </w:r>
      <w:r w:rsidRPr="003B5070">
        <w:rPr>
          <w:rFonts w:asciiTheme="majorHAnsi" w:eastAsia="Arial Unicode MS" w:hAnsiTheme="majorHAnsi" w:cs="Times New Roman"/>
          <w:color w:val="auto"/>
          <w:sz w:val="16"/>
          <w:szCs w:val="16"/>
          <w:lang w:eastAsia="en-US"/>
        </w:rPr>
        <w:t xml:space="preserve"> </w:t>
      </w:r>
      <w:r>
        <w:rPr>
          <w:rFonts w:asciiTheme="majorHAnsi" w:eastAsia="Arial Unicode MS" w:hAnsiTheme="majorHAnsi" w:cs="Times New Roman"/>
          <w:color w:val="auto"/>
          <w:sz w:val="16"/>
          <w:szCs w:val="16"/>
          <w:lang w:eastAsia="en-US"/>
        </w:rPr>
        <w:t xml:space="preserve">The petition refers to </w:t>
      </w:r>
      <w:r w:rsidRPr="003B5070">
        <w:rPr>
          <w:rFonts w:asciiTheme="majorHAnsi" w:eastAsia="Arial Unicode MS" w:hAnsiTheme="majorHAnsi" w:cs="Times New Roman"/>
          <w:color w:val="auto"/>
          <w:sz w:val="16"/>
          <w:szCs w:val="16"/>
          <w:lang w:eastAsia="en-US"/>
        </w:rPr>
        <w:t xml:space="preserve">12 </w:t>
      </w:r>
      <w:r>
        <w:rPr>
          <w:rFonts w:asciiTheme="majorHAnsi" w:eastAsia="Arial Unicode MS" w:hAnsiTheme="majorHAnsi" w:cs="Times New Roman"/>
          <w:color w:val="auto"/>
          <w:sz w:val="16"/>
          <w:szCs w:val="16"/>
          <w:lang w:eastAsia="en-US"/>
        </w:rPr>
        <w:t xml:space="preserve">alleged victims whose names are indicated in the annex. </w:t>
      </w:r>
    </w:p>
  </w:footnote>
  <w:footnote w:id="4">
    <w:p w:rsidR="00D9648D" w:rsidRPr="003B5070" w:rsidRDefault="00D9648D" w:rsidP="00D9648D">
      <w:pPr>
        <w:pStyle w:val="FootnoteText"/>
        <w:spacing w:before="120"/>
        <w:ind w:firstLine="720"/>
        <w:rPr>
          <w:rFonts w:asciiTheme="majorHAnsi" w:hAnsiTheme="majorHAnsi"/>
          <w:sz w:val="16"/>
          <w:szCs w:val="16"/>
        </w:rPr>
      </w:pPr>
      <w:r w:rsidRPr="003B5070">
        <w:rPr>
          <w:rStyle w:val="FootnoteReference"/>
          <w:rFonts w:asciiTheme="majorHAnsi" w:hAnsiTheme="majorHAnsi"/>
          <w:sz w:val="16"/>
          <w:szCs w:val="16"/>
        </w:rPr>
        <w:footnoteRef/>
      </w:r>
      <w:r w:rsidRPr="003B5070">
        <w:rPr>
          <w:rFonts w:asciiTheme="majorHAnsi" w:hAnsiTheme="majorHAnsi"/>
          <w:sz w:val="16"/>
          <w:szCs w:val="16"/>
        </w:rPr>
        <w:t xml:space="preserve"> </w:t>
      </w:r>
      <w:r>
        <w:rPr>
          <w:rFonts w:asciiTheme="majorHAnsi" w:eastAsia="Arial Unicode MS" w:hAnsiTheme="majorHAnsi" w:cs="Times New Roman"/>
          <w:color w:val="auto"/>
          <w:sz w:val="16"/>
          <w:szCs w:val="16"/>
          <w:lang w:eastAsia="en-US"/>
        </w:rPr>
        <w:t>Hereinafter the “Conventio</w:t>
      </w:r>
      <w:r w:rsidRPr="003B5070">
        <w:rPr>
          <w:rFonts w:asciiTheme="majorHAnsi" w:eastAsia="Arial Unicode MS" w:hAnsiTheme="majorHAnsi" w:cs="Times New Roman"/>
          <w:color w:val="auto"/>
          <w:sz w:val="16"/>
          <w:szCs w:val="16"/>
          <w:lang w:eastAsia="en-US"/>
        </w:rPr>
        <w:t>n” o</w:t>
      </w:r>
      <w:r>
        <w:rPr>
          <w:rFonts w:asciiTheme="majorHAnsi" w:eastAsia="Arial Unicode MS" w:hAnsiTheme="majorHAnsi" w:cs="Times New Roman"/>
          <w:color w:val="auto"/>
          <w:sz w:val="16"/>
          <w:szCs w:val="16"/>
          <w:lang w:eastAsia="en-US"/>
        </w:rPr>
        <w:t>r</w:t>
      </w:r>
      <w:r w:rsidRPr="003B5070">
        <w:rPr>
          <w:rFonts w:asciiTheme="majorHAnsi" w:eastAsia="Arial Unicode MS" w:hAnsiTheme="majorHAnsi" w:cs="Times New Roman"/>
          <w:color w:val="auto"/>
          <w:sz w:val="16"/>
          <w:szCs w:val="16"/>
          <w:lang w:eastAsia="en-US"/>
        </w:rPr>
        <w:t xml:space="preserve"> “</w:t>
      </w:r>
      <w:r>
        <w:rPr>
          <w:rFonts w:asciiTheme="majorHAnsi" w:eastAsia="Arial Unicode MS" w:hAnsiTheme="majorHAnsi" w:cs="Times New Roman"/>
          <w:color w:val="auto"/>
          <w:sz w:val="16"/>
          <w:szCs w:val="16"/>
          <w:lang w:eastAsia="en-US"/>
        </w:rPr>
        <w:t>American Convention.</w:t>
      </w:r>
      <w:r w:rsidRPr="003B5070">
        <w:rPr>
          <w:rFonts w:asciiTheme="majorHAnsi" w:eastAsia="Arial Unicode MS" w:hAnsiTheme="majorHAnsi" w:cs="Times New Roman"/>
          <w:color w:val="auto"/>
          <w:sz w:val="16"/>
          <w:szCs w:val="16"/>
          <w:lang w:eastAsia="en-US"/>
        </w:rPr>
        <w:t>”</w:t>
      </w:r>
    </w:p>
  </w:footnote>
  <w:footnote w:id="5">
    <w:p w:rsidR="00D9648D" w:rsidRPr="003B5070" w:rsidRDefault="00D9648D" w:rsidP="00D9648D">
      <w:pPr>
        <w:pStyle w:val="FootnoteText"/>
        <w:spacing w:before="120"/>
        <w:ind w:firstLine="720"/>
        <w:jc w:val="both"/>
        <w:rPr>
          <w:rFonts w:ascii="Cambria" w:hAnsi="Cambria"/>
          <w:sz w:val="16"/>
          <w:szCs w:val="16"/>
        </w:rPr>
      </w:pPr>
      <w:r w:rsidRPr="003B5070">
        <w:rPr>
          <w:rStyle w:val="FootnoteReference"/>
          <w:rFonts w:ascii="Cambria" w:hAnsi="Cambria"/>
          <w:sz w:val="16"/>
          <w:szCs w:val="16"/>
        </w:rPr>
        <w:footnoteRef/>
      </w:r>
      <w:r w:rsidRPr="003B5070">
        <w:rPr>
          <w:rFonts w:ascii="Cambria" w:hAnsi="Cambria"/>
          <w:sz w:val="16"/>
          <w:szCs w:val="16"/>
        </w:rPr>
        <w:t xml:space="preserve"> </w:t>
      </w:r>
      <w:r>
        <w:rPr>
          <w:rFonts w:ascii="Cambria" w:hAnsi="Cambria"/>
          <w:sz w:val="16"/>
          <w:szCs w:val="16"/>
        </w:rPr>
        <w:t xml:space="preserve">All the observations were duly forwarded to the opposing party. </w:t>
      </w:r>
    </w:p>
  </w:footnote>
  <w:footnote w:id="6">
    <w:p w:rsidR="00D9648D" w:rsidRPr="003B5070" w:rsidRDefault="00D9648D" w:rsidP="00D9648D">
      <w:pPr>
        <w:pStyle w:val="FootnoteText"/>
        <w:spacing w:before="120"/>
        <w:ind w:firstLine="720"/>
      </w:pPr>
      <w:r w:rsidRPr="003B5070">
        <w:rPr>
          <w:rFonts w:asciiTheme="majorHAnsi" w:hAnsiTheme="majorHAnsi"/>
          <w:sz w:val="16"/>
          <w:szCs w:val="16"/>
          <w:vertAlign w:val="superscript"/>
        </w:rPr>
        <w:footnoteRef/>
      </w:r>
      <w:r w:rsidRPr="003B5070">
        <w:rPr>
          <w:rFonts w:asciiTheme="majorHAnsi" w:hAnsiTheme="majorHAnsi"/>
          <w:sz w:val="16"/>
          <w:szCs w:val="16"/>
          <w:vertAlign w:val="superscript"/>
        </w:rPr>
        <w:t xml:space="preserve"> </w:t>
      </w:r>
      <w:r>
        <w:rPr>
          <w:rFonts w:asciiTheme="majorHAnsi" w:hAnsiTheme="majorHAnsi"/>
          <w:sz w:val="16"/>
          <w:szCs w:val="16"/>
        </w:rPr>
        <w:t xml:space="preserve">Report No. </w:t>
      </w:r>
      <w:r w:rsidRPr="003B5070">
        <w:rPr>
          <w:rFonts w:asciiTheme="majorHAnsi" w:hAnsiTheme="majorHAnsi"/>
          <w:sz w:val="16"/>
          <w:szCs w:val="16"/>
        </w:rPr>
        <w:t>126/10 (Admis</w:t>
      </w:r>
      <w:r>
        <w:rPr>
          <w:rFonts w:asciiTheme="majorHAnsi" w:hAnsiTheme="majorHAnsi"/>
          <w:sz w:val="16"/>
          <w:szCs w:val="16"/>
        </w:rPr>
        <w:t>s</w:t>
      </w:r>
      <w:r w:rsidRPr="003B5070">
        <w:rPr>
          <w:rFonts w:asciiTheme="majorHAnsi" w:hAnsiTheme="majorHAnsi"/>
          <w:sz w:val="16"/>
          <w:szCs w:val="16"/>
        </w:rPr>
        <w:t>ibili</w:t>
      </w:r>
      <w:r>
        <w:rPr>
          <w:rFonts w:asciiTheme="majorHAnsi" w:hAnsiTheme="majorHAnsi"/>
          <w:sz w:val="16"/>
          <w:szCs w:val="16"/>
        </w:rPr>
        <w:t>ty), Petition</w:t>
      </w:r>
      <w:r w:rsidRPr="003B5070">
        <w:rPr>
          <w:rFonts w:asciiTheme="majorHAnsi" w:hAnsiTheme="majorHAnsi"/>
          <w:sz w:val="16"/>
          <w:szCs w:val="16"/>
        </w:rPr>
        <w:t xml:space="preserve"> 1448-06, Roberto Carlos Pereira de Souza </w:t>
      </w:r>
      <w:r w:rsidRPr="006A4B4F">
        <w:rPr>
          <w:rFonts w:asciiTheme="majorHAnsi" w:hAnsiTheme="majorHAnsi"/>
          <w:i/>
          <w:iCs/>
          <w:sz w:val="16"/>
          <w:szCs w:val="16"/>
        </w:rPr>
        <w:t>et al.</w:t>
      </w:r>
      <w:r>
        <w:rPr>
          <w:rFonts w:asciiTheme="majorHAnsi" w:hAnsiTheme="majorHAnsi"/>
          <w:sz w:val="16"/>
          <w:szCs w:val="16"/>
        </w:rPr>
        <w:t xml:space="preserve">, Brazil, October </w:t>
      </w:r>
      <w:r w:rsidRPr="003B5070">
        <w:rPr>
          <w:rFonts w:asciiTheme="majorHAnsi" w:hAnsiTheme="majorHAnsi"/>
          <w:sz w:val="16"/>
          <w:szCs w:val="16"/>
        </w:rPr>
        <w:t>23</w:t>
      </w:r>
      <w:r>
        <w:rPr>
          <w:rFonts w:asciiTheme="majorHAnsi" w:hAnsiTheme="majorHAnsi"/>
          <w:sz w:val="16"/>
          <w:szCs w:val="16"/>
        </w:rPr>
        <w:t>,</w:t>
      </w:r>
      <w:r w:rsidRPr="003B5070">
        <w:rPr>
          <w:rFonts w:asciiTheme="majorHAnsi" w:hAnsiTheme="majorHAnsi"/>
          <w:sz w:val="16"/>
          <w:szCs w:val="16"/>
        </w:rPr>
        <w:t xml:space="preserve"> </w:t>
      </w:r>
      <w:r>
        <w:rPr>
          <w:rFonts w:asciiTheme="majorHAnsi" w:hAnsiTheme="majorHAnsi"/>
          <w:sz w:val="16"/>
          <w:szCs w:val="16"/>
        </w:rPr>
        <w:t>2010, para</w:t>
      </w:r>
      <w:r w:rsidRPr="003B5070">
        <w:rPr>
          <w:rFonts w:asciiTheme="majorHAnsi" w:hAnsiTheme="majorHAnsi"/>
          <w:sz w:val="16"/>
          <w:szCs w:val="16"/>
        </w:rPr>
        <w:t>.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C7CD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3E" w:rsidRDefault="007C2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F6CCF2A"/>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882670B"/>
    <w:multiLevelType w:val="hybridMultilevel"/>
    <w:tmpl w:val="D438E2AA"/>
    <w:lvl w:ilvl="0" w:tplc="07C8D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5"/>
  </w:num>
  <w:num w:numId="104">
    <w:abstractNumId w:val="32"/>
  </w:num>
  <w:num w:numId="105">
    <w:abstractNumId w:val="32"/>
    <w:lvlOverride w:ilvl="0">
      <w:startOverride w:val="1"/>
    </w:lvlOverride>
  </w:num>
  <w:num w:numId="106">
    <w:abstractNumId w:val="12"/>
  </w:num>
  <w:num w:numId="107">
    <w:abstractNumId w:val="50"/>
  </w:num>
  <w:num w:numId="108">
    <w:abstractNumId w:val="46"/>
  </w:num>
  <w:num w:numId="109">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C7912"/>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85162"/>
    <w:rsid w:val="002C1641"/>
    <w:rsid w:val="002D7EA2"/>
    <w:rsid w:val="002E1455"/>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72853"/>
    <w:rsid w:val="0049419D"/>
    <w:rsid w:val="004B2762"/>
    <w:rsid w:val="004B7EB6"/>
    <w:rsid w:val="004C4B62"/>
    <w:rsid w:val="004C7CDA"/>
    <w:rsid w:val="004D6025"/>
    <w:rsid w:val="004D72BC"/>
    <w:rsid w:val="004F3D85"/>
    <w:rsid w:val="00501399"/>
    <w:rsid w:val="00507BC4"/>
    <w:rsid w:val="005128E4"/>
    <w:rsid w:val="00525560"/>
    <w:rsid w:val="005357A6"/>
    <w:rsid w:val="00544C49"/>
    <w:rsid w:val="005507AC"/>
    <w:rsid w:val="0057402A"/>
    <w:rsid w:val="005771D0"/>
    <w:rsid w:val="0059191A"/>
    <w:rsid w:val="005921FF"/>
    <w:rsid w:val="005A6D0E"/>
    <w:rsid w:val="005B222D"/>
    <w:rsid w:val="005B52B0"/>
    <w:rsid w:val="005B6806"/>
    <w:rsid w:val="005C00F9"/>
    <w:rsid w:val="005C4225"/>
    <w:rsid w:val="005F0F33"/>
    <w:rsid w:val="00600DEB"/>
    <w:rsid w:val="00605A0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6D3C"/>
    <w:rsid w:val="00745899"/>
    <w:rsid w:val="007607C4"/>
    <w:rsid w:val="0076643F"/>
    <w:rsid w:val="007A2F70"/>
    <w:rsid w:val="007C293E"/>
    <w:rsid w:val="007C3334"/>
    <w:rsid w:val="007C52BB"/>
    <w:rsid w:val="007D2B98"/>
    <w:rsid w:val="00803F1C"/>
    <w:rsid w:val="0080600E"/>
    <w:rsid w:val="00817612"/>
    <w:rsid w:val="008304FC"/>
    <w:rsid w:val="00837C45"/>
    <w:rsid w:val="00853419"/>
    <w:rsid w:val="00897E12"/>
    <w:rsid w:val="008D43BA"/>
    <w:rsid w:val="008E3759"/>
    <w:rsid w:val="009041DC"/>
    <w:rsid w:val="00907A9A"/>
    <w:rsid w:val="009104B4"/>
    <w:rsid w:val="00925FCD"/>
    <w:rsid w:val="0093441A"/>
    <w:rsid w:val="00954BF7"/>
    <w:rsid w:val="0096706E"/>
    <w:rsid w:val="00967D21"/>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D232B"/>
    <w:rsid w:val="00BD4B89"/>
    <w:rsid w:val="00BD5106"/>
    <w:rsid w:val="00C21762"/>
    <w:rsid w:val="00C24543"/>
    <w:rsid w:val="00C256A2"/>
    <w:rsid w:val="00C3492D"/>
    <w:rsid w:val="00C55560"/>
    <w:rsid w:val="00C66B72"/>
    <w:rsid w:val="00C76697"/>
    <w:rsid w:val="00C9567A"/>
    <w:rsid w:val="00CB2660"/>
    <w:rsid w:val="00CC5E90"/>
    <w:rsid w:val="00CD046C"/>
    <w:rsid w:val="00CE5199"/>
    <w:rsid w:val="00CE66D5"/>
    <w:rsid w:val="00D34786"/>
    <w:rsid w:val="00D40A1E"/>
    <w:rsid w:val="00D712D3"/>
    <w:rsid w:val="00D71422"/>
    <w:rsid w:val="00D7145E"/>
    <w:rsid w:val="00D728A2"/>
    <w:rsid w:val="00D7558D"/>
    <w:rsid w:val="00D808BF"/>
    <w:rsid w:val="00D81D92"/>
    <w:rsid w:val="00D93446"/>
    <w:rsid w:val="00D9648D"/>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D9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table" w:styleId="TableGrid">
    <w:name w:val="Table Grid"/>
    <w:basedOn w:val="TableNormal"/>
    <w:uiPriority w:val="59"/>
    <w:rsid w:val="00D9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AF71-DCDA-4C34-83E5-7DC8983D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9224</Characters>
  <Application>Microsoft Office Word</Application>
  <DocSecurity>0</DocSecurity>
  <Lines>192</Lines>
  <Paragraphs>64</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8/17</dc:title>
  <dc:creator/>
  <cp:lastModifiedBy/>
  <cp:revision>1</cp:revision>
  <dcterms:created xsi:type="dcterms:W3CDTF">2017-04-10T14:52:00Z</dcterms:created>
  <dcterms:modified xsi:type="dcterms:W3CDTF">2017-04-10T14:52:00Z</dcterms:modified>
</cp:coreProperties>
</file>