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DF4119" w:rsidRDefault="006311DA" w:rsidP="00627C9F">
      <w:pPr>
        <w:jc w:val="both"/>
        <w:rPr>
          <w:rFonts w:asciiTheme="majorHAnsi" w:hAnsiTheme="majorHAnsi" w:cs="Univers"/>
          <w:b/>
          <w:bCs/>
          <w:sz w:val="22"/>
          <w:szCs w:val="22"/>
        </w:rPr>
      </w:pPr>
      <w:r w:rsidRPr="00DF411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93F86F8" wp14:editId="7529C3C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YgmzmAIAAIYFAAAOAAAAZHJzL2Uyb0RvYy54bWysVEtPGzEQvlfqf7B8L7sJgUDEBkWhVJUQ IKDi7Hjt7Epejzt2Xv31HXsfPIp6qJqD49n55vV5Zi4u941hW4W+Blvw0VHOmbISytquC/7j6frL GWc+CFsKA1YV/KA8v5x//nSxczM1hgpMqZCRE+tnO1fwKgQ3yzIvK9UIfwROWVJqwEYEEnGdlSh2 5L0x2TjPT7MdYOkQpPKevl61Sj5P/rVWMtxp7VVgpuCUW0gnpnMVz2x+IWZrFK6qZZeG+IcsGlFb Cjq4uhJBsA3Wf7hqaongQYcjCU0GWtdSpRqomlH+rprHSjiVaiFyvBto8v/Prbzd3iOrS3o7zqxo 6IkeiDRh10axUaRn5/yMUI/uHjvJ0zXWutfYxH+qgu0TpYeBUrUPTNLH0SQ/n+bEvCTd2fl0enqc SM9ezB368E1Bw+Kl4EjhE5Vie+MDhSRoD4nRPJi6vK6NSQKuV0uDbCvofU+ni6/Hy5gzmbyBGRvB FqJZq45fslhaW0y6hYNREWfsg9LECaU/TpmkblRDHCGlsmHUqipRqjb8SU6/Pnrs32iRckkOo2dN 8QffnYMe2TrpfbdZdvhoqlIzD8b53xJrjQeLFBlsGIyb2gJ+5MBQVV3kFt+T1FITWVpBeaCOQWhH yTt5XdO73Qgf7gXS7NBb0z4Id3RoA7uCQ3fjrAL89dH3iKeWJi1nO5rFgvufG4GKM/PdUrOfjyaT OLxJmJxMxyTga83qtcZumiVQO1BDU3bpGvHB9FeN0DzT2ljEqKQSVlLsgsuAvbAM7Y6gxSPVYpFg NLBOhBv76GR0HlmNffm0fxbouuYN1Pe30M+tmL3r4RYbLS0sNgF0nRr8hdeObxr21DjdYorb5LWc UC/rc/4bAAD//wMAUEsDBBQABgAIAAAAIQBp0kTl4wAAAAwBAAAPAAAAZHJzL2Rvd25yZXYueG1s TI9LT8MwEITvSPwHa5G4oNahyCYKcSoeRQIkDpQeys2NlyQitqPYefTfsz3BbXZnNPttvp5ty0bs Q+OdgutlAgxd6U3jKgW7z+dFCixE7YxuvUMFRwywLs7Pcp0ZP7kPHLexYlTiQqYV1DF2GeehrNHq sPQdOvK+fW91pLGvuOn1ROW25askkdzqxtGFWnf4WGP5sx2sgnR6e3gdj+9pfNlc7Z428/5r2Hul Li/m+ztgEef4F4YTPqFDQUwHPzgTWKtgIYWgKAkhV8BOCSFpcyBxI24l8CLn/58ofgEAAP//AwBQ SwECLQAUAAYACAAAACEAtoM4kv4AAADhAQAAEwAAAAAAAAAAAAAAAAAAAAAAW0NvbnRlbnRfVHlw ZXNdLnhtbFBLAQItABQABgAIAAAAIQA4/SH/1gAAAJQBAAALAAAAAAAAAAAAAAAAAC8BAABfcmVs cy8ucmVsc1BLAQItABQABgAIAAAAIQCbYgmzmAIAAIYFAAAOAAAAAAAAAAAAAAAAAC4CAABkcnMv ZTJvRG9jLnhtbFBLAQItABQABgAIAAAAIQBp0kTl4wAAAAwBAAAPAAAAAAAAAAAAAAAAAPIEAABk cnMvZG93bnJldi54bWxQSwUGAAAAAAQABADzAAAAAgYAAAAA " fillcolor="#67ae3c" stroked="f" strokeweight="2pt"/>
            </w:pict>
          </mc:Fallback>
        </mc:AlternateContent>
      </w:r>
      <w:r w:rsidR="00B31EBE" w:rsidRPr="00DF411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810B7" wp14:editId="0DB6268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131174B3" wp14:editId="1FB6B35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131174B3" wp14:editId="1FB6B35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DF4119" w:rsidRDefault="00040C3A" w:rsidP="00040C3A">
      <w:pPr>
        <w:tabs>
          <w:tab w:val="center" w:pos="5400"/>
        </w:tabs>
        <w:suppressAutoHyphens/>
        <w:jc w:val="both"/>
        <w:rPr>
          <w:rFonts w:asciiTheme="majorHAnsi" w:hAnsiTheme="majorHAnsi"/>
          <w:sz w:val="22"/>
          <w:szCs w:val="22"/>
        </w:rPr>
      </w:pPr>
    </w:p>
    <w:p w:rsidR="00040C3A" w:rsidRPr="00DF4119" w:rsidRDefault="00040C3A" w:rsidP="00040C3A">
      <w:pPr>
        <w:tabs>
          <w:tab w:val="center" w:pos="5400"/>
        </w:tabs>
        <w:suppressAutoHyphens/>
        <w:jc w:val="both"/>
        <w:rPr>
          <w:rFonts w:asciiTheme="majorHAnsi" w:hAnsiTheme="majorHAnsi"/>
          <w:sz w:val="22"/>
          <w:szCs w:val="22"/>
        </w:rPr>
      </w:pPr>
    </w:p>
    <w:p w:rsidR="005128E4" w:rsidRPr="00DF4119" w:rsidRDefault="005128E4" w:rsidP="00040C3A">
      <w:pPr>
        <w:tabs>
          <w:tab w:val="center" w:pos="5400"/>
        </w:tabs>
        <w:suppressAutoHyphens/>
        <w:rPr>
          <w:rFonts w:asciiTheme="majorHAnsi" w:hAnsiTheme="majorHAnsi"/>
          <w:sz w:val="22"/>
          <w:szCs w:val="22"/>
        </w:rPr>
      </w:pPr>
    </w:p>
    <w:p w:rsidR="005128E4" w:rsidRPr="00DF4119" w:rsidRDefault="005128E4" w:rsidP="00040C3A">
      <w:pPr>
        <w:tabs>
          <w:tab w:val="center" w:pos="5400"/>
        </w:tabs>
        <w:suppressAutoHyphens/>
        <w:rPr>
          <w:rFonts w:asciiTheme="majorHAnsi" w:hAnsiTheme="majorHAnsi"/>
          <w:sz w:val="22"/>
          <w:szCs w:val="22"/>
        </w:rPr>
      </w:pPr>
    </w:p>
    <w:p w:rsidR="005128E4" w:rsidRPr="00DF4119" w:rsidRDefault="005128E4" w:rsidP="00040C3A">
      <w:pPr>
        <w:tabs>
          <w:tab w:val="center" w:pos="5400"/>
        </w:tabs>
        <w:suppressAutoHyphens/>
        <w:rPr>
          <w:rFonts w:asciiTheme="majorHAnsi" w:hAnsiTheme="majorHAnsi"/>
          <w:sz w:val="22"/>
          <w:szCs w:val="22"/>
        </w:rPr>
      </w:pPr>
    </w:p>
    <w:p w:rsidR="00040C3A" w:rsidRPr="00DF4119" w:rsidRDefault="00040C3A" w:rsidP="005128E4">
      <w:pPr>
        <w:tabs>
          <w:tab w:val="center" w:pos="5400"/>
        </w:tabs>
        <w:suppressAutoHyphens/>
        <w:jc w:val="center"/>
        <w:rPr>
          <w:rFonts w:asciiTheme="majorHAnsi" w:hAnsiTheme="majorHAnsi"/>
          <w:sz w:val="22"/>
          <w:szCs w:val="22"/>
        </w:rPr>
      </w:pPr>
    </w:p>
    <w:p w:rsidR="00040C3A" w:rsidRPr="00DF4119" w:rsidRDefault="00040C3A" w:rsidP="005128E4">
      <w:pPr>
        <w:tabs>
          <w:tab w:val="center" w:pos="5400"/>
        </w:tabs>
        <w:suppressAutoHyphens/>
        <w:jc w:val="center"/>
        <w:rPr>
          <w:rFonts w:asciiTheme="majorHAnsi" w:hAnsiTheme="majorHAnsi"/>
          <w:sz w:val="22"/>
          <w:szCs w:val="22"/>
        </w:rPr>
      </w:pPr>
    </w:p>
    <w:p w:rsidR="005B52B0" w:rsidRPr="00DF4119" w:rsidRDefault="005B52B0" w:rsidP="005128E4">
      <w:pPr>
        <w:tabs>
          <w:tab w:val="center" w:pos="5400"/>
        </w:tabs>
        <w:suppressAutoHyphens/>
        <w:jc w:val="center"/>
        <w:rPr>
          <w:rFonts w:asciiTheme="majorHAnsi" w:hAnsiTheme="majorHAnsi"/>
          <w:sz w:val="22"/>
          <w:szCs w:val="22"/>
        </w:rPr>
      </w:pPr>
    </w:p>
    <w:p w:rsidR="005B52B0" w:rsidRPr="00DF4119" w:rsidRDefault="005B52B0" w:rsidP="005128E4">
      <w:pPr>
        <w:tabs>
          <w:tab w:val="center" w:pos="5400"/>
        </w:tabs>
        <w:suppressAutoHyphens/>
        <w:jc w:val="center"/>
        <w:rPr>
          <w:rFonts w:asciiTheme="majorHAnsi" w:hAnsiTheme="majorHAnsi"/>
          <w:sz w:val="22"/>
          <w:szCs w:val="22"/>
        </w:rPr>
      </w:pPr>
    </w:p>
    <w:p w:rsidR="005B52B0" w:rsidRPr="00DF4119" w:rsidRDefault="005B52B0" w:rsidP="005128E4">
      <w:pPr>
        <w:tabs>
          <w:tab w:val="center" w:pos="5400"/>
        </w:tabs>
        <w:suppressAutoHyphens/>
        <w:jc w:val="center"/>
        <w:rPr>
          <w:rFonts w:asciiTheme="majorHAnsi" w:hAnsiTheme="majorHAnsi"/>
          <w:sz w:val="22"/>
          <w:szCs w:val="22"/>
        </w:rPr>
      </w:pPr>
    </w:p>
    <w:p w:rsidR="00040C3A" w:rsidRPr="00DF4119" w:rsidRDefault="00040C3A" w:rsidP="00040C3A">
      <w:pPr>
        <w:tabs>
          <w:tab w:val="center" w:pos="5400"/>
        </w:tabs>
        <w:suppressAutoHyphens/>
        <w:jc w:val="center"/>
        <w:rPr>
          <w:rFonts w:asciiTheme="majorHAnsi" w:hAnsiTheme="majorHAnsi"/>
          <w:sz w:val="22"/>
          <w:szCs w:val="22"/>
        </w:rPr>
      </w:pPr>
    </w:p>
    <w:p w:rsidR="00040C3A" w:rsidRPr="00DF4119" w:rsidRDefault="00040C3A" w:rsidP="00040C3A">
      <w:pPr>
        <w:tabs>
          <w:tab w:val="center" w:pos="5400"/>
        </w:tabs>
        <w:suppressAutoHyphens/>
        <w:jc w:val="center"/>
        <w:rPr>
          <w:rFonts w:asciiTheme="majorHAnsi" w:hAnsiTheme="majorHAnsi"/>
          <w:sz w:val="22"/>
          <w:szCs w:val="22"/>
        </w:rPr>
      </w:pPr>
    </w:p>
    <w:p w:rsidR="00040C3A" w:rsidRPr="00DF4119" w:rsidRDefault="00040C3A" w:rsidP="00040C3A">
      <w:pPr>
        <w:tabs>
          <w:tab w:val="center" w:pos="5400"/>
        </w:tabs>
        <w:suppressAutoHyphens/>
        <w:jc w:val="center"/>
        <w:rPr>
          <w:rFonts w:asciiTheme="majorHAnsi" w:hAnsiTheme="majorHAnsi"/>
          <w:sz w:val="22"/>
          <w:szCs w:val="22"/>
        </w:rPr>
      </w:pPr>
    </w:p>
    <w:p w:rsidR="00040C3A" w:rsidRPr="00DF4119" w:rsidRDefault="00E533FF" w:rsidP="00040C3A">
      <w:pPr>
        <w:tabs>
          <w:tab w:val="center" w:pos="5400"/>
        </w:tabs>
        <w:suppressAutoHyphens/>
        <w:jc w:val="center"/>
        <w:rPr>
          <w:rFonts w:asciiTheme="majorHAnsi" w:hAnsiTheme="majorHAnsi"/>
          <w:sz w:val="22"/>
          <w:szCs w:val="22"/>
        </w:rPr>
      </w:pPr>
      <w:r w:rsidRPr="00DF411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FEFFD87" wp14:editId="54DDF5A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8E2D2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C66E1">
                              <w:rPr>
                                <w:rFonts w:asciiTheme="majorHAnsi" w:hAnsiTheme="majorHAnsi" w:cs="Arial"/>
                                <w:b/>
                                <w:bCs/>
                                <w:color w:val="0D0D0D" w:themeColor="text1" w:themeTint="F2"/>
                                <w:sz w:val="36"/>
                                <w:szCs w:val="40"/>
                              </w:rPr>
                              <w:t>93</w:t>
                            </w:r>
                            <w:r w:rsidR="00322450" w:rsidRPr="004B7EB6">
                              <w:rPr>
                                <w:rFonts w:asciiTheme="majorHAnsi" w:hAnsiTheme="majorHAnsi" w:cs="Arial"/>
                                <w:b/>
                                <w:bCs/>
                                <w:color w:val="0D0D0D" w:themeColor="text1" w:themeTint="F2"/>
                                <w:sz w:val="36"/>
                                <w:szCs w:val="40"/>
                              </w:rPr>
                              <w:t>/17</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PETITION 48-08</w:t>
                            </w:r>
                          </w:p>
                          <w:p w:rsidR="00322450" w:rsidRPr="004B7EB6" w:rsidRDefault="00450A4A" w:rsidP="006F432A">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rsidR="00450A4A" w:rsidRPr="004B7EB6" w:rsidRDefault="00450A4A" w:rsidP="004B7EB6">
                            <w:pPr>
                              <w:spacing w:line="276" w:lineRule="auto"/>
                              <w:rPr>
                                <w:rFonts w:asciiTheme="majorHAnsi" w:hAnsiTheme="majorHAnsi" w:cs="Arial"/>
                                <w:color w:val="0D0D0D" w:themeColor="text1" w:themeTint="F2"/>
                                <w:szCs w:val="22"/>
                              </w:rPr>
                            </w:pPr>
                          </w:p>
                          <w:p w:rsidR="006F432A" w:rsidRDefault="006F432A" w:rsidP="004B7EB6">
                            <w:pPr>
                              <w:spacing w:line="276" w:lineRule="auto"/>
                              <w:rPr>
                                <w:rFonts w:asciiTheme="majorHAnsi" w:hAnsiTheme="majorHAnsi" w:cs="Arial"/>
                                <w:color w:val="0D0D0D" w:themeColor="text1" w:themeTint="F2"/>
                                <w:szCs w:val="22"/>
                                <w:lang w:val="es-ES_tradnl"/>
                              </w:rPr>
                            </w:pPr>
                            <w:r w:rsidRPr="006F432A">
                              <w:rPr>
                                <w:rFonts w:asciiTheme="majorHAnsi" w:hAnsiTheme="majorHAnsi" w:cs="Arial"/>
                                <w:color w:val="0D0D0D" w:themeColor="text1" w:themeTint="F2"/>
                                <w:szCs w:val="22"/>
                                <w:lang w:val="es-ES_tradnl"/>
                              </w:rPr>
                              <w:t xml:space="preserve">ERNESTO LIZARRALDE ARDILA </w:t>
                            </w:r>
                            <w:r w:rsidR="00F05EE3">
                              <w:rPr>
                                <w:rFonts w:asciiTheme="majorHAnsi" w:hAnsiTheme="majorHAnsi" w:cs="Arial"/>
                                <w:color w:val="0D0D0D" w:themeColor="text1" w:themeTint="F2"/>
                                <w:szCs w:val="22"/>
                                <w:lang w:val="es-ES_tradnl"/>
                              </w:rPr>
                              <w:t>ET AL.</w:t>
                            </w:r>
                          </w:p>
                          <w:p w:rsidR="005B52B0" w:rsidRPr="004B7EB6" w:rsidRDefault="006F432A"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8E2D2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C66E1">
                        <w:rPr>
                          <w:rFonts w:asciiTheme="majorHAnsi" w:hAnsiTheme="majorHAnsi" w:cs="Arial"/>
                          <w:b/>
                          <w:bCs/>
                          <w:color w:val="0D0D0D" w:themeColor="text1" w:themeTint="F2"/>
                          <w:sz w:val="36"/>
                          <w:szCs w:val="40"/>
                        </w:rPr>
                        <w:t>93</w:t>
                      </w:r>
                      <w:r w:rsidR="00322450" w:rsidRPr="004B7EB6">
                        <w:rPr>
                          <w:rFonts w:asciiTheme="majorHAnsi" w:hAnsiTheme="majorHAnsi" w:cs="Arial"/>
                          <w:b/>
                          <w:bCs/>
                          <w:color w:val="0D0D0D" w:themeColor="text1" w:themeTint="F2"/>
                          <w:sz w:val="36"/>
                          <w:szCs w:val="40"/>
                        </w:rPr>
                        <w:t>/17</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PETITION 48-08</w:t>
                      </w:r>
                    </w:p>
                    <w:p w:rsidR="00322450" w:rsidRPr="004B7EB6" w:rsidRDefault="00450A4A" w:rsidP="006F432A">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rsidR="00450A4A" w:rsidRPr="004B7EB6" w:rsidRDefault="00450A4A" w:rsidP="004B7EB6">
                      <w:pPr>
                        <w:spacing w:line="276" w:lineRule="auto"/>
                        <w:rPr>
                          <w:rFonts w:asciiTheme="majorHAnsi" w:hAnsiTheme="majorHAnsi" w:cs="Arial"/>
                          <w:color w:val="0D0D0D" w:themeColor="text1" w:themeTint="F2"/>
                          <w:szCs w:val="22"/>
                        </w:rPr>
                      </w:pPr>
                    </w:p>
                    <w:p w:rsidR="006F432A" w:rsidRDefault="006F432A" w:rsidP="004B7EB6">
                      <w:pPr>
                        <w:spacing w:line="276" w:lineRule="auto"/>
                        <w:rPr>
                          <w:rFonts w:asciiTheme="majorHAnsi" w:hAnsiTheme="majorHAnsi" w:cs="Arial"/>
                          <w:color w:val="0D0D0D" w:themeColor="text1" w:themeTint="F2"/>
                          <w:szCs w:val="22"/>
                          <w:lang w:val="es-ES_tradnl"/>
                        </w:rPr>
                      </w:pPr>
                      <w:r w:rsidRPr="006F432A">
                        <w:rPr>
                          <w:rFonts w:asciiTheme="majorHAnsi" w:hAnsiTheme="majorHAnsi" w:cs="Arial"/>
                          <w:color w:val="0D0D0D" w:themeColor="text1" w:themeTint="F2"/>
                          <w:szCs w:val="22"/>
                          <w:lang w:val="es-ES_tradnl"/>
                        </w:rPr>
                        <w:t xml:space="preserve">ERNESTO LIZARRALDE ARDILA </w:t>
                      </w:r>
                      <w:r w:rsidR="00F05EE3">
                        <w:rPr>
                          <w:rFonts w:asciiTheme="majorHAnsi" w:hAnsiTheme="majorHAnsi" w:cs="Arial"/>
                          <w:color w:val="0D0D0D" w:themeColor="text1" w:themeTint="F2"/>
                          <w:szCs w:val="22"/>
                          <w:lang w:val="es-ES_tradnl"/>
                        </w:rPr>
                        <w:t>ET AL.</w:t>
                      </w:r>
                    </w:p>
                    <w:p w:rsidR="005B52B0" w:rsidRPr="004B7EB6" w:rsidRDefault="006F432A"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B7EB6" w:rsidRPr="00DF411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22566FF" wp14:editId="4FED3D5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C36D03" w:rsidRDefault="001C66E1" w:rsidP="002C1641">
                            <w:pPr>
                              <w:jc w:val="right"/>
                              <w:rPr>
                                <w:rFonts w:asciiTheme="minorHAnsi" w:hAnsiTheme="minorHAnsi"/>
                                <w:color w:val="FFFFFF" w:themeColor="background1"/>
                                <w:sz w:val="22"/>
                                <w:lang w:val="pt-BR"/>
                              </w:rPr>
                            </w:pPr>
                            <w:r w:rsidRPr="00C36D03">
                              <w:rPr>
                                <w:rFonts w:asciiTheme="minorHAnsi" w:hAnsiTheme="minorHAnsi"/>
                                <w:color w:val="FFFFFF" w:themeColor="background1"/>
                                <w:sz w:val="22"/>
                                <w:lang w:val="pt-BR"/>
                              </w:rPr>
                              <w:t>OEA/Ser.L/V/II.</w:t>
                            </w:r>
                          </w:p>
                          <w:p w:rsidR="00627C9F" w:rsidRPr="00C36D03" w:rsidRDefault="001C66E1" w:rsidP="002C1641">
                            <w:pPr>
                              <w:jc w:val="right"/>
                              <w:rPr>
                                <w:rFonts w:asciiTheme="minorHAnsi" w:hAnsiTheme="minorHAnsi"/>
                                <w:color w:val="FFFFFF" w:themeColor="background1"/>
                                <w:sz w:val="22"/>
                                <w:lang w:val="pt-BR"/>
                              </w:rPr>
                            </w:pPr>
                            <w:r w:rsidRPr="00C36D03">
                              <w:rPr>
                                <w:rFonts w:asciiTheme="minorHAnsi" w:hAnsiTheme="minorHAnsi"/>
                                <w:color w:val="FFFFFF" w:themeColor="background1"/>
                                <w:sz w:val="22"/>
                                <w:lang w:val="pt-BR"/>
                              </w:rPr>
                              <w:t>Doc. 106</w:t>
                            </w:r>
                          </w:p>
                          <w:p w:rsidR="00627C9F" w:rsidRPr="004B7EB6" w:rsidRDefault="001C66E1" w:rsidP="002C1641">
                            <w:pPr>
                              <w:jc w:val="right"/>
                              <w:rPr>
                                <w:rFonts w:asciiTheme="minorHAnsi" w:hAnsiTheme="minorHAnsi"/>
                                <w:color w:val="FFFFFF" w:themeColor="background1"/>
                                <w:sz w:val="22"/>
                              </w:rPr>
                            </w:pPr>
                            <w:r>
                              <w:rPr>
                                <w:rFonts w:asciiTheme="minorHAnsi" w:hAnsiTheme="minorHAnsi"/>
                                <w:color w:val="FFFFFF" w:themeColor="background1"/>
                                <w:sz w:val="22"/>
                              </w:rPr>
                              <w:t>8 August</w:t>
                            </w:r>
                            <w:r w:rsidR="00627C9F" w:rsidRPr="004B7EB6">
                              <w:rPr>
                                <w:rFonts w:asciiTheme="minorHAnsi" w:hAnsiTheme="minorHAnsi"/>
                                <w:color w:val="FFFFFF" w:themeColor="background1"/>
                                <w:sz w:val="22"/>
                              </w:rPr>
                              <w:t xml:space="preserve"> 2017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1C66E1" w:rsidRDefault="001C66E1" w:rsidP="002C1641">
                      <w:pPr>
                        <w:jc w:val="right"/>
                        <w:rPr>
                          <w:rFonts w:asciiTheme="minorHAnsi" w:hAnsiTheme="minorHAnsi"/>
                          <w:color w:val="FFFFFF" w:themeColor="background1"/>
                          <w:sz w:val="22"/>
                        </w:rPr>
                      </w:pPr>
                      <w:r w:rsidRPr="001C66E1">
                        <w:rPr>
                          <w:rFonts w:asciiTheme="minorHAnsi" w:hAnsiTheme="minorHAnsi"/>
                          <w:color w:val="FFFFFF" w:themeColor="background1"/>
                          <w:sz w:val="22"/>
                        </w:rPr>
                        <w:t>OEA/</w:t>
                      </w:r>
                      <w:proofErr w:type="spellStart"/>
                      <w:r w:rsidRPr="001C66E1">
                        <w:rPr>
                          <w:rFonts w:asciiTheme="minorHAnsi" w:hAnsiTheme="minorHAnsi"/>
                          <w:color w:val="FFFFFF" w:themeColor="background1"/>
                          <w:sz w:val="22"/>
                        </w:rPr>
                        <w:t>Ser.L</w:t>
                      </w:r>
                      <w:proofErr w:type="spellEnd"/>
                      <w:r w:rsidRPr="001C66E1">
                        <w:rPr>
                          <w:rFonts w:asciiTheme="minorHAnsi" w:hAnsiTheme="minorHAnsi"/>
                          <w:color w:val="FFFFFF" w:themeColor="background1"/>
                          <w:sz w:val="22"/>
                        </w:rPr>
                        <w:t>/V/II.</w:t>
                      </w:r>
                    </w:p>
                    <w:p w:rsidR="00627C9F" w:rsidRPr="001C66E1" w:rsidRDefault="001C66E1" w:rsidP="002C1641">
                      <w:pPr>
                        <w:jc w:val="right"/>
                        <w:rPr>
                          <w:rFonts w:asciiTheme="minorHAnsi" w:hAnsiTheme="minorHAnsi"/>
                          <w:color w:val="FFFFFF" w:themeColor="background1"/>
                          <w:sz w:val="22"/>
                        </w:rPr>
                      </w:pPr>
                      <w:r w:rsidRPr="001C66E1">
                        <w:rPr>
                          <w:rFonts w:asciiTheme="minorHAnsi" w:hAnsiTheme="minorHAnsi"/>
                          <w:color w:val="FFFFFF" w:themeColor="background1"/>
                          <w:sz w:val="22"/>
                        </w:rPr>
                        <w:t>Doc. 1</w:t>
                      </w:r>
                      <w:r>
                        <w:rPr>
                          <w:rFonts w:asciiTheme="minorHAnsi" w:hAnsiTheme="minorHAnsi"/>
                          <w:color w:val="FFFFFF" w:themeColor="background1"/>
                          <w:sz w:val="22"/>
                        </w:rPr>
                        <w:t>06</w:t>
                      </w:r>
                    </w:p>
                    <w:p w:rsidR="00627C9F" w:rsidRPr="004B7EB6" w:rsidRDefault="001C66E1" w:rsidP="002C1641">
                      <w:pPr>
                        <w:jc w:val="right"/>
                        <w:rPr>
                          <w:rFonts w:asciiTheme="minorHAnsi" w:hAnsiTheme="minorHAnsi"/>
                          <w:color w:val="FFFFFF" w:themeColor="background1"/>
                          <w:sz w:val="22"/>
                        </w:rPr>
                      </w:pPr>
                      <w:r>
                        <w:rPr>
                          <w:rFonts w:asciiTheme="minorHAnsi" w:hAnsiTheme="minorHAnsi"/>
                          <w:color w:val="FFFFFF" w:themeColor="background1"/>
                          <w:sz w:val="22"/>
                        </w:rPr>
                        <w:t>8 August</w:t>
                      </w:r>
                      <w:r w:rsidR="00627C9F" w:rsidRPr="004B7EB6">
                        <w:rPr>
                          <w:rFonts w:asciiTheme="minorHAnsi" w:hAnsiTheme="minorHAnsi"/>
                          <w:color w:val="FFFFFF" w:themeColor="background1"/>
                          <w:sz w:val="22"/>
                        </w:rPr>
                        <w:t xml:space="preserve"> 2017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Spanish</w:t>
                      </w:r>
                    </w:p>
                  </w:txbxContent>
                </v:textbox>
              </v:shape>
            </w:pict>
          </mc:Fallback>
        </mc:AlternateContent>
      </w:r>
    </w:p>
    <w:p w:rsidR="00040C3A" w:rsidRPr="00DF4119" w:rsidRDefault="00040C3A" w:rsidP="00040C3A">
      <w:pPr>
        <w:tabs>
          <w:tab w:val="center" w:pos="5400"/>
        </w:tabs>
        <w:suppressAutoHyphens/>
        <w:jc w:val="center"/>
        <w:rPr>
          <w:rFonts w:asciiTheme="majorHAnsi" w:hAnsiTheme="majorHAnsi"/>
          <w:sz w:val="22"/>
          <w:szCs w:val="22"/>
        </w:rPr>
      </w:pPr>
    </w:p>
    <w:p w:rsidR="00040C3A" w:rsidRPr="00DF4119" w:rsidRDefault="00040C3A" w:rsidP="00040C3A">
      <w:pPr>
        <w:tabs>
          <w:tab w:val="center" w:pos="5400"/>
        </w:tabs>
        <w:suppressAutoHyphens/>
        <w:jc w:val="center"/>
        <w:rPr>
          <w:rFonts w:asciiTheme="majorHAnsi" w:hAnsiTheme="majorHAnsi" w:cs="Arial"/>
          <w:sz w:val="22"/>
          <w:szCs w:val="22"/>
        </w:rPr>
      </w:pPr>
    </w:p>
    <w:p w:rsidR="00040C3A" w:rsidRPr="00DF4119" w:rsidRDefault="00040C3A" w:rsidP="00040C3A">
      <w:pPr>
        <w:tabs>
          <w:tab w:val="center" w:pos="5400"/>
        </w:tabs>
        <w:suppressAutoHyphens/>
        <w:jc w:val="center"/>
        <w:rPr>
          <w:rFonts w:asciiTheme="majorHAnsi" w:hAnsiTheme="majorHAnsi"/>
          <w:sz w:val="22"/>
          <w:szCs w:val="22"/>
        </w:rPr>
      </w:pPr>
    </w:p>
    <w:p w:rsidR="00040C3A" w:rsidRPr="00DF4119" w:rsidRDefault="00040C3A" w:rsidP="00040C3A">
      <w:pPr>
        <w:tabs>
          <w:tab w:val="center" w:pos="5400"/>
        </w:tabs>
        <w:suppressAutoHyphens/>
        <w:jc w:val="center"/>
        <w:rPr>
          <w:rFonts w:asciiTheme="majorHAnsi" w:hAnsiTheme="majorHAnsi"/>
          <w:sz w:val="22"/>
          <w:szCs w:val="22"/>
        </w:rPr>
      </w:pPr>
    </w:p>
    <w:p w:rsidR="00040C3A" w:rsidRPr="00DF4119" w:rsidRDefault="00040C3A" w:rsidP="00040C3A">
      <w:pPr>
        <w:tabs>
          <w:tab w:val="center" w:pos="5400"/>
        </w:tabs>
        <w:suppressAutoHyphens/>
        <w:jc w:val="center"/>
        <w:rPr>
          <w:rFonts w:asciiTheme="majorHAnsi" w:hAnsiTheme="majorHAnsi"/>
          <w:sz w:val="22"/>
          <w:szCs w:val="22"/>
        </w:rPr>
      </w:pPr>
    </w:p>
    <w:p w:rsidR="00040C3A" w:rsidRPr="00DF4119" w:rsidRDefault="00040C3A" w:rsidP="00040C3A">
      <w:pPr>
        <w:tabs>
          <w:tab w:val="center" w:pos="5400"/>
        </w:tabs>
        <w:suppressAutoHyphens/>
        <w:jc w:val="center"/>
        <w:rPr>
          <w:rFonts w:asciiTheme="majorHAnsi" w:hAnsiTheme="majorHAnsi"/>
          <w:sz w:val="22"/>
          <w:szCs w:val="22"/>
        </w:rPr>
      </w:pPr>
    </w:p>
    <w:p w:rsidR="005128E4" w:rsidRPr="00DF4119" w:rsidRDefault="005128E4" w:rsidP="00040C3A">
      <w:pPr>
        <w:tabs>
          <w:tab w:val="center" w:pos="5400"/>
        </w:tabs>
        <w:suppressAutoHyphens/>
        <w:jc w:val="center"/>
        <w:rPr>
          <w:rFonts w:asciiTheme="majorHAnsi" w:hAnsiTheme="majorHAnsi"/>
          <w:sz w:val="22"/>
          <w:szCs w:val="22"/>
        </w:rPr>
      </w:pPr>
    </w:p>
    <w:p w:rsidR="00040C3A" w:rsidRPr="00DF4119" w:rsidRDefault="00040C3A" w:rsidP="00040C3A">
      <w:pPr>
        <w:tabs>
          <w:tab w:val="center" w:pos="5400"/>
        </w:tabs>
        <w:suppressAutoHyphens/>
        <w:jc w:val="center"/>
        <w:rPr>
          <w:rFonts w:asciiTheme="majorHAnsi" w:hAnsiTheme="majorHAnsi"/>
          <w:sz w:val="22"/>
          <w:szCs w:val="22"/>
        </w:rPr>
      </w:pPr>
    </w:p>
    <w:p w:rsidR="005128E4" w:rsidRPr="00DF4119" w:rsidRDefault="005128E4" w:rsidP="00040C3A">
      <w:pPr>
        <w:tabs>
          <w:tab w:val="center" w:pos="5400"/>
        </w:tabs>
        <w:suppressAutoHyphens/>
        <w:jc w:val="center"/>
        <w:rPr>
          <w:rFonts w:asciiTheme="majorHAnsi" w:hAnsiTheme="majorHAnsi"/>
          <w:sz w:val="22"/>
          <w:szCs w:val="22"/>
        </w:rPr>
      </w:pPr>
    </w:p>
    <w:p w:rsidR="005128E4" w:rsidRPr="00DF4119" w:rsidRDefault="005128E4" w:rsidP="00040C3A">
      <w:pPr>
        <w:tabs>
          <w:tab w:val="center" w:pos="5400"/>
        </w:tabs>
        <w:suppressAutoHyphens/>
        <w:jc w:val="center"/>
        <w:rPr>
          <w:rFonts w:asciiTheme="majorHAnsi" w:hAnsiTheme="majorHAnsi"/>
          <w:sz w:val="22"/>
          <w:szCs w:val="22"/>
        </w:rPr>
      </w:pPr>
    </w:p>
    <w:p w:rsidR="005128E4" w:rsidRPr="00DF4119" w:rsidRDefault="005128E4" w:rsidP="00040C3A">
      <w:pPr>
        <w:tabs>
          <w:tab w:val="center" w:pos="5400"/>
        </w:tabs>
        <w:suppressAutoHyphens/>
        <w:jc w:val="center"/>
        <w:rPr>
          <w:rFonts w:asciiTheme="majorHAnsi" w:hAnsiTheme="majorHAnsi"/>
          <w:sz w:val="22"/>
          <w:szCs w:val="22"/>
        </w:rPr>
      </w:pPr>
    </w:p>
    <w:p w:rsidR="00040C3A" w:rsidRPr="00DF4119" w:rsidRDefault="00040C3A" w:rsidP="00040C3A">
      <w:pPr>
        <w:tabs>
          <w:tab w:val="center" w:pos="5400"/>
        </w:tabs>
        <w:suppressAutoHyphens/>
        <w:jc w:val="center"/>
        <w:rPr>
          <w:rFonts w:asciiTheme="majorHAnsi" w:hAnsiTheme="majorHAnsi"/>
          <w:sz w:val="22"/>
          <w:szCs w:val="22"/>
        </w:rPr>
      </w:pPr>
    </w:p>
    <w:p w:rsidR="00040C3A" w:rsidRPr="00DF4119" w:rsidRDefault="00040C3A" w:rsidP="00040C3A">
      <w:pPr>
        <w:tabs>
          <w:tab w:val="center" w:pos="5400"/>
        </w:tabs>
        <w:suppressAutoHyphens/>
        <w:jc w:val="center"/>
        <w:rPr>
          <w:rFonts w:asciiTheme="majorHAnsi" w:hAnsiTheme="majorHAnsi"/>
          <w:sz w:val="22"/>
          <w:szCs w:val="22"/>
        </w:rPr>
      </w:pP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3C32BC" w:rsidP="00040C3A">
      <w:pPr>
        <w:tabs>
          <w:tab w:val="center" w:pos="5400"/>
        </w:tabs>
        <w:suppressAutoHyphens/>
        <w:jc w:val="center"/>
        <w:rPr>
          <w:rFonts w:asciiTheme="majorHAnsi" w:hAnsiTheme="majorHAnsi"/>
          <w:sz w:val="18"/>
          <w:szCs w:val="22"/>
        </w:rPr>
      </w:pPr>
      <w:r w:rsidRPr="00DF411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B574AB5" wp14:editId="3ED9F79E">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66E1" w:rsidRPr="003C32BC" w:rsidRDefault="001C66E1" w:rsidP="001C66E1">
                            <w:pPr>
                              <w:tabs>
                                <w:tab w:val="center" w:pos="5400"/>
                              </w:tabs>
                              <w:suppressAutoHyphens/>
                              <w:spacing w:before="60"/>
                              <w:rPr>
                                <w:rFonts w:asciiTheme="majorHAnsi" w:hAnsiTheme="majorHAnsi"/>
                                <w:color w:val="0D0D0D" w:themeColor="text1" w:themeTint="F2"/>
                                <w:sz w:val="18"/>
                                <w:szCs w:val="22"/>
                              </w:rPr>
                            </w:pPr>
                            <w:r w:rsidRPr="00E74DD0">
                              <w:rPr>
                                <w:rFonts w:asciiTheme="majorHAnsi" w:hAnsiTheme="majorHAnsi"/>
                                <w:color w:val="0D0D0D" w:themeColor="text1" w:themeTint="F2"/>
                                <w:sz w:val="18"/>
                                <w:szCs w:val="20"/>
                              </w:rPr>
                              <w:t xml:space="preserve">Approved electronically by the Commission on </w:t>
                            </w:r>
                            <w:r>
                              <w:rPr>
                                <w:rFonts w:asciiTheme="majorHAnsi" w:hAnsiTheme="majorHAnsi"/>
                                <w:color w:val="0D0D0D" w:themeColor="text1" w:themeTint="F2"/>
                                <w:sz w:val="18"/>
                                <w:szCs w:val="20"/>
                              </w:rPr>
                              <w:t>August 8</w:t>
                            </w:r>
                            <w:r w:rsidRPr="00E74DD0">
                              <w:rPr>
                                <w:rFonts w:asciiTheme="majorHAnsi" w:hAnsiTheme="majorHAnsi"/>
                                <w:color w:val="0D0D0D" w:themeColor="text1" w:themeTint="F2"/>
                                <w:sz w:val="18"/>
                                <w:szCs w:val="20"/>
                              </w:rPr>
                              <w:t>, 2017</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1C66E1" w:rsidRPr="003C32BC" w:rsidRDefault="001C66E1" w:rsidP="001C66E1">
                      <w:pPr>
                        <w:tabs>
                          <w:tab w:val="center" w:pos="5400"/>
                        </w:tabs>
                        <w:suppressAutoHyphens/>
                        <w:spacing w:before="60"/>
                        <w:rPr>
                          <w:rFonts w:asciiTheme="majorHAnsi" w:hAnsiTheme="majorHAnsi"/>
                          <w:color w:val="0D0D0D" w:themeColor="text1" w:themeTint="F2"/>
                          <w:sz w:val="18"/>
                          <w:szCs w:val="22"/>
                        </w:rPr>
                      </w:pPr>
                      <w:r w:rsidRPr="00E74DD0">
                        <w:rPr>
                          <w:rFonts w:asciiTheme="majorHAnsi" w:hAnsiTheme="majorHAnsi"/>
                          <w:color w:val="0D0D0D" w:themeColor="text1" w:themeTint="F2"/>
                          <w:sz w:val="18"/>
                          <w:szCs w:val="20"/>
                        </w:rPr>
                        <w:t xml:space="preserve">Approved electronically by the Commission on </w:t>
                      </w:r>
                      <w:r>
                        <w:rPr>
                          <w:rFonts w:asciiTheme="majorHAnsi" w:hAnsiTheme="majorHAnsi"/>
                          <w:color w:val="0D0D0D" w:themeColor="text1" w:themeTint="F2"/>
                          <w:sz w:val="18"/>
                          <w:szCs w:val="20"/>
                        </w:rPr>
                        <w:t>August 8</w:t>
                      </w:r>
                      <w:r w:rsidRPr="00E74DD0">
                        <w:rPr>
                          <w:rFonts w:asciiTheme="majorHAnsi" w:hAnsiTheme="majorHAnsi"/>
                          <w:color w:val="0D0D0D" w:themeColor="text1" w:themeTint="F2"/>
                          <w:sz w:val="18"/>
                          <w:szCs w:val="20"/>
                        </w:rPr>
                        <w:t>, 2017</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3C32BC" w:rsidP="00040C3A">
      <w:pPr>
        <w:tabs>
          <w:tab w:val="center" w:pos="5400"/>
        </w:tabs>
        <w:suppressAutoHyphens/>
        <w:jc w:val="center"/>
        <w:rPr>
          <w:rFonts w:asciiTheme="majorHAnsi" w:hAnsiTheme="majorHAnsi"/>
          <w:sz w:val="18"/>
          <w:szCs w:val="22"/>
        </w:rPr>
      </w:pPr>
      <w:r w:rsidRPr="00DF4119">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AFD3786" wp14:editId="6F47E253">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32A" w:rsidRPr="001C66E1" w:rsidRDefault="006F432A" w:rsidP="001C66E1">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DF4119">
                              <w:rPr>
                                <w:rFonts w:asciiTheme="majorHAnsi" w:hAnsiTheme="majorHAnsi"/>
                                <w:color w:val="595959" w:themeColor="text1" w:themeTint="A6"/>
                                <w:sz w:val="18"/>
                              </w:rPr>
                              <w:t xml:space="preserve">IACHR, Report No. </w:t>
                            </w:r>
                            <w:r w:rsidR="001C66E1">
                              <w:rPr>
                                <w:rFonts w:asciiTheme="majorHAnsi" w:hAnsiTheme="majorHAnsi"/>
                                <w:color w:val="595959" w:themeColor="text1" w:themeTint="A6"/>
                                <w:sz w:val="18"/>
                              </w:rPr>
                              <w:t xml:space="preserve">93/17. </w:t>
                            </w:r>
                            <w:r w:rsidR="001C66E1" w:rsidRPr="00C36D03">
                              <w:rPr>
                                <w:rFonts w:asciiTheme="majorHAnsi" w:hAnsiTheme="majorHAnsi"/>
                                <w:color w:val="595959" w:themeColor="text1" w:themeTint="A6"/>
                                <w:sz w:val="18"/>
                              </w:rPr>
                              <w:t xml:space="preserve">Petition 48-08. </w:t>
                            </w:r>
                            <w:r w:rsidR="001C66E1">
                              <w:rPr>
                                <w:rFonts w:asciiTheme="majorHAnsi" w:hAnsiTheme="majorHAnsi"/>
                                <w:color w:val="595959" w:themeColor="text1" w:themeTint="A6"/>
                                <w:sz w:val="18"/>
                                <w:lang w:val="es-ES"/>
                              </w:rPr>
                              <w:t xml:space="preserve">Admissibility. </w:t>
                            </w:r>
                            <w:r w:rsidR="001C66E1" w:rsidRPr="001C66E1">
                              <w:rPr>
                                <w:rFonts w:asciiTheme="majorHAnsi" w:hAnsiTheme="majorHAnsi"/>
                                <w:color w:val="595959" w:themeColor="text1" w:themeTint="A6"/>
                                <w:sz w:val="18"/>
                                <w:lang w:val="es-ES"/>
                              </w:rPr>
                              <w:t>E</w:t>
                            </w:r>
                            <w:r w:rsidR="001C66E1">
                              <w:rPr>
                                <w:rFonts w:asciiTheme="majorHAnsi" w:hAnsiTheme="majorHAnsi"/>
                                <w:color w:val="595959" w:themeColor="text1" w:themeTint="A6"/>
                                <w:sz w:val="18"/>
                                <w:lang w:val="es-ES"/>
                              </w:rPr>
                              <w:t xml:space="preserve">rnesto Lizarralde Ardila Et Al. </w:t>
                            </w:r>
                            <w:r w:rsidR="001C66E1" w:rsidRPr="001C66E1">
                              <w:rPr>
                                <w:rFonts w:asciiTheme="majorHAnsi" w:hAnsiTheme="majorHAnsi"/>
                                <w:color w:val="595959" w:themeColor="text1" w:themeTint="A6"/>
                                <w:sz w:val="18"/>
                                <w:lang w:val="es-ES"/>
                              </w:rPr>
                              <w:t>Colombia</w:t>
                            </w:r>
                            <w:r w:rsidR="001C66E1">
                              <w:rPr>
                                <w:rFonts w:asciiTheme="majorHAnsi" w:hAnsiTheme="majorHAnsi"/>
                                <w:color w:val="595959" w:themeColor="text1" w:themeTint="A6"/>
                                <w:sz w:val="18"/>
                                <w:lang w:val="es-ES"/>
                              </w:rPr>
                              <w:t>. August 8, 2017.</w:t>
                            </w:r>
                          </w:p>
                          <w:p w:rsidR="00F644E6" w:rsidRPr="001C66E1" w:rsidRDefault="00F644E6" w:rsidP="00F644E6">
                            <w:pPr>
                              <w:spacing w:line="276" w:lineRule="auto"/>
                              <w:rPr>
                                <w:rFonts w:asciiTheme="majorHAnsi" w:hAnsiTheme="majorHAnsi"/>
                                <w:color w:val="595959" w:themeColor="text1" w:themeTint="A6"/>
                                <w:sz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6F432A" w:rsidRPr="001C66E1" w:rsidRDefault="006F432A" w:rsidP="001C66E1">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DF4119">
                        <w:rPr>
                          <w:rFonts w:asciiTheme="majorHAnsi" w:hAnsiTheme="majorHAnsi"/>
                          <w:color w:val="595959" w:themeColor="text1" w:themeTint="A6"/>
                          <w:sz w:val="18"/>
                        </w:rPr>
                        <w:t xml:space="preserve">IACHR, Report No. </w:t>
                      </w:r>
                      <w:r w:rsidR="001C66E1">
                        <w:rPr>
                          <w:rFonts w:asciiTheme="majorHAnsi" w:hAnsiTheme="majorHAnsi"/>
                          <w:color w:val="595959" w:themeColor="text1" w:themeTint="A6"/>
                          <w:sz w:val="18"/>
                        </w:rPr>
                        <w:t xml:space="preserve">93/17. </w:t>
                      </w:r>
                      <w:proofErr w:type="spellStart"/>
                      <w:r w:rsidR="001C66E1" w:rsidRPr="001C66E1">
                        <w:rPr>
                          <w:rFonts w:asciiTheme="majorHAnsi" w:hAnsiTheme="majorHAnsi"/>
                          <w:color w:val="595959" w:themeColor="text1" w:themeTint="A6"/>
                          <w:sz w:val="18"/>
                          <w:lang w:val="es-ES"/>
                        </w:rPr>
                        <w:t>Petition</w:t>
                      </w:r>
                      <w:proofErr w:type="spellEnd"/>
                      <w:r w:rsidR="001C66E1" w:rsidRPr="001C66E1">
                        <w:rPr>
                          <w:rFonts w:asciiTheme="majorHAnsi" w:hAnsiTheme="majorHAnsi"/>
                          <w:color w:val="595959" w:themeColor="text1" w:themeTint="A6"/>
                          <w:sz w:val="18"/>
                          <w:lang w:val="es-ES"/>
                        </w:rPr>
                        <w:t xml:space="preserve"> 48-08. </w:t>
                      </w:r>
                      <w:proofErr w:type="spellStart"/>
                      <w:r w:rsidR="001C66E1">
                        <w:rPr>
                          <w:rFonts w:asciiTheme="majorHAnsi" w:hAnsiTheme="majorHAnsi"/>
                          <w:color w:val="595959" w:themeColor="text1" w:themeTint="A6"/>
                          <w:sz w:val="18"/>
                          <w:lang w:val="es-ES"/>
                        </w:rPr>
                        <w:t>Admissibility</w:t>
                      </w:r>
                      <w:proofErr w:type="spellEnd"/>
                      <w:r w:rsidR="001C66E1">
                        <w:rPr>
                          <w:rFonts w:asciiTheme="majorHAnsi" w:hAnsiTheme="majorHAnsi"/>
                          <w:color w:val="595959" w:themeColor="text1" w:themeTint="A6"/>
                          <w:sz w:val="18"/>
                          <w:lang w:val="es-ES"/>
                        </w:rPr>
                        <w:t xml:space="preserve">. </w:t>
                      </w:r>
                      <w:r w:rsidR="001C66E1" w:rsidRPr="001C66E1">
                        <w:rPr>
                          <w:rFonts w:asciiTheme="majorHAnsi" w:hAnsiTheme="majorHAnsi"/>
                          <w:color w:val="595959" w:themeColor="text1" w:themeTint="A6"/>
                          <w:sz w:val="18"/>
                          <w:lang w:val="es-ES"/>
                        </w:rPr>
                        <w:t>E</w:t>
                      </w:r>
                      <w:r w:rsidR="001C66E1">
                        <w:rPr>
                          <w:rFonts w:asciiTheme="majorHAnsi" w:hAnsiTheme="majorHAnsi"/>
                          <w:color w:val="595959" w:themeColor="text1" w:themeTint="A6"/>
                          <w:sz w:val="18"/>
                          <w:lang w:val="es-ES"/>
                        </w:rPr>
                        <w:t xml:space="preserve">rnesto </w:t>
                      </w:r>
                      <w:proofErr w:type="spellStart"/>
                      <w:r w:rsidR="001C66E1">
                        <w:rPr>
                          <w:rFonts w:asciiTheme="majorHAnsi" w:hAnsiTheme="majorHAnsi"/>
                          <w:color w:val="595959" w:themeColor="text1" w:themeTint="A6"/>
                          <w:sz w:val="18"/>
                          <w:lang w:val="es-ES"/>
                        </w:rPr>
                        <w:t>Lizarralde</w:t>
                      </w:r>
                      <w:proofErr w:type="spellEnd"/>
                      <w:r w:rsidR="001C66E1">
                        <w:rPr>
                          <w:rFonts w:asciiTheme="majorHAnsi" w:hAnsiTheme="majorHAnsi"/>
                          <w:color w:val="595959" w:themeColor="text1" w:themeTint="A6"/>
                          <w:sz w:val="18"/>
                          <w:lang w:val="es-ES"/>
                        </w:rPr>
                        <w:t xml:space="preserve"> Ardila Et Al. </w:t>
                      </w:r>
                      <w:r w:rsidR="001C66E1" w:rsidRPr="001C66E1">
                        <w:rPr>
                          <w:rFonts w:asciiTheme="majorHAnsi" w:hAnsiTheme="majorHAnsi"/>
                          <w:color w:val="595959" w:themeColor="text1" w:themeTint="A6"/>
                          <w:sz w:val="18"/>
                          <w:lang w:val="es-ES"/>
                        </w:rPr>
                        <w:t>Colombia</w:t>
                      </w:r>
                      <w:r w:rsidR="001C66E1">
                        <w:rPr>
                          <w:rFonts w:asciiTheme="majorHAnsi" w:hAnsiTheme="majorHAnsi"/>
                          <w:color w:val="595959" w:themeColor="text1" w:themeTint="A6"/>
                          <w:sz w:val="18"/>
                          <w:lang w:val="es-ES"/>
                        </w:rPr>
                        <w:t xml:space="preserve">. </w:t>
                      </w:r>
                      <w:proofErr w:type="spellStart"/>
                      <w:r w:rsidR="001C66E1">
                        <w:rPr>
                          <w:rFonts w:asciiTheme="majorHAnsi" w:hAnsiTheme="majorHAnsi"/>
                          <w:color w:val="595959" w:themeColor="text1" w:themeTint="A6"/>
                          <w:sz w:val="18"/>
                          <w:lang w:val="es-ES"/>
                        </w:rPr>
                        <w:t>August</w:t>
                      </w:r>
                      <w:proofErr w:type="spellEnd"/>
                      <w:r w:rsidR="001C66E1">
                        <w:rPr>
                          <w:rFonts w:asciiTheme="majorHAnsi" w:hAnsiTheme="majorHAnsi"/>
                          <w:color w:val="595959" w:themeColor="text1" w:themeTint="A6"/>
                          <w:sz w:val="18"/>
                          <w:lang w:val="es-ES"/>
                        </w:rPr>
                        <w:t xml:space="preserve"> 8, 2017.</w:t>
                      </w:r>
                    </w:p>
                    <w:p w:rsidR="00F644E6" w:rsidRPr="001C66E1" w:rsidRDefault="00F644E6" w:rsidP="00F644E6">
                      <w:pPr>
                        <w:spacing w:line="276" w:lineRule="auto"/>
                        <w:rPr>
                          <w:rFonts w:asciiTheme="majorHAnsi" w:hAnsiTheme="majorHAnsi"/>
                          <w:color w:val="595959" w:themeColor="text1" w:themeTint="A6"/>
                          <w:sz w:val="18"/>
                          <w:lang w:val="es-ES"/>
                        </w:rPr>
                      </w:pPr>
                    </w:p>
                  </w:txbxContent>
                </v:textbox>
              </v:shape>
            </w:pict>
          </mc:Fallback>
        </mc:AlternateContent>
      </w:r>
    </w:p>
    <w:p w:rsidR="002C1641" w:rsidRPr="00DF4119" w:rsidRDefault="002C1641" w:rsidP="00040C3A">
      <w:pPr>
        <w:tabs>
          <w:tab w:val="center" w:pos="5400"/>
        </w:tabs>
        <w:suppressAutoHyphens/>
        <w:jc w:val="center"/>
        <w:rPr>
          <w:rFonts w:asciiTheme="majorHAnsi" w:hAnsiTheme="majorHAnsi"/>
          <w:sz w:val="18"/>
          <w:szCs w:val="22"/>
        </w:rPr>
      </w:pPr>
    </w:p>
    <w:p w:rsidR="002C1641" w:rsidRPr="00DF4119" w:rsidRDefault="002C1641" w:rsidP="00040C3A">
      <w:pPr>
        <w:tabs>
          <w:tab w:val="center" w:pos="5400"/>
        </w:tabs>
        <w:suppressAutoHyphens/>
        <w:jc w:val="center"/>
        <w:rPr>
          <w:rFonts w:asciiTheme="majorHAnsi" w:hAnsiTheme="majorHAnsi"/>
          <w:sz w:val="18"/>
          <w:szCs w:val="22"/>
        </w:rPr>
      </w:pPr>
    </w:p>
    <w:p w:rsidR="003C32BC" w:rsidRPr="00DF4119" w:rsidRDefault="003C32BC" w:rsidP="003C32BC">
      <w:pPr>
        <w:tabs>
          <w:tab w:val="center" w:pos="5400"/>
        </w:tabs>
        <w:suppressAutoHyphens/>
        <w:jc w:val="center"/>
        <w:rPr>
          <w:rFonts w:asciiTheme="majorHAnsi" w:hAnsiTheme="majorHAnsi"/>
          <w:sz w:val="18"/>
          <w:szCs w:val="22"/>
        </w:rPr>
      </w:pPr>
    </w:p>
    <w:p w:rsidR="003C32BC" w:rsidRPr="00DF4119" w:rsidRDefault="006311DA" w:rsidP="003C32BC">
      <w:pPr>
        <w:tabs>
          <w:tab w:val="center" w:pos="5400"/>
        </w:tabs>
        <w:suppressAutoHyphens/>
        <w:jc w:val="center"/>
        <w:rPr>
          <w:rFonts w:asciiTheme="majorHAnsi" w:hAnsiTheme="majorHAnsi"/>
          <w:sz w:val="18"/>
          <w:szCs w:val="22"/>
        </w:rPr>
      </w:pPr>
      <w:r w:rsidRPr="00DF411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3C27168" wp14:editId="458561F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DF411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90B5F7A" wp14:editId="345A87A3">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0AEC90B3" wp14:editId="3077EA5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0AEC90B3" wp14:editId="3077EA5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DF4119" w:rsidRDefault="007607C4" w:rsidP="003C32BC">
      <w:pPr>
        <w:tabs>
          <w:tab w:val="center" w:pos="5400"/>
        </w:tabs>
        <w:suppressAutoHyphens/>
        <w:jc w:val="center"/>
        <w:rPr>
          <w:rFonts w:asciiTheme="majorHAnsi" w:hAnsiTheme="majorHAnsi"/>
          <w:sz w:val="18"/>
          <w:szCs w:val="22"/>
        </w:rPr>
        <w:sectPr w:rsidR="007607C4" w:rsidRPr="00DF4119"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6F432A" w:rsidRPr="00DF4119" w:rsidRDefault="000F4C05" w:rsidP="006F432A">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93</w:t>
      </w:r>
      <w:r w:rsidR="006F432A" w:rsidRPr="00DF4119">
        <w:rPr>
          <w:rFonts w:asciiTheme="majorHAnsi" w:hAnsiTheme="majorHAnsi"/>
          <w:b/>
          <w:sz w:val="18"/>
          <w:szCs w:val="20"/>
        </w:rPr>
        <w:t>/17</w:t>
      </w:r>
      <w:r w:rsidR="006F432A" w:rsidRPr="00DF4119">
        <w:rPr>
          <w:rStyle w:val="FootnoteReference"/>
          <w:rFonts w:asciiTheme="majorHAnsi" w:hAnsiTheme="majorHAnsi"/>
          <w:b/>
          <w:sz w:val="18"/>
          <w:szCs w:val="20"/>
        </w:rPr>
        <w:footnoteReference w:id="2"/>
      </w:r>
    </w:p>
    <w:p w:rsidR="006F432A" w:rsidRPr="00DF4119" w:rsidRDefault="006F432A" w:rsidP="006F432A">
      <w:pPr>
        <w:tabs>
          <w:tab w:val="center" w:pos="5400"/>
        </w:tabs>
        <w:suppressAutoHyphens/>
        <w:spacing w:line="276" w:lineRule="auto"/>
        <w:jc w:val="center"/>
        <w:rPr>
          <w:rFonts w:asciiTheme="majorHAnsi" w:hAnsiTheme="majorHAnsi"/>
          <w:b/>
          <w:sz w:val="18"/>
          <w:szCs w:val="20"/>
        </w:rPr>
      </w:pPr>
      <w:r w:rsidRPr="00DF4119">
        <w:rPr>
          <w:rFonts w:asciiTheme="majorHAnsi" w:hAnsiTheme="majorHAnsi"/>
          <w:b/>
          <w:sz w:val="18"/>
          <w:szCs w:val="20"/>
        </w:rPr>
        <w:t xml:space="preserve">PETITION 48-08 </w:t>
      </w:r>
    </w:p>
    <w:p w:rsidR="006F432A" w:rsidRPr="00DF4119" w:rsidRDefault="006F432A" w:rsidP="006F432A">
      <w:pPr>
        <w:tabs>
          <w:tab w:val="center" w:pos="5400"/>
        </w:tabs>
        <w:suppressAutoHyphens/>
        <w:spacing w:line="276" w:lineRule="auto"/>
        <w:jc w:val="center"/>
        <w:rPr>
          <w:rFonts w:asciiTheme="majorHAnsi" w:hAnsiTheme="majorHAnsi"/>
          <w:sz w:val="18"/>
          <w:szCs w:val="20"/>
        </w:rPr>
      </w:pPr>
      <w:r w:rsidRPr="00DF4119">
        <w:rPr>
          <w:rFonts w:asciiTheme="majorHAnsi" w:hAnsiTheme="majorHAnsi"/>
          <w:sz w:val="18"/>
          <w:szCs w:val="20"/>
        </w:rPr>
        <w:t xml:space="preserve">REPORT ON ADMISSIBILITY </w:t>
      </w:r>
    </w:p>
    <w:p w:rsidR="006F432A" w:rsidRPr="00F05EE3" w:rsidRDefault="006F432A" w:rsidP="006F432A">
      <w:pPr>
        <w:tabs>
          <w:tab w:val="center" w:pos="5400"/>
        </w:tabs>
        <w:suppressAutoHyphens/>
        <w:spacing w:line="276" w:lineRule="auto"/>
        <w:jc w:val="center"/>
        <w:rPr>
          <w:rFonts w:asciiTheme="majorHAnsi" w:hAnsiTheme="majorHAnsi"/>
          <w:sz w:val="18"/>
          <w:szCs w:val="20"/>
          <w:lang w:val="es-ES"/>
        </w:rPr>
      </w:pPr>
      <w:r w:rsidRPr="00F05EE3">
        <w:rPr>
          <w:rFonts w:asciiTheme="majorHAnsi" w:hAnsiTheme="majorHAnsi"/>
          <w:sz w:val="18"/>
          <w:szCs w:val="20"/>
          <w:lang w:val="es-ES"/>
        </w:rPr>
        <w:t xml:space="preserve">ERNESTO LIZARRALDE ARDILA </w:t>
      </w:r>
      <w:r w:rsidR="00F05EE3" w:rsidRPr="00F05EE3">
        <w:rPr>
          <w:rFonts w:asciiTheme="majorHAnsi" w:hAnsiTheme="majorHAnsi"/>
          <w:sz w:val="18"/>
          <w:szCs w:val="20"/>
          <w:lang w:val="es-ES"/>
        </w:rPr>
        <w:t>ET AL.</w:t>
      </w:r>
    </w:p>
    <w:p w:rsidR="006F432A" w:rsidRPr="00DF4119" w:rsidRDefault="006F432A" w:rsidP="006F432A">
      <w:pPr>
        <w:tabs>
          <w:tab w:val="center" w:pos="5400"/>
        </w:tabs>
        <w:suppressAutoHyphens/>
        <w:spacing w:line="276" w:lineRule="auto"/>
        <w:jc w:val="center"/>
        <w:rPr>
          <w:rFonts w:asciiTheme="majorHAnsi" w:hAnsiTheme="majorHAnsi"/>
          <w:sz w:val="18"/>
          <w:szCs w:val="20"/>
        </w:rPr>
      </w:pPr>
      <w:r w:rsidRPr="00DF4119">
        <w:rPr>
          <w:rFonts w:asciiTheme="majorHAnsi" w:hAnsiTheme="majorHAnsi"/>
          <w:sz w:val="18"/>
          <w:szCs w:val="20"/>
        </w:rPr>
        <w:t>COLOMBIA</w:t>
      </w:r>
    </w:p>
    <w:p w:rsidR="006F432A" w:rsidRDefault="000F4C05" w:rsidP="000F4C05">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AUGUST 8, 2017</w:t>
      </w:r>
    </w:p>
    <w:p w:rsidR="000F4C05" w:rsidRPr="000F4C05" w:rsidRDefault="000F4C05" w:rsidP="000F4C05">
      <w:pPr>
        <w:tabs>
          <w:tab w:val="center" w:pos="5400"/>
        </w:tabs>
        <w:suppressAutoHyphens/>
        <w:spacing w:line="276" w:lineRule="auto"/>
        <w:jc w:val="center"/>
        <w:rPr>
          <w:rFonts w:asciiTheme="majorHAnsi" w:hAnsiTheme="majorHAnsi"/>
          <w:sz w:val="18"/>
          <w:szCs w:val="20"/>
        </w:rPr>
      </w:pPr>
    </w:p>
    <w:p w:rsidR="006F432A" w:rsidRPr="00DF4119" w:rsidRDefault="006F432A" w:rsidP="006F432A">
      <w:pPr>
        <w:tabs>
          <w:tab w:val="center" w:pos="5400"/>
        </w:tabs>
        <w:suppressAutoHyphens/>
        <w:rPr>
          <w:rFonts w:asciiTheme="majorHAnsi" w:hAnsiTheme="majorHAnsi"/>
          <w:sz w:val="20"/>
          <w:szCs w:val="20"/>
        </w:rPr>
      </w:pPr>
    </w:p>
    <w:p w:rsidR="006F432A" w:rsidRPr="00DF4119" w:rsidRDefault="006F432A" w:rsidP="006F432A">
      <w:pPr>
        <w:spacing w:after="240"/>
        <w:ind w:firstLine="720"/>
        <w:jc w:val="both"/>
        <w:rPr>
          <w:rFonts w:asciiTheme="majorHAnsi" w:hAnsiTheme="majorHAnsi"/>
          <w:b/>
          <w:bCs/>
          <w:sz w:val="20"/>
          <w:szCs w:val="20"/>
        </w:rPr>
      </w:pPr>
      <w:r w:rsidRPr="00DF4119">
        <w:rPr>
          <w:rFonts w:asciiTheme="majorHAnsi" w:hAnsiTheme="majorHAnsi"/>
          <w:b/>
          <w:bCs/>
          <w:sz w:val="20"/>
          <w:szCs w:val="20"/>
        </w:rPr>
        <w:t>I.</w:t>
      </w:r>
      <w:r w:rsidRPr="00DF4119">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F432A" w:rsidRPr="00DF4119" w:rsidTr="006F432A">
        <w:tc>
          <w:tcPr>
            <w:tcW w:w="4680" w:type="dxa"/>
            <w:tcBorders>
              <w:top w:val="single" w:sz="4" w:space="0" w:color="auto"/>
              <w:bottom w:val="single" w:sz="6" w:space="0" w:color="auto"/>
            </w:tcBorders>
            <w:shd w:val="clear" w:color="auto" w:fill="67AE3C"/>
            <w:vAlign w:val="center"/>
          </w:tcPr>
          <w:p w:rsidR="006F432A" w:rsidRPr="00DF4119" w:rsidRDefault="006F432A" w:rsidP="00F05EE3">
            <w:pPr>
              <w:jc w:val="center"/>
              <w:rPr>
                <w:rFonts w:ascii="Cambria" w:hAnsi="Cambria"/>
                <w:b/>
                <w:bCs/>
                <w:color w:val="FFFFFF" w:themeColor="background1"/>
                <w:sz w:val="20"/>
                <w:szCs w:val="20"/>
              </w:rPr>
            </w:pPr>
            <w:r w:rsidRPr="00DF4119">
              <w:rPr>
                <w:rFonts w:ascii="Cambria" w:hAnsi="Cambria"/>
                <w:b/>
                <w:bCs/>
                <w:color w:val="FFFFFF" w:themeColor="background1"/>
                <w:sz w:val="20"/>
                <w:szCs w:val="20"/>
              </w:rPr>
              <w:t>Petition</w:t>
            </w:r>
            <w:r w:rsidR="00F05EE3">
              <w:rPr>
                <w:rFonts w:ascii="Cambria" w:hAnsi="Cambria"/>
                <w:b/>
                <w:bCs/>
                <w:color w:val="FFFFFF" w:themeColor="background1"/>
                <w:sz w:val="20"/>
                <w:szCs w:val="20"/>
              </w:rPr>
              <w:t>er</w:t>
            </w:r>
            <w:r w:rsidRPr="00DF4119">
              <w:rPr>
                <w:rFonts w:ascii="Cambria" w:hAnsi="Cambria"/>
                <w:b/>
                <w:bCs/>
                <w:color w:val="FFFFFF" w:themeColor="background1"/>
                <w:sz w:val="20"/>
                <w:szCs w:val="20"/>
              </w:rPr>
              <w:t>:</w:t>
            </w:r>
          </w:p>
        </w:tc>
        <w:tc>
          <w:tcPr>
            <w:tcW w:w="4680" w:type="dxa"/>
            <w:vAlign w:val="center"/>
          </w:tcPr>
          <w:p w:rsidR="006F432A" w:rsidRPr="00DF4119" w:rsidRDefault="006F432A" w:rsidP="009D69E4">
            <w:pPr>
              <w:jc w:val="both"/>
              <w:rPr>
                <w:rFonts w:ascii="Cambria" w:hAnsi="Cambria"/>
                <w:bCs/>
                <w:sz w:val="20"/>
                <w:szCs w:val="20"/>
              </w:rPr>
            </w:pPr>
            <w:r w:rsidRPr="00DF4119">
              <w:rPr>
                <w:rFonts w:ascii="Cambria" w:hAnsi="Cambria"/>
                <w:bCs/>
                <w:sz w:val="20"/>
                <w:szCs w:val="20"/>
              </w:rPr>
              <w:t>Rubén Darío Restrepo and Marco Antonio Arango Barrera</w:t>
            </w:r>
          </w:p>
        </w:tc>
      </w:tr>
      <w:tr w:rsidR="006F432A" w:rsidRPr="00DF4119" w:rsidTr="006F432A">
        <w:trPr>
          <w:trHeight w:val="65"/>
        </w:trPr>
        <w:tc>
          <w:tcPr>
            <w:tcW w:w="4680" w:type="dxa"/>
            <w:tcBorders>
              <w:top w:val="single" w:sz="6" w:space="0" w:color="auto"/>
              <w:bottom w:val="single" w:sz="6" w:space="0" w:color="auto"/>
            </w:tcBorders>
            <w:shd w:val="clear" w:color="auto" w:fill="67AE3C"/>
            <w:vAlign w:val="center"/>
          </w:tcPr>
          <w:p w:rsidR="006F432A" w:rsidRPr="00DF4119" w:rsidRDefault="009C5DFC" w:rsidP="009D69E4">
            <w:pPr>
              <w:jc w:val="center"/>
              <w:rPr>
                <w:rFonts w:ascii="Cambria" w:hAnsi="Cambria"/>
                <w:b/>
                <w:bCs/>
                <w:color w:val="FFFFFF" w:themeColor="background1"/>
                <w:sz w:val="20"/>
                <w:szCs w:val="20"/>
              </w:rPr>
            </w:pPr>
            <w:r>
              <w:rPr>
                <w:rFonts w:ascii="Cambria" w:hAnsi="Cambria"/>
                <w:b/>
                <w:bCs/>
                <w:color w:val="FFFFFF" w:themeColor="background1"/>
                <w:sz w:val="20"/>
                <w:szCs w:val="20"/>
              </w:rPr>
              <w:t>Alleged victims:</w:t>
            </w:r>
          </w:p>
        </w:tc>
        <w:tc>
          <w:tcPr>
            <w:tcW w:w="4680" w:type="dxa"/>
            <w:vAlign w:val="center"/>
          </w:tcPr>
          <w:p w:rsidR="006F432A" w:rsidRPr="00DF4119" w:rsidRDefault="006F432A" w:rsidP="009D69E4">
            <w:pPr>
              <w:jc w:val="both"/>
              <w:rPr>
                <w:rFonts w:ascii="Cambria" w:hAnsi="Cambria"/>
                <w:bCs/>
                <w:sz w:val="20"/>
                <w:szCs w:val="20"/>
              </w:rPr>
            </w:pPr>
            <w:r w:rsidRPr="00DF4119">
              <w:rPr>
                <w:rFonts w:ascii="Cambria" w:hAnsi="Cambria"/>
                <w:bCs/>
                <w:sz w:val="20"/>
                <w:szCs w:val="20"/>
              </w:rPr>
              <w:t>Ernesto Lizarralde Ardila and others</w:t>
            </w:r>
          </w:p>
        </w:tc>
      </w:tr>
      <w:tr w:rsidR="006F432A" w:rsidRPr="00DF4119" w:rsidTr="006F432A">
        <w:tc>
          <w:tcPr>
            <w:tcW w:w="4680" w:type="dxa"/>
            <w:tcBorders>
              <w:top w:val="single" w:sz="6" w:space="0" w:color="auto"/>
              <w:bottom w:val="single" w:sz="6" w:space="0" w:color="auto"/>
            </w:tcBorders>
            <w:shd w:val="clear" w:color="auto" w:fill="67AE3C"/>
            <w:vAlign w:val="center"/>
          </w:tcPr>
          <w:p w:rsidR="006F432A" w:rsidRPr="00DF4119" w:rsidRDefault="006F432A" w:rsidP="009D69E4">
            <w:pPr>
              <w:jc w:val="center"/>
              <w:rPr>
                <w:rFonts w:ascii="Cambria" w:hAnsi="Cambria"/>
                <w:b/>
                <w:bCs/>
                <w:color w:val="FFFFFF" w:themeColor="background1"/>
                <w:sz w:val="20"/>
                <w:szCs w:val="20"/>
              </w:rPr>
            </w:pPr>
            <w:r w:rsidRPr="00DF4119">
              <w:rPr>
                <w:rFonts w:ascii="Cambria" w:hAnsi="Cambria"/>
                <w:b/>
                <w:bCs/>
                <w:color w:val="FFFFFF" w:themeColor="background1"/>
                <w:sz w:val="20"/>
                <w:szCs w:val="20"/>
              </w:rPr>
              <w:t>State denounced:</w:t>
            </w:r>
          </w:p>
        </w:tc>
        <w:tc>
          <w:tcPr>
            <w:tcW w:w="4680" w:type="dxa"/>
            <w:vAlign w:val="center"/>
          </w:tcPr>
          <w:p w:rsidR="006F432A" w:rsidRPr="00DF4119" w:rsidRDefault="006F432A" w:rsidP="009D69E4">
            <w:pPr>
              <w:jc w:val="both"/>
              <w:rPr>
                <w:rFonts w:ascii="Cambria" w:hAnsi="Cambria"/>
                <w:bCs/>
                <w:sz w:val="20"/>
                <w:szCs w:val="20"/>
              </w:rPr>
            </w:pPr>
            <w:r w:rsidRPr="00DF4119">
              <w:rPr>
                <w:rFonts w:ascii="Cambria" w:hAnsi="Cambria"/>
                <w:bCs/>
                <w:sz w:val="20"/>
                <w:szCs w:val="20"/>
              </w:rPr>
              <w:t>Colombia</w:t>
            </w:r>
          </w:p>
        </w:tc>
      </w:tr>
      <w:tr w:rsidR="006F432A" w:rsidRPr="00DF4119" w:rsidTr="006F432A">
        <w:tc>
          <w:tcPr>
            <w:tcW w:w="4680" w:type="dxa"/>
            <w:tcBorders>
              <w:top w:val="single" w:sz="6" w:space="0" w:color="auto"/>
              <w:bottom w:val="single" w:sz="6" w:space="0" w:color="auto"/>
            </w:tcBorders>
            <w:shd w:val="clear" w:color="auto" w:fill="67AE3C"/>
            <w:vAlign w:val="center"/>
          </w:tcPr>
          <w:p w:rsidR="006F432A" w:rsidRPr="00DF4119" w:rsidRDefault="006F432A" w:rsidP="009D69E4">
            <w:pPr>
              <w:jc w:val="center"/>
              <w:rPr>
                <w:rFonts w:ascii="Cambria" w:hAnsi="Cambria"/>
                <w:b/>
                <w:bCs/>
                <w:color w:val="FFFFFF" w:themeColor="background1"/>
                <w:sz w:val="20"/>
                <w:szCs w:val="20"/>
              </w:rPr>
            </w:pPr>
            <w:r w:rsidRPr="00DF4119">
              <w:rPr>
                <w:rFonts w:ascii="Cambria" w:hAnsi="Cambria"/>
                <w:b/>
                <w:bCs/>
                <w:color w:val="FFFFFF" w:themeColor="background1"/>
                <w:sz w:val="20"/>
                <w:szCs w:val="20"/>
              </w:rPr>
              <w:t>Rights invoked:</w:t>
            </w:r>
          </w:p>
        </w:tc>
        <w:tc>
          <w:tcPr>
            <w:tcW w:w="4680" w:type="dxa"/>
          </w:tcPr>
          <w:p w:rsidR="006F432A" w:rsidRPr="00DF4119" w:rsidRDefault="006F432A" w:rsidP="009D69E4">
            <w:pPr>
              <w:jc w:val="both"/>
              <w:rPr>
                <w:rFonts w:ascii="Cambria" w:hAnsi="Cambria"/>
                <w:bCs/>
                <w:sz w:val="20"/>
                <w:szCs w:val="20"/>
              </w:rPr>
            </w:pPr>
            <w:r w:rsidRPr="00DF4119">
              <w:rPr>
                <w:rFonts w:ascii="Cambria" w:hAnsi="Cambria"/>
                <w:bCs/>
                <w:sz w:val="20"/>
                <w:szCs w:val="20"/>
              </w:rPr>
              <w:t>Article 8 (Right to a Fair Trial) of the American Convention on Human Rights</w:t>
            </w:r>
            <w:r w:rsidRPr="00DF4119">
              <w:rPr>
                <w:rStyle w:val="FootnoteReference"/>
                <w:rFonts w:ascii="Cambria" w:hAnsi="Cambria"/>
                <w:bCs/>
                <w:sz w:val="20"/>
                <w:szCs w:val="20"/>
              </w:rPr>
              <w:footnoteReference w:id="3"/>
            </w:r>
          </w:p>
        </w:tc>
      </w:tr>
    </w:tbl>
    <w:p w:rsidR="006F432A" w:rsidRPr="00DF4119" w:rsidRDefault="006F432A" w:rsidP="006F432A">
      <w:pPr>
        <w:spacing w:before="240" w:after="240"/>
        <w:ind w:firstLine="720"/>
        <w:jc w:val="both"/>
        <w:rPr>
          <w:rFonts w:asciiTheme="majorHAnsi" w:hAnsiTheme="majorHAnsi"/>
          <w:b/>
          <w:bCs/>
          <w:sz w:val="20"/>
          <w:szCs w:val="20"/>
        </w:rPr>
      </w:pPr>
      <w:r w:rsidRPr="00DF4119">
        <w:rPr>
          <w:rFonts w:asciiTheme="majorHAnsi" w:hAnsiTheme="majorHAnsi"/>
          <w:b/>
          <w:bCs/>
          <w:sz w:val="20"/>
          <w:szCs w:val="20"/>
        </w:rPr>
        <w:t>II.</w:t>
      </w:r>
      <w:r w:rsidRPr="00DF4119">
        <w:rPr>
          <w:rFonts w:asciiTheme="majorHAnsi" w:hAnsiTheme="majorHAnsi"/>
          <w:b/>
          <w:bCs/>
          <w:sz w:val="20"/>
          <w:szCs w:val="20"/>
        </w:rPr>
        <w:tab/>
        <w:t>PROCEEDINGS BEFORE THE IACHR</w:t>
      </w:r>
      <w:r w:rsidRPr="00DF4119">
        <w:rPr>
          <w:rStyle w:val="FootnoteReference"/>
          <w:rFonts w:asciiTheme="majorHAnsi" w:hAnsiTheme="majorHAnsi"/>
          <w:b/>
          <w:bCs/>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F432A" w:rsidRPr="00DF4119" w:rsidTr="006F432A">
        <w:tc>
          <w:tcPr>
            <w:tcW w:w="4680" w:type="dxa"/>
            <w:tcBorders>
              <w:top w:val="single" w:sz="6" w:space="0" w:color="auto"/>
              <w:bottom w:val="single" w:sz="6" w:space="0" w:color="auto"/>
            </w:tcBorders>
            <w:shd w:val="clear" w:color="auto" w:fill="67AE3C"/>
            <w:vAlign w:val="center"/>
          </w:tcPr>
          <w:p w:rsidR="006F432A" w:rsidRPr="00DF4119" w:rsidRDefault="006F432A" w:rsidP="009D69E4">
            <w:pPr>
              <w:jc w:val="center"/>
              <w:rPr>
                <w:rFonts w:ascii="Cambria" w:hAnsi="Cambria"/>
                <w:b/>
                <w:bCs/>
                <w:color w:val="FFFFFF" w:themeColor="background1"/>
                <w:sz w:val="20"/>
                <w:szCs w:val="20"/>
              </w:rPr>
            </w:pPr>
            <w:r w:rsidRPr="00DF4119">
              <w:rPr>
                <w:rFonts w:ascii="Cambria" w:hAnsi="Cambria"/>
                <w:b/>
                <w:bCs/>
                <w:color w:val="FFFFFF" w:themeColor="background1"/>
                <w:sz w:val="20"/>
                <w:szCs w:val="20"/>
              </w:rPr>
              <w:t>Date on which the petition was received:</w:t>
            </w:r>
          </w:p>
        </w:tc>
        <w:tc>
          <w:tcPr>
            <w:tcW w:w="4680" w:type="dxa"/>
            <w:vAlign w:val="center"/>
          </w:tcPr>
          <w:p w:rsidR="006F432A" w:rsidRPr="00DF4119" w:rsidRDefault="006F432A" w:rsidP="009D69E4">
            <w:pPr>
              <w:jc w:val="both"/>
              <w:rPr>
                <w:rFonts w:ascii="Cambria" w:hAnsi="Cambria"/>
                <w:bCs/>
                <w:sz w:val="20"/>
                <w:szCs w:val="20"/>
              </w:rPr>
            </w:pPr>
            <w:r w:rsidRPr="00DF4119">
              <w:rPr>
                <w:rFonts w:ascii="Cambria" w:hAnsi="Cambria"/>
                <w:bCs/>
                <w:sz w:val="20"/>
                <w:szCs w:val="20"/>
              </w:rPr>
              <w:t>January 11, 2008</w:t>
            </w:r>
          </w:p>
        </w:tc>
      </w:tr>
      <w:tr w:rsidR="006F432A" w:rsidRPr="00DF4119" w:rsidTr="006F432A">
        <w:tc>
          <w:tcPr>
            <w:tcW w:w="4680" w:type="dxa"/>
            <w:tcBorders>
              <w:top w:val="single" w:sz="6" w:space="0" w:color="auto"/>
              <w:bottom w:val="single" w:sz="6" w:space="0" w:color="auto"/>
            </w:tcBorders>
            <w:shd w:val="clear" w:color="auto" w:fill="67AE3C"/>
            <w:vAlign w:val="center"/>
          </w:tcPr>
          <w:p w:rsidR="006F432A" w:rsidRPr="00DF4119" w:rsidRDefault="006F432A" w:rsidP="009D69E4">
            <w:pPr>
              <w:jc w:val="center"/>
              <w:rPr>
                <w:rFonts w:ascii="Cambria" w:hAnsi="Cambria"/>
                <w:b/>
                <w:color w:val="FFFFFF" w:themeColor="background1"/>
                <w:sz w:val="20"/>
                <w:szCs w:val="20"/>
              </w:rPr>
            </w:pPr>
            <w:r w:rsidRPr="00DF4119">
              <w:rPr>
                <w:rFonts w:ascii="Cambria" w:hAnsi="Cambria"/>
                <w:b/>
                <w:color w:val="FFFFFF" w:themeColor="background1"/>
                <w:sz w:val="20"/>
                <w:szCs w:val="20"/>
              </w:rPr>
              <w:t>Additional information received at the initial study stage:</w:t>
            </w:r>
          </w:p>
        </w:tc>
        <w:tc>
          <w:tcPr>
            <w:tcW w:w="4680" w:type="dxa"/>
            <w:vAlign w:val="center"/>
          </w:tcPr>
          <w:p w:rsidR="006F432A" w:rsidRPr="00DF4119" w:rsidRDefault="006F432A" w:rsidP="009D69E4">
            <w:pPr>
              <w:jc w:val="both"/>
              <w:rPr>
                <w:rFonts w:ascii="Cambria" w:hAnsi="Cambria"/>
                <w:bCs/>
                <w:sz w:val="20"/>
                <w:szCs w:val="20"/>
              </w:rPr>
            </w:pPr>
            <w:r w:rsidRPr="00DF4119">
              <w:rPr>
                <w:rFonts w:ascii="Cambria" w:hAnsi="Cambria"/>
                <w:bCs/>
                <w:sz w:val="20"/>
                <w:szCs w:val="20"/>
              </w:rPr>
              <w:t>February 18 and December 15, 2008</w:t>
            </w:r>
          </w:p>
        </w:tc>
      </w:tr>
      <w:tr w:rsidR="006F432A" w:rsidRPr="00DF4119" w:rsidTr="006F432A">
        <w:tc>
          <w:tcPr>
            <w:tcW w:w="4680" w:type="dxa"/>
            <w:tcBorders>
              <w:top w:val="single" w:sz="6" w:space="0" w:color="auto"/>
              <w:bottom w:val="single" w:sz="6" w:space="0" w:color="auto"/>
            </w:tcBorders>
            <w:shd w:val="clear" w:color="auto" w:fill="67AE3C"/>
            <w:vAlign w:val="center"/>
          </w:tcPr>
          <w:p w:rsidR="006F432A" w:rsidRPr="00DF4119" w:rsidRDefault="006F432A" w:rsidP="009D69E4">
            <w:pPr>
              <w:jc w:val="center"/>
              <w:rPr>
                <w:rFonts w:ascii="Cambria" w:hAnsi="Cambria"/>
                <w:b/>
                <w:bCs/>
                <w:color w:val="FFFFFF" w:themeColor="background1"/>
                <w:sz w:val="20"/>
                <w:szCs w:val="20"/>
              </w:rPr>
            </w:pPr>
            <w:r w:rsidRPr="00DF4119">
              <w:rPr>
                <w:rFonts w:ascii="Cambria" w:hAnsi="Cambria"/>
                <w:b/>
                <w:color w:val="FFFFFF" w:themeColor="background1"/>
                <w:sz w:val="20"/>
                <w:szCs w:val="20"/>
              </w:rPr>
              <w:t>Date on which the petition was transmitted to the State:</w:t>
            </w:r>
          </w:p>
        </w:tc>
        <w:tc>
          <w:tcPr>
            <w:tcW w:w="4680" w:type="dxa"/>
            <w:vAlign w:val="center"/>
          </w:tcPr>
          <w:p w:rsidR="006F432A" w:rsidRPr="00DF4119" w:rsidRDefault="006F432A" w:rsidP="009D69E4">
            <w:pPr>
              <w:jc w:val="both"/>
              <w:rPr>
                <w:rFonts w:ascii="Cambria" w:hAnsi="Cambria"/>
                <w:bCs/>
                <w:sz w:val="20"/>
                <w:szCs w:val="20"/>
              </w:rPr>
            </w:pPr>
            <w:r w:rsidRPr="00DF4119">
              <w:rPr>
                <w:rFonts w:ascii="Cambria" w:hAnsi="Cambria"/>
                <w:bCs/>
                <w:sz w:val="20"/>
                <w:szCs w:val="20"/>
              </w:rPr>
              <w:t>February 4, 2014</w:t>
            </w:r>
          </w:p>
        </w:tc>
      </w:tr>
      <w:tr w:rsidR="006F432A" w:rsidRPr="00DF4119" w:rsidTr="006F432A">
        <w:tc>
          <w:tcPr>
            <w:tcW w:w="4680" w:type="dxa"/>
            <w:tcBorders>
              <w:top w:val="single" w:sz="6" w:space="0" w:color="auto"/>
              <w:bottom w:val="single" w:sz="6" w:space="0" w:color="auto"/>
            </w:tcBorders>
            <w:shd w:val="clear" w:color="auto" w:fill="67AE3C"/>
            <w:vAlign w:val="center"/>
          </w:tcPr>
          <w:p w:rsidR="006F432A" w:rsidRPr="00DF4119" w:rsidRDefault="006F432A" w:rsidP="009D69E4">
            <w:pPr>
              <w:jc w:val="center"/>
              <w:rPr>
                <w:rFonts w:ascii="Cambria" w:hAnsi="Cambria"/>
                <w:b/>
                <w:bCs/>
                <w:color w:val="FFFFFF" w:themeColor="background1"/>
                <w:sz w:val="20"/>
                <w:szCs w:val="20"/>
              </w:rPr>
            </w:pPr>
            <w:r w:rsidRPr="00DF4119">
              <w:rPr>
                <w:rFonts w:ascii="Cambria" w:hAnsi="Cambria"/>
                <w:b/>
                <w:color w:val="FFFFFF" w:themeColor="background1"/>
                <w:sz w:val="20"/>
                <w:szCs w:val="20"/>
              </w:rPr>
              <w:t>Date of the State’s first response:</w:t>
            </w:r>
          </w:p>
        </w:tc>
        <w:tc>
          <w:tcPr>
            <w:tcW w:w="4680" w:type="dxa"/>
            <w:vAlign w:val="center"/>
          </w:tcPr>
          <w:p w:rsidR="006F432A" w:rsidRPr="00DF4119" w:rsidRDefault="006F432A" w:rsidP="009D69E4">
            <w:pPr>
              <w:jc w:val="both"/>
              <w:rPr>
                <w:rFonts w:ascii="Cambria" w:hAnsi="Cambria"/>
                <w:bCs/>
                <w:sz w:val="20"/>
                <w:szCs w:val="20"/>
              </w:rPr>
            </w:pPr>
            <w:r w:rsidRPr="00DF4119">
              <w:rPr>
                <w:rFonts w:ascii="Cambria" w:hAnsi="Cambria"/>
                <w:bCs/>
                <w:sz w:val="20"/>
                <w:szCs w:val="20"/>
              </w:rPr>
              <w:t>June 6, 2014</w:t>
            </w:r>
          </w:p>
        </w:tc>
      </w:tr>
      <w:tr w:rsidR="006F432A" w:rsidRPr="00DF4119" w:rsidTr="006F432A">
        <w:tc>
          <w:tcPr>
            <w:tcW w:w="4680" w:type="dxa"/>
            <w:tcBorders>
              <w:top w:val="single" w:sz="6" w:space="0" w:color="auto"/>
              <w:bottom w:val="single" w:sz="6" w:space="0" w:color="auto"/>
            </w:tcBorders>
            <w:shd w:val="clear" w:color="auto" w:fill="67AE3C"/>
            <w:vAlign w:val="center"/>
          </w:tcPr>
          <w:p w:rsidR="006F432A" w:rsidRPr="00DF4119" w:rsidRDefault="006F432A" w:rsidP="009D69E4">
            <w:pPr>
              <w:ind w:left="-288"/>
              <w:jc w:val="center"/>
              <w:rPr>
                <w:rFonts w:ascii="Cambria" w:hAnsi="Cambria"/>
                <w:b/>
                <w:bCs/>
                <w:color w:val="FFFFFF" w:themeColor="background1"/>
                <w:sz w:val="20"/>
                <w:szCs w:val="20"/>
              </w:rPr>
            </w:pPr>
            <w:r w:rsidRPr="00DF4119">
              <w:rPr>
                <w:rFonts w:ascii="Cambria" w:hAnsi="Cambria"/>
                <w:b/>
                <w:bCs/>
                <w:color w:val="FFFFFF" w:themeColor="background1"/>
                <w:sz w:val="20"/>
                <w:szCs w:val="20"/>
              </w:rPr>
              <w:t xml:space="preserve">Additional observations: </w:t>
            </w:r>
          </w:p>
          <w:p w:rsidR="006F432A" w:rsidRPr="00DF4119" w:rsidRDefault="006F432A" w:rsidP="00F05EE3">
            <w:pPr>
              <w:ind w:left="-288"/>
              <w:jc w:val="center"/>
              <w:rPr>
                <w:rFonts w:ascii="Cambria" w:hAnsi="Cambria"/>
                <w:b/>
                <w:bCs/>
                <w:color w:val="FFFFFF" w:themeColor="background1"/>
                <w:sz w:val="20"/>
                <w:szCs w:val="20"/>
              </w:rPr>
            </w:pPr>
            <w:r w:rsidRPr="00DF4119">
              <w:rPr>
                <w:rFonts w:ascii="Cambria" w:hAnsi="Cambria"/>
                <w:b/>
                <w:bCs/>
                <w:color w:val="FFFFFF" w:themeColor="background1"/>
                <w:sz w:val="20"/>
                <w:szCs w:val="20"/>
              </w:rPr>
              <w:t xml:space="preserve">from the </w:t>
            </w:r>
            <w:r w:rsidR="00F05EE3">
              <w:rPr>
                <w:rFonts w:ascii="Cambria" w:hAnsi="Cambria"/>
                <w:b/>
                <w:bCs/>
                <w:color w:val="FFFFFF" w:themeColor="background1"/>
                <w:sz w:val="20"/>
                <w:szCs w:val="20"/>
              </w:rPr>
              <w:t>petitioner</w:t>
            </w:r>
            <w:r w:rsidRPr="00DF4119">
              <w:rPr>
                <w:rFonts w:ascii="Cambria" w:hAnsi="Cambria"/>
                <w:b/>
                <w:bCs/>
                <w:color w:val="FFFFFF" w:themeColor="background1"/>
                <w:sz w:val="20"/>
                <w:szCs w:val="20"/>
              </w:rPr>
              <w:t>:</w:t>
            </w:r>
            <w:r w:rsidRPr="009C5DFC">
              <w:rPr>
                <w:rStyle w:val="FootnoteReference"/>
                <w:rFonts w:ascii="Cambria" w:hAnsi="Cambria"/>
                <w:b/>
                <w:bCs/>
                <w:color w:val="FFFFFF" w:themeColor="background1"/>
                <w:sz w:val="20"/>
                <w:szCs w:val="20"/>
              </w:rPr>
              <w:footnoteReference w:id="5"/>
            </w:r>
          </w:p>
        </w:tc>
        <w:tc>
          <w:tcPr>
            <w:tcW w:w="4680" w:type="dxa"/>
            <w:vAlign w:val="center"/>
          </w:tcPr>
          <w:p w:rsidR="006F432A" w:rsidRPr="00DF4119" w:rsidRDefault="006F432A" w:rsidP="009D69E4">
            <w:pPr>
              <w:jc w:val="both"/>
              <w:rPr>
                <w:rFonts w:ascii="Cambria" w:hAnsi="Cambria"/>
                <w:bCs/>
                <w:sz w:val="20"/>
                <w:szCs w:val="20"/>
              </w:rPr>
            </w:pPr>
            <w:r w:rsidRPr="00DF4119">
              <w:rPr>
                <w:rFonts w:ascii="Cambria" w:hAnsi="Cambria"/>
                <w:bCs/>
                <w:sz w:val="20"/>
                <w:szCs w:val="20"/>
              </w:rPr>
              <w:t>August 31, 2014</w:t>
            </w:r>
          </w:p>
        </w:tc>
      </w:tr>
      <w:tr w:rsidR="006F432A" w:rsidRPr="00DF4119" w:rsidTr="006F432A">
        <w:tc>
          <w:tcPr>
            <w:tcW w:w="4680" w:type="dxa"/>
            <w:tcBorders>
              <w:top w:val="single" w:sz="6" w:space="0" w:color="auto"/>
              <w:bottom w:val="single" w:sz="6" w:space="0" w:color="auto"/>
            </w:tcBorders>
            <w:shd w:val="clear" w:color="auto" w:fill="67AE3C"/>
            <w:vAlign w:val="center"/>
          </w:tcPr>
          <w:p w:rsidR="006F432A" w:rsidRPr="00DF4119" w:rsidRDefault="006F432A" w:rsidP="009D69E4">
            <w:pPr>
              <w:jc w:val="center"/>
              <w:rPr>
                <w:rFonts w:ascii="Cambria" w:hAnsi="Cambria"/>
                <w:b/>
                <w:bCs/>
                <w:color w:val="FFFFFF" w:themeColor="background1"/>
                <w:sz w:val="20"/>
                <w:szCs w:val="20"/>
              </w:rPr>
            </w:pPr>
            <w:r w:rsidRPr="00DF4119">
              <w:rPr>
                <w:rFonts w:ascii="Cambria" w:hAnsi="Cambria"/>
                <w:b/>
                <w:bCs/>
                <w:color w:val="FFFFFF" w:themeColor="background1"/>
                <w:sz w:val="20"/>
                <w:szCs w:val="20"/>
              </w:rPr>
              <w:t>Additional observations from the State:</w:t>
            </w:r>
          </w:p>
        </w:tc>
        <w:tc>
          <w:tcPr>
            <w:tcW w:w="4680" w:type="dxa"/>
            <w:vAlign w:val="center"/>
          </w:tcPr>
          <w:p w:rsidR="006F432A" w:rsidRPr="00DF4119" w:rsidRDefault="006F432A" w:rsidP="009D69E4">
            <w:pPr>
              <w:jc w:val="both"/>
              <w:rPr>
                <w:rFonts w:ascii="Cambria" w:hAnsi="Cambria"/>
                <w:bCs/>
                <w:sz w:val="20"/>
                <w:szCs w:val="20"/>
              </w:rPr>
            </w:pPr>
            <w:r w:rsidRPr="00DF4119">
              <w:rPr>
                <w:rFonts w:ascii="Cambria" w:hAnsi="Cambria"/>
                <w:bCs/>
                <w:sz w:val="20"/>
                <w:szCs w:val="20"/>
              </w:rPr>
              <w:t>March 4, 2015</w:t>
            </w:r>
          </w:p>
        </w:tc>
      </w:tr>
    </w:tbl>
    <w:p w:rsidR="006F432A" w:rsidRPr="00DF4119" w:rsidRDefault="006F432A" w:rsidP="006F432A">
      <w:pPr>
        <w:spacing w:before="240" w:after="240"/>
        <w:ind w:firstLine="720"/>
        <w:jc w:val="both"/>
        <w:rPr>
          <w:rFonts w:asciiTheme="majorHAnsi" w:hAnsiTheme="majorHAnsi"/>
          <w:b/>
          <w:bCs/>
          <w:sz w:val="20"/>
          <w:szCs w:val="20"/>
        </w:rPr>
      </w:pPr>
      <w:r w:rsidRPr="00DF4119">
        <w:rPr>
          <w:rFonts w:asciiTheme="majorHAnsi" w:hAnsiTheme="majorHAnsi"/>
          <w:b/>
          <w:bCs/>
          <w:sz w:val="20"/>
          <w:szCs w:val="20"/>
        </w:rPr>
        <w:t xml:space="preserve">III. </w:t>
      </w:r>
      <w:r w:rsidRPr="00DF4119">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F432A" w:rsidRPr="00DF4119" w:rsidTr="006F432A">
        <w:trPr>
          <w:cantSplit/>
        </w:trPr>
        <w:tc>
          <w:tcPr>
            <w:tcW w:w="4680" w:type="dxa"/>
            <w:tcBorders>
              <w:top w:val="single" w:sz="4" w:space="0" w:color="auto"/>
              <w:bottom w:val="single" w:sz="6" w:space="0" w:color="auto"/>
            </w:tcBorders>
            <w:shd w:val="clear" w:color="auto" w:fill="67AE3C"/>
            <w:vAlign w:val="center"/>
          </w:tcPr>
          <w:p w:rsidR="006F432A" w:rsidRPr="00DF4119" w:rsidRDefault="006F432A" w:rsidP="009D69E4">
            <w:pPr>
              <w:jc w:val="center"/>
              <w:rPr>
                <w:rFonts w:ascii="Cambria" w:hAnsi="Cambria"/>
                <w:b/>
                <w:bCs/>
                <w:i/>
                <w:color w:val="FFFFFF" w:themeColor="background1"/>
                <w:sz w:val="20"/>
                <w:szCs w:val="20"/>
              </w:rPr>
            </w:pPr>
            <w:r w:rsidRPr="00DF4119">
              <w:rPr>
                <w:rFonts w:ascii="Cambria" w:hAnsi="Cambria"/>
                <w:b/>
                <w:bCs/>
                <w:color w:val="FFFFFF" w:themeColor="background1"/>
                <w:sz w:val="20"/>
                <w:szCs w:val="20"/>
              </w:rPr>
              <w:t xml:space="preserve">Competence </w:t>
            </w:r>
            <w:r w:rsidRPr="009956A5">
              <w:rPr>
                <w:rFonts w:ascii="Cambria" w:hAnsi="Cambria"/>
                <w:b/>
                <w:bCs/>
                <w:i/>
                <w:color w:val="FFFFFF" w:themeColor="background1"/>
                <w:sz w:val="20"/>
                <w:szCs w:val="20"/>
              </w:rPr>
              <w:t>Ratione personae</w:t>
            </w:r>
            <w:r w:rsidRPr="00DF4119">
              <w:rPr>
                <w:rFonts w:ascii="Cambria" w:hAnsi="Cambria"/>
                <w:b/>
                <w:bCs/>
                <w:color w:val="FFFFFF" w:themeColor="background1"/>
                <w:sz w:val="20"/>
                <w:szCs w:val="20"/>
              </w:rPr>
              <w:t>:</w:t>
            </w:r>
          </w:p>
        </w:tc>
        <w:tc>
          <w:tcPr>
            <w:tcW w:w="4680" w:type="dxa"/>
            <w:vAlign w:val="center"/>
          </w:tcPr>
          <w:p w:rsidR="006F432A" w:rsidRPr="00DF4119" w:rsidRDefault="006F432A" w:rsidP="009D69E4">
            <w:pPr>
              <w:rPr>
                <w:rFonts w:ascii="Cambria" w:hAnsi="Cambria"/>
                <w:bCs/>
                <w:sz w:val="20"/>
                <w:szCs w:val="20"/>
              </w:rPr>
            </w:pPr>
            <w:r w:rsidRPr="00DF4119">
              <w:rPr>
                <w:rFonts w:ascii="Cambria" w:hAnsi="Cambria"/>
                <w:bCs/>
                <w:sz w:val="20"/>
                <w:szCs w:val="20"/>
              </w:rPr>
              <w:t>Yes</w:t>
            </w:r>
          </w:p>
        </w:tc>
      </w:tr>
      <w:tr w:rsidR="006F432A" w:rsidRPr="00DF4119" w:rsidTr="006F432A">
        <w:trPr>
          <w:cantSplit/>
        </w:trPr>
        <w:tc>
          <w:tcPr>
            <w:tcW w:w="4680" w:type="dxa"/>
            <w:tcBorders>
              <w:top w:val="single" w:sz="6" w:space="0" w:color="auto"/>
              <w:bottom w:val="single" w:sz="6" w:space="0" w:color="auto"/>
            </w:tcBorders>
            <w:shd w:val="clear" w:color="auto" w:fill="67AE3C"/>
            <w:vAlign w:val="center"/>
          </w:tcPr>
          <w:p w:rsidR="006F432A" w:rsidRPr="00DF4119" w:rsidRDefault="006F432A" w:rsidP="009D69E4">
            <w:pPr>
              <w:jc w:val="center"/>
              <w:rPr>
                <w:rFonts w:ascii="Cambria" w:hAnsi="Cambria"/>
                <w:b/>
                <w:bCs/>
                <w:color w:val="FFFFFF" w:themeColor="background1"/>
                <w:sz w:val="20"/>
                <w:szCs w:val="20"/>
              </w:rPr>
            </w:pPr>
            <w:r w:rsidRPr="00DF4119">
              <w:rPr>
                <w:rFonts w:ascii="Cambria" w:hAnsi="Cambria"/>
                <w:b/>
                <w:bCs/>
                <w:color w:val="FFFFFF" w:themeColor="background1"/>
                <w:sz w:val="20"/>
                <w:szCs w:val="20"/>
              </w:rPr>
              <w:t xml:space="preserve">Competence </w:t>
            </w:r>
            <w:r w:rsidRPr="009956A5">
              <w:rPr>
                <w:rFonts w:ascii="Cambria" w:hAnsi="Cambria"/>
                <w:b/>
                <w:bCs/>
                <w:i/>
                <w:color w:val="FFFFFF" w:themeColor="background1"/>
                <w:sz w:val="20"/>
                <w:szCs w:val="20"/>
              </w:rPr>
              <w:t>Ratione loci</w:t>
            </w:r>
            <w:r w:rsidRPr="00DF4119">
              <w:rPr>
                <w:rFonts w:ascii="Cambria" w:hAnsi="Cambria"/>
                <w:b/>
                <w:bCs/>
                <w:color w:val="FFFFFF" w:themeColor="background1"/>
                <w:sz w:val="20"/>
                <w:szCs w:val="20"/>
              </w:rPr>
              <w:t>:</w:t>
            </w:r>
          </w:p>
        </w:tc>
        <w:tc>
          <w:tcPr>
            <w:tcW w:w="4680" w:type="dxa"/>
            <w:vAlign w:val="center"/>
          </w:tcPr>
          <w:p w:rsidR="006F432A" w:rsidRPr="00DF4119" w:rsidRDefault="006F432A" w:rsidP="009D69E4">
            <w:pPr>
              <w:rPr>
                <w:rFonts w:ascii="Cambria" w:hAnsi="Cambria"/>
                <w:bCs/>
                <w:sz w:val="20"/>
                <w:szCs w:val="20"/>
              </w:rPr>
            </w:pPr>
            <w:r w:rsidRPr="00DF4119">
              <w:rPr>
                <w:rFonts w:ascii="Cambria" w:hAnsi="Cambria"/>
                <w:bCs/>
                <w:sz w:val="20"/>
                <w:szCs w:val="20"/>
              </w:rPr>
              <w:t>Yes</w:t>
            </w:r>
          </w:p>
        </w:tc>
      </w:tr>
      <w:tr w:rsidR="006F432A" w:rsidRPr="00DF4119" w:rsidTr="006F432A">
        <w:trPr>
          <w:cantSplit/>
        </w:trPr>
        <w:tc>
          <w:tcPr>
            <w:tcW w:w="4680" w:type="dxa"/>
            <w:tcBorders>
              <w:top w:val="single" w:sz="6" w:space="0" w:color="auto"/>
              <w:bottom w:val="single" w:sz="6" w:space="0" w:color="auto"/>
            </w:tcBorders>
            <w:shd w:val="clear" w:color="auto" w:fill="67AE3C"/>
            <w:vAlign w:val="center"/>
          </w:tcPr>
          <w:p w:rsidR="006F432A" w:rsidRPr="00DF4119" w:rsidRDefault="006F432A" w:rsidP="009D69E4">
            <w:pPr>
              <w:jc w:val="center"/>
              <w:rPr>
                <w:rFonts w:ascii="Cambria" w:hAnsi="Cambria"/>
                <w:b/>
                <w:bCs/>
                <w:color w:val="FFFFFF" w:themeColor="background1"/>
                <w:sz w:val="20"/>
                <w:szCs w:val="20"/>
              </w:rPr>
            </w:pPr>
            <w:r w:rsidRPr="00DF4119">
              <w:rPr>
                <w:rFonts w:ascii="Cambria" w:hAnsi="Cambria"/>
                <w:b/>
                <w:bCs/>
                <w:color w:val="FFFFFF" w:themeColor="background1"/>
                <w:sz w:val="20"/>
                <w:szCs w:val="20"/>
              </w:rPr>
              <w:t xml:space="preserve">Competence </w:t>
            </w:r>
            <w:r w:rsidRPr="009956A5">
              <w:rPr>
                <w:rFonts w:ascii="Cambria" w:hAnsi="Cambria"/>
                <w:b/>
                <w:bCs/>
                <w:i/>
                <w:color w:val="FFFFFF" w:themeColor="background1"/>
                <w:sz w:val="20"/>
                <w:szCs w:val="20"/>
              </w:rPr>
              <w:t>Ratione temporis</w:t>
            </w:r>
            <w:r w:rsidRPr="00DF4119">
              <w:rPr>
                <w:rFonts w:ascii="Cambria" w:hAnsi="Cambria"/>
                <w:b/>
                <w:bCs/>
                <w:color w:val="FFFFFF" w:themeColor="background1"/>
                <w:sz w:val="20"/>
                <w:szCs w:val="20"/>
              </w:rPr>
              <w:t>:</w:t>
            </w:r>
          </w:p>
        </w:tc>
        <w:tc>
          <w:tcPr>
            <w:tcW w:w="4680" w:type="dxa"/>
            <w:vAlign w:val="center"/>
          </w:tcPr>
          <w:p w:rsidR="006F432A" w:rsidRPr="00DF4119" w:rsidRDefault="006F432A" w:rsidP="009D69E4">
            <w:pPr>
              <w:rPr>
                <w:bCs/>
                <w:sz w:val="20"/>
                <w:szCs w:val="20"/>
              </w:rPr>
            </w:pPr>
            <w:r w:rsidRPr="00DF4119">
              <w:rPr>
                <w:rFonts w:ascii="Cambria" w:hAnsi="Cambria"/>
                <w:bCs/>
                <w:sz w:val="20"/>
                <w:szCs w:val="20"/>
              </w:rPr>
              <w:t>Yes</w:t>
            </w:r>
          </w:p>
        </w:tc>
      </w:tr>
      <w:tr w:rsidR="006F432A" w:rsidRPr="00DF4119" w:rsidTr="006F432A">
        <w:trPr>
          <w:cantSplit/>
        </w:trPr>
        <w:tc>
          <w:tcPr>
            <w:tcW w:w="4680" w:type="dxa"/>
            <w:tcBorders>
              <w:top w:val="single" w:sz="6" w:space="0" w:color="auto"/>
              <w:bottom w:val="single" w:sz="6" w:space="0" w:color="auto"/>
            </w:tcBorders>
            <w:shd w:val="clear" w:color="auto" w:fill="67AE3C"/>
            <w:vAlign w:val="center"/>
          </w:tcPr>
          <w:p w:rsidR="006F432A" w:rsidRPr="00DF4119" w:rsidRDefault="006F432A" w:rsidP="009D69E4">
            <w:pPr>
              <w:jc w:val="center"/>
              <w:rPr>
                <w:rFonts w:ascii="Cambria" w:hAnsi="Cambria"/>
                <w:b/>
                <w:bCs/>
                <w:color w:val="FFFFFF" w:themeColor="background1"/>
                <w:sz w:val="20"/>
                <w:szCs w:val="20"/>
              </w:rPr>
            </w:pPr>
            <w:r w:rsidRPr="00DF4119">
              <w:rPr>
                <w:rFonts w:ascii="Cambria" w:hAnsi="Cambria"/>
                <w:b/>
                <w:bCs/>
                <w:color w:val="FFFFFF" w:themeColor="background1"/>
                <w:sz w:val="20"/>
                <w:szCs w:val="20"/>
              </w:rPr>
              <w:t xml:space="preserve">Competence </w:t>
            </w:r>
            <w:r w:rsidRPr="009956A5">
              <w:rPr>
                <w:rFonts w:ascii="Cambria" w:hAnsi="Cambria"/>
                <w:b/>
                <w:bCs/>
                <w:i/>
                <w:color w:val="FFFFFF" w:themeColor="background1"/>
                <w:sz w:val="20"/>
                <w:szCs w:val="20"/>
              </w:rPr>
              <w:t>Ratione materiae</w:t>
            </w:r>
            <w:r w:rsidRPr="00DF4119">
              <w:rPr>
                <w:rFonts w:ascii="Cambria" w:hAnsi="Cambria"/>
                <w:b/>
                <w:bCs/>
                <w:color w:val="FFFFFF" w:themeColor="background1"/>
                <w:sz w:val="20"/>
                <w:szCs w:val="20"/>
              </w:rPr>
              <w:t>:</w:t>
            </w:r>
          </w:p>
        </w:tc>
        <w:tc>
          <w:tcPr>
            <w:tcW w:w="4680" w:type="dxa"/>
            <w:vAlign w:val="center"/>
          </w:tcPr>
          <w:p w:rsidR="006F432A" w:rsidRPr="00DF4119" w:rsidRDefault="006F432A" w:rsidP="004B35F5">
            <w:pPr>
              <w:jc w:val="both"/>
              <w:rPr>
                <w:rFonts w:ascii="Cambria" w:hAnsi="Cambria"/>
                <w:bCs/>
                <w:sz w:val="20"/>
                <w:szCs w:val="20"/>
              </w:rPr>
            </w:pPr>
            <w:r w:rsidRPr="00DF4119">
              <w:rPr>
                <w:rFonts w:ascii="Cambria" w:hAnsi="Cambria"/>
                <w:bCs/>
                <w:sz w:val="20"/>
                <w:szCs w:val="20"/>
                <w:bdr w:val="none" w:sz="0" w:space="0" w:color="auto" w:frame="1"/>
              </w:rPr>
              <w:t>Yes; American Convention (instrument of ratification</w:t>
            </w:r>
            <w:r w:rsidR="004B35F5">
              <w:rPr>
                <w:rFonts w:ascii="Cambria" w:hAnsi="Cambria"/>
                <w:bCs/>
                <w:sz w:val="20"/>
                <w:szCs w:val="20"/>
                <w:bdr w:val="none" w:sz="0" w:space="0" w:color="auto" w:frame="1"/>
              </w:rPr>
              <w:t xml:space="preserve"> was deposited</w:t>
            </w:r>
            <w:r w:rsidRPr="00DF4119">
              <w:rPr>
                <w:rFonts w:ascii="Cambria" w:hAnsi="Cambria"/>
                <w:bCs/>
                <w:sz w:val="20"/>
                <w:szCs w:val="20"/>
                <w:bdr w:val="none" w:sz="0" w:space="0" w:color="auto" w:frame="1"/>
              </w:rPr>
              <w:t xml:space="preserve"> on July 31, 1973)</w:t>
            </w:r>
          </w:p>
        </w:tc>
      </w:tr>
    </w:tbl>
    <w:p w:rsidR="006F432A" w:rsidRPr="00DF4119" w:rsidRDefault="006F432A" w:rsidP="006F432A">
      <w:pPr>
        <w:spacing w:before="240" w:after="240"/>
        <w:ind w:firstLine="720"/>
        <w:jc w:val="both"/>
        <w:rPr>
          <w:rFonts w:asciiTheme="majorHAnsi" w:hAnsiTheme="majorHAnsi"/>
          <w:b/>
          <w:sz w:val="20"/>
          <w:szCs w:val="20"/>
        </w:rPr>
      </w:pPr>
      <w:r w:rsidRPr="00DF4119">
        <w:rPr>
          <w:rFonts w:asciiTheme="majorHAnsi" w:hAnsiTheme="majorHAnsi"/>
          <w:b/>
          <w:bCs/>
          <w:sz w:val="20"/>
          <w:szCs w:val="20"/>
        </w:rPr>
        <w:t xml:space="preserve">IV. </w:t>
      </w:r>
      <w:r w:rsidRPr="00DF4119">
        <w:rPr>
          <w:rFonts w:asciiTheme="majorHAnsi" w:hAnsiTheme="majorHAnsi"/>
          <w:b/>
          <w:bCs/>
          <w:sz w:val="20"/>
          <w:szCs w:val="20"/>
        </w:rPr>
        <w:tab/>
        <w:t xml:space="preserve">ANALYSIS OF DUPLICATION OF PROCEDURES AND INTERNATIONAL </w:t>
      </w:r>
      <w:r w:rsidRPr="009956A5">
        <w:rPr>
          <w:rFonts w:asciiTheme="majorHAnsi" w:hAnsiTheme="majorHAnsi"/>
          <w:b/>
          <w:bCs/>
          <w:i/>
          <w:sz w:val="20"/>
          <w:szCs w:val="20"/>
        </w:rPr>
        <w:t>RES JUDICATA</w:t>
      </w:r>
      <w:r w:rsidRPr="00DF4119">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4"/>
        <w:gridCol w:w="4736"/>
      </w:tblGrid>
      <w:tr w:rsidR="006F432A" w:rsidRPr="00DF4119" w:rsidTr="006F432A">
        <w:trPr>
          <w:cantSplit/>
        </w:trPr>
        <w:tc>
          <w:tcPr>
            <w:tcW w:w="4624" w:type="dxa"/>
            <w:tcBorders>
              <w:top w:val="single" w:sz="4" w:space="0" w:color="auto"/>
              <w:bottom w:val="single" w:sz="6" w:space="0" w:color="auto"/>
            </w:tcBorders>
            <w:shd w:val="clear" w:color="auto" w:fill="67AE3C"/>
            <w:vAlign w:val="center"/>
          </w:tcPr>
          <w:p w:rsidR="006F432A" w:rsidRPr="00DF4119" w:rsidRDefault="006F432A" w:rsidP="009D69E4">
            <w:pPr>
              <w:jc w:val="center"/>
              <w:rPr>
                <w:rFonts w:ascii="Cambria" w:hAnsi="Cambria"/>
                <w:b/>
                <w:bCs/>
                <w:i/>
                <w:color w:val="FFFFFF" w:themeColor="background1"/>
                <w:sz w:val="20"/>
                <w:szCs w:val="20"/>
              </w:rPr>
            </w:pPr>
            <w:r w:rsidRPr="00DF4119">
              <w:rPr>
                <w:rFonts w:ascii="Cambria" w:hAnsi="Cambria"/>
                <w:b/>
                <w:bCs/>
                <w:color w:val="FFFFFF" w:themeColor="background1"/>
                <w:sz w:val="20"/>
                <w:szCs w:val="20"/>
              </w:rPr>
              <w:t>Duplication:</w:t>
            </w:r>
          </w:p>
        </w:tc>
        <w:tc>
          <w:tcPr>
            <w:tcW w:w="4736" w:type="dxa"/>
            <w:vAlign w:val="center"/>
          </w:tcPr>
          <w:p w:rsidR="006F432A" w:rsidRPr="00DF4119" w:rsidRDefault="006F432A" w:rsidP="009D69E4">
            <w:pPr>
              <w:jc w:val="both"/>
              <w:rPr>
                <w:rFonts w:ascii="Cambria" w:hAnsi="Cambria"/>
                <w:bCs/>
                <w:sz w:val="20"/>
                <w:szCs w:val="20"/>
              </w:rPr>
            </w:pPr>
            <w:r w:rsidRPr="00DF4119">
              <w:rPr>
                <w:rFonts w:ascii="Cambria" w:hAnsi="Cambria"/>
                <w:bCs/>
                <w:sz w:val="20"/>
                <w:szCs w:val="20"/>
              </w:rPr>
              <w:t>No</w:t>
            </w:r>
          </w:p>
        </w:tc>
      </w:tr>
      <w:tr w:rsidR="006F432A" w:rsidRPr="00DF4119" w:rsidTr="006F432A">
        <w:trPr>
          <w:cantSplit/>
        </w:trPr>
        <w:tc>
          <w:tcPr>
            <w:tcW w:w="4624" w:type="dxa"/>
            <w:tcBorders>
              <w:top w:val="single" w:sz="4" w:space="0" w:color="auto"/>
              <w:bottom w:val="single" w:sz="6" w:space="0" w:color="auto"/>
            </w:tcBorders>
            <w:shd w:val="clear" w:color="auto" w:fill="67AE3C"/>
            <w:vAlign w:val="center"/>
          </w:tcPr>
          <w:p w:rsidR="006F432A" w:rsidRPr="00DF4119" w:rsidRDefault="006F432A" w:rsidP="009D69E4">
            <w:pPr>
              <w:jc w:val="center"/>
              <w:rPr>
                <w:rFonts w:ascii="Cambria" w:hAnsi="Cambria"/>
                <w:b/>
                <w:bCs/>
                <w:color w:val="FFFFFF" w:themeColor="background1"/>
                <w:sz w:val="20"/>
                <w:szCs w:val="20"/>
              </w:rPr>
            </w:pPr>
            <w:r w:rsidRPr="00DF4119">
              <w:rPr>
                <w:rFonts w:ascii="Cambria" w:hAnsi="Cambria"/>
                <w:b/>
                <w:bCs/>
                <w:color w:val="FFFFFF" w:themeColor="background1"/>
                <w:sz w:val="20"/>
                <w:szCs w:val="20"/>
              </w:rPr>
              <w:t>Rights declared admissible:</w:t>
            </w:r>
          </w:p>
        </w:tc>
        <w:tc>
          <w:tcPr>
            <w:tcW w:w="4736" w:type="dxa"/>
            <w:vAlign w:val="center"/>
          </w:tcPr>
          <w:p w:rsidR="006F432A" w:rsidRPr="00DF4119" w:rsidRDefault="006F432A" w:rsidP="009D69E4">
            <w:pPr>
              <w:jc w:val="both"/>
              <w:rPr>
                <w:rFonts w:ascii="Cambria" w:hAnsi="Cambria"/>
                <w:bCs/>
                <w:sz w:val="20"/>
                <w:szCs w:val="20"/>
              </w:rPr>
            </w:pPr>
            <w:r w:rsidRPr="00DF4119">
              <w:rPr>
                <w:rFonts w:ascii="Cambria" w:hAnsi="Cambria"/>
                <w:bCs/>
                <w:sz w:val="20"/>
                <w:szCs w:val="20"/>
              </w:rPr>
              <w:t>Articles 8 (Fair Trial), 21 (Property), 24 (Equal Protection) and 25 (Judicial Protection) of the American Convention, in relation to its Article 1.1 (Obligation to Respect Rights)</w:t>
            </w:r>
          </w:p>
        </w:tc>
      </w:tr>
      <w:tr w:rsidR="006F432A" w:rsidRPr="00DF4119" w:rsidTr="006F432A">
        <w:trPr>
          <w:cantSplit/>
        </w:trPr>
        <w:tc>
          <w:tcPr>
            <w:tcW w:w="4624" w:type="dxa"/>
            <w:tcBorders>
              <w:top w:val="single" w:sz="6" w:space="0" w:color="auto"/>
              <w:bottom w:val="single" w:sz="6" w:space="0" w:color="auto"/>
            </w:tcBorders>
            <w:shd w:val="clear" w:color="auto" w:fill="67AE3C"/>
            <w:vAlign w:val="center"/>
          </w:tcPr>
          <w:p w:rsidR="006F432A" w:rsidRPr="00DF4119" w:rsidRDefault="006F432A" w:rsidP="009D69E4">
            <w:pPr>
              <w:jc w:val="center"/>
              <w:rPr>
                <w:rFonts w:ascii="Cambria" w:hAnsi="Cambria"/>
                <w:b/>
                <w:bCs/>
                <w:color w:val="FFFFFF" w:themeColor="background1"/>
                <w:sz w:val="20"/>
                <w:szCs w:val="20"/>
              </w:rPr>
            </w:pPr>
            <w:r w:rsidRPr="00DF4119">
              <w:rPr>
                <w:rFonts w:ascii="Cambria" w:hAnsi="Cambria"/>
                <w:b/>
                <w:bCs/>
                <w:color w:val="FFFFFF" w:themeColor="background1"/>
                <w:sz w:val="20"/>
                <w:szCs w:val="20"/>
              </w:rPr>
              <w:lastRenderedPageBreak/>
              <w:t>Exhaustion of domestic remedies:</w:t>
            </w:r>
          </w:p>
        </w:tc>
        <w:tc>
          <w:tcPr>
            <w:tcW w:w="4736" w:type="dxa"/>
            <w:vAlign w:val="center"/>
          </w:tcPr>
          <w:p w:rsidR="006F432A" w:rsidRPr="00DF4119" w:rsidRDefault="006F432A" w:rsidP="009D69E4">
            <w:pPr>
              <w:rPr>
                <w:rFonts w:ascii="Cambria" w:hAnsi="Cambria"/>
                <w:bCs/>
                <w:sz w:val="20"/>
                <w:szCs w:val="20"/>
              </w:rPr>
            </w:pPr>
            <w:r w:rsidRPr="00DF4119">
              <w:rPr>
                <w:rFonts w:ascii="Cambria" w:hAnsi="Cambria"/>
                <w:bCs/>
                <w:sz w:val="20"/>
                <w:szCs w:val="20"/>
              </w:rPr>
              <w:t>Yes; July 11 and August 14, 2007</w:t>
            </w:r>
          </w:p>
        </w:tc>
      </w:tr>
      <w:tr w:rsidR="006F432A" w:rsidRPr="00DF4119" w:rsidTr="006F432A">
        <w:trPr>
          <w:cantSplit/>
        </w:trPr>
        <w:tc>
          <w:tcPr>
            <w:tcW w:w="4624" w:type="dxa"/>
            <w:tcBorders>
              <w:top w:val="single" w:sz="6" w:space="0" w:color="auto"/>
              <w:bottom w:val="single" w:sz="6" w:space="0" w:color="auto"/>
            </w:tcBorders>
            <w:shd w:val="clear" w:color="auto" w:fill="67AE3C"/>
            <w:vAlign w:val="center"/>
          </w:tcPr>
          <w:p w:rsidR="006F432A" w:rsidRPr="00DF4119" w:rsidRDefault="006F432A" w:rsidP="009D69E4">
            <w:pPr>
              <w:jc w:val="center"/>
              <w:rPr>
                <w:rFonts w:ascii="Cambria" w:hAnsi="Cambria"/>
                <w:b/>
                <w:bCs/>
                <w:color w:val="FFFFFF" w:themeColor="background1"/>
                <w:sz w:val="20"/>
                <w:szCs w:val="20"/>
              </w:rPr>
            </w:pPr>
            <w:r w:rsidRPr="00DF4119">
              <w:rPr>
                <w:rFonts w:ascii="Cambria" w:hAnsi="Cambria"/>
                <w:b/>
                <w:bCs/>
                <w:color w:val="FFFFFF" w:themeColor="background1"/>
                <w:sz w:val="20"/>
                <w:szCs w:val="20"/>
              </w:rPr>
              <w:t>Timeliness of the petition:</w:t>
            </w:r>
          </w:p>
        </w:tc>
        <w:tc>
          <w:tcPr>
            <w:tcW w:w="4736" w:type="dxa"/>
            <w:vAlign w:val="center"/>
          </w:tcPr>
          <w:p w:rsidR="006F432A" w:rsidRPr="00DF4119" w:rsidRDefault="006F432A" w:rsidP="009D69E4">
            <w:pPr>
              <w:rPr>
                <w:bCs/>
                <w:sz w:val="20"/>
                <w:szCs w:val="20"/>
              </w:rPr>
            </w:pPr>
            <w:r w:rsidRPr="00DF4119">
              <w:rPr>
                <w:rFonts w:ascii="Cambria" w:hAnsi="Cambria"/>
                <w:bCs/>
                <w:sz w:val="20"/>
                <w:szCs w:val="20"/>
              </w:rPr>
              <w:t>Yes; January 11, 2008</w:t>
            </w:r>
          </w:p>
        </w:tc>
      </w:tr>
    </w:tbl>
    <w:p w:rsidR="006F432A" w:rsidRPr="00DF4119" w:rsidRDefault="006F432A" w:rsidP="006F432A">
      <w:pPr>
        <w:spacing w:before="240" w:after="240"/>
        <w:ind w:firstLine="720"/>
        <w:jc w:val="both"/>
        <w:rPr>
          <w:rFonts w:asciiTheme="majorHAnsi" w:hAnsiTheme="majorHAnsi"/>
          <w:b/>
          <w:sz w:val="20"/>
          <w:szCs w:val="20"/>
        </w:rPr>
      </w:pPr>
      <w:r w:rsidRPr="00DF4119">
        <w:rPr>
          <w:rFonts w:asciiTheme="majorHAnsi" w:hAnsiTheme="majorHAnsi"/>
          <w:b/>
          <w:sz w:val="20"/>
          <w:szCs w:val="20"/>
        </w:rPr>
        <w:t xml:space="preserve">V. </w:t>
      </w:r>
      <w:r w:rsidRPr="00DF4119">
        <w:rPr>
          <w:rFonts w:asciiTheme="majorHAnsi" w:hAnsiTheme="majorHAnsi"/>
          <w:b/>
          <w:sz w:val="20"/>
          <w:szCs w:val="20"/>
        </w:rPr>
        <w:tab/>
        <w:t xml:space="preserve">ALLEGED FACTS </w:t>
      </w:r>
    </w:p>
    <w:p w:rsidR="006F432A" w:rsidRPr="00DF4119" w:rsidRDefault="006F432A" w:rsidP="006F4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4119">
        <w:rPr>
          <w:rFonts w:ascii="Cambria" w:hAnsi="Cambria"/>
          <w:sz w:val="20"/>
          <w:szCs w:val="20"/>
        </w:rPr>
        <w:t xml:space="preserve">The petitioners submit that Mr. Ernesto Lizarralde Ardila, Mr. Luis Alfonso Olaya Fonseca and Ms. Blanca Lyliam López López </w:t>
      </w:r>
      <w:r w:rsidR="003F0D22">
        <w:rPr>
          <w:rFonts w:ascii="Cambria" w:hAnsi="Cambria"/>
          <w:sz w:val="20"/>
          <w:szCs w:val="20"/>
        </w:rPr>
        <w:t xml:space="preserve">worked </w:t>
      </w:r>
      <w:r w:rsidRPr="00DF4119">
        <w:rPr>
          <w:rFonts w:ascii="Cambria" w:hAnsi="Cambria"/>
          <w:sz w:val="20"/>
          <w:szCs w:val="20"/>
        </w:rPr>
        <w:t>for a corporation called ALMACENES GENERALES DE DEPÓSITO S.</w:t>
      </w:r>
      <w:r w:rsidR="00655CC7">
        <w:rPr>
          <w:rFonts w:ascii="Cambria" w:hAnsi="Cambria"/>
          <w:sz w:val="20"/>
          <w:szCs w:val="20"/>
        </w:rPr>
        <w:t xml:space="preserve"> </w:t>
      </w:r>
      <w:r w:rsidRPr="00DF4119">
        <w:rPr>
          <w:rFonts w:ascii="Cambria" w:hAnsi="Cambria"/>
          <w:sz w:val="20"/>
          <w:szCs w:val="20"/>
        </w:rPr>
        <w:t>A. (</w:t>
      </w:r>
      <w:r w:rsidR="00AC0B2E">
        <w:rPr>
          <w:rFonts w:ascii="Cambria" w:hAnsi="Cambria"/>
          <w:sz w:val="20"/>
          <w:szCs w:val="20"/>
        </w:rPr>
        <w:t>“</w:t>
      </w:r>
      <w:r w:rsidRPr="00DF4119">
        <w:rPr>
          <w:rFonts w:ascii="Cambria" w:hAnsi="Cambria"/>
          <w:sz w:val="20"/>
          <w:szCs w:val="20"/>
        </w:rPr>
        <w:t>ALMADE</w:t>
      </w:r>
      <w:r w:rsidR="00AC0B2E">
        <w:rPr>
          <w:rFonts w:ascii="Cambria" w:hAnsi="Cambria"/>
          <w:sz w:val="20"/>
          <w:szCs w:val="20"/>
        </w:rPr>
        <w:t>L</w:t>
      </w:r>
      <w:r w:rsidRPr="00DF4119">
        <w:rPr>
          <w:rFonts w:ascii="Cambria" w:hAnsi="Cambria"/>
          <w:sz w:val="20"/>
          <w:szCs w:val="20"/>
        </w:rPr>
        <w:t>CO S.</w:t>
      </w:r>
      <w:r w:rsidR="00655CC7">
        <w:rPr>
          <w:rFonts w:ascii="Cambria" w:hAnsi="Cambria"/>
          <w:sz w:val="20"/>
          <w:szCs w:val="20"/>
        </w:rPr>
        <w:t xml:space="preserve"> </w:t>
      </w:r>
      <w:r w:rsidRPr="00DF4119">
        <w:rPr>
          <w:rFonts w:ascii="Cambria" w:hAnsi="Cambria"/>
          <w:sz w:val="20"/>
          <w:szCs w:val="20"/>
        </w:rPr>
        <w:t>A.</w:t>
      </w:r>
      <w:r w:rsidR="00AC0B2E">
        <w:rPr>
          <w:rFonts w:ascii="Cambria" w:hAnsi="Cambria"/>
          <w:sz w:val="20"/>
          <w:szCs w:val="20"/>
        </w:rPr>
        <w:t>”</w:t>
      </w:r>
      <w:r w:rsidRPr="00DF4119">
        <w:rPr>
          <w:rFonts w:ascii="Cambria" w:hAnsi="Cambria"/>
          <w:sz w:val="20"/>
          <w:szCs w:val="20"/>
        </w:rPr>
        <w:t>)</w:t>
      </w:r>
      <w:r w:rsidR="003F0D22">
        <w:rPr>
          <w:rFonts w:ascii="Cambria" w:hAnsi="Cambria"/>
          <w:sz w:val="20"/>
          <w:szCs w:val="20"/>
        </w:rPr>
        <w:t xml:space="preserve"> and that within the period of </w:t>
      </w:r>
      <w:r w:rsidR="003F0D22" w:rsidRPr="00DF4119">
        <w:rPr>
          <w:rFonts w:ascii="Cambria" w:hAnsi="Cambria"/>
          <w:sz w:val="20"/>
          <w:szCs w:val="20"/>
        </w:rPr>
        <w:t>December 31, 1969 to April 1, 1994</w:t>
      </w:r>
      <w:r w:rsidR="003F0D22">
        <w:rPr>
          <w:rFonts w:ascii="Cambria" w:hAnsi="Cambria"/>
          <w:sz w:val="20"/>
          <w:szCs w:val="20"/>
        </w:rPr>
        <w:t xml:space="preserve"> they </w:t>
      </w:r>
      <w:r w:rsidR="00334C79">
        <w:rPr>
          <w:rFonts w:ascii="Cambria" w:hAnsi="Cambria"/>
          <w:sz w:val="20"/>
          <w:szCs w:val="20"/>
        </w:rPr>
        <w:t xml:space="preserve">reached </w:t>
      </w:r>
      <w:r w:rsidR="00D019B8">
        <w:rPr>
          <w:rFonts w:ascii="Cambria" w:hAnsi="Cambria"/>
          <w:sz w:val="20"/>
          <w:szCs w:val="20"/>
        </w:rPr>
        <w:t>more than</w:t>
      </w:r>
      <w:r w:rsidR="00334C79">
        <w:rPr>
          <w:rFonts w:ascii="Cambria" w:hAnsi="Cambria"/>
          <w:sz w:val="20"/>
          <w:szCs w:val="20"/>
        </w:rPr>
        <w:t xml:space="preserve"> twenty years of work</w:t>
      </w:r>
      <w:r w:rsidR="00A85A16">
        <w:rPr>
          <w:rFonts w:ascii="Cambria" w:hAnsi="Cambria"/>
          <w:sz w:val="20"/>
          <w:szCs w:val="20"/>
        </w:rPr>
        <w:t xml:space="preserve"> at it</w:t>
      </w:r>
      <w:r w:rsidRPr="00DF4119">
        <w:rPr>
          <w:rFonts w:ascii="Cambria" w:hAnsi="Cambria"/>
          <w:sz w:val="20"/>
          <w:szCs w:val="20"/>
        </w:rPr>
        <w:t xml:space="preserve">. They assert that the corporation was, by that time and until July 4, 1994, an </w:t>
      </w:r>
      <w:r w:rsidR="008E1593">
        <w:rPr>
          <w:rFonts w:ascii="Cambria" w:hAnsi="Cambria"/>
          <w:sz w:val="20"/>
          <w:szCs w:val="20"/>
        </w:rPr>
        <w:t>indirect or second-degree mixed</w:t>
      </w:r>
      <w:r w:rsidR="00DE7F1F">
        <w:rPr>
          <w:rFonts w:ascii="Cambria" w:hAnsi="Cambria"/>
          <w:sz w:val="20"/>
          <w:szCs w:val="20"/>
        </w:rPr>
        <w:t>-</w:t>
      </w:r>
      <w:r w:rsidRPr="00DF4119">
        <w:rPr>
          <w:rFonts w:ascii="Cambria" w:hAnsi="Cambria"/>
          <w:sz w:val="20"/>
          <w:szCs w:val="20"/>
        </w:rPr>
        <w:t xml:space="preserve">economy company </w:t>
      </w:r>
      <w:r w:rsidR="00EC4A97">
        <w:rPr>
          <w:rFonts w:ascii="Cambria" w:hAnsi="Cambria"/>
          <w:sz w:val="20"/>
          <w:szCs w:val="20"/>
        </w:rPr>
        <w:t>in which</w:t>
      </w:r>
      <w:r w:rsidRPr="00DF4119">
        <w:rPr>
          <w:rFonts w:ascii="Cambria" w:hAnsi="Cambria"/>
          <w:sz w:val="20"/>
          <w:szCs w:val="20"/>
        </w:rPr>
        <w:t xml:space="preserve"> over ninety per cent of the capital stocks were state-owned</w:t>
      </w:r>
      <w:r w:rsidR="008E1593">
        <w:rPr>
          <w:rFonts w:ascii="Cambria" w:hAnsi="Cambria"/>
          <w:sz w:val="20"/>
          <w:szCs w:val="20"/>
        </w:rPr>
        <w:t>;</w:t>
      </w:r>
      <w:r w:rsidR="00D3409A">
        <w:rPr>
          <w:rFonts w:ascii="Cambria" w:hAnsi="Cambria"/>
          <w:sz w:val="20"/>
          <w:szCs w:val="20"/>
        </w:rPr>
        <w:t xml:space="preserve"> and that, as a result, </w:t>
      </w:r>
      <w:r w:rsidR="00D3409A" w:rsidRPr="00DF4119">
        <w:rPr>
          <w:rFonts w:ascii="Cambria" w:hAnsi="Cambria"/>
          <w:sz w:val="20"/>
          <w:szCs w:val="20"/>
        </w:rPr>
        <w:t>the</w:t>
      </w:r>
      <w:r w:rsidR="00D3409A">
        <w:rPr>
          <w:rFonts w:ascii="Cambria" w:hAnsi="Cambria"/>
          <w:sz w:val="20"/>
          <w:szCs w:val="20"/>
        </w:rPr>
        <w:t>y were eligible for the</w:t>
      </w:r>
      <w:r w:rsidR="00D3409A" w:rsidRPr="00DF4119">
        <w:rPr>
          <w:rFonts w:ascii="Cambria" w:hAnsi="Cambria"/>
          <w:sz w:val="20"/>
          <w:szCs w:val="20"/>
        </w:rPr>
        <w:t xml:space="preserve"> pension plan </w:t>
      </w:r>
      <w:r w:rsidR="00D3409A">
        <w:rPr>
          <w:rFonts w:ascii="Cambria" w:hAnsi="Cambria"/>
          <w:sz w:val="20"/>
          <w:szCs w:val="20"/>
        </w:rPr>
        <w:t>applicable to</w:t>
      </w:r>
      <w:r w:rsidR="00D3409A" w:rsidRPr="00DF4119">
        <w:rPr>
          <w:rFonts w:ascii="Cambria" w:hAnsi="Cambria"/>
          <w:sz w:val="20"/>
          <w:szCs w:val="20"/>
        </w:rPr>
        <w:t xml:space="preserve"> </w:t>
      </w:r>
      <w:r w:rsidR="00D3409A">
        <w:rPr>
          <w:rFonts w:ascii="Cambria" w:hAnsi="Cambria"/>
          <w:sz w:val="20"/>
          <w:szCs w:val="20"/>
        </w:rPr>
        <w:t>public-sector</w:t>
      </w:r>
      <w:r w:rsidR="00D3409A" w:rsidRPr="00DF4119">
        <w:rPr>
          <w:rFonts w:ascii="Cambria" w:hAnsi="Cambria"/>
          <w:sz w:val="20"/>
          <w:szCs w:val="20"/>
        </w:rPr>
        <w:t xml:space="preserve"> employees</w:t>
      </w:r>
      <w:r w:rsidR="00D3409A">
        <w:rPr>
          <w:rFonts w:ascii="Cambria" w:hAnsi="Cambria"/>
          <w:sz w:val="20"/>
          <w:szCs w:val="20"/>
        </w:rPr>
        <w:t>,</w:t>
      </w:r>
      <w:r w:rsidR="00D3409A" w:rsidRPr="00DF4119">
        <w:rPr>
          <w:rFonts w:ascii="Cambria" w:hAnsi="Cambria"/>
          <w:sz w:val="20"/>
          <w:szCs w:val="20"/>
        </w:rPr>
        <w:t xml:space="preserve"> </w:t>
      </w:r>
      <w:r w:rsidRPr="00DF4119">
        <w:rPr>
          <w:rFonts w:ascii="Cambria" w:hAnsi="Cambria"/>
          <w:sz w:val="20"/>
          <w:szCs w:val="20"/>
        </w:rPr>
        <w:t xml:space="preserve">under Law No. 33 </w:t>
      </w:r>
      <w:r w:rsidR="00D3409A">
        <w:rPr>
          <w:rFonts w:ascii="Cambria" w:hAnsi="Cambria"/>
          <w:sz w:val="20"/>
          <w:szCs w:val="20"/>
        </w:rPr>
        <w:t>of 1985</w:t>
      </w:r>
      <w:r w:rsidR="005D1F68">
        <w:rPr>
          <w:rFonts w:ascii="Cambria" w:hAnsi="Cambria"/>
          <w:sz w:val="20"/>
          <w:szCs w:val="20"/>
        </w:rPr>
        <w:t xml:space="preserve">. They </w:t>
      </w:r>
      <w:r w:rsidR="0043431D">
        <w:rPr>
          <w:rFonts w:ascii="Cambria" w:hAnsi="Cambria"/>
          <w:sz w:val="20"/>
          <w:szCs w:val="20"/>
        </w:rPr>
        <w:t>indicate</w:t>
      </w:r>
      <w:r w:rsidR="005D1F68">
        <w:rPr>
          <w:rFonts w:ascii="Cambria" w:hAnsi="Cambria"/>
          <w:sz w:val="20"/>
          <w:szCs w:val="20"/>
        </w:rPr>
        <w:t xml:space="preserve"> that</w:t>
      </w:r>
      <w:r w:rsidR="0043431D">
        <w:rPr>
          <w:rFonts w:ascii="Cambria" w:hAnsi="Cambria"/>
          <w:sz w:val="20"/>
          <w:szCs w:val="20"/>
        </w:rPr>
        <w:t>,</w:t>
      </w:r>
      <w:r w:rsidR="005D1F68">
        <w:rPr>
          <w:rFonts w:ascii="Cambria" w:hAnsi="Cambria"/>
          <w:sz w:val="20"/>
          <w:szCs w:val="20"/>
        </w:rPr>
        <w:t xml:space="preserve"> based on this assumption</w:t>
      </w:r>
      <w:r w:rsidR="0086573E">
        <w:rPr>
          <w:rFonts w:ascii="Cambria" w:hAnsi="Cambria"/>
          <w:sz w:val="20"/>
          <w:szCs w:val="20"/>
        </w:rPr>
        <w:t>, they claimed this</w:t>
      </w:r>
      <w:r w:rsidRPr="00DF4119">
        <w:rPr>
          <w:rFonts w:ascii="Cambria" w:hAnsi="Cambria"/>
          <w:sz w:val="20"/>
          <w:szCs w:val="20"/>
        </w:rPr>
        <w:t xml:space="preserve"> pension plan to the company</w:t>
      </w:r>
      <w:r w:rsidR="00050FD8">
        <w:rPr>
          <w:rFonts w:ascii="Cambria" w:hAnsi="Cambria"/>
          <w:sz w:val="20"/>
          <w:szCs w:val="20"/>
        </w:rPr>
        <w:t>.</w:t>
      </w:r>
      <w:r w:rsidR="00F9606D">
        <w:rPr>
          <w:rFonts w:ascii="Cambria" w:hAnsi="Cambria"/>
          <w:sz w:val="20"/>
          <w:szCs w:val="20"/>
        </w:rPr>
        <w:t xml:space="preserve"> </w:t>
      </w:r>
      <w:r w:rsidR="00050FD8">
        <w:rPr>
          <w:rFonts w:ascii="Cambria" w:hAnsi="Cambria"/>
          <w:sz w:val="20"/>
          <w:szCs w:val="20"/>
        </w:rPr>
        <w:t>H</w:t>
      </w:r>
      <w:r w:rsidR="00F9606D">
        <w:rPr>
          <w:rFonts w:ascii="Cambria" w:hAnsi="Cambria"/>
          <w:sz w:val="20"/>
          <w:szCs w:val="20"/>
        </w:rPr>
        <w:t>owever,</w:t>
      </w:r>
      <w:r w:rsidRPr="00DF4119">
        <w:rPr>
          <w:rFonts w:ascii="Cambria" w:hAnsi="Cambria"/>
          <w:sz w:val="20"/>
          <w:szCs w:val="20"/>
        </w:rPr>
        <w:t xml:space="preserve"> their claim was dismissed and they were told that the plan applicable to them was th</w:t>
      </w:r>
      <w:r w:rsidR="00050FD8">
        <w:rPr>
          <w:rFonts w:ascii="Cambria" w:hAnsi="Cambria"/>
          <w:sz w:val="20"/>
          <w:szCs w:val="20"/>
        </w:rPr>
        <w:t>at of</w:t>
      </w:r>
      <w:r w:rsidRPr="00DF4119">
        <w:rPr>
          <w:rFonts w:ascii="Cambria" w:hAnsi="Cambria"/>
          <w:sz w:val="20"/>
          <w:szCs w:val="20"/>
        </w:rPr>
        <w:t xml:space="preserve"> private-sector employees, established in Law No. 100 of 1993. The petitioners </w:t>
      </w:r>
      <w:r w:rsidR="001C672D">
        <w:rPr>
          <w:rFonts w:ascii="Cambria" w:hAnsi="Cambria"/>
          <w:sz w:val="20"/>
          <w:szCs w:val="20"/>
        </w:rPr>
        <w:t>assert</w:t>
      </w:r>
      <w:r w:rsidRPr="00DF4119">
        <w:rPr>
          <w:rFonts w:ascii="Cambria" w:hAnsi="Cambria"/>
          <w:sz w:val="20"/>
          <w:szCs w:val="20"/>
        </w:rPr>
        <w:t xml:space="preserve"> that under this plan, the age at which benefits are paid increases and the pension amount drops.</w:t>
      </w:r>
    </w:p>
    <w:p w:rsidR="006F432A" w:rsidRPr="00DF4119" w:rsidRDefault="006F432A" w:rsidP="006F4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4119">
        <w:rPr>
          <w:rFonts w:ascii="Cambria" w:hAnsi="Cambria"/>
          <w:sz w:val="20"/>
          <w:szCs w:val="20"/>
        </w:rPr>
        <w:t xml:space="preserve">Mr. Lizarralde, Mr. Olaya and Ms. López filed labor claims that were rejected by </w:t>
      </w:r>
      <w:r w:rsidR="00DF445D">
        <w:rPr>
          <w:rFonts w:ascii="Cambria" w:hAnsi="Cambria"/>
          <w:sz w:val="20"/>
          <w:szCs w:val="20"/>
        </w:rPr>
        <w:t xml:space="preserve">courts of </w:t>
      </w:r>
      <w:r w:rsidR="00D8431B">
        <w:rPr>
          <w:rFonts w:ascii="Cambria" w:hAnsi="Cambria"/>
          <w:sz w:val="20"/>
          <w:szCs w:val="20"/>
        </w:rPr>
        <w:t xml:space="preserve">both </w:t>
      </w:r>
      <w:r w:rsidRPr="00DF4119">
        <w:rPr>
          <w:rFonts w:ascii="Cambria" w:hAnsi="Cambria"/>
          <w:sz w:val="20"/>
          <w:szCs w:val="20"/>
        </w:rPr>
        <w:t xml:space="preserve">first and second instance. In the case of Mr. Lizarralde, the Court </w:t>
      </w:r>
      <w:r w:rsidR="004153B8">
        <w:rPr>
          <w:rFonts w:ascii="Cambria" w:hAnsi="Cambria"/>
          <w:sz w:val="20"/>
          <w:szCs w:val="20"/>
        </w:rPr>
        <w:t>ruled</w:t>
      </w:r>
      <w:r w:rsidRPr="00DF4119">
        <w:rPr>
          <w:rFonts w:ascii="Cambria" w:hAnsi="Cambria"/>
          <w:sz w:val="20"/>
          <w:szCs w:val="20"/>
        </w:rPr>
        <w:t xml:space="preserve"> </w:t>
      </w:r>
      <w:r w:rsidR="004153B8">
        <w:rPr>
          <w:rFonts w:ascii="Cambria" w:hAnsi="Cambria"/>
          <w:sz w:val="20"/>
          <w:szCs w:val="20"/>
        </w:rPr>
        <w:t>on October 7, 2002</w:t>
      </w:r>
      <w:r w:rsidR="004153B8" w:rsidRPr="00DF4119">
        <w:rPr>
          <w:rFonts w:ascii="Cambria" w:hAnsi="Cambria"/>
          <w:sz w:val="20"/>
          <w:szCs w:val="20"/>
        </w:rPr>
        <w:t xml:space="preserve"> </w:t>
      </w:r>
      <w:r w:rsidRPr="00DF4119">
        <w:rPr>
          <w:rFonts w:ascii="Cambria" w:hAnsi="Cambria"/>
          <w:sz w:val="20"/>
          <w:szCs w:val="20"/>
        </w:rPr>
        <w:t xml:space="preserve">that his </w:t>
      </w:r>
      <w:r w:rsidR="00C0476F">
        <w:rPr>
          <w:rFonts w:ascii="Cambria" w:hAnsi="Cambria"/>
          <w:sz w:val="20"/>
          <w:szCs w:val="20"/>
        </w:rPr>
        <w:t>had not been</w:t>
      </w:r>
      <w:r w:rsidRPr="00DF4119">
        <w:rPr>
          <w:rFonts w:ascii="Cambria" w:hAnsi="Cambria"/>
          <w:sz w:val="20"/>
          <w:szCs w:val="20"/>
        </w:rPr>
        <w:t xml:space="preserve"> </w:t>
      </w:r>
      <w:r w:rsidR="003C536A">
        <w:rPr>
          <w:rFonts w:ascii="Cambria" w:hAnsi="Cambria"/>
          <w:sz w:val="20"/>
          <w:szCs w:val="20"/>
        </w:rPr>
        <w:t>a</w:t>
      </w:r>
      <w:r w:rsidRPr="00DF4119">
        <w:rPr>
          <w:rFonts w:ascii="Cambria" w:hAnsi="Cambria"/>
          <w:sz w:val="20"/>
          <w:szCs w:val="20"/>
        </w:rPr>
        <w:t xml:space="preserve"> </w:t>
      </w:r>
      <w:r w:rsidR="003C536A">
        <w:rPr>
          <w:rFonts w:ascii="Cambria" w:hAnsi="Cambria"/>
          <w:sz w:val="20"/>
          <w:szCs w:val="20"/>
        </w:rPr>
        <w:t xml:space="preserve">public </w:t>
      </w:r>
      <w:r w:rsidRPr="00DF4119">
        <w:rPr>
          <w:rFonts w:ascii="Cambria" w:hAnsi="Cambria"/>
          <w:sz w:val="20"/>
          <w:szCs w:val="20"/>
        </w:rPr>
        <w:t>employ</w:t>
      </w:r>
      <w:r w:rsidR="003C536A">
        <w:rPr>
          <w:rFonts w:ascii="Cambria" w:hAnsi="Cambria"/>
          <w:sz w:val="20"/>
          <w:szCs w:val="20"/>
        </w:rPr>
        <w:t>ment</w:t>
      </w:r>
      <w:r w:rsidR="00582324">
        <w:rPr>
          <w:rFonts w:ascii="Cambria" w:hAnsi="Cambria"/>
          <w:sz w:val="20"/>
          <w:szCs w:val="20"/>
        </w:rPr>
        <w:t xml:space="preserve"> contract</w:t>
      </w:r>
      <w:r w:rsidR="00C0476F">
        <w:rPr>
          <w:rFonts w:ascii="Cambria" w:hAnsi="Cambria"/>
          <w:sz w:val="20"/>
          <w:szCs w:val="20"/>
        </w:rPr>
        <w:t>;</w:t>
      </w:r>
      <w:r w:rsidRPr="00DF4119">
        <w:rPr>
          <w:rFonts w:ascii="Cambria" w:hAnsi="Cambria"/>
          <w:sz w:val="20"/>
          <w:szCs w:val="20"/>
        </w:rPr>
        <w:t xml:space="preserve"> that it </w:t>
      </w:r>
      <w:r w:rsidR="00C0476F">
        <w:rPr>
          <w:rFonts w:ascii="Cambria" w:hAnsi="Cambria"/>
          <w:sz w:val="20"/>
          <w:szCs w:val="20"/>
        </w:rPr>
        <w:t>had</w:t>
      </w:r>
      <w:r w:rsidRPr="00DF4119">
        <w:rPr>
          <w:rFonts w:ascii="Cambria" w:hAnsi="Cambria"/>
          <w:sz w:val="20"/>
          <w:szCs w:val="20"/>
        </w:rPr>
        <w:t xml:space="preserve"> always </w:t>
      </w:r>
      <w:r w:rsidR="00C0476F">
        <w:rPr>
          <w:rFonts w:ascii="Cambria" w:hAnsi="Cambria"/>
          <w:sz w:val="20"/>
          <w:szCs w:val="20"/>
        </w:rPr>
        <w:t xml:space="preserve">been </w:t>
      </w:r>
      <w:r w:rsidRPr="00DF4119">
        <w:rPr>
          <w:rFonts w:ascii="Cambria" w:hAnsi="Cambria"/>
          <w:sz w:val="20"/>
          <w:szCs w:val="20"/>
        </w:rPr>
        <w:t>under the rules go</w:t>
      </w:r>
      <w:r w:rsidR="00DE7F1F">
        <w:rPr>
          <w:rFonts w:ascii="Cambria" w:hAnsi="Cambria"/>
          <w:sz w:val="20"/>
          <w:szCs w:val="20"/>
        </w:rPr>
        <w:t>verning private-sector employee</w:t>
      </w:r>
      <w:r w:rsidRPr="00DF4119">
        <w:rPr>
          <w:rFonts w:ascii="Cambria" w:hAnsi="Cambria"/>
          <w:sz w:val="20"/>
          <w:szCs w:val="20"/>
        </w:rPr>
        <w:t xml:space="preserve"> relations</w:t>
      </w:r>
      <w:r w:rsidR="00C0476F">
        <w:rPr>
          <w:rFonts w:ascii="Cambria" w:hAnsi="Cambria"/>
          <w:sz w:val="20"/>
          <w:szCs w:val="20"/>
        </w:rPr>
        <w:t>;</w:t>
      </w:r>
      <w:r w:rsidRPr="00DF4119">
        <w:rPr>
          <w:rFonts w:ascii="Cambria" w:hAnsi="Cambria"/>
          <w:sz w:val="20"/>
          <w:szCs w:val="20"/>
        </w:rPr>
        <w:t xml:space="preserve"> </w:t>
      </w:r>
      <w:r w:rsidR="00983DD0">
        <w:rPr>
          <w:rFonts w:ascii="Cambria" w:hAnsi="Cambria"/>
          <w:sz w:val="20"/>
          <w:szCs w:val="20"/>
        </w:rPr>
        <w:t>and that he</w:t>
      </w:r>
      <w:r w:rsidR="00154AF2">
        <w:rPr>
          <w:rFonts w:ascii="Cambria" w:hAnsi="Cambria"/>
          <w:sz w:val="20"/>
          <w:szCs w:val="20"/>
        </w:rPr>
        <w:t xml:space="preserve"> </w:t>
      </w:r>
      <w:r w:rsidR="00C0476F">
        <w:rPr>
          <w:rFonts w:ascii="Cambria" w:hAnsi="Cambria"/>
          <w:sz w:val="20"/>
          <w:szCs w:val="20"/>
        </w:rPr>
        <w:t xml:space="preserve">had </w:t>
      </w:r>
      <w:r w:rsidR="00154AF2">
        <w:rPr>
          <w:rFonts w:ascii="Cambria" w:hAnsi="Cambria"/>
          <w:sz w:val="20"/>
          <w:szCs w:val="20"/>
        </w:rPr>
        <w:t xml:space="preserve">never objected </w:t>
      </w:r>
      <w:r w:rsidRPr="00DF4119">
        <w:rPr>
          <w:rFonts w:ascii="Cambria" w:hAnsi="Cambria"/>
          <w:sz w:val="20"/>
          <w:szCs w:val="20"/>
        </w:rPr>
        <w:t>to these. The Court also asserted that it was not true that</w:t>
      </w:r>
      <w:r w:rsidR="00EB35BB">
        <w:rPr>
          <w:rFonts w:ascii="Cambria" w:hAnsi="Cambria"/>
          <w:sz w:val="20"/>
          <w:szCs w:val="20"/>
        </w:rPr>
        <w:t>,</w:t>
      </w:r>
      <w:r w:rsidRPr="00DF4119">
        <w:rPr>
          <w:rFonts w:ascii="Cambria" w:hAnsi="Cambria"/>
          <w:sz w:val="20"/>
          <w:szCs w:val="20"/>
        </w:rPr>
        <w:t xml:space="preserve"> throughout his years of work </w:t>
      </w:r>
      <w:r w:rsidRPr="00AA7F5B">
        <w:rPr>
          <w:rFonts w:ascii="Cambria" w:hAnsi="Cambria"/>
          <w:sz w:val="20"/>
          <w:szCs w:val="20"/>
        </w:rPr>
        <w:t>at the company</w:t>
      </w:r>
      <w:r w:rsidR="00EB35BB" w:rsidRPr="00AA7F5B">
        <w:rPr>
          <w:rFonts w:ascii="Cambria" w:hAnsi="Cambria"/>
          <w:sz w:val="20"/>
          <w:szCs w:val="20"/>
        </w:rPr>
        <w:t>,</w:t>
      </w:r>
      <w:r w:rsidRPr="00AA7F5B">
        <w:rPr>
          <w:rFonts w:ascii="Cambria" w:hAnsi="Cambria"/>
          <w:sz w:val="20"/>
          <w:szCs w:val="20"/>
        </w:rPr>
        <w:t xml:space="preserve"> the </w:t>
      </w:r>
      <w:r w:rsidR="00ED28A4" w:rsidRPr="00AA7F5B">
        <w:rPr>
          <w:rFonts w:ascii="Cambria" w:hAnsi="Cambria"/>
          <w:sz w:val="20"/>
          <w:szCs w:val="20"/>
        </w:rPr>
        <w:t>corporation</w:t>
      </w:r>
      <w:r w:rsidR="00EB35BB" w:rsidRPr="00AA7F5B">
        <w:rPr>
          <w:rFonts w:ascii="Cambria" w:hAnsi="Cambria"/>
          <w:sz w:val="20"/>
          <w:szCs w:val="20"/>
        </w:rPr>
        <w:t xml:space="preserve"> had been</w:t>
      </w:r>
      <w:r w:rsidRPr="00AA7F5B">
        <w:rPr>
          <w:rFonts w:ascii="Cambria" w:hAnsi="Cambria"/>
          <w:sz w:val="20"/>
          <w:szCs w:val="20"/>
        </w:rPr>
        <w:t xml:space="preserve"> </w:t>
      </w:r>
      <w:r w:rsidR="00EB35BB" w:rsidRPr="00AA7F5B">
        <w:rPr>
          <w:rFonts w:ascii="Cambria" w:hAnsi="Cambria"/>
          <w:sz w:val="20"/>
          <w:szCs w:val="20"/>
        </w:rPr>
        <w:t xml:space="preserve">of nature </w:t>
      </w:r>
      <w:r w:rsidRPr="00AA7F5B">
        <w:rPr>
          <w:rFonts w:ascii="Cambria" w:hAnsi="Cambria"/>
          <w:sz w:val="20"/>
          <w:szCs w:val="20"/>
        </w:rPr>
        <w:t xml:space="preserve">such that </w:t>
      </w:r>
      <w:r w:rsidR="00321394" w:rsidRPr="00AA7F5B">
        <w:rPr>
          <w:rFonts w:ascii="Cambria" w:hAnsi="Cambria"/>
          <w:sz w:val="20"/>
          <w:szCs w:val="20"/>
        </w:rPr>
        <w:t xml:space="preserve">a </w:t>
      </w:r>
      <w:r w:rsidR="00105708" w:rsidRPr="00AA7F5B">
        <w:rPr>
          <w:rFonts w:ascii="Cambria" w:hAnsi="Cambria"/>
          <w:sz w:val="20"/>
          <w:szCs w:val="20"/>
        </w:rPr>
        <w:t xml:space="preserve">pension plan </w:t>
      </w:r>
      <w:r w:rsidR="00105708">
        <w:rPr>
          <w:rFonts w:ascii="Cambria" w:hAnsi="Cambria"/>
          <w:sz w:val="20"/>
          <w:szCs w:val="20"/>
        </w:rPr>
        <w:t xml:space="preserve">for </w:t>
      </w:r>
      <w:r w:rsidR="00321394" w:rsidRPr="00AA7F5B">
        <w:rPr>
          <w:rFonts w:ascii="Cambria" w:hAnsi="Cambria"/>
          <w:sz w:val="20"/>
          <w:szCs w:val="20"/>
        </w:rPr>
        <w:t>public</w:t>
      </w:r>
      <w:r w:rsidR="00105708">
        <w:rPr>
          <w:rFonts w:ascii="Cambria" w:hAnsi="Cambria"/>
          <w:sz w:val="20"/>
          <w:szCs w:val="20"/>
        </w:rPr>
        <w:t>-sector</w:t>
      </w:r>
      <w:r w:rsidR="00321394" w:rsidRPr="00AA7F5B">
        <w:rPr>
          <w:rFonts w:ascii="Cambria" w:hAnsi="Cambria"/>
          <w:sz w:val="20"/>
          <w:szCs w:val="20"/>
        </w:rPr>
        <w:t xml:space="preserve"> empl</w:t>
      </w:r>
      <w:r w:rsidR="00105708">
        <w:rPr>
          <w:rFonts w:ascii="Cambria" w:hAnsi="Cambria"/>
          <w:sz w:val="20"/>
          <w:szCs w:val="20"/>
        </w:rPr>
        <w:t>oyees</w:t>
      </w:r>
      <w:r w:rsidR="00321394" w:rsidRPr="00AA7F5B">
        <w:rPr>
          <w:rFonts w:ascii="Cambria" w:hAnsi="Cambria"/>
          <w:sz w:val="20"/>
          <w:szCs w:val="20"/>
        </w:rPr>
        <w:t xml:space="preserve"> was </w:t>
      </w:r>
      <w:r w:rsidRPr="00AA7F5B">
        <w:rPr>
          <w:rFonts w:ascii="Cambria" w:hAnsi="Cambria"/>
          <w:sz w:val="20"/>
          <w:szCs w:val="20"/>
        </w:rPr>
        <w:t>applicable. In the cases of Mr. Olaya and Ms. López, the C</w:t>
      </w:r>
      <w:r w:rsidR="00E36E80" w:rsidRPr="00AA7F5B">
        <w:rPr>
          <w:rFonts w:ascii="Cambria" w:hAnsi="Cambria"/>
          <w:sz w:val="20"/>
          <w:szCs w:val="20"/>
        </w:rPr>
        <w:t xml:space="preserve">ourt ruled, on August 15 and </w:t>
      </w:r>
      <w:r w:rsidRPr="00AA7F5B">
        <w:rPr>
          <w:rFonts w:ascii="Cambria" w:hAnsi="Cambria"/>
          <w:sz w:val="20"/>
          <w:szCs w:val="20"/>
        </w:rPr>
        <w:t xml:space="preserve">September 27, 2002, that the </w:t>
      </w:r>
      <w:r w:rsidR="002D74EF">
        <w:rPr>
          <w:rFonts w:ascii="Cambria" w:hAnsi="Cambria"/>
          <w:sz w:val="20"/>
          <w:szCs w:val="20"/>
        </w:rPr>
        <w:t xml:space="preserve">type of </w:t>
      </w:r>
      <w:r w:rsidRPr="00AA7F5B">
        <w:rPr>
          <w:rFonts w:ascii="Cambria" w:hAnsi="Cambria"/>
          <w:sz w:val="20"/>
          <w:szCs w:val="20"/>
        </w:rPr>
        <w:t xml:space="preserve">pension plan applicable </w:t>
      </w:r>
      <w:r w:rsidR="001337E5">
        <w:rPr>
          <w:rFonts w:ascii="Cambria" w:hAnsi="Cambria"/>
          <w:sz w:val="20"/>
          <w:szCs w:val="20"/>
        </w:rPr>
        <w:t>was th</w:t>
      </w:r>
      <w:r w:rsidR="00071B4F">
        <w:rPr>
          <w:rFonts w:ascii="Cambria" w:hAnsi="Cambria"/>
          <w:sz w:val="20"/>
          <w:szCs w:val="20"/>
        </w:rPr>
        <w:t>at corresponding</w:t>
      </w:r>
      <w:r w:rsidRPr="00AA7F5B">
        <w:rPr>
          <w:rFonts w:ascii="Cambria" w:hAnsi="Cambria"/>
          <w:sz w:val="20"/>
          <w:szCs w:val="20"/>
        </w:rPr>
        <w:t xml:space="preserve"> </w:t>
      </w:r>
      <w:r w:rsidR="00071B4F">
        <w:rPr>
          <w:rFonts w:ascii="Cambria" w:hAnsi="Cambria"/>
          <w:sz w:val="20"/>
          <w:szCs w:val="20"/>
        </w:rPr>
        <w:t xml:space="preserve">to </w:t>
      </w:r>
      <w:r w:rsidRPr="00AA7F5B">
        <w:rPr>
          <w:rFonts w:ascii="Cambria" w:hAnsi="Cambria"/>
          <w:sz w:val="20"/>
          <w:szCs w:val="20"/>
        </w:rPr>
        <w:t>the termination date of their contracts</w:t>
      </w:r>
      <w:r w:rsidR="003C3971" w:rsidRPr="00AA7F5B">
        <w:rPr>
          <w:rFonts w:ascii="Cambria" w:hAnsi="Cambria"/>
          <w:sz w:val="20"/>
          <w:szCs w:val="20"/>
        </w:rPr>
        <w:t>;</w:t>
      </w:r>
      <w:r w:rsidRPr="00AA7F5B">
        <w:rPr>
          <w:rFonts w:ascii="Cambria" w:hAnsi="Cambria"/>
          <w:sz w:val="20"/>
          <w:szCs w:val="20"/>
        </w:rPr>
        <w:t xml:space="preserve"> in the case of the alleged victims,</w:t>
      </w:r>
      <w:r w:rsidR="003C3971" w:rsidRPr="00AA7F5B">
        <w:rPr>
          <w:rFonts w:ascii="Cambria" w:hAnsi="Cambria"/>
          <w:sz w:val="20"/>
          <w:szCs w:val="20"/>
        </w:rPr>
        <w:t xml:space="preserve"> it</w:t>
      </w:r>
      <w:r w:rsidRPr="00AA7F5B">
        <w:rPr>
          <w:rFonts w:ascii="Cambria" w:hAnsi="Cambria"/>
          <w:sz w:val="20"/>
          <w:szCs w:val="20"/>
        </w:rPr>
        <w:t xml:space="preserve"> w</w:t>
      </w:r>
      <w:r w:rsidR="005C5C6E" w:rsidRPr="00AA7F5B">
        <w:rPr>
          <w:rFonts w:ascii="Cambria" w:hAnsi="Cambria"/>
          <w:sz w:val="20"/>
          <w:szCs w:val="20"/>
        </w:rPr>
        <w:t>as the</w:t>
      </w:r>
      <w:r w:rsidRPr="00DF4119">
        <w:rPr>
          <w:rFonts w:ascii="Cambria" w:hAnsi="Cambria"/>
          <w:sz w:val="20"/>
          <w:szCs w:val="20"/>
        </w:rPr>
        <w:t xml:space="preserve"> </w:t>
      </w:r>
      <w:r w:rsidR="00AF0F9D">
        <w:rPr>
          <w:rFonts w:ascii="Cambria" w:hAnsi="Cambria"/>
          <w:sz w:val="20"/>
          <w:szCs w:val="20"/>
        </w:rPr>
        <w:t xml:space="preserve">pension plan </w:t>
      </w:r>
      <w:r w:rsidR="00D0045F">
        <w:rPr>
          <w:rFonts w:ascii="Cambria" w:hAnsi="Cambria"/>
          <w:sz w:val="20"/>
          <w:szCs w:val="20"/>
        </w:rPr>
        <w:t>for</w:t>
      </w:r>
      <w:r w:rsidR="00AF0F9D">
        <w:rPr>
          <w:rFonts w:ascii="Cambria" w:hAnsi="Cambria"/>
          <w:sz w:val="20"/>
          <w:szCs w:val="20"/>
        </w:rPr>
        <w:t xml:space="preserve"> </w:t>
      </w:r>
      <w:r w:rsidRPr="00DF4119">
        <w:rPr>
          <w:rFonts w:ascii="Cambria" w:hAnsi="Cambria"/>
          <w:sz w:val="20"/>
          <w:szCs w:val="20"/>
        </w:rPr>
        <w:t xml:space="preserve">private-sector </w:t>
      </w:r>
      <w:r w:rsidR="00AF0F9D">
        <w:rPr>
          <w:rFonts w:ascii="Cambria" w:hAnsi="Cambria"/>
          <w:sz w:val="20"/>
          <w:szCs w:val="20"/>
        </w:rPr>
        <w:t>workers.</w:t>
      </w:r>
    </w:p>
    <w:p w:rsidR="006F432A" w:rsidRPr="00DF4119" w:rsidRDefault="006F432A" w:rsidP="006F4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4119">
        <w:rPr>
          <w:rFonts w:ascii="Cambria" w:hAnsi="Cambria"/>
          <w:sz w:val="20"/>
          <w:szCs w:val="20"/>
        </w:rPr>
        <w:t>The alleged victims</w:t>
      </w:r>
      <w:r w:rsidR="00AF0F9D">
        <w:rPr>
          <w:rFonts w:ascii="Cambria" w:hAnsi="Cambria"/>
          <w:sz w:val="20"/>
          <w:szCs w:val="20"/>
        </w:rPr>
        <w:t xml:space="preserve"> therefore</w:t>
      </w:r>
      <w:r w:rsidRPr="00DF4119">
        <w:rPr>
          <w:rFonts w:ascii="Cambria" w:hAnsi="Cambria"/>
          <w:sz w:val="20"/>
          <w:szCs w:val="20"/>
        </w:rPr>
        <w:t xml:space="preserve"> appealed against these resolutions, but </w:t>
      </w:r>
      <w:r w:rsidR="00323CC1" w:rsidRPr="00DF4119">
        <w:rPr>
          <w:rFonts w:ascii="Cambria" w:hAnsi="Cambria"/>
          <w:sz w:val="20"/>
          <w:szCs w:val="20"/>
        </w:rPr>
        <w:t xml:space="preserve">the Labor Chamber of the Supreme Court of Justice </w:t>
      </w:r>
      <w:r w:rsidRPr="00DF4119">
        <w:rPr>
          <w:rFonts w:ascii="Cambria" w:hAnsi="Cambria"/>
          <w:sz w:val="20"/>
          <w:szCs w:val="20"/>
        </w:rPr>
        <w:t xml:space="preserve">dismissed </w:t>
      </w:r>
      <w:r w:rsidR="00323CC1">
        <w:rPr>
          <w:rFonts w:ascii="Cambria" w:hAnsi="Cambria"/>
          <w:sz w:val="20"/>
          <w:szCs w:val="20"/>
        </w:rPr>
        <w:t>the appeals</w:t>
      </w:r>
      <w:r w:rsidRPr="00DF4119">
        <w:rPr>
          <w:rFonts w:ascii="Cambria" w:hAnsi="Cambria"/>
          <w:sz w:val="20"/>
          <w:szCs w:val="20"/>
        </w:rPr>
        <w:t xml:space="preserve">. In the case of Mr. Lizarralde, the judgment was issued on August 12, 2003 and in the case of Ms. López, </w:t>
      </w:r>
      <w:r w:rsidR="00D22E79">
        <w:rPr>
          <w:rFonts w:ascii="Cambria" w:hAnsi="Cambria"/>
          <w:sz w:val="20"/>
          <w:szCs w:val="20"/>
        </w:rPr>
        <w:t>the</w:t>
      </w:r>
      <w:r w:rsidRPr="00DF4119">
        <w:rPr>
          <w:rFonts w:ascii="Cambria" w:hAnsi="Cambria"/>
          <w:sz w:val="20"/>
          <w:szCs w:val="20"/>
        </w:rPr>
        <w:t xml:space="preserve"> appeal was settled on September 29, 2003. The Court submitted that</w:t>
      </w:r>
      <w:r w:rsidR="00D22E79">
        <w:rPr>
          <w:rFonts w:ascii="Cambria" w:hAnsi="Cambria"/>
          <w:sz w:val="20"/>
          <w:szCs w:val="20"/>
        </w:rPr>
        <w:t>,</w:t>
      </w:r>
      <w:r w:rsidR="003B10DB">
        <w:rPr>
          <w:rFonts w:ascii="Cambria" w:hAnsi="Cambria"/>
          <w:sz w:val="20"/>
          <w:szCs w:val="20"/>
        </w:rPr>
        <w:t xml:space="preserve"> in these cases</w:t>
      </w:r>
      <w:r w:rsidR="00D22E79">
        <w:rPr>
          <w:rFonts w:ascii="Cambria" w:hAnsi="Cambria"/>
          <w:sz w:val="20"/>
          <w:szCs w:val="20"/>
        </w:rPr>
        <w:t>,</w:t>
      </w:r>
      <w:r w:rsidRPr="00DF4119">
        <w:rPr>
          <w:rFonts w:ascii="Cambria" w:hAnsi="Cambria"/>
          <w:sz w:val="20"/>
          <w:szCs w:val="20"/>
        </w:rPr>
        <w:t xml:space="preserve"> the appeal was </w:t>
      </w:r>
      <w:r w:rsidR="003B10DB">
        <w:rPr>
          <w:rFonts w:ascii="Cambria" w:hAnsi="Cambria"/>
          <w:sz w:val="20"/>
          <w:szCs w:val="20"/>
        </w:rPr>
        <w:t>out of order</w:t>
      </w:r>
      <w:r w:rsidR="000228BB">
        <w:rPr>
          <w:rFonts w:ascii="Cambria" w:hAnsi="Cambria"/>
          <w:sz w:val="20"/>
          <w:szCs w:val="20"/>
        </w:rPr>
        <w:t xml:space="preserve"> since </w:t>
      </w:r>
      <w:r w:rsidR="00D0045F">
        <w:rPr>
          <w:rFonts w:ascii="Cambria" w:hAnsi="Cambria"/>
          <w:sz w:val="20"/>
          <w:szCs w:val="20"/>
        </w:rPr>
        <w:t xml:space="preserve">it </w:t>
      </w:r>
      <w:r w:rsidR="000228BB">
        <w:rPr>
          <w:rFonts w:ascii="Cambria" w:hAnsi="Cambria"/>
          <w:sz w:val="20"/>
          <w:szCs w:val="20"/>
        </w:rPr>
        <w:t>object</w:t>
      </w:r>
      <w:r w:rsidR="00D0045F">
        <w:rPr>
          <w:rFonts w:ascii="Cambria" w:hAnsi="Cambria"/>
          <w:sz w:val="20"/>
          <w:szCs w:val="20"/>
        </w:rPr>
        <w:t>ed</w:t>
      </w:r>
      <w:r w:rsidRPr="00DF4119">
        <w:rPr>
          <w:rFonts w:ascii="Cambria" w:hAnsi="Cambria"/>
          <w:sz w:val="20"/>
          <w:szCs w:val="20"/>
        </w:rPr>
        <w:t xml:space="preserve"> </w:t>
      </w:r>
      <w:r w:rsidR="000228BB">
        <w:rPr>
          <w:rFonts w:ascii="Cambria" w:hAnsi="Cambria"/>
          <w:sz w:val="20"/>
          <w:szCs w:val="20"/>
        </w:rPr>
        <w:t>to</w:t>
      </w:r>
      <w:r w:rsidRPr="00DF4119">
        <w:rPr>
          <w:rFonts w:ascii="Cambria" w:hAnsi="Cambria"/>
          <w:sz w:val="20"/>
          <w:szCs w:val="20"/>
        </w:rPr>
        <w:t xml:space="preserve"> assumptions other than those </w:t>
      </w:r>
      <w:r w:rsidR="00D0073A">
        <w:rPr>
          <w:rFonts w:ascii="Cambria" w:hAnsi="Cambria"/>
          <w:sz w:val="20"/>
          <w:szCs w:val="20"/>
        </w:rPr>
        <w:t>dealt with</w:t>
      </w:r>
      <w:r w:rsidRPr="00DF4119">
        <w:rPr>
          <w:rFonts w:ascii="Cambria" w:hAnsi="Cambria"/>
          <w:sz w:val="20"/>
          <w:szCs w:val="20"/>
        </w:rPr>
        <w:t xml:space="preserve"> by the Court. In the case of Mr. Olaya, the Court </w:t>
      </w:r>
      <w:r w:rsidR="00D0073A">
        <w:rPr>
          <w:rFonts w:ascii="Cambria" w:hAnsi="Cambria"/>
          <w:sz w:val="20"/>
          <w:szCs w:val="20"/>
        </w:rPr>
        <w:t>settled</w:t>
      </w:r>
      <w:r w:rsidRPr="00DF4119">
        <w:rPr>
          <w:rFonts w:ascii="Cambria" w:hAnsi="Cambria"/>
          <w:sz w:val="20"/>
          <w:szCs w:val="20"/>
        </w:rPr>
        <w:t xml:space="preserve"> the appeal on October 23, 2003, claiming that it </w:t>
      </w:r>
      <w:r w:rsidR="00D0073A">
        <w:rPr>
          <w:rFonts w:ascii="Cambria" w:hAnsi="Cambria"/>
          <w:sz w:val="20"/>
          <w:szCs w:val="20"/>
        </w:rPr>
        <w:t>had been</w:t>
      </w:r>
      <w:r w:rsidRPr="00DF4119">
        <w:rPr>
          <w:rFonts w:ascii="Cambria" w:hAnsi="Cambria"/>
          <w:sz w:val="20"/>
          <w:szCs w:val="20"/>
        </w:rPr>
        <w:t xml:space="preserve"> proved that at the time when he retired, the </w:t>
      </w:r>
      <w:r w:rsidR="005365BF">
        <w:rPr>
          <w:rFonts w:ascii="Cambria" w:hAnsi="Cambria"/>
          <w:sz w:val="20"/>
          <w:szCs w:val="20"/>
        </w:rPr>
        <w:t xml:space="preserve">legal </w:t>
      </w:r>
      <w:r w:rsidR="007E7FBA">
        <w:rPr>
          <w:rFonts w:ascii="Cambria" w:hAnsi="Cambria"/>
          <w:sz w:val="20"/>
          <w:szCs w:val="20"/>
        </w:rPr>
        <w:t>scheme</w:t>
      </w:r>
      <w:r w:rsidRPr="00DF4119">
        <w:rPr>
          <w:rFonts w:ascii="Cambria" w:hAnsi="Cambria"/>
          <w:sz w:val="20"/>
          <w:szCs w:val="20"/>
        </w:rPr>
        <w:t xml:space="preserve"> applicable</w:t>
      </w:r>
      <w:r w:rsidR="005365BF">
        <w:rPr>
          <w:rFonts w:ascii="Cambria" w:hAnsi="Cambria"/>
          <w:sz w:val="20"/>
          <w:szCs w:val="20"/>
        </w:rPr>
        <w:t xml:space="preserve"> was </w:t>
      </w:r>
      <w:r w:rsidR="009C2504">
        <w:rPr>
          <w:rFonts w:ascii="Cambria" w:hAnsi="Cambria"/>
          <w:sz w:val="20"/>
          <w:szCs w:val="20"/>
        </w:rPr>
        <w:t>that</w:t>
      </w:r>
      <w:r w:rsidR="005365BF">
        <w:rPr>
          <w:rFonts w:ascii="Cambria" w:hAnsi="Cambria"/>
          <w:sz w:val="20"/>
          <w:szCs w:val="20"/>
        </w:rPr>
        <w:t xml:space="preserve"> </w:t>
      </w:r>
      <w:r w:rsidR="007E7FBA">
        <w:rPr>
          <w:rFonts w:ascii="Cambria" w:hAnsi="Cambria"/>
          <w:sz w:val="20"/>
          <w:szCs w:val="20"/>
        </w:rPr>
        <w:t>of</w:t>
      </w:r>
      <w:r w:rsidR="005365BF">
        <w:rPr>
          <w:rFonts w:ascii="Cambria" w:hAnsi="Cambria"/>
          <w:sz w:val="20"/>
          <w:szCs w:val="20"/>
        </w:rPr>
        <w:t xml:space="preserve"> private-sector </w:t>
      </w:r>
      <w:r w:rsidR="005365BF" w:rsidRPr="00DF4119">
        <w:rPr>
          <w:rFonts w:ascii="Cambria" w:hAnsi="Cambria"/>
          <w:sz w:val="20"/>
          <w:szCs w:val="20"/>
        </w:rPr>
        <w:t>employee</w:t>
      </w:r>
      <w:r w:rsidR="005365BF">
        <w:rPr>
          <w:rFonts w:ascii="Cambria" w:hAnsi="Cambria"/>
          <w:sz w:val="20"/>
          <w:szCs w:val="20"/>
        </w:rPr>
        <w:t>s</w:t>
      </w:r>
      <w:r w:rsidRPr="00DF4119">
        <w:rPr>
          <w:rFonts w:ascii="Cambria" w:hAnsi="Cambria"/>
          <w:sz w:val="20"/>
          <w:szCs w:val="20"/>
        </w:rPr>
        <w:t>.</w:t>
      </w:r>
    </w:p>
    <w:p w:rsidR="006F432A" w:rsidRPr="00DF4119" w:rsidRDefault="006F432A" w:rsidP="006F4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4119">
        <w:rPr>
          <w:rFonts w:asciiTheme="majorHAnsi" w:hAnsiTheme="majorHAnsi"/>
          <w:sz w:val="20"/>
          <w:szCs w:val="20"/>
        </w:rPr>
        <w:t xml:space="preserve">Three years later, on June 28, 2006, the same body ruled on the case of Mr. Carlos Urbano Rivas, another employee of ALMADELCO S.A., who was granted </w:t>
      </w:r>
      <w:r w:rsidR="008131F2">
        <w:rPr>
          <w:rFonts w:asciiTheme="majorHAnsi" w:hAnsiTheme="majorHAnsi"/>
          <w:sz w:val="20"/>
          <w:szCs w:val="20"/>
        </w:rPr>
        <w:t>a</w:t>
      </w:r>
      <w:r w:rsidRPr="00DF4119">
        <w:rPr>
          <w:rFonts w:asciiTheme="majorHAnsi" w:hAnsiTheme="majorHAnsi"/>
          <w:sz w:val="20"/>
          <w:szCs w:val="20"/>
        </w:rPr>
        <w:t xml:space="preserve"> pension plan </w:t>
      </w:r>
      <w:r w:rsidR="00625ACB">
        <w:rPr>
          <w:rFonts w:asciiTheme="majorHAnsi" w:hAnsiTheme="majorHAnsi"/>
          <w:sz w:val="20"/>
          <w:szCs w:val="20"/>
        </w:rPr>
        <w:t xml:space="preserve">applicable to </w:t>
      </w:r>
      <w:r w:rsidR="005E11D2">
        <w:rPr>
          <w:rFonts w:asciiTheme="majorHAnsi" w:hAnsiTheme="majorHAnsi"/>
          <w:sz w:val="20"/>
          <w:szCs w:val="20"/>
        </w:rPr>
        <w:t>public-sector</w:t>
      </w:r>
      <w:r w:rsidR="00FD7564">
        <w:rPr>
          <w:rFonts w:asciiTheme="majorHAnsi" w:hAnsiTheme="majorHAnsi"/>
          <w:sz w:val="20"/>
          <w:szCs w:val="20"/>
        </w:rPr>
        <w:t xml:space="preserve"> </w:t>
      </w:r>
      <w:r w:rsidR="008131F2">
        <w:rPr>
          <w:rFonts w:asciiTheme="majorHAnsi" w:hAnsiTheme="majorHAnsi"/>
          <w:sz w:val="20"/>
          <w:szCs w:val="20"/>
        </w:rPr>
        <w:t>employee</w:t>
      </w:r>
      <w:r w:rsidR="00625ACB">
        <w:rPr>
          <w:rFonts w:asciiTheme="majorHAnsi" w:hAnsiTheme="majorHAnsi"/>
          <w:sz w:val="20"/>
          <w:szCs w:val="20"/>
        </w:rPr>
        <w:t>s</w:t>
      </w:r>
      <w:r w:rsidRPr="00DF4119">
        <w:rPr>
          <w:rFonts w:asciiTheme="majorHAnsi" w:hAnsiTheme="majorHAnsi"/>
          <w:sz w:val="20"/>
          <w:szCs w:val="20"/>
        </w:rPr>
        <w:t xml:space="preserve">. </w:t>
      </w:r>
      <w:r w:rsidR="001F4960">
        <w:rPr>
          <w:rFonts w:asciiTheme="majorHAnsi" w:hAnsiTheme="majorHAnsi"/>
          <w:sz w:val="20"/>
          <w:szCs w:val="20"/>
        </w:rPr>
        <w:t>T</w:t>
      </w:r>
      <w:r w:rsidRPr="00DF4119">
        <w:rPr>
          <w:rFonts w:asciiTheme="majorHAnsi" w:hAnsiTheme="majorHAnsi"/>
          <w:sz w:val="20"/>
          <w:szCs w:val="20"/>
        </w:rPr>
        <w:t>he main a</w:t>
      </w:r>
      <w:r w:rsidR="001F4960">
        <w:rPr>
          <w:rFonts w:asciiTheme="majorHAnsi" w:hAnsiTheme="majorHAnsi"/>
          <w:sz w:val="20"/>
          <w:szCs w:val="20"/>
        </w:rPr>
        <w:t xml:space="preserve">rgument </w:t>
      </w:r>
      <w:r w:rsidR="005E11D2">
        <w:rPr>
          <w:rFonts w:asciiTheme="majorHAnsi" w:hAnsiTheme="majorHAnsi"/>
          <w:sz w:val="20"/>
          <w:szCs w:val="20"/>
        </w:rPr>
        <w:t>in</w:t>
      </w:r>
      <w:r w:rsidR="001F4960">
        <w:rPr>
          <w:rFonts w:asciiTheme="majorHAnsi" w:hAnsiTheme="majorHAnsi"/>
          <w:sz w:val="20"/>
          <w:szCs w:val="20"/>
        </w:rPr>
        <w:t xml:space="preserve"> this resolution </w:t>
      </w:r>
      <w:r w:rsidR="00DB5F30">
        <w:rPr>
          <w:rFonts w:asciiTheme="majorHAnsi" w:hAnsiTheme="majorHAnsi"/>
          <w:sz w:val="20"/>
          <w:szCs w:val="20"/>
        </w:rPr>
        <w:t>was</w:t>
      </w:r>
      <w:r w:rsidR="001F4960">
        <w:rPr>
          <w:rFonts w:asciiTheme="majorHAnsi" w:hAnsiTheme="majorHAnsi"/>
          <w:sz w:val="20"/>
          <w:szCs w:val="20"/>
        </w:rPr>
        <w:t xml:space="preserve"> that</w:t>
      </w:r>
      <w:r w:rsidR="00C20B5B">
        <w:rPr>
          <w:rFonts w:asciiTheme="majorHAnsi" w:hAnsiTheme="majorHAnsi"/>
          <w:sz w:val="20"/>
          <w:szCs w:val="20"/>
        </w:rPr>
        <w:t xml:space="preserve"> the</w:t>
      </w:r>
      <w:r w:rsidR="00F75900">
        <w:rPr>
          <w:rFonts w:asciiTheme="majorHAnsi" w:hAnsiTheme="majorHAnsi"/>
          <w:sz w:val="20"/>
          <w:szCs w:val="20"/>
        </w:rPr>
        <w:t xml:space="preserve"> </w:t>
      </w:r>
      <w:r w:rsidR="005E11D2">
        <w:rPr>
          <w:rFonts w:asciiTheme="majorHAnsi" w:hAnsiTheme="majorHAnsi"/>
          <w:sz w:val="20"/>
          <w:szCs w:val="20"/>
        </w:rPr>
        <w:t>type</w:t>
      </w:r>
      <w:r w:rsidR="00F75900">
        <w:rPr>
          <w:rFonts w:asciiTheme="majorHAnsi" w:hAnsiTheme="majorHAnsi"/>
          <w:sz w:val="20"/>
          <w:szCs w:val="20"/>
        </w:rPr>
        <w:t xml:space="preserve"> </w:t>
      </w:r>
      <w:r w:rsidR="005E11D2">
        <w:rPr>
          <w:rFonts w:asciiTheme="majorHAnsi" w:hAnsiTheme="majorHAnsi"/>
          <w:sz w:val="20"/>
          <w:szCs w:val="20"/>
        </w:rPr>
        <w:t xml:space="preserve">of </w:t>
      </w:r>
      <w:r w:rsidRPr="00DF4119">
        <w:rPr>
          <w:rFonts w:asciiTheme="majorHAnsi" w:hAnsiTheme="majorHAnsi"/>
          <w:sz w:val="20"/>
          <w:szCs w:val="20"/>
        </w:rPr>
        <w:t>pension plan</w:t>
      </w:r>
      <w:r w:rsidR="00C20B5B">
        <w:rPr>
          <w:rFonts w:asciiTheme="majorHAnsi" w:hAnsiTheme="majorHAnsi"/>
          <w:sz w:val="20"/>
          <w:szCs w:val="20"/>
        </w:rPr>
        <w:t xml:space="preserve"> </w:t>
      </w:r>
      <w:r w:rsidR="005E11D2">
        <w:rPr>
          <w:rFonts w:asciiTheme="majorHAnsi" w:hAnsiTheme="majorHAnsi"/>
          <w:sz w:val="20"/>
          <w:szCs w:val="20"/>
        </w:rPr>
        <w:t xml:space="preserve">applicable </w:t>
      </w:r>
      <w:r w:rsidR="00C20B5B">
        <w:rPr>
          <w:rFonts w:asciiTheme="majorHAnsi" w:hAnsiTheme="majorHAnsi"/>
          <w:sz w:val="20"/>
          <w:szCs w:val="20"/>
        </w:rPr>
        <w:t>depend</w:t>
      </w:r>
      <w:r w:rsidR="00861CBC">
        <w:rPr>
          <w:rFonts w:asciiTheme="majorHAnsi" w:hAnsiTheme="majorHAnsi"/>
          <w:sz w:val="20"/>
          <w:szCs w:val="20"/>
        </w:rPr>
        <w:t>ed</w:t>
      </w:r>
      <w:r w:rsidRPr="00DF4119">
        <w:rPr>
          <w:rFonts w:asciiTheme="majorHAnsi" w:hAnsiTheme="majorHAnsi"/>
          <w:sz w:val="20"/>
          <w:szCs w:val="20"/>
        </w:rPr>
        <w:t xml:space="preserve"> </w:t>
      </w:r>
      <w:r w:rsidR="00583A3D">
        <w:rPr>
          <w:rFonts w:asciiTheme="majorHAnsi" w:hAnsiTheme="majorHAnsi"/>
          <w:sz w:val="20"/>
          <w:szCs w:val="20"/>
        </w:rPr>
        <w:t>not</w:t>
      </w:r>
      <w:r w:rsidR="00947F1B">
        <w:rPr>
          <w:rFonts w:asciiTheme="majorHAnsi" w:hAnsiTheme="majorHAnsi"/>
          <w:sz w:val="20"/>
          <w:szCs w:val="20"/>
        </w:rPr>
        <w:t xml:space="preserve"> on</w:t>
      </w:r>
      <w:r w:rsidR="00583A3D">
        <w:rPr>
          <w:rFonts w:asciiTheme="majorHAnsi" w:hAnsiTheme="majorHAnsi"/>
          <w:sz w:val="20"/>
          <w:szCs w:val="20"/>
        </w:rPr>
        <w:t xml:space="preserve"> the </w:t>
      </w:r>
      <w:r w:rsidR="00583A3D" w:rsidRPr="00DF4119">
        <w:rPr>
          <w:rFonts w:asciiTheme="majorHAnsi" w:hAnsiTheme="majorHAnsi"/>
          <w:sz w:val="20"/>
          <w:szCs w:val="20"/>
        </w:rPr>
        <w:t>termination date</w:t>
      </w:r>
      <w:r w:rsidR="00583A3D">
        <w:rPr>
          <w:rFonts w:asciiTheme="majorHAnsi" w:hAnsiTheme="majorHAnsi"/>
          <w:sz w:val="20"/>
          <w:szCs w:val="20"/>
        </w:rPr>
        <w:t xml:space="preserve"> of a contract</w:t>
      </w:r>
      <w:r w:rsidR="00861CBC">
        <w:rPr>
          <w:rFonts w:asciiTheme="majorHAnsi" w:hAnsiTheme="majorHAnsi"/>
          <w:sz w:val="20"/>
          <w:szCs w:val="20"/>
        </w:rPr>
        <w:t>,</w:t>
      </w:r>
      <w:r w:rsidR="00583A3D" w:rsidRPr="00DF4119">
        <w:rPr>
          <w:rFonts w:asciiTheme="majorHAnsi" w:hAnsiTheme="majorHAnsi"/>
          <w:sz w:val="20"/>
          <w:szCs w:val="20"/>
        </w:rPr>
        <w:t xml:space="preserve"> </w:t>
      </w:r>
      <w:r w:rsidR="00583A3D">
        <w:rPr>
          <w:rFonts w:asciiTheme="majorHAnsi" w:hAnsiTheme="majorHAnsi"/>
          <w:sz w:val="20"/>
          <w:szCs w:val="20"/>
        </w:rPr>
        <w:t>but</w:t>
      </w:r>
      <w:r w:rsidR="00C20B5B">
        <w:rPr>
          <w:rFonts w:asciiTheme="majorHAnsi" w:hAnsiTheme="majorHAnsi"/>
          <w:sz w:val="20"/>
          <w:szCs w:val="20"/>
        </w:rPr>
        <w:t xml:space="preserve"> on</w:t>
      </w:r>
      <w:r w:rsidR="00583A3D">
        <w:rPr>
          <w:rFonts w:asciiTheme="majorHAnsi" w:hAnsiTheme="majorHAnsi"/>
          <w:sz w:val="20"/>
          <w:szCs w:val="20"/>
        </w:rPr>
        <w:t xml:space="preserve"> </w:t>
      </w:r>
      <w:r w:rsidR="00A50C0B">
        <w:rPr>
          <w:rFonts w:asciiTheme="majorHAnsi" w:hAnsiTheme="majorHAnsi"/>
          <w:sz w:val="20"/>
          <w:szCs w:val="20"/>
        </w:rPr>
        <w:t>the nature</w:t>
      </w:r>
      <w:r w:rsidR="00F7023A">
        <w:rPr>
          <w:rFonts w:asciiTheme="majorHAnsi" w:hAnsiTheme="majorHAnsi"/>
          <w:sz w:val="20"/>
          <w:szCs w:val="20"/>
        </w:rPr>
        <w:t xml:space="preserve"> of the company </w:t>
      </w:r>
      <w:r w:rsidR="006A4414">
        <w:rPr>
          <w:bCs/>
          <w:sz w:val="20"/>
          <w:szCs w:val="20"/>
        </w:rPr>
        <w:t>throughout</w:t>
      </w:r>
      <w:r w:rsidR="00DD7CFE">
        <w:rPr>
          <w:rFonts w:asciiTheme="majorHAnsi" w:hAnsiTheme="majorHAnsi"/>
          <w:sz w:val="20"/>
          <w:szCs w:val="20"/>
        </w:rPr>
        <w:t xml:space="preserve"> the time that</w:t>
      </w:r>
      <w:r w:rsidR="00A50C0B">
        <w:rPr>
          <w:rFonts w:asciiTheme="majorHAnsi" w:hAnsiTheme="majorHAnsi"/>
          <w:sz w:val="20"/>
          <w:szCs w:val="20"/>
        </w:rPr>
        <w:t xml:space="preserve"> </w:t>
      </w:r>
      <w:r w:rsidR="00DD7CFE">
        <w:rPr>
          <w:rFonts w:asciiTheme="majorHAnsi" w:hAnsiTheme="majorHAnsi"/>
          <w:sz w:val="20"/>
          <w:szCs w:val="20"/>
        </w:rPr>
        <w:t xml:space="preserve">an </w:t>
      </w:r>
      <w:r w:rsidR="00F7023A">
        <w:rPr>
          <w:rFonts w:asciiTheme="majorHAnsi" w:hAnsiTheme="majorHAnsi"/>
          <w:sz w:val="20"/>
          <w:szCs w:val="20"/>
        </w:rPr>
        <w:t xml:space="preserve">employee had been </w:t>
      </w:r>
      <w:r w:rsidR="00583A3D">
        <w:rPr>
          <w:rFonts w:asciiTheme="majorHAnsi" w:hAnsiTheme="majorHAnsi"/>
          <w:sz w:val="20"/>
          <w:szCs w:val="20"/>
        </w:rPr>
        <w:t>work</w:t>
      </w:r>
      <w:r w:rsidR="00F7023A">
        <w:rPr>
          <w:rFonts w:asciiTheme="majorHAnsi" w:hAnsiTheme="majorHAnsi"/>
          <w:sz w:val="20"/>
          <w:szCs w:val="20"/>
        </w:rPr>
        <w:t>ing</w:t>
      </w:r>
      <w:r w:rsidR="00583A3D">
        <w:rPr>
          <w:rFonts w:asciiTheme="majorHAnsi" w:hAnsiTheme="majorHAnsi"/>
          <w:sz w:val="20"/>
          <w:szCs w:val="20"/>
        </w:rPr>
        <w:t xml:space="preserve"> at it</w:t>
      </w:r>
      <w:r w:rsidR="00C642CD">
        <w:rPr>
          <w:rFonts w:asciiTheme="majorHAnsi" w:hAnsiTheme="majorHAnsi"/>
          <w:sz w:val="20"/>
          <w:szCs w:val="20"/>
        </w:rPr>
        <w:t xml:space="preserve">. The Court </w:t>
      </w:r>
      <w:r w:rsidR="00096CC9">
        <w:rPr>
          <w:rFonts w:asciiTheme="majorHAnsi" w:hAnsiTheme="majorHAnsi"/>
          <w:sz w:val="20"/>
          <w:szCs w:val="20"/>
        </w:rPr>
        <w:t>established</w:t>
      </w:r>
      <w:r w:rsidR="00C642CD">
        <w:rPr>
          <w:rFonts w:asciiTheme="majorHAnsi" w:hAnsiTheme="majorHAnsi"/>
          <w:sz w:val="20"/>
          <w:szCs w:val="20"/>
        </w:rPr>
        <w:t xml:space="preserve"> that</w:t>
      </w:r>
      <w:r w:rsidRPr="00DF4119">
        <w:rPr>
          <w:rFonts w:asciiTheme="majorHAnsi" w:hAnsiTheme="majorHAnsi"/>
          <w:sz w:val="20"/>
          <w:szCs w:val="20"/>
        </w:rPr>
        <w:t xml:space="preserve"> worker</w:t>
      </w:r>
      <w:r w:rsidR="00C642CD">
        <w:rPr>
          <w:rFonts w:asciiTheme="majorHAnsi" w:hAnsiTheme="majorHAnsi"/>
          <w:sz w:val="20"/>
          <w:szCs w:val="20"/>
        </w:rPr>
        <w:t>s</w:t>
      </w:r>
      <w:r w:rsidRPr="00DF4119">
        <w:rPr>
          <w:rFonts w:asciiTheme="majorHAnsi" w:hAnsiTheme="majorHAnsi"/>
          <w:sz w:val="20"/>
          <w:szCs w:val="20"/>
        </w:rPr>
        <w:t xml:space="preserve"> cannot lose their benefits </w:t>
      </w:r>
      <w:r w:rsidR="00632BEA">
        <w:rPr>
          <w:rFonts w:asciiTheme="majorHAnsi" w:hAnsiTheme="majorHAnsi"/>
          <w:sz w:val="20"/>
          <w:szCs w:val="20"/>
        </w:rPr>
        <w:t xml:space="preserve">as a </w:t>
      </w:r>
      <w:r w:rsidR="00C642CD">
        <w:rPr>
          <w:rFonts w:asciiTheme="majorHAnsi" w:hAnsiTheme="majorHAnsi"/>
          <w:sz w:val="20"/>
          <w:szCs w:val="20"/>
        </w:rPr>
        <w:t>consequence</w:t>
      </w:r>
      <w:r w:rsidR="00632BEA">
        <w:rPr>
          <w:rFonts w:asciiTheme="majorHAnsi" w:hAnsiTheme="majorHAnsi"/>
          <w:sz w:val="20"/>
          <w:szCs w:val="20"/>
        </w:rPr>
        <w:t xml:space="preserve"> of </w:t>
      </w:r>
      <w:r w:rsidR="00655986">
        <w:rPr>
          <w:rFonts w:asciiTheme="majorHAnsi" w:hAnsiTheme="majorHAnsi"/>
          <w:sz w:val="20"/>
          <w:szCs w:val="20"/>
        </w:rPr>
        <w:t xml:space="preserve">a </w:t>
      </w:r>
      <w:r w:rsidR="00632BEA">
        <w:rPr>
          <w:rFonts w:asciiTheme="majorHAnsi" w:hAnsiTheme="majorHAnsi"/>
          <w:sz w:val="20"/>
          <w:szCs w:val="20"/>
        </w:rPr>
        <w:t xml:space="preserve">change in </w:t>
      </w:r>
      <w:r w:rsidR="00DD7CFE">
        <w:rPr>
          <w:rFonts w:asciiTheme="majorHAnsi" w:hAnsiTheme="majorHAnsi"/>
          <w:sz w:val="20"/>
          <w:szCs w:val="20"/>
        </w:rPr>
        <w:t>the nature of a company</w:t>
      </w:r>
      <w:r w:rsidRPr="00DF4119">
        <w:rPr>
          <w:rFonts w:asciiTheme="majorHAnsi" w:hAnsiTheme="majorHAnsi"/>
          <w:sz w:val="20"/>
          <w:szCs w:val="20"/>
        </w:rPr>
        <w:t xml:space="preserve">. The petitioners assert that the alleged victims and Mr. Urbano </w:t>
      </w:r>
      <w:r w:rsidR="00444350">
        <w:rPr>
          <w:rFonts w:asciiTheme="majorHAnsi" w:hAnsiTheme="majorHAnsi"/>
          <w:sz w:val="20"/>
          <w:szCs w:val="20"/>
        </w:rPr>
        <w:t>had been</w:t>
      </w:r>
      <w:r w:rsidRPr="00DF4119">
        <w:rPr>
          <w:rFonts w:asciiTheme="majorHAnsi" w:hAnsiTheme="majorHAnsi"/>
          <w:sz w:val="20"/>
          <w:szCs w:val="20"/>
        </w:rPr>
        <w:t xml:space="preserve"> in the same working conditions </w:t>
      </w:r>
      <w:r w:rsidR="00DD7CFE">
        <w:rPr>
          <w:rFonts w:asciiTheme="majorHAnsi" w:hAnsiTheme="majorHAnsi"/>
          <w:sz w:val="20"/>
          <w:szCs w:val="20"/>
        </w:rPr>
        <w:t>as</w:t>
      </w:r>
      <w:r w:rsidRPr="00DF4119">
        <w:rPr>
          <w:rFonts w:asciiTheme="majorHAnsi" w:hAnsiTheme="majorHAnsi"/>
          <w:sz w:val="20"/>
          <w:szCs w:val="20"/>
        </w:rPr>
        <w:t xml:space="preserve"> </w:t>
      </w:r>
      <w:r w:rsidR="00D80E33">
        <w:rPr>
          <w:rFonts w:asciiTheme="majorHAnsi" w:hAnsiTheme="majorHAnsi"/>
          <w:sz w:val="20"/>
          <w:szCs w:val="20"/>
        </w:rPr>
        <w:t xml:space="preserve">regards the </w:t>
      </w:r>
      <w:r w:rsidR="00AD624F">
        <w:rPr>
          <w:rFonts w:asciiTheme="majorHAnsi" w:hAnsiTheme="majorHAnsi"/>
          <w:sz w:val="20"/>
          <w:szCs w:val="20"/>
        </w:rPr>
        <w:t xml:space="preserve">period when all of them </w:t>
      </w:r>
      <w:r w:rsidR="00D80E33">
        <w:rPr>
          <w:rFonts w:asciiTheme="majorHAnsi" w:hAnsiTheme="majorHAnsi"/>
          <w:sz w:val="20"/>
          <w:szCs w:val="20"/>
        </w:rPr>
        <w:t>reached</w:t>
      </w:r>
      <w:r w:rsidRPr="00DF4119">
        <w:rPr>
          <w:rFonts w:asciiTheme="majorHAnsi" w:hAnsiTheme="majorHAnsi"/>
          <w:sz w:val="20"/>
          <w:szCs w:val="20"/>
        </w:rPr>
        <w:t xml:space="preserve"> </w:t>
      </w:r>
      <w:r w:rsidR="00601768">
        <w:rPr>
          <w:rFonts w:asciiTheme="majorHAnsi" w:hAnsiTheme="majorHAnsi"/>
          <w:sz w:val="20"/>
          <w:szCs w:val="20"/>
        </w:rPr>
        <w:t>more than</w:t>
      </w:r>
      <w:r w:rsidR="00BF3C80">
        <w:rPr>
          <w:rFonts w:asciiTheme="majorHAnsi" w:hAnsiTheme="majorHAnsi"/>
          <w:sz w:val="20"/>
          <w:szCs w:val="20"/>
        </w:rPr>
        <w:t xml:space="preserve"> </w:t>
      </w:r>
      <w:r w:rsidRPr="00DF4119">
        <w:rPr>
          <w:rFonts w:asciiTheme="majorHAnsi" w:hAnsiTheme="majorHAnsi"/>
          <w:sz w:val="20"/>
          <w:szCs w:val="20"/>
        </w:rPr>
        <w:t>20 years</w:t>
      </w:r>
      <w:r w:rsidR="00BF3C80">
        <w:rPr>
          <w:rFonts w:asciiTheme="majorHAnsi" w:hAnsiTheme="majorHAnsi"/>
          <w:sz w:val="20"/>
          <w:szCs w:val="20"/>
        </w:rPr>
        <w:t xml:space="preserve"> of work</w:t>
      </w:r>
      <w:r w:rsidRPr="00DF4119">
        <w:rPr>
          <w:rFonts w:asciiTheme="majorHAnsi" w:hAnsiTheme="majorHAnsi"/>
          <w:sz w:val="20"/>
          <w:szCs w:val="20"/>
        </w:rPr>
        <w:t xml:space="preserve">, </w:t>
      </w:r>
      <w:r w:rsidR="008A2717">
        <w:rPr>
          <w:rFonts w:asciiTheme="majorHAnsi" w:hAnsiTheme="majorHAnsi"/>
          <w:sz w:val="20"/>
          <w:szCs w:val="20"/>
        </w:rPr>
        <w:t>which, under</w:t>
      </w:r>
      <w:r w:rsidR="00BA0187">
        <w:rPr>
          <w:rFonts w:asciiTheme="majorHAnsi" w:hAnsiTheme="majorHAnsi"/>
          <w:sz w:val="20"/>
          <w:szCs w:val="20"/>
        </w:rPr>
        <w:t xml:space="preserve"> Law No. 33 of 1985</w:t>
      </w:r>
      <w:r w:rsidR="008A2717">
        <w:rPr>
          <w:rFonts w:asciiTheme="majorHAnsi" w:hAnsiTheme="majorHAnsi"/>
          <w:sz w:val="20"/>
          <w:szCs w:val="20"/>
        </w:rPr>
        <w:t>,</w:t>
      </w:r>
      <w:r w:rsidR="00BA0187">
        <w:rPr>
          <w:rFonts w:asciiTheme="majorHAnsi" w:hAnsiTheme="majorHAnsi"/>
          <w:sz w:val="20"/>
          <w:szCs w:val="20"/>
        </w:rPr>
        <w:t xml:space="preserve"> </w:t>
      </w:r>
      <w:r w:rsidR="008A2717">
        <w:rPr>
          <w:rFonts w:asciiTheme="majorHAnsi" w:hAnsiTheme="majorHAnsi"/>
          <w:sz w:val="20"/>
          <w:szCs w:val="20"/>
        </w:rPr>
        <w:t xml:space="preserve">is required </w:t>
      </w:r>
      <w:r w:rsidR="00BA0187">
        <w:rPr>
          <w:rFonts w:asciiTheme="majorHAnsi" w:hAnsiTheme="majorHAnsi"/>
          <w:sz w:val="20"/>
          <w:szCs w:val="20"/>
        </w:rPr>
        <w:t>to access</w:t>
      </w:r>
      <w:r w:rsidRPr="00DF4119">
        <w:rPr>
          <w:rFonts w:asciiTheme="majorHAnsi" w:hAnsiTheme="majorHAnsi"/>
          <w:sz w:val="20"/>
          <w:szCs w:val="20"/>
        </w:rPr>
        <w:t xml:space="preserve"> </w:t>
      </w:r>
      <w:r w:rsidR="00331F69">
        <w:rPr>
          <w:rFonts w:asciiTheme="majorHAnsi" w:hAnsiTheme="majorHAnsi"/>
          <w:sz w:val="20"/>
          <w:szCs w:val="20"/>
        </w:rPr>
        <w:t xml:space="preserve">the </w:t>
      </w:r>
      <w:r w:rsidRPr="00DF4119">
        <w:rPr>
          <w:rFonts w:asciiTheme="majorHAnsi" w:hAnsiTheme="majorHAnsi"/>
          <w:sz w:val="20"/>
          <w:szCs w:val="20"/>
        </w:rPr>
        <w:t xml:space="preserve">pension plan for </w:t>
      </w:r>
      <w:r w:rsidR="00444350">
        <w:rPr>
          <w:rFonts w:asciiTheme="majorHAnsi" w:hAnsiTheme="majorHAnsi"/>
          <w:sz w:val="20"/>
          <w:szCs w:val="20"/>
        </w:rPr>
        <w:t>public-sector</w:t>
      </w:r>
      <w:r w:rsidRPr="00DF4119">
        <w:rPr>
          <w:rFonts w:asciiTheme="majorHAnsi" w:hAnsiTheme="majorHAnsi"/>
          <w:sz w:val="20"/>
          <w:szCs w:val="20"/>
        </w:rPr>
        <w:t xml:space="preserve"> </w:t>
      </w:r>
      <w:r w:rsidR="00D30E5B">
        <w:rPr>
          <w:rFonts w:asciiTheme="majorHAnsi" w:hAnsiTheme="majorHAnsi"/>
          <w:sz w:val="20"/>
          <w:szCs w:val="20"/>
        </w:rPr>
        <w:t>employees</w:t>
      </w:r>
      <w:r w:rsidRPr="00DF4119">
        <w:rPr>
          <w:rFonts w:asciiTheme="majorHAnsi" w:hAnsiTheme="majorHAnsi"/>
          <w:sz w:val="20"/>
          <w:szCs w:val="20"/>
        </w:rPr>
        <w:t>.</w:t>
      </w:r>
    </w:p>
    <w:p w:rsidR="006F432A" w:rsidRPr="00DF4119" w:rsidRDefault="006F432A" w:rsidP="006F4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4119">
        <w:rPr>
          <w:rFonts w:ascii="Cambria" w:hAnsi="Cambria"/>
          <w:sz w:val="20"/>
          <w:szCs w:val="20"/>
        </w:rPr>
        <w:t>The petitioners submit that they filed appeals for legal protection</w:t>
      </w:r>
      <w:r w:rsidR="00B70E38">
        <w:rPr>
          <w:rFonts w:ascii="Cambria" w:hAnsi="Cambria"/>
          <w:sz w:val="20"/>
          <w:szCs w:val="20"/>
        </w:rPr>
        <w:t>, as they believed that said decision proved that</w:t>
      </w:r>
      <w:r w:rsidR="00B70E38" w:rsidRPr="00DF4119">
        <w:rPr>
          <w:rFonts w:ascii="Cambria" w:hAnsi="Cambria"/>
          <w:sz w:val="20"/>
          <w:szCs w:val="20"/>
        </w:rPr>
        <w:t xml:space="preserve"> the</w:t>
      </w:r>
      <w:r w:rsidR="00B70E38">
        <w:rPr>
          <w:rFonts w:ascii="Cambria" w:hAnsi="Cambria"/>
          <w:sz w:val="20"/>
          <w:szCs w:val="20"/>
        </w:rPr>
        <w:t>ir</w:t>
      </w:r>
      <w:r w:rsidR="00B70E38" w:rsidRPr="00DF4119">
        <w:rPr>
          <w:rFonts w:ascii="Cambria" w:hAnsi="Cambria"/>
          <w:sz w:val="20"/>
          <w:szCs w:val="20"/>
        </w:rPr>
        <w:t xml:space="preserve"> rights to due process, equal protection, social security and work</w:t>
      </w:r>
      <w:r w:rsidR="00B70E38">
        <w:rPr>
          <w:rFonts w:ascii="Cambria" w:hAnsi="Cambria"/>
          <w:sz w:val="20"/>
          <w:szCs w:val="20"/>
        </w:rPr>
        <w:t xml:space="preserve"> had been violated</w:t>
      </w:r>
      <w:r w:rsidRPr="00DF4119">
        <w:rPr>
          <w:rFonts w:ascii="Cambria" w:hAnsi="Cambria"/>
          <w:sz w:val="20"/>
          <w:szCs w:val="20"/>
        </w:rPr>
        <w:t xml:space="preserve">. However, these </w:t>
      </w:r>
      <w:r w:rsidR="00B70E38">
        <w:rPr>
          <w:rFonts w:ascii="Cambria" w:hAnsi="Cambria"/>
          <w:sz w:val="20"/>
          <w:szCs w:val="20"/>
        </w:rPr>
        <w:t xml:space="preserve">appeals </w:t>
      </w:r>
      <w:r w:rsidRPr="00DF4119">
        <w:rPr>
          <w:rFonts w:ascii="Cambria" w:hAnsi="Cambria"/>
          <w:sz w:val="20"/>
          <w:szCs w:val="20"/>
        </w:rPr>
        <w:t xml:space="preserve">were eventually dismissed. The last decision in these proceedings </w:t>
      </w:r>
      <w:r w:rsidR="00627905">
        <w:rPr>
          <w:rFonts w:ascii="Cambria" w:hAnsi="Cambria"/>
          <w:sz w:val="20"/>
          <w:szCs w:val="20"/>
        </w:rPr>
        <w:t xml:space="preserve">was that </w:t>
      </w:r>
      <w:r w:rsidR="00053944">
        <w:rPr>
          <w:rFonts w:ascii="Cambria" w:hAnsi="Cambria"/>
          <w:sz w:val="20"/>
          <w:szCs w:val="20"/>
        </w:rPr>
        <w:t xml:space="preserve">in which the Constitutional Court </w:t>
      </w:r>
      <w:r w:rsidRPr="00DF4119">
        <w:rPr>
          <w:rFonts w:ascii="Cambria" w:hAnsi="Cambria"/>
          <w:sz w:val="20"/>
          <w:szCs w:val="20"/>
        </w:rPr>
        <w:t>ruled not to choose the judgments for review, which was notified to Lizarralde and Olaya on July 11, 2007, and to Ms. López on August 14, 2007.</w:t>
      </w:r>
      <w:r w:rsidRPr="00DF4119">
        <w:rPr>
          <w:rFonts w:ascii="Cambria" w:hAnsi="Cambria"/>
          <w:bCs/>
          <w:sz w:val="20"/>
          <w:szCs w:val="20"/>
        </w:rPr>
        <w:t xml:space="preserve"> </w:t>
      </w:r>
    </w:p>
    <w:p w:rsidR="006F432A" w:rsidRPr="00DF4119" w:rsidRDefault="006F432A" w:rsidP="006F4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4119">
        <w:rPr>
          <w:rFonts w:ascii="Cambria" w:hAnsi="Cambria"/>
          <w:bCs/>
          <w:sz w:val="20"/>
          <w:szCs w:val="20"/>
        </w:rPr>
        <w:t>They indicate that on October 21, 2008, the Labor Chamber of the Supreme Court of Justice ruled on the case of Mr. Tito Julio Villamil Sánchez, another employee of ALMADELCO S.</w:t>
      </w:r>
      <w:r w:rsidR="00710136">
        <w:rPr>
          <w:rFonts w:ascii="Cambria" w:hAnsi="Cambria"/>
          <w:bCs/>
          <w:sz w:val="20"/>
          <w:szCs w:val="20"/>
        </w:rPr>
        <w:t xml:space="preserve"> </w:t>
      </w:r>
      <w:r w:rsidRPr="00DF4119">
        <w:rPr>
          <w:rFonts w:ascii="Cambria" w:hAnsi="Cambria"/>
          <w:bCs/>
          <w:sz w:val="20"/>
          <w:szCs w:val="20"/>
        </w:rPr>
        <w:t xml:space="preserve">A. who was granted </w:t>
      </w:r>
      <w:r w:rsidR="00854478">
        <w:rPr>
          <w:rFonts w:ascii="Cambria" w:hAnsi="Cambria"/>
          <w:bCs/>
          <w:sz w:val="20"/>
          <w:szCs w:val="20"/>
        </w:rPr>
        <w:t>the</w:t>
      </w:r>
      <w:r w:rsidRPr="00DF4119">
        <w:rPr>
          <w:rFonts w:ascii="Cambria" w:hAnsi="Cambria"/>
          <w:bCs/>
          <w:sz w:val="20"/>
          <w:szCs w:val="20"/>
        </w:rPr>
        <w:t xml:space="preserve"> pension plan applicable </w:t>
      </w:r>
      <w:r w:rsidR="00135E96">
        <w:rPr>
          <w:rFonts w:ascii="Cambria" w:hAnsi="Cambria"/>
          <w:bCs/>
          <w:sz w:val="20"/>
          <w:szCs w:val="20"/>
        </w:rPr>
        <w:t>to</w:t>
      </w:r>
      <w:r w:rsidRPr="00DF4119">
        <w:rPr>
          <w:rFonts w:ascii="Cambria" w:hAnsi="Cambria"/>
          <w:bCs/>
          <w:sz w:val="20"/>
          <w:szCs w:val="20"/>
        </w:rPr>
        <w:t xml:space="preserve"> </w:t>
      </w:r>
      <w:r w:rsidR="00135E96">
        <w:rPr>
          <w:rFonts w:ascii="Cambria" w:hAnsi="Cambria"/>
          <w:bCs/>
          <w:sz w:val="20"/>
          <w:szCs w:val="20"/>
        </w:rPr>
        <w:t>public-sector</w:t>
      </w:r>
      <w:r w:rsidRPr="00DF4119">
        <w:rPr>
          <w:rFonts w:ascii="Cambria" w:hAnsi="Cambria"/>
          <w:bCs/>
          <w:sz w:val="20"/>
          <w:szCs w:val="20"/>
        </w:rPr>
        <w:t xml:space="preserve"> </w:t>
      </w:r>
      <w:r w:rsidR="00854478">
        <w:rPr>
          <w:rFonts w:ascii="Cambria" w:hAnsi="Cambria"/>
          <w:bCs/>
          <w:sz w:val="20"/>
          <w:szCs w:val="20"/>
        </w:rPr>
        <w:t>employees</w:t>
      </w:r>
      <w:r w:rsidRPr="00DF4119">
        <w:rPr>
          <w:rFonts w:ascii="Cambria" w:hAnsi="Cambria"/>
          <w:bCs/>
          <w:sz w:val="20"/>
          <w:szCs w:val="20"/>
        </w:rPr>
        <w:t xml:space="preserve">, although he </w:t>
      </w:r>
      <w:r w:rsidR="00F4459C">
        <w:rPr>
          <w:rFonts w:ascii="Cambria" w:hAnsi="Cambria"/>
          <w:bCs/>
          <w:sz w:val="20"/>
          <w:szCs w:val="20"/>
        </w:rPr>
        <w:t>and the alleged victims had been</w:t>
      </w:r>
      <w:r w:rsidRPr="00DF4119">
        <w:rPr>
          <w:rFonts w:ascii="Cambria" w:hAnsi="Cambria"/>
          <w:bCs/>
          <w:sz w:val="20"/>
          <w:szCs w:val="20"/>
        </w:rPr>
        <w:t xml:space="preserve"> </w:t>
      </w:r>
      <w:r w:rsidR="00F4459C">
        <w:rPr>
          <w:rFonts w:ascii="Cambria" w:hAnsi="Cambria"/>
          <w:bCs/>
          <w:sz w:val="20"/>
          <w:szCs w:val="20"/>
        </w:rPr>
        <w:t>in the</w:t>
      </w:r>
      <w:r w:rsidRPr="00DF4119">
        <w:rPr>
          <w:rFonts w:ascii="Cambria" w:hAnsi="Cambria"/>
          <w:bCs/>
          <w:sz w:val="20"/>
          <w:szCs w:val="20"/>
        </w:rPr>
        <w:t xml:space="preserve"> same working conditions</w:t>
      </w:r>
      <w:r w:rsidR="00F4459C">
        <w:rPr>
          <w:rFonts w:ascii="Cambria" w:hAnsi="Cambria"/>
          <w:bCs/>
          <w:sz w:val="20"/>
          <w:szCs w:val="20"/>
        </w:rPr>
        <w:t>.</w:t>
      </w:r>
    </w:p>
    <w:p w:rsidR="006F432A" w:rsidRPr="00DF4119" w:rsidRDefault="00404317" w:rsidP="006F4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bCs/>
          <w:sz w:val="20"/>
          <w:szCs w:val="20"/>
        </w:rPr>
        <w:lastRenderedPageBreak/>
        <w:t xml:space="preserve">The petitioners submit that these </w:t>
      </w:r>
      <w:r w:rsidR="006F432A" w:rsidRPr="00DF4119">
        <w:rPr>
          <w:rFonts w:ascii="Cambria" w:hAnsi="Cambria"/>
          <w:bCs/>
          <w:sz w:val="20"/>
          <w:szCs w:val="20"/>
        </w:rPr>
        <w:t xml:space="preserve">facts violate Article 8 of the American Convention. They assert that the domestic remedies were exhausted by the </w:t>
      </w:r>
      <w:r w:rsidR="00252391" w:rsidRPr="00DF4119">
        <w:rPr>
          <w:rFonts w:ascii="Cambria" w:hAnsi="Cambria"/>
          <w:bCs/>
          <w:sz w:val="20"/>
          <w:szCs w:val="20"/>
        </w:rPr>
        <w:t>Constitutional Court</w:t>
      </w:r>
      <w:r w:rsidR="00252391">
        <w:rPr>
          <w:rFonts w:ascii="Cambria" w:hAnsi="Cambria"/>
          <w:bCs/>
          <w:sz w:val="20"/>
          <w:szCs w:val="20"/>
        </w:rPr>
        <w:t>’s</w:t>
      </w:r>
      <w:r w:rsidR="00252391" w:rsidRPr="00DF4119">
        <w:rPr>
          <w:rFonts w:ascii="Cambria" w:hAnsi="Cambria"/>
          <w:bCs/>
          <w:sz w:val="20"/>
          <w:szCs w:val="20"/>
        </w:rPr>
        <w:t xml:space="preserve"> </w:t>
      </w:r>
      <w:r w:rsidR="006F432A" w:rsidRPr="00DF4119">
        <w:rPr>
          <w:rFonts w:ascii="Cambria" w:hAnsi="Cambria"/>
          <w:bCs/>
          <w:sz w:val="20"/>
          <w:szCs w:val="20"/>
        </w:rPr>
        <w:t xml:space="preserve">decisions ruling not to </w:t>
      </w:r>
      <w:r w:rsidR="00FF7BBB">
        <w:rPr>
          <w:rFonts w:ascii="Cambria" w:hAnsi="Cambria"/>
          <w:bCs/>
          <w:sz w:val="20"/>
          <w:szCs w:val="20"/>
        </w:rPr>
        <w:t>review</w:t>
      </w:r>
      <w:r w:rsidR="006F432A" w:rsidRPr="00DF4119">
        <w:rPr>
          <w:rFonts w:ascii="Cambria" w:hAnsi="Cambria"/>
          <w:bCs/>
          <w:sz w:val="20"/>
          <w:szCs w:val="20"/>
        </w:rPr>
        <w:t xml:space="preserve"> the judgments on the appeals for legal prote</w:t>
      </w:r>
      <w:r w:rsidR="00FF7BBB">
        <w:rPr>
          <w:rFonts w:ascii="Cambria" w:hAnsi="Cambria"/>
          <w:bCs/>
          <w:sz w:val="20"/>
          <w:szCs w:val="20"/>
        </w:rPr>
        <w:t>ction</w:t>
      </w:r>
      <w:r w:rsidR="006F432A" w:rsidRPr="00DF4119">
        <w:rPr>
          <w:rFonts w:ascii="Cambria" w:hAnsi="Cambria"/>
          <w:bCs/>
          <w:sz w:val="20"/>
          <w:szCs w:val="20"/>
        </w:rPr>
        <w:t>. They also indicate that the petition was lodged within the six months following the date of notification of said decisions.</w:t>
      </w:r>
    </w:p>
    <w:p w:rsidR="006F432A" w:rsidRPr="00DF4119" w:rsidRDefault="006F432A" w:rsidP="006F4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4119">
        <w:rPr>
          <w:rFonts w:ascii="Cambria" w:hAnsi="Cambria"/>
          <w:sz w:val="20"/>
          <w:szCs w:val="20"/>
        </w:rPr>
        <w:t xml:space="preserve">The State, for its part, claims that the petition is untimely since the six-month period must be considered </w:t>
      </w:r>
      <w:r w:rsidR="00FF7BBB">
        <w:rPr>
          <w:rFonts w:ascii="Cambria" w:hAnsi="Cambria"/>
          <w:sz w:val="20"/>
          <w:szCs w:val="20"/>
        </w:rPr>
        <w:t>as of</w:t>
      </w:r>
      <w:r w:rsidRPr="00DF4119">
        <w:rPr>
          <w:rFonts w:ascii="Cambria" w:hAnsi="Cambria"/>
          <w:sz w:val="20"/>
          <w:szCs w:val="20"/>
        </w:rPr>
        <w:t xml:space="preserve"> the dates of notification of the decisions by the Labor Court of Appeals of the Supreme Court of Justice, since the filing of the appeal for legal protection was aimed at extending the period for presenting the petition to the IACHR. In this regard, it also submits that the appeals for the protection of fundamental rights did not meet the requirement of immediacy. In addition, the State alleges that the petitioners intend to have the Commission work as a court of appeals, as they only express their objection to the domestic resolutions. </w:t>
      </w:r>
      <w:r w:rsidR="00755E43">
        <w:rPr>
          <w:rFonts w:ascii="Cambria" w:hAnsi="Cambria"/>
          <w:sz w:val="20"/>
          <w:szCs w:val="20"/>
        </w:rPr>
        <w:t>Lastly</w:t>
      </w:r>
      <w:r w:rsidRPr="00DF4119">
        <w:rPr>
          <w:rFonts w:ascii="Cambria" w:hAnsi="Cambria"/>
          <w:sz w:val="20"/>
          <w:szCs w:val="20"/>
        </w:rPr>
        <w:t xml:space="preserve">, the State </w:t>
      </w:r>
      <w:r w:rsidR="00755E43">
        <w:rPr>
          <w:rFonts w:ascii="Cambria" w:hAnsi="Cambria"/>
          <w:sz w:val="20"/>
          <w:szCs w:val="20"/>
        </w:rPr>
        <w:t>indicates</w:t>
      </w:r>
      <w:r w:rsidRPr="00DF4119">
        <w:rPr>
          <w:rFonts w:ascii="Cambria" w:hAnsi="Cambria"/>
          <w:sz w:val="20"/>
          <w:szCs w:val="20"/>
        </w:rPr>
        <w:t xml:space="preserve"> that the facts described in the petition do not e</w:t>
      </w:r>
      <w:r w:rsidR="0004229A">
        <w:rPr>
          <w:rFonts w:ascii="Cambria" w:hAnsi="Cambria"/>
          <w:sz w:val="20"/>
          <w:szCs w:val="20"/>
        </w:rPr>
        <w:t>s</w:t>
      </w:r>
      <w:r w:rsidRPr="00DF4119">
        <w:rPr>
          <w:rFonts w:ascii="Cambria" w:hAnsi="Cambria"/>
          <w:sz w:val="20"/>
          <w:szCs w:val="20"/>
        </w:rPr>
        <w:t xml:space="preserve">tablish violations of the American Convention. It affirms that although the alleged victims were not granted </w:t>
      </w:r>
      <w:r w:rsidR="00E77E74">
        <w:rPr>
          <w:rFonts w:ascii="Cambria" w:hAnsi="Cambria"/>
          <w:sz w:val="20"/>
          <w:szCs w:val="20"/>
        </w:rPr>
        <w:t xml:space="preserve">the </w:t>
      </w:r>
      <w:r w:rsidRPr="00DF4119">
        <w:rPr>
          <w:rFonts w:ascii="Cambria" w:hAnsi="Cambria"/>
          <w:sz w:val="20"/>
          <w:szCs w:val="20"/>
        </w:rPr>
        <w:t>pensio</w:t>
      </w:r>
      <w:r w:rsidR="00E77E74">
        <w:rPr>
          <w:rFonts w:ascii="Cambria" w:hAnsi="Cambria"/>
          <w:sz w:val="20"/>
          <w:szCs w:val="20"/>
        </w:rPr>
        <w:t>n plan</w:t>
      </w:r>
      <w:r w:rsidRPr="00DF4119">
        <w:rPr>
          <w:rFonts w:ascii="Cambria" w:hAnsi="Cambria"/>
          <w:sz w:val="20"/>
          <w:szCs w:val="20"/>
        </w:rPr>
        <w:t xml:space="preserve"> </w:t>
      </w:r>
      <w:r w:rsidR="0004229A">
        <w:rPr>
          <w:rFonts w:ascii="Cambria" w:hAnsi="Cambria"/>
          <w:sz w:val="20"/>
          <w:szCs w:val="20"/>
        </w:rPr>
        <w:t>applicable to</w:t>
      </w:r>
      <w:r w:rsidRPr="00DF4119">
        <w:rPr>
          <w:rFonts w:ascii="Cambria" w:hAnsi="Cambria"/>
          <w:sz w:val="20"/>
          <w:szCs w:val="20"/>
        </w:rPr>
        <w:t xml:space="preserve"> </w:t>
      </w:r>
      <w:r w:rsidR="0004229A">
        <w:rPr>
          <w:rFonts w:ascii="Cambria" w:hAnsi="Cambria"/>
          <w:sz w:val="20"/>
          <w:szCs w:val="20"/>
        </w:rPr>
        <w:t>public-sector</w:t>
      </w:r>
      <w:r w:rsidRPr="00DF4119">
        <w:rPr>
          <w:rFonts w:ascii="Cambria" w:hAnsi="Cambria"/>
          <w:sz w:val="20"/>
          <w:szCs w:val="20"/>
        </w:rPr>
        <w:t xml:space="preserve"> employees, they were able to access the general pension plan</w:t>
      </w:r>
      <w:r w:rsidR="00755E43">
        <w:rPr>
          <w:rFonts w:ascii="Cambria" w:hAnsi="Cambria"/>
          <w:sz w:val="20"/>
          <w:szCs w:val="20"/>
        </w:rPr>
        <w:t>.</w:t>
      </w:r>
    </w:p>
    <w:p w:rsidR="006F432A" w:rsidRPr="00DF4119" w:rsidRDefault="006F432A" w:rsidP="006F4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4119">
        <w:rPr>
          <w:rFonts w:ascii="Cambria" w:hAnsi="Cambria"/>
          <w:sz w:val="20"/>
          <w:szCs w:val="20"/>
        </w:rPr>
        <w:t xml:space="preserve">Basically, as regards the petitioners' argument </w:t>
      </w:r>
      <w:r w:rsidR="00755E43">
        <w:rPr>
          <w:rFonts w:ascii="Cambria" w:hAnsi="Cambria"/>
          <w:sz w:val="20"/>
          <w:szCs w:val="20"/>
        </w:rPr>
        <w:t>about</w:t>
      </w:r>
      <w:r w:rsidRPr="00DF4119">
        <w:rPr>
          <w:rFonts w:ascii="Cambria" w:hAnsi="Cambria"/>
          <w:sz w:val="20"/>
          <w:szCs w:val="20"/>
        </w:rPr>
        <w:t xml:space="preserve"> the different results in the judgments by the Labor Chamber of the Supreme Court of Justice concerning the alleged victims' cases and the cases of Mr. Urbano and Mr. Villamil, the State submits that these did not amount to a change in the jurisprudence because the factual hypotheses, though similar, were not identical to those of the alleged victims</w:t>
      </w:r>
      <w:r w:rsidR="00446D06">
        <w:rPr>
          <w:rFonts w:ascii="Cambria" w:hAnsi="Cambria"/>
          <w:sz w:val="20"/>
          <w:szCs w:val="20"/>
        </w:rPr>
        <w:t xml:space="preserve"> –a</w:t>
      </w:r>
      <w:r w:rsidR="00787435">
        <w:rPr>
          <w:rFonts w:ascii="Cambria" w:hAnsi="Cambria"/>
          <w:sz w:val="20"/>
          <w:szCs w:val="20"/>
        </w:rPr>
        <w:t>t</w:t>
      </w:r>
      <w:r w:rsidRPr="00DF4119">
        <w:rPr>
          <w:rFonts w:ascii="Cambria" w:hAnsi="Cambria"/>
          <w:sz w:val="20"/>
          <w:szCs w:val="20"/>
        </w:rPr>
        <w:t xml:space="preserve"> the admissibility stage, the State did not specify how the factual hypotheses differ from one another. Moreover, it asserts that even if the hypotheses were identical, under no circumstances should a legitimate change in the jurisprudence cause that the legal judgment in which it is contained be considered contrary to the provisions of the Convention. The State submits that changes in the jurisprudence are admissible in any legal framework, and that otherwise there would be an irrational obstruction in the evolution of law.</w:t>
      </w:r>
    </w:p>
    <w:p w:rsidR="006F432A" w:rsidRPr="00DF4119" w:rsidRDefault="006F432A" w:rsidP="006F432A">
      <w:pPr>
        <w:spacing w:before="240" w:after="240"/>
        <w:ind w:firstLine="720"/>
        <w:jc w:val="both"/>
        <w:rPr>
          <w:rFonts w:ascii="Cambria" w:hAnsi="Cambria"/>
          <w:sz w:val="20"/>
          <w:szCs w:val="20"/>
        </w:rPr>
      </w:pPr>
      <w:r w:rsidRPr="00DF4119">
        <w:rPr>
          <w:rFonts w:asciiTheme="majorHAnsi" w:eastAsia="Cambria" w:hAnsiTheme="majorHAnsi" w:cs="Cambria"/>
          <w:b/>
          <w:bCs/>
          <w:color w:val="000000"/>
          <w:sz w:val="20"/>
          <w:szCs w:val="20"/>
          <w:u w:color="000000"/>
          <w:lang w:eastAsia="es-ES"/>
        </w:rPr>
        <w:t>VI.</w:t>
      </w:r>
      <w:r w:rsidRPr="00DF4119">
        <w:rPr>
          <w:rFonts w:asciiTheme="majorHAnsi" w:eastAsia="Cambria" w:hAnsiTheme="majorHAnsi" w:cs="Cambria"/>
          <w:b/>
          <w:bCs/>
          <w:color w:val="000000"/>
          <w:sz w:val="20"/>
          <w:szCs w:val="20"/>
          <w:u w:color="000000"/>
          <w:lang w:eastAsia="es-ES"/>
        </w:rPr>
        <w:tab/>
      </w:r>
      <w:r w:rsidRPr="00DF4119">
        <w:rPr>
          <w:rFonts w:asciiTheme="majorHAnsi" w:hAnsiTheme="majorHAnsi"/>
          <w:b/>
          <w:sz w:val="20"/>
          <w:szCs w:val="20"/>
        </w:rPr>
        <w:t>EXHAUSTION OF DOMESTIC REMEDIES AND TIMELINESS OF THE PETITION</w:t>
      </w:r>
      <w:r w:rsidRPr="00DF4119">
        <w:rPr>
          <w:rFonts w:asciiTheme="majorHAnsi" w:eastAsia="Cambria" w:hAnsiTheme="majorHAnsi" w:cs="Cambria"/>
          <w:b/>
          <w:bCs/>
          <w:color w:val="000000"/>
          <w:sz w:val="20"/>
          <w:szCs w:val="20"/>
          <w:u w:color="000000"/>
          <w:lang w:eastAsia="es-ES"/>
        </w:rPr>
        <w:t xml:space="preserve"> </w:t>
      </w:r>
    </w:p>
    <w:p w:rsidR="006F432A" w:rsidRPr="00DF4119" w:rsidRDefault="00B6197D" w:rsidP="006F4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According to</w:t>
      </w:r>
      <w:r w:rsidR="006F432A" w:rsidRPr="00DF4119">
        <w:rPr>
          <w:rFonts w:asciiTheme="majorHAnsi" w:hAnsiTheme="majorHAnsi"/>
          <w:sz w:val="20"/>
          <w:szCs w:val="20"/>
        </w:rPr>
        <w:t xml:space="preserve"> the facts denounced by the petitioners, the fact that gave rise to this petition was not the judgment that the Labor Chamber of the Supreme Court of Justice issued in each one o</w:t>
      </w:r>
      <w:r>
        <w:rPr>
          <w:rFonts w:asciiTheme="majorHAnsi" w:hAnsiTheme="majorHAnsi"/>
          <w:sz w:val="20"/>
          <w:szCs w:val="20"/>
        </w:rPr>
        <w:t>f the labor proceedings, but its judgment</w:t>
      </w:r>
      <w:r w:rsidR="00F4422F">
        <w:rPr>
          <w:rFonts w:asciiTheme="majorHAnsi" w:hAnsiTheme="majorHAnsi"/>
          <w:sz w:val="20"/>
          <w:szCs w:val="20"/>
        </w:rPr>
        <w:t xml:space="preserve"> </w:t>
      </w:r>
      <w:r w:rsidR="006F432A" w:rsidRPr="00DF4119">
        <w:rPr>
          <w:rFonts w:asciiTheme="majorHAnsi" w:hAnsiTheme="majorHAnsi"/>
          <w:sz w:val="20"/>
          <w:szCs w:val="20"/>
        </w:rPr>
        <w:t xml:space="preserve">issued in the case of Mr. Urbano on June 28, 2006, which </w:t>
      </w:r>
      <w:r w:rsidR="00904E38">
        <w:rPr>
          <w:rFonts w:asciiTheme="majorHAnsi" w:hAnsiTheme="majorHAnsi"/>
          <w:sz w:val="20"/>
          <w:szCs w:val="20"/>
        </w:rPr>
        <w:t>they</w:t>
      </w:r>
      <w:r w:rsidR="006F432A" w:rsidRPr="00DF4119">
        <w:rPr>
          <w:rFonts w:asciiTheme="majorHAnsi" w:hAnsiTheme="majorHAnsi"/>
          <w:sz w:val="20"/>
          <w:szCs w:val="20"/>
        </w:rPr>
        <w:t xml:space="preserve"> considered </w:t>
      </w:r>
      <w:r w:rsidR="00904E38">
        <w:rPr>
          <w:rFonts w:asciiTheme="majorHAnsi" w:hAnsiTheme="majorHAnsi"/>
          <w:sz w:val="20"/>
          <w:szCs w:val="20"/>
        </w:rPr>
        <w:t xml:space="preserve">was </w:t>
      </w:r>
      <w:r w:rsidR="006F432A" w:rsidRPr="00DF4119">
        <w:rPr>
          <w:rFonts w:asciiTheme="majorHAnsi" w:hAnsiTheme="majorHAnsi"/>
          <w:sz w:val="20"/>
          <w:szCs w:val="20"/>
        </w:rPr>
        <w:t>an act of unequal treatment with respect to the right to social security. In this regard, the Commission believes that, if there was a</w:t>
      </w:r>
      <w:r w:rsidR="005335F9">
        <w:rPr>
          <w:rFonts w:asciiTheme="majorHAnsi" w:hAnsiTheme="majorHAnsi"/>
          <w:sz w:val="20"/>
          <w:szCs w:val="20"/>
        </w:rPr>
        <w:t>n</w:t>
      </w:r>
      <w:r w:rsidR="006F432A" w:rsidRPr="00DF4119">
        <w:rPr>
          <w:rFonts w:asciiTheme="majorHAnsi" w:hAnsiTheme="majorHAnsi"/>
          <w:sz w:val="20"/>
          <w:szCs w:val="20"/>
        </w:rPr>
        <w:t xml:space="preserve"> act that violated the right</w:t>
      </w:r>
      <w:r w:rsidR="00F4422F">
        <w:rPr>
          <w:rFonts w:asciiTheme="majorHAnsi" w:hAnsiTheme="majorHAnsi"/>
          <w:sz w:val="20"/>
          <w:szCs w:val="20"/>
        </w:rPr>
        <w:t>s</w:t>
      </w:r>
      <w:r w:rsidR="006F432A" w:rsidRPr="00DF4119">
        <w:rPr>
          <w:rFonts w:asciiTheme="majorHAnsi" w:hAnsiTheme="majorHAnsi"/>
          <w:sz w:val="20"/>
          <w:szCs w:val="20"/>
        </w:rPr>
        <w:t xml:space="preserve"> to due process, equal protection, social security and wor</w:t>
      </w:r>
      <w:r w:rsidR="00904E38">
        <w:rPr>
          <w:rFonts w:asciiTheme="majorHAnsi" w:hAnsiTheme="majorHAnsi"/>
          <w:sz w:val="20"/>
          <w:szCs w:val="20"/>
        </w:rPr>
        <w:t>k, the remedy through which the petitioners</w:t>
      </w:r>
      <w:r w:rsidR="006F432A" w:rsidRPr="00DF4119">
        <w:rPr>
          <w:rFonts w:asciiTheme="majorHAnsi" w:hAnsiTheme="majorHAnsi"/>
          <w:sz w:val="20"/>
          <w:szCs w:val="20"/>
        </w:rPr>
        <w:t xml:space="preserve"> could have had the judgments overturned was an appeal for legal protection, which was duly exhausted. As to the State's argument that the filing of the appeals for legal protection </w:t>
      </w:r>
      <w:r w:rsidR="00453D79" w:rsidRPr="00DF4119">
        <w:rPr>
          <w:rFonts w:asciiTheme="majorHAnsi" w:hAnsiTheme="majorHAnsi"/>
          <w:sz w:val="20"/>
          <w:szCs w:val="20"/>
        </w:rPr>
        <w:t xml:space="preserve">allegedly </w:t>
      </w:r>
      <w:r w:rsidR="006F432A" w:rsidRPr="00DF4119">
        <w:rPr>
          <w:rFonts w:asciiTheme="majorHAnsi" w:hAnsiTheme="majorHAnsi"/>
          <w:sz w:val="20"/>
          <w:szCs w:val="20"/>
        </w:rPr>
        <w:t>did not meet the requirement</w:t>
      </w:r>
      <w:r w:rsidR="001E4D3F">
        <w:rPr>
          <w:rFonts w:asciiTheme="majorHAnsi" w:hAnsiTheme="majorHAnsi"/>
          <w:sz w:val="20"/>
          <w:szCs w:val="20"/>
        </w:rPr>
        <w:t xml:space="preserve"> of </w:t>
      </w:r>
      <w:r w:rsidR="001E4D3F" w:rsidRPr="00DF4119">
        <w:rPr>
          <w:rFonts w:asciiTheme="majorHAnsi" w:hAnsiTheme="majorHAnsi"/>
          <w:sz w:val="20"/>
          <w:szCs w:val="20"/>
        </w:rPr>
        <w:t>immediacy</w:t>
      </w:r>
      <w:r w:rsidR="006F432A" w:rsidRPr="00DF4119">
        <w:rPr>
          <w:rFonts w:asciiTheme="majorHAnsi" w:hAnsiTheme="majorHAnsi"/>
          <w:sz w:val="20"/>
          <w:szCs w:val="20"/>
        </w:rPr>
        <w:t xml:space="preserve">, the Commission </w:t>
      </w:r>
      <w:r w:rsidR="006F432A" w:rsidRPr="00352374">
        <w:rPr>
          <w:rFonts w:asciiTheme="majorHAnsi" w:hAnsiTheme="majorHAnsi"/>
          <w:i/>
          <w:sz w:val="20"/>
          <w:szCs w:val="20"/>
        </w:rPr>
        <w:t>prima facie</w:t>
      </w:r>
      <w:r w:rsidR="006F432A" w:rsidRPr="00DF4119">
        <w:rPr>
          <w:rFonts w:asciiTheme="majorHAnsi" w:hAnsiTheme="majorHAnsi"/>
          <w:sz w:val="20"/>
          <w:szCs w:val="20"/>
        </w:rPr>
        <w:t xml:space="preserve"> notes that, according to the case file, that was not the reaso</w:t>
      </w:r>
      <w:r w:rsidR="0012140B">
        <w:rPr>
          <w:rFonts w:asciiTheme="majorHAnsi" w:hAnsiTheme="majorHAnsi"/>
          <w:sz w:val="20"/>
          <w:szCs w:val="20"/>
        </w:rPr>
        <w:t>n why the legal actions were fou</w:t>
      </w:r>
      <w:r w:rsidR="006F432A" w:rsidRPr="00DF4119">
        <w:rPr>
          <w:rFonts w:asciiTheme="majorHAnsi" w:hAnsiTheme="majorHAnsi"/>
          <w:sz w:val="20"/>
          <w:szCs w:val="20"/>
        </w:rPr>
        <w:t>nd inadmissible. Based on the foregoing, the Commission believes that in this case the domestic remedies were pursued and exhausted pursuant to Article 46.1.a of the American Convention and Article 31.1 of the Rules.</w:t>
      </w:r>
    </w:p>
    <w:p w:rsidR="006F432A" w:rsidRPr="00DF4119" w:rsidRDefault="00065183" w:rsidP="006F4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As</w:t>
      </w:r>
      <w:r w:rsidR="006F432A" w:rsidRPr="00DF4119">
        <w:rPr>
          <w:rFonts w:asciiTheme="majorHAnsi" w:hAnsiTheme="majorHAnsi"/>
          <w:sz w:val="20"/>
          <w:szCs w:val="20"/>
        </w:rPr>
        <w:t xml:space="preserve"> to the requirement of timeliness, the petition was lodged on January 11, 2008, within the six months following the date on which the alleged victims were notified of the </w:t>
      </w:r>
      <w:r w:rsidRPr="00DF4119">
        <w:rPr>
          <w:rFonts w:asciiTheme="majorHAnsi" w:hAnsiTheme="majorHAnsi"/>
          <w:sz w:val="20"/>
          <w:szCs w:val="20"/>
        </w:rPr>
        <w:t xml:space="preserve">Constitutional Court's </w:t>
      </w:r>
      <w:r w:rsidR="006F432A" w:rsidRPr="00DF4119">
        <w:rPr>
          <w:rFonts w:asciiTheme="majorHAnsi" w:hAnsiTheme="majorHAnsi"/>
          <w:sz w:val="20"/>
          <w:szCs w:val="20"/>
        </w:rPr>
        <w:t xml:space="preserve">resolutions </w:t>
      </w:r>
      <w:r>
        <w:rPr>
          <w:rFonts w:asciiTheme="majorHAnsi" w:hAnsiTheme="majorHAnsi"/>
          <w:sz w:val="20"/>
          <w:szCs w:val="20"/>
        </w:rPr>
        <w:t>of</w:t>
      </w:r>
      <w:r w:rsidR="006F432A" w:rsidRPr="00DF4119">
        <w:rPr>
          <w:rFonts w:asciiTheme="majorHAnsi" w:hAnsiTheme="majorHAnsi"/>
          <w:sz w:val="20"/>
          <w:szCs w:val="20"/>
        </w:rPr>
        <w:t xml:space="preserve"> not </w:t>
      </w:r>
      <w:r w:rsidR="00194DDE">
        <w:rPr>
          <w:rFonts w:asciiTheme="majorHAnsi" w:hAnsiTheme="majorHAnsi"/>
          <w:sz w:val="20"/>
          <w:szCs w:val="20"/>
        </w:rPr>
        <w:t>choosing their cases for review</w:t>
      </w:r>
      <w:r w:rsidR="006F432A" w:rsidRPr="00DF4119">
        <w:rPr>
          <w:rFonts w:asciiTheme="majorHAnsi" w:hAnsiTheme="majorHAnsi"/>
          <w:sz w:val="20"/>
          <w:szCs w:val="20"/>
        </w:rPr>
        <w:t xml:space="preserve">, </w:t>
      </w:r>
      <w:r w:rsidR="00D22150">
        <w:rPr>
          <w:rFonts w:asciiTheme="majorHAnsi" w:hAnsiTheme="majorHAnsi"/>
          <w:sz w:val="20"/>
          <w:szCs w:val="20"/>
        </w:rPr>
        <w:t>i.e.</w:t>
      </w:r>
      <w:r w:rsidR="006F432A" w:rsidRPr="00DF4119">
        <w:rPr>
          <w:rFonts w:asciiTheme="majorHAnsi" w:hAnsiTheme="majorHAnsi"/>
          <w:sz w:val="20"/>
          <w:szCs w:val="20"/>
        </w:rPr>
        <w:t xml:space="preserve"> July 11, 2007, in the case of Mr. Lizarralde and Mr. Olaya, and August 14, 2007, in the case of Ms. López. Therefore, the Commission finds that this petition meets the requirement set forth in Article 46.1.b of the Convention and </w:t>
      </w:r>
      <w:r w:rsidR="00EA4033">
        <w:rPr>
          <w:rFonts w:asciiTheme="majorHAnsi" w:hAnsiTheme="majorHAnsi"/>
          <w:sz w:val="20"/>
          <w:szCs w:val="20"/>
        </w:rPr>
        <w:t xml:space="preserve">Article </w:t>
      </w:r>
      <w:r w:rsidR="006F432A" w:rsidRPr="00DF4119">
        <w:rPr>
          <w:rFonts w:asciiTheme="majorHAnsi" w:hAnsiTheme="majorHAnsi"/>
          <w:sz w:val="20"/>
          <w:szCs w:val="20"/>
        </w:rPr>
        <w:t xml:space="preserve">32.1 of </w:t>
      </w:r>
      <w:r w:rsidR="00D27465">
        <w:rPr>
          <w:rFonts w:asciiTheme="majorHAnsi" w:hAnsiTheme="majorHAnsi"/>
          <w:sz w:val="20"/>
          <w:szCs w:val="20"/>
        </w:rPr>
        <w:t>its</w:t>
      </w:r>
      <w:r w:rsidR="006F432A" w:rsidRPr="00DF4119">
        <w:rPr>
          <w:rFonts w:asciiTheme="majorHAnsi" w:hAnsiTheme="majorHAnsi"/>
          <w:sz w:val="20"/>
          <w:szCs w:val="20"/>
        </w:rPr>
        <w:t xml:space="preserve"> Rules.</w:t>
      </w:r>
    </w:p>
    <w:p w:rsidR="006F432A" w:rsidRPr="00DF4119" w:rsidRDefault="006F432A" w:rsidP="006F432A">
      <w:pPr>
        <w:pStyle w:val="ListParagraph"/>
        <w:spacing w:before="240" w:after="240"/>
        <w:jc w:val="both"/>
        <w:rPr>
          <w:rFonts w:asciiTheme="majorHAnsi" w:hAnsiTheme="majorHAnsi"/>
          <w:b/>
          <w:sz w:val="20"/>
          <w:szCs w:val="20"/>
        </w:rPr>
      </w:pPr>
      <w:r w:rsidRPr="00DF4119">
        <w:rPr>
          <w:rFonts w:asciiTheme="majorHAnsi" w:hAnsiTheme="majorHAnsi"/>
          <w:b/>
          <w:bCs/>
          <w:sz w:val="20"/>
          <w:szCs w:val="20"/>
        </w:rPr>
        <w:t>VII.</w:t>
      </w:r>
      <w:r w:rsidRPr="00DF4119">
        <w:rPr>
          <w:rFonts w:asciiTheme="majorHAnsi" w:hAnsiTheme="majorHAnsi"/>
          <w:b/>
          <w:bCs/>
          <w:sz w:val="20"/>
          <w:szCs w:val="20"/>
        </w:rPr>
        <w:tab/>
        <w:t>COLORABLE CLAIM</w:t>
      </w:r>
    </w:p>
    <w:p w:rsidR="006F432A" w:rsidRPr="003225CA" w:rsidRDefault="006F432A" w:rsidP="006F432A">
      <w:pPr>
        <w:pStyle w:val="ListParagraph"/>
        <w:numPr>
          <w:ilvl w:val="0"/>
          <w:numId w:val="103"/>
        </w:numPr>
        <w:jc w:val="both"/>
        <w:rPr>
          <w:rFonts w:eastAsia="Arial Unicode MS" w:cs="Times New Roman"/>
          <w:bCs/>
          <w:color w:val="auto"/>
          <w:sz w:val="20"/>
          <w:szCs w:val="20"/>
          <w:lang w:eastAsia="en-US"/>
        </w:rPr>
      </w:pPr>
      <w:r w:rsidRPr="003225CA">
        <w:rPr>
          <w:rFonts w:eastAsia="Arial Unicode MS" w:cs="Times New Roman"/>
          <w:bCs/>
          <w:color w:val="auto"/>
          <w:sz w:val="20"/>
          <w:szCs w:val="20"/>
          <w:lang w:eastAsia="en-US"/>
        </w:rPr>
        <w:t xml:space="preserve">The petitioners submit that the </w:t>
      </w:r>
      <w:r w:rsidR="00D974A5" w:rsidRPr="003225CA">
        <w:rPr>
          <w:rFonts w:eastAsia="Arial Unicode MS" w:cs="Times New Roman"/>
          <w:bCs/>
          <w:color w:val="auto"/>
          <w:sz w:val="20"/>
          <w:szCs w:val="20"/>
          <w:lang w:eastAsia="en-US"/>
        </w:rPr>
        <w:t>judicial</w:t>
      </w:r>
      <w:r w:rsidRPr="003225CA">
        <w:rPr>
          <w:rFonts w:eastAsia="Arial Unicode MS" w:cs="Times New Roman"/>
          <w:bCs/>
          <w:color w:val="auto"/>
          <w:sz w:val="20"/>
          <w:szCs w:val="20"/>
          <w:lang w:eastAsia="en-US"/>
        </w:rPr>
        <w:t xml:space="preserve"> resolutions</w:t>
      </w:r>
      <w:r w:rsidR="00720A94" w:rsidRPr="003225CA">
        <w:rPr>
          <w:rFonts w:eastAsia="Arial Unicode MS" w:cs="Times New Roman"/>
          <w:bCs/>
          <w:color w:val="auto"/>
          <w:sz w:val="20"/>
          <w:szCs w:val="20"/>
          <w:lang w:eastAsia="en-US"/>
        </w:rPr>
        <w:t xml:space="preserve"> </w:t>
      </w:r>
      <w:r w:rsidR="00816FD4">
        <w:rPr>
          <w:rFonts w:eastAsia="Arial Unicode MS" w:cs="Times New Roman"/>
          <w:bCs/>
          <w:color w:val="auto"/>
          <w:sz w:val="20"/>
          <w:szCs w:val="20"/>
          <w:lang w:eastAsia="en-US"/>
        </w:rPr>
        <w:t>deprived them</w:t>
      </w:r>
      <w:r w:rsidRPr="003225CA">
        <w:rPr>
          <w:rFonts w:eastAsia="Arial Unicode MS" w:cs="Times New Roman"/>
          <w:bCs/>
          <w:color w:val="auto"/>
          <w:sz w:val="20"/>
          <w:szCs w:val="20"/>
          <w:lang w:eastAsia="en-US"/>
        </w:rPr>
        <w:t xml:space="preserve"> </w:t>
      </w:r>
      <w:r w:rsidR="00816FD4">
        <w:rPr>
          <w:rFonts w:eastAsia="Arial Unicode MS" w:cs="Times New Roman"/>
          <w:bCs/>
          <w:color w:val="auto"/>
          <w:sz w:val="20"/>
          <w:szCs w:val="20"/>
          <w:lang w:eastAsia="en-US"/>
        </w:rPr>
        <w:t>of</w:t>
      </w:r>
      <w:r w:rsidRPr="003225CA">
        <w:rPr>
          <w:rFonts w:eastAsia="Arial Unicode MS" w:cs="Times New Roman"/>
          <w:bCs/>
          <w:color w:val="auto"/>
          <w:sz w:val="20"/>
          <w:szCs w:val="20"/>
          <w:lang w:eastAsia="en-US"/>
        </w:rPr>
        <w:t xml:space="preserve"> the pension plan that </w:t>
      </w:r>
      <w:r w:rsidR="008236F3" w:rsidRPr="003225CA">
        <w:rPr>
          <w:rFonts w:eastAsia="Arial Unicode MS" w:cs="Times New Roman"/>
          <w:bCs/>
          <w:color w:val="auto"/>
          <w:sz w:val="20"/>
          <w:szCs w:val="20"/>
          <w:lang w:eastAsia="en-US"/>
        </w:rPr>
        <w:t>for</w:t>
      </w:r>
      <w:r w:rsidR="00720A94" w:rsidRPr="003225CA">
        <w:rPr>
          <w:rFonts w:eastAsia="Arial Unicode MS" w:cs="Times New Roman"/>
          <w:bCs/>
          <w:color w:val="auto"/>
          <w:sz w:val="20"/>
          <w:szCs w:val="20"/>
          <w:lang w:eastAsia="en-US"/>
        </w:rPr>
        <w:t xml:space="preserve"> over 20 years of work </w:t>
      </w:r>
      <w:r w:rsidR="008236F3" w:rsidRPr="003225CA">
        <w:rPr>
          <w:rFonts w:eastAsia="Arial Unicode MS" w:cs="Times New Roman"/>
          <w:bCs/>
          <w:color w:val="auto"/>
          <w:sz w:val="20"/>
          <w:szCs w:val="20"/>
          <w:lang w:eastAsia="en-US"/>
        </w:rPr>
        <w:t xml:space="preserve">had </w:t>
      </w:r>
      <w:r w:rsidRPr="003225CA">
        <w:rPr>
          <w:rFonts w:eastAsia="Arial Unicode MS" w:cs="Times New Roman"/>
          <w:bCs/>
          <w:color w:val="auto"/>
          <w:sz w:val="20"/>
          <w:szCs w:val="20"/>
          <w:lang w:eastAsia="en-US"/>
        </w:rPr>
        <w:t>appli</w:t>
      </w:r>
      <w:r w:rsidR="008363F8">
        <w:rPr>
          <w:rFonts w:eastAsia="Arial Unicode MS" w:cs="Times New Roman"/>
          <w:bCs/>
          <w:color w:val="auto"/>
          <w:sz w:val="20"/>
          <w:szCs w:val="20"/>
          <w:lang w:eastAsia="en-US"/>
        </w:rPr>
        <w:t>ed</w:t>
      </w:r>
      <w:r w:rsidRPr="003225CA">
        <w:rPr>
          <w:rFonts w:eastAsia="Arial Unicode MS" w:cs="Times New Roman"/>
          <w:bCs/>
          <w:color w:val="auto"/>
          <w:sz w:val="20"/>
          <w:szCs w:val="20"/>
          <w:lang w:eastAsia="en-US"/>
        </w:rPr>
        <w:t xml:space="preserve"> to them</w:t>
      </w:r>
      <w:r w:rsidR="008236F3" w:rsidRPr="003225CA">
        <w:rPr>
          <w:rFonts w:eastAsia="Arial Unicode MS" w:cs="Times New Roman"/>
          <w:bCs/>
          <w:color w:val="auto"/>
          <w:sz w:val="20"/>
          <w:szCs w:val="20"/>
          <w:lang w:eastAsia="en-US"/>
        </w:rPr>
        <w:t>,</w:t>
      </w:r>
      <w:r w:rsidRPr="003225CA">
        <w:rPr>
          <w:rFonts w:eastAsia="Arial Unicode MS" w:cs="Times New Roman"/>
          <w:bCs/>
          <w:color w:val="auto"/>
          <w:sz w:val="20"/>
          <w:szCs w:val="20"/>
          <w:lang w:eastAsia="en-US"/>
        </w:rPr>
        <w:t xml:space="preserve"> on the grounds that the de</w:t>
      </w:r>
      <w:r w:rsidR="008236F3" w:rsidRPr="003225CA">
        <w:rPr>
          <w:rFonts w:eastAsia="Arial Unicode MS" w:cs="Times New Roman"/>
          <w:bCs/>
          <w:color w:val="auto"/>
          <w:sz w:val="20"/>
          <w:szCs w:val="20"/>
          <w:lang w:eastAsia="en-US"/>
        </w:rPr>
        <w:t>cid</w:t>
      </w:r>
      <w:r w:rsidRPr="003225CA">
        <w:rPr>
          <w:rFonts w:eastAsia="Arial Unicode MS" w:cs="Times New Roman"/>
          <w:bCs/>
          <w:color w:val="auto"/>
          <w:sz w:val="20"/>
          <w:szCs w:val="20"/>
          <w:lang w:eastAsia="en-US"/>
        </w:rPr>
        <w:t xml:space="preserve">ing factor was the pension plan applicable at the termination date of their contract. They claim that later, with regard to people that worked at the same company and in the same conditions as the alleged victims had, the same Labor Chamber established the contrary, i.e. that the </w:t>
      </w:r>
      <w:r w:rsidR="00733B93" w:rsidRPr="003225CA">
        <w:rPr>
          <w:rFonts w:eastAsia="Arial Unicode MS" w:cs="Times New Roman"/>
          <w:bCs/>
          <w:color w:val="auto"/>
          <w:sz w:val="20"/>
          <w:szCs w:val="20"/>
          <w:lang w:eastAsia="en-US"/>
        </w:rPr>
        <w:t>deciding</w:t>
      </w:r>
      <w:r w:rsidRPr="003225CA">
        <w:rPr>
          <w:rFonts w:eastAsia="Arial Unicode MS" w:cs="Times New Roman"/>
          <w:bCs/>
          <w:color w:val="auto"/>
          <w:sz w:val="20"/>
          <w:szCs w:val="20"/>
          <w:lang w:eastAsia="en-US"/>
        </w:rPr>
        <w:t xml:space="preserve"> factor was the pension plan applicable </w:t>
      </w:r>
      <w:r w:rsidR="00B1221D">
        <w:rPr>
          <w:rFonts w:eastAsia="Arial Unicode MS" w:cs="Times New Roman"/>
          <w:bCs/>
          <w:color w:val="auto"/>
          <w:sz w:val="20"/>
          <w:szCs w:val="20"/>
          <w:lang w:eastAsia="en-US"/>
        </w:rPr>
        <w:t>throughout</w:t>
      </w:r>
      <w:r w:rsidRPr="003225CA">
        <w:rPr>
          <w:rFonts w:eastAsia="Arial Unicode MS" w:cs="Times New Roman"/>
          <w:bCs/>
          <w:color w:val="auto"/>
          <w:sz w:val="20"/>
          <w:szCs w:val="20"/>
          <w:lang w:eastAsia="en-US"/>
        </w:rPr>
        <w:t xml:space="preserve"> the time that they </w:t>
      </w:r>
      <w:r w:rsidR="00213B5B">
        <w:rPr>
          <w:rFonts w:eastAsia="Arial Unicode MS" w:cs="Times New Roman"/>
          <w:bCs/>
          <w:color w:val="auto"/>
          <w:sz w:val="20"/>
          <w:szCs w:val="20"/>
          <w:lang w:eastAsia="en-US"/>
        </w:rPr>
        <w:t xml:space="preserve">had </w:t>
      </w:r>
      <w:r w:rsidRPr="003225CA">
        <w:rPr>
          <w:rFonts w:eastAsia="Arial Unicode MS" w:cs="Times New Roman"/>
          <w:bCs/>
          <w:color w:val="auto"/>
          <w:sz w:val="20"/>
          <w:szCs w:val="20"/>
          <w:lang w:eastAsia="en-US"/>
        </w:rPr>
        <w:t xml:space="preserve">worked for the company, not </w:t>
      </w:r>
      <w:r w:rsidR="003225CA" w:rsidRPr="003225CA">
        <w:rPr>
          <w:rFonts w:eastAsia="Arial Unicode MS" w:cs="Times New Roman"/>
          <w:bCs/>
          <w:color w:val="auto"/>
          <w:sz w:val="20"/>
          <w:szCs w:val="20"/>
          <w:lang w:eastAsia="en-US"/>
        </w:rPr>
        <w:t xml:space="preserve">the plan in force </w:t>
      </w:r>
      <w:r w:rsidR="0038195F" w:rsidRPr="003225CA">
        <w:rPr>
          <w:rFonts w:eastAsia="Arial Unicode MS" w:cs="Times New Roman"/>
          <w:bCs/>
          <w:color w:val="auto"/>
          <w:sz w:val="20"/>
          <w:szCs w:val="20"/>
          <w:lang w:eastAsia="en-US"/>
        </w:rPr>
        <w:t xml:space="preserve">at </w:t>
      </w:r>
      <w:r w:rsidRPr="003225CA">
        <w:rPr>
          <w:rFonts w:eastAsia="Arial Unicode MS" w:cs="Times New Roman"/>
          <w:bCs/>
          <w:color w:val="auto"/>
          <w:sz w:val="20"/>
          <w:szCs w:val="20"/>
          <w:lang w:eastAsia="en-US"/>
        </w:rPr>
        <w:t xml:space="preserve">the termination date of the contract; and that workers cannot lose their benefits as a result of changes in the nature of the company. The State, for its part, </w:t>
      </w:r>
      <w:r w:rsidR="002128AA">
        <w:rPr>
          <w:rFonts w:eastAsia="Arial Unicode MS" w:cs="Times New Roman"/>
          <w:bCs/>
          <w:color w:val="auto"/>
          <w:sz w:val="20"/>
          <w:szCs w:val="20"/>
          <w:lang w:eastAsia="en-US"/>
        </w:rPr>
        <w:t>claims</w:t>
      </w:r>
      <w:r w:rsidRPr="003225CA">
        <w:rPr>
          <w:rFonts w:eastAsia="Arial Unicode MS" w:cs="Times New Roman"/>
          <w:bCs/>
          <w:color w:val="auto"/>
          <w:sz w:val="20"/>
          <w:szCs w:val="20"/>
          <w:lang w:eastAsia="en-US"/>
        </w:rPr>
        <w:t xml:space="preserve"> that the cases cited are not identical, though it does not specify how they differ from one another. And </w:t>
      </w:r>
      <w:r w:rsidRPr="003225CA">
        <w:rPr>
          <w:rFonts w:eastAsia="Arial Unicode MS" w:cs="Times New Roman"/>
          <w:bCs/>
          <w:color w:val="auto"/>
          <w:sz w:val="20"/>
          <w:szCs w:val="20"/>
          <w:lang w:eastAsia="en-US"/>
        </w:rPr>
        <w:lastRenderedPageBreak/>
        <w:t>it indicates that</w:t>
      </w:r>
      <w:r w:rsidR="00F84A16" w:rsidRPr="003225CA">
        <w:rPr>
          <w:rFonts w:eastAsia="Arial Unicode MS" w:cs="Times New Roman"/>
          <w:bCs/>
          <w:color w:val="auto"/>
          <w:sz w:val="20"/>
          <w:szCs w:val="20"/>
          <w:lang w:eastAsia="en-US"/>
        </w:rPr>
        <w:t xml:space="preserve"> changes in the jurisprudence are</w:t>
      </w:r>
      <w:r w:rsidRPr="003225CA">
        <w:rPr>
          <w:rFonts w:eastAsia="Arial Unicode MS" w:cs="Times New Roman"/>
          <w:bCs/>
          <w:color w:val="auto"/>
          <w:sz w:val="20"/>
          <w:szCs w:val="20"/>
          <w:lang w:eastAsia="en-US"/>
        </w:rPr>
        <w:t xml:space="preserve"> part of the evolution of the domestic legal framework and that it does not entail a human rights violation. The Commission believes that the present matter needs to be further analyzed </w:t>
      </w:r>
      <w:r w:rsidR="002128AA">
        <w:rPr>
          <w:rFonts w:eastAsia="Arial Unicode MS" w:cs="Times New Roman"/>
          <w:bCs/>
          <w:color w:val="auto"/>
          <w:sz w:val="20"/>
          <w:szCs w:val="20"/>
          <w:lang w:eastAsia="en-US"/>
        </w:rPr>
        <w:t>at</w:t>
      </w:r>
      <w:r w:rsidRPr="003225CA">
        <w:rPr>
          <w:rFonts w:eastAsia="Arial Unicode MS" w:cs="Times New Roman"/>
          <w:bCs/>
          <w:color w:val="auto"/>
          <w:sz w:val="20"/>
          <w:szCs w:val="20"/>
          <w:lang w:eastAsia="en-US"/>
        </w:rPr>
        <w:t xml:space="preserve"> the merits stage.</w:t>
      </w:r>
    </w:p>
    <w:p w:rsidR="006F432A" w:rsidRPr="00DF4119" w:rsidRDefault="006F432A" w:rsidP="006F432A">
      <w:pPr>
        <w:pStyle w:val="ListParagraph"/>
        <w:jc w:val="both"/>
        <w:rPr>
          <w:rFonts w:eastAsia="Arial Unicode MS" w:cs="Times New Roman"/>
          <w:bCs/>
          <w:color w:val="auto"/>
          <w:sz w:val="20"/>
          <w:szCs w:val="20"/>
          <w:lang w:eastAsia="en-US"/>
        </w:rPr>
      </w:pPr>
    </w:p>
    <w:p w:rsidR="006F432A" w:rsidRPr="00DF4119" w:rsidRDefault="006F432A" w:rsidP="006F432A">
      <w:pPr>
        <w:pStyle w:val="List"/>
        <w:numPr>
          <w:ilvl w:val="0"/>
          <w:numId w:val="103"/>
        </w:numPr>
        <w:spacing w:after="240"/>
        <w:jc w:val="both"/>
        <w:rPr>
          <w:rFonts w:ascii="Cambria" w:hAnsi="Cambria"/>
          <w:sz w:val="20"/>
          <w:szCs w:val="20"/>
          <w:lang w:val="en-US" w:eastAsia="en-US"/>
        </w:rPr>
      </w:pPr>
      <w:r w:rsidRPr="00DF4119">
        <w:rPr>
          <w:rFonts w:ascii="Cambria" w:hAnsi="Cambria"/>
          <w:sz w:val="20"/>
          <w:szCs w:val="20"/>
          <w:lang w:val="en-US"/>
        </w:rPr>
        <w:t xml:space="preserve">In view of the elements of fact and law presented by the parties, and the nature of the matter brought to it, the IACHR believes that, if proved, the facts denounced may establish violations of </w:t>
      </w:r>
      <w:r w:rsidR="008D4C81">
        <w:rPr>
          <w:rFonts w:ascii="Cambria" w:hAnsi="Cambria"/>
          <w:sz w:val="20"/>
          <w:szCs w:val="20"/>
          <w:lang w:val="en-US"/>
        </w:rPr>
        <w:t>Articles</w:t>
      </w:r>
      <w:r w:rsidRPr="00DF4119">
        <w:rPr>
          <w:rFonts w:ascii="Cambria" w:hAnsi="Cambria"/>
          <w:sz w:val="20"/>
          <w:szCs w:val="20"/>
          <w:lang w:val="en-US"/>
        </w:rPr>
        <w:t xml:space="preserve"> 8 (Fair Trial), 21 (Property), 24 (Equal Protection) and 25 (Judicial Protection) of the American Convention, in relation to </w:t>
      </w:r>
      <w:r w:rsidR="00352374">
        <w:rPr>
          <w:rFonts w:ascii="Cambria" w:hAnsi="Cambria"/>
          <w:sz w:val="20"/>
          <w:szCs w:val="20"/>
          <w:lang w:val="en-US"/>
        </w:rPr>
        <w:t>its</w:t>
      </w:r>
      <w:r w:rsidRPr="00DF4119">
        <w:rPr>
          <w:rFonts w:ascii="Cambria" w:hAnsi="Cambria"/>
          <w:sz w:val="20"/>
          <w:szCs w:val="20"/>
          <w:lang w:val="en-US"/>
        </w:rPr>
        <w:t xml:space="preserve"> Article 1.1 (Obligation to Respect Rights), to the detriment of the alleged victims. The Commission recalls that this requirement is a </w:t>
      </w:r>
      <w:r w:rsidRPr="00352374">
        <w:rPr>
          <w:rFonts w:ascii="Cambria" w:hAnsi="Cambria"/>
          <w:i/>
          <w:sz w:val="20"/>
          <w:szCs w:val="20"/>
          <w:lang w:val="en-US"/>
        </w:rPr>
        <w:t>prima facie</w:t>
      </w:r>
      <w:r w:rsidRPr="00DF4119">
        <w:rPr>
          <w:rFonts w:ascii="Cambria" w:hAnsi="Cambria"/>
          <w:sz w:val="20"/>
          <w:szCs w:val="20"/>
          <w:lang w:val="en-US"/>
        </w:rPr>
        <w:t xml:space="preserve"> analysis aimed at determining whether the facts described establish a possible violation of the rights enshrined in the American Convention or other applicable instruments, or are manifestly groundless or out of order. In this regard, the IACHR considers that the facts described are not groundless or out of order</w:t>
      </w:r>
      <w:r w:rsidR="0032172B">
        <w:rPr>
          <w:rFonts w:ascii="Cambria" w:hAnsi="Cambria"/>
          <w:sz w:val="20"/>
          <w:szCs w:val="20"/>
          <w:lang w:val="en-US"/>
        </w:rPr>
        <w:t>, and that at</w:t>
      </w:r>
      <w:r w:rsidRPr="00DF4119">
        <w:rPr>
          <w:rFonts w:ascii="Cambria" w:hAnsi="Cambria"/>
          <w:sz w:val="20"/>
          <w:szCs w:val="20"/>
          <w:lang w:val="en-US"/>
        </w:rPr>
        <w:t xml:space="preserve"> the merits stage, </w:t>
      </w:r>
      <w:r w:rsidR="00BA62CE">
        <w:rPr>
          <w:rFonts w:ascii="Cambria" w:hAnsi="Cambria"/>
          <w:sz w:val="20"/>
          <w:szCs w:val="20"/>
          <w:lang w:val="en-US"/>
        </w:rPr>
        <w:t>it</w:t>
      </w:r>
      <w:r w:rsidRPr="00DF4119">
        <w:rPr>
          <w:rFonts w:ascii="Cambria" w:hAnsi="Cambria"/>
          <w:sz w:val="20"/>
          <w:szCs w:val="20"/>
          <w:lang w:val="en-US"/>
        </w:rPr>
        <w:t xml:space="preserve"> will analyze the petitioners' arguments concerning the purported infringements of their right</w:t>
      </w:r>
      <w:r w:rsidR="00BA62CE">
        <w:rPr>
          <w:rFonts w:ascii="Cambria" w:hAnsi="Cambria"/>
          <w:sz w:val="20"/>
          <w:szCs w:val="20"/>
          <w:lang w:val="en-US"/>
        </w:rPr>
        <w:t>s</w:t>
      </w:r>
      <w:r w:rsidRPr="00DF4119">
        <w:rPr>
          <w:rFonts w:ascii="Cambria" w:hAnsi="Cambria"/>
          <w:sz w:val="20"/>
          <w:szCs w:val="20"/>
          <w:lang w:val="en-US"/>
        </w:rPr>
        <w:t xml:space="preserve"> to a fair trial and judicial protection, among others, due to the alleged application of a pension plan less beneficial than that </w:t>
      </w:r>
      <w:r w:rsidR="001D71DA">
        <w:rPr>
          <w:rFonts w:ascii="Cambria" w:hAnsi="Cambria"/>
          <w:sz w:val="20"/>
          <w:szCs w:val="20"/>
          <w:lang w:val="en-US"/>
        </w:rPr>
        <w:t>applicable to them</w:t>
      </w:r>
      <w:r w:rsidRPr="00DF4119">
        <w:rPr>
          <w:rFonts w:ascii="Cambria" w:hAnsi="Cambria"/>
          <w:sz w:val="20"/>
          <w:szCs w:val="20"/>
          <w:lang w:val="en-US"/>
        </w:rPr>
        <w:t>.</w:t>
      </w:r>
    </w:p>
    <w:p w:rsidR="006F432A" w:rsidRPr="00DF4119" w:rsidRDefault="006F432A" w:rsidP="006F432A">
      <w:pPr>
        <w:pStyle w:val="ListParagraph"/>
        <w:spacing w:before="240" w:after="240"/>
        <w:jc w:val="both"/>
        <w:rPr>
          <w:rFonts w:asciiTheme="majorHAnsi" w:hAnsiTheme="majorHAnsi"/>
          <w:b/>
          <w:bCs/>
          <w:sz w:val="20"/>
          <w:szCs w:val="20"/>
        </w:rPr>
      </w:pPr>
      <w:r w:rsidRPr="00DF4119">
        <w:rPr>
          <w:rFonts w:asciiTheme="majorHAnsi" w:hAnsiTheme="majorHAnsi"/>
          <w:b/>
          <w:bCs/>
          <w:sz w:val="20"/>
          <w:szCs w:val="20"/>
        </w:rPr>
        <w:t xml:space="preserve">VIII. </w:t>
      </w:r>
      <w:r w:rsidRPr="00DF4119">
        <w:rPr>
          <w:rFonts w:asciiTheme="majorHAnsi" w:hAnsiTheme="majorHAnsi"/>
          <w:b/>
          <w:bCs/>
          <w:sz w:val="20"/>
          <w:szCs w:val="20"/>
        </w:rPr>
        <w:tab/>
        <w:t>DECISION</w:t>
      </w:r>
    </w:p>
    <w:p w:rsidR="006F432A" w:rsidRPr="00DF4119" w:rsidRDefault="006F432A" w:rsidP="006F432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4119">
        <w:rPr>
          <w:rFonts w:asciiTheme="majorHAnsi" w:hAnsiTheme="majorHAnsi"/>
          <w:sz w:val="20"/>
          <w:szCs w:val="20"/>
        </w:rPr>
        <w:t xml:space="preserve">To declare the instant petition admissible in relation to Articles 8, 21, 24 and 25 of the American Convention on Human Rights, in relation to </w:t>
      </w:r>
      <w:r w:rsidR="00AC2EE9">
        <w:rPr>
          <w:rFonts w:asciiTheme="majorHAnsi" w:hAnsiTheme="majorHAnsi"/>
          <w:sz w:val="20"/>
          <w:szCs w:val="20"/>
        </w:rPr>
        <w:t xml:space="preserve">its </w:t>
      </w:r>
      <w:r w:rsidRPr="00DF4119">
        <w:rPr>
          <w:rFonts w:asciiTheme="majorHAnsi" w:hAnsiTheme="majorHAnsi"/>
          <w:sz w:val="20"/>
          <w:szCs w:val="20"/>
        </w:rPr>
        <w:t>Article 1.1;</w:t>
      </w:r>
    </w:p>
    <w:p w:rsidR="006F432A" w:rsidRPr="00DF4119" w:rsidRDefault="006F432A" w:rsidP="006F432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4119">
        <w:rPr>
          <w:rFonts w:asciiTheme="majorHAnsi" w:hAnsiTheme="majorHAnsi"/>
          <w:sz w:val="20"/>
          <w:szCs w:val="20"/>
        </w:rPr>
        <w:t>To notify the parties of this decision;</w:t>
      </w:r>
    </w:p>
    <w:p w:rsidR="006F432A" w:rsidRPr="00DF4119" w:rsidRDefault="006F432A" w:rsidP="006F432A">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4119">
        <w:rPr>
          <w:rFonts w:asciiTheme="majorHAnsi" w:hAnsiTheme="majorHAnsi"/>
          <w:sz w:val="20"/>
          <w:szCs w:val="20"/>
        </w:rPr>
        <w:t>To continue with the analysis on the merits; and</w:t>
      </w:r>
    </w:p>
    <w:p w:rsidR="000F4C05" w:rsidRPr="000F4C05" w:rsidRDefault="006F432A" w:rsidP="000F4C0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4119">
        <w:rPr>
          <w:rFonts w:asciiTheme="majorHAnsi" w:hAnsiTheme="majorHAnsi"/>
          <w:sz w:val="20"/>
          <w:szCs w:val="20"/>
        </w:rPr>
        <w:t>To publish this decision and include it in its Annual Report to the General Assembly of the Organization of American States.</w:t>
      </w:r>
    </w:p>
    <w:p w:rsidR="000F4C05" w:rsidRPr="00145EDC" w:rsidRDefault="000F4C05" w:rsidP="000F4C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rPr>
      </w:pPr>
      <w:r w:rsidRPr="00937D23">
        <w:rPr>
          <w:rFonts w:asciiTheme="majorHAnsi" w:hAnsiTheme="majorHAnsi"/>
          <w:sz w:val="20"/>
          <w:szCs w:val="20"/>
        </w:rPr>
        <w:t xml:space="preserve">Approved electronically by the Commission on the </w:t>
      </w:r>
      <w:r>
        <w:rPr>
          <w:rFonts w:asciiTheme="majorHAnsi" w:hAnsiTheme="majorHAnsi"/>
          <w:sz w:val="20"/>
          <w:szCs w:val="20"/>
        </w:rPr>
        <w:t>8 day of the month of August</w:t>
      </w:r>
      <w:r w:rsidRPr="00937D23">
        <w:rPr>
          <w:rFonts w:asciiTheme="majorHAnsi" w:hAnsiTheme="majorHAnsi"/>
          <w:sz w:val="20"/>
          <w:szCs w:val="20"/>
        </w:rPr>
        <w:t>, 2017. (Signed): Francisco José Eguiguren, President; Margarette May Macaulay, First Vice President; Esmeralda E. Arosemena Bernal de Troitiño, Second Vice President; José de Jesús Orozco Henríquez, Paul</w:t>
      </w:r>
      <w:r w:rsidR="00C36D03">
        <w:rPr>
          <w:rFonts w:asciiTheme="majorHAnsi" w:hAnsiTheme="majorHAnsi"/>
          <w:sz w:val="20"/>
          <w:szCs w:val="20"/>
        </w:rPr>
        <w:t>o Vannuchi, and James L. Cavallaro</w:t>
      </w:r>
      <w:r w:rsidRPr="00937D23">
        <w:rPr>
          <w:rFonts w:asciiTheme="majorHAnsi" w:hAnsiTheme="majorHAnsi"/>
          <w:sz w:val="20"/>
          <w:szCs w:val="20"/>
        </w:rPr>
        <w:t>, Commissioners.</w:t>
      </w:r>
    </w:p>
    <w:p w:rsidR="006F432A" w:rsidRPr="00DF4119" w:rsidRDefault="006F432A" w:rsidP="006F432A">
      <w:pPr>
        <w:tabs>
          <w:tab w:val="center" w:pos="5400"/>
        </w:tabs>
        <w:suppressAutoHyphens/>
        <w:spacing w:line="276" w:lineRule="auto"/>
        <w:rPr>
          <w:rFonts w:asciiTheme="majorHAnsi" w:hAnsiTheme="majorHAnsi"/>
          <w:sz w:val="20"/>
          <w:szCs w:val="20"/>
        </w:rPr>
      </w:pPr>
    </w:p>
    <w:p w:rsidR="006F432A" w:rsidRPr="00DF4119" w:rsidRDefault="006F432A" w:rsidP="006F432A">
      <w:pPr>
        <w:rPr>
          <w:rFonts w:ascii="Cambria" w:hAnsi="Cambria" w:cs="Calibri"/>
          <w:sz w:val="20"/>
          <w:szCs w:val="20"/>
        </w:rPr>
      </w:pPr>
    </w:p>
    <w:p w:rsidR="00C55560" w:rsidRPr="00DF4119" w:rsidRDefault="00C55560" w:rsidP="006F432A">
      <w:pPr>
        <w:tabs>
          <w:tab w:val="center" w:pos="5400"/>
        </w:tabs>
        <w:suppressAutoHyphens/>
        <w:spacing w:line="276" w:lineRule="auto"/>
        <w:jc w:val="center"/>
        <w:rPr>
          <w:rFonts w:asciiTheme="majorHAnsi" w:hAnsiTheme="majorHAnsi"/>
          <w:sz w:val="20"/>
          <w:szCs w:val="20"/>
        </w:rPr>
      </w:pPr>
    </w:p>
    <w:sectPr w:rsidR="00C55560" w:rsidRPr="00DF4119" w:rsidSect="006F432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5E" w:rsidRDefault="00BA025E" w:rsidP="00036A8A">
      <w:r>
        <w:separator/>
      </w:r>
    </w:p>
  </w:endnote>
  <w:endnote w:type="continuationSeparator" w:id="0">
    <w:p w:rsidR="00BA025E" w:rsidRDefault="00BA025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80" w:rsidRDefault="00D10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10780">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5E" w:rsidRPr="00036A8A" w:rsidRDefault="00BA025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BA025E" w:rsidRPr="00036A8A" w:rsidRDefault="00BA025E" w:rsidP="00036A8A">
      <w:pPr>
        <w:rPr>
          <w:rFonts w:asciiTheme="majorHAnsi" w:hAnsiTheme="majorHAnsi"/>
          <w:sz w:val="16"/>
          <w:szCs w:val="16"/>
        </w:rPr>
      </w:pPr>
      <w:r w:rsidRPr="00036A8A">
        <w:rPr>
          <w:rFonts w:asciiTheme="majorHAnsi" w:hAnsiTheme="majorHAnsi"/>
          <w:sz w:val="16"/>
          <w:szCs w:val="16"/>
        </w:rPr>
        <w:separator/>
      </w:r>
    </w:p>
    <w:p w:rsidR="00BA025E" w:rsidRPr="00036A8A" w:rsidRDefault="00BA025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BA025E" w:rsidRPr="0093441A" w:rsidRDefault="00BA025E" w:rsidP="005B222D">
      <w:pPr>
        <w:jc w:val="right"/>
        <w:rPr>
          <w:rFonts w:asciiTheme="majorHAnsi" w:hAnsiTheme="majorHAnsi"/>
          <w:sz w:val="16"/>
          <w:szCs w:val="16"/>
          <w:lang w:val="es-ES_tradnl"/>
        </w:rPr>
      </w:pPr>
      <w:r>
        <w:rPr>
          <w:rFonts w:asciiTheme="majorHAnsi" w:hAnsiTheme="majorHAnsi"/>
          <w:sz w:val="16"/>
          <w:szCs w:val="16"/>
        </w:rPr>
        <w:t>[continues …]</w:t>
      </w:r>
    </w:p>
  </w:footnote>
  <w:footnote w:id="2">
    <w:p w:rsidR="006F432A" w:rsidRPr="00DF4119" w:rsidRDefault="006F432A" w:rsidP="006F432A">
      <w:pPr>
        <w:pStyle w:val="FootnoteText"/>
        <w:spacing w:before="120"/>
        <w:ind w:firstLine="720"/>
        <w:jc w:val="both"/>
        <w:rPr>
          <w:lang w:val="en-GB"/>
        </w:rPr>
      </w:pPr>
      <w:r w:rsidRPr="00EB4BAB">
        <w:rPr>
          <w:rStyle w:val="FootnoteReference"/>
        </w:rPr>
        <w:footnoteRef/>
      </w:r>
      <w:r w:rsidRPr="00DF4119">
        <w:rPr>
          <w:lang w:val="en-GB"/>
        </w:rPr>
        <w:t xml:space="preserve"> </w:t>
      </w:r>
      <w:r w:rsidRPr="00DF4119">
        <w:rPr>
          <w:rFonts w:asciiTheme="majorHAnsi" w:hAnsiTheme="majorHAnsi"/>
          <w:sz w:val="16"/>
          <w:szCs w:val="16"/>
          <w:lang w:val="en-GB"/>
        </w:rPr>
        <w:t>In accordance w</w:t>
      </w:r>
      <w:r w:rsidR="004B5A47">
        <w:rPr>
          <w:rFonts w:asciiTheme="majorHAnsi" w:hAnsiTheme="majorHAnsi"/>
          <w:sz w:val="16"/>
          <w:szCs w:val="16"/>
          <w:lang w:val="en-GB"/>
        </w:rPr>
        <w:t>ith Article 17.2.a of the IACHR’</w:t>
      </w:r>
      <w:r w:rsidRPr="00DF4119">
        <w:rPr>
          <w:rFonts w:asciiTheme="majorHAnsi" w:hAnsiTheme="majorHAnsi"/>
          <w:sz w:val="16"/>
          <w:szCs w:val="16"/>
          <w:lang w:val="en-GB"/>
        </w:rPr>
        <w:t>s Rules of Procedure, Commissioner Luis Ernesto Vargas Silva, a Colombian national, did not participate in the discussion or the decision on this matter.</w:t>
      </w:r>
    </w:p>
  </w:footnote>
  <w:footnote w:id="3">
    <w:p w:rsidR="006F432A" w:rsidRPr="00DF4119" w:rsidRDefault="006F432A" w:rsidP="006F432A">
      <w:pPr>
        <w:pStyle w:val="FootnoteText"/>
        <w:spacing w:before="120"/>
        <w:ind w:firstLine="720"/>
        <w:rPr>
          <w:lang w:val="en-GB"/>
        </w:rPr>
      </w:pPr>
      <w:r w:rsidRPr="00EB4BAB">
        <w:rPr>
          <w:rStyle w:val="FootnoteReference"/>
        </w:rPr>
        <w:footnoteRef/>
      </w:r>
      <w:r w:rsidRPr="00DF4119">
        <w:rPr>
          <w:lang w:val="en-GB"/>
        </w:rPr>
        <w:t xml:space="preserve"> </w:t>
      </w:r>
      <w:r w:rsidRPr="00DF4119">
        <w:rPr>
          <w:rFonts w:ascii="Cambria" w:hAnsi="Cambria"/>
          <w:sz w:val="16"/>
          <w:szCs w:val="16"/>
          <w:lang w:val="en-GB"/>
        </w:rPr>
        <w:t xml:space="preserve">Hereinafter </w:t>
      </w:r>
      <w:r w:rsidR="004B5A47">
        <w:rPr>
          <w:rFonts w:ascii="Cambria" w:hAnsi="Cambria"/>
          <w:sz w:val="16"/>
          <w:szCs w:val="16"/>
          <w:lang w:val="en-GB"/>
        </w:rPr>
        <w:t>“</w:t>
      </w:r>
      <w:r w:rsidRPr="00DF4119">
        <w:rPr>
          <w:rFonts w:ascii="Cambria" w:hAnsi="Cambria"/>
          <w:sz w:val="16"/>
          <w:szCs w:val="16"/>
          <w:lang w:val="en-GB"/>
        </w:rPr>
        <w:t>the Convention" or "the American Convention.</w:t>
      </w:r>
      <w:r w:rsidR="004B5A47">
        <w:rPr>
          <w:rFonts w:ascii="Cambria" w:hAnsi="Cambria"/>
          <w:sz w:val="16"/>
          <w:szCs w:val="16"/>
          <w:lang w:val="en-GB"/>
        </w:rPr>
        <w:t>”</w:t>
      </w:r>
    </w:p>
  </w:footnote>
  <w:footnote w:id="4">
    <w:p w:rsidR="006F432A" w:rsidRPr="00DF4119" w:rsidRDefault="006F432A" w:rsidP="006F432A">
      <w:pPr>
        <w:pStyle w:val="FootnoteText"/>
        <w:spacing w:before="120"/>
        <w:ind w:firstLine="720"/>
        <w:rPr>
          <w:lang w:val="en-GB"/>
        </w:rPr>
      </w:pPr>
      <w:r w:rsidRPr="00EB4BAB">
        <w:rPr>
          <w:rStyle w:val="FootnoteReference"/>
        </w:rPr>
        <w:footnoteRef/>
      </w:r>
      <w:r w:rsidRPr="00DF4119">
        <w:rPr>
          <w:lang w:val="en-GB"/>
        </w:rPr>
        <w:t xml:space="preserve"> </w:t>
      </w:r>
      <w:r w:rsidRPr="00DF4119">
        <w:rPr>
          <w:rFonts w:ascii="Cambria" w:hAnsi="Cambria"/>
          <w:sz w:val="16"/>
          <w:szCs w:val="16"/>
          <w:lang w:val="en-GB"/>
        </w:rPr>
        <w:t>The observations presented by each party were duly transmitted to the opposing party.</w:t>
      </w:r>
    </w:p>
  </w:footnote>
  <w:footnote w:id="5">
    <w:p w:rsidR="006F432A" w:rsidRPr="00DF4119" w:rsidRDefault="006F432A" w:rsidP="006F432A">
      <w:pPr>
        <w:pStyle w:val="FootnoteText"/>
        <w:spacing w:before="120"/>
        <w:ind w:firstLine="720"/>
        <w:rPr>
          <w:lang w:val="en-GB"/>
        </w:rPr>
      </w:pPr>
      <w:r w:rsidRPr="00EB4BAB">
        <w:rPr>
          <w:rStyle w:val="FootnoteReference"/>
          <w:rFonts w:ascii="Cambria" w:hAnsi="Cambria"/>
          <w:sz w:val="16"/>
          <w:szCs w:val="16"/>
        </w:rPr>
        <w:footnoteRef/>
      </w:r>
      <w:r w:rsidRPr="00DF4119">
        <w:rPr>
          <w:rStyle w:val="FootnoteReference"/>
          <w:rFonts w:ascii="Cambria" w:hAnsi="Cambria"/>
          <w:sz w:val="16"/>
          <w:szCs w:val="16"/>
          <w:lang w:val="en-GB"/>
        </w:rPr>
        <w:t xml:space="preserve"> </w:t>
      </w:r>
      <w:r w:rsidRPr="00DF4119">
        <w:rPr>
          <w:rFonts w:ascii="Cambria" w:hAnsi="Cambria" w:cs="Arial"/>
          <w:color w:val="auto"/>
          <w:sz w:val="16"/>
          <w:szCs w:val="16"/>
          <w:lang w:val="en-GB"/>
        </w:rPr>
        <w:t>On February 10, 2016, the petitioners submitted communications</w:t>
      </w:r>
      <w:r w:rsidR="00F91040">
        <w:rPr>
          <w:rFonts w:ascii="Cambria" w:hAnsi="Cambria" w:cs="Arial"/>
          <w:color w:val="auto"/>
          <w:sz w:val="16"/>
          <w:szCs w:val="16"/>
          <w:lang w:val="en-GB"/>
        </w:rPr>
        <w:t xml:space="preserve"> to</w:t>
      </w:r>
      <w:r w:rsidRPr="00DF4119">
        <w:rPr>
          <w:rFonts w:ascii="Cambria" w:hAnsi="Cambria" w:cs="Arial"/>
          <w:color w:val="auto"/>
          <w:sz w:val="16"/>
          <w:szCs w:val="16"/>
          <w:lang w:val="en-GB"/>
        </w:rPr>
        <w:t xml:space="preserve"> updat</w:t>
      </w:r>
      <w:r w:rsidR="00F91040">
        <w:rPr>
          <w:rFonts w:ascii="Cambria" w:hAnsi="Cambria" w:cs="Arial"/>
          <w:color w:val="auto"/>
          <w:sz w:val="16"/>
          <w:szCs w:val="16"/>
          <w:lang w:val="en-GB"/>
        </w:rPr>
        <w:t>e</w:t>
      </w:r>
      <w:r w:rsidRPr="00DF4119">
        <w:rPr>
          <w:rFonts w:ascii="Cambria" w:hAnsi="Cambria" w:cs="Arial"/>
          <w:color w:val="auto"/>
          <w:sz w:val="16"/>
          <w:szCs w:val="16"/>
          <w:lang w:val="en-GB"/>
        </w:rPr>
        <w:t xml:space="preserve"> their contact information.</w:t>
      </w:r>
      <w:r w:rsidRPr="00DF4119">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48549C9" wp14:editId="486C6C7A">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BA025E"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80" w:rsidRDefault="00D10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94FAB4A0"/>
    <w:lvl w:ilvl="0" w:tplc="149C0E40">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2"/>
  </w:num>
  <w:num w:numId="97">
    <w:abstractNumId w:val="50"/>
  </w:num>
  <w:num w:numId="98">
    <w:abstractNumId w:val="45"/>
  </w:num>
  <w:num w:numId="99">
    <w:abstractNumId w:val="36"/>
  </w:num>
  <w:num w:numId="100">
    <w:abstractNumId w:val="3"/>
  </w:num>
  <w:num w:numId="101">
    <w:abstractNumId w:val="25"/>
  </w:num>
  <w:num w:numId="102">
    <w:abstractNumId w:val="47"/>
  </w:num>
  <w:num w:numId="103">
    <w:abstractNumId w:val="5"/>
  </w:num>
  <w:num w:numId="104">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28BB"/>
    <w:rsid w:val="00036A8A"/>
    <w:rsid w:val="00040C3A"/>
    <w:rsid w:val="0004229A"/>
    <w:rsid w:val="00050FD8"/>
    <w:rsid w:val="00053944"/>
    <w:rsid w:val="000639C0"/>
    <w:rsid w:val="00065183"/>
    <w:rsid w:val="00070F3A"/>
    <w:rsid w:val="000716C5"/>
    <w:rsid w:val="00071B4F"/>
    <w:rsid w:val="00075E23"/>
    <w:rsid w:val="00092F32"/>
    <w:rsid w:val="0009344A"/>
    <w:rsid w:val="00096CC9"/>
    <w:rsid w:val="000A575F"/>
    <w:rsid w:val="000D10DB"/>
    <w:rsid w:val="000F4C05"/>
    <w:rsid w:val="00105708"/>
    <w:rsid w:val="00113952"/>
    <w:rsid w:val="0012140B"/>
    <w:rsid w:val="0013104F"/>
    <w:rsid w:val="001337E5"/>
    <w:rsid w:val="00135E96"/>
    <w:rsid w:val="00137EBA"/>
    <w:rsid w:val="00145EDC"/>
    <w:rsid w:val="00154AF2"/>
    <w:rsid w:val="00167A34"/>
    <w:rsid w:val="0018037F"/>
    <w:rsid w:val="00192D03"/>
    <w:rsid w:val="00194DDE"/>
    <w:rsid w:val="001A0842"/>
    <w:rsid w:val="001A5F27"/>
    <w:rsid w:val="001A7870"/>
    <w:rsid w:val="001C1B41"/>
    <w:rsid w:val="001C4A70"/>
    <w:rsid w:val="001C66E1"/>
    <w:rsid w:val="001C672D"/>
    <w:rsid w:val="001D71DA"/>
    <w:rsid w:val="001E4D3F"/>
    <w:rsid w:val="001F4960"/>
    <w:rsid w:val="00210E0E"/>
    <w:rsid w:val="002128AA"/>
    <w:rsid w:val="00213B5B"/>
    <w:rsid w:val="00224C7A"/>
    <w:rsid w:val="00247403"/>
    <w:rsid w:val="00247542"/>
    <w:rsid w:val="00252391"/>
    <w:rsid w:val="00257893"/>
    <w:rsid w:val="002600CC"/>
    <w:rsid w:val="00266092"/>
    <w:rsid w:val="00266B61"/>
    <w:rsid w:val="0026712A"/>
    <w:rsid w:val="002704DB"/>
    <w:rsid w:val="002C1641"/>
    <w:rsid w:val="002D535B"/>
    <w:rsid w:val="002D74EF"/>
    <w:rsid w:val="002D7EA2"/>
    <w:rsid w:val="002E15DF"/>
    <w:rsid w:val="002E187C"/>
    <w:rsid w:val="002E6E57"/>
    <w:rsid w:val="00301075"/>
    <w:rsid w:val="00302733"/>
    <w:rsid w:val="00311A4F"/>
    <w:rsid w:val="00314078"/>
    <w:rsid w:val="00321394"/>
    <w:rsid w:val="0032172B"/>
    <w:rsid w:val="00322450"/>
    <w:rsid w:val="003225CA"/>
    <w:rsid w:val="00323CC1"/>
    <w:rsid w:val="003246B5"/>
    <w:rsid w:val="0033169F"/>
    <w:rsid w:val="00331F69"/>
    <w:rsid w:val="00333B09"/>
    <w:rsid w:val="00334C79"/>
    <w:rsid w:val="003414AC"/>
    <w:rsid w:val="00352374"/>
    <w:rsid w:val="00356185"/>
    <w:rsid w:val="00360380"/>
    <w:rsid w:val="0038195F"/>
    <w:rsid w:val="00386CF0"/>
    <w:rsid w:val="00386E24"/>
    <w:rsid w:val="003B10DB"/>
    <w:rsid w:val="003C32BC"/>
    <w:rsid w:val="003C3971"/>
    <w:rsid w:val="003C536A"/>
    <w:rsid w:val="003F0D22"/>
    <w:rsid w:val="003F1BBF"/>
    <w:rsid w:val="00404317"/>
    <w:rsid w:val="00406B6F"/>
    <w:rsid w:val="004153B8"/>
    <w:rsid w:val="004158B8"/>
    <w:rsid w:val="004165C2"/>
    <w:rsid w:val="0043431D"/>
    <w:rsid w:val="00444350"/>
    <w:rsid w:val="00446D06"/>
    <w:rsid w:val="00450A4A"/>
    <w:rsid w:val="00453D79"/>
    <w:rsid w:val="004666FB"/>
    <w:rsid w:val="00467B7E"/>
    <w:rsid w:val="00470046"/>
    <w:rsid w:val="00471B78"/>
    <w:rsid w:val="0049419D"/>
    <w:rsid w:val="004A55AD"/>
    <w:rsid w:val="004B2762"/>
    <w:rsid w:val="004B35F5"/>
    <w:rsid w:val="004B5A47"/>
    <w:rsid w:val="004B7EB6"/>
    <w:rsid w:val="004C4B62"/>
    <w:rsid w:val="004D6025"/>
    <w:rsid w:val="004D72BC"/>
    <w:rsid w:val="004E5752"/>
    <w:rsid w:val="00501399"/>
    <w:rsid w:val="00507BC4"/>
    <w:rsid w:val="005128E4"/>
    <w:rsid w:val="00525560"/>
    <w:rsid w:val="005335F9"/>
    <w:rsid w:val="005357A6"/>
    <w:rsid w:val="005365BF"/>
    <w:rsid w:val="00544C49"/>
    <w:rsid w:val="00557D83"/>
    <w:rsid w:val="00565312"/>
    <w:rsid w:val="0057402A"/>
    <w:rsid w:val="005771D0"/>
    <w:rsid w:val="00582324"/>
    <w:rsid w:val="00583A3D"/>
    <w:rsid w:val="0059191A"/>
    <w:rsid w:val="005921FF"/>
    <w:rsid w:val="00593AB3"/>
    <w:rsid w:val="005A6D0E"/>
    <w:rsid w:val="005B222D"/>
    <w:rsid w:val="005B52B0"/>
    <w:rsid w:val="005B6806"/>
    <w:rsid w:val="005C00F9"/>
    <w:rsid w:val="005C4225"/>
    <w:rsid w:val="005C5C6E"/>
    <w:rsid w:val="005D1F68"/>
    <w:rsid w:val="005E11D2"/>
    <w:rsid w:val="005F0F33"/>
    <w:rsid w:val="00600DEB"/>
    <w:rsid w:val="00601768"/>
    <w:rsid w:val="00613027"/>
    <w:rsid w:val="00625ACB"/>
    <w:rsid w:val="00627905"/>
    <w:rsid w:val="00627C9F"/>
    <w:rsid w:val="006311DA"/>
    <w:rsid w:val="006311E9"/>
    <w:rsid w:val="00632354"/>
    <w:rsid w:val="00632BEA"/>
    <w:rsid w:val="00642810"/>
    <w:rsid w:val="006431E1"/>
    <w:rsid w:val="00652333"/>
    <w:rsid w:val="00655986"/>
    <w:rsid w:val="00655CC7"/>
    <w:rsid w:val="0068009E"/>
    <w:rsid w:val="006A17D2"/>
    <w:rsid w:val="006A4414"/>
    <w:rsid w:val="006A73E6"/>
    <w:rsid w:val="006B2D5C"/>
    <w:rsid w:val="006C4EB1"/>
    <w:rsid w:val="006E0166"/>
    <w:rsid w:val="006E7B34"/>
    <w:rsid w:val="006F432A"/>
    <w:rsid w:val="00701B24"/>
    <w:rsid w:val="00710136"/>
    <w:rsid w:val="00720A94"/>
    <w:rsid w:val="00733B93"/>
    <w:rsid w:val="00745899"/>
    <w:rsid w:val="00755E43"/>
    <w:rsid w:val="007607C4"/>
    <w:rsid w:val="0076643F"/>
    <w:rsid w:val="00771218"/>
    <w:rsid w:val="00787435"/>
    <w:rsid w:val="007A2F70"/>
    <w:rsid w:val="007C3334"/>
    <w:rsid w:val="007C52BB"/>
    <w:rsid w:val="007D2B98"/>
    <w:rsid w:val="007E7FBA"/>
    <w:rsid w:val="007F5EE1"/>
    <w:rsid w:val="00803F1C"/>
    <w:rsid w:val="0080600E"/>
    <w:rsid w:val="008131F2"/>
    <w:rsid w:val="00816FD4"/>
    <w:rsid w:val="00817612"/>
    <w:rsid w:val="008236F3"/>
    <w:rsid w:val="008363F8"/>
    <w:rsid w:val="00837C45"/>
    <w:rsid w:val="00853419"/>
    <w:rsid w:val="00854478"/>
    <w:rsid w:val="00861CBC"/>
    <w:rsid w:val="0086573E"/>
    <w:rsid w:val="00897E12"/>
    <w:rsid w:val="008A2717"/>
    <w:rsid w:val="008D43BA"/>
    <w:rsid w:val="008D4C81"/>
    <w:rsid w:val="008E1593"/>
    <w:rsid w:val="008E2D2C"/>
    <w:rsid w:val="008E3759"/>
    <w:rsid w:val="009041DC"/>
    <w:rsid w:val="00904E38"/>
    <w:rsid w:val="009104B4"/>
    <w:rsid w:val="00925FCD"/>
    <w:rsid w:val="0093441A"/>
    <w:rsid w:val="00947F1B"/>
    <w:rsid w:val="00954BF7"/>
    <w:rsid w:val="0096706E"/>
    <w:rsid w:val="00981FBA"/>
    <w:rsid w:val="00983DD0"/>
    <w:rsid w:val="009956A5"/>
    <w:rsid w:val="009A11DF"/>
    <w:rsid w:val="009B381B"/>
    <w:rsid w:val="009C2504"/>
    <w:rsid w:val="009C5807"/>
    <w:rsid w:val="009C5DFC"/>
    <w:rsid w:val="009D7611"/>
    <w:rsid w:val="009E53DE"/>
    <w:rsid w:val="00A31056"/>
    <w:rsid w:val="00A43458"/>
    <w:rsid w:val="00A50C0B"/>
    <w:rsid w:val="00A528D1"/>
    <w:rsid w:val="00A66BE5"/>
    <w:rsid w:val="00A85A16"/>
    <w:rsid w:val="00AA3D4E"/>
    <w:rsid w:val="00AA7F5B"/>
    <w:rsid w:val="00AB0987"/>
    <w:rsid w:val="00AC0B2E"/>
    <w:rsid w:val="00AC2EE9"/>
    <w:rsid w:val="00AD37C1"/>
    <w:rsid w:val="00AD624F"/>
    <w:rsid w:val="00AE66EC"/>
    <w:rsid w:val="00AE6F91"/>
    <w:rsid w:val="00AF0F9D"/>
    <w:rsid w:val="00AF1FC6"/>
    <w:rsid w:val="00AF5571"/>
    <w:rsid w:val="00B1221D"/>
    <w:rsid w:val="00B167B3"/>
    <w:rsid w:val="00B167E9"/>
    <w:rsid w:val="00B314DB"/>
    <w:rsid w:val="00B31EBE"/>
    <w:rsid w:val="00B32192"/>
    <w:rsid w:val="00B3718B"/>
    <w:rsid w:val="00B4632A"/>
    <w:rsid w:val="00B53FB9"/>
    <w:rsid w:val="00B6197D"/>
    <w:rsid w:val="00B70E38"/>
    <w:rsid w:val="00BA0187"/>
    <w:rsid w:val="00BA025E"/>
    <w:rsid w:val="00BA276C"/>
    <w:rsid w:val="00BA62CE"/>
    <w:rsid w:val="00BB306F"/>
    <w:rsid w:val="00BC7509"/>
    <w:rsid w:val="00BD232B"/>
    <w:rsid w:val="00BD4B89"/>
    <w:rsid w:val="00BF3C80"/>
    <w:rsid w:val="00C0476F"/>
    <w:rsid w:val="00C20B5B"/>
    <w:rsid w:val="00C21762"/>
    <w:rsid w:val="00C24543"/>
    <w:rsid w:val="00C256A2"/>
    <w:rsid w:val="00C3492D"/>
    <w:rsid w:val="00C36D03"/>
    <w:rsid w:val="00C55560"/>
    <w:rsid w:val="00C642CD"/>
    <w:rsid w:val="00C66B72"/>
    <w:rsid w:val="00C83BD1"/>
    <w:rsid w:val="00C85D99"/>
    <w:rsid w:val="00C9567A"/>
    <w:rsid w:val="00CB2660"/>
    <w:rsid w:val="00CC5E90"/>
    <w:rsid w:val="00CC5F39"/>
    <w:rsid w:val="00CD046C"/>
    <w:rsid w:val="00CE5199"/>
    <w:rsid w:val="00CE66D5"/>
    <w:rsid w:val="00CF502A"/>
    <w:rsid w:val="00CF54A4"/>
    <w:rsid w:val="00D0045F"/>
    <w:rsid w:val="00D0073A"/>
    <w:rsid w:val="00D019B8"/>
    <w:rsid w:val="00D10780"/>
    <w:rsid w:val="00D22150"/>
    <w:rsid w:val="00D22E79"/>
    <w:rsid w:val="00D27465"/>
    <w:rsid w:val="00D30E5B"/>
    <w:rsid w:val="00D3409A"/>
    <w:rsid w:val="00D34786"/>
    <w:rsid w:val="00D40A1E"/>
    <w:rsid w:val="00D42817"/>
    <w:rsid w:val="00D45BD2"/>
    <w:rsid w:val="00D712D3"/>
    <w:rsid w:val="00D71422"/>
    <w:rsid w:val="00D7145E"/>
    <w:rsid w:val="00D7558D"/>
    <w:rsid w:val="00D80E33"/>
    <w:rsid w:val="00D81D92"/>
    <w:rsid w:val="00D8431B"/>
    <w:rsid w:val="00D93446"/>
    <w:rsid w:val="00D974A5"/>
    <w:rsid w:val="00DA7B5F"/>
    <w:rsid w:val="00DB5F30"/>
    <w:rsid w:val="00DD7CFE"/>
    <w:rsid w:val="00DE4E65"/>
    <w:rsid w:val="00DE7F1F"/>
    <w:rsid w:val="00DF4119"/>
    <w:rsid w:val="00DF445D"/>
    <w:rsid w:val="00E06B36"/>
    <w:rsid w:val="00E36E80"/>
    <w:rsid w:val="00E43157"/>
    <w:rsid w:val="00E533FF"/>
    <w:rsid w:val="00E66C34"/>
    <w:rsid w:val="00E709B3"/>
    <w:rsid w:val="00E77E74"/>
    <w:rsid w:val="00E832F9"/>
    <w:rsid w:val="00E8789F"/>
    <w:rsid w:val="00E97B71"/>
    <w:rsid w:val="00EA4033"/>
    <w:rsid w:val="00EB35BB"/>
    <w:rsid w:val="00EB454D"/>
    <w:rsid w:val="00EC4A97"/>
    <w:rsid w:val="00ED28A4"/>
    <w:rsid w:val="00EE3522"/>
    <w:rsid w:val="00EF619B"/>
    <w:rsid w:val="00F00B55"/>
    <w:rsid w:val="00F05EE3"/>
    <w:rsid w:val="00F1380F"/>
    <w:rsid w:val="00F14F0E"/>
    <w:rsid w:val="00F24C29"/>
    <w:rsid w:val="00F253CC"/>
    <w:rsid w:val="00F4422F"/>
    <w:rsid w:val="00F4459C"/>
    <w:rsid w:val="00F56BA5"/>
    <w:rsid w:val="00F644E6"/>
    <w:rsid w:val="00F7023A"/>
    <w:rsid w:val="00F75900"/>
    <w:rsid w:val="00F824B6"/>
    <w:rsid w:val="00F84A16"/>
    <w:rsid w:val="00F91040"/>
    <w:rsid w:val="00F9606D"/>
    <w:rsid w:val="00F9653B"/>
    <w:rsid w:val="00FB62CF"/>
    <w:rsid w:val="00FC3EB4"/>
    <w:rsid w:val="00FC6C58"/>
    <w:rsid w:val="00FD7564"/>
    <w:rsid w:val="00FE6B45"/>
    <w:rsid w:val="00FF5851"/>
    <w:rsid w:val="00FF7B79"/>
    <w:rsid w:val="00FF7B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6F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6F43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PlaceholderText">
    <w:name w:val="Placeholder Text"/>
    <w:basedOn w:val="DefaultParagraphFont"/>
    <w:uiPriority w:val="99"/>
    <w:semiHidden/>
    <w:rsid w:val="009C5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6F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6F43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PlaceholderText">
    <w:name w:val="Placeholder Text"/>
    <w:basedOn w:val="DefaultParagraphFont"/>
    <w:uiPriority w:val="99"/>
    <w:semiHidden/>
    <w:rsid w:val="009C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529A-A874-45C6-8BC3-F87BD15B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2060</Words>
  <Characters>10676</Characters>
  <Application>Microsoft Office Word</Application>
  <DocSecurity>0</DocSecurity>
  <Lines>254</Lines>
  <Paragraphs>94</Paragraphs>
  <ScaleCrop>false</ScaleCrop>
  <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93/17</dc:title>
  <dc:creator/>
  <cp:lastModifiedBy/>
  <cp:revision>1</cp:revision>
  <dcterms:created xsi:type="dcterms:W3CDTF">2017-11-07T20:59:00Z</dcterms:created>
  <dcterms:modified xsi:type="dcterms:W3CDTF">2017-11-07T21:00:00Z</dcterms:modified>
</cp:coreProperties>
</file>