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B2DB097">
                <wp:simplePos x="0" y="0"/>
                <wp:positionH relativeFrom="column">
                  <wp:posOffset>1215342</wp:posOffset>
                </wp:positionH>
                <wp:positionV relativeFrom="paragraph">
                  <wp:posOffset>80404</wp:posOffset>
                </wp:positionV>
                <wp:extent cx="4722471"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22471"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C17749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25DFE">
                              <w:rPr>
                                <w:rFonts w:asciiTheme="majorHAnsi" w:hAnsiTheme="majorHAnsi" w:cs="Arial"/>
                                <w:b/>
                                <w:bCs/>
                                <w:color w:val="0D0D0D" w:themeColor="text1" w:themeTint="F2"/>
                                <w:sz w:val="36"/>
                                <w:szCs w:val="40"/>
                              </w:rPr>
                              <w:t>165</w:t>
                            </w:r>
                            <w:r w:rsidR="00322450" w:rsidRPr="004B7EB6">
                              <w:rPr>
                                <w:rFonts w:asciiTheme="majorHAnsi" w:hAnsiTheme="majorHAnsi" w:cs="Arial"/>
                                <w:b/>
                                <w:bCs/>
                                <w:color w:val="0D0D0D" w:themeColor="text1" w:themeTint="F2"/>
                                <w:sz w:val="36"/>
                                <w:szCs w:val="40"/>
                              </w:rPr>
                              <w:t>/1</w:t>
                            </w:r>
                            <w:r w:rsidR="002C4073">
                              <w:rPr>
                                <w:rFonts w:asciiTheme="majorHAnsi" w:hAnsiTheme="majorHAnsi" w:cs="Arial"/>
                                <w:b/>
                                <w:bCs/>
                                <w:color w:val="0D0D0D" w:themeColor="text1" w:themeTint="F2"/>
                                <w:sz w:val="36"/>
                                <w:szCs w:val="40"/>
                              </w:rPr>
                              <w:t>7</w:t>
                            </w:r>
                          </w:p>
                          <w:p w14:paraId="081F51F3" w14:textId="239061A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C4073">
                              <w:rPr>
                                <w:rFonts w:asciiTheme="majorHAnsi" w:hAnsiTheme="majorHAnsi" w:cs="Arial"/>
                                <w:b/>
                                <w:bCs/>
                                <w:color w:val="0D0D0D" w:themeColor="text1" w:themeTint="F2"/>
                                <w:sz w:val="36"/>
                                <w:szCs w:val="40"/>
                              </w:rPr>
                              <w:t>86-08</w:t>
                            </w:r>
                          </w:p>
                          <w:p w14:paraId="34978E5A" w14:textId="533B364C"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37686D8" w14:textId="77777777" w:rsidR="002C4073" w:rsidRPr="00B14F40" w:rsidRDefault="002C4073" w:rsidP="002C4073">
                            <w:pPr>
                              <w:spacing w:line="276" w:lineRule="auto"/>
                              <w:rPr>
                                <w:rFonts w:asciiTheme="majorHAnsi" w:hAnsiTheme="majorHAnsi" w:cs="Arial"/>
                                <w:color w:val="0D0D0D" w:themeColor="text1" w:themeTint="F2"/>
                                <w:szCs w:val="22"/>
                                <w:lang w:val="en-GB"/>
                              </w:rPr>
                            </w:pPr>
                            <w:bookmarkStart w:id="1" w:name="_ftnref1"/>
                          </w:p>
                          <w:bookmarkEnd w:id="1"/>
                          <w:p w14:paraId="451FBC33" w14:textId="77777777" w:rsidR="002C4073" w:rsidRPr="00B14F40" w:rsidRDefault="002C4073" w:rsidP="002C4073">
                            <w:pPr>
                              <w:spacing w:line="276" w:lineRule="auto"/>
                              <w:rPr>
                                <w:rFonts w:asciiTheme="majorHAnsi" w:hAnsiTheme="majorHAnsi" w:cs="Arial"/>
                                <w:color w:val="0D0D0D" w:themeColor="text1" w:themeTint="F2"/>
                                <w:szCs w:val="22"/>
                                <w:lang w:val="en-GB"/>
                              </w:rPr>
                            </w:pPr>
                            <w:r w:rsidRPr="00B14F40">
                              <w:rPr>
                                <w:rFonts w:asciiTheme="majorHAnsi" w:hAnsiTheme="majorHAnsi" w:cs="Arial"/>
                                <w:color w:val="0D0D0D" w:themeColor="text1" w:themeTint="F2"/>
                                <w:szCs w:val="22"/>
                                <w:lang w:val="en-GB"/>
                              </w:rPr>
                              <w:t>DIONICIO CERVANTES NOLASCO AND ARMANDO AGUILAR REYES</w:t>
                            </w:r>
                          </w:p>
                          <w:p w14:paraId="6D83BF0D" w14:textId="77777777" w:rsidR="002C4073" w:rsidRPr="0010736F" w:rsidRDefault="002C4073" w:rsidP="002C407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MEXICO </w:t>
                            </w:r>
                          </w:p>
                          <w:p w14:paraId="48EBC31A" w14:textId="7BFC2724"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7pt;margin-top:6.35pt;width:371.8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" filled="f" stroked="f" strokeweight=".5pt">
                <v:textbox>
                  <w:txbxContent>
                    <w:p w14:paraId="6F7C2188" w14:textId="4C17749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25DFE">
                        <w:rPr>
                          <w:rFonts w:asciiTheme="majorHAnsi" w:hAnsiTheme="majorHAnsi" w:cs="Arial"/>
                          <w:b/>
                          <w:bCs/>
                          <w:color w:val="0D0D0D" w:themeColor="text1" w:themeTint="F2"/>
                          <w:sz w:val="36"/>
                          <w:szCs w:val="40"/>
                        </w:rPr>
                        <w:t>165</w:t>
                      </w:r>
                      <w:r w:rsidR="00322450" w:rsidRPr="004B7EB6">
                        <w:rPr>
                          <w:rFonts w:asciiTheme="majorHAnsi" w:hAnsiTheme="majorHAnsi" w:cs="Arial"/>
                          <w:b/>
                          <w:bCs/>
                          <w:color w:val="0D0D0D" w:themeColor="text1" w:themeTint="F2"/>
                          <w:sz w:val="36"/>
                          <w:szCs w:val="40"/>
                        </w:rPr>
                        <w:t>/1</w:t>
                      </w:r>
                      <w:r w:rsidR="002C4073">
                        <w:rPr>
                          <w:rFonts w:asciiTheme="majorHAnsi" w:hAnsiTheme="majorHAnsi" w:cs="Arial"/>
                          <w:b/>
                          <w:bCs/>
                          <w:color w:val="0D0D0D" w:themeColor="text1" w:themeTint="F2"/>
                          <w:sz w:val="36"/>
                          <w:szCs w:val="40"/>
                        </w:rPr>
                        <w:t>7</w:t>
                      </w:r>
                    </w:p>
                    <w:p w14:paraId="081F51F3" w14:textId="239061A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C4073">
                        <w:rPr>
                          <w:rFonts w:asciiTheme="majorHAnsi" w:hAnsiTheme="majorHAnsi" w:cs="Arial"/>
                          <w:b/>
                          <w:bCs/>
                          <w:color w:val="0D0D0D" w:themeColor="text1" w:themeTint="F2"/>
                          <w:sz w:val="36"/>
                          <w:szCs w:val="40"/>
                        </w:rPr>
                        <w:t>86-08</w:t>
                      </w:r>
                    </w:p>
                    <w:p w14:paraId="34978E5A" w14:textId="533B364C"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37686D8" w14:textId="77777777" w:rsidR="002C4073" w:rsidRPr="00B14F40" w:rsidRDefault="002C4073" w:rsidP="002C4073">
                      <w:pPr>
                        <w:spacing w:line="276" w:lineRule="auto"/>
                        <w:rPr>
                          <w:rFonts w:asciiTheme="majorHAnsi" w:hAnsiTheme="majorHAnsi" w:cs="Arial"/>
                          <w:color w:val="0D0D0D" w:themeColor="text1" w:themeTint="F2"/>
                          <w:szCs w:val="22"/>
                          <w:lang w:val="en-GB"/>
                        </w:rPr>
                      </w:pPr>
                      <w:bookmarkStart w:id="2" w:name="_ftnref1"/>
                    </w:p>
                    <w:bookmarkEnd w:id="2"/>
                    <w:p w14:paraId="451FBC33" w14:textId="77777777" w:rsidR="002C4073" w:rsidRPr="00B14F40" w:rsidRDefault="002C4073" w:rsidP="002C4073">
                      <w:pPr>
                        <w:spacing w:line="276" w:lineRule="auto"/>
                        <w:rPr>
                          <w:rFonts w:asciiTheme="majorHAnsi" w:hAnsiTheme="majorHAnsi" w:cs="Arial"/>
                          <w:color w:val="0D0D0D" w:themeColor="text1" w:themeTint="F2"/>
                          <w:szCs w:val="22"/>
                          <w:lang w:val="en-GB"/>
                        </w:rPr>
                      </w:pPr>
                      <w:r w:rsidRPr="00B14F40">
                        <w:rPr>
                          <w:rFonts w:asciiTheme="majorHAnsi" w:hAnsiTheme="majorHAnsi" w:cs="Arial"/>
                          <w:color w:val="0D0D0D" w:themeColor="text1" w:themeTint="F2"/>
                          <w:szCs w:val="22"/>
                          <w:lang w:val="en-GB"/>
                        </w:rPr>
                        <w:t>DIONICIO CERVANTES NOLASCO AND ARMANDO AGUILAR REYES</w:t>
                      </w:r>
                    </w:p>
                    <w:p w14:paraId="6D83BF0D" w14:textId="77777777" w:rsidR="002C4073" w:rsidRPr="0010736F" w:rsidRDefault="002C4073" w:rsidP="002C407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MEXICO </w:t>
                      </w:r>
                    </w:p>
                    <w:p w14:paraId="48EBC31A" w14:textId="7BFC2724"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7F78F" w14:textId="77777777" w:rsidR="002C4073" w:rsidRPr="00625DFE" w:rsidRDefault="002C4073" w:rsidP="002C4073">
                            <w:pPr>
                              <w:spacing w:line="276" w:lineRule="auto"/>
                              <w:jc w:val="right"/>
                              <w:rPr>
                                <w:rFonts w:asciiTheme="minorHAnsi" w:hAnsiTheme="minorHAnsi"/>
                                <w:color w:val="FFFFFF" w:themeColor="background1"/>
                                <w:sz w:val="22"/>
                                <w:lang w:val="pt-BR"/>
                              </w:rPr>
                            </w:pPr>
                            <w:r w:rsidRPr="00625DFE">
                              <w:rPr>
                                <w:rFonts w:asciiTheme="minorHAnsi" w:hAnsiTheme="minorHAnsi"/>
                                <w:color w:val="FFFFFF" w:themeColor="background1"/>
                                <w:sz w:val="22"/>
                                <w:lang w:val="pt-BR"/>
                              </w:rPr>
                              <w:t>OEA/Ser.L/V/II.166</w:t>
                            </w:r>
                          </w:p>
                          <w:p w14:paraId="4CD0EB8F" w14:textId="60A84096" w:rsidR="002C4073" w:rsidRPr="00625DFE" w:rsidRDefault="002C4073" w:rsidP="002C4073">
                            <w:pPr>
                              <w:spacing w:line="276" w:lineRule="auto"/>
                              <w:jc w:val="right"/>
                              <w:rPr>
                                <w:rFonts w:asciiTheme="minorHAnsi" w:hAnsiTheme="minorHAnsi"/>
                                <w:color w:val="FFFFFF" w:themeColor="background1"/>
                                <w:sz w:val="22"/>
                                <w:lang w:val="pt-BR"/>
                              </w:rPr>
                            </w:pPr>
                            <w:r w:rsidRPr="00625DFE">
                              <w:rPr>
                                <w:rFonts w:asciiTheme="minorHAnsi" w:hAnsiTheme="minorHAnsi"/>
                                <w:color w:val="FFFFFF" w:themeColor="background1"/>
                                <w:sz w:val="22"/>
                                <w:lang w:val="pt-BR"/>
                              </w:rPr>
                              <w:t xml:space="preserve">Doc. </w:t>
                            </w:r>
                            <w:r w:rsidR="00625DFE" w:rsidRPr="00625DFE">
                              <w:rPr>
                                <w:rFonts w:asciiTheme="minorHAnsi" w:hAnsiTheme="minorHAnsi"/>
                                <w:color w:val="FFFFFF" w:themeColor="background1"/>
                                <w:sz w:val="22"/>
                                <w:lang w:val="pt-BR"/>
                              </w:rPr>
                              <w:t>196</w:t>
                            </w:r>
                          </w:p>
                          <w:p w14:paraId="05E9B926" w14:textId="57C4DDCC" w:rsidR="002C4073" w:rsidRPr="00625DFE" w:rsidRDefault="00625DFE" w:rsidP="002C4073">
                            <w:pPr>
                              <w:spacing w:line="276" w:lineRule="auto"/>
                              <w:jc w:val="right"/>
                              <w:rPr>
                                <w:rFonts w:asciiTheme="minorHAnsi" w:hAnsiTheme="minorHAnsi"/>
                                <w:color w:val="FFFFFF" w:themeColor="background1"/>
                                <w:sz w:val="22"/>
                                <w:lang w:val="es-ES"/>
                              </w:rPr>
                            </w:pPr>
                            <w:r w:rsidRPr="00625DFE">
                              <w:rPr>
                                <w:rFonts w:asciiTheme="minorHAnsi" w:hAnsiTheme="minorHAnsi"/>
                                <w:color w:val="FFFFFF" w:themeColor="background1"/>
                                <w:sz w:val="22"/>
                                <w:lang w:val="es-ES"/>
                              </w:rPr>
                              <w:t xml:space="preserve">1 December </w:t>
                            </w:r>
                            <w:r w:rsidR="002C4073" w:rsidRPr="00625DFE">
                              <w:rPr>
                                <w:rFonts w:asciiTheme="minorHAnsi" w:hAnsiTheme="minorHAnsi"/>
                                <w:color w:val="FFFFFF" w:themeColor="background1"/>
                                <w:sz w:val="22"/>
                                <w:lang w:val="es-ES"/>
                              </w:rPr>
                              <w:t>2017</w:t>
                            </w:r>
                          </w:p>
                          <w:p w14:paraId="7270A55E" w14:textId="77777777" w:rsidR="002C4073" w:rsidRPr="00625DFE" w:rsidRDefault="002C4073" w:rsidP="002C4073">
                            <w:pPr>
                              <w:spacing w:line="276" w:lineRule="auto"/>
                              <w:jc w:val="right"/>
                              <w:rPr>
                                <w:rFonts w:asciiTheme="minorHAnsi" w:hAnsiTheme="minorHAnsi"/>
                                <w:color w:val="FFFFFF" w:themeColor="background1"/>
                                <w:sz w:val="22"/>
                                <w:lang w:val="es-ES"/>
                              </w:rPr>
                            </w:pPr>
                            <w:r w:rsidRPr="00625DFE">
                              <w:rPr>
                                <w:rFonts w:asciiTheme="minorHAnsi" w:hAnsiTheme="minorHAnsi"/>
                                <w:color w:val="FFFFFF" w:themeColor="background1"/>
                                <w:sz w:val="22"/>
                                <w:lang w:val="es-ES"/>
                              </w:rPr>
                              <w:t>Original: Spanish</w:t>
                            </w:r>
                          </w:p>
                          <w:p w14:paraId="0FC103BD" w14:textId="26E51D76"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EA7F78F" w14:textId="77777777" w:rsidR="002C4073" w:rsidRPr="00625DFE" w:rsidRDefault="002C4073" w:rsidP="002C4073">
                      <w:pPr>
                        <w:spacing w:line="276" w:lineRule="auto"/>
                        <w:jc w:val="right"/>
                        <w:rPr>
                          <w:rFonts w:asciiTheme="minorHAnsi" w:hAnsiTheme="minorHAnsi"/>
                          <w:color w:val="FFFFFF" w:themeColor="background1"/>
                          <w:sz w:val="22"/>
                          <w:lang w:val="pt-BR"/>
                        </w:rPr>
                      </w:pPr>
                      <w:r w:rsidRPr="00625DFE">
                        <w:rPr>
                          <w:rFonts w:asciiTheme="minorHAnsi" w:hAnsiTheme="minorHAnsi"/>
                          <w:color w:val="FFFFFF" w:themeColor="background1"/>
                          <w:sz w:val="22"/>
                          <w:lang w:val="pt-BR"/>
                        </w:rPr>
                        <w:t>OEA/Ser.L/V/II.166</w:t>
                      </w:r>
                    </w:p>
                    <w:p w14:paraId="4CD0EB8F" w14:textId="60A84096" w:rsidR="002C4073" w:rsidRPr="00625DFE" w:rsidRDefault="002C4073" w:rsidP="002C4073">
                      <w:pPr>
                        <w:spacing w:line="276" w:lineRule="auto"/>
                        <w:jc w:val="right"/>
                        <w:rPr>
                          <w:rFonts w:asciiTheme="minorHAnsi" w:hAnsiTheme="minorHAnsi"/>
                          <w:color w:val="FFFFFF" w:themeColor="background1"/>
                          <w:sz w:val="22"/>
                          <w:lang w:val="pt-BR"/>
                        </w:rPr>
                      </w:pPr>
                      <w:r w:rsidRPr="00625DFE">
                        <w:rPr>
                          <w:rFonts w:asciiTheme="minorHAnsi" w:hAnsiTheme="minorHAnsi"/>
                          <w:color w:val="FFFFFF" w:themeColor="background1"/>
                          <w:sz w:val="22"/>
                          <w:lang w:val="pt-BR"/>
                        </w:rPr>
                        <w:t xml:space="preserve">Doc. </w:t>
                      </w:r>
                      <w:r w:rsidR="00625DFE" w:rsidRPr="00625DFE">
                        <w:rPr>
                          <w:rFonts w:asciiTheme="minorHAnsi" w:hAnsiTheme="minorHAnsi"/>
                          <w:color w:val="FFFFFF" w:themeColor="background1"/>
                          <w:sz w:val="22"/>
                          <w:lang w:val="pt-BR"/>
                        </w:rPr>
                        <w:t>196</w:t>
                      </w:r>
                    </w:p>
                    <w:p w14:paraId="05E9B926" w14:textId="57C4DDCC" w:rsidR="002C4073" w:rsidRPr="00625DFE" w:rsidRDefault="00625DFE" w:rsidP="002C4073">
                      <w:pPr>
                        <w:spacing w:line="276" w:lineRule="auto"/>
                        <w:jc w:val="right"/>
                        <w:rPr>
                          <w:rFonts w:asciiTheme="minorHAnsi" w:hAnsiTheme="minorHAnsi"/>
                          <w:color w:val="FFFFFF" w:themeColor="background1"/>
                          <w:sz w:val="22"/>
                          <w:lang w:val="es-ES"/>
                        </w:rPr>
                      </w:pPr>
                      <w:r w:rsidRPr="00625DFE">
                        <w:rPr>
                          <w:rFonts w:asciiTheme="minorHAnsi" w:hAnsiTheme="minorHAnsi"/>
                          <w:color w:val="FFFFFF" w:themeColor="background1"/>
                          <w:sz w:val="22"/>
                          <w:lang w:val="es-ES"/>
                        </w:rPr>
                        <w:t xml:space="preserve">1 December </w:t>
                      </w:r>
                      <w:r w:rsidR="002C4073" w:rsidRPr="00625DFE">
                        <w:rPr>
                          <w:rFonts w:asciiTheme="minorHAnsi" w:hAnsiTheme="minorHAnsi"/>
                          <w:color w:val="FFFFFF" w:themeColor="background1"/>
                          <w:sz w:val="22"/>
                          <w:lang w:val="es-ES"/>
                        </w:rPr>
                        <w:t>2017</w:t>
                      </w:r>
                    </w:p>
                    <w:p w14:paraId="7270A55E" w14:textId="77777777" w:rsidR="002C4073" w:rsidRPr="00625DFE" w:rsidRDefault="002C4073" w:rsidP="002C4073">
                      <w:pPr>
                        <w:spacing w:line="276" w:lineRule="auto"/>
                        <w:jc w:val="right"/>
                        <w:rPr>
                          <w:rFonts w:asciiTheme="minorHAnsi" w:hAnsiTheme="minorHAnsi"/>
                          <w:color w:val="FFFFFF" w:themeColor="background1"/>
                          <w:sz w:val="22"/>
                          <w:lang w:val="es-ES"/>
                        </w:rPr>
                      </w:pPr>
                      <w:r w:rsidRPr="00625DFE">
                        <w:rPr>
                          <w:rFonts w:asciiTheme="minorHAnsi" w:hAnsiTheme="minorHAnsi"/>
                          <w:color w:val="FFFFFF" w:themeColor="background1"/>
                          <w:sz w:val="22"/>
                          <w:lang w:val="es-ES"/>
                        </w:rPr>
                        <w:t>Original: Spanish</w:t>
                      </w:r>
                    </w:p>
                    <w:p w14:paraId="0FC103BD" w14:textId="26E51D76"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04AF51A"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625DFE">
                              <w:rPr>
                                <w:rFonts w:asciiTheme="majorHAnsi" w:hAnsiTheme="majorHAnsi"/>
                                <w:color w:val="0D0D0D" w:themeColor="text1" w:themeTint="F2"/>
                                <w:sz w:val="18"/>
                                <w:szCs w:val="20"/>
                              </w:rPr>
                              <w:t>2111</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625DFE">
                              <w:rPr>
                                <w:rFonts w:asciiTheme="majorHAnsi" w:hAnsiTheme="majorHAnsi"/>
                                <w:color w:val="0D0D0D" w:themeColor="text1" w:themeTint="F2"/>
                                <w:sz w:val="18"/>
                                <w:szCs w:val="20"/>
                              </w:rPr>
                              <w:t>December 1</w:t>
                            </w:r>
                            <w:r w:rsidR="000C4365">
                              <w:rPr>
                                <w:rFonts w:asciiTheme="majorHAnsi" w:hAnsiTheme="majorHAnsi"/>
                                <w:color w:val="0D0D0D" w:themeColor="text1" w:themeTint="F2"/>
                                <w:sz w:val="18"/>
                                <w:szCs w:val="20"/>
                              </w:rPr>
                              <w:t>, 201</w:t>
                            </w:r>
                            <w:r w:rsidR="00DB058F">
                              <w:rPr>
                                <w:rFonts w:asciiTheme="majorHAnsi" w:hAnsiTheme="majorHAnsi"/>
                                <w:color w:val="0D0D0D" w:themeColor="text1" w:themeTint="F2"/>
                                <w:sz w:val="18"/>
                                <w:szCs w:val="20"/>
                              </w:rPr>
                              <w:t>7</w:t>
                            </w:r>
                            <w:r w:rsidR="00625DF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DB058F">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625DF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625DFE">
                              <w:rPr>
                                <w:rFonts w:asciiTheme="majorHAnsi" w:hAnsiTheme="majorHAnsi" w:cs="Univers"/>
                                <w:color w:val="0D0D0D" w:themeColor="text1" w:themeTint="F2"/>
                                <w:sz w:val="18"/>
                                <w:szCs w:val="20"/>
                              </w:rPr>
                              <w:t>.</w:t>
                            </w:r>
                          </w:p>
                          <w:p w14:paraId="4468F273" w14:textId="014BB64C"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304AF51A"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625DFE">
                        <w:rPr>
                          <w:rFonts w:asciiTheme="majorHAnsi" w:hAnsiTheme="majorHAnsi"/>
                          <w:color w:val="0D0D0D" w:themeColor="text1" w:themeTint="F2"/>
                          <w:sz w:val="18"/>
                          <w:szCs w:val="20"/>
                        </w:rPr>
                        <w:t>2111</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625DFE">
                        <w:rPr>
                          <w:rFonts w:asciiTheme="majorHAnsi" w:hAnsiTheme="majorHAnsi"/>
                          <w:color w:val="0D0D0D" w:themeColor="text1" w:themeTint="F2"/>
                          <w:sz w:val="18"/>
                          <w:szCs w:val="20"/>
                        </w:rPr>
                        <w:t>December 1</w:t>
                      </w:r>
                      <w:r w:rsidR="000C4365">
                        <w:rPr>
                          <w:rFonts w:asciiTheme="majorHAnsi" w:hAnsiTheme="majorHAnsi"/>
                          <w:color w:val="0D0D0D" w:themeColor="text1" w:themeTint="F2"/>
                          <w:sz w:val="18"/>
                          <w:szCs w:val="20"/>
                        </w:rPr>
                        <w:t>, 201</w:t>
                      </w:r>
                      <w:r w:rsidR="00DB058F">
                        <w:rPr>
                          <w:rFonts w:asciiTheme="majorHAnsi" w:hAnsiTheme="majorHAnsi"/>
                          <w:color w:val="0D0D0D" w:themeColor="text1" w:themeTint="F2"/>
                          <w:sz w:val="18"/>
                          <w:szCs w:val="20"/>
                        </w:rPr>
                        <w:t>7</w:t>
                      </w:r>
                      <w:r w:rsidR="00625DF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DB058F">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625DF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625DFE">
                        <w:rPr>
                          <w:rFonts w:asciiTheme="majorHAnsi" w:hAnsiTheme="majorHAnsi" w:cs="Univers"/>
                          <w:color w:val="0D0D0D" w:themeColor="text1" w:themeTint="F2"/>
                          <w:sz w:val="18"/>
                          <w:szCs w:val="20"/>
                        </w:rPr>
                        <w:t>.</w:t>
                      </w:r>
                    </w:p>
                    <w:p w14:paraId="4468F273" w14:textId="014BB64C"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08E1D65" w:rsidR="00F644E6" w:rsidRPr="00DB058F" w:rsidRDefault="00DB058F" w:rsidP="00F644E6">
                            <w:pPr>
                              <w:spacing w:line="276" w:lineRule="auto"/>
                              <w:rPr>
                                <w:rFonts w:asciiTheme="majorHAnsi" w:hAnsiTheme="majorHAnsi"/>
                                <w:color w:val="595959" w:themeColor="text1" w:themeTint="A6"/>
                                <w:sz w:val="18"/>
                                <w:szCs w:val="18"/>
                                <w:lang w:val="es-ES"/>
                              </w:rPr>
                            </w:pPr>
                            <w:r w:rsidRPr="00B14F40">
                              <w:rPr>
                                <w:rFonts w:asciiTheme="majorHAnsi" w:hAnsiTheme="majorHAnsi"/>
                                <w:b/>
                                <w:color w:val="595959" w:themeColor="text1" w:themeTint="A6"/>
                                <w:sz w:val="18"/>
                                <w:szCs w:val="18"/>
                                <w:lang w:val="en-GB"/>
                              </w:rPr>
                              <w:t xml:space="preserve">Cite as: </w:t>
                            </w:r>
                            <w:r w:rsidRPr="00B14F40">
                              <w:rPr>
                                <w:rFonts w:asciiTheme="majorHAnsi" w:hAnsiTheme="majorHAnsi"/>
                                <w:color w:val="595959" w:themeColor="text1" w:themeTint="A6"/>
                                <w:sz w:val="18"/>
                                <w:szCs w:val="18"/>
                                <w:lang w:val="en-GB"/>
                              </w:rPr>
                              <w:t>IACHR, Report No.</w:t>
                            </w:r>
                            <w:r w:rsidR="00625DFE">
                              <w:rPr>
                                <w:rFonts w:asciiTheme="majorHAnsi" w:hAnsiTheme="majorHAnsi"/>
                                <w:color w:val="595959" w:themeColor="text1" w:themeTint="A6"/>
                                <w:sz w:val="18"/>
                                <w:szCs w:val="18"/>
                                <w:lang w:val="en-GB"/>
                              </w:rPr>
                              <w:t>165/17. Petition</w:t>
                            </w:r>
                            <w:r w:rsidRPr="00B14F40">
                              <w:rPr>
                                <w:rFonts w:asciiTheme="majorHAnsi" w:hAnsiTheme="majorHAnsi"/>
                                <w:color w:val="595959" w:themeColor="text1" w:themeTint="A6"/>
                                <w:sz w:val="18"/>
                                <w:szCs w:val="18"/>
                                <w:lang w:val="en-GB"/>
                              </w:rPr>
                              <w:t xml:space="preserve"> 86-08. </w:t>
                            </w:r>
                            <w:r w:rsidRPr="00B14F40">
                              <w:rPr>
                                <w:rFonts w:asciiTheme="majorHAnsi" w:hAnsiTheme="majorHAnsi"/>
                                <w:color w:val="595959" w:themeColor="text1" w:themeTint="A6"/>
                                <w:sz w:val="18"/>
                                <w:szCs w:val="18"/>
                                <w:lang w:val="es-ES"/>
                              </w:rPr>
                              <w:t xml:space="preserve">Admissibility. Dionicio Cervantes Nolasco </w:t>
                            </w:r>
                            <w:r>
                              <w:rPr>
                                <w:rFonts w:asciiTheme="majorHAnsi" w:hAnsiTheme="majorHAnsi"/>
                                <w:color w:val="595959" w:themeColor="text1" w:themeTint="A6"/>
                                <w:sz w:val="18"/>
                                <w:szCs w:val="18"/>
                                <w:lang w:val="es-ES"/>
                              </w:rPr>
                              <w:t>and</w:t>
                            </w:r>
                            <w:r w:rsidRPr="00B14F40">
                              <w:rPr>
                                <w:rFonts w:asciiTheme="majorHAnsi" w:hAnsiTheme="majorHAnsi"/>
                                <w:color w:val="595959" w:themeColor="text1" w:themeTint="A6"/>
                                <w:sz w:val="18"/>
                                <w:szCs w:val="18"/>
                                <w:lang w:val="es-ES"/>
                              </w:rPr>
                              <w:t xml:space="preserve"> Armando Aguilar Reyes. M</w:t>
                            </w:r>
                            <w:r>
                              <w:rPr>
                                <w:rFonts w:asciiTheme="majorHAnsi" w:hAnsiTheme="majorHAnsi"/>
                                <w:color w:val="595959" w:themeColor="text1" w:themeTint="A6"/>
                                <w:sz w:val="18"/>
                                <w:szCs w:val="18"/>
                                <w:lang w:val="es-ES"/>
                              </w:rPr>
                              <w:t>exico</w:t>
                            </w:r>
                            <w:r w:rsidRPr="00B14F40">
                              <w:rPr>
                                <w:rFonts w:asciiTheme="majorHAnsi" w:hAnsiTheme="majorHAnsi"/>
                                <w:color w:val="595959" w:themeColor="text1" w:themeTint="A6"/>
                                <w:sz w:val="18"/>
                                <w:szCs w:val="18"/>
                                <w:lang w:val="es-ES"/>
                              </w:rPr>
                              <w:t>.</w:t>
                            </w:r>
                            <w:r w:rsidR="00625DFE">
                              <w:rPr>
                                <w:rFonts w:asciiTheme="majorHAnsi" w:hAnsiTheme="majorHAnsi"/>
                                <w:color w:val="595959" w:themeColor="text1" w:themeTint="A6"/>
                                <w:sz w:val="18"/>
                                <w:szCs w:val="18"/>
                                <w:lang w:val="es-ES"/>
                              </w:rPr>
                              <w:t xml:space="preserve"> December 1, 2017</w:t>
                            </w:r>
                            <w:r w:rsidRPr="00B14F40">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08E1D65" w:rsidR="00F644E6" w:rsidRPr="00DB058F" w:rsidRDefault="00DB058F" w:rsidP="00F644E6">
                      <w:pPr>
                        <w:spacing w:line="276" w:lineRule="auto"/>
                        <w:rPr>
                          <w:rFonts w:asciiTheme="majorHAnsi" w:hAnsiTheme="majorHAnsi"/>
                          <w:color w:val="595959" w:themeColor="text1" w:themeTint="A6"/>
                          <w:sz w:val="18"/>
                          <w:szCs w:val="18"/>
                          <w:lang w:val="es-ES"/>
                        </w:rPr>
                      </w:pPr>
                      <w:r w:rsidRPr="00B14F40">
                        <w:rPr>
                          <w:rFonts w:asciiTheme="majorHAnsi" w:hAnsiTheme="majorHAnsi"/>
                          <w:b/>
                          <w:color w:val="595959" w:themeColor="text1" w:themeTint="A6"/>
                          <w:sz w:val="18"/>
                          <w:szCs w:val="18"/>
                          <w:lang w:val="en-GB"/>
                        </w:rPr>
                        <w:t xml:space="preserve">Cite as: </w:t>
                      </w:r>
                      <w:r w:rsidRPr="00B14F40">
                        <w:rPr>
                          <w:rFonts w:asciiTheme="majorHAnsi" w:hAnsiTheme="majorHAnsi"/>
                          <w:color w:val="595959" w:themeColor="text1" w:themeTint="A6"/>
                          <w:sz w:val="18"/>
                          <w:szCs w:val="18"/>
                          <w:lang w:val="en-GB"/>
                        </w:rPr>
                        <w:t>IACHR, Report No.</w:t>
                      </w:r>
                      <w:r w:rsidR="00625DFE">
                        <w:rPr>
                          <w:rFonts w:asciiTheme="majorHAnsi" w:hAnsiTheme="majorHAnsi"/>
                          <w:color w:val="595959" w:themeColor="text1" w:themeTint="A6"/>
                          <w:sz w:val="18"/>
                          <w:szCs w:val="18"/>
                          <w:lang w:val="en-GB"/>
                        </w:rPr>
                        <w:t>165/17. Petition</w:t>
                      </w:r>
                      <w:r w:rsidRPr="00B14F40">
                        <w:rPr>
                          <w:rFonts w:asciiTheme="majorHAnsi" w:hAnsiTheme="majorHAnsi"/>
                          <w:color w:val="595959" w:themeColor="text1" w:themeTint="A6"/>
                          <w:sz w:val="18"/>
                          <w:szCs w:val="18"/>
                          <w:lang w:val="en-GB"/>
                        </w:rPr>
                        <w:t xml:space="preserve"> 86-08. </w:t>
                      </w:r>
                      <w:r w:rsidRPr="00B14F40">
                        <w:rPr>
                          <w:rFonts w:asciiTheme="majorHAnsi" w:hAnsiTheme="majorHAnsi"/>
                          <w:color w:val="595959" w:themeColor="text1" w:themeTint="A6"/>
                          <w:sz w:val="18"/>
                          <w:szCs w:val="18"/>
                          <w:lang w:val="es-ES"/>
                        </w:rPr>
                        <w:t xml:space="preserve">Admissibility. Dionicio Cervantes Nolasco </w:t>
                      </w:r>
                      <w:r>
                        <w:rPr>
                          <w:rFonts w:asciiTheme="majorHAnsi" w:hAnsiTheme="majorHAnsi"/>
                          <w:color w:val="595959" w:themeColor="text1" w:themeTint="A6"/>
                          <w:sz w:val="18"/>
                          <w:szCs w:val="18"/>
                          <w:lang w:val="es-ES"/>
                        </w:rPr>
                        <w:t>and</w:t>
                      </w:r>
                      <w:r w:rsidRPr="00B14F40">
                        <w:rPr>
                          <w:rFonts w:asciiTheme="majorHAnsi" w:hAnsiTheme="majorHAnsi"/>
                          <w:color w:val="595959" w:themeColor="text1" w:themeTint="A6"/>
                          <w:sz w:val="18"/>
                          <w:szCs w:val="18"/>
                          <w:lang w:val="es-ES"/>
                        </w:rPr>
                        <w:t xml:space="preserve"> Armando Aguilar Reyes. M</w:t>
                      </w:r>
                      <w:r>
                        <w:rPr>
                          <w:rFonts w:asciiTheme="majorHAnsi" w:hAnsiTheme="majorHAnsi"/>
                          <w:color w:val="595959" w:themeColor="text1" w:themeTint="A6"/>
                          <w:sz w:val="18"/>
                          <w:szCs w:val="18"/>
                          <w:lang w:val="es-ES"/>
                        </w:rPr>
                        <w:t>exico</w:t>
                      </w:r>
                      <w:r w:rsidRPr="00B14F40">
                        <w:rPr>
                          <w:rFonts w:asciiTheme="majorHAnsi" w:hAnsiTheme="majorHAnsi"/>
                          <w:color w:val="595959" w:themeColor="text1" w:themeTint="A6"/>
                          <w:sz w:val="18"/>
                          <w:szCs w:val="18"/>
                          <w:lang w:val="es-ES"/>
                        </w:rPr>
                        <w:t>.</w:t>
                      </w:r>
                      <w:r w:rsidR="00625DFE">
                        <w:rPr>
                          <w:rFonts w:asciiTheme="majorHAnsi" w:hAnsiTheme="majorHAnsi"/>
                          <w:color w:val="595959" w:themeColor="text1" w:themeTint="A6"/>
                          <w:sz w:val="18"/>
                          <w:szCs w:val="18"/>
                          <w:lang w:val="es-ES"/>
                        </w:rPr>
                        <w:t xml:space="preserve"> December 1, 2017</w:t>
                      </w:r>
                      <w:r w:rsidRPr="00B14F40">
                        <w:rPr>
                          <w:rFonts w:asciiTheme="majorHAnsi" w:hAnsiTheme="majorHAnsi"/>
                          <w:color w:val="595959" w:themeColor="text1" w:themeTint="A6"/>
                          <w:sz w:val="18"/>
                          <w:szCs w:val="18"/>
                          <w:lang w:val="pt-BR"/>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24DF0DD2" w14:textId="4EC6E9B5" w:rsidR="00DB058F" w:rsidRPr="0015405B" w:rsidRDefault="00DB058F" w:rsidP="00DB058F">
      <w:pPr>
        <w:tabs>
          <w:tab w:val="center" w:pos="5400"/>
        </w:tabs>
        <w:suppressAutoHyphens/>
        <w:spacing w:line="276" w:lineRule="auto"/>
        <w:jc w:val="center"/>
        <w:rPr>
          <w:rFonts w:asciiTheme="majorHAnsi" w:hAnsiTheme="majorHAnsi"/>
          <w:b/>
          <w:sz w:val="18"/>
          <w:szCs w:val="20"/>
        </w:rPr>
      </w:pPr>
      <w:r w:rsidRPr="0015405B">
        <w:rPr>
          <w:rFonts w:asciiTheme="majorHAnsi" w:hAnsiTheme="majorHAnsi"/>
          <w:b/>
          <w:sz w:val="18"/>
          <w:szCs w:val="20"/>
        </w:rPr>
        <w:lastRenderedPageBreak/>
        <w:t xml:space="preserve">REPORT No. </w:t>
      </w:r>
      <w:r w:rsidR="00625DFE">
        <w:rPr>
          <w:rFonts w:asciiTheme="majorHAnsi" w:hAnsiTheme="majorHAnsi"/>
          <w:b/>
          <w:sz w:val="18"/>
          <w:szCs w:val="20"/>
        </w:rPr>
        <w:t>165</w:t>
      </w:r>
      <w:r w:rsidRPr="0015405B">
        <w:rPr>
          <w:rFonts w:asciiTheme="majorHAnsi" w:hAnsiTheme="majorHAnsi"/>
          <w:b/>
          <w:sz w:val="18"/>
          <w:szCs w:val="20"/>
        </w:rPr>
        <w:t>/17</w:t>
      </w:r>
      <w:r w:rsidRPr="0015405B">
        <w:rPr>
          <w:rStyle w:val="FootnoteReference"/>
          <w:rFonts w:asciiTheme="majorHAnsi" w:hAnsiTheme="majorHAnsi"/>
          <w:b/>
          <w:sz w:val="18"/>
          <w:szCs w:val="20"/>
        </w:rPr>
        <w:footnoteReference w:id="2"/>
      </w:r>
    </w:p>
    <w:p w14:paraId="1C21FD7E" w14:textId="77777777" w:rsidR="00DB058F" w:rsidRPr="0015405B" w:rsidRDefault="00DB058F" w:rsidP="00DB058F">
      <w:pPr>
        <w:tabs>
          <w:tab w:val="center" w:pos="5400"/>
        </w:tabs>
        <w:suppressAutoHyphens/>
        <w:spacing w:line="276" w:lineRule="auto"/>
        <w:jc w:val="center"/>
        <w:rPr>
          <w:rFonts w:asciiTheme="majorHAnsi" w:hAnsiTheme="majorHAnsi"/>
          <w:b/>
          <w:sz w:val="18"/>
          <w:szCs w:val="20"/>
        </w:rPr>
      </w:pPr>
      <w:r w:rsidRPr="0015405B">
        <w:rPr>
          <w:rFonts w:asciiTheme="majorHAnsi" w:hAnsiTheme="majorHAnsi"/>
          <w:b/>
          <w:sz w:val="18"/>
          <w:szCs w:val="20"/>
        </w:rPr>
        <w:t>PETITION 86-08</w:t>
      </w:r>
    </w:p>
    <w:p w14:paraId="5F069A32" w14:textId="77777777" w:rsidR="00DB058F" w:rsidRPr="0015405B" w:rsidRDefault="00DB058F" w:rsidP="00DB058F">
      <w:pPr>
        <w:tabs>
          <w:tab w:val="center" w:pos="5400"/>
        </w:tabs>
        <w:suppressAutoHyphens/>
        <w:spacing w:line="276" w:lineRule="auto"/>
        <w:jc w:val="center"/>
        <w:rPr>
          <w:rFonts w:asciiTheme="majorHAnsi" w:hAnsiTheme="majorHAnsi"/>
          <w:sz w:val="18"/>
          <w:szCs w:val="20"/>
        </w:rPr>
      </w:pPr>
      <w:r w:rsidRPr="0015405B">
        <w:rPr>
          <w:rFonts w:asciiTheme="majorHAnsi" w:hAnsiTheme="majorHAnsi"/>
          <w:sz w:val="18"/>
          <w:szCs w:val="20"/>
        </w:rPr>
        <w:t xml:space="preserve">REPORT ON ADMISSIBILITY </w:t>
      </w:r>
    </w:p>
    <w:p w14:paraId="1B565EB0" w14:textId="77777777" w:rsidR="00DB058F" w:rsidRPr="0015405B" w:rsidRDefault="00DB058F" w:rsidP="00DB058F">
      <w:pPr>
        <w:tabs>
          <w:tab w:val="center" w:pos="5400"/>
        </w:tabs>
        <w:suppressAutoHyphens/>
        <w:spacing w:line="276" w:lineRule="auto"/>
        <w:jc w:val="center"/>
        <w:rPr>
          <w:rFonts w:asciiTheme="majorHAnsi" w:hAnsiTheme="majorHAnsi"/>
          <w:sz w:val="18"/>
          <w:szCs w:val="20"/>
        </w:rPr>
      </w:pPr>
      <w:r w:rsidRPr="0015405B">
        <w:rPr>
          <w:rFonts w:asciiTheme="majorHAnsi" w:hAnsiTheme="majorHAnsi"/>
          <w:sz w:val="18"/>
          <w:szCs w:val="20"/>
        </w:rPr>
        <w:t>DIONICIO CERVANTES NOLASCO AND ARMANDO AGUILAR REYES</w:t>
      </w:r>
    </w:p>
    <w:p w14:paraId="4977C992" w14:textId="77777777" w:rsidR="00DB058F" w:rsidRDefault="00DB058F" w:rsidP="00DB058F">
      <w:pPr>
        <w:tabs>
          <w:tab w:val="center" w:pos="5400"/>
        </w:tabs>
        <w:suppressAutoHyphens/>
        <w:spacing w:line="276" w:lineRule="auto"/>
        <w:jc w:val="center"/>
        <w:rPr>
          <w:rFonts w:asciiTheme="majorHAnsi" w:hAnsiTheme="majorHAnsi"/>
          <w:sz w:val="18"/>
          <w:szCs w:val="20"/>
        </w:rPr>
      </w:pPr>
      <w:r w:rsidRPr="0015405B">
        <w:rPr>
          <w:rFonts w:asciiTheme="majorHAnsi" w:hAnsiTheme="majorHAnsi"/>
          <w:sz w:val="18"/>
          <w:szCs w:val="20"/>
        </w:rPr>
        <w:t>MEXICO</w:t>
      </w:r>
    </w:p>
    <w:p w14:paraId="2900C44D" w14:textId="4D90EA8B" w:rsidR="00F621C3" w:rsidRPr="00625DFE" w:rsidRDefault="00625DFE" w:rsidP="00DB058F">
      <w:pPr>
        <w:tabs>
          <w:tab w:val="center" w:pos="5400"/>
        </w:tabs>
        <w:suppressAutoHyphens/>
        <w:spacing w:line="276" w:lineRule="auto"/>
        <w:jc w:val="center"/>
        <w:rPr>
          <w:rFonts w:asciiTheme="majorHAnsi" w:hAnsiTheme="majorHAnsi"/>
          <w:sz w:val="18"/>
          <w:szCs w:val="20"/>
        </w:rPr>
      </w:pPr>
      <w:r w:rsidRPr="00625DFE">
        <w:rPr>
          <w:rFonts w:asciiTheme="majorHAnsi" w:hAnsiTheme="majorHAnsi"/>
          <w:sz w:val="18"/>
          <w:szCs w:val="20"/>
        </w:rPr>
        <w:t>DECEMBER 1,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B058F" w:rsidRPr="000B6B7A" w14:paraId="491E8196" w14:textId="77777777" w:rsidTr="00DB058F">
        <w:tc>
          <w:tcPr>
            <w:tcW w:w="4680" w:type="dxa"/>
            <w:tcBorders>
              <w:top w:val="single" w:sz="4" w:space="0" w:color="auto"/>
              <w:bottom w:val="single" w:sz="6" w:space="0" w:color="auto"/>
            </w:tcBorders>
            <w:shd w:val="clear" w:color="auto" w:fill="67AE3C"/>
            <w:vAlign w:val="center"/>
          </w:tcPr>
          <w:p w14:paraId="5524F917" w14:textId="77777777" w:rsidR="00DB058F" w:rsidRPr="000B6B7A" w:rsidRDefault="00DB058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23F33F1C" w14:textId="626CFB91" w:rsidR="00DB058F" w:rsidRPr="000B6B7A" w:rsidRDefault="00DB058F" w:rsidP="009163FC">
            <w:pPr>
              <w:jc w:val="both"/>
              <w:rPr>
                <w:rFonts w:ascii="Cambria" w:hAnsi="Cambria"/>
                <w:bCs/>
                <w:sz w:val="20"/>
                <w:szCs w:val="20"/>
              </w:rPr>
            </w:pPr>
            <w:r w:rsidRPr="0015405B">
              <w:rPr>
                <w:rFonts w:ascii="Cambria" w:hAnsi="Cambria"/>
                <w:bCs/>
                <w:sz w:val="20"/>
                <w:szCs w:val="20"/>
              </w:rPr>
              <w:t xml:space="preserve">José de Jesús Esqueda Díaz </w:t>
            </w:r>
          </w:p>
        </w:tc>
      </w:tr>
      <w:tr w:rsidR="00DB058F" w:rsidRPr="000B6B7A" w14:paraId="0F4A57A0" w14:textId="77777777" w:rsidTr="00DB058F">
        <w:tc>
          <w:tcPr>
            <w:tcW w:w="4680" w:type="dxa"/>
            <w:tcBorders>
              <w:top w:val="single" w:sz="6" w:space="0" w:color="auto"/>
              <w:bottom w:val="single" w:sz="6" w:space="0" w:color="auto"/>
            </w:tcBorders>
            <w:shd w:val="clear" w:color="auto" w:fill="67AE3C"/>
            <w:vAlign w:val="center"/>
          </w:tcPr>
          <w:p w14:paraId="325E239F" w14:textId="687C5DAE" w:rsidR="00DB058F" w:rsidRPr="000B6B7A" w:rsidRDefault="00C006B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46CC3E201D041C2A517D507EDE75BFA"/>
                </w:placeholder>
                <w:dropDownList>
                  <w:listItem w:value="Choose an item."/>
                  <w:listItem w:displayText="Alleged victim" w:value="Alleged victim"/>
                  <w:listItem w:displayText="Alleged victims" w:value="Alleged victims"/>
                </w:dropDownList>
              </w:sdtPr>
              <w:sdtEndPr/>
              <w:sdtContent>
                <w:r w:rsidR="00DB058F">
                  <w:rPr>
                    <w:rFonts w:ascii="Cambria" w:hAnsi="Cambria"/>
                    <w:b/>
                    <w:bCs/>
                    <w:color w:val="FFFFFF" w:themeColor="background1"/>
                    <w:sz w:val="20"/>
                    <w:szCs w:val="20"/>
                  </w:rPr>
                  <w:t>Alleged victims</w:t>
                </w:r>
              </w:sdtContent>
            </w:sdt>
            <w:r w:rsidR="00DB058F" w:rsidRPr="000C4365">
              <w:rPr>
                <w:rFonts w:ascii="Cambria" w:hAnsi="Cambria"/>
                <w:b/>
                <w:bCs/>
                <w:color w:val="FFFFFF" w:themeColor="background1"/>
                <w:sz w:val="20"/>
                <w:szCs w:val="20"/>
              </w:rPr>
              <w:t>:</w:t>
            </w:r>
          </w:p>
        </w:tc>
        <w:tc>
          <w:tcPr>
            <w:tcW w:w="4680" w:type="dxa"/>
            <w:vAlign w:val="center"/>
          </w:tcPr>
          <w:p w14:paraId="4652B11C" w14:textId="09FBC1B8" w:rsidR="00DB058F" w:rsidRPr="000B6B7A" w:rsidRDefault="00DB058F" w:rsidP="009163FC">
            <w:pPr>
              <w:jc w:val="both"/>
              <w:rPr>
                <w:rFonts w:ascii="Cambria" w:hAnsi="Cambria"/>
                <w:bCs/>
                <w:sz w:val="20"/>
                <w:szCs w:val="20"/>
              </w:rPr>
            </w:pPr>
            <w:r w:rsidRPr="0015405B">
              <w:rPr>
                <w:rFonts w:ascii="Cambria" w:hAnsi="Cambria"/>
                <w:bCs/>
                <w:sz w:val="20"/>
                <w:szCs w:val="20"/>
              </w:rPr>
              <w:t>Dionicio Cervantes Nolasco and Armando Aguilar Reyes</w:t>
            </w:r>
          </w:p>
        </w:tc>
      </w:tr>
      <w:tr w:rsidR="00DB058F" w:rsidRPr="000B6B7A" w14:paraId="067638D2" w14:textId="77777777" w:rsidTr="00DB058F">
        <w:tc>
          <w:tcPr>
            <w:tcW w:w="4680" w:type="dxa"/>
            <w:tcBorders>
              <w:top w:val="single" w:sz="6" w:space="0" w:color="auto"/>
              <w:bottom w:val="single" w:sz="6" w:space="0" w:color="auto"/>
            </w:tcBorders>
            <w:shd w:val="clear" w:color="auto" w:fill="67AE3C"/>
            <w:vAlign w:val="center"/>
          </w:tcPr>
          <w:p w14:paraId="32104528" w14:textId="77777777" w:rsidR="00DB058F" w:rsidRPr="000B6B7A" w:rsidRDefault="00DB058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4ADFD6EB" w14:textId="1A4373BB" w:rsidR="00DB058F" w:rsidRPr="000B6B7A" w:rsidRDefault="00DB058F" w:rsidP="009163FC">
            <w:pPr>
              <w:jc w:val="both"/>
              <w:rPr>
                <w:rFonts w:ascii="Cambria" w:hAnsi="Cambria"/>
                <w:bCs/>
                <w:sz w:val="20"/>
                <w:szCs w:val="20"/>
              </w:rPr>
            </w:pPr>
            <w:r w:rsidRPr="0015405B">
              <w:rPr>
                <w:rFonts w:ascii="Cambria" w:hAnsi="Cambria"/>
                <w:bCs/>
                <w:sz w:val="20"/>
                <w:szCs w:val="20"/>
              </w:rPr>
              <w:t>Mexico</w:t>
            </w:r>
          </w:p>
        </w:tc>
      </w:tr>
      <w:tr w:rsidR="00DB058F" w:rsidRPr="000B6B7A" w14:paraId="57F2C481" w14:textId="77777777" w:rsidTr="00DB058F">
        <w:tc>
          <w:tcPr>
            <w:tcW w:w="4680" w:type="dxa"/>
            <w:tcBorders>
              <w:top w:val="single" w:sz="6" w:space="0" w:color="auto"/>
              <w:bottom w:val="single" w:sz="6" w:space="0" w:color="auto"/>
            </w:tcBorders>
            <w:shd w:val="clear" w:color="auto" w:fill="67AE3C"/>
            <w:vAlign w:val="center"/>
          </w:tcPr>
          <w:p w14:paraId="62BEEF4B" w14:textId="52EAAEA3" w:rsidR="00DB058F" w:rsidRPr="000B6B7A" w:rsidRDefault="00DB058F"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0A6351E" w14:textId="1297C94A" w:rsidR="00DB058F" w:rsidRPr="000B6B7A" w:rsidRDefault="00DB058F" w:rsidP="008F56AD">
            <w:pPr>
              <w:jc w:val="both"/>
              <w:rPr>
                <w:rFonts w:ascii="Cambria" w:hAnsi="Cambria"/>
                <w:bCs/>
                <w:sz w:val="20"/>
                <w:szCs w:val="20"/>
              </w:rPr>
            </w:pPr>
            <w:r w:rsidRPr="0015405B">
              <w:rPr>
                <w:rFonts w:asciiTheme="majorHAnsi" w:hAnsiTheme="majorHAnsi"/>
                <w:bCs/>
                <w:sz w:val="20"/>
                <w:szCs w:val="20"/>
              </w:rPr>
              <w:t>Articles 7 (</w:t>
            </w:r>
            <w:r w:rsidR="00EF1662" w:rsidRPr="0015405B">
              <w:rPr>
                <w:rFonts w:asciiTheme="majorHAnsi" w:hAnsiTheme="majorHAnsi"/>
                <w:bCs/>
                <w:sz w:val="20"/>
                <w:szCs w:val="20"/>
              </w:rPr>
              <w:t xml:space="preserve">personal liberty), 8 (fair trial), 10 (compensation), 24 (equal protection) and 25 (judicial protection) </w:t>
            </w:r>
            <w:r w:rsidRPr="0015405B">
              <w:rPr>
                <w:rFonts w:asciiTheme="majorHAnsi" w:hAnsiTheme="majorHAnsi"/>
                <w:bCs/>
                <w:sz w:val="20"/>
                <w:szCs w:val="20"/>
              </w:rPr>
              <w:t>of the American Convention on Human Rights,</w:t>
            </w:r>
            <w:r w:rsidRPr="0015405B">
              <w:rPr>
                <w:rStyle w:val="FootnoteReference"/>
                <w:rFonts w:asciiTheme="majorHAnsi" w:hAnsiTheme="majorHAnsi"/>
                <w:bCs/>
                <w:sz w:val="20"/>
                <w:szCs w:val="20"/>
              </w:rPr>
              <w:footnoteReference w:id="3"/>
            </w:r>
            <w:r w:rsidRPr="0015405B">
              <w:rPr>
                <w:rFonts w:asciiTheme="majorHAnsi" w:hAnsiTheme="majorHAnsi"/>
                <w:bCs/>
                <w:sz w:val="20"/>
                <w:szCs w:val="20"/>
              </w:rPr>
              <w:t xml:space="preserve"> in relation to its Articles 1.1 (</w:t>
            </w:r>
            <w:r w:rsidR="00EF1662" w:rsidRPr="0015405B">
              <w:rPr>
                <w:rFonts w:asciiTheme="majorHAnsi" w:hAnsiTheme="majorHAnsi"/>
                <w:bCs/>
                <w:sz w:val="20"/>
                <w:szCs w:val="20"/>
              </w:rPr>
              <w:t xml:space="preserve">obligation to respect rights) and 2 (domestic legal effects), </w:t>
            </w:r>
            <w:r w:rsidRPr="0015405B">
              <w:rPr>
                <w:rFonts w:asciiTheme="majorHAnsi" w:hAnsiTheme="majorHAnsi"/>
                <w:bCs/>
                <w:sz w:val="20"/>
                <w:szCs w:val="20"/>
              </w:rPr>
              <w:t>and other international treaties</w:t>
            </w:r>
            <w:r w:rsidRPr="0015405B">
              <w:rPr>
                <w:rStyle w:val="FootnoteReference"/>
                <w:rFonts w:asciiTheme="majorHAnsi" w:hAnsiTheme="majorHAnsi"/>
                <w:bCs/>
                <w:sz w:val="20"/>
                <w:szCs w:val="20"/>
              </w:rPr>
              <w:footnoteReference w:id="4"/>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E6537"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5E6537" w:rsidRPr="000B6B7A" w:rsidRDefault="005E653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26E26757" w:rsidR="005E6537" w:rsidRPr="000B6B7A" w:rsidRDefault="005E6537" w:rsidP="009163FC">
            <w:pPr>
              <w:jc w:val="both"/>
              <w:rPr>
                <w:rFonts w:ascii="Cambria" w:hAnsi="Cambria"/>
                <w:bCs/>
                <w:sz w:val="20"/>
                <w:szCs w:val="20"/>
              </w:rPr>
            </w:pPr>
            <w:r w:rsidRPr="0015405B">
              <w:rPr>
                <w:rFonts w:ascii="Cambria" w:hAnsi="Cambria"/>
                <w:bCs/>
                <w:sz w:val="20"/>
                <w:szCs w:val="20"/>
              </w:rPr>
              <w:t>January 24, 2008</w:t>
            </w:r>
          </w:p>
        </w:tc>
      </w:tr>
      <w:tr w:rsidR="005E6537"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5E6537" w:rsidRPr="000B6B7A" w:rsidRDefault="005E6537"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05089F29" w:rsidR="005E6537" w:rsidRPr="000B6B7A" w:rsidRDefault="005E6537" w:rsidP="009163FC">
            <w:pPr>
              <w:jc w:val="both"/>
              <w:rPr>
                <w:rFonts w:ascii="Cambria" w:hAnsi="Cambria"/>
                <w:bCs/>
                <w:sz w:val="20"/>
                <w:szCs w:val="20"/>
              </w:rPr>
            </w:pPr>
            <w:r w:rsidRPr="0015405B">
              <w:rPr>
                <w:rFonts w:ascii="Cambria" w:hAnsi="Cambria"/>
                <w:bCs/>
                <w:sz w:val="20"/>
                <w:szCs w:val="20"/>
              </w:rPr>
              <w:t>December 17, 2013</w:t>
            </w:r>
          </w:p>
        </w:tc>
      </w:tr>
      <w:tr w:rsidR="005E6537"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5E6537" w:rsidRPr="000B6B7A" w:rsidRDefault="005E6537"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36CE8C50" w:rsidR="005E6537" w:rsidRPr="000B6B7A" w:rsidRDefault="005E6537" w:rsidP="009163FC">
            <w:pPr>
              <w:jc w:val="both"/>
              <w:rPr>
                <w:rFonts w:ascii="Cambria" w:hAnsi="Cambria"/>
                <w:bCs/>
                <w:sz w:val="20"/>
                <w:szCs w:val="20"/>
              </w:rPr>
            </w:pPr>
            <w:r w:rsidRPr="0015405B">
              <w:rPr>
                <w:rFonts w:ascii="Cambria" w:hAnsi="Cambria"/>
                <w:bCs/>
                <w:sz w:val="20"/>
                <w:szCs w:val="20"/>
              </w:rPr>
              <w:t>April 16, 2014</w:t>
            </w:r>
          </w:p>
        </w:tc>
      </w:tr>
      <w:tr w:rsidR="005E6537" w:rsidRPr="000B6B7A" w14:paraId="718737D9" w14:textId="77777777" w:rsidTr="009163FC">
        <w:tc>
          <w:tcPr>
            <w:tcW w:w="4680" w:type="dxa"/>
            <w:tcBorders>
              <w:top w:val="single" w:sz="6" w:space="0" w:color="auto"/>
              <w:bottom w:val="single" w:sz="6" w:space="0" w:color="auto"/>
            </w:tcBorders>
            <w:shd w:val="clear" w:color="auto" w:fill="67AE3C"/>
            <w:vAlign w:val="center"/>
          </w:tcPr>
          <w:p w14:paraId="2F925819" w14:textId="7CD285F6" w:rsidR="005E6537" w:rsidRPr="000B6B7A" w:rsidRDefault="005E653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1C4A82C3" w14:textId="4F404C4F" w:rsidR="005E6537" w:rsidRPr="000B6B7A" w:rsidRDefault="005E6537" w:rsidP="009163FC">
            <w:pPr>
              <w:jc w:val="both"/>
              <w:rPr>
                <w:rFonts w:ascii="Cambria" w:hAnsi="Cambria"/>
                <w:bCs/>
                <w:sz w:val="20"/>
                <w:szCs w:val="20"/>
              </w:rPr>
            </w:pPr>
            <w:r w:rsidRPr="0015405B">
              <w:rPr>
                <w:rFonts w:ascii="Cambria" w:hAnsi="Cambria"/>
                <w:bCs/>
                <w:sz w:val="20"/>
                <w:szCs w:val="20"/>
              </w:rPr>
              <w:t>May 26, 2017</w:t>
            </w:r>
          </w:p>
        </w:tc>
      </w:tr>
      <w:tr w:rsidR="005E6537" w:rsidRPr="000B6B7A" w14:paraId="09808A81" w14:textId="77777777" w:rsidTr="009163FC">
        <w:tc>
          <w:tcPr>
            <w:tcW w:w="4680" w:type="dxa"/>
            <w:tcBorders>
              <w:top w:val="single" w:sz="6" w:space="0" w:color="auto"/>
              <w:bottom w:val="single" w:sz="6" w:space="0" w:color="auto"/>
            </w:tcBorders>
            <w:shd w:val="clear" w:color="auto" w:fill="67AE3C"/>
            <w:vAlign w:val="center"/>
          </w:tcPr>
          <w:p w14:paraId="49BCEA0B" w14:textId="64EAC2BF" w:rsidR="005E6537" w:rsidRDefault="005E653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6F6B7BFD" w14:textId="70BC5C58" w:rsidR="005E6537" w:rsidRPr="000B6B7A" w:rsidRDefault="005E6537" w:rsidP="009163FC">
            <w:pPr>
              <w:jc w:val="both"/>
              <w:rPr>
                <w:rFonts w:ascii="Cambria" w:hAnsi="Cambria"/>
                <w:bCs/>
                <w:sz w:val="20"/>
                <w:szCs w:val="20"/>
              </w:rPr>
            </w:pPr>
            <w:r w:rsidRPr="0015405B">
              <w:rPr>
                <w:rFonts w:ascii="Cambria" w:hAnsi="Cambria"/>
                <w:bCs/>
                <w:sz w:val="20"/>
                <w:szCs w:val="20"/>
              </w:rPr>
              <w:t>June 16,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15807" w:rsidRPr="000B6B7A" w14:paraId="2F81CC8B" w14:textId="77777777" w:rsidTr="00215807">
        <w:trPr>
          <w:cantSplit/>
        </w:trPr>
        <w:tc>
          <w:tcPr>
            <w:tcW w:w="4680" w:type="dxa"/>
            <w:tcBorders>
              <w:top w:val="single" w:sz="4" w:space="0" w:color="auto"/>
              <w:bottom w:val="single" w:sz="6" w:space="0" w:color="auto"/>
            </w:tcBorders>
            <w:shd w:val="clear" w:color="auto" w:fill="67AE3C"/>
            <w:vAlign w:val="center"/>
          </w:tcPr>
          <w:p w14:paraId="3A568008" w14:textId="77777777" w:rsidR="00215807" w:rsidRPr="000B6B7A" w:rsidRDefault="00215807"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tcPr>
          <w:p w14:paraId="34FAEB44" w14:textId="6023D887" w:rsidR="00215807" w:rsidRPr="000B6B7A" w:rsidRDefault="00215807" w:rsidP="009163FC">
            <w:pPr>
              <w:rPr>
                <w:rFonts w:asciiTheme="majorHAnsi" w:hAnsiTheme="majorHAnsi"/>
                <w:bCs/>
                <w:sz w:val="20"/>
                <w:szCs w:val="20"/>
              </w:rPr>
            </w:pPr>
            <w:r w:rsidRPr="0015405B">
              <w:rPr>
                <w:rFonts w:asciiTheme="majorHAnsi" w:hAnsiTheme="majorHAnsi"/>
                <w:sz w:val="20"/>
                <w:szCs w:val="20"/>
              </w:rPr>
              <w:t>Yes</w:t>
            </w:r>
          </w:p>
        </w:tc>
      </w:tr>
      <w:tr w:rsidR="00215807" w:rsidRPr="000B6B7A" w14:paraId="5FE56D1B" w14:textId="77777777" w:rsidTr="00215807">
        <w:trPr>
          <w:cantSplit/>
        </w:trPr>
        <w:tc>
          <w:tcPr>
            <w:tcW w:w="4680" w:type="dxa"/>
            <w:tcBorders>
              <w:top w:val="single" w:sz="6" w:space="0" w:color="auto"/>
              <w:bottom w:val="single" w:sz="6" w:space="0" w:color="auto"/>
            </w:tcBorders>
            <w:shd w:val="clear" w:color="auto" w:fill="67AE3C"/>
            <w:vAlign w:val="center"/>
          </w:tcPr>
          <w:p w14:paraId="2190B967" w14:textId="77777777" w:rsidR="00215807" w:rsidRPr="000B6B7A" w:rsidRDefault="0021580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tcPr>
          <w:p w14:paraId="0CCF5DF8" w14:textId="5A368EAE" w:rsidR="00215807" w:rsidRPr="000B6B7A" w:rsidRDefault="00215807" w:rsidP="009163FC">
            <w:pPr>
              <w:rPr>
                <w:rFonts w:asciiTheme="majorHAnsi" w:hAnsiTheme="majorHAnsi"/>
                <w:bCs/>
                <w:sz w:val="20"/>
                <w:szCs w:val="20"/>
              </w:rPr>
            </w:pPr>
            <w:r w:rsidRPr="0015405B">
              <w:rPr>
                <w:rFonts w:asciiTheme="majorHAnsi" w:hAnsiTheme="majorHAnsi"/>
                <w:sz w:val="20"/>
                <w:szCs w:val="20"/>
              </w:rPr>
              <w:t>Yes</w:t>
            </w:r>
          </w:p>
        </w:tc>
      </w:tr>
      <w:tr w:rsidR="00215807" w:rsidRPr="000B6B7A" w14:paraId="372B5DD8" w14:textId="77777777" w:rsidTr="00215807">
        <w:trPr>
          <w:cantSplit/>
        </w:trPr>
        <w:tc>
          <w:tcPr>
            <w:tcW w:w="4680" w:type="dxa"/>
            <w:tcBorders>
              <w:top w:val="single" w:sz="6" w:space="0" w:color="auto"/>
              <w:bottom w:val="single" w:sz="6" w:space="0" w:color="auto"/>
            </w:tcBorders>
            <w:shd w:val="clear" w:color="auto" w:fill="67AE3C"/>
            <w:vAlign w:val="center"/>
          </w:tcPr>
          <w:p w14:paraId="7F979173" w14:textId="77777777" w:rsidR="00215807" w:rsidRPr="000B6B7A" w:rsidRDefault="0021580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tcPr>
          <w:p w14:paraId="6E79BA45" w14:textId="7A0C88AB" w:rsidR="00215807" w:rsidRPr="000B6B7A" w:rsidRDefault="00215807" w:rsidP="009163FC">
            <w:pPr>
              <w:rPr>
                <w:rFonts w:asciiTheme="majorHAnsi" w:hAnsiTheme="majorHAnsi"/>
                <w:bCs/>
                <w:sz w:val="20"/>
                <w:szCs w:val="20"/>
              </w:rPr>
            </w:pPr>
            <w:r w:rsidRPr="0015405B">
              <w:rPr>
                <w:rFonts w:asciiTheme="majorHAnsi" w:hAnsiTheme="majorHAnsi"/>
                <w:sz w:val="20"/>
                <w:szCs w:val="20"/>
              </w:rPr>
              <w:t>Yes</w:t>
            </w:r>
          </w:p>
        </w:tc>
      </w:tr>
      <w:tr w:rsidR="00215807" w:rsidRPr="000B6B7A" w14:paraId="6648704B" w14:textId="77777777" w:rsidTr="00215807">
        <w:trPr>
          <w:cantSplit/>
        </w:trPr>
        <w:tc>
          <w:tcPr>
            <w:tcW w:w="4680" w:type="dxa"/>
            <w:tcBorders>
              <w:top w:val="single" w:sz="6" w:space="0" w:color="auto"/>
              <w:bottom w:val="single" w:sz="6" w:space="0" w:color="auto"/>
            </w:tcBorders>
            <w:shd w:val="clear" w:color="auto" w:fill="67AE3C"/>
            <w:vAlign w:val="center"/>
          </w:tcPr>
          <w:p w14:paraId="15BBE7AF" w14:textId="77777777" w:rsidR="00215807" w:rsidRPr="000B6B7A" w:rsidRDefault="0021580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4A84E7BE" w14:textId="4DE3F1B2" w:rsidR="00215807" w:rsidRPr="000B6B7A" w:rsidRDefault="00215807" w:rsidP="009163FC">
            <w:pPr>
              <w:jc w:val="both"/>
              <w:rPr>
                <w:rFonts w:asciiTheme="majorHAnsi" w:hAnsiTheme="majorHAnsi"/>
                <w:bCs/>
                <w:sz w:val="20"/>
                <w:szCs w:val="20"/>
              </w:rPr>
            </w:pPr>
            <w:r w:rsidRPr="0015405B">
              <w:rPr>
                <w:rFonts w:asciiTheme="majorHAnsi" w:hAnsiTheme="majorHAnsi"/>
                <w:bCs/>
                <w:sz w:val="20"/>
                <w:szCs w:val="20"/>
              </w:rPr>
              <w:t xml:space="preserve">Yes; American Convention (instrument of ratification was deposited on March 24, 1981) </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15807" w:rsidRPr="000B6B7A" w14:paraId="4091A423" w14:textId="77777777" w:rsidTr="00215807">
        <w:trPr>
          <w:cantSplit/>
        </w:trPr>
        <w:tc>
          <w:tcPr>
            <w:tcW w:w="4680" w:type="dxa"/>
            <w:tcBorders>
              <w:top w:val="single" w:sz="4" w:space="0" w:color="auto"/>
              <w:bottom w:val="single" w:sz="6" w:space="0" w:color="auto"/>
            </w:tcBorders>
            <w:shd w:val="clear" w:color="auto" w:fill="67AE3C"/>
            <w:vAlign w:val="center"/>
          </w:tcPr>
          <w:p w14:paraId="61D870FF" w14:textId="77777777" w:rsidR="00215807" w:rsidRPr="000B6B7A" w:rsidRDefault="0021580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89D7B5B" w14:textId="6938C862" w:rsidR="00215807" w:rsidRPr="000B6B7A" w:rsidRDefault="00215807" w:rsidP="009163FC">
            <w:pPr>
              <w:jc w:val="both"/>
              <w:rPr>
                <w:rFonts w:ascii="Cambria" w:hAnsi="Cambria"/>
                <w:bCs/>
                <w:sz w:val="20"/>
                <w:szCs w:val="20"/>
              </w:rPr>
            </w:pPr>
            <w:r w:rsidRPr="0015405B">
              <w:rPr>
                <w:rFonts w:ascii="Cambria" w:hAnsi="Cambria"/>
                <w:bCs/>
                <w:sz w:val="20"/>
                <w:szCs w:val="20"/>
              </w:rPr>
              <w:t>No</w:t>
            </w:r>
          </w:p>
        </w:tc>
      </w:tr>
      <w:tr w:rsidR="00215807" w:rsidRPr="000B6B7A" w14:paraId="24B3B5A9" w14:textId="77777777" w:rsidTr="00215807">
        <w:trPr>
          <w:cantSplit/>
        </w:trPr>
        <w:tc>
          <w:tcPr>
            <w:tcW w:w="4680" w:type="dxa"/>
            <w:tcBorders>
              <w:top w:val="single" w:sz="6" w:space="0" w:color="auto"/>
              <w:bottom w:val="single" w:sz="6" w:space="0" w:color="auto"/>
            </w:tcBorders>
            <w:shd w:val="clear" w:color="auto" w:fill="67AE3C"/>
            <w:vAlign w:val="center"/>
          </w:tcPr>
          <w:p w14:paraId="2E52A630" w14:textId="77777777" w:rsidR="00215807" w:rsidRPr="000B6B7A" w:rsidRDefault="00215807"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4680" w:type="dxa"/>
            <w:vAlign w:val="center"/>
          </w:tcPr>
          <w:p w14:paraId="7114EC6B" w14:textId="5BFB7089" w:rsidR="00215807" w:rsidRPr="000B6B7A" w:rsidRDefault="00215807" w:rsidP="009163FC">
            <w:pPr>
              <w:jc w:val="both"/>
              <w:rPr>
                <w:rFonts w:ascii="Cambria" w:hAnsi="Cambria"/>
                <w:bCs/>
                <w:sz w:val="20"/>
                <w:szCs w:val="20"/>
              </w:rPr>
            </w:pPr>
            <w:r w:rsidRPr="0015405B">
              <w:rPr>
                <w:rFonts w:ascii="Cambria" w:hAnsi="Cambria"/>
                <w:bCs/>
                <w:sz w:val="20"/>
                <w:szCs w:val="20"/>
              </w:rPr>
              <w:t xml:space="preserve">Articles 7 </w:t>
            </w:r>
            <w:r w:rsidR="00EF1662" w:rsidRPr="0015405B">
              <w:rPr>
                <w:rFonts w:ascii="Cambria" w:hAnsi="Cambria"/>
                <w:bCs/>
                <w:sz w:val="20"/>
                <w:szCs w:val="20"/>
              </w:rPr>
              <w:t xml:space="preserve">(personal liberty), 8 (fair trial), 24 (equal protection) and 25 (judicial protection) of the American Convention, in relation to its articles 1.1 (obligation to respect rights) and 2 (domestic legal effects) </w:t>
            </w:r>
          </w:p>
        </w:tc>
      </w:tr>
      <w:tr w:rsidR="00215807" w:rsidRPr="000B6B7A" w14:paraId="4DFB74FC" w14:textId="77777777" w:rsidTr="00215807">
        <w:trPr>
          <w:cantSplit/>
        </w:trPr>
        <w:tc>
          <w:tcPr>
            <w:tcW w:w="4680" w:type="dxa"/>
            <w:tcBorders>
              <w:top w:val="single" w:sz="6" w:space="0" w:color="auto"/>
              <w:bottom w:val="single" w:sz="6" w:space="0" w:color="auto"/>
            </w:tcBorders>
            <w:shd w:val="clear" w:color="auto" w:fill="67AE3C"/>
            <w:vAlign w:val="center"/>
          </w:tcPr>
          <w:p w14:paraId="1D4CE924" w14:textId="77777777" w:rsidR="00215807" w:rsidRPr="000B6B7A" w:rsidRDefault="0021580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12FD22B1" w14:textId="4CD3E0A9" w:rsidR="00215807" w:rsidRPr="000B6B7A" w:rsidRDefault="00215807" w:rsidP="009163FC">
            <w:pPr>
              <w:rPr>
                <w:rFonts w:ascii="Cambria" w:hAnsi="Cambria"/>
                <w:bCs/>
                <w:sz w:val="20"/>
                <w:szCs w:val="20"/>
              </w:rPr>
            </w:pPr>
            <w:r w:rsidRPr="0015405B">
              <w:rPr>
                <w:rFonts w:ascii="Cambria" w:hAnsi="Cambria"/>
                <w:bCs/>
                <w:sz w:val="20"/>
                <w:szCs w:val="20"/>
              </w:rPr>
              <w:t>Yes; January 10, 2008</w:t>
            </w:r>
          </w:p>
        </w:tc>
      </w:tr>
      <w:tr w:rsidR="00215807" w:rsidRPr="000B6B7A" w14:paraId="6D900199" w14:textId="77777777" w:rsidTr="00215807">
        <w:trPr>
          <w:cantSplit/>
        </w:trPr>
        <w:tc>
          <w:tcPr>
            <w:tcW w:w="4680" w:type="dxa"/>
            <w:tcBorders>
              <w:top w:val="single" w:sz="6" w:space="0" w:color="auto"/>
              <w:bottom w:val="single" w:sz="6" w:space="0" w:color="auto"/>
            </w:tcBorders>
            <w:shd w:val="clear" w:color="auto" w:fill="67AE3C"/>
            <w:vAlign w:val="center"/>
          </w:tcPr>
          <w:p w14:paraId="42C3BC97" w14:textId="77777777" w:rsidR="00215807" w:rsidRPr="000B6B7A" w:rsidRDefault="0021580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7321B1D1" w14:textId="775E928D" w:rsidR="00215807" w:rsidRPr="000B6B7A" w:rsidRDefault="00215807" w:rsidP="009163FC">
            <w:pPr>
              <w:rPr>
                <w:rFonts w:asciiTheme="majorHAnsi" w:hAnsiTheme="majorHAnsi"/>
                <w:bCs/>
                <w:sz w:val="20"/>
                <w:szCs w:val="20"/>
              </w:rPr>
            </w:pPr>
            <w:r w:rsidRPr="0015405B">
              <w:rPr>
                <w:rFonts w:asciiTheme="majorHAnsi" w:hAnsiTheme="majorHAnsi"/>
                <w:bCs/>
                <w:sz w:val="20"/>
                <w:szCs w:val="20"/>
              </w:rPr>
              <w:t>Yes; January 25, 2008</w:t>
            </w:r>
          </w:p>
        </w:tc>
      </w:tr>
    </w:tbl>
    <w:p w14:paraId="629E2DE8" w14:textId="6BE26A3B" w:rsidR="00F621C3" w:rsidRPr="000B6B7A" w:rsidRDefault="00847283" w:rsidP="00F621C3">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ALLEGED FACTS</w:t>
      </w:r>
    </w:p>
    <w:p w14:paraId="7669F506" w14:textId="01893E3C" w:rsidR="00427B69" w:rsidRPr="0015405B" w:rsidRDefault="006318B2" w:rsidP="002774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27B69" w:rsidRPr="0015405B">
        <w:rPr>
          <w:rFonts w:ascii="Cambria" w:hAnsi="Cambria"/>
          <w:sz w:val="20"/>
          <w:szCs w:val="20"/>
        </w:rPr>
        <w:t>The petitioner indicates that Dionicio Cervantes Nolasco and Armando Aguilar Reyes (</w:t>
      </w:r>
      <w:r w:rsidR="00427B69">
        <w:rPr>
          <w:rFonts w:ascii="Cambria" w:hAnsi="Cambria"/>
          <w:sz w:val="20"/>
          <w:szCs w:val="20"/>
        </w:rPr>
        <w:t>“</w:t>
      </w:r>
      <w:r w:rsidR="00427B69" w:rsidRPr="0015405B">
        <w:rPr>
          <w:rFonts w:ascii="Cambria" w:hAnsi="Cambria"/>
          <w:sz w:val="20"/>
          <w:szCs w:val="20"/>
        </w:rPr>
        <w:t>the alleged victims</w:t>
      </w:r>
      <w:r w:rsidR="00427B69">
        <w:rPr>
          <w:rFonts w:ascii="Cambria" w:hAnsi="Cambria"/>
          <w:sz w:val="20"/>
          <w:szCs w:val="20"/>
        </w:rPr>
        <w:t>”</w:t>
      </w:r>
      <w:r w:rsidR="00427B69" w:rsidRPr="0015405B">
        <w:rPr>
          <w:rFonts w:ascii="Cambria" w:hAnsi="Cambria"/>
          <w:sz w:val="20"/>
          <w:szCs w:val="20"/>
        </w:rPr>
        <w:t xml:space="preserve">), Tepehuan natives, were detained by police officers in Bajío del Berrendo, Zacatecas, on October 29, 2005, when they were in a parked vehicle without a license plate. </w:t>
      </w:r>
      <w:r w:rsidR="00427B69">
        <w:rPr>
          <w:rFonts w:ascii="Cambria" w:hAnsi="Cambria"/>
          <w:sz w:val="20"/>
          <w:szCs w:val="20"/>
        </w:rPr>
        <w:t xml:space="preserve">As a result of </w:t>
      </w:r>
      <w:r w:rsidR="00427B69" w:rsidRPr="0015405B">
        <w:rPr>
          <w:rFonts w:ascii="Cambria" w:hAnsi="Cambria"/>
          <w:sz w:val="20"/>
          <w:szCs w:val="20"/>
        </w:rPr>
        <w:t xml:space="preserve">the contradiction in their answers about their destination, they were arrested. In their journey to the police station, the police officers found an abandoned van with 188 kilograms of marijuana inside. According to the petitioner, the police officers associated this van with the alleged victims because both vehicles </w:t>
      </w:r>
      <w:r w:rsidR="00427B69">
        <w:rPr>
          <w:rFonts w:ascii="Cambria" w:hAnsi="Cambria"/>
          <w:sz w:val="20"/>
          <w:szCs w:val="20"/>
        </w:rPr>
        <w:t>had</w:t>
      </w:r>
      <w:r w:rsidR="00427B69" w:rsidRPr="0015405B">
        <w:rPr>
          <w:rFonts w:ascii="Cambria" w:hAnsi="Cambria"/>
          <w:sz w:val="20"/>
          <w:szCs w:val="20"/>
        </w:rPr>
        <w:t xml:space="preserve"> </w:t>
      </w:r>
      <w:r w:rsidR="0027748C" w:rsidRPr="0015405B">
        <w:rPr>
          <w:rFonts w:ascii="Cambria" w:hAnsi="Cambria"/>
          <w:sz w:val="20"/>
          <w:szCs w:val="20"/>
        </w:rPr>
        <w:t xml:space="preserve">similar </w:t>
      </w:r>
      <w:r w:rsidR="0027748C" w:rsidRPr="0027748C">
        <w:rPr>
          <w:rFonts w:ascii="Cambria" w:hAnsi="Cambria"/>
          <w:sz w:val="20"/>
          <w:szCs w:val="20"/>
        </w:rPr>
        <w:t>intercoms</w:t>
      </w:r>
      <w:r w:rsidR="0027748C">
        <w:rPr>
          <w:rFonts w:ascii="Cambria" w:hAnsi="Cambria"/>
          <w:sz w:val="20"/>
          <w:szCs w:val="20"/>
        </w:rPr>
        <w:t xml:space="preserve"> </w:t>
      </w:r>
      <w:r w:rsidR="00427B69" w:rsidRPr="0015405B">
        <w:rPr>
          <w:rFonts w:ascii="Cambria" w:hAnsi="Cambria"/>
          <w:sz w:val="20"/>
          <w:szCs w:val="20"/>
        </w:rPr>
        <w:t xml:space="preserve">inside. The petitioner claims that the alleged </w:t>
      </w:r>
      <w:r w:rsidR="00427B69">
        <w:rPr>
          <w:rFonts w:ascii="Cambria" w:hAnsi="Cambria"/>
          <w:sz w:val="20"/>
          <w:szCs w:val="20"/>
        </w:rPr>
        <w:t xml:space="preserve">victims explicitly requested to meet </w:t>
      </w:r>
      <w:r w:rsidR="00427B69" w:rsidRPr="0015405B">
        <w:rPr>
          <w:rFonts w:ascii="Cambria" w:hAnsi="Cambria"/>
          <w:sz w:val="20"/>
          <w:szCs w:val="20"/>
        </w:rPr>
        <w:t xml:space="preserve">with a defense counsel, but that this was not granted. He asserts that on the following day they made their statements before the prosecutor and a public defense counsel, in which they confessed that they were hired to guide </w:t>
      </w:r>
      <w:r w:rsidR="0027748C">
        <w:rPr>
          <w:rFonts w:ascii="Cambria" w:hAnsi="Cambria"/>
          <w:sz w:val="20"/>
          <w:szCs w:val="20"/>
        </w:rPr>
        <w:t>van</w:t>
      </w:r>
      <w:r w:rsidR="00427B69" w:rsidRPr="0015405B">
        <w:rPr>
          <w:rFonts w:ascii="Cambria" w:hAnsi="Cambria"/>
          <w:sz w:val="20"/>
          <w:szCs w:val="20"/>
        </w:rPr>
        <w:t xml:space="preserve"> carr</w:t>
      </w:r>
      <w:r w:rsidR="00427B69">
        <w:rPr>
          <w:rFonts w:ascii="Cambria" w:hAnsi="Cambria"/>
          <w:sz w:val="20"/>
          <w:szCs w:val="20"/>
        </w:rPr>
        <w:t>ying</w:t>
      </w:r>
      <w:r w:rsidR="00427B69" w:rsidRPr="0015405B">
        <w:rPr>
          <w:rFonts w:ascii="Cambria" w:hAnsi="Cambria"/>
          <w:sz w:val="20"/>
          <w:szCs w:val="20"/>
        </w:rPr>
        <w:t xml:space="preserve"> marijuana, and to report by </w:t>
      </w:r>
      <w:r w:rsidR="0027748C">
        <w:rPr>
          <w:rFonts w:ascii="Cambria" w:hAnsi="Cambria"/>
          <w:sz w:val="20"/>
          <w:szCs w:val="20"/>
        </w:rPr>
        <w:t xml:space="preserve">intercom </w:t>
      </w:r>
      <w:r w:rsidR="00427B69" w:rsidRPr="0015405B">
        <w:rPr>
          <w:rFonts w:ascii="Cambria" w:hAnsi="Cambria"/>
          <w:sz w:val="20"/>
          <w:szCs w:val="20"/>
        </w:rPr>
        <w:t xml:space="preserve">whenever they detected a police patrol on the way. He submits that their statements were extended and repeated in the preliminary statements and that sociocultural expert assessments were undertaken. Based on the information filed by the petitioner, in the trial, there were interpreters and the defense asked for an extension of the statements in which the defendants </w:t>
      </w:r>
      <w:r w:rsidR="00427B69">
        <w:rPr>
          <w:rFonts w:ascii="Cambria" w:hAnsi="Cambria"/>
          <w:sz w:val="20"/>
          <w:szCs w:val="20"/>
        </w:rPr>
        <w:t xml:space="preserve">had </w:t>
      </w:r>
      <w:r w:rsidR="00427B69" w:rsidRPr="0015405B">
        <w:rPr>
          <w:rFonts w:ascii="Cambria" w:hAnsi="Cambria"/>
          <w:sz w:val="20"/>
          <w:szCs w:val="20"/>
        </w:rPr>
        <w:t>claimed that their confessions had been directed by the police officers. On June 19, 2006, the Second Judge of the District of Zacatecas convicted the alleged victims of crime against public health for drug transportation, to seven years and six months in prison.</w:t>
      </w:r>
    </w:p>
    <w:p w14:paraId="59E9DC84" w14:textId="522F53E6" w:rsidR="00427B69" w:rsidRPr="0015405B" w:rsidRDefault="00427B69" w:rsidP="00E35B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5405B">
        <w:rPr>
          <w:rFonts w:ascii="Cambria" w:hAnsi="Cambria"/>
          <w:sz w:val="20"/>
          <w:szCs w:val="20"/>
        </w:rPr>
        <w:t xml:space="preserve">The federal public defense counsel impugned the guilty verdict before the Twenty-third Circuit Unitary Court, but the appeal was rejected on September 21, 2006. On October 11, 2006, </w:t>
      </w:r>
      <w:r>
        <w:rPr>
          <w:rFonts w:ascii="Cambria" w:hAnsi="Cambria"/>
          <w:sz w:val="20"/>
          <w:szCs w:val="20"/>
        </w:rPr>
        <w:t>t</w:t>
      </w:r>
      <w:r w:rsidRPr="0015405B">
        <w:rPr>
          <w:rFonts w:ascii="Cambria" w:hAnsi="Cambria"/>
          <w:sz w:val="20"/>
          <w:szCs w:val="20"/>
        </w:rPr>
        <w:t>he</w:t>
      </w:r>
      <w:r>
        <w:rPr>
          <w:rFonts w:ascii="Cambria" w:hAnsi="Cambria"/>
          <w:sz w:val="20"/>
          <w:szCs w:val="20"/>
        </w:rPr>
        <w:t xml:space="preserve"> counsel</w:t>
      </w:r>
      <w:r w:rsidRPr="0015405B">
        <w:rPr>
          <w:rFonts w:ascii="Cambria" w:hAnsi="Cambria"/>
          <w:sz w:val="20"/>
          <w:szCs w:val="20"/>
        </w:rPr>
        <w:t xml:space="preserve"> lodged a </w:t>
      </w:r>
      <w:r w:rsidR="00FC0264">
        <w:rPr>
          <w:rFonts w:ascii="Cambria" w:hAnsi="Cambria"/>
          <w:sz w:val="20"/>
          <w:szCs w:val="20"/>
        </w:rPr>
        <w:t>d</w:t>
      </w:r>
      <w:r w:rsidR="00FC0264" w:rsidRPr="00FC0264">
        <w:rPr>
          <w:rFonts w:ascii="Cambria" w:hAnsi="Cambria"/>
          <w:sz w:val="20"/>
          <w:szCs w:val="20"/>
        </w:rPr>
        <w:t>irec</w:t>
      </w:r>
      <w:r w:rsidR="00FC0264">
        <w:rPr>
          <w:rFonts w:ascii="Cambria" w:hAnsi="Cambria"/>
          <w:sz w:val="20"/>
          <w:szCs w:val="20"/>
        </w:rPr>
        <w:t>t amparo a</w:t>
      </w:r>
      <w:r w:rsidR="00FC0264" w:rsidRPr="00FC0264">
        <w:rPr>
          <w:rFonts w:ascii="Cambria" w:hAnsi="Cambria"/>
          <w:sz w:val="20"/>
          <w:szCs w:val="20"/>
        </w:rPr>
        <w:t xml:space="preserve">ction </w:t>
      </w:r>
      <w:r w:rsidRPr="0015405B">
        <w:rPr>
          <w:rFonts w:ascii="Cambria" w:hAnsi="Cambria"/>
          <w:sz w:val="20"/>
          <w:szCs w:val="20"/>
        </w:rPr>
        <w:t xml:space="preserve">before the Twenty-third Circuit First Collegiate Court, but it was rejected on December 14, 2006. As a last resort, the defense counsel filed an appeal </w:t>
      </w:r>
      <w:r>
        <w:rPr>
          <w:rFonts w:ascii="Cambria" w:hAnsi="Cambria"/>
          <w:sz w:val="20"/>
          <w:szCs w:val="20"/>
        </w:rPr>
        <w:t>for</w:t>
      </w:r>
      <w:r w:rsidRPr="0015405B">
        <w:rPr>
          <w:rFonts w:ascii="Cambria" w:hAnsi="Cambria"/>
          <w:sz w:val="20"/>
          <w:szCs w:val="20"/>
        </w:rPr>
        <w:t xml:space="preserve"> </w:t>
      </w:r>
      <w:r>
        <w:rPr>
          <w:rFonts w:ascii="Cambria" w:hAnsi="Cambria"/>
          <w:sz w:val="20"/>
          <w:szCs w:val="20"/>
        </w:rPr>
        <w:t xml:space="preserve">the </w:t>
      </w:r>
      <w:r w:rsidRPr="0015405B">
        <w:rPr>
          <w:rFonts w:ascii="Cambria" w:hAnsi="Cambria"/>
          <w:sz w:val="20"/>
          <w:szCs w:val="20"/>
        </w:rPr>
        <w:t xml:space="preserve">review </w:t>
      </w:r>
      <w:r>
        <w:rPr>
          <w:rFonts w:ascii="Cambria" w:hAnsi="Cambria"/>
          <w:sz w:val="20"/>
          <w:szCs w:val="20"/>
        </w:rPr>
        <w:t xml:space="preserve">of </w:t>
      </w:r>
      <w:r w:rsidRPr="0015405B">
        <w:rPr>
          <w:rFonts w:ascii="Cambria" w:hAnsi="Cambria"/>
          <w:sz w:val="20"/>
          <w:szCs w:val="20"/>
        </w:rPr>
        <w:t xml:space="preserve">this decision, claiming that the defendants </w:t>
      </w:r>
      <w:r>
        <w:rPr>
          <w:rFonts w:ascii="Cambria" w:hAnsi="Cambria"/>
          <w:sz w:val="20"/>
          <w:szCs w:val="20"/>
        </w:rPr>
        <w:t>had</w:t>
      </w:r>
      <w:r w:rsidRPr="0015405B">
        <w:rPr>
          <w:rFonts w:ascii="Cambria" w:hAnsi="Cambria"/>
          <w:sz w:val="20"/>
          <w:szCs w:val="20"/>
        </w:rPr>
        <w:t xml:space="preserve"> not</w:t>
      </w:r>
      <w:r>
        <w:rPr>
          <w:rFonts w:ascii="Cambria" w:hAnsi="Cambria"/>
          <w:sz w:val="20"/>
          <w:szCs w:val="20"/>
        </w:rPr>
        <w:t xml:space="preserve"> been</w:t>
      </w:r>
      <w:r w:rsidRPr="0015405B">
        <w:rPr>
          <w:rFonts w:ascii="Cambria" w:hAnsi="Cambria"/>
          <w:sz w:val="20"/>
          <w:szCs w:val="20"/>
        </w:rPr>
        <w:t xml:space="preserve"> allowed to meet with their lawyer in private before testifying before the prosecutor, or </w:t>
      </w:r>
      <w:r>
        <w:rPr>
          <w:rFonts w:ascii="Cambria" w:hAnsi="Cambria"/>
          <w:sz w:val="20"/>
          <w:szCs w:val="20"/>
        </w:rPr>
        <w:t xml:space="preserve">to </w:t>
      </w:r>
      <w:r w:rsidRPr="0015405B">
        <w:rPr>
          <w:rFonts w:ascii="Cambria" w:hAnsi="Cambria"/>
          <w:sz w:val="20"/>
          <w:szCs w:val="20"/>
        </w:rPr>
        <w:t>access interpretation in the preliminary inquir</w:t>
      </w:r>
      <w:r w:rsidR="00FC0264">
        <w:rPr>
          <w:rFonts w:ascii="Cambria" w:hAnsi="Cambria"/>
          <w:sz w:val="20"/>
          <w:szCs w:val="20"/>
        </w:rPr>
        <w:t>y</w:t>
      </w:r>
      <w:r w:rsidRPr="0015405B">
        <w:rPr>
          <w:rFonts w:ascii="Cambria" w:hAnsi="Cambria"/>
          <w:sz w:val="20"/>
          <w:szCs w:val="20"/>
        </w:rPr>
        <w:t>. On January 10, 2008, the Supreme Court of Justice dismissed the appeal</w:t>
      </w:r>
      <w:r w:rsidR="00E35BA3" w:rsidRPr="00E35BA3">
        <w:t xml:space="preserve"> </w:t>
      </w:r>
      <w:r w:rsidR="00E35BA3" w:rsidRPr="00E35BA3">
        <w:rPr>
          <w:rFonts w:ascii="Cambria" w:hAnsi="Cambria"/>
          <w:sz w:val="20"/>
          <w:szCs w:val="20"/>
        </w:rPr>
        <w:t>for the review</w:t>
      </w:r>
      <w:r w:rsidRPr="0015405B">
        <w:rPr>
          <w:rFonts w:ascii="Cambria" w:hAnsi="Cambria"/>
          <w:sz w:val="20"/>
          <w:szCs w:val="20"/>
        </w:rPr>
        <w:t xml:space="preserve">, on the basis that the fact that there was a procedural error </w:t>
      </w:r>
      <w:r>
        <w:rPr>
          <w:rFonts w:ascii="Cambria" w:hAnsi="Cambria"/>
          <w:sz w:val="20"/>
          <w:szCs w:val="20"/>
        </w:rPr>
        <w:t>for</w:t>
      </w:r>
      <w:r w:rsidRPr="0015405B">
        <w:rPr>
          <w:rFonts w:ascii="Cambria" w:hAnsi="Cambria"/>
          <w:sz w:val="20"/>
          <w:szCs w:val="20"/>
        </w:rPr>
        <w:t xml:space="preserve"> lack of a prior private </w:t>
      </w:r>
      <w:r>
        <w:rPr>
          <w:rFonts w:ascii="Cambria" w:hAnsi="Cambria"/>
          <w:sz w:val="20"/>
          <w:szCs w:val="20"/>
        </w:rPr>
        <w:t>meeting</w:t>
      </w:r>
      <w:r w:rsidRPr="0015405B">
        <w:rPr>
          <w:rFonts w:ascii="Cambria" w:hAnsi="Cambria"/>
          <w:sz w:val="20"/>
          <w:szCs w:val="20"/>
        </w:rPr>
        <w:t xml:space="preserve"> with the counsel does not invalidate the evidence submitted or violate the right of defense. As to the right to interpretation, the Court asserted that the defendants declared that they understood the Spanish language and that it was proved that they are bilingual, denying that the lack of interpretation at the beginning of the proceedings has infringed their procedural safeguards.</w:t>
      </w:r>
      <w:r w:rsidR="00E35BA3">
        <w:rPr>
          <w:rFonts w:ascii="Cambria" w:hAnsi="Cambria"/>
          <w:sz w:val="20"/>
          <w:szCs w:val="20"/>
        </w:rPr>
        <w:t xml:space="preserve"> </w:t>
      </w:r>
    </w:p>
    <w:p w14:paraId="789A5148" w14:textId="7CB27CE3" w:rsidR="003570C0" w:rsidRPr="003570C0" w:rsidRDefault="00427B69" w:rsidP="00E35BA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570C0">
        <w:rPr>
          <w:rFonts w:eastAsia="Arial Unicode MS" w:cs="Times New Roman"/>
          <w:color w:val="auto"/>
          <w:sz w:val="20"/>
          <w:szCs w:val="20"/>
          <w:lang w:eastAsia="en-US"/>
        </w:rPr>
        <w:t xml:space="preserve">The petitioner complains that the alleged victims lacked appropriate defense because they were deprived of their right to meet with their defense counsel in private before </w:t>
      </w:r>
      <w:r w:rsidR="00E35BA3" w:rsidRPr="00E35BA3">
        <w:rPr>
          <w:rFonts w:eastAsia="Arial Unicode MS" w:cs="Times New Roman"/>
          <w:color w:val="auto"/>
          <w:sz w:val="20"/>
          <w:szCs w:val="20"/>
          <w:lang w:eastAsia="en-US"/>
        </w:rPr>
        <w:t>making their initial statement at prosecution</w:t>
      </w:r>
      <w:r w:rsidRPr="003570C0">
        <w:rPr>
          <w:rFonts w:eastAsia="Arial Unicode MS" w:cs="Times New Roman"/>
          <w:color w:val="auto"/>
          <w:sz w:val="20"/>
          <w:szCs w:val="20"/>
          <w:lang w:eastAsia="en-US"/>
        </w:rPr>
        <w:t>, which means that there was lack of communication and a violation of their right to prepare their defense. Therefore, he claims that only from the time of their first statement before the prosecutor did they have a defense counsel. He also claims that the judgment was based on insufficient and illicit evidence. He moreover submits that the alleged victims’ rights to interpretation and specialized defense throughout the proceedings were violated, which invalidates their statements. Finally, he asserts that the courts’ decisions show that it is impossible to access effective and simple remedies to protect the alleged victims’ rights.</w:t>
      </w:r>
    </w:p>
    <w:p w14:paraId="6953F7A4" w14:textId="532D3004" w:rsidR="00F621C3" w:rsidRPr="003570C0" w:rsidRDefault="00427B69" w:rsidP="00427B6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570C0">
        <w:rPr>
          <w:sz w:val="20"/>
          <w:szCs w:val="20"/>
        </w:rPr>
        <w:t xml:space="preserve">For its part, the State requests that the petition be declared inadmissible in view of the fact that the petitioner’s complaints were timely dealt with and settled by the domestic courts; therefore, that its admissibility by the Commission would lead to a fourth instance. It specifies that the complaints regarding </w:t>
      </w:r>
      <w:r w:rsidRPr="003570C0">
        <w:rPr>
          <w:sz w:val="20"/>
          <w:szCs w:val="20"/>
        </w:rPr>
        <w:lastRenderedPageBreak/>
        <w:t>aspects such as the interpretation of the law, relevant procedures and the assessment of the evidence concern the domestic jurisdiction, on which the IACHR is not entitled to rule. It also indicates that the complaints are unfounded because the alleged victims were duly notified of their constitutional safeguards; they were assisted by a federal public defense counsel from the time they testified before the prosecution; they were appointed an interpreter of their mother tongue from the time of their preliminary statement, despite their having declared that they understood Spanish; and they were always heard by an impartial, independent and competent court, in accordance with the applicable safeguards and within a reasonable time.</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1B2840B8" w14:textId="1F5C4064" w:rsidR="00427B69" w:rsidRPr="00427B69" w:rsidRDefault="00427B69" w:rsidP="00427B69">
      <w:pPr>
        <w:pStyle w:val="ListParagraph"/>
        <w:numPr>
          <w:ilvl w:val="0"/>
          <w:numId w:val="103"/>
        </w:numPr>
        <w:jc w:val="both"/>
        <w:rPr>
          <w:sz w:val="20"/>
          <w:szCs w:val="20"/>
        </w:rPr>
      </w:pPr>
      <w:r w:rsidRPr="0015405B">
        <w:rPr>
          <w:sz w:val="20"/>
          <w:szCs w:val="20"/>
        </w:rPr>
        <w:t xml:space="preserve">Based on the available information, the petitioner denounced the purported violations before several domestic judicial bodies, and domestic remedies were exhausted </w:t>
      </w:r>
      <w:r>
        <w:rPr>
          <w:sz w:val="20"/>
          <w:szCs w:val="20"/>
        </w:rPr>
        <w:t>through</w:t>
      </w:r>
      <w:r w:rsidRPr="0015405B">
        <w:rPr>
          <w:sz w:val="20"/>
          <w:szCs w:val="20"/>
        </w:rPr>
        <w:t xml:space="preserve"> the Mexican Supreme Court of Justice</w:t>
      </w:r>
      <w:r>
        <w:rPr>
          <w:sz w:val="20"/>
          <w:szCs w:val="20"/>
        </w:rPr>
        <w:t>’s</w:t>
      </w:r>
      <w:r w:rsidRPr="0015405B">
        <w:rPr>
          <w:sz w:val="20"/>
          <w:szCs w:val="20"/>
        </w:rPr>
        <w:t xml:space="preserve"> </w:t>
      </w:r>
      <w:r>
        <w:rPr>
          <w:sz w:val="20"/>
          <w:szCs w:val="20"/>
        </w:rPr>
        <w:t xml:space="preserve">denial </w:t>
      </w:r>
      <w:r w:rsidRPr="0015405B">
        <w:rPr>
          <w:sz w:val="20"/>
          <w:szCs w:val="20"/>
        </w:rPr>
        <w:t>o</w:t>
      </w:r>
      <w:r>
        <w:rPr>
          <w:sz w:val="20"/>
          <w:szCs w:val="20"/>
        </w:rPr>
        <w:t>f</w:t>
      </w:r>
      <w:r w:rsidRPr="0015405B">
        <w:rPr>
          <w:sz w:val="20"/>
          <w:szCs w:val="20"/>
        </w:rPr>
        <w:t xml:space="preserve"> January 10, 2008 to review the appeal. The Commission notes that the State did not submit observations concerning the exhaustion of domestic remedies or the timeliness of the petition. As a result, the Commission concludes that this petition meets the requirement established in Article 46.1.a of the Convention.</w:t>
      </w:r>
    </w:p>
    <w:p w14:paraId="05415C74" w14:textId="72479467" w:rsidR="00F621C3" w:rsidRPr="00A92831" w:rsidRDefault="00427B69" w:rsidP="00427B69">
      <w:pPr>
        <w:pStyle w:val="ListParagraph"/>
        <w:numPr>
          <w:ilvl w:val="0"/>
          <w:numId w:val="103"/>
        </w:numPr>
        <w:spacing w:before="240"/>
        <w:jc w:val="both"/>
        <w:rPr>
          <w:sz w:val="20"/>
          <w:szCs w:val="20"/>
        </w:rPr>
      </w:pPr>
      <w:r w:rsidRPr="0015405B">
        <w:rPr>
          <w:sz w:val="20"/>
          <w:szCs w:val="20"/>
        </w:rPr>
        <w:t xml:space="preserve">Likewise, the petition was lodged on January 24, 2008; that is to say, within the six months following the date of notification of the final </w:t>
      </w:r>
      <w:r>
        <w:rPr>
          <w:sz w:val="20"/>
          <w:szCs w:val="20"/>
        </w:rPr>
        <w:t>resolutions</w:t>
      </w:r>
      <w:r w:rsidRPr="0015405B">
        <w:rPr>
          <w:sz w:val="20"/>
          <w:szCs w:val="20"/>
        </w:rPr>
        <w:t xml:space="preserve"> whereby domestic remedies were exhausted. Thus, the petition meets the requirement established in Article 46.1.b of the Convention.</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36EE8278" w14:textId="25B3769E" w:rsidR="00427B69" w:rsidRPr="0015405B" w:rsidRDefault="00427B69" w:rsidP="001479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15405B">
        <w:rPr>
          <w:rFonts w:asciiTheme="majorHAnsi" w:hAnsiTheme="majorHAnsi"/>
          <w:bCs/>
          <w:sz w:val="20"/>
          <w:szCs w:val="20"/>
        </w:rPr>
        <w:t xml:space="preserve">In view of the elements of fact and law presented by the parties and the nature of the matter brought to its attention, the Commission believes that, if proved, the claims </w:t>
      </w:r>
      <w:r>
        <w:rPr>
          <w:rFonts w:asciiTheme="majorHAnsi" w:hAnsiTheme="majorHAnsi"/>
          <w:bCs/>
          <w:sz w:val="20"/>
          <w:szCs w:val="20"/>
        </w:rPr>
        <w:t xml:space="preserve">of </w:t>
      </w:r>
      <w:r w:rsidRPr="0015405B">
        <w:rPr>
          <w:rFonts w:asciiTheme="majorHAnsi" w:hAnsiTheme="majorHAnsi"/>
          <w:bCs/>
          <w:sz w:val="20"/>
          <w:szCs w:val="20"/>
        </w:rPr>
        <w:t>violation of the right of appropriate defense in view of the alleged victims</w:t>
      </w:r>
      <w:r>
        <w:rPr>
          <w:rFonts w:asciiTheme="majorHAnsi" w:hAnsiTheme="majorHAnsi"/>
          <w:bCs/>
          <w:sz w:val="20"/>
          <w:szCs w:val="20"/>
        </w:rPr>
        <w:t>’</w:t>
      </w:r>
      <w:r w:rsidRPr="0015405B">
        <w:rPr>
          <w:rFonts w:asciiTheme="majorHAnsi" w:hAnsiTheme="majorHAnsi"/>
          <w:bCs/>
          <w:sz w:val="20"/>
          <w:szCs w:val="20"/>
        </w:rPr>
        <w:t xml:space="preserve"> purported inability to privately meet with their counsel before their</w:t>
      </w:r>
      <w:r w:rsidR="00AE615B" w:rsidRPr="00AE615B">
        <w:rPr>
          <w:rFonts w:asciiTheme="majorHAnsi" w:hAnsiTheme="majorHAnsi"/>
          <w:bCs/>
          <w:sz w:val="20"/>
          <w:szCs w:val="20"/>
        </w:rPr>
        <w:t xml:space="preserve"> initial statement at prosecution</w:t>
      </w:r>
      <w:r w:rsidRPr="0015405B">
        <w:rPr>
          <w:rFonts w:asciiTheme="majorHAnsi" w:hAnsiTheme="majorHAnsi"/>
          <w:bCs/>
          <w:sz w:val="20"/>
          <w:szCs w:val="20"/>
        </w:rPr>
        <w:t>; violation</w:t>
      </w:r>
      <w:r>
        <w:rPr>
          <w:rFonts w:asciiTheme="majorHAnsi" w:hAnsiTheme="majorHAnsi"/>
          <w:bCs/>
          <w:sz w:val="20"/>
          <w:szCs w:val="20"/>
        </w:rPr>
        <w:t xml:space="preserve"> </w:t>
      </w:r>
      <w:r w:rsidRPr="001479C2">
        <w:rPr>
          <w:rFonts w:asciiTheme="majorHAnsi" w:hAnsiTheme="majorHAnsi"/>
          <w:bCs/>
          <w:sz w:val="20"/>
          <w:szCs w:val="20"/>
        </w:rPr>
        <w:t>of the right to</w:t>
      </w:r>
      <w:r w:rsidR="001479C2" w:rsidRPr="00527550">
        <w:rPr>
          <w:rFonts w:asciiTheme="majorHAnsi" w:hAnsiTheme="majorHAnsi"/>
          <w:bCs/>
          <w:sz w:val="20"/>
          <w:szCs w:val="20"/>
        </w:rPr>
        <w:t xml:space="preserve"> </w:t>
      </w:r>
      <w:r w:rsidR="001479C2" w:rsidRPr="001479C2">
        <w:rPr>
          <w:rFonts w:asciiTheme="majorHAnsi" w:hAnsiTheme="majorHAnsi"/>
          <w:bCs/>
          <w:sz w:val="20"/>
          <w:szCs w:val="20"/>
        </w:rPr>
        <w:t xml:space="preserve">have at all times interpreters and defenders who have knowledge of their </w:t>
      </w:r>
      <w:r w:rsidRPr="001479C2">
        <w:rPr>
          <w:rFonts w:asciiTheme="majorHAnsi" w:hAnsiTheme="majorHAnsi"/>
          <w:bCs/>
          <w:sz w:val="20"/>
          <w:szCs w:val="20"/>
        </w:rPr>
        <w:t>native language</w:t>
      </w:r>
      <w:r w:rsidRPr="0015405B">
        <w:rPr>
          <w:rFonts w:asciiTheme="majorHAnsi" w:hAnsiTheme="majorHAnsi"/>
          <w:bCs/>
          <w:sz w:val="20"/>
          <w:szCs w:val="20"/>
        </w:rPr>
        <w:t xml:space="preserve">; and lack of access to appropriate remedies to protect their rights could establish violations of the rights enshrined in Articles 7 </w:t>
      </w:r>
      <w:r w:rsidR="00AE615B" w:rsidRPr="0015405B">
        <w:rPr>
          <w:rFonts w:asciiTheme="majorHAnsi" w:hAnsiTheme="majorHAnsi"/>
          <w:bCs/>
          <w:sz w:val="20"/>
          <w:szCs w:val="20"/>
        </w:rPr>
        <w:t xml:space="preserve">(personal liberty), 8 (fair trial), 24 (equal protection) and 25 (judicial protection) </w:t>
      </w:r>
      <w:r w:rsidRPr="0015405B">
        <w:rPr>
          <w:rFonts w:asciiTheme="majorHAnsi" w:hAnsiTheme="majorHAnsi"/>
          <w:bCs/>
          <w:sz w:val="20"/>
          <w:szCs w:val="20"/>
        </w:rPr>
        <w:t>of the American Convention, in connection with its Articles 1.1 and 2.</w:t>
      </w:r>
    </w:p>
    <w:p w14:paraId="6E5170A4" w14:textId="460CEF98" w:rsidR="003570C0" w:rsidRPr="003570C0" w:rsidRDefault="00427B69" w:rsidP="00427B69">
      <w:pPr>
        <w:pStyle w:val="ListParagraph"/>
        <w:numPr>
          <w:ilvl w:val="0"/>
          <w:numId w:val="103"/>
        </w:numPr>
        <w:spacing w:before="240" w:after="240"/>
        <w:jc w:val="both"/>
        <w:rPr>
          <w:rFonts w:asciiTheme="majorHAnsi" w:hAnsiTheme="majorHAnsi"/>
          <w:bCs/>
          <w:sz w:val="20"/>
          <w:szCs w:val="20"/>
        </w:rPr>
      </w:pPr>
      <w:r w:rsidRPr="003570C0">
        <w:rPr>
          <w:rFonts w:asciiTheme="majorHAnsi" w:eastAsia="Arial Unicode MS" w:hAnsiTheme="majorHAnsi" w:cs="Times New Roman"/>
          <w:bCs/>
          <w:color w:val="auto"/>
          <w:sz w:val="20"/>
          <w:szCs w:val="20"/>
          <w:lang w:eastAsia="en-US"/>
        </w:rPr>
        <w:t>As to the petitioner’s claim of the purported violation of Article 10 (</w:t>
      </w:r>
      <w:r w:rsidR="00527550">
        <w:rPr>
          <w:rFonts w:asciiTheme="majorHAnsi" w:eastAsia="Arial Unicode MS" w:hAnsiTheme="majorHAnsi" w:cs="Times New Roman"/>
          <w:bCs/>
          <w:color w:val="auto"/>
          <w:sz w:val="20"/>
          <w:szCs w:val="20"/>
          <w:lang w:eastAsia="en-US"/>
        </w:rPr>
        <w:t>c</w:t>
      </w:r>
      <w:r w:rsidRPr="003570C0">
        <w:rPr>
          <w:rFonts w:asciiTheme="majorHAnsi" w:eastAsia="Arial Unicode MS" w:hAnsiTheme="majorHAnsi" w:cs="Times New Roman"/>
          <w:bCs/>
          <w:color w:val="auto"/>
          <w:sz w:val="20"/>
          <w:szCs w:val="20"/>
          <w:lang w:eastAsia="en-US"/>
        </w:rPr>
        <w:t>ompensation) of the Convention, the Commission believes that it is inadmissible because said provision refers to the right to compensation in the event that a person has been sentenced by a final judgment through a miscarriage of justice. Furthermore, concerning the other international treaties invoked by the petitioner, the IACHR is not entitled to rule on the violation of articles set forth in those treaties although it may consider them to interpret the rules established in the American Convention in the merits stage of this case, under the terms of Article 29 of the American Convention.</w:t>
      </w:r>
    </w:p>
    <w:p w14:paraId="1336B8EC" w14:textId="455B3B8A" w:rsidR="00427B69" w:rsidRPr="003570C0" w:rsidRDefault="00427B69" w:rsidP="00427B69">
      <w:pPr>
        <w:pStyle w:val="ListParagraph"/>
        <w:numPr>
          <w:ilvl w:val="0"/>
          <w:numId w:val="103"/>
        </w:numPr>
        <w:spacing w:before="240" w:after="240"/>
        <w:jc w:val="both"/>
        <w:rPr>
          <w:rFonts w:asciiTheme="majorHAnsi" w:hAnsiTheme="majorHAnsi"/>
          <w:bCs/>
          <w:sz w:val="20"/>
          <w:szCs w:val="20"/>
        </w:rPr>
      </w:pPr>
      <w:r w:rsidRPr="003570C0">
        <w:rPr>
          <w:rFonts w:asciiTheme="majorHAnsi" w:hAnsiTheme="majorHAnsi"/>
          <w:bCs/>
          <w:sz w:val="20"/>
          <w:szCs w:val="20"/>
        </w:rPr>
        <w:t>Lastly, as to the State’s claim of the establishment of a fourth instance, the Commission notes that by declaring this petition admissible, it does not seek to replace the domestic authorities’ competence. However, the Commission will analyze in the merits stage whether the domestic judicial proceedings conformed to the rights of due process and judicial protection and ensured the alleged victims’ right of access to justice under the terms of the American Convention.</w:t>
      </w:r>
    </w:p>
    <w:p w14:paraId="5A70550C" w14:textId="3561029D" w:rsidR="00F621C3" w:rsidRPr="000B6B7A" w:rsidRDefault="00F621C3" w:rsidP="00427B69">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5CE4C86B" w14:textId="77777777" w:rsidR="003570C0" w:rsidRPr="00527550" w:rsidRDefault="00215807" w:rsidP="0021580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570C0">
        <w:rPr>
          <w:rFonts w:asciiTheme="majorHAnsi" w:hAnsiTheme="majorHAnsi"/>
          <w:sz w:val="20"/>
          <w:szCs w:val="20"/>
        </w:rPr>
        <w:t>To declare the instant petition admissible in relation to Articles 7, 8, 24 and 25 of the American Convention, in connection with its Articles 1.1 and 2;</w:t>
      </w:r>
    </w:p>
    <w:p w14:paraId="509D44F8" w14:textId="3C6BC340" w:rsidR="00527550" w:rsidRPr="003570C0" w:rsidRDefault="00527550" w:rsidP="0021580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rPr>
        <w:t>To declare the instant petition admissible in relation to Article 10 of the American Convention;</w:t>
      </w:r>
    </w:p>
    <w:p w14:paraId="1715BC42" w14:textId="4FE993DA" w:rsidR="00215807" w:rsidRPr="003570C0" w:rsidRDefault="00215807" w:rsidP="0021580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570C0">
        <w:rPr>
          <w:rFonts w:asciiTheme="majorHAnsi" w:hAnsiTheme="majorHAnsi"/>
          <w:sz w:val="20"/>
          <w:szCs w:val="20"/>
        </w:rPr>
        <w:t>To notify the parties of this decision;</w:t>
      </w:r>
    </w:p>
    <w:p w14:paraId="37E3FD88" w14:textId="77777777" w:rsidR="00215807" w:rsidRPr="0015405B" w:rsidRDefault="00215807" w:rsidP="0021580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5405B">
        <w:rPr>
          <w:rFonts w:asciiTheme="majorHAnsi" w:hAnsiTheme="majorHAnsi"/>
          <w:sz w:val="20"/>
          <w:szCs w:val="20"/>
        </w:rPr>
        <w:lastRenderedPageBreak/>
        <w:t>To continue with the analysis on the merits; and</w:t>
      </w:r>
    </w:p>
    <w:p w14:paraId="22CC8DDA" w14:textId="408214CF" w:rsidR="00F621C3" w:rsidRPr="000B6B7A" w:rsidRDefault="00215807" w:rsidP="0021580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5405B">
        <w:rPr>
          <w:rFonts w:asciiTheme="majorHAnsi" w:hAnsiTheme="majorHAnsi"/>
          <w:sz w:val="20"/>
          <w:szCs w:val="20"/>
        </w:rPr>
        <w:t>To publish this decision and include it in its Annual Report to the General Assembly of the Organization of American States.</w:t>
      </w:r>
    </w:p>
    <w:p w14:paraId="0EE242A1" w14:textId="50A9310C" w:rsidR="00625DFE" w:rsidRPr="00CE40E6" w:rsidRDefault="00625DFE" w:rsidP="00625DFE">
      <w:pPr>
        <w:pStyle w:val="ListParagraph"/>
        <w:ind w:left="0" w:firstLine="720"/>
        <w:jc w:val="both"/>
        <w:rPr>
          <w:rFonts w:asciiTheme="majorHAnsi" w:hAnsiTheme="majorHAnsi"/>
          <w:sz w:val="20"/>
          <w:szCs w:val="20"/>
        </w:rPr>
      </w:pPr>
      <w:r>
        <w:rPr>
          <w:rFonts w:asciiTheme="majorHAnsi" w:hAnsiTheme="majorHAnsi"/>
          <w:sz w:val="20"/>
          <w:szCs w:val="20"/>
        </w:rPr>
        <w:t>Approved by the Inter-American Commission on Human Rights, on the 1</w:t>
      </w:r>
      <w:r>
        <w:rPr>
          <w:rFonts w:asciiTheme="majorHAnsi" w:hAnsiTheme="majorHAnsi"/>
          <w:sz w:val="20"/>
          <w:szCs w:val="20"/>
          <w:vertAlign w:val="superscript"/>
        </w:rPr>
        <w:t>st</w:t>
      </w:r>
      <w:r w:rsidRPr="00CE40E6">
        <w:rPr>
          <w:rFonts w:asciiTheme="majorHAnsi" w:hAnsiTheme="majorHAnsi"/>
          <w:sz w:val="20"/>
          <w:szCs w:val="20"/>
        </w:rPr>
        <w:t xml:space="preserve"> day of the month of </w:t>
      </w:r>
      <w:r>
        <w:rPr>
          <w:rFonts w:asciiTheme="majorHAnsi" w:hAnsiTheme="majorHAnsi"/>
          <w:sz w:val="20"/>
          <w:szCs w:val="20"/>
        </w:rPr>
        <w:t>December</w:t>
      </w:r>
      <w:r w:rsidRPr="00CE40E6">
        <w:rPr>
          <w:rFonts w:asciiTheme="majorHAnsi" w:hAnsiTheme="majorHAnsi"/>
          <w:sz w:val="20"/>
          <w:szCs w:val="20"/>
        </w:rPr>
        <w:t xml:space="preserve">, 2017. (Signed): Francisco José Eguiguren, President; Margarette May Macaulay, First Vice President; Esmeralda E. Arosemena Bernal de Troitiño, Second Vice President; Paulo </w:t>
      </w:r>
      <w:r>
        <w:rPr>
          <w:rFonts w:asciiTheme="majorHAnsi" w:hAnsiTheme="majorHAnsi"/>
          <w:sz w:val="20"/>
          <w:szCs w:val="20"/>
        </w:rPr>
        <w:t>Vannuchi, James L. Cavallaro and</w:t>
      </w:r>
      <w:r>
        <w:rPr>
          <w:rFonts w:asciiTheme="majorHAnsi" w:hAnsiTheme="majorHAnsi"/>
          <w:sz w:val="20"/>
          <w:szCs w:val="20"/>
        </w:rPr>
        <w:t xml:space="preserve"> </w:t>
      </w:r>
      <w:r w:rsidRPr="00C606CF">
        <w:rPr>
          <w:rFonts w:asciiTheme="majorHAnsi" w:hAnsiTheme="majorHAnsi"/>
          <w:spacing w:val="-2"/>
          <w:sz w:val="20"/>
          <w:szCs w:val="20"/>
        </w:rPr>
        <w:t>Luis Ernesto Vargas Silva</w:t>
      </w:r>
      <w:r>
        <w:rPr>
          <w:rFonts w:asciiTheme="majorHAnsi" w:hAnsiTheme="majorHAnsi"/>
          <w:sz w:val="20"/>
          <w:szCs w:val="20"/>
        </w:rPr>
        <w:t>,</w:t>
      </w:r>
      <w:r w:rsidRPr="00CE40E6">
        <w:rPr>
          <w:rFonts w:asciiTheme="majorHAnsi" w:hAnsiTheme="majorHAnsi"/>
          <w:sz w:val="20"/>
          <w:szCs w:val="20"/>
        </w:rPr>
        <w:t xml:space="preserve"> 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AD1D1" w14:textId="77777777" w:rsidR="00C006B6" w:rsidRDefault="00C006B6" w:rsidP="00036A8A">
      <w:r>
        <w:separator/>
      </w:r>
    </w:p>
  </w:endnote>
  <w:endnote w:type="continuationSeparator" w:id="0">
    <w:p w14:paraId="69EF26F3" w14:textId="77777777" w:rsidR="00C006B6" w:rsidRDefault="00C006B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8ACE8" w14:textId="77777777" w:rsidR="00CD7084" w:rsidRDefault="00CD7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D7084">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FDC33" w14:textId="77777777" w:rsidR="00C006B6" w:rsidRPr="00036A8A" w:rsidRDefault="00C006B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4E03A0E" w14:textId="77777777" w:rsidR="00C006B6" w:rsidRPr="00036A8A" w:rsidRDefault="00C006B6" w:rsidP="00036A8A">
      <w:pPr>
        <w:rPr>
          <w:rFonts w:asciiTheme="majorHAnsi" w:hAnsiTheme="majorHAnsi"/>
          <w:sz w:val="16"/>
          <w:szCs w:val="16"/>
        </w:rPr>
      </w:pPr>
      <w:r w:rsidRPr="00036A8A">
        <w:rPr>
          <w:rFonts w:asciiTheme="majorHAnsi" w:hAnsiTheme="majorHAnsi"/>
          <w:sz w:val="16"/>
          <w:szCs w:val="16"/>
        </w:rPr>
        <w:separator/>
      </w:r>
    </w:p>
    <w:p w14:paraId="59202D76" w14:textId="77777777" w:rsidR="00C006B6" w:rsidRPr="00036A8A" w:rsidRDefault="00C006B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C3C2ACE" w14:textId="77777777" w:rsidR="00C006B6" w:rsidRPr="0093441A" w:rsidRDefault="00C006B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0E08E7C" w14:textId="77777777" w:rsidR="00DB058F" w:rsidRPr="00B14F40" w:rsidRDefault="00DB058F" w:rsidP="00DB058F">
      <w:pPr>
        <w:pStyle w:val="FootnoteText"/>
        <w:ind w:firstLine="720"/>
        <w:jc w:val="both"/>
        <w:rPr>
          <w:rFonts w:asciiTheme="majorHAnsi" w:hAnsiTheme="majorHAnsi"/>
          <w:sz w:val="16"/>
          <w:szCs w:val="16"/>
          <w:lang w:val="en-GB"/>
        </w:rPr>
      </w:pPr>
      <w:r w:rsidRPr="00BC65A7">
        <w:rPr>
          <w:rStyle w:val="FootnoteReference"/>
          <w:rFonts w:asciiTheme="majorHAnsi" w:hAnsiTheme="majorHAnsi"/>
          <w:sz w:val="16"/>
          <w:szCs w:val="16"/>
        </w:rPr>
        <w:footnoteRef/>
      </w:r>
      <w:r w:rsidRPr="00B14F40">
        <w:rPr>
          <w:rFonts w:asciiTheme="majorHAnsi" w:hAnsiTheme="majorHAnsi"/>
          <w:sz w:val="16"/>
          <w:szCs w:val="16"/>
          <w:lang w:val="en-GB"/>
        </w:rPr>
        <w:t xml:space="preserve"> Pursuant to Article 17.2.a of the IACHR Rules of Procedure, Commissioner José de Jesús Orozco Henríquez, a Mexican national, did not participate in the discussion or the decision on this matter.</w:t>
      </w:r>
    </w:p>
  </w:footnote>
  <w:footnote w:id="3">
    <w:p w14:paraId="57946D0B" w14:textId="77777777" w:rsidR="00DB058F" w:rsidRPr="00B14F40" w:rsidRDefault="00DB058F" w:rsidP="00DB058F">
      <w:pPr>
        <w:pStyle w:val="FootnoteText"/>
        <w:ind w:firstLine="720"/>
        <w:rPr>
          <w:rFonts w:asciiTheme="majorHAnsi" w:hAnsiTheme="majorHAnsi"/>
          <w:sz w:val="16"/>
          <w:szCs w:val="16"/>
          <w:lang w:val="en-GB"/>
        </w:rPr>
      </w:pPr>
      <w:r w:rsidRPr="00EA0F72">
        <w:rPr>
          <w:rStyle w:val="FootnoteReference"/>
          <w:rFonts w:asciiTheme="majorHAnsi" w:hAnsiTheme="majorHAnsi"/>
          <w:sz w:val="16"/>
          <w:szCs w:val="16"/>
        </w:rPr>
        <w:footnoteRef/>
      </w:r>
      <w:r w:rsidRPr="00B14F40">
        <w:rPr>
          <w:rFonts w:asciiTheme="majorHAnsi" w:hAnsiTheme="majorHAnsi"/>
          <w:sz w:val="16"/>
          <w:szCs w:val="16"/>
          <w:lang w:val="en-GB"/>
        </w:rPr>
        <w:t xml:space="preserve"> Hereinafter </w:t>
      </w:r>
      <w:r>
        <w:rPr>
          <w:rFonts w:asciiTheme="majorHAnsi" w:hAnsiTheme="majorHAnsi"/>
          <w:sz w:val="16"/>
          <w:szCs w:val="16"/>
          <w:lang w:val="en-GB"/>
        </w:rPr>
        <w:t>“</w:t>
      </w:r>
      <w:r w:rsidRPr="00B14F40">
        <w:rPr>
          <w:rFonts w:asciiTheme="majorHAnsi" w:hAnsiTheme="majorHAnsi"/>
          <w:sz w:val="16"/>
          <w:szCs w:val="16"/>
          <w:lang w:val="en-GB"/>
        </w:rPr>
        <w:t>Convention</w:t>
      </w:r>
      <w:r>
        <w:rPr>
          <w:rFonts w:asciiTheme="majorHAnsi" w:hAnsiTheme="majorHAnsi"/>
          <w:sz w:val="16"/>
          <w:szCs w:val="16"/>
          <w:lang w:val="en-GB"/>
        </w:rPr>
        <w:t>”</w:t>
      </w:r>
      <w:r w:rsidRPr="00B14F40">
        <w:rPr>
          <w:rFonts w:asciiTheme="majorHAnsi" w:hAnsiTheme="majorHAnsi"/>
          <w:sz w:val="16"/>
          <w:szCs w:val="16"/>
          <w:lang w:val="en-GB"/>
        </w:rPr>
        <w:t xml:space="preserve"> or </w:t>
      </w:r>
      <w:r>
        <w:rPr>
          <w:rFonts w:asciiTheme="majorHAnsi" w:hAnsiTheme="majorHAnsi"/>
          <w:sz w:val="16"/>
          <w:szCs w:val="16"/>
          <w:lang w:val="en-GB"/>
        </w:rPr>
        <w:t>“</w:t>
      </w:r>
      <w:r w:rsidRPr="00B14F40">
        <w:rPr>
          <w:rFonts w:asciiTheme="majorHAnsi" w:hAnsiTheme="majorHAnsi"/>
          <w:sz w:val="16"/>
          <w:szCs w:val="16"/>
          <w:lang w:val="en-GB"/>
        </w:rPr>
        <w:t>American Convention.</w:t>
      </w:r>
      <w:r>
        <w:rPr>
          <w:rFonts w:asciiTheme="majorHAnsi" w:hAnsiTheme="majorHAnsi"/>
          <w:sz w:val="16"/>
          <w:szCs w:val="16"/>
          <w:lang w:val="en-GB"/>
        </w:rPr>
        <w:t>”</w:t>
      </w:r>
    </w:p>
  </w:footnote>
  <w:footnote w:id="4">
    <w:p w14:paraId="74282186" w14:textId="631A8817" w:rsidR="00DB058F" w:rsidRPr="00B14F40" w:rsidRDefault="00DB058F" w:rsidP="00DB058F">
      <w:pPr>
        <w:pStyle w:val="FootnoteText"/>
        <w:ind w:firstLine="720"/>
        <w:rPr>
          <w:sz w:val="16"/>
          <w:szCs w:val="16"/>
          <w:lang w:val="en-GB"/>
        </w:rPr>
      </w:pPr>
      <w:r w:rsidRPr="00E06DA8">
        <w:rPr>
          <w:rStyle w:val="FootnoteReference"/>
          <w:sz w:val="16"/>
          <w:szCs w:val="16"/>
        </w:rPr>
        <w:footnoteRef/>
      </w:r>
      <w:r w:rsidRPr="00B14F40">
        <w:rPr>
          <w:sz w:val="16"/>
          <w:szCs w:val="16"/>
          <w:lang w:val="en-GB"/>
        </w:rPr>
        <w:t xml:space="preserve"> </w:t>
      </w:r>
      <w:r w:rsidRPr="00B14F40">
        <w:rPr>
          <w:rFonts w:asciiTheme="majorHAnsi" w:hAnsiTheme="majorHAnsi"/>
          <w:sz w:val="16"/>
          <w:szCs w:val="16"/>
          <w:lang w:val="en-GB"/>
        </w:rPr>
        <w:t xml:space="preserve">Articles 5 and 14 of the International Covenant on Civil and Political Rights; </w:t>
      </w:r>
      <w:r w:rsidR="00EF1662">
        <w:rPr>
          <w:rFonts w:asciiTheme="majorHAnsi" w:hAnsiTheme="majorHAnsi"/>
          <w:sz w:val="16"/>
          <w:szCs w:val="16"/>
          <w:lang w:val="en-GB"/>
        </w:rPr>
        <w:t xml:space="preserve">and </w:t>
      </w:r>
      <w:r w:rsidRPr="00B14F40">
        <w:rPr>
          <w:rFonts w:asciiTheme="majorHAnsi" w:hAnsiTheme="majorHAnsi"/>
          <w:sz w:val="16"/>
          <w:szCs w:val="16"/>
          <w:lang w:val="en-GB"/>
        </w:rPr>
        <w:t>Article 12 of the ILO 169 Convention.</w:t>
      </w:r>
    </w:p>
  </w:footnote>
  <w:footnote w:id="5">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006B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7F2D" w14:textId="77777777" w:rsidR="00CD7084" w:rsidRDefault="00CD7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B3B1E"/>
    <w:rsid w:val="000C4365"/>
    <w:rsid w:val="000D10DB"/>
    <w:rsid w:val="00124116"/>
    <w:rsid w:val="0013104F"/>
    <w:rsid w:val="00137EBA"/>
    <w:rsid w:val="00145EDC"/>
    <w:rsid w:val="001479C2"/>
    <w:rsid w:val="00153084"/>
    <w:rsid w:val="00167A34"/>
    <w:rsid w:val="001714B4"/>
    <w:rsid w:val="0018037F"/>
    <w:rsid w:val="001A5F27"/>
    <w:rsid w:val="001A65E4"/>
    <w:rsid w:val="001A7870"/>
    <w:rsid w:val="001C1B41"/>
    <w:rsid w:val="001E366B"/>
    <w:rsid w:val="00210E0E"/>
    <w:rsid w:val="00215807"/>
    <w:rsid w:val="00230163"/>
    <w:rsid w:val="00247403"/>
    <w:rsid w:val="00247542"/>
    <w:rsid w:val="00257893"/>
    <w:rsid w:val="00266092"/>
    <w:rsid w:val="00266B61"/>
    <w:rsid w:val="0026712A"/>
    <w:rsid w:val="002704DB"/>
    <w:rsid w:val="002760CE"/>
    <w:rsid w:val="0027748C"/>
    <w:rsid w:val="002B7A85"/>
    <w:rsid w:val="002C1641"/>
    <w:rsid w:val="002C4073"/>
    <w:rsid w:val="002D7EA2"/>
    <w:rsid w:val="002E15DF"/>
    <w:rsid w:val="002E187C"/>
    <w:rsid w:val="002E6E57"/>
    <w:rsid w:val="00301075"/>
    <w:rsid w:val="00302733"/>
    <w:rsid w:val="00311A4F"/>
    <w:rsid w:val="00314078"/>
    <w:rsid w:val="00322450"/>
    <w:rsid w:val="003246B5"/>
    <w:rsid w:val="0033169F"/>
    <w:rsid w:val="003414AC"/>
    <w:rsid w:val="00356185"/>
    <w:rsid w:val="003570C0"/>
    <w:rsid w:val="00360380"/>
    <w:rsid w:val="00386CF0"/>
    <w:rsid w:val="003A4348"/>
    <w:rsid w:val="003C32BC"/>
    <w:rsid w:val="003E3E03"/>
    <w:rsid w:val="003F1BBF"/>
    <w:rsid w:val="004162B1"/>
    <w:rsid w:val="004165C2"/>
    <w:rsid w:val="00427B69"/>
    <w:rsid w:val="00450A4A"/>
    <w:rsid w:val="004666FB"/>
    <w:rsid w:val="00466D0B"/>
    <w:rsid w:val="00467B7E"/>
    <w:rsid w:val="0049419D"/>
    <w:rsid w:val="004B2762"/>
    <w:rsid w:val="004B7EB6"/>
    <w:rsid w:val="004C41DE"/>
    <w:rsid w:val="004C4B62"/>
    <w:rsid w:val="004D6025"/>
    <w:rsid w:val="004D72BC"/>
    <w:rsid w:val="004F52AB"/>
    <w:rsid w:val="004F6B67"/>
    <w:rsid w:val="00501399"/>
    <w:rsid w:val="00507BC4"/>
    <w:rsid w:val="005128E4"/>
    <w:rsid w:val="00525560"/>
    <w:rsid w:val="00526A69"/>
    <w:rsid w:val="00527550"/>
    <w:rsid w:val="005357A6"/>
    <w:rsid w:val="00537CC0"/>
    <w:rsid w:val="00544C49"/>
    <w:rsid w:val="0057402A"/>
    <w:rsid w:val="005771D0"/>
    <w:rsid w:val="0059191A"/>
    <w:rsid w:val="005921FF"/>
    <w:rsid w:val="00592718"/>
    <w:rsid w:val="005A6D0E"/>
    <w:rsid w:val="005B222D"/>
    <w:rsid w:val="005B52B0"/>
    <w:rsid w:val="005B6806"/>
    <w:rsid w:val="005C00F9"/>
    <w:rsid w:val="005C4225"/>
    <w:rsid w:val="005C568F"/>
    <w:rsid w:val="005E6537"/>
    <w:rsid w:val="005F0F33"/>
    <w:rsid w:val="00600DEB"/>
    <w:rsid w:val="006057FD"/>
    <w:rsid w:val="00613027"/>
    <w:rsid w:val="00625DFE"/>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F1429"/>
    <w:rsid w:val="007F4759"/>
    <w:rsid w:val="00803F1C"/>
    <w:rsid w:val="0080600E"/>
    <w:rsid w:val="00817612"/>
    <w:rsid w:val="00837C45"/>
    <w:rsid w:val="00847283"/>
    <w:rsid w:val="00853419"/>
    <w:rsid w:val="00880D9C"/>
    <w:rsid w:val="00897E12"/>
    <w:rsid w:val="008D43BA"/>
    <w:rsid w:val="008E3759"/>
    <w:rsid w:val="008F56AD"/>
    <w:rsid w:val="009041DC"/>
    <w:rsid w:val="009104B4"/>
    <w:rsid w:val="009228DA"/>
    <w:rsid w:val="00925FCD"/>
    <w:rsid w:val="0093441A"/>
    <w:rsid w:val="00943C9C"/>
    <w:rsid w:val="00954BF7"/>
    <w:rsid w:val="0096706E"/>
    <w:rsid w:val="00981FBA"/>
    <w:rsid w:val="009B381B"/>
    <w:rsid w:val="009D7611"/>
    <w:rsid w:val="009E53DE"/>
    <w:rsid w:val="009E566A"/>
    <w:rsid w:val="00A12DBC"/>
    <w:rsid w:val="00A43458"/>
    <w:rsid w:val="00A528D1"/>
    <w:rsid w:val="00A66BE5"/>
    <w:rsid w:val="00A92831"/>
    <w:rsid w:val="00AD37C1"/>
    <w:rsid w:val="00AE615B"/>
    <w:rsid w:val="00AE66EC"/>
    <w:rsid w:val="00AE6F91"/>
    <w:rsid w:val="00AF5571"/>
    <w:rsid w:val="00B167E9"/>
    <w:rsid w:val="00B179ED"/>
    <w:rsid w:val="00B20B47"/>
    <w:rsid w:val="00B314DB"/>
    <w:rsid w:val="00B31EBE"/>
    <w:rsid w:val="00B3718B"/>
    <w:rsid w:val="00B44B23"/>
    <w:rsid w:val="00B4632A"/>
    <w:rsid w:val="00B51771"/>
    <w:rsid w:val="00B92E49"/>
    <w:rsid w:val="00BA276C"/>
    <w:rsid w:val="00BB306F"/>
    <w:rsid w:val="00BD232B"/>
    <w:rsid w:val="00BD2E42"/>
    <w:rsid w:val="00BD4B89"/>
    <w:rsid w:val="00C006B6"/>
    <w:rsid w:val="00C21762"/>
    <w:rsid w:val="00C24543"/>
    <w:rsid w:val="00C256A2"/>
    <w:rsid w:val="00C3492D"/>
    <w:rsid w:val="00C55560"/>
    <w:rsid w:val="00C66B72"/>
    <w:rsid w:val="00C9567A"/>
    <w:rsid w:val="00CA6577"/>
    <w:rsid w:val="00CB2660"/>
    <w:rsid w:val="00CC5E90"/>
    <w:rsid w:val="00CD046C"/>
    <w:rsid w:val="00CD7084"/>
    <w:rsid w:val="00CE5199"/>
    <w:rsid w:val="00CE66D5"/>
    <w:rsid w:val="00D34786"/>
    <w:rsid w:val="00D40A1E"/>
    <w:rsid w:val="00D533C0"/>
    <w:rsid w:val="00D712D3"/>
    <w:rsid w:val="00D71422"/>
    <w:rsid w:val="00D7145E"/>
    <w:rsid w:val="00D75084"/>
    <w:rsid w:val="00D7558D"/>
    <w:rsid w:val="00D804FC"/>
    <w:rsid w:val="00D81D92"/>
    <w:rsid w:val="00D93446"/>
    <w:rsid w:val="00DA7B5F"/>
    <w:rsid w:val="00DB058F"/>
    <w:rsid w:val="00DF078B"/>
    <w:rsid w:val="00DF350D"/>
    <w:rsid w:val="00E227C1"/>
    <w:rsid w:val="00E35BA3"/>
    <w:rsid w:val="00E43157"/>
    <w:rsid w:val="00E47F3D"/>
    <w:rsid w:val="00E533FF"/>
    <w:rsid w:val="00E60C60"/>
    <w:rsid w:val="00E709B3"/>
    <w:rsid w:val="00E7588C"/>
    <w:rsid w:val="00E850B6"/>
    <w:rsid w:val="00E8789F"/>
    <w:rsid w:val="00E97B71"/>
    <w:rsid w:val="00EB454D"/>
    <w:rsid w:val="00ED0D1B"/>
    <w:rsid w:val="00EE3522"/>
    <w:rsid w:val="00EF1662"/>
    <w:rsid w:val="00EF619B"/>
    <w:rsid w:val="00F00B55"/>
    <w:rsid w:val="00F1380F"/>
    <w:rsid w:val="00F14F0E"/>
    <w:rsid w:val="00F15A3B"/>
    <w:rsid w:val="00F24C29"/>
    <w:rsid w:val="00F253CC"/>
    <w:rsid w:val="00F42B71"/>
    <w:rsid w:val="00F56BA5"/>
    <w:rsid w:val="00F621C3"/>
    <w:rsid w:val="00F644E6"/>
    <w:rsid w:val="00F850C2"/>
    <w:rsid w:val="00F9653B"/>
    <w:rsid w:val="00FB62CF"/>
    <w:rsid w:val="00FC0264"/>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6CC3E201D041C2A517D507EDE75BFA"/>
        <w:category>
          <w:name w:val="General"/>
          <w:gallery w:val="placeholder"/>
        </w:category>
        <w:types>
          <w:type w:val="bbPlcHdr"/>
        </w:types>
        <w:behaviors>
          <w:behavior w:val="content"/>
        </w:behaviors>
        <w:guid w:val="{1719EC1E-3B82-444F-A199-4F93990F1780}"/>
      </w:docPartPr>
      <w:docPartBody>
        <w:p w:rsidR="00A070FE" w:rsidRDefault="00C47E3F" w:rsidP="00C47E3F">
          <w:pPr>
            <w:pStyle w:val="E46CC3E201D041C2A517D507EDE75BF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9405A"/>
    <w:rsid w:val="001B7EAC"/>
    <w:rsid w:val="004108B1"/>
    <w:rsid w:val="004C66FF"/>
    <w:rsid w:val="006928FA"/>
    <w:rsid w:val="00727375"/>
    <w:rsid w:val="00A070FE"/>
    <w:rsid w:val="00A9305E"/>
    <w:rsid w:val="00AB44F1"/>
    <w:rsid w:val="00C47E3F"/>
    <w:rsid w:val="00E715BD"/>
    <w:rsid w:val="00E948CB"/>
    <w:rsid w:val="00EA0868"/>
    <w:rsid w:val="00FA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E3F"/>
    <w:rPr>
      <w:color w:val="808080"/>
    </w:rPr>
  </w:style>
  <w:style w:type="paragraph" w:customStyle="1" w:styleId="4DBB5F3FC358F64B9E5EFB773263C7D2">
    <w:name w:val="4DBB5F3FC358F64B9E5EFB773263C7D2"/>
    <w:rsid w:val="00AB44F1"/>
  </w:style>
  <w:style w:type="paragraph" w:customStyle="1" w:styleId="95F185897EA64C3889751BDA7ABBFC04">
    <w:name w:val="95F185897EA64C3889751BDA7ABBFC04"/>
    <w:rsid w:val="00C47E3F"/>
    <w:pPr>
      <w:spacing w:after="200" w:line="276" w:lineRule="auto"/>
    </w:pPr>
    <w:rPr>
      <w:sz w:val="22"/>
      <w:szCs w:val="22"/>
      <w:lang w:val="en-GB" w:eastAsia="en-GB"/>
    </w:rPr>
  </w:style>
  <w:style w:type="paragraph" w:customStyle="1" w:styleId="59F04AC538A241DF8D1DE74BD91C3780">
    <w:name w:val="59F04AC538A241DF8D1DE74BD91C3780"/>
    <w:rsid w:val="00C47E3F"/>
    <w:pPr>
      <w:spacing w:after="200" w:line="276" w:lineRule="auto"/>
    </w:pPr>
    <w:rPr>
      <w:sz w:val="22"/>
      <w:szCs w:val="22"/>
      <w:lang w:val="en-GB" w:eastAsia="en-GB"/>
    </w:rPr>
  </w:style>
  <w:style w:type="paragraph" w:customStyle="1" w:styleId="E46CC3E201D041C2A517D507EDE75BFA">
    <w:name w:val="E46CC3E201D041C2A517D507EDE75BFA"/>
    <w:rsid w:val="00C47E3F"/>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E3F"/>
    <w:rPr>
      <w:color w:val="808080"/>
    </w:rPr>
  </w:style>
  <w:style w:type="paragraph" w:customStyle="1" w:styleId="4DBB5F3FC358F64B9E5EFB773263C7D2">
    <w:name w:val="4DBB5F3FC358F64B9E5EFB773263C7D2"/>
    <w:rsid w:val="00AB44F1"/>
  </w:style>
  <w:style w:type="paragraph" w:customStyle="1" w:styleId="95F185897EA64C3889751BDA7ABBFC04">
    <w:name w:val="95F185897EA64C3889751BDA7ABBFC04"/>
    <w:rsid w:val="00C47E3F"/>
    <w:pPr>
      <w:spacing w:after="200" w:line="276" w:lineRule="auto"/>
    </w:pPr>
    <w:rPr>
      <w:sz w:val="22"/>
      <w:szCs w:val="22"/>
      <w:lang w:val="en-GB" w:eastAsia="en-GB"/>
    </w:rPr>
  </w:style>
  <w:style w:type="paragraph" w:customStyle="1" w:styleId="59F04AC538A241DF8D1DE74BD91C3780">
    <w:name w:val="59F04AC538A241DF8D1DE74BD91C3780"/>
    <w:rsid w:val="00C47E3F"/>
    <w:pPr>
      <w:spacing w:after="200" w:line="276" w:lineRule="auto"/>
    </w:pPr>
    <w:rPr>
      <w:sz w:val="22"/>
      <w:szCs w:val="22"/>
      <w:lang w:val="en-GB" w:eastAsia="en-GB"/>
    </w:rPr>
  </w:style>
  <w:style w:type="paragraph" w:customStyle="1" w:styleId="E46CC3E201D041C2A517D507EDE75BFA">
    <w:name w:val="E46CC3E201D041C2A517D507EDE75BFA"/>
    <w:rsid w:val="00C47E3F"/>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7CAD-C466-4F1B-ABFB-E5F300F7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8664</Characters>
  <Application>Microsoft Office Word</Application>
  <DocSecurity>0</DocSecurity>
  <Lines>216</Lines>
  <Paragraphs>68</Paragraphs>
  <ScaleCrop>false</ScaleCrop>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165/17</dc:title>
  <dc:creator/>
  <cp:lastModifiedBy/>
  <cp:revision>1</cp:revision>
  <dcterms:created xsi:type="dcterms:W3CDTF">2018-03-16T15:25:00Z</dcterms:created>
  <dcterms:modified xsi:type="dcterms:W3CDTF">2018-03-16T15:25:00Z</dcterms:modified>
</cp:coreProperties>
</file>