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8B037A" w:rsidRDefault="006311DA" w:rsidP="00627C9F">
      <w:pPr>
        <w:jc w:val="both"/>
        <w:rPr>
          <w:rFonts w:asciiTheme="majorHAnsi" w:hAnsiTheme="majorHAnsi" w:cs="Univers"/>
          <w:b/>
          <w:bCs/>
          <w:sz w:val="22"/>
          <w:szCs w:val="22"/>
          <w:lang w:val="es-ES_tradnl"/>
        </w:rPr>
      </w:pPr>
      <w:bookmarkStart w:id="0" w:name="_GoBack"/>
      <w:bookmarkEnd w:id="0"/>
      <w:r w:rsidRPr="008B037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BE16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B037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20DAB1D3"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0833AF">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20DAB1D3"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0833AF">
                        <w:t xml:space="preserve">                       </w:t>
                      </w:r>
                      <w:r>
                        <w:t xml:space="preserve"> </w:t>
                      </w:r>
                    </w:p>
                  </w:txbxContent>
                </v:textbox>
              </v:shape>
            </w:pict>
          </mc:Fallback>
        </mc:AlternateContent>
      </w:r>
    </w:p>
    <w:p w14:paraId="3F665A89" w14:textId="77777777" w:rsidR="00040C3A" w:rsidRPr="008B037A"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8B037A"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8B037A"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8B037A"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8B037A"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8B037A"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8B037A"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8B037A"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8B037A"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8B037A"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8B037A" w:rsidRDefault="00E533FF" w:rsidP="00040C3A">
      <w:pPr>
        <w:tabs>
          <w:tab w:val="center" w:pos="5400"/>
        </w:tabs>
        <w:suppressAutoHyphens/>
        <w:jc w:val="center"/>
        <w:rPr>
          <w:rFonts w:asciiTheme="majorHAnsi" w:hAnsiTheme="majorHAnsi"/>
          <w:sz w:val="22"/>
          <w:szCs w:val="22"/>
          <w:lang w:val="es-ES_tradnl"/>
        </w:rPr>
      </w:pPr>
      <w:r w:rsidRPr="008B037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E2B72B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E0A41">
                              <w:rPr>
                                <w:rFonts w:asciiTheme="majorHAnsi" w:hAnsiTheme="majorHAnsi" w:cs="Arial"/>
                                <w:b/>
                                <w:bCs/>
                                <w:color w:val="0D0D0D" w:themeColor="text1" w:themeTint="F2"/>
                                <w:sz w:val="36"/>
                                <w:szCs w:val="40"/>
                              </w:rPr>
                              <w:t>59</w:t>
                            </w:r>
                            <w:r w:rsidR="00322450" w:rsidRPr="004B7EB6">
                              <w:rPr>
                                <w:rFonts w:asciiTheme="majorHAnsi" w:hAnsiTheme="majorHAnsi" w:cs="Arial"/>
                                <w:b/>
                                <w:bCs/>
                                <w:color w:val="0D0D0D" w:themeColor="text1" w:themeTint="F2"/>
                                <w:sz w:val="36"/>
                                <w:szCs w:val="40"/>
                              </w:rPr>
                              <w:t>/1</w:t>
                            </w:r>
                            <w:r w:rsidR="00AC0FA0">
                              <w:rPr>
                                <w:rFonts w:asciiTheme="majorHAnsi" w:hAnsiTheme="majorHAnsi" w:cs="Arial"/>
                                <w:b/>
                                <w:bCs/>
                                <w:color w:val="0D0D0D" w:themeColor="text1" w:themeTint="F2"/>
                                <w:sz w:val="36"/>
                                <w:szCs w:val="40"/>
                              </w:rPr>
                              <w:t>8</w:t>
                            </w:r>
                          </w:p>
                          <w:p w14:paraId="081F51F3" w14:textId="7757A8A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9551D">
                              <w:rPr>
                                <w:rFonts w:asciiTheme="majorHAnsi" w:hAnsiTheme="majorHAnsi" w:cs="Arial"/>
                                <w:b/>
                                <w:bCs/>
                                <w:color w:val="0D0D0D" w:themeColor="text1" w:themeTint="F2"/>
                                <w:sz w:val="36"/>
                                <w:szCs w:val="22"/>
                                <w:lang w:val="en"/>
                              </w:rPr>
                              <w:t>871-08</w:t>
                            </w:r>
                          </w:p>
                          <w:p w14:paraId="34978E5A" w14:textId="4761FD6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9F7AFE3" w14:textId="77777777" w:rsidR="0049551D" w:rsidRPr="00AE4B22" w:rsidRDefault="0049551D" w:rsidP="0049551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TATIANA MARISA BARRÍA MARDONES and B.B.A.B.</w:t>
                            </w:r>
                          </w:p>
                          <w:p w14:paraId="7E2348D7" w14:textId="77777777" w:rsidR="0049551D" w:rsidRPr="0010736F" w:rsidRDefault="0049551D" w:rsidP="0049551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E2B72B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E0A41">
                        <w:rPr>
                          <w:rFonts w:asciiTheme="majorHAnsi" w:hAnsiTheme="majorHAnsi" w:cs="Arial"/>
                          <w:b/>
                          <w:bCs/>
                          <w:color w:val="0D0D0D" w:themeColor="text1" w:themeTint="F2"/>
                          <w:sz w:val="36"/>
                          <w:szCs w:val="40"/>
                        </w:rPr>
                        <w:t>59</w:t>
                      </w:r>
                      <w:r w:rsidR="00322450" w:rsidRPr="004B7EB6">
                        <w:rPr>
                          <w:rFonts w:asciiTheme="majorHAnsi" w:hAnsiTheme="majorHAnsi" w:cs="Arial"/>
                          <w:b/>
                          <w:bCs/>
                          <w:color w:val="0D0D0D" w:themeColor="text1" w:themeTint="F2"/>
                          <w:sz w:val="36"/>
                          <w:szCs w:val="40"/>
                        </w:rPr>
                        <w:t>/1</w:t>
                      </w:r>
                      <w:r w:rsidR="00AC0FA0">
                        <w:rPr>
                          <w:rFonts w:asciiTheme="majorHAnsi" w:hAnsiTheme="majorHAnsi" w:cs="Arial"/>
                          <w:b/>
                          <w:bCs/>
                          <w:color w:val="0D0D0D" w:themeColor="text1" w:themeTint="F2"/>
                          <w:sz w:val="36"/>
                          <w:szCs w:val="40"/>
                        </w:rPr>
                        <w:t>8</w:t>
                      </w:r>
                    </w:p>
                    <w:p w14:paraId="081F51F3" w14:textId="7757A8A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9551D">
                        <w:rPr>
                          <w:rFonts w:asciiTheme="majorHAnsi" w:hAnsiTheme="majorHAnsi" w:cs="Arial"/>
                          <w:b/>
                          <w:bCs/>
                          <w:color w:val="0D0D0D" w:themeColor="text1" w:themeTint="F2"/>
                          <w:sz w:val="36"/>
                          <w:szCs w:val="22"/>
                          <w:lang w:val="en"/>
                        </w:rPr>
                        <w:t>871-08</w:t>
                      </w:r>
                    </w:p>
                    <w:p w14:paraId="34978E5A" w14:textId="4761FD6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9F7AFE3" w14:textId="77777777" w:rsidR="0049551D" w:rsidRPr="00AE4B22" w:rsidRDefault="0049551D" w:rsidP="0049551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TATIANA MARISA BARRÍA MARDONES and B.B.A.B.</w:t>
                      </w:r>
                    </w:p>
                    <w:p w14:paraId="7E2348D7" w14:textId="77777777" w:rsidR="0049551D" w:rsidRPr="0010736F" w:rsidRDefault="0049551D" w:rsidP="0049551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CHILE</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8B037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C12FC8C" w:rsidR="00627C9F" w:rsidRPr="00A52A92" w:rsidRDefault="009E566A" w:rsidP="009E566A">
                            <w:pPr>
                              <w:jc w:val="right"/>
                              <w:rPr>
                                <w:rFonts w:asciiTheme="minorHAnsi" w:hAnsiTheme="minorHAnsi"/>
                                <w:color w:val="FFFFFF" w:themeColor="background1"/>
                                <w:sz w:val="22"/>
                                <w:lang w:val="pt-BR"/>
                              </w:rPr>
                            </w:pPr>
                            <w:r w:rsidRPr="00A52A92">
                              <w:rPr>
                                <w:rFonts w:asciiTheme="minorHAnsi" w:hAnsiTheme="minorHAnsi"/>
                                <w:color w:val="FFFFFF" w:themeColor="background1"/>
                                <w:sz w:val="22"/>
                                <w:lang w:val="pt-BR"/>
                              </w:rPr>
                              <w:t>OEA/Ser.L/V/II.1</w:t>
                            </w:r>
                            <w:r w:rsidR="00A52A92">
                              <w:rPr>
                                <w:rFonts w:asciiTheme="minorHAnsi" w:hAnsiTheme="minorHAnsi"/>
                                <w:color w:val="FFFFFF" w:themeColor="background1"/>
                                <w:sz w:val="22"/>
                                <w:lang w:val="pt-BR"/>
                              </w:rPr>
                              <w:t>68</w:t>
                            </w:r>
                          </w:p>
                          <w:p w14:paraId="4AA08A8C" w14:textId="50762C76" w:rsidR="00627C9F" w:rsidRPr="00A52A92" w:rsidRDefault="00CA6577" w:rsidP="009E566A">
                            <w:pPr>
                              <w:jc w:val="right"/>
                              <w:rPr>
                                <w:rFonts w:asciiTheme="minorHAnsi" w:hAnsiTheme="minorHAnsi"/>
                                <w:color w:val="FFFFFF" w:themeColor="background1"/>
                                <w:sz w:val="22"/>
                                <w:lang w:val="pt-BR"/>
                              </w:rPr>
                            </w:pPr>
                            <w:r w:rsidRPr="00A52A92">
                              <w:rPr>
                                <w:rFonts w:asciiTheme="minorHAnsi" w:hAnsiTheme="minorHAnsi"/>
                                <w:color w:val="FFFFFF" w:themeColor="background1"/>
                                <w:sz w:val="22"/>
                                <w:lang w:val="pt-BR"/>
                              </w:rPr>
                              <w:t xml:space="preserve">Doc. </w:t>
                            </w:r>
                            <w:r w:rsidR="00BE0A41">
                              <w:rPr>
                                <w:rFonts w:asciiTheme="minorHAnsi" w:hAnsiTheme="minorHAnsi"/>
                                <w:color w:val="FFFFFF" w:themeColor="background1"/>
                                <w:sz w:val="22"/>
                                <w:lang w:val="pt-BR"/>
                              </w:rPr>
                              <w:t>69</w:t>
                            </w:r>
                          </w:p>
                          <w:p w14:paraId="0BEFF61A" w14:textId="6637F626" w:rsidR="00627C9F" w:rsidRPr="00A52A92" w:rsidRDefault="00F5189F"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A52A92">
                              <w:rPr>
                                <w:rFonts w:asciiTheme="minorHAnsi" w:hAnsiTheme="minorHAnsi"/>
                                <w:color w:val="FFFFFF" w:themeColor="background1"/>
                                <w:sz w:val="22"/>
                              </w:rPr>
                              <w:t xml:space="preserve"> </w:t>
                            </w:r>
                            <w:r w:rsidR="00F42B71" w:rsidRPr="00A52A92">
                              <w:rPr>
                                <w:rFonts w:asciiTheme="minorHAnsi" w:hAnsiTheme="minorHAnsi"/>
                                <w:color w:val="FFFFFF" w:themeColor="background1"/>
                                <w:sz w:val="22"/>
                              </w:rPr>
                              <w:t>20</w:t>
                            </w:r>
                            <w:r w:rsidR="0049551D" w:rsidRPr="00A52A92">
                              <w:rPr>
                                <w:rFonts w:asciiTheme="minorHAnsi" w:hAnsiTheme="minorHAnsi"/>
                                <w:color w:val="FFFFFF" w:themeColor="background1"/>
                                <w:sz w:val="22"/>
                              </w:rPr>
                              <w:t>18</w:t>
                            </w:r>
                          </w:p>
                          <w:p w14:paraId="0FC103BD" w14:textId="434D2A05" w:rsidR="00627C9F" w:rsidRPr="00A52A92" w:rsidRDefault="00627C9F" w:rsidP="009E566A">
                            <w:pPr>
                              <w:jc w:val="right"/>
                              <w:rPr>
                                <w:rFonts w:asciiTheme="minorHAnsi" w:hAnsiTheme="minorHAnsi"/>
                                <w:color w:val="FFFFFF" w:themeColor="background1"/>
                                <w:sz w:val="22"/>
                              </w:rPr>
                            </w:pPr>
                            <w:r w:rsidRPr="00A52A92">
                              <w:rPr>
                                <w:rFonts w:asciiTheme="minorHAnsi" w:hAnsiTheme="minorHAnsi"/>
                                <w:color w:val="FFFFFF" w:themeColor="background1"/>
                                <w:sz w:val="22"/>
                              </w:rPr>
                              <w:t>Original:</w:t>
                            </w:r>
                            <w:r w:rsidR="002C1641" w:rsidRPr="00A52A92">
                              <w:rPr>
                                <w:rFonts w:asciiTheme="minorHAnsi" w:hAnsiTheme="minorHAnsi"/>
                                <w:color w:val="FFFFFF" w:themeColor="background1"/>
                                <w:sz w:val="22"/>
                              </w:rPr>
                              <w:t xml:space="preserve"> </w:t>
                            </w:r>
                            <w:r w:rsidR="00F42B71" w:rsidRPr="00A52A9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C12FC8C" w:rsidR="00627C9F" w:rsidRPr="00A52A92" w:rsidRDefault="009E566A" w:rsidP="009E566A">
                      <w:pPr>
                        <w:jc w:val="right"/>
                        <w:rPr>
                          <w:rFonts w:asciiTheme="minorHAnsi" w:hAnsiTheme="minorHAnsi"/>
                          <w:color w:val="FFFFFF" w:themeColor="background1"/>
                          <w:sz w:val="22"/>
                          <w:lang w:val="pt-BR"/>
                        </w:rPr>
                      </w:pPr>
                      <w:r w:rsidRPr="00A52A92">
                        <w:rPr>
                          <w:rFonts w:asciiTheme="minorHAnsi" w:hAnsiTheme="minorHAnsi"/>
                          <w:color w:val="FFFFFF" w:themeColor="background1"/>
                          <w:sz w:val="22"/>
                          <w:lang w:val="pt-BR"/>
                        </w:rPr>
                        <w:t>OEA/Ser.L/V/II.1</w:t>
                      </w:r>
                      <w:r w:rsidR="00A52A92">
                        <w:rPr>
                          <w:rFonts w:asciiTheme="minorHAnsi" w:hAnsiTheme="minorHAnsi"/>
                          <w:color w:val="FFFFFF" w:themeColor="background1"/>
                          <w:sz w:val="22"/>
                          <w:lang w:val="pt-BR"/>
                        </w:rPr>
                        <w:t>68</w:t>
                      </w:r>
                    </w:p>
                    <w:p w14:paraId="4AA08A8C" w14:textId="50762C76" w:rsidR="00627C9F" w:rsidRPr="00A52A92" w:rsidRDefault="00CA6577" w:rsidP="009E566A">
                      <w:pPr>
                        <w:jc w:val="right"/>
                        <w:rPr>
                          <w:rFonts w:asciiTheme="minorHAnsi" w:hAnsiTheme="minorHAnsi"/>
                          <w:color w:val="FFFFFF" w:themeColor="background1"/>
                          <w:sz w:val="22"/>
                          <w:lang w:val="pt-BR"/>
                        </w:rPr>
                      </w:pPr>
                      <w:r w:rsidRPr="00A52A92">
                        <w:rPr>
                          <w:rFonts w:asciiTheme="minorHAnsi" w:hAnsiTheme="minorHAnsi"/>
                          <w:color w:val="FFFFFF" w:themeColor="background1"/>
                          <w:sz w:val="22"/>
                          <w:lang w:val="pt-BR"/>
                        </w:rPr>
                        <w:t xml:space="preserve">Doc. </w:t>
                      </w:r>
                      <w:r w:rsidR="00BE0A41">
                        <w:rPr>
                          <w:rFonts w:asciiTheme="minorHAnsi" w:hAnsiTheme="minorHAnsi"/>
                          <w:color w:val="FFFFFF" w:themeColor="background1"/>
                          <w:sz w:val="22"/>
                          <w:lang w:val="pt-BR"/>
                        </w:rPr>
                        <w:t>69</w:t>
                      </w:r>
                    </w:p>
                    <w:p w14:paraId="0BEFF61A" w14:textId="6637F626" w:rsidR="00627C9F" w:rsidRPr="00A52A92" w:rsidRDefault="00F5189F" w:rsidP="009E566A">
                      <w:pPr>
                        <w:jc w:val="right"/>
                        <w:rPr>
                          <w:rFonts w:asciiTheme="minorHAnsi" w:hAnsiTheme="minorHAnsi"/>
                          <w:color w:val="FFFFFF" w:themeColor="background1"/>
                          <w:sz w:val="22"/>
                        </w:rPr>
                      </w:pPr>
                      <w:r>
                        <w:rPr>
                          <w:rFonts w:asciiTheme="minorHAnsi" w:hAnsiTheme="minorHAnsi"/>
                          <w:color w:val="FFFFFF" w:themeColor="background1"/>
                          <w:sz w:val="22"/>
                        </w:rPr>
                        <w:t>5 May</w:t>
                      </w:r>
                      <w:r w:rsidR="000C4365" w:rsidRPr="00A52A92">
                        <w:rPr>
                          <w:rFonts w:asciiTheme="minorHAnsi" w:hAnsiTheme="minorHAnsi"/>
                          <w:color w:val="FFFFFF" w:themeColor="background1"/>
                          <w:sz w:val="22"/>
                        </w:rPr>
                        <w:t xml:space="preserve"> </w:t>
                      </w:r>
                      <w:r w:rsidR="00F42B71" w:rsidRPr="00A52A92">
                        <w:rPr>
                          <w:rFonts w:asciiTheme="minorHAnsi" w:hAnsiTheme="minorHAnsi"/>
                          <w:color w:val="FFFFFF" w:themeColor="background1"/>
                          <w:sz w:val="22"/>
                        </w:rPr>
                        <w:t>20</w:t>
                      </w:r>
                      <w:r w:rsidR="0049551D" w:rsidRPr="00A52A92">
                        <w:rPr>
                          <w:rFonts w:asciiTheme="minorHAnsi" w:hAnsiTheme="minorHAnsi"/>
                          <w:color w:val="FFFFFF" w:themeColor="background1"/>
                          <w:sz w:val="22"/>
                        </w:rPr>
                        <w:t>18</w:t>
                      </w:r>
                    </w:p>
                    <w:p w14:paraId="0FC103BD" w14:textId="434D2A05" w:rsidR="00627C9F" w:rsidRPr="00A52A92" w:rsidRDefault="00627C9F" w:rsidP="009E566A">
                      <w:pPr>
                        <w:jc w:val="right"/>
                        <w:rPr>
                          <w:rFonts w:asciiTheme="minorHAnsi" w:hAnsiTheme="minorHAnsi"/>
                          <w:color w:val="FFFFFF" w:themeColor="background1"/>
                          <w:sz w:val="22"/>
                        </w:rPr>
                      </w:pPr>
                      <w:r w:rsidRPr="00A52A92">
                        <w:rPr>
                          <w:rFonts w:asciiTheme="minorHAnsi" w:hAnsiTheme="minorHAnsi"/>
                          <w:color w:val="FFFFFF" w:themeColor="background1"/>
                          <w:sz w:val="22"/>
                        </w:rPr>
                        <w:t>Original:</w:t>
                      </w:r>
                      <w:r w:rsidR="002C1641" w:rsidRPr="00A52A92">
                        <w:rPr>
                          <w:rFonts w:asciiTheme="minorHAnsi" w:hAnsiTheme="minorHAnsi"/>
                          <w:color w:val="FFFFFF" w:themeColor="background1"/>
                          <w:sz w:val="22"/>
                        </w:rPr>
                        <w:t xml:space="preserve"> </w:t>
                      </w:r>
                      <w:r w:rsidR="00F42B71" w:rsidRPr="00A52A92">
                        <w:rPr>
                          <w:rFonts w:asciiTheme="minorHAnsi" w:hAnsiTheme="minorHAnsi"/>
                          <w:color w:val="FFFFFF" w:themeColor="background1"/>
                          <w:sz w:val="22"/>
                        </w:rPr>
                        <w:t>Spanish</w:t>
                      </w:r>
                    </w:p>
                  </w:txbxContent>
                </v:textbox>
              </v:shape>
            </w:pict>
          </mc:Fallback>
        </mc:AlternateContent>
      </w:r>
    </w:p>
    <w:p w14:paraId="3765F9FA"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8B037A"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8B037A"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8B037A"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8B037A"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8B037A"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8B037A"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8B037A" w:rsidRDefault="003C32BC" w:rsidP="00040C3A">
      <w:pPr>
        <w:tabs>
          <w:tab w:val="center" w:pos="5400"/>
        </w:tabs>
        <w:suppressAutoHyphens/>
        <w:jc w:val="center"/>
        <w:rPr>
          <w:rFonts w:asciiTheme="majorHAnsi" w:hAnsiTheme="majorHAnsi"/>
          <w:sz w:val="18"/>
          <w:szCs w:val="22"/>
          <w:lang w:val="es-ES_tradnl"/>
        </w:rPr>
      </w:pPr>
      <w:r w:rsidRPr="008B037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014B97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BE0A41">
                              <w:rPr>
                                <w:rFonts w:asciiTheme="majorHAnsi" w:hAnsiTheme="majorHAnsi"/>
                                <w:color w:val="0D0D0D" w:themeColor="text1" w:themeTint="F2"/>
                                <w:sz w:val="18"/>
                                <w:szCs w:val="20"/>
                              </w:rPr>
                              <w:t>212</w:t>
                            </w:r>
                            <w:r w:rsidR="00FA2FCA">
                              <w:rPr>
                                <w:rFonts w:asciiTheme="majorHAnsi" w:hAnsiTheme="majorHAnsi"/>
                                <w:color w:val="0D0D0D" w:themeColor="text1" w:themeTint="F2"/>
                                <w:sz w:val="18"/>
                                <w:szCs w:val="20"/>
                              </w:rPr>
                              <w:t>8</w:t>
                            </w:r>
                            <w:r w:rsidR="000833AF">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BE0A41">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BE0A41">
                              <w:rPr>
                                <w:rFonts w:asciiTheme="majorHAnsi" w:hAnsiTheme="majorHAnsi"/>
                                <w:color w:val="0D0D0D" w:themeColor="text1" w:themeTint="F2"/>
                                <w:sz w:val="18"/>
                                <w:szCs w:val="20"/>
                              </w:rPr>
                              <w:t>8</w:t>
                            </w:r>
                            <w:r w:rsidR="00F5189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BE0A41">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BE0A4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F5189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014B97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BE0A41">
                        <w:rPr>
                          <w:rFonts w:asciiTheme="majorHAnsi" w:hAnsiTheme="majorHAnsi"/>
                          <w:color w:val="0D0D0D" w:themeColor="text1" w:themeTint="F2"/>
                          <w:sz w:val="18"/>
                          <w:szCs w:val="20"/>
                        </w:rPr>
                        <w:t>212</w:t>
                      </w:r>
                      <w:r w:rsidR="00FA2FCA">
                        <w:rPr>
                          <w:rFonts w:asciiTheme="majorHAnsi" w:hAnsiTheme="majorHAnsi"/>
                          <w:color w:val="0D0D0D" w:themeColor="text1" w:themeTint="F2"/>
                          <w:sz w:val="18"/>
                          <w:szCs w:val="20"/>
                        </w:rPr>
                        <w:t>8</w:t>
                      </w:r>
                      <w:r w:rsidR="000833AF">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held</w:t>
                      </w:r>
                      <w:r w:rsidRPr="003C32BC">
                        <w:rPr>
                          <w:rFonts w:asciiTheme="majorHAnsi" w:hAnsiTheme="majorHAnsi"/>
                          <w:color w:val="0D0D0D" w:themeColor="text1" w:themeTint="F2"/>
                          <w:sz w:val="18"/>
                          <w:szCs w:val="20"/>
                        </w:rPr>
                        <w:t xml:space="preserve"> on </w:t>
                      </w:r>
                      <w:r w:rsidR="00BE0A41">
                        <w:rPr>
                          <w:rFonts w:asciiTheme="majorHAnsi" w:hAnsiTheme="majorHAnsi"/>
                          <w:color w:val="0D0D0D" w:themeColor="text1" w:themeTint="F2"/>
                          <w:sz w:val="18"/>
                          <w:szCs w:val="20"/>
                        </w:rPr>
                        <w:t>May 5</w:t>
                      </w:r>
                      <w:r w:rsidR="000C4365">
                        <w:rPr>
                          <w:rFonts w:asciiTheme="majorHAnsi" w:hAnsiTheme="majorHAnsi"/>
                          <w:color w:val="0D0D0D" w:themeColor="text1" w:themeTint="F2"/>
                          <w:sz w:val="18"/>
                          <w:szCs w:val="20"/>
                        </w:rPr>
                        <w:t>, 201</w:t>
                      </w:r>
                      <w:r w:rsidR="00BE0A41">
                        <w:rPr>
                          <w:rFonts w:asciiTheme="majorHAnsi" w:hAnsiTheme="majorHAnsi"/>
                          <w:color w:val="0D0D0D" w:themeColor="text1" w:themeTint="F2"/>
                          <w:sz w:val="18"/>
                          <w:szCs w:val="20"/>
                        </w:rPr>
                        <w:t>8</w:t>
                      </w:r>
                      <w:r w:rsidR="00F5189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BE0A41">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BE0A41">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F5189F">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8B037A" w:rsidRDefault="003C32BC" w:rsidP="00040C3A">
      <w:pPr>
        <w:tabs>
          <w:tab w:val="center" w:pos="5400"/>
        </w:tabs>
        <w:suppressAutoHyphens/>
        <w:jc w:val="center"/>
        <w:rPr>
          <w:rFonts w:asciiTheme="majorHAnsi" w:hAnsiTheme="majorHAnsi"/>
          <w:sz w:val="18"/>
          <w:szCs w:val="22"/>
          <w:lang w:val="es-ES_tradnl"/>
        </w:rPr>
      </w:pPr>
      <w:r w:rsidRPr="008B037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15EF6F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0A41">
                              <w:rPr>
                                <w:rFonts w:asciiTheme="majorHAnsi" w:hAnsiTheme="majorHAnsi"/>
                                <w:color w:val="595959" w:themeColor="text1" w:themeTint="A6"/>
                                <w:sz w:val="18"/>
                              </w:rPr>
                              <w:t>59</w:t>
                            </w:r>
                            <w:r w:rsidR="00022CF5">
                              <w:rPr>
                                <w:rFonts w:asciiTheme="majorHAnsi" w:hAnsiTheme="majorHAnsi"/>
                                <w:color w:val="595959" w:themeColor="text1" w:themeTint="A6"/>
                                <w:sz w:val="18"/>
                              </w:rPr>
                              <w:t>/1</w:t>
                            </w:r>
                            <w:r w:rsidR="00A56FA2">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9551D">
                              <w:rPr>
                                <w:rFonts w:asciiTheme="majorHAnsi" w:hAnsiTheme="majorHAnsi"/>
                                <w:color w:val="595959" w:themeColor="text1" w:themeTint="A6"/>
                                <w:sz w:val="18"/>
                              </w:rPr>
                              <w:t>871-08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D5C14">
                              <w:rPr>
                                <w:rFonts w:asciiTheme="majorHAnsi" w:hAnsiTheme="majorHAnsi"/>
                                <w:color w:val="595959" w:themeColor="text1" w:themeTint="A6"/>
                                <w:sz w:val="18"/>
                              </w:rPr>
                              <w:t>Admissibility</w:t>
                            </w:r>
                            <w:r w:rsidRPr="00ED5C14">
                              <w:rPr>
                                <w:rFonts w:asciiTheme="majorHAnsi" w:hAnsiTheme="majorHAnsi"/>
                                <w:color w:val="595959" w:themeColor="text1" w:themeTint="A6"/>
                                <w:sz w:val="18"/>
                              </w:rPr>
                              <w:t xml:space="preserve">. </w:t>
                            </w:r>
                            <w:r w:rsidR="0049551D" w:rsidRPr="00ED5C14">
                              <w:rPr>
                                <w:rFonts w:asciiTheme="majorHAnsi" w:hAnsiTheme="majorHAnsi"/>
                                <w:color w:val="595959" w:themeColor="text1" w:themeTint="A6"/>
                                <w:sz w:val="18"/>
                              </w:rPr>
                              <w:t xml:space="preserve">Tatiana Marisa </w:t>
                            </w:r>
                            <w:proofErr w:type="spellStart"/>
                            <w:r w:rsidR="0049551D" w:rsidRPr="00ED5C14">
                              <w:rPr>
                                <w:rFonts w:asciiTheme="majorHAnsi" w:hAnsiTheme="majorHAnsi"/>
                                <w:color w:val="595959" w:themeColor="text1" w:themeTint="A6"/>
                                <w:sz w:val="18"/>
                              </w:rPr>
                              <w:t>Barría</w:t>
                            </w:r>
                            <w:proofErr w:type="spellEnd"/>
                            <w:r w:rsidR="0049551D" w:rsidRPr="00ED5C14">
                              <w:rPr>
                                <w:rFonts w:asciiTheme="majorHAnsi" w:hAnsiTheme="majorHAnsi"/>
                                <w:color w:val="595959" w:themeColor="text1" w:themeTint="A6"/>
                                <w:sz w:val="18"/>
                              </w:rPr>
                              <w:t xml:space="preserve"> </w:t>
                            </w:r>
                            <w:proofErr w:type="spellStart"/>
                            <w:r w:rsidR="0049551D" w:rsidRPr="00ED5C14">
                              <w:rPr>
                                <w:rFonts w:asciiTheme="majorHAnsi" w:hAnsiTheme="majorHAnsi"/>
                                <w:color w:val="595959" w:themeColor="text1" w:themeTint="A6"/>
                                <w:sz w:val="18"/>
                              </w:rPr>
                              <w:t>Mardones</w:t>
                            </w:r>
                            <w:proofErr w:type="spellEnd"/>
                            <w:r w:rsidR="0049551D" w:rsidRPr="00ED5C14">
                              <w:rPr>
                                <w:rFonts w:asciiTheme="majorHAnsi" w:hAnsiTheme="majorHAnsi"/>
                                <w:color w:val="595959" w:themeColor="text1" w:themeTint="A6"/>
                                <w:sz w:val="18"/>
                              </w:rPr>
                              <w:t xml:space="preserve"> y B.B.A.B</w:t>
                            </w:r>
                            <w:r w:rsidRPr="00ED5C14">
                              <w:rPr>
                                <w:rFonts w:asciiTheme="majorHAnsi" w:hAnsiTheme="majorHAnsi"/>
                                <w:color w:val="595959" w:themeColor="text1" w:themeTint="A6"/>
                                <w:sz w:val="18"/>
                              </w:rPr>
                              <w:t xml:space="preserve">. </w:t>
                            </w:r>
                            <w:r w:rsidR="0049551D">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BE0A41">
                              <w:rPr>
                                <w:rFonts w:asciiTheme="majorHAnsi" w:hAnsiTheme="majorHAnsi"/>
                                <w:color w:val="595959" w:themeColor="text1" w:themeTint="A6"/>
                                <w:sz w:val="18"/>
                              </w:rPr>
                              <w:t>May 5,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15EF6F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0A41">
                        <w:rPr>
                          <w:rFonts w:asciiTheme="majorHAnsi" w:hAnsiTheme="majorHAnsi"/>
                          <w:color w:val="595959" w:themeColor="text1" w:themeTint="A6"/>
                          <w:sz w:val="18"/>
                        </w:rPr>
                        <w:t>59</w:t>
                      </w:r>
                      <w:r w:rsidR="00022CF5">
                        <w:rPr>
                          <w:rFonts w:asciiTheme="majorHAnsi" w:hAnsiTheme="majorHAnsi"/>
                          <w:color w:val="595959" w:themeColor="text1" w:themeTint="A6"/>
                          <w:sz w:val="18"/>
                        </w:rPr>
                        <w:t>/1</w:t>
                      </w:r>
                      <w:r w:rsidR="00A56FA2">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9551D">
                        <w:rPr>
                          <w:rFonts w:asciiTheme="majorHAnsi" w:hAnsiTheme="majorHAnsi"/>
                          <w:color w:val="595959" w:themeColor="text1" w:themeTint="A6"/>
                          <w:sz w:val="18"/>
                        </w:rPr>
                        <w:t>871-08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D5C14">
                        <w:rPr>
                          <w:rFonts w:asciiTheme="majorHAnsi" w:hAnsiTheme="majorHAnsi"/>
                          <w:color w:val="595959" w:themeColor="text1" w:themeTint="A6"/>
                          <w:sz w:val="18"/>
                        </w:rPr>
                        <w:t>Admissibility</w:t>
                      </w:r>
                      <w:r w:rsidRPr="00ED5C14">
                        <w:rPr>
                          <w:rFonts w:asciiTheme="majorHAnsi" w:hAnsiTheme="majorHAnsi"/>
                          <w:color w:val="595959" w:themeColor="text1" w:themeTint="A6"/>
                          <w:sz w:val="18"/>
                        </w:rPr>
                        <w:t xml:space="preserve">. </w:t>
                      </w:r>
                      <w:r w:rsidR="0049551D" w:rsidRPr="00ED5C14">
                        <w:rPr>
                          <w:rFonts w:asciiTheme="majorHAnsi" w:hAnsiTheme="majorHAnsi"/>
                          <w:color w:val="595959" w:themeColor="text1" w:themeTint="A6"/>
                          <w:sz w:val="18"/>
                        </w:rPr>
                        <w:t xml:space="preserve">Tatiana Marisa </w:t>
                      </w:r>
                      <w:proofErr w:type="spellStart"/>
                      <w:r w:rsidR="0049551D" w:rsidRPr="00ED5C14">
                        <w:rPr>
                          <w:rFonts w:asciiTheme="majorHAnsi" w:hAnsiTheme="majorHAnsi"/>
                          <w:color w:val="595959" w:themeColor="text1" w:themeTint="A6"/>
                          <w:sz w:val="18"/>
                        </w:rPr>
                        <w:t>Barría</w:t>
                      </w:r>
                      <w:proofErr w:type="spellEnd"/>
                      <w:r w:rsidR="0049551D" w:rsidRPr="00ED5C14">
                        <w:rPr>
                          <w:rFonts w:asciiTheme="majorHAnsi" w:hAnsiTheme="majorHAnsi"/>
                          <w:color w:val="595959" w:themeColor="text1" w:themeTint="A6"/>
                          <w:sz w:val="18"/>
                        </w:rPr>
                        <w:t xml:space="preserve"> </w:t>
                      </w:r>
                      <w:proofErr w:type="spellStart"/>
                      <w:r w:rsidR="0049551D" w:rsidRPr="00ED5C14">
                        <w:rPr>
                          <w:rFonts w:asciiTheme="majorHAnsi" w:hAnsiTheme="majorHAnsi"/>
                          <w:color w:val="595959" w:themeColor="text1" w:themeTint="A6"/>
                          <w:sz w:val="18"/>
                        </w:rPr>
                        <w:t>Mardones</w:t>
                      </w:r>
                      <w:proofErr w:type="spellEnd"/>
                      <w:r w:rsidR="0049551D" w:rsidRPr="00ED5C14">
                        <w:rPr>
                          <w:rFonts w:asciiTheme="majorHAnsi" w:hAnsiTheme="majorHAnsi"/>
                          <w:color w:val="595959" w:themeColor="text1" w:themeTint="A6"/>
                          <w:sz w:val="18"/>
                        </w:rPr>
                        <w:t xml:space="preserve"> y B.B.A.B</w:t>
                      </w:r>
                      <w:r w:rsidRPr="00ED5C14">
                        <w:rPr>
                          <w:rFonts w:asciiTheme="majorHAnsi" w:hAnsiTheme="majorHAnsi"/>
                          <w:color w:val="595959" w:themeColor="text1" w:themeTint="A6"/>
                          <w:sz w:val="18"/>
                        </w:rPr>
                        <w:t xml:space="preserve">. </w:t>
                      </w:r>
                      <w:r w:rsidR="0049551D">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BE0A41">
                        <w:rPr>
                          <w:rFonts w:asciiTheme="majorHAnsi" w:hAnsiTheme="majorHAnsi"/>
                          <w:color w:val="595959" w:themeColor="text1" w:themeTint="A6"/>
                          <w:sz w:val="18"/>
                        </w:rPr>
                        <w:t>May 5, 2018</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8B037A"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8B037A" w:rsidRDefault="003C32BC" w:rsidP="003C32BC">
      <w:pPr>
        <w:tabs>
          <w:tab w:val="center" w:pos="5400"/>
        </w:tabs>
        <w:suppressAutoHyphens/>
        <w:jc w:val="center"/>
        <w:rPr>
          <w:rFonts w:asciiTheme="majorHAnsi" w:hAnsiTheme="majorHAnsi"/>
          <w:sz w:val="18"/>
          <w:szCs w:val="22"/>
        </w:rPr>
      </w:pPr>
    </w:p>
    <w:p w14:paraId="154A4854" w14:textId="77777777" w:rsidR="003C32BC" w:rsidRPr="008B037A" w:rsidRDefault="006311DA" w:rsidP="003C32BC">
      <w:pPr>
        <w:tabs>
          <w:tab w:val="center" w:pos="5400"/>
        </w:tabs>
        <w:suppressAutoHyphens/>
        <w:jc w:val="center"/>
        <w:rPr>
          <w:rFonts w:asciiTheme="majorHAnsi" w:hAnsiTheme="majorHAnsi"/>
          <w:sz w:val="18"/>
          <w:szCs w:val="22"/>
        </w:rPr>
      </w:pPr>
      <w:r w:rsidRPr="008B037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B037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8B037A" w:rsidRDefault="007607C4" w:rsidP="003C32BC">
      <w:pPr>
        <w:tabs>
          <w:tab w:val="center" w:pos="5400"/>
        </w:tabs>
        <w:suppressAutoHyphens/>
        <w:jc w:val="center"/>
        <w:rPr>
          <w:rFonts w:asciiTheme="majorHAnsi" w:hAnsiTheme="majorHAnsi"/>
          <w:sz w:val="18"/>
          <w:szCs w:val="22"/>
        </w:rPr>
        <w:sectPr w:rsidR="007607C4" w:rsidRPr="008B037A"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0B1E142" w14:textId="77777777" w:rsidR="00675252" w:rsidRPr="008B037A" w:rsidRDefault="00F621C3" w:rsidP="00675252">
      <w:pPr>
        <w:spacing w:after="240"/>
        <w:ind w:firstLine="720"/>
        <w:jc w:val="both"/>
        <w:rPr>
          <w:rFonts w:asciiTheme="majorHAnsi" w:hAnsiTheme="majorHAnsi"/>
          <w:b/>
          <w:bCs/>
          <w:sz w:val="20"/>
          <w:szCs w:val="20"/>
        </w:rPr>
      </w:pPr>
      <w:r w:rsidRPr="008B037A">
        <w:rPr>
          <w:rFonts w:asciiTheme="majorHAnsi" w:hAnsiTheme="majorHAnsi"/>
          <w:b/>
          <w:bCs/>
          <w:sz w:val="20"/>
          <w:szCs w:val="20"/>
        </w:rPr>
        <w:lastRenderedPageBreak/>
        <w:t>I.</w:t>
      </w:r>
      <w:r w:rsidRPr="008B037A">
        <w:rPr>
          <w:rFonts w:asciiTheme="majorHAnsi" w:hAnsiTheme="majorHAnsi"/>
          <w:b/>
          <w:bCs/>
          <w:sz w:val="20"/>
          <w:szCs w:val="20"/>
        </w:rPr>
        <w:tab/>
      </w:r>
      <w:r w:rsidR="00675252" w:rsidRPr="008B037A">
        <w:rPr>
          <w:rFonts w:asciiTheme="majorHAnsi" w:hAnsiTheme="majorHAnsi"/>
          <w:b/>
          <w:bCs/>
          <w:sz w:val="20"/>
          <w:szCs w:val="20"/>
          <w:lang w:val="en"/>
        </w:rPr>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75252" w:rsidRPr="008B037A" w14:paraId="03466C1B" w14:textId="77777777" w:rsidTr="006A4EEE">
        <w:trPr>
          <w:trHeight w:val="251"/>
        </w:trPr>
        <w:tc>
          <w:tcPr>
            <w:tcW w:w="3600" w:type="dxa"/>
            <w:tcBorders>
              <w:top w:val="single" w:sz="4" w:space="0" w:color="auto"/>
              <w:bottom w:val="single" w:sz="6" w:space="0" w:color="auto"/>
            </w:tcBorders>
            <w:shd w:val="clear" w:color="auto" w:fill="67AE3C"/>
            <w:vAlign w:val="center"/>
          </w:tcPr>
          <w:p w14:paraId="331B68E9"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Petitioner:</w:t>
            </w:r>
          </w:p>
        </w:tc>
        <w:tc>
          <w:tcPr>
            <w:tcW w:w="5760" w:type="dxa"/>
            <w:vAlign w:val="center"/>
          </w:tcPr>
          <w:p w14:paraId="3D947482" w14:textId="77777777" w:rsidR="00675252" w:rsidRPr="008B037A" w:rsidRDefault="00675252" w:rsidP="006A4EEE">
            <w:pPr>
              <w:jc w:val="both"/>
              <w:rPr>
                <w:rFonts w:ascii="Cambria" w:hAnsi="Cambria"/>
                <w:bCs/>
                <w:sz w:val="20"/>
                <w:szCs w:val="20"/>
              </w:rPr>
            </w:pPr>
            <w:r w:rsidRPr="008B037A">
              <w:rPr>
                <w:rFonts w:ascii="Cambria" w:hAnsi="Cambria"/>
                <w:sz w:val="20"/>
                <w:szCs w:val="20"/>
                <w:lang w:val="en"/>
              </w:rPr>
              <w:t>Karina Retamal Mella</w:t>
            </w:r>
          </w:p>
        </w:tc>
      </w:tr>
      <w:tr w:rsidR="00675252" w:rsidRPr="008B037A" w14:paraId="4F93C4DB" w14:textId="77777777" w:rsidTr="006A4EEE">
        <w:tc>
          <w:tcPr>
            <w:tcW w:w="3600" w:type="dxa"/>
            <w:tcBorders>
              <w:top w:val="single" w:sz="6" w:space="0" w:color="auto"/>
              <w:bottom w:val="single" w:sz="6" w:space="0" w:color="auto"/>
            </w:tcBorders>
            <w:shd w:val="clear" w:color="auto" w:fill="67AE3C"/>
            <w:vAlign w:val="center"/>
          </w:tcPr>
          <w:p w14:paraId="3FAE0939" w14:textId="77777777" w:rsidR="00675252" w:rsidRPr="008B037A" w:rsidRDefault="006C5107" w:rsidP="006A4EE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32542C5233B4CC49FFCDC6FADA25C9E"/>
                </w:placeholder>
                <w:dropDownList>
                  <w:listItem w:value="Choose an item."/>
                  <w:listItem w:displayText="Presunta víctima" w:value="Presunta víctima"/>
                  <w:listItem w:displayText="Presuntas víctimas" w:value="Presuntas víctimas"/>
                </w:dropDownList>
              </w:sdtPr>
              <w:sdtEndPr/>
              <w:sdtContent>
                <w:r w:rsidR="00675252" w:rsidRPr="008B037A">
                  <w:rPr>
                    <w:rFonts w:ascii="Cambria" w:hAnsi="Cambria"/>
                    <w:b/>
                    <w:bCs/>
                    <w:color w:val="FFFFFF" w:themeColor="background1"/>
                    <w:sz w:val="20"/>
                    <w:szCs w:val="20"/>
                    <w:lang w:val="en"/>
                  </w:rPr>
                  <w:t>Alleged victim</w:t>
                </w:r>
              </w:sdtContent>
            </w:sdt>
            <w:r w:rsidR="00675252" w:rsidRPr="008B037A">
              <w:rPr>
                <w:rFonts w:ascii="Cambria" w:hAnsi="Cambria"/>
                <w:b/>
                <w:bCs/>
                <w:color w:val="FFFFFF" w:themeColor="background1"/>
                <w:sz w:val="20"/>
                <w:szCs w:val="20"/>
                <w:lang w:val="en"/>
              </w:rPr>
              <w:t>:</w:t>
            </w:r>
          </w:p>
        </w:tc>
        <w:tc>
          <w:tcPr>
            <w:tcW w:w="5760" w:type="dxa"/>
            <w:vAlign w:val="center"/>
          </w:tcPr>
          <w:p w14:paraId="12A49924" w14:textId="77777777" w:rsidR="00675252" w:rsidRPr="008B037A" w:rsidRDefault="00675252" w:rsidP="006A4EEE">
            <w:pPr>
              <w:jc w:val="both"/>
              <w:rPr>
                <w:rFonts w:ascii="Cambria" w:hAnsi="Cambria"/>
                <w:bCs/>
                <w:sz w:val="20"/>
                <w:szCs w:val="20"/>
              </w:rPr>
            </w:pPr>
            <w:r w:rsidRPr="008B037A">
              <w:rPr>
                <w:rFonts w:ascii="Cambria" w:hAnsi="Cambria"/>
                <w:sz w:val="20"/>
                <w:szCs w:val="20"/>
                <w:lang w:val="en"/>
              </w:rPr>
              <w:t>Tatiana Marisa Barría Mardones and B.B.A.B.</w:t>
            </w:r>
            <w:r w:rsidRPr="008B037A">
              <w:rPr>
                <w:rStyle w:val="FootnoteReference"/>
                <w:rFonts w:ascii="Cambria" w:hAnsi="Cambria"/>
                <w:sz w:val="20"/>
                <w:szCs w:val="20"/>
                <w:lang w:val="en"/>
              </w:rPr>
              <w:footnoteReference w:id="2"/>
            </w:r>
          </w:p>
        </w:tc>
      </w:tr>
      <w:tr w:rsidR="00675252" w:rsidRPr="008B037A" w14:paraId="7965FE6E" w14:textId="77777777" w:rsidTr="006A4EEE">
        <w:tc>
          <w:tcPr>
            <w:tcW w:w="3600" w:type="dxa"/>
            <w:tcBorders>
              <w:top w:val="single" w:sz="6" w:space="0" w:color="auto"/>
              <w:bottom w:val="single" w:sz="6" w:space="0" w:color="auto"/>
            </w:tcBorders>
            <w:shd w:val="clear" w:color="auto" w:fill="67AE3C"/>
            <w:vAlign w:val="center"/>
          </w:tcPr>
          <w:p w14:paraId="72F3EA09"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Respondent State:</w:t>
            </w:r>
          </w:p>
        </w:tc>
        <w:tc>
          <w:tcPr>
            <w:tcW w:w="5760" w:type="dxa"/>
            <w:vAlign w:val="center"/>
          </w:tcPr>
          <w:p w14:paraId="12664B5E" w14:textId="77777777" w:rsidR="00675252" w:rsidRPr="008B037A" w:rsidRDefault="00675252" w:rsidP="006A4EEE">
            <w:pPr>
              <w:jc w:val="both"/>
              <w:rPr>
                <w:rFonts w:ascii="Cambria" w:hAnsi="Cambria"/>
                <w:bCs/>
                <w:sz w:val="20"/>
                <w:szCs w:val="20"/>
              </w:rPr>
            </w:pPr>
            <w:r w:rsidRPr="008B037A">
              <w:rPr>
                <w:rFonts w:ascii="Cambria" w:hAnsi="Cambria"/>
                <w:sz w:val="20"/>
                <w:szCs w:val="20"/>
                <w:lang w:val="en"/>
              </w:rPr>
              <w:t>Chile</w:t>
            </w:r>
            <w:r w:rsidRPr="008B037A">
              <w:rPr>
                <w:rStyle w:val="FootnoteReference"/>
                <w:rFonts w:ascii="Cambria" w:hAnsi="Cambria"/>
                <w:sz w:val="20"/>
                <w:szCs w:val="20"/>
                <w:lang w:val="en"/>
              </w:rPr>
              <w:footnoteReference w:id="3"/>
            </w:r>
          </w:p>
        </w:tc>
      </w:tr>
      <w:tr w:rsidR="00675252" w:rsidRPr="008B037A" w14:paraId="47438AE4" w14:textId="77777777" w:rsidTr="006A4EEE">
        <w:trPr>
          <w:trHeight w:val="273"/>
        </w:trPr>
        <w:tc>
          <w:tcPr>
            <w:tcW w:w="3600" w:type="dxa"/>
            <w:tcBorders>
              <w:top w:val="single" w:sz="6" w:space="0" w:color="auto"/>
              <w:bottom w:val="single" w:sz="6" w:space="0" w:color="auto"/>
            </w:tcBorders>
            <w:shd w:val="clear" w:color="auto" w:fill="67AE3C"/>
            <w:vAlign w:val="center"/>
          </w:tcPr>
          <w:p w14:paraId="58DEC562"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Rights invoked:</w:t>
            </w:r>
          </w:p>
        </w:tc>
        <w:tc>
          <w:tcPr>
            <w:tcW w:w="5760" w:type="dxa"/>
            <w:vAlign w:val="center"/>
          </w:tcPr>
          <w:p w14:paraId="75473184" w14:textId="36A3E44E" w:rsidR="00675252" w:rsidRPr="008B037A" w:rsidRDefault="00675252" w:rsidP="007D6A38">
            <w:pPr>
              <w:jc w:val="both"/>
              <w:rPr>
                <w:rFonts w:ascii="Cambria" w:hAnsi="Cambria"/>
                <w:bCs/>
                <w:sz w:val="20"/>
                <w:szCs w:val="20"/>
              </w:rPr>
            </w:pPr>
            <w:r w:rsidRPr="008B037A">
              <w:rPr>
                <w:rFonts w:ascii="Cambria" w:hAnsi="Cambria"/>
                <w:sz w:val="20"/>
                <w:szCs w:val="20"/>
                <w:lang w:val="en"/>
              </w:rPr>
              <w:t xml:space="preserve">Articles 5 </w:t>
            </w:r>
            <w:r w:rsidRPr="008B037A">
              <w:rPr>
                <w:rFonts w:asciiTheme="majorHAnsi" w:hAnsiTheme="majorHAnsi"/>
                <w:sz w:val="20"/>
                <w:szCs w:val="20"/>
                <w:lang w:val="en"/>
              </w:rPr>
              <w:t>(humane treatment)</w:t>
            </w:r>
            <w:r w:rsidRPr="008B037A">
              <w:rPr>
                <w:rFonts w:ascii="Cambria" w:hAnsi="Cambria"/>
                <w:sz w:val="20"/>
                <w:szCs w:val="20"/>
                <w:lang w:val="en"/>
              </w:rPr>
              <w:t xml:space="preserve">, 8 </w:t>
            </w:r>
            <w:r w:rsidRPr="008B037A">
              <w:rPr>
                <w:rFonts w:asciiTheme="majorHAnsi" w:hAnsiTheme="majorHAnsi"/>
                <w:sz w:val="20"/>
                <w:szCs w:val="20"/>
                <w:lang w:val="en"/>
              </w:rPr>
              <w:t>(fair trial)</w:t>
            </w:r>
            <w:r w:rsidRPr="008B037A">
              <w:rPr>
                <w:rFonts w:ascii="Cambria" w:hAnsi="Cambria"/>
                <w:sz w:val="20"/>
                <w:szCs w:val="20"/>
                <w:lang w:val="en"/>
              </w:rPr>
              <w:t>, 11 (privacy)</w:t>
            </w:r>
            <w:r w:rsidRPr="008B037A">
              <w:rPr>
                <w:rFonts w:asciiTheme="majorHAnsi" w:hAnsiTheme="majorHAnsi"/>
                <w:sz w:val="20"/>
                <w:szCs w:val="20"/>
                <w:lang w:val="en"/>
              </w:rPr>
              <w:t xml:space="preserve"> and 25 (judicial protection)</w:t>
            </w:r>
            <w:r w:rsidRPr="008B037A">
              <w:rPr>
                <w:rFonts w:ascii="Cambria" w:hAnsi="Cambria"/>
                <w:sz w:val="20"/>
                <w:szCs w:val="20"/>
                <w:lang w:val="en"/>
              </w:rPr>
              <w:t xml:space="preserve"> of the American Convention on Human Rights,</w:t>
            </w:r>
            <w:r w:rsidRPr="008B037A">
              <w:rPr>
                <w:rStyle w:val="FootnoteReference"/>
                <w:rFonts w:ascii="Cambria" w:hAnsi="Cambria"/>
                <w:sz w:val="20"/>
                <w:szCs w:val="20"/>
                <w:lang w:val="en"/>
              </w:rPr>
              <w:footnoteReference w:id="4"/>
            </w:r>
            <w:r w:rsidRPr="008B037A">
              <w:rPr>
                <w:rStyle w:val="FootnoteReference"/>
                <w:rFonts w:ascii="Cambria" w:hAnsi="Cambria"/>
                <w:sz w:val="20"/>
                <w:szCs w:val="20"/>
                <w:lang w:val="en"/>
              </w:rPr>
              <w:t xml:space="preserve"> </w:t>
            </w:r>
            <w:r w:rsidRPr="008B037A">
              <w:rPr>
                <w:rFonts w:ascii="Cambria" w:hAnsi="Cambria"/>
                <w:sz w:val="20"/>
                <w:szCs w:val="20"/>
                <w:lang w:val="en"/>
              </w:rPr>
              <w:t>in conjunction with articles 1 (obligation to respect rights) and 2 (domestic legal effects)</w:t>
            </w:r>
          </w:p>
        </w:tc>
      </w:tr>
    </w:tbl>
    <w:p w14:paraId="05342313" w14:textId="77777777" w:rsidR="00675252" w:rsidRPr="008B037A" w:rsidRDefault="00675252" w:rsidP="00675252">
      <w:pPr>
        <w:spacing w:before="240" w:after="240"/>
        <w:ind w:firstLine="720"/>
        <w:jc w:val="both"/>
        <w:rPr>
          <w:rFonts w:asciiTheme="majorHAnsi" w:hAnsiTheme="majorHAnsi"/>
          <w:b/>
          <w:bCs/>
          <w:sz w:val="20"/>
          <w:szCs w:val="20"/>
        </w:rPr>
      </w:pPr>
      <w:r w:rsidRPr="008B037A">
        <w:rPr>
          <w:rFonts w:asciiTheme="majorHAnsi" w:hAnsiTheme="majorHAnsi"/>
          <w:b/>
          <w:bCs/>
          <w:sz w:val="20"/>
          <w:szCs w:val="20"/>
          <w:lang w:val="en"/>
        </w:rPr>
        <w:t>II.</w:t>
      </w:r>
      <w:r w:rsidRPr="008B037A">
        <w:rPr>
          <w:rFonts w:asciiTheme="majorHAnsi" w:hAnsiTheme="majorHAnsi"/>
          <w:b/>
          <w:bCs/>
          <w:sz w:val="20"/>
          <w:szCs w:val="20"/>
          <w:lang w:val="en"/>
        </w:rPr>
        <w:tab/>
        <w:t>PROCEEDINGS BEFORE THE IACHR</w:t>
      </w:r>
      <w:r w:rsidRPr="008B037A">
        <w:rPr>
          <w:rStyle w:val="FootnoteReference"/>
          <w:rFonts w:ascii="Cambria" w:hAnsi="Cambria"/>
          <w:b/>
          <w:bCs/>
          <w:sz w:val="20"/>
          <w:szCs w:val="20"/>
          <w:lang w:val="en"/>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75252" w:rsidRPr="008B037A" w14:paraId="73098B34" w14:textId="77777777" w:rsidTr="006A4EEE">
        <w:tc>
          <w:tcPr>
            <w:tcW w:w="3600" w:type="dxa"/>
            <w:tcBorders>
              <w:top w:val="single" w:sz="6" w:space="0" w:color="auto"/>
              <w:bottom w:val="single" w:sz="6" w:space="0" w:color="auto"/>
            </w:tcBorders>
            <w:shd w:val="clear" w:color="auto" w:fill="67AE3C"/>
            <w:vAlign w:val="center"/>
          </w:tcPr>
          <w:p w14:paraId="3C324600"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Filing of the petition:</w:t>
            </w:r>
          </w:p>
        </w:tc>
        <w:tc>
          <w:tcPr>
            <w:tcW w:w="5760" w:type="dxa"/>
            <w:vAlign w:val="center"/>
          </w:tcPr>
          <w:p w14:paraId="6FB44D62" w14:textId="6D6BB828" w:rsidR="00675252" w:rsidRPr="008B037A" w:rsidRDefault="007D6A38" w:rsidP="006A4EEE">
            <w:pPr>
              <w:jc w:val="both"/>
              <w:rPr>
                <w:rFonts w:ascii="Cambria" w:hAnsi="Cambria"/>
                <w:bCs/>
                <w:sz w:val="20"/>
                <w:szCs w:val="20"/>
              </w:rPr>
            </w:pPr>
            <w:r w:rsidRPr="008B037A">
              <w:rPr>
                <w:rFonts w:ascii="Cambria" w:hAnsi="Cambria"/>
                <w:sz w:val="20"/>
                <w:szCs w:val="20"/>
                <w:lang w:val="en"/>
              </w:rPr>
              <w:t>July 24, 2008</w:t>
            </w:r>
          </w:p>
        </w:tc>
      </w:tr>
      <w:tr w:rsidR="00675252" w:rsidRPr="008B037A" w14:paraId="544B9767" w14:textId="77777777" w:rsidTr="006A4EEE">
        <w:tc>
          <w:tcPr>
            <w:tcW w:w="3600" w:type="dxa"/>
            <w:tcBorders>
              <w:top w:val="single" w:sz="6" w:space="0" w:color="auto"/>
              <w:bottom w:val="single" w:sz="6" w:space="0" w:color="auto"/>
            </w:tcBorders>
            <w:shd w:val="clear" w:color="auto" w:fill="67AE3C"/>
            <w:vAlign w:val="center"/>
          </w:tcPr>
          <w:p w14:paraId="502E4B97"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Notification of the petition to the State:</w:t>
            </w:r>
          </w:p>
        </w:tc>
        <w:tc>
          <w:tcPr>
            <w:tcW w:w="5760" w:type="dxa"/>
            <w:vAlign w:val="center"/>
          </w:tcPr>
          <w:p w14:paraId="1B16C9E2" w14:textId="7B6DF932" w:rsidR="00675252" w:rsidRPr="008B037A" w:rsidRDefault="007D6A38" w:rsidP="006A4EEE">
            <w:pPr>
              <w:jc w:val="both"/>
              <w:rPr>
                <w:rFonts w:ascii="Cambria" w:hAnsi="Cambria"/>
                <w:bCs/>
                <w:sz w:val="20"/>
                <w:szCs w:val="20"/>
              </w:rPr>
            </w:pPr>
            <w:r w:rsidRPr="008B037A">
              <w:rPr>
                <w:rFonts w:ascii="Cambria" w:hAnsi="Cambria"/>
                <w:sz w:val="20"/>
                <w:szCs w:val="20"/>
                <w:lang w:val="en"/>
              </w:rPr>
              <w:t>June 16, 2016</w:t>
            </w:r>
          </w:p>
        </w:tc>
      </w:tr>
      <w:tr w:rsidR="00675252" w:rsidRPr="008B037A" w14:paraId="398E3EB9" w14:textId="77777777" w:rsidTr="006A4EEE">
        <w:tc>
          <w:tcPr>
            <w:tcW w:w="3600" w:type="dxa"/>
            <w:tcBorders>
              <w:top w:val="single" w:sz="6" w:space="0" w:color="auto"/>
              <w:bottom w:val="single" w:sz="6" w:space="0" w:color="auto"/>
            </w:tcBorders>
            <w:shd w:val="clear" w:color="auto" w:fill="67AE3C"/>
            <w:vAlign w:val="center"/>
          </w:tcPr>
          <w:p w14:paraId="72FC1C03"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State’s first response:</w:t>
            </w:r>
          </w:p>
        </w:tc>
        <w:tc>
          <w:tcPr>
            <w:tcW w:w="5760" w:type="dxa"/>
            <w:vAlign w:val="center"/>
          </w:tcPr>
          <w:p w14:paraId="4CCB97E0" w14:textId="5C519B9F" w:rsidR="00675252" w:rsidRPr="008B037A" w:rsidRDefault="007D6A38" w:rsidP="006A4EEE">
            <w:pPr>
              <w:jc w:val="both"/>
              <w:rPr>
                <w:rFonts w:ascii="Cambria" w:hAnsi="Cambria"/>
                <w:bCs/>
                <w:sz w:val="20"/>
                <w:szCs w:val="20"/>
              </w:rPr>
            </w:pPr>
            <w:r w:rsidRPr="008B037A">
              <w:rPr>
                <w:rFonts w:ascii="Cambria" w:hAnsi="Cambria"/>
                <w:sz w:val="20"/>
                <w:szCs w:val="20"/>
                <w:lang w:val="en"/>
              </w:rPr>
              <w:t>February 13, 2017</w:t>
            </w:r>
          </w:p>
        </w:tc>
      </w:tr>
    </w:tbl>
    <w:p w14:paraId="21090A96" w14:textId="77777777" w:rsidR="00675252" w:rsidRPr="008B037A" w:rsidRDefault="00675252" w:rsidP="00675252">
      <w:pPr>
        <w:spacing w:before="240" w:after="240"/>
        <w:ind w:firstLine="720"/>
        <w:jc w:val="both"/>
        <w:rPr>
          <w:rFonts w:asciiTheme="majorHAnsi" w:hAnsiTheme="majorHAnsi"/>
          <w:b/>
          <w:bCs/>
          <w:sz w:val="20"/>
          <w:szCs w:val="20"/>
        </w:rPr>
      </w:pPr>
      <w:r w:rsidRPr="008B037A">
        <w:rPr>
          <w:rFonts w:asciiTheme="majorHAnsi" w:hAnsiTheme="majorHAnsi"/>
          <w:b/>
          <w:bCs/>
          <w:sz w:val="20"/>
          <w:szCs w:val="20"/>
          <w:lang w:val="en"/>
        </w:rPr>
        <w:t xml:space="preserve">III. </w:t>
      </w:r>
      <w:r w:rsidRPr="008B037A">
        <w:rPr>
          <w:rFonts w:asciiTheme="majorHAnsi" w:hAnsiTheme="majorHAnsi"/>
          <w:sz w:val="20"/>
          <w:szCs w:val="20"/>
          <w:lang w:val="en"/>
        </w:rPr>
        <w:tab/>
      </w:r>
      <w:r w:rsidRPr="008B037A">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675252" w:rsidRPr="008B037A" w14:paraId="4F47A1B3" w14:textId="77777777" w:rsidTr="006A4EEE">
        <w:trPr>
          <w:cantSplit/>
        </w:trPr>
        <w:tc>
          <w:tcPr>
            <w:tcW w:w="3600" w:type="dxa"/>
            <w:tcBorders>
              <w:top w:val="single" w:sz="4" w:space="0" w:color="auto"/>
              <w:bottom w:val="single" w:sz="6" w:space="0" w:color="auto"/>
            </w:tcBorders>
            <w:shd w:val="clear" w:color="auto" w:fill="67AE3C"/>
            <w:vAlign w:val="center"/>
          </w:tcPr>
          <w:p w14:paraId="72E7EBFD" w14:textId="77777777" w:rsidR="00675252" w:rsidRPr="008B037A" w:rsidRDefault="00675252" w:rsidP="006A4EEE">
            <w:pPr>
              <w:jc w:val="center"/>
              <w:rPr>
                <w:rFonts w:ascii="Cambria" w:hAnsi="Cambria"/>
                <w:b/>
                <w:bCs/>
                <w:i/>
                <w:color w:val="FFFFFF" w:themeColor="background1"/>
                <w:sz w:val="20"/>
                <w:szCs w:val="20"/>
              </w:rPr>
            </w:pPr>
            <w:r w:rsidRPr="008B037A">
              <w:rPr>
                <w:rFonts w:ascii="Cambria" w:hAnsi="Cambria"/>
                <w:b/>
                <w:bCs/>
                <w:color w:val="FFFFFF" w:themeColor="background1"/>
                <w:sz w:val="20"/>
                <w:szCs w:val="20"/>
                <w:lang w:val="en"/>
              </w:rPr>
              <w:t xml:space="preserve">Competence </w:t>
            </w:r>
            <w:r w:rsidRPr="008B037A">
              <w:rPr>
                <w:rFonts w:ascii="Cambria" w:hAnsi="Cambria"/>
                <w:b/>
                <w:bCs/>
                <w:i/>
                <w:iCs/>
                <w:color w:val="FFFFFF" w:themeColor="background1"/>
                <w:sz w:val="20"/>
                <w:szCs w:val="20"/>
                <w:lang w:val="en"/>
              </w:rPr>
              <w:t>ratione personae</w:t>
            </w:r>
            <w:r w:rsidRPr="008B037A">
              <w:rPr>
                <w:rFonts w:ascii="Cambria" w:hAnsi="Cambria"/>
                <w:b/>
                <w:bCs/>
                <w:color w:val="FFFFFF" w:themeColor="background1"/>
                <w:sz w:val="20"/>
                <w:szCs w:val="20"/>
                <w:lang w:val="en"/>
              </w:rPr>
              <w:t>:</w:t>
            </w:r>
          </w:p>
        </w:tc>
        <w:tc>
          <w:tcPr>
            <w:tcW w:w="5760" w:type="dxa"/>
            <w:vAlign w:val="center"/>
          </w:tcPr>
          <w:p w14:paraId="46553E66" w14:textId="77777777" w:rsidR="00675252" w:rsidRPr="008B037A" w:rsidRDefault="00675252" w:rsidP="006A4EEE">
            <w:pPr>
              <w:rPr>
                <w:rFonts w:ascii="Cambria" w:hAnsi="Cambria"/>
                <w:bCs/>
                <w:sz w:val="20"/>
                <w:szCs w:val="20"/>
              </w:rPr>
            </w:pPr>
            <w:r w:rsidRPr="008B037A">
              <w:rPr>
                <w:rFonts w:ascii="Cambria" w:hAnsi="Cambria"/>
                <w:sz w:val="20"/>
                <w:szCs w:val="20"/>
                <w:lang w:val="en"/>
              </w:rPr>
              <w:t>Yes</w:t>
            </w:r>
          </w:p>
        </w:tc>
      </w:tr>
      <w:tr w:rsidR="00675252" w:rsidRPr="008B037A" w14:paraId="12A75C9C" w14:textId="77777777" w:rsidTr="006A4EEE">
        <w:trPr>
          <w:cantSplit/>
        </w:trPr>
        <w:tc>
          <w:tcPr>
            <w:tcW w:w="3600" w:type="dxa"/>
            <w:tcBorders>
              <w:top w:val="single" w:sz="6" w:space="0" w:color="auto"/>
              <w:bottom w:val="single" w:sz="6" w:space="0" w:color="auto"/>
            </w:tcBorders>
            <w:shd w:val="clear" w:color="auto" w:fill="67AE3C"/>
            <w:vAlign w:val="center"/>
          </w:tcPr>
          <w:p w14:paraId="0A133748"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 xml:space="preserve">Competence </w:t>
            </w:r>
            <w:r w:rsidRPr="008B037A">
              <w:rPr>
                <w:rFonts w:ascii="Cambria" w:hAnsi="Cambria"/>
                <w:b/>
                <w:bCs/>
                <w:i/>
                <w:iCs/>
                <w:color w:val="FFFFFF" w:themeColor="background1"/>
                <w:sz w:val="20"/>
                <w:szCs w:val="20"/>
                <w:lang w:val="en"/>
              </w:rPr>
              <w:t>ratione loci</w:t>
            </w:r>
            <w:r w:rsidRPr="008B037A">
              <w:rPr>
                <w:rFonts w:ascii="Cambria" w:hAnsi="Cambria"/>
                <w:b/>
                <w:bCs/>
                <w:color w:val="FFFFFF" w:themeColor="background1"/>
                <w:sz w:val="20"/>
                <w:szCs w:val="20"/>
                <w:lang w:val="en"/>
              </w:rPr>
              <w:t>:</w:t>
            </w:r>
          </w:p>
        </w:tc>
        <w:tc>
          <w:tcPr>
            <w:tcW w:w="5760" w:type="dxa"/>
            <w:vAlign w:val="center"/>
          </w:tcPr>
          <w:p w14:paraId="1E3C842C" w14:textId="77777777" w:rsidR="00675252" w:rsidRPr="008B037A" w:rsidRDefault="00675252" w:rsidP="006A4EEE">
            <w:pPr>
              <w:rPr>
                <w:rFonts w:ascii="Cambria" w:hAnsi="Cambria"/>
                <w:bCs/>
                <w:sz w:val="20"/>
                <w:szCs w:val="20"/>
              </w:rPr>
            </w:pPr>
            <w:r w:rsidRPr="008B037A">
              <w:rPr>
                <w:rFonts w:ascii="Cambria" w:hAnsi="Cambria"/>
                <w:sz w:val="20"/>
                <w:szCs w:val="20"/>
                <w:lang w:val="en"/>
              </w:rPr>
              <w:t>Yes</w:t>
            </w:r>
          </w:p>
        </w:tc>
      </w:tr>
      <w:tr w:rsidR="00675252" w:rsidRPr="008B037A" w14:paraId="363D87C8" w14:textId="77777777" w:rsidTr="006A4EEE">
        <w:trPr>
          <w:cantSplit/>
        </w:trPr>
        <w:tc>
          <w:tcPr>
            <w:tcW w:w="3600" w:type="dxa"/>
            <w:tcBorders>
              <w:top w:val="single" w:sz="6" w:space="0" w:color="auto"/>
              <w:bottom w:val="single" w:sz="6" w:space="0" w:color="auto"/>
            </w:tcBorders>
            <w:shd w:val="clear" w:color="auto" w:fill="67AE3C"/>
            <w:vAlign w:val="center"/>
          </w:tcPr>
          <w:p w14:paraId="3998913B"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 xml:space="preserve">Competence </w:t>
            </w:r>
            <w:r w:rsidRPr="008B037A">
              <w:rPr>
                <w:rFonts w:ascii="Cambria" w:hAnsi="Cambria"/>
                <w:b/>
                <w:bCs/>
                <w:i/>
                <w:iCs/>
                <w:color w:val="FFFFFF" w:themeColor="background1"/>
                <w:sz w:val="20"/>
                <w:szCs w:val="20"/>
                <w:lang w:val="en"/>
              </w:rPr>
              <w:t>ratione temporis</w:t>
            </w:r>
            <w:r w:rsidRPr="008B037A">
              <w:rPr>
                <w:rFonts w:ascii="Cambria" w:hAnsi="Cambria"/>
                <w:b/>
                <w:bCs/>
                <w:color w:val="FFFFFF" w:themeColor="background1"/>
                <w:sz w:val="20"/>
                <w:szCs w:val="20"/>
                <w:lang w:val="en"/>
              </w:rPr>
              <w:t>:</w:t>
            </w:r>
          </w:p>
        </w:tc>
        <w:tc>
          <w:tcPr>
            <w:tcW w:w="5760" w:type="dxa"/>
            <w:vAlign w:val="center"/>
          </w:tcPr>
          <w:p w14:paraId="2D0865FE" w14:textId="77777777" w:rsidR="00675252" w:rsidRPr="008B037A" w:rsidRDefault="00675252" w:rsidP="006A4EEE">
            <w:pPr>
              <w:rPr>
                <w:bCs/>
                <w:sz w:val="20"/>
                <w:szCs w:val="20"/>
              </w:rPr>
            </w:pPr>
            <w:r w:rsidRPr="008B037A">
              <w:rPr>
                <w:sz w:val="20"/>
                <w:szCs w:val="20"/>
                <w:lang w:val="en"/>
              </w:rPr>
              <w:t>Yes</w:t>
            </w:r>
          </w:p>
        </w:tc>
      </w:tr>
      <w:tr w:rsidR="00675252" w:rsidRPr="008B037A" w14:paraId="688E16ED" w14:textId="77777777" w:rsidTr="006A4EEE">
        <w:trPr>
          <w:cantSplit/>
        </w:trPr>
        <w:tc>
          <w:tcPr>
            <w:tcW w:w="3600" w:type="dxa"/>
            <w:tcBorders>
              <w:top w:val="single" w:sz="6" w:space="0" w:color="auto"/>
              <w:bottom w:val="single" w:sz="6" w:space="0" w:color="auto"/>
            </w:tcBorders>
            <w:shd w:val="clear" w:color="auto" w:fill="67AE3C"/>
            <w:vAlign w:val="center"/>
          </w:tcPr>
          <w:p w14:paraId="718EDA92"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 xml:space="preserve">Competence </w:t>
            </w:r>
            <w:r w:rsidRPr="008B037A">
              <w:rPr>
                <w:rFonts w:ascii="Cambria" w:hAnsi="Cambria"/>
                <w:b/>
                <w:bCs/>
                <w:i/>
                <w:iCs/>
                <w:color w:val="FFFFFF" w:themeColor="background1"/>
                <w:sz w:val="20"/>
                <w:szCs w:val="20"/>
                <w:lang w:val="en"/>
              </w:rPr>
              <w:t>ratione materiae</w:t>
            </w:r>
            <w:r w:rsidRPr="008B037A">
              <w:rPr>
                <w:rFonts w:ascii="Cambria" w:hAnsi="Cambria"/>
                <w:b/>
                <w:bCs/>
                <w:color w:val="FFFFFF" w:themeColor="background1"/>
                <w:sz w:val="20"/>
                <w:szCs w:val="20"/>
                <w:lang w:val="en"/>
              </w:rPr>
              <w:t>:</w:t>
            </w:r>
          </w:p>
        </w:tc>
        <w:tc>
          <w:tcPr>
            <w:tcW w:w="5760" w:type="dxa"/>
            <w:vAlign w:val="center"/>
          </w:tcPr>
          <w:p w14:paraId="106407DB" w14:textId="1C5B5936" w:rsidR="00675252" w:rsidRPr="008B037A" w:rsidRDefault="00675252" w:rsidP="0081576E">
            <w:pPr>
              <w:jc w:val="both"/>
              <w:rPr>
                <w:rFonts w:ascii="Cambria" w:hAnsi="Cambria"/>
                <w:bCs/>
                <w:sz w:val="20"/>
                <w:szCs w:val="20"/>
              </w:rPr>
            </w:pPr>
            <w:r w:rsidRPr="008B037A">
              <w:rPr>
                <w:rFonts w:ascii="Cambria" w:hAnsi="Cambria"/>
                <w:sz w:val="20"/>
                <w:szCs w:val="20"/>
                <w:lang w:val="en"/>
              </w:rPr>
              <w:t xml:space="preserve">Yes, </w:t>
            </w:r>
            <w:r w:rsidR="0081576E" w:rsidRPr="008B037A">
              <w:rPr>
                <w:rFonts w:ascii="Cambria" w:hAnsi="Cambria"/>
                <w:sz w:val="20"/>
                <w:szCs w:val="20"/>
                <w:bdr w:val="none" w:sz="0" w:space="0" w:color="auto" w:frame="1"/>
                <w:lang w:val="en"/>
              </w:rPr>
              <w:t>American Convention</w:t>
            </w:r>
            <w:r w:rsidRPr="008B037A">
              <w:rPr>
                <w:rFonts w:ascii="Cambria" w:hAnsi="Cambria"/>
                <w:sz w:val="20"/>
                <w:szCs w:val="20"/>
                <w:bdr w:val="none" w:sz="0" w:space="0" w:color="auto" w:frame="1"/>
                <w:lang w:val="en"/>
              </w:rPr>
              <w:t xml:space="preserve"> (instrument deposited on </w:t>
            </w:r>
            <w:r w:rsidRPr="008B037A">
              <w:rPr>
                <w:rFonts w:ascii="Cambria" w:hAnsi="Cambria"/>
                <w:sz w:val="20"/>
                <w:szCs w:val="20"/>
                <w:lang w:val="en"/>
              </w:rPr>
              <w:t>August 21, 1990</w:t>
            </w:r>
            <w:r w:rsidRPr="008B037A">
              <w:rPr>
                <w:rFonts w:ascii="Cambria" w:hAnsi="Cambria"/>
                <w:sz w:val="20"/>
                <w:szCs w:val="20"/>
                <w:bdr w:val="none" w:sz="0" w:space="0" w:color="auto" w:frame="1"/>
                <w:lang w:val="en"/>
              </w:rPr>
              <w:t xml:space="preserve">) and the Inter-American Convention on the Prevention, Punishment, and Eradication of Violence against Women (instrument deposited on </w:t>
            </w:r>
            <w:r w:rsidRPr="008B037A">
              <w:rPr>
                <w:rFonts w:ascii="Cambria" w:hAnsi="Cambria"/>
                <w:sz w:val="20"/>
                <w:szCs w:val="20"/>
                <w:lang w:val="en"/>
              </w:rPr>
              <w:t>November 15, 1996</w:t>
            </w:r>
            <w:r w:rsidRPr="008B037A">
              <w:rPr>
                <w:rFonts w:ascii="Cambria" w:hAnsi="Cambria"/>
                <w:sz w:val="20"/>
                <w:szCs w:val="20"/>
                <w:bdr w:val="none" w:sz="0" w:space="0" w:color="auto" w:frame="1"/>
                <w:lang w:val="en"/>
              </w:rPr>
              <w:t>)</w:t>
            </w:r>
          </w:p>
        </w:tc>
      </w:tr>
    </w:tbl>
    <w:p w14:paraId="2E126F0B" w14:textId="77777777" w:rsidR="00675252" w:rsidRPr="008B037A" w:rsidRDefault="00675252" w:rsidP="00675252">
      <w:pPr>
        <w:spacing w:before="240" w:after="240"/>
        <w:ind w:firstLine="720"/>
        <w:jc w:val="both"/>
        <w:rPr>
          <w:rFonts w:asciiTheme="majorHAnsi" w:hAnsiTheme="majorHAnsi"/>
          <w:b/>
          <w:bCs/>
          <w:sz w:val="20"/>
          <w:szCs w:val="20"/>
        </w:rPr>
      </w:pPr>
      <w:r w:rsidRPr="008B037A">
        <w:rPr>
          <w:rFonts w:asciiTheme="majorHAnsi" w:hAnsiTheme="majorHAnsi"/>
          <w:b/>
          <w:bCs/>
          <w:sz w:val="20"/>
          <w:szCs w:val="20"/>
          <w:lang w:val="en"/>
        </w:rPr>
        <w:t xml:space="preserve">IV. </w:t>
      </w:r>
      <w:r w:rsidRPr="008B037A">
        <w:rPr>
          <w:rFonts w:asciiTheme="majorHAnsi" w:hAnsiTheme="majorHAnsi"/>
          <w:sz w:val="20"/>
          <w:szCs w:val="20"/>
          <w:lang w:val="en"/>
        </w:rPr>
        <w:tab/>
      </w:r>
      <w:r w:rsidRPr="008B037A">
        <w:rPr>
          <w:rFonts w:asciiTheme="majorHAnsi" w:hAnsiTheme="majorHAnsi"/>
          <w:b/>
          <w:bCs/>
          <w:sz w:val="20"/>
          <w:szCs w:val="20"/>
          <w:lang w:val="en"/>
        </w:rPr>
        <w:t>DUPLICATION</w:t>
      </w:r>
      <w:r w:rsidRPr="008B037A">
        <w:rPr>
          <w:rFonts w:asciiTheme="majorHAnsi" w:hAnsiTheme="majorHAnsi"/>
          <w:b/>
          <w:bCs/>
          <w:color w:val="FFFFFF" w:themeColor="background1"/>
          <w:sz w:val="20"/>
          <w:szCs w:val="20"/>
          <w:lang w:val="en"/>
        </w:rPr>
        <w:t xml:space="preserve"> </w:t>
      </w:r>
      <w:r w:rsidRPr="008B037A">
        <w:rPr>
          <w:rFonts w:asciiTheme="majorHAnsi" w:hAnsiTheme="majorHAnsi"/>
          <w:b/>
          <w:bCs/>
          <w:sz w:val="20"/>
          <w:szCs w:val="20"/>
          <w:lang w:val="en"/>
        </w:rPr>
        <w:t xml:space="preserve">OF PROCEDURES AND INTERNATIONAL </w:t>
      </w:r>
      <w:r w:rsidRPr="008B037A">
        <w:rPr>
          <w:rFonts w:asciiTheme="majorHAnsi" w:hAnsiTheme="majorHAnsi"/>
          <w:b/>
          <w:bCs/>
          <w:i/>
          <w:iCs/>
          <w:sz w:val="20"/>
          <w:szCs w:val="20"/>
          <w:lang w:val="en"/>
        </w:rPr>
        <w:t>RES JUDICATA</w:t>
      </w:r>
      <w:r w:rsidRPr="008B037A">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675252" w:rsidRPr="008B037A" w14:paraId="64306AFE" w14:textId="77777777" w:rsidTr="006A4EEE">
        <w:trPr>
          <w:cantSplit/>
        </w:trPr>
        <w:tc>
          <w:tcPr>
            <w:tcW w:w="3600" w:type="dxa"/>
            <w:tcBorders>
              <w:top w:val="single" w:sz="4" w:space="0" w:color="auto"/>
              <w:bottom w:val="single" w:sz="6" w:space="0" w:color="auto"/>
            </w:tcBorders>
            <w:shd w:val="clear" w:color="auto" w:fill="67AE3C"/>
            <w:vAlign w:val="center"/>
          </w:tcPr>
          <w:p w14:paraId="143AD6E2"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 xml:space="preserve">Duplication of procedures and international </w:t>
            </w:r>
            <w:r w:rsidRPr="008B037A">
              <w:rPr>
                <w:rFonts w:ascii="Cambria" w:hAnsi="Cambria"/>
                <w:b/>
                <w:bCs/>
                <w:i/>
                <w:iCs/>
                <w:color w:val="FFFFFF" w:themeColor="background1"/>
                <w:sz w:val="20"/>
                <w:szCs w:val="20"/>
                <w:lang w:val="en"/>
              </w:rPr>
              <w:t>res judicata</w:t>
            </w:r>
            <w:r w:rsidRPr="008B037A">
              <w:rPr>
                <w:rFonts w:ascii="Cambria" w:hAnsi="Cambria"/>
                <w:b/>
                <w:bCs/>
                <w:color w:val="FFFFFF" w:themeColor="background1"/>
                <w:sz w:val="20"/>
                <w:szCs w:val="20"/>
                <w:lang w:val="en"/>
              </w:rPr>
              <w:t>:</w:t>
            </w:r>
          </w:p>
        </w:tc>
        <w:tc>
          <w:tcPr>
            <w:tcW w:w="5760" w:type="dxa"/>
            <w:vAlign w:val="center"/>
          </w:tcPr>
          <w:p w14:paraId="3052666F" w14:textId="77777777" w:rsidR="00675252" w:rsidRPr="008B037A" w:rsidRDefault="00675252" w:rsidP="006A4EEE">
            <w:pPr>
              <w:jc w:val="both"/>
              <w:rPr>
                <w:rFonts w:ascii="Cambria" w:hAnsi="Cambria"/>
                <w:bCs/>
                <w:sz w:val="20"/>
                <w:szCs w:val="20"/>
              </w:rPr>
            </w:pPr>
            <w:r w:rsidRPr="008B037A">
              <w:rPr>
                <w:rFonts w:ascii="Cambria" w:hAnsi="Cambria"/>
                <w:sz w:val="20"/>
                <w:szCs w:val="20"/>
                <w:lang w:val="en"/>
              </w:rPr>
              <w:t>No</w:t>
            </w:r>
          </w:p>
        </w:tc>
      </w:tr>
      <w:tr w:rsidR="00675252" w:rsidRPr="008B037A" w14:paraId="33AC6A12" w14:textId="77777777" w:rsidTr="006A4EEE">
        <w:trPr>
          <w:cantSplit/>
        </w:trPr>
        <w:tc>
          <w:tcPr>
            <w:tcW w:w="3600" w:type="dxa"/>
            <w:tcBorders>
              <w:top w:val="single" w:sz="6" w:space="0" w:color="auto"/>
              <w:bottom w:val="single" w:sz="6" w:space="0" w:color="auto"/>
            </w:tcBorders>
            <w:shd w:val="clear" w:color="auto" w:fill="67AE3C"/>
            <w:vAlign w:val="center"/>
          </w:tcPr>
          <w:p w14:paraId="308574BB" w14:textId="77777777" w:rsidR="00675252" w:rsidRPr="008B037A" w:rsidRDefault="00675252" w:rsidP="006A4EEE">
            <w:pPr>
              <w:jc w:val="center"/>
              <w:rPr>
                <w:rFonts w:ascii="Cambria" w:hAnsi="Cambria"/>
                <w:b/>
                <w:bCs/>
                <w:i/>
                <w:color w:val="FFFFFF" w:themeColor="background1"/>
                <w:sz w:val="20"/>
                <w:szCs w:val="20"/>
              </w:rPr>
            </w:pPr>
            <w:r w:rsidRPr="008B037A">
              <w:rPr>
                <w:rFonts w:ascii="Cambria" w:hAnsi="Cambria"/>
                <w:b/>
                <w:bCs/>
                <w:color w:val="FFFFFF" w:themeColor="background1"/>
                <w:sz w:val="20"/>
                <w:szCs w:val="20"/>
                <w:lang w:val="en"/>
              </w:rPr>
              <w:t>Rights declared admissible:</w:t>
            </w:r>
          </w:p>
        </w:tc>
        <w:tc>
          <w:tcPr>
            <w:tcW w:w="5760" w:type="dxa"/>
            <w:vAlign w:val="center"/>
          </w:tcPr>
          <w:p w14:paraId="0ADBF757" w14:textId="226A9330" w:rsidR="00675252" w:rsidRPr="008B037A" w:rsidRDefault="00675252" w:rsidP="0081576E">
            <w:pPr>
              <w:jc w:val="both"/>
              <w:rPr>
                <w:rFonts w:ascii="Cambria" w:hAnsi="Cambria"/>
                <w:bCs/>
                <w:sz w:val="20"/>
                <w:szCs w:val="20"/>
              </w:rPr>
            </w:pPr>
            <w:r w:rsidRPr="008B037A">
              <w:rPr>
                <w:rFonts w:ascii="Cambria" w:hAnsi="Cambria"/>
                <w:sz w:val="20"/>
                <w:szCs w:val="20"/>
                <w:lang w:val="en"/>
              </w:rPr>
              <w:t>Articles 5 (humane treatment), 8 (fair trial), 19 (rights of the child), 24 (equal protection), and 25 (judicial protection) of the American Convention in conjunction with its articles 1(1) (obligation to respect rights) and 2 (domestic legal effects</w:t>
            </w:r>
            <w:r w:rsidR="0081576E" w:rsidRPr="008B037A">
              <w:rPr>
                <w:rFonts w:ascii="Cambria" w:hAnsi="Cambria"/>
                <w:sz w:val="20"/>
                <w:szCs w:val="20"/>
                <w:lang w:val="en"/>
              </w:rPr>
              <w:t>)</w:t>
            </w:r>
            <w:r w:rsidRPr="008B037A">
              <w:rPr>
                <w:rFonts w:ascii="Cambria" w:hAnsi="Cambria"/>
                <w:sz w:val="20"/>
                <w:szCs w:val="20"/>
                <w:lang w:val="en"/>
              </w:rPr>
              <w:t>; and Article 7 of the Convention of Belém do Pará</w:t>
            </w:r>
          </w:p>
        </w:tc>
      </w:tr>
      <w:tr w:rsidR="00675252" w:rsidRPr="008B037A" w14:paraId="22EC663F" w14:textId="77777777" w:rsidTr="006A4EEE">
        <w:trPr>
          <w:cantSplit/>
        </w:trPr>
        <w:tc>
          <w:tcPr>
            <w:tcW w:w="3600" w:type="dxa"/>
            <w:tcBorders>
              <w:top w:val="single" w:sz="6" w:space="0" w:color="auto"/>
              <w:bottom w:val="single" w:sz="6" w:space="0" w:color="auto"/>
            </w:tcBorders>
            <w:shd w:val="clear" w:color="auto" w:fill="67AE3C"/>
            <w:vAlign w:val="center"/>
          </w:tcPr>
          <w:p w14:paraId="786E077B"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Exhaustion of domestic remedies or applicability of an exception to the rule:</w:t>
            </w:r>
          </w:p>
        </w:tc>
        <w:tc>
          <w:tcPr>
            <w:tcW w:w="5760" w:type="dxa"/>
            <w:vAlign w:val="center"/>
          </w:tcPr>
          <w:p w14:paraId="3021FCCF" w14:textId="36C5C922" w:rsidR="00675252" w:rsidRPr="008B037A" w:rsidRDefault="00675252" w:rsidP="0081576E">
            <w:pPr>
              <w:rPr>
                <w:rFonts w:ascii="Cambria" w:hAnsi="Cambria"/>
                <w:bCs/>
                <w:sz w:val="20"/>
                <w:szCs w:val="20"/>
              </w:rPr>
            </w:pPr>
            <w:r w:rsidRPr="008B037A">
              <w:rPr>
                <w:rFonts w:ascii="Cambria" w:hAnsi="Cambria"/>
                <w:sz w:val="20"/>
                <w:szCs w:val="20"/>
                <w:lang w:val="en"/>
              </w:rPr>
              <w:t>Yes, Article 46(</w:t>
            </w:r>
            <w:r w:rsidR="0081576E" w:rsidRPr="008B037A">
              <w:rPr>
                <w:rFonts w:ascii="Cambria" w:hAnsi="Cambria"/>
                <w:sz w:val="20"/>
                <w:szCs w:val="20"/>
                <w:lang w:val="en"/>
              </w:rPr>
              <w:t>2)(c) of the Convention applies</w:t>
            </w:r>
          </w:p>
        </w:tc>
      </w:tr>
      <w:tr w:rsidR="00675252" w:rsidRPr="008B037A" w14:paraId="169515D2" w14:textId="77777777" w:rsidTr="006A4EEE">
        <w:trPr>
          <w:cantSplit/>
        </w:trPr>
        <w:tc>
          <w:tcPr>
            <w:tcW w:w="3600" w:type="dxa"/>
            <w:tcBorders>
              <w:top w:val="single" w:sz="6" w:space="0" w:color="auto"/>
              <w:bottom w:val="single" w:sz="6" w:space="0" w:color="auto"/>
            </w:tcBorders>
            <w:shd w:val="clear" w:color="auto" w:fill="67AE3C"/>
            <w:vAlign w:val="center"/>
          </w:tcPr>
          <w:p w14:paraId="621B3894" w14:textId="77777777" w:rsidR="00675252" w:rsidRPr="008B037A" w:rsidRDefault="00675252" w:rsidP="006A4EEE">
            <w:pPr>
              <w:jc w:val="center"/>
              <w:rPr>
                <w:rFonts w:ascii="Cambria" w:hAnsi="Cambria"/>
                <w:b/>
                <w:bCs/>
                <w:color w:val="FFFFFF" w:themeColor="background1"/>
                <w:sz w:val="20"/>
                <w:szCs w:val="20"/>
              </w:rPr>
            </w:pPr>
            <w:r w:rsidRPr="008B037A">
              <w:rPr>
                <w:rFonts w:ascii="Cambria" w:hAnsi="Cambria"/>
                <w:b/>
                <w:bCs/>
                <w:color w:val="FFFFFF" w:themeColor="background1"/>
                <w:sz w:val="20"/>
                <w:szCs w:val="20"/>
                <w:lang w:val="en"/>
              </w:rPr>
              <w:t>Timeliness of the petition:</w:t>
            </w:r>
          </w:p>
        </w:tc>
        <w:tc>
          <w:tcPr>
            <w:tcW w:w="5760" w:type="dxa"/>
            <w:vAlign w:val="center"/>
          </w:tcPr>
          <w:p w14:paraId="495680B9" w14:textId="77777777" w:rsidR="00675252" w:rsidRPr="008B037A" w:rsidRDefault="00675252" w:rsidP="006A4EEE">
            <w:pPr>
              <w:rPr>
                <w:bCs/>
                <w:sz w:val="20"/>
                <w:szCs w:val="20"/>
              </w:rPr>
            </w:pPr>
            <w:r w:rsidRPr="008B037A">
              <w:rPr>
                <w:rFonts w:ascii="Cambria" w:hAnsi="Cambria"/>
                <w:sz w:val="20"/>
                <w:szCs w:val="20"/>
                <w:lang w:val="en"/>
              </w:rPr>
              <w:t>Yes, pursuant to the terms of Section VI</w:t>
            </w:r>
          </w:p>
        </w:tc>
      </w:tr>
    </w:tbl>
    <w:p w14:paraId="7072E03E" w14:textId="77777777" w:rsidR="00675252" w:rsidRPr="008B037A" w:rsidRDefault="00675252" w:rsidP="00675252">
      <w:pPr>
        <w:spacing w:before="240" w:after="240"/>
        <w:ind w:firstLine="720"/>
        <w:jc w:val="both"/>
        <w:rPr>
          <w:rFonts w:asciiTheme="majorHAnsi" w:hAnsiTheme="majorHAnsi"/>
          <w:b/>
          <w:sz w:val="20"/>
          <w:szCs w:val="20"/>
        </w:rPr>
      </w:pPr>
    </w:p>
    <w:p w14:paraId="0211AB41" w14:textId="77777777" w:rsidR="00675252" w:rsidRPr="008B037A" w:rsidRDefault="00675252" w:rsidP="00675252">
      <w:pPr>
        <w:spacing w:before="240" w:after="240"/>
        <w:ind w:firstLine="720"/>
        <w:jc w:val="both"/>
        <w:rPr>
          <w:rFonts w:asciiTheme="majorHAnsi" w:hAnsiTheme="majorHAnsi"/>
          <w:b/>
          <w:sz w:val="20"/>
          <w:szCs w:val="20"/>
        </w:rPr>
      </w:pPr>
    </w:p>
    <w:p w14:paraId="7AE3927C" w14:textId="77777777" w:rsidR="00675252" w:rsidRPr="008B037A" w:rsidRDefault="00675252" w:rsidP="00675252">
      <w:pPr>
        <w:spacing w:before="240" w:after="240"/>
        <w:ind w:firstLine="720"/>
        <w:jc w:val="both"/>
        <w:rPr>
          <w:rFonts w:asciiTheme="majorHAnsi" w:hAnsiTheme="majorHAnsi"/>
          <w:b/>
          <w:sz w:val="20"/>
          <w:szCs w:val="20"/>
        </w:rPr>
      </w:pPr>
    </w:p>
    <w:p w14:paraId="07778FE5" w14:textId="77777777" w:rsidR="00675252" w:rsidRPr="008B037A" w:rsidRDefault="00675252" w:rsidP="00675252">
      <w:pPr>
        <w:spacing w:before="240" w:after="240"/>
        <w:ind w:firstLine="720"/>
        <w:jc w:val="both"/>
        <w:rPr>
          <w:rFonts w:asciiTheme="majorHAnsi" w:hAnsiTheme="majorHAnsi"/>
          <w:b/>
          <w:sz w:val="20"/>
          <w:szCs w:val="20"/>
        </w:rPr>
      </w:pPr>
      <w:r w:rsidRPr="008B037A">
        <w:rPr>
          <w:rFonts w:asciiTheme="majorHAnsi" w:hAnsiTheme="majorHAnsi"/>
          <w:b/>
          <w:bCs/>
          <w:sz w:val="20"/>
          <w:szCs w:val="20"/>
          <w:lang w:val="en"/>
        </w:rPr>
        <w:lastRenderedPageBreak/>
        <w:t xml:space="preserve">V. </w:t>
      </w:r>
      <w:r w:rsidRPr="008B037A">
        <w:rPr>
          <w:rFonts w:asciiTheme="majorHAnsi" w:hAnsiTheme="majorHAnsi"/>
          <w:b/>
          <w:bCs/>
          <w:sz w:val="20"/>
          <w:szCs w:val="20"/>
          <w:lang w:val="en"/>
        </w:rPr>
        <w:tab/>
        <w:t xml:space="preserve">ALLEGED FACTS </w:t>
      </w:r>
    </w:p>
    <w:p w14:paraId="10D7FD84"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The petitioner alleges that the alleged victim, Tatiana Marisa Barría Mardones, had a romantic relationship that ended in 2003 as a result “the physical and psychological violence she suffered.” She states that on March 11, 2007, while she was at home with her 12-year-old daughter and her partner at the time, Luis Santos, her ex-partner arrived with his brother, who, between insults, started throwing rocks and other objects on the roof of the house to get the alleged victim to come out. She stated that outside her home, her ex-partner cursed and insulted her. Luis Santos reacted to this by telling him to leave, to which the attacker reacted by cursing more and striking him, causing injury. She states that the alleged victim’s daughter saw what was happening from a window and started to scream, at which the attacker left, saying he would return to kill them. She states that after Luis Santos reentered the house, the alleged attacker returned and beat on the door, demanding they open it and repeating his threats. She says they called the Carabineros [police], who “arrived and did nothing to stop the brothers [...] even though the aggressor was identified, in flagrante delicto, and all the information necessary for his capture had been provided.” She states that they went to the emergency room, and each of the injured parties described their complaint to the police. She alleges that from that point on, Ms. Barría was considered a witness, not a victim. She states that at that point, the alleged victim was informed she would be called to testify.</w:t>
      </w:r>
    </w:p>
    <w:p w14:paraId="492562B5" w14:textId="4E19D855"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She states that on March 15, 2007, Luis Santos filed a criminal complaint against the alleged attacker “for the injuries and threats of which he was a victim.” In response, the Office of the Public Prosecutor “ordered an investigation only regarding his legal claim, without considering the victim.” She states that the allege</w:t>
      </w:r>
      <w:r w:rsidR="00850C61" w:rsidRPr="008B037A">
        <w:rPr>
          <w:rFonts w:ascii="Cambria" w:hAnsi="Cambria"/>
          <w:sz w:val="20"/>
          <w:szCs w:val="20"/>
          <w:lang w:val="en"/>
        </w:rPr>
        <w:t>d victim therefore went to the o</w:t>
      </w:r>
      <w:r w:rsidRPr="008B037A">
        <w:rPr>
          <w:rFonts w:ascii="Cambria" w:hAnsi="Cambria"/>
          <w:sz w:val="20"/>
          <w:szCs w:val="20"/>
          <w:lang w:val="en"/>
        </w:rPr>
        <w:t>ffice of the Prosecutor to demand her statement be taken, where “the Public Ministry official did so very informally and unprofessionally, without the presence of the Prosecutor in charge of the investigation.” At that time, the alleged victim was supposedly not referred to the Victims and Witnesses Support Unit, which she should have been. The petitioner adds that on April 3, 2007, in execution of an investigative order issued by the Office of the Public Prosecutor, the alleged victim was summoned to give a statement at police</w:t>
      </w:r>
      <w:r w:rsidR="00850C61" w:rsidRPr="008B037A">
        <w:rPr>
          <w:rFonts w:ascii="Cambria" w:hAnsi="Cambria"/>
          <w:sz w:val="20"/>
          <w:szCs w:val="20"/>
          <w:lang w:val="en"/>
        </w:rPr>
        <w:t xml:space="preserve"> headquarters. At that time, a c</w:t>
      </w:r>
      <w:r w:rsidRPr="008B037A">
        <w:rPr>
          <w:rFonts w:ascii="Cambria" w:hAnsi="Cambria"/>
          <w:sz w:val="20"/>
          <w:szCs w:val="20"/>
          <w:lang w:val="en"/>
        </w:rPr>
        <w:t xml:space="preserve">arabinero took notes of her statements, and the police report concluded that injuries took place to the detriment of Luis Santos, omitting the threats of which she was the victim and the illegal invasion of her dwelling. </w:t>
      </w:r>
    </w:p>
    <w:p w14:paraId="3A48849C" w14:textId="1839DD62"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 xml:space="preserve">She states that in response to the lack of an investigation into the complaints related to the alleged victim, on April 23, 2007, she filed a criminal complaint alleging threats that referred to both the previous acts of violence committed by her ex-partner and what happened in 2007. </w:t>
      </w:r>
      <w:r w:rsidR="00D77936" w:rsidRPr="008B037A">
        <w:rPr>
          <w:rFonts w:ascii="Cambria" w:hAnsi="Cambria"/>
          <w:sz w:val="20"/>
          <w:szCs w:val="20"/>
          <w:lang w:val="en"/>
        </w:rPr>
        <w:t>In the denunciation she described the events of March 11, 2007 and indicated that she decided to present a complaint because “on many prior occasions I have been intimidated, harmed and threatened by this person which has left me with fear, insecurity and terror that at some moment he will carry out his death threats.” She indicated that the relationship ended in 2003 due to “physical and psychological vio</w:t>
      </w:r>
      <w:r w:rsidR="00293599" w:rsidRPr="008B037A">
        <w:rPr>
          <w:rFonts w:ascii="Cambria" w:hAnsi="Cambria"/>
          <w:sz w:val="20"/>
          <w:szCs w:val="20"/>
          <w:lang w:val="en"/>
        </w:rPr>
        <w:t>lence,</w:t>
      </w:r>
      <w:r w:rsidR="00DC3F1A" w:rsidRPr="008B037A">
        <w:rPr>
          <w:rFonts w:ascii="Cambria" w:hAnsi="Cambria"/>
          <w:sz w:val="20"/>
          <w:szCs w:val="20"/>
          <w:lang w:val="en"/>
        </w:rPr>
        <w:t>”</w:t>
      </w:r>
      <w:r w:rsidR="00293599" w:rsidRPr="008B037A">
        <w:rPr>
          <w:rFonts w:ascii="Cambria" w:hAnsi="Cambria"/>
          <w:sz w:val="20"/>
          <w:szCs w:val="20"/>
          <w:lang w:val="en"/>
        </w:rPr>
        <w:t xml:space="preserve"> that </w:t>
      </w:r>
      <w:r w:rsidR="00DC3F1A" w:rsidRPr="008B037A">
        <w:rPr>
          <w:rFonts w:ascii="Cambria" w:hAnsi="Cambria"/>
          <w:sz w:val="20"/>
          <w:szCs w:val="20"/>
          <w:lang w:val="en"/>
        </w:rPr>
        <w:t>“</w:t>
      </w:r>
      <w:r w:rsidR="00293599" w:rsidRPr="008B037A">
        <w:rPr>
          <w:rFonts w:ascii="Cambria" w:hAnsi="Cambria"/>
          <w:sz w:val="20"/>
          <w:szCs w:val="20"/>
          <w:lang w:val="en"/>
        </w:rPr>
        <w:t>I never dared to denounce because of the reiterated death threats.” In the complaint she described threats, being followed, and haras</w:t>
      </w:r>
      <w:r w:rsidR="009C5ECF" w:rsidRPr="008B037A">
        <w:rPr>
          <w:rFonts w:ascii="Cambria" w:hAnsi="Cambria"/>
          <w:sz w:val="20"/>
          <w:szCs w:val="20"/>
          <w:lang w:val="en"/>
        </w:rPr>
        <w:t>s</w:t>
      </w:r>
      <w:r w:rsidR="00293599" w:rsidRPr="008B037A">
        <w:rPr>
          <w:rFonts w:ascii="Cambria" w:hAnsi="Cambria"/>
          <w:sz w:val="20"/>
          <w:szCs w:val="20"/>
          <w:lang w:val="en"/>
        </w:rPr>
        <w:t xml:space="preserve">ment, and indicated that </w:t>
      </w:r>
      <w:r w:rsidR="00C64F27" w:rsidRPr="008B037A">
        <w:rPr>
          <w:rFonts w:ascii="Cambria" w:hAnsi="Cambria"/>
          <w:sz w:val="20"/>
          <w:szCs w:val="20"/>
          <w:lang w:val="en"/>
        </w:rPr>
        <w:t>because of this</w:t>
      </w:r>
      <w:r w:rsidR="00293599" w:rsidRPr="008B037A">
        <w:rPr>
          <w:rFonts w:ascii="Cambria" w:hAnsi="Cambria"/>
          <w:sz w:val="20"/>
          <w:szCs w:val="20"/>
          <w:lang w:val="en"/>
        </w:rPr>
        <w:t xml:space="preserve">, “I decided to change where I lived and worked and move to the city of Coyhaique thinking that he wouldn’t bother me anymore because he wouldn’t know my new place of residence.” </w:t>
      </w:r>
      <w:r w:rsidR="00D77936" w:rsidRPr="008B037A">
        <w:rPr>
          <w:rFonts w:ascii="Cambria" w:hAnsi="Cambria"/>
          <w:sz w:val="20"/>
          <w:szCs w:val="20"/>
          <w:lang w:val="en"/>
        </w:rPr>
        <w:t xml:space="preserve">  </w:t>
      </w:r>
      <w:r w:rsidRPr="008B037A">
        <w:rPr>
          <w:rFonts w:ascii="Cambria" w:hAnsi="Cambria"/>
          <w:sz w:val="20"/>
          <w:szCs w:val="20"/>
          <w:lang w:val="en"/>
        </w:rPr>
        <w:t>Regarding this complaint, she states that the Office of the Public Prosecutor submitted a hearing request for a simplified procedure into the crimes against Luis Santos and another hearing to communicate its decision to not prosecute the crimes against the alleged victim. She states that because the alleged victim had not been notified, the hearing had to be postponed until August 2, 2007.</w:t>
      </w:r>
    </w:p>
    <w:p w14:paraId="0B1419C2"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 xml:space="preserve"> She states that the alleged victim’s private attorney requested admission of eight evidentiary procedures—including collecting a statement from Luis Santos and the information from a complaint from 2003 against the alleged attacker “for injury caused during an attack on her and others, with the aim of demonstrating a pattern of attacks”—of which the Office of the Public Prosecutor only admitted two witness statements, rejecting others, including summoning Luis Santos to provide a statement. In this regard, she alleges that the Prosecutor never summoned the alleged victim to provide him with a statement, and the Office of the Public Prosecutor inquired about the facts from 2007 even though the subject of the witness statements was previous facts, as the witnesses had not been present during the facts that took place in 2007. In addition, she alleges that the interrogation of the daughter of the alleged victim was hostile, and that at that time, the Prosecutor stated that he would not take a statement from the alleged victim, suggesting she turn to the family </w:t>
      </w:r>
      <w:r w:rsidRPr="008B037A">
        <w:rPr>
          <w:rFonts w:ascii="Cambria" w:hAnsi="Cambria"/>
          <w:sz w:val="20"/>
          <w:szCs w:val="20"/>
          <w:lang w:val="en"/>
        </w:rPr>
        <w:lastRenderedPageBreak/>
        <w:t>courts. She thus states that the alleged victim twice prevented the investigations from being closed by presenting requests to gather evidence against the alleged attacker.</w:t>
      </w:r>
    </w:p>
    <w:p w14:paraId="1D2CED16"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 xml:space="preserve">She states that on January 2, 2008, a hearing was held during which the collection of new evidence was ordered. She indicates that on January 25, 2008, a hearing was held during which the Prosecutor exercised his authority to drop the investigation, upon which the Guarantee Judge of Coyhaique decided to close the investigation. She alleges that the alleged victim was summoned to the hearing, but that she was not informed beforehand of its purpose, for which reason she was not able to exercise her right to object to the closure of the investigation. She adds that the alleged victim was also not provided with an opportunity to give her opinion on this decision, in violation of Article 248 section (c) of the Criminal Procedural Code (hereinafter the “CPC”), which establishes that to order the closure of an investigation, it must first be formalized and all the necessary steps must be taken to ascertain the facts and identify the perpetrators. It alleges that, in this case, the investigation was not formalized and none of the requested measures to gather evidence were taken. </w:t>
      </w:r>
    </w:p>
    <w:p w14:paraId="5F903504" w14:textId="24F95FEB"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The information provided indicates that on February 4, 2008, the alleged victim asked the Prosecutor to conduct evidence gathering procedures and to continue the investigation because she had not been notified of the reason for the hearing. The request was rejected on February 5, 2008. The petitioner alleges that the alleged victim did not have an adequate remedy available to her, as forcing continuation of the investigation, as provided for in Article 258 of the CPC, is not a simple and quick remedy. She adds that this remedy prevented the alleged victim from demanding evidentiary measures be taken that she could indeed request of the prosecutor.</w:t>
      </w:r>
    </w:p>
    <w:p w14:paraId="0DE17365" w14:textId="66DB6A95" w:rsidR="00DC3F1A" w:rsidRPr="008B037A" w:rsidRDefault="00DC3F1A"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rPr>
        <w:t xml:space="preserve">In summary, the petition alleges that in 2007 the presumed victim presented a complaint against her former partner for domestic violence, with respect to various alleged acts of aggression as from at least 2003 up to March of 2007, and specifically denounced that he had threatened to come back and kill her.  </w:t>
      </w:r>
      <w:r w:rsidR="00E37639" w:rsidRPr="008B037A">
        <w:rPr>
          <w:rFonts w:ascii="Cambria" w:hAnsi="Cambria"/>
          <w:sz w:val="20"/>
          <w:szCs w:val="20"/>
        </w:rPr>
        <w:t xml:space="preserve">The petition </w:t>
      </w:r>
      <w:r w:rsidRPr="008B037A">
        <w:rPr>
          <w:rFonts w:ascii="Cambria" w:hAnsi="Cambria"/>
          <w:sz w:val="20"/>
          <w:szCs w:val="20"/>
        </w:rPr>
        <w:t xml:space="preserve">affirms that the response of the State centered on the investigation of the injuries sustained by her current partner, without investigating the alleged prior acts or the situation of risk that she identified.     </w:t>
      </w:r>
    </w:p>
    <w:p w14:paraId="3A4EB3FE"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 xml:space="preserve">For its part, the State indicates that the facts alleged do not represent a violation of the rights guaranteed in the Convention. It states that the decision to drop a criminal investigation falls under the authority of the Office of the Public Prosecutor in the event of a lack of sufficient evidence on which to base charges. It notes that this is a technical decision, not a reflection of discretion, lack of interest, or excessive workload on the part of the public officials. It adds that even in these cases, if new information comes to light subsequent to the closure of the investigation, the Prosecutor has the authority to reopen it. It adds that in this case, the petitioner has not included any information indicating that new information was provided to the Prosecutor in the case. It submits that the petitioners are attempting to use the Commission as a fourth instance to review a ruling that was not in their favor. </w:t>
      </w:r>
    </w:p>
    <w:p w14:paraId="785BF36F" w14:textId="77777777" w:rsidR="00675252" w:rsidRPr="008B037A" w:rsidRDefault="00675252" w:rsidP="00675252">
      <w:pPr>
        <w:spacing w:before="240" w:after="240"/>
        <w:ind w:firstLine="720"/>
        <w:jc w:val="both"/>
        <w:rPr>
          <w:rFonts w:ascii="Cambria" w:hAnsi="Cambria"/>
          <w:sz w:val="20"/>
          <w:szCs w:val="20"/>
        </w:rPr>
      </w:pPr>
      <w:r w:rsidRPr="008B037A">
        <w:rPr>
          <w:rFonts w:ascii="Cambria" w:hAnsi="Cambria"/>
          <w:b/>
          <w:bCs/>
          <w:color w:val="000000"/>
          <w:sz w:val="20"/>
          <w:szCs w:val="20"/>
          <w:u w:color="000000"/>
          <w:lang w:val="en"/>
        </w:rPr>
        <w:t>VI.</w:t>
      </w:r>
      <w:r w:rsidRPr="008B037A">
        <w:rPr>
          <w:rFonts w:ascii="Cambria" w:hAnsi="Cambria"/>
          <w:b/>
          <w:bCs/>
          <w:color w:val="000000"/>
          <w:sz w:val="20"/>
          <w:szCs w:val="20"/>
          <w:u w:color="000000"/>
          <w:lang w:val="en"/>
        </w:rPr>
        <w:tab/>
        <w:t xml:space="preserve">ANALYSIS OF </w:t>
      </w:r>
      <w:r w:rsidRPr="008B037A">
        <w:rPr>
          <w:rFonts w:ascii="Cambria" w:hAnsi="Cambria"/>
          <w:b/>
          <w:bCs/>
          <w:sz w:val="20"/>
          <w:szCs w:val="20"/>
          <w:lang w:val="en"/>
        </w:rPr>
        <w:t>EXHAUSTION OF DOMESTIC REMEDIES AND TIMELINESS OF THE PETITION</w:t>
      </w:r>
      <w:r w:rsidRPr="008B037A">
        <w:rPr>
          <w:rFonts w:ascii="Cambria" w:hAnsi="Cambria"/>
          <w:b/>
          <w:bCs/>
          <w:sz w:val="20"/>
          <w:szCs w:val="20"/>
          <w:u w:color="000000"/>
          <w:lang w:val="en"/>
        </w:rPr>
        <w:t xml:space="preserve"> </w:t>
      </w:r>
    </w:p>
    <w:p w14:paraId="7A96D332"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color w:val="FF0000"/>
          <w:sz w:val="20"/>
          <w:szCs w:val="20"/>
        </w:rPr>
      </w:pPr>
      <w:r w:rsidRPr="008B037A">
        <w:rPr>
          <w:rFonts w:ascii="Cambria" w:hAnsi="Cambria"/>
          <w:sz w:val="20"/>
          <w:szCs w:val="20"/>
          <w:lang w:val="en"/>
        </w:rPr>
        <w:t xml:space="preserve">The petitioner alleges she filed a series of requests for gathering evidence with the Office of the Public Prosecutor in order for the investigation to continue. She states that at the hearing to close the investigation on the Office of the Public Prosecutor’s exercise of its authority to do so, the alleged victim was not provided with an opportunity to give her opinion, in violation of Article 248, section (c) of the CPC. She also alleges that the alleged victim did not have an adequate remedy available to her, as forcing continuation of the investigation, as provided for in Article 258 of the CPC, is not a simple and quick remedy. For its part, the State argues that if new information comes to light subsequent to the closure of the investigation, the Prosecutor has the authority to reopen it. </w:t>
      </w:r>
    </w:p>
    <w:p w14:paraId="07311855"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sz w:val="20"/>
          <w:szCs w:val="20"/>
        </w:rPr>
      </w:pPr>
      <w:r w:rsidRPr="008B037A">
        <w:rPr>
          <w:rFonts w:ascii="Cambria" w:hAnsi="Cambria"/>
          <w:sz w:val="20"/>
          <w:szCs w:val="20"/>
          <w:lang w:val="en"/>
        </w:rPr>
        <w:t xml:space="preserve">The Commission observes that in this case, the alleged victim says she had filed a police report regarding the facts and that because she was treated as a witness to the facts and not a victim, she filed a criminal complaint against the person allegedly responsible for the threats. The Commission observes that the alleged victim filed the criminal complaint about the threats on April 23, 2007, and that on January 25, 2008, the Prosecutor exercised his authority to drop the investigation, upon which the guarantee judge closed the </w:t>
      </w:r>
      <w:r w:rsidRPr="008B037A">
        <w:rPr>
          <w:rFonts w:ascii="Cambria" w:hAnsi="Cambria"/>
          <w:sz w:val="20"/>
          <w:szCs w:val="20"/>
          <w:lang w:val="en"/>
        </w:rPr>
        <w:lastRenderedPageBreak/>
        <w:t xml:space="preserve">investigation. As the State noted, the investigation can be reopened should new information be submitted, so it is not definitively closed. In cases alleging threats to life and safety, a criminal process is the most appropriate method for resolving the facts, bringing those responsible to trial, and establishing the corresponding criminal punishments. Because of this, and considering that 11 years have passed since the facts alleged and that the alleged deficiencies in the investigation prevented full resolution of the facts and determination of potential criminal responsibility, the Commission finds that the exception established in Article 46(2)(c) of the Convention is, </w:t>
      </w:r>
      <w:r w:rsidRPr="008B037A">
        <w:rPr>
          <w:rFonts w:ascii="Cambria" w:hAnsi="Cambria"/>
          <w:i/>
          <w:iCs/>
          <w:sz w:val="20"/>
          <w:szCs w:val="20"/>
          <w:lang w:val="en"/>
        </w:rPr>
        <w:t>prima facie</w:t>
      </w:r>
      <w:r w:rsidRPr="008B037A">
        <w:rPr>
          <w:rFonts w:ascii="Cambria" w:hAnsi="Cambria"/>
          <w:sz w:val="20"/>
          <w:szCs w:val="20"/>
          <w:lang w:val="en"/>
        </w:rPr>
        <w:t>, applicable. The Commission deems it pertinent to analyze</w:t>
      </w:r>
      <w:r w:rsidRPr="008B037A">
        <w:rPr>
          <w:sz w:val="20"/>
          <w:szCs w:val="20"/>
          <w:lang w:val="en"/>
        </w:rPr>
        <w:t xml:space="preserve"> the suitability and </w:t>
      </w:r>
      <w:r w:rsidRPr="008B037A">
        <w:rPr>
          <w:rFonts w:ascii="Cambria" w:hAnsi="Cambria"/>
          <w:sz w:val="20"/>
          <w:szCs w:val="20"/>
          <w:lang w:val="en"/>
        </w:rPr>
        <w:t xml:space="preserve">effectiveness of the domestic remedies in this case during the merits stage to establish whether violations of the Convention effectively took place. </w:t>
      </w:r>
    </w:p>
    <w:p w14:paraId="017F2F67"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Cambria" w:hAnsi="Cambria"/>
          <w:color w:val="FF0000"/>
          <w:sz w:val="20"/>
          <w:szCs w:val="20"/>
        </w:rPr>
      </w:pPr>
      <w:r w:rsidRPr="008B037A">
        <w:rPr>
          <w:rFonts w:ascii="Cambria" w:hAnsi="Cambria"/>
          <w:sz w:val="20"/>
          <w:szCs w:val="20"/>
          <w:lang w:val="en"/>
        </w:rPr>
        <w:t>Additionally, the petition before the Commission was received on July 24, 2008; the alleged facts of the claim took place starting in 2007; and the alleged denial of justice extends to the present day. Therefore, in view of the context and the characteristics of this case, and taking into account that to date, no final judgment has been issued in this case, the Commission finds that the petition was presented within a reasonable period of time and that the admissibility requirement on the submission deadline is satisfied.</w:t>
      </w:r>
    </w:p>
    <w:p w14:paraId="074A3094" w14:textId="77777777" w:rsidR="00675252" w:rsidRPr="008B037A" w:rsidRDefault="00675252" w:rsidP="0067525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ind w:firstLine="720"/>
        <w:jc w:val="both"/>
        <w:rPr>
          <w:rFonts w:asciiTheme="majorHAnsi" w:hAnsiTheme="majorHAnsi"/>
          <w:b/>
          <w:bCs/>
          <w:sz w:val="20"/>
          <w:szCs w:val="20"/>
        </w:rPr>
      </w:pPr>
      <w:r w:rsidRPr="008B037A">
        <w:rPr>
          <w:rFonts w:asciiTheme="majorHAnsi" w:hAnsiTheme="majorHAnsi"/>
          <w:b/>
          <w:bCs/>
          <w:sz w:val="20"/>
          <w:szCs w:val="20"/>
          <w:lang w:val="en"/>
        </w:rPr>
        <w:t>VII.</w:t>
      </w:r>
      <w:r w:rsidRPr="008B037A">
        <w:rPr>
          <w:rFonts w:asciiTheme="majorHAnsi" w:hAnsiTheme="majorHAnsi"/>
          <w:b/>
          <w:bCs/>
          <w:sz w:val="20"/>
          <w:szCs w:val="20"/>
          <w:lang w:val="en"/>
        </w:rPr>
        <w:tab/>
        <w:t>ANALYSIS OF COLORABLE CLAIM</w:t>
      </w:r>
    </w:p>
    <w:p w14:paraId="7CFA1D26" w14:textId="3D3B1C13" w:rsidR="00EB6675" w:rsidRPr="008B037A" w:rsidRDefault="00EB6675"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rPr>
        <w:t xml:space="preserve">By virtue of the obligations set out in the Convention of Belem do Para, States have the </w:t>
      </w:r>
      <w:r w:rsidR="00EB33DA" w:rsidRPr="008B037A">
        <w:rPr>
          <w:rFonts w:ascii="Cambria" w:hAnsi="Cambria"/>
          <w:sz w:val="20"/>
          <w:szCs w:val="20"/>
        </w:rPr>
        <w:t xml:space="preserve">duty </w:t>
      </w:r>
      <w:r w:rsidRPr="008B037A">
        <w:rPr>
          <w:rFonts w:ascii="Cambria" w:hAnsi="Cambria"/>
          <w:sz w:val="20"/>
          <w:szCs w:val="20"/>
        </w:rPr>
        <w:t xml:space="preserve">to prevent, punish and eradicate all forms of violence against women, “whether in the public or the private sphere.” Taking into account that the petitioner alleges that the presumed victim made various efforts to denounce an alleged situation of aggression at the hands of her former partner, and that this </w:t>
      </w:r>
      <w:r w:rsidR="00C64F27" w:rsidRPr="008B037A">
        <w:rPr>
          <w:rFonts w:ascii="Cambria" w:hAnsi="Cambria"/>
          <w:sz w:val="20"/>
          <w:szCs w:val="20"/>
        </w:rPr>
        <w:t xml:space="preserve">also </w:t>
      </w:r>
      <w:r w:rsidRPr="008B037A">
        <w:rPr>
          <w:rFonts w:ascii="Cambria" w:hAnsi="Cambria"/>
          <w:sz w:val="20"/>
          <w:szCs w:val="20"/>
        </w:rPr>
        <w:t xml:space="preserve">affected her daughter, without encountering a diligent or effective response from the State, the Commission considers that the situation presented requires an analysis at the merits stage. </w:t>
      </w:r>
    </w:p>
    <w:p w14:paraId="44364D0C" w14:textId="2181813A" w:rsidR="00675252" w:rsidRPr="008B037A" w:rsidRDefault="00EB6675"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In this regard, i</w:t>
      </w:r>
      <w:r w:rsidR="00675252" w:rsidRPr="008B037A">
        <w:rPr>
          <w:rFonts w:ascii="Cambria" w:hAnsi="Cambria"/>
          <w:sz w:val="20"/>
          <w:szCs w:val="20"/>
          <w:lang w:val="en"/>
        </w:rPr>
        <w:t>n view of the elements of fact and law presented by the parties and the nature of the matter under consideration, the Commission finds that</w:t>
      </w:r>
      <w:r w:rsidR="005872DD" w:rsidRPr="008B037A">
        <w:rPr>
          <w:rFonts w:ascii="Cambria" w:hAnsi="Cambria"/>
          <w:sz w:val="20"/>
          <w:szCs w:val="20"/>
          <w:lang w:val="en"/>
        </w:rPr>
        <w:t>,</w:t>
      </w:r>
      <w:r w:rsidR="00675252" w:rsidRPr="008B037A">
        <w:rPr>
          <w:rFonts w:ascii="Cambria" w:hAnsi="Cambria"/>
          <w:sz w:val="20"/>
          <w:szCs w:val="20"/>
          <w:lang w:val="en"/>
        </w:rPr>
        <w:t xml:space="preserve"> </w:t>
      </w:r>
      <w:r w:rsidR="00FB2919" w:rsidRPr="008B037A">
        <w:rPr>
          <w:rFonts w:ascii="Cambria" w:hAnsi="Cambria"/>
          <w:sz w:val="20"/>
          <w:szCs w:val="20"/>
          <w:lang w:val="en"/>
        </w:rPr>
        <w:t>if proven</w:t>
      </w:r>
      <w:r w:rsidR="00675252" w:rsidRPr="008B037A">
        <w:rPr>
          <w:rFonts w:ascii="Cambria" w:hAnsi="Cambria"/>
          <w:sz w:val="20"/>
          <w:szCs w:val="20"/>
          <w:lang w:val="en"/>
        </w:rPr>
        <w:t xml:space="preserve">, the facts alleged by the petitioner </w:t>
      </w:r>
      <w:r w:rsidR="00C64F27" w:rsidRPr="008B037A">
        <w:rPr>
          <w:rFonts w:ascii="Cambria" w:hAnsi="Cambria"/>
          <w:sz w:val="20"/>
          <w:szCs w:val="20"/>
          <w:lang w:val="en"/>
        </w:rPr>
        <w:t>concerning a</w:t>
      </w:r>
      <w:r w:rsidR="00675252" w:rsidRPr="008B037A">
        <w:rPr>
          <w:rFonts w:ascii="Cambria" w:hAnsi="Cambria"/>
          <w:sz w:val="20"/>
          <w:szCs w:val="20"/>
          <w:lang w:val="en"/>
        </w:rPr>
        <w:t xml:space="preserve"> lack of due diligence in the investigation of the alleged </w:t>
      </w:r>
      <w:r w:rsidR="00FB2919" w:rsidRPr="008B037A">
        <w:rPr>
          <w:rFonts w:ascii="Cambria" w:hAnsi="Cambria"/>
          <w:sz w:val="20"/>
          <w:szCs w:val="20"/>
          <w:lang w:val="en"/>
        </w:rPr>
        <w:t xml:space="preserve">threats, </w:t>
      </w:r>
      <w:r w:rsidR="00675252" w:rsidRPr="008B037A">
        <w:rPr>
          <w:rFonts w:ascii="Cambria" w:hAnsi="Cambria"/>
          <w:sz w:val="20"/>
          <w:szCs w:val="20"/>
          <w:lang w:val="en"/>
        </w:rPr>
        <w:t xml:space="preserve">harassment </w:t>
      </w:r>
      <w:r w:rsidR="00FB2919" w:rsidRPr="008B037A">
        <w:rPr>
          <w:rFonts w:ascii="Cambria" w:hAnsi="Cambria"/>
          <w:sz w:val="20"/>
          <w:szCs w:val="20"/>
          <w:lang w:val="en"/>
        </w:rPr>
        <w:t xml:space="preserve">and persecution </w:t>
      </w:r>
      <w:r w:rsidR="00675252" w:rsidRPr="008B037A">
        <w:rPr>
          <w:rFonts w:ascii="Cambria" w:hAnsi="Cambria"/>
          <w:sz w:val="20"/>
          <w:szCs w:val="20"/>
          <w:lang w:val="en"/>
        </w:rPr>
        <w:t>and in the punishment of the person presumed responsible</w:t>
      </w:r>
      <w:r w:rsidR="009B5CBE" w:rsidRPr="008B037A">
        <w:rPr>
          <w:rFonts w:ascii="Cambria" w:hAnsi="Cambria"/>
          <w:sz w:val="20"/>
          <w:szCs w:val="20"/>
          <w:lang w:val="en"/>
        </w:rPr>
        <w:t xml:space="preserve">, as well as </w:t>
      </w:r>
      <w:r w:rsidR="005872DD" w:rsidRPr="008B037A">
        <w:rPr>
          <w:rFonts w:ascii="Cambria" w:hAnsi="Cambria"/>
          <w:sz w:val="20"/>
          <w:szCs w:val="20"/>
          <w:lang w:val="en"/>
        </w:rPr>
        <w:t xml:space="preserve">the </w:t>
      </w:r>
      <w:r w:rsidR="00C64F27" w:rsidRPr="008B037A">
        <w:rPr>
          <w:rFonts w:ascii="Cambria" w:hAnsi="Cambria"/>
          <w:sz w:val="20"/>
          <w:szCs w:val="20"/>
          <w:lang w:val="en"/>
        </w:rPr>
        <w:t xml:space="preserve">allegations </w:t>
      </w:r>
      <w:r w:rsidR="005872DD" w:rsidRPr="008B037A">
        <w:rPr>
          <w:rFonts w:ascii="Cambria" w:hAnsi="Cambria"/>
          <w:sz w:val="20"/>
          <w:szCs w:val="20"/>
          <w:lang w:val="en"/>
        </w:rPr>
        <w:t xml:space="preserve">that B.B.A.B. was present during the acts of violence and </w:t>
      </w:r>
      <w:r w:rsidR="00C64F27" w:rsidRPr="008B037A">
        <w:rPr>
          <w:rFonts w:ascii="Cambria" w:hAnsi="Cambria"/>
          <w:sz w:val="20"/>
          <w:szCs w:val="20"/>
          <w:lang w:val="en"/>
        </w:rPr>
        <w:t xml:space="preserve">with respect to the way she was treated </w:t>
      </w:r>
      <w:r w:rsidR="005872DD" w:rsidRPr="008B037A">
        <w:rPr>
          <w:rFonts w:ascii="Cambria" w:hAnsi="Cambria"/>
          <w:sz w:val="20"/>
          <w:szCs w:val="20"/>
          <w:lang w:val="en"/>
        </w:rPr>
        <w:t xml:space="preserve">during the process, </w:t>
      </w:r>
      <w:r w:rsidR="00675252" w:rsidRPr="008B037A">
        <w:rPr>
          <w:rFonts w:ascii="Cambria" w:hAnsi="Cambria"/>
          <w:sz w:val="20"/>
          <w:szCs w:val="20"/>
          <w:lang w:val="en"/>
        </w:rPr>
        <w:t xml:space="preserve">could represent violations </w:t>
      </w:r>
      <w:r w:rsidR="00FB2919" w:rsidRPr="008B037A">
        <w:rPr>
          <w:rFonts w:ascii="Cambria" w:hAnsi="Cambria"/>
          <w:sz w:val="20"/>
          <w:szCs w:val="20"/>
          <w:lang w:val="en"/>
        </w:rPr>
        <w:t>of</w:t>
      </w:r>
      <w:r w:rsidR="00675252" w:rsidRPr="008B037A">
        <w:rPr>
          <w:rFonts w:ascii="Cambria" w:hAnsi="Cambria"/>
          <w:sz w:val="20"/>
          <w:szCs w:val="20"/>
          <w:lang w:val="en"/>
        </w:rPr>
        <w:t xml:space="preserve"> the rights protected in </w:t>
      </w:r>
      <w:r w:rsidR="00FB2919" w:rsidRPr="008B037A">
        <w:rPr>
          <w:rFonts w:ascii="Cambria" w:hAnsi="Cambria"/>
          <w:sz w:val="20"/>
          <w:szCs w:val="20"/>
          <w:lang w:val="en"/>
        </w:rPr>
        <w:t>A</w:t>
      </w:r>
      <w:r w:rsidR="00675252" w:rsidRPr="008B037A">
        <w:rPr>
          <w:rFonts w:ascii="Cambria" w:hAnsi="Cambria"/>
          <w:sz w:val="20"/>
          <w:szCs w:val="20"/>
          <w:lang w:val="en"/>
        </w:rPr>
        <w:t xml:space="preserve">rticles 5, 8, </w:t>
      </w:r>
      <w:r w:rsidR="00FB2919" w:rsidRPr="008B037A">
        <w:rPr>
          <w:rFonts w:ascii="Cambria" w:hAnsi="Cambria"/>
          <w:sz w:val="20"/>
          <w:szCs w:val="20"/>
          <w:lang w:val="en"/>
        </w:rPr>
        <w:t xml:space="preserve">24 </w:t>
      </w:r>
      <w:r w:rsidR="00675252" w:rsidRPr="008B037A">
        <w:rPr>
          <w:rFonts w:ascii="Cambria" w:hAnsi="Cambria"/>
          <w:sz w:val="20"/>
          <w:szCs w:val="20"/>
          <w:lang w:val="en"/>
        </w:rPr>
        <w:t>and 25 of the American Convention</w:t>
      </w:r>
      <w:r w:rsidR="00675252" w:rsidRPr="008B037A">
        <w:rPr>
          <w:rFonts w:asciiTheme="majorHAnsi" w:hAnsiTheme="majorHAnsi"/>
          <w:sz w:val="20"/>
          <w:szCs w:val="20"/>
          <w:lang w:val="en"/>
        </w:rPr>
        <w:t xml:space="preserve">, </w:t>
      </w:r>
      <w:r w:rsidR="00FB2919" w:rsidRPr="008B037A">
        <w:rPr>
          <w:rFonts w:asciiTheme="majorHAnsi" w:hAnsiTheme="majorHAnsi"/>
          <w:sz w:val="20"/>
          <w:szCs w:val="20"/>
          <w:lang w:val="en"/>
        </w:rPr>
        <w:t xml:space="preserve">in relation to </w:t>
      </w:r>
      <w:r w:rsidR="00C64F27" w:rsidRPr="008B037A">
        <w:rPr>
          <w:rFonts w:asciiTheme="majorHAnsi" w:hAnsiTheme="majorHAnsi"/>
          <w:sz w:val="20"/>
          <w:szCs w:val="20"/>
          <w:lang w:val="en"/>
        </w:rPr>
        <w:t>A</w:t>
      </w:r>
      <w:r w:rsidR="00675252" w:rsidRPr="008B037A">
        <w:rPr>
          <w:rFonts w:asciiTheme="majorHAnsi" w:hAnsiTheme="majorHAnsi"/>
          <w:sz w:val="20"/>
          <w:szCs w:val="20"/>
          <w:lang w:val="en"/>
        </w:rPr>
        <w:t>rticles 1(1) and 2 thereof</w:t>
      </w:r>
      <w:r w:rsidR="00FB2919" w:rsidRPr="008B037A">
        <w:rPr>
          <w:rFonts w:asciiTheme="majorHAnsi" w:hAnsiTheme="majorHAnsi"/>
          <w:sz w:val="20"/>
          <w:szCs w:val="20"/>
          <w:lang w:val="en"/>
        </w:rPr>
        <w:t xml:space="preserve">, as well as </w:t>
      </w:r>
      <w:r w:rsidR="00675252" w:rsidRPr="008B037A">
        <w:rPr>
          <w:rFonts w:ascii="Cambria" w:hAnsi="Cambria"/>
          <w:sz w:val="20"/>
          <w:szCs w:val="20"/>
          <w:lang w:val="en"/>
        </w:rPr>
        <w:t>Article 7 of the Convention of Belém do Pará.</w:t>
      </w:r>
      <w:r w:rsidR="008B037A" w:rsidRPr="008B037A">
        <w:rPr>
          <w:rFonts w:ascii="Cambria" w:hAnsi="Cambria"/>
          <w:sz w:val="20"/>
          <w:szCs w:val="20"/>
          <w:lang w:val="en"/>
        </w:rPr>
        <w:t xml:space="preserve"> </w:t>
      </w:r>
      <w:r w:rsidR="00FB2919" w:rsidRPr="008B037A">
        <w:rPr>
          <w:rFonts w:ascii="Cambria" w:hAnsi="Cambria"/>
          <w:sz w:val="20"/>
          <w:szCs w:val="20"/>
          <w:lang w:val="en"/>
        </w:rPr>
        <w:t xml:space="preserve"> </w:t>
      </w:r>
      <w:r w:rsidR="00FB2919" w:rsidRPr="008B037A">
        <w:rPr>
          <w:sz w:val="20"/>
          <w:szCs w:val="20"/>
          <w:lang w:val="en"/>
        </w:rPr>
        <w:t xml:space="preserve">Regarding </w:t>
      </w:r>
      <w:r w:rsidR="00FB2919" w:rsidRPr="008B037A">
        <w:rPr>
          <w:rFonts w:ascii="Cambria" w:hAnsi="Cambria"/>
          <w:sz w:val="20"/>
          <w:szCs w:val="20"/>
          <w:lang w:val="en"/>
        </w:rPr>
        <w:t>B.B.A.B. specifically, the facts could represent a violation of Article 19</w:t>
      </w:r>
      <w:r w:rsidR="005872DD" w:rsidRPr="008B037A">
        <w:rPr>
          <w:rFonts w:ascii="Cambria" w:hAnsi="Cambria"/>
          <w:sz w:val="20"/>
          <w:szCs w:val="20"/>
          <w:lang w:val="en"/>
        </w:rPr>
        <w:t xml:space="preserve"> of the American Convention</w:t>
      </w:r>
      <w:r w:rsidR="00FB2919" w:rsidRPr="008B037A">
        <w:rPr>
          <w:rFonts w:ascii="Cambria" w:hAnsi="Cambria"/>
          <w:sz w:val="20"/>
          <w:szCs w:val="20"/>
          <w:lang w:val="en"/>
        </w:rPr>
        <w:t xml:space="preserve">. </w:t>
      </w:r>
      <w:r w:rsidR="00675252" w:rsidRPr="008B037A">
        <w:rPr>
          <w:rFonts w:ascii="Cambria" w:hAnsi="Cambria"/>
          <w:sz w:val="20"/>
          <w:szCs w:val="20"/>
          <w:lang w:val="en"/>
        </w:rPr>
        <w:t xml:space="preserve"> </w:t>
      </w:r>
    </w:p>
    <w:p w14:paraId="72369BF0" w14:textId="77777777" w:rsidR="00675252" w:rsidRPr="008B037A" w:rsidRDefault="00675252" w:rsidP="006752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Cambria" w:hAnsi="Cambria"/>
          <w:sz w:val="20"/>
          <w:szCs w:val="20"/>
          <w:lang w:val="en"/>
        </w:rPr>
        <w:t>Additionally, regarding the claim of alleged violation of Article 11 of the American Convention, the Commission observes that the petitioner has not submitted pleadings or sufficient evidence to support declaring that claim admissible.</w:t>
      </w:r>
    </w:p>
    <w:p w14:paraId="34092ECA" w14:textId="77777777" w:rsidR="00675252" w:rsidRPr="008B037A" w:rsidRDefault="00675252" w:rsidP="00675252">
      <w:pPr>
        <w:pStyle w:val="ListParagraph"/>
        <w:spacing w:before="240" w:after="240"/>
        <w:jc w:val="both"/>
        <w:rPr>
          <w:b/>
          <w:bCs/>
          <w:sz w:val="20"/>
          <w:szCs w:val="20"/>
        </w:rPr>
      </w:pPr>
      <w:r w:rsidRPr="008B037A">
        <w:rPr>
          <w:b/>
          <w:bCs/>
          <w:sz w:val="20"/>
          <w:szCs w:val="20"/>
          <w:lang w:val="en"/>
        </w:rPr>
        <w:t xml:space="preserve">VIII. </w:t>
      </w:r>
      <w:r w:rsidRPr="008B037A">
        <w:rPr>
          <w:sz w:val="20"/>
          <w:szCs w:val="20"/>
          <w:lang w:val="en"/>
        </w:rPr>
        <w:tab/>
      </w:r>
      <w:r w:rsidRPr="008B037A">
        <w:rPr>
          <w:b/>
          <w:bCs/>
          <w:sz w:val="20"/>
          <w:szCs w:val="20"/>
          <w:lang w:val="en"/>
        </w:rPr>
        <w:t>DECISION</w:t>
      </w:r>
    </w:p>
    <w:p w14:paraId="5F54C4BC" w14:textId="40464BF1" w:rsidR="00675252" w:rsidRPr="008B037A" w:rsidRDefault="00675252" w:rsidP="0067525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B037A">
        <w:rPr>
          <w:rFonts w:asciiTheme="majorHAnsi" w:hAnsiTheme="majorHAnsi"/>
          <w:sz w:val="20"/>
          <w:szCs w:val="20"/>
          <w:lang w:val="en"/>
        </w:rPr>
        <w:t xml:space="preserve">To find the instant petition admissible in relation to </w:t>
      </w:r>
      <w:r w:rsidR="00C64F27" w:rsidRPr="008B037A">
        <w:rPr>
          <w:rFonts w:asciiTheme="majorHAnsi" w:hAnsiTheme="majorHAnsi"/>
          <w:sz w:val="20"/>
          <w:szCs w:val="20"/>
          <w:lang w:val="en"/>
        </w:rPr>
        <w:t>A</w:t>
      </w:r>
      <w:r w:rsidRPr="008B037A">
        <w:rPr>
          <w:rFonts w:asciiTheme="majorHAnsi" w:hAnsiTheme="majorHAnsi"/>
          <w:sz w:val="20"/>
          <w:szCs w:val="20"/>
          <w:lang w:val="en"/>
        </w:rPr>
        <w:t xml:space="preserve">rticles 5, 8, 19, 24, and 25 of the American Convention, in relation to </w:t>
      </w:r>
      <w:r w:rsidR="00C64F27" w:rsidRPr="008B037A">
        <w:rPr>
          <w:rFonts w:asciiTheme="majorHAnsi" w:hAnsiTheme="majorHAnsi"/>
          <w:sz w:val="20"/>
          <w:szCs w:val="20"/>
          <w:lang w:val="en"/>
        </w:rPr>
        <w:t>A</w:t>
      </w:r>
      <w:r w:rsidRPr="008B037A">
        <w:rPr>
          <w:rFonts w:asciiTheme="majorHAnsi" w:hAnsiTheme="majorHAnsi"/>
          <w:sz w:val="20"/>
          <w:szCs w:val="20"/>
          <w:lang w:val="en"/>
        </w:rPr>
        <w:t xml:space="preserve">rticles 1(1) and 2 of the American Convention; and Article 7 of the Convention of Belém do Pará. </w:t>
      </w:r>
    </w:p>
    <w:p w14:paraId="520C59D4" w14:textId="77777777" w:rsidR="00675252" w:rsidRPr="008B037A" w:rsidRDefault="00675252" w:rsidP="0067525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037A">
        <w:rPr>
          <w:rFonts w:asciiTheme="majorHAnsi" w:hAnsiTheme="majorHAnsi"/>
          <w:sz w:val="20"/>
          <w:szCs w:val="20"/>
          <w:lang w:val="en"/>
        </w:rPr>
        <w:t>To find the instant petition inadmissible in relation to Article 11 of the American Convention on Human Rights; and</w:t>
      </w:r>
    </w:p>
    <w:p w14:paraId="3EDF0BAF" w14:textId="77777777" w:rsidR="00675252" w:rsidRPr="008B037A" w:rsidRDefault="00675252" w:rsidP="0067525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037A">
        <w:rPr>
          <w:rFonts w:asciiTheme="majorHAnsi" w:hAnsiTheme="majorHAnsi"/>
          <w:sz w:val="20"/>
          <w:szCs w:val="20"/>
          <w:lang w:val="en"/>
        </w:rPr>
        <w:t xml:space="preserve"> To notify the parties of this decision; and to publish this decision and include it in its Annual Report to the General Assembly of the Organization of American States.</w:t>
      </w:r>
    </w:p>
    <w:p w14:paraId="2122B46A" w14:textId="21D54503" w:rsidR="00C55560" w:rsidRPr="00145EDC" w:rsidRDefault="00F5189F" w:rsidP="00F5189F">
      <w:pPr>
        <w:suppressAutoHyphens/>
        <w:ind w:firstLine="720"/>
        <w:jc w:val="both"/>
        <w:rPr>
          <w:rFonts w:asciiTheme="majorHAnsi" w:hAnsiTheme="majorHAnsi"/>
          <w:sz w:val="20"/>
          <w:szCs w:val="20"/>
        </w:rPr>
      </w:pPr>
      <w:r>
        <w:rPr>
          <w:rFonts w:asciiTheme="majorHAnsi" w:hAnsiTheme="majorHAnsi"/>
          <w:sz w:val="20"/>
          <w:szCs w:val="20"/>
        </w:rPr>
        <w:t xml:space="preserve">Approved by the Inter-American Commission on Human Rights </w:t>
      </w:r>
      <w:r w:rsidRPr="000A496F">
        <w:rPr>
          <w:rFonts w:asciiTheme="majorHAnsi" w:hAnsiTheme="majorHAnsi"/>
          <w:sz w:val="20"/>
          <w:szCs w:val="20"/>
        </w:rPr>
        <w:t xml:space="preserve">in </w:t>
      </w:r>
      <w:r w:rsidR="0060553C">
        <w:rPr>
          <w:rFonts w:ascii="Cambria" w:hAnsi="Cambria"/>
          <w:spacing w:val="-2"/>
          <w:sz w:val="20"/>
        </w:rPr>
        <w:t>the city of Santo Domingo, Dominican Republic, on the 5</w:t>
      </w:r>
      <w:r w:rsidR="0060553C">
        <w:rPr>
          <w:rFonts w:ascii="Cambria" w:hAnsi="Cambria"/>
          <w:spacing w:val="-2"/>
          <w:sz w:val="20"/>
          <w:vertAlign w:val="superscript"/>
        </w:rPr>
        <w:t>th</w:t>
      </w:r>
      <w:r w:rsidR="0060553C">
        <w:rPr>
          <w:rFonts w:ascii="Cambria" w:hAnsi="Cambria"/>
          <w:spacing w:val="-2"/>
          <w:sz w:val="20"/>
        </w:rPr>
        <w:t xml:space="preserve"> day of the month of May, 2018. (Signed):  </w:t>
      </w:r>
      <w:r w:rsidR="0060553C">
        <w:rPr>
          <w:rFonts w:asciiTheme="majorHAnsi" w:hAnsiTheme="majorHAnsi"/>
          <w:sz w:val="20"/>
          <w:szCs w:val="20"/>
        </w:rPr>
        <w:t xml:space="preserve">Margarette May Macaulay, President; Esmeralda E. Arosemena Bernal de Troitiño, First Vice President; Luis Ernesto Vargas Silva, Second Vice President; </w:t>
      </w:r>
      <w:r w:rsidR="0060553C" w:rsidRPr="00D32060">
        <w:rPr>
          <w:rFonts w:asciiTheme="majorHAnsi" w:hAnsiTheme="majorHAnsi"/>
          <w:sz w:val="20"/>
          <w:szCs w:val="20"/>
        </w:rPr>
        <w:t>Francisco José Eguiguren Praeli</w:t>
      </w:r>
      <w:r w:rsidR="0060553C">
        <w:rPr>
          <w:rFonts w:asciiTheme="majorHAnsi" w:hAnsiTheme="majorHAnsi"/>
          <w:sz w:val="20"/>
          <w:szCs w:val="20"/>
        </w:rPr>
        <w:t xml:space="preserve">, </w:t>
      </w:r>
      <w:r w:rsidR="0060553C" w:rsidRPr="00D32060">
        <w:rPr>
          <w:rFonts w:asciiTheme="majorHAnsi" w:hAnsiTheme="majorHAnsi"/>
          <w:sz w:val="20"/>
          <w:szCs w:val="20"/>
        </w:rPr>
        <w:t>Joel Hernández García</w:t>
      </w:r>
      <w:r w:rsidR="0060553C">
        <w:rPr>
          <w:rFonts w:asciiTheme="majorHAnsi" w:hAnsiTheme="majorHAnsi"/>
          <w:sz w:val="20"/>
          <w:szCs w:val="20"/>
        </w:rPr>
        <w:t xml:space="preserve">, and </w:t>
      </w:r>
      <w:proofErr w:type="spellStart"/>
      <w:r w:rsidR="0060553C">
        <w:rPr>
          <w:rFonts w:asciiTheme="majorHAnsi" w:hAnsiTheme="majorHAnsi"/>
          <w:sz w:val="20"/>
          <w:szCs w:val="20"/>
        </w:rPr>
        <w:t>Flávia</w:t>
      </w:r>
      <w:proofErr w:type="spellEnd"/>
      <w:r w:rsidR="0060553C">
        <w:rPr>
          <w:rFonts w:asciiTheme="majorHAnsi" w:hAnsiTheme="majorHAnsi"/>
          <w:sz w:val="20"/>
          <w:szCs w:val="20"/>
        </w:rPr>
        <w:t xml:space="preserve"> </w:t>
      </w:r>
      <w:proofErr w:type="spellStart"/>
      <w:r w:rsidR="0060553C">
        <w:rPr>
          <w:rFonts w:asciiTheme="majorHAnsi" w:hAnsiTheme="majorHAnsi"/>
          <w:sz w:val="20"/>
          <w:szCs w:val="20"/>
        </w:rPr>
        <w:t>Piovesan</w:t>
      </w:r>
      <w:proofErr w:type="spellEnd"/>
      <w:r w:rsidR="0060553C">
        <w:rPr>
          <w:rFonts w:asciiTheme="majorHAnsi" w:hAnsiTheme="majorHAnsi"/>
          <w:sz w:val="20"/>
          <w:szCs w:val="20"/>
        </w:rPr>
        <w:t>,</w:t>
      </w:r>
      <w:r w:rsidR="0060553C">
        <w:rPr>
          <w:rFonts w:ascii="Cambria" w:hAnsi="Cambria" w:cs="Arial"/>
          <w:noProof/>
          <w:spacing w:val="-2"/>
          <w:sz w:val="20"/>
        </w:rPr>
        <w:t xml:space="preserve"> </w:t>
      </w:r>
      <w:r w:rsidR="0060553C">
        <w:rPr>
          <w:rFonts w:ascii="Cambria" w:hAnsi="Cambria"/>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D3447" w14:textId="77777777" w:rsidR="006C5107" w:rsidRDefault="006C5107" w:rsidP="00036A8A">
      <w:r>
        <w:separator/>
      </w:r>
    </w:p>
  </w:endnote>
  <w:endnote w:type="continuationSeparator" w:id="0">
    <w:p w14:paraId="656FA876" w14:textId="77777777" w:rsidR="006C5107" w:rsidRDefault="006C510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F2F2" w14:textId="77777777" w:rsidR="004E450F" w:rsidRDefault="004E4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E450F">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37473" w14:textId="77777777" w:rsidR="006C5107" w:rsidRPr="00036A8A" w:rsidRDefault="006C510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4A2C320" w14:textId="77777777" w:rsidR="006C5107" w:rsidRPr="00036A8A" w:rsidRDefault="006C5107" w:rsidP="00036A8A">
      <w:pPr>
        <w:rPr>
          <w:rFonts w:asciiTheme="majorHAnsi" w:hAnsiTheme="majorHAnsi"/>
          <w:sz w:val="16"/>
          <w:szCs w:val="16"/>
        </w:rPr>
      </w:pPr>
      <w:r w:rsidRPr="00036A8A">
        <w:rPr>
          <w:rFonts w:asciiTheme="majorHAnsi" w:hAnsiTheme="majorHAnsi"/>
          <w:sz w:val="16"/>
          <w:szCs w:val="16"/>
        </w:rPr>
        <w:separator/>
      </w:r>
    </w:p>
    <w:p w14:paraId="53249FAE" w14:textId="77777777" w:rsidR="006C5107" w:rsidRPr="00036A8A" w:rsidRDefault="006C510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26D89EC" w14:textId="77777777" w:rsidR="006C5107" w:rsidRPr="0093441A" w:rsidRDefault="006C510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FC73C0D" w14:textId="77777777" w:rsidR="00675252" w:rsidRPr="00030BAA" w:rsidRDefault="00675252" w:rsidP="0067525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Style w:val="FootnoteReference"/>
          <w:rFonts w:asciiTheme="majorHAnsi" w:hAnsiTheme="majorHAnsi"/>
          <w:sz w:val="16"/>
          <w:szCs w:val="16"/>
          <w:lang w:val="en"/>
        </w:rPr>
        <w:t xml:space="preserve"> </w:t>
      </w:r>
      <w:r>
        <w:rPr>
          <w:rFonts w:asciiTheme="majorHAnsi" w:hAnsiTheme="majorHAnsi"/>
          <w:sz w:val="16"/>
          <w:szCs w:val="16"/>
          <w:lang w:val="en"/>
        </w:rPr>
        <w:t xml:space="preserve">The petitioner asks that the alleged victim’s identity be kept confidential because she was a child at the time the petition was submitted. </w:t>
      </w:r>
    </w:p>
  </w:footnote>
  <w:footnote w:id="3">
    <w:p w14:paraId="1957B75C" w14:textId="77777777" w:rsidR="00675252" w:rsidRPr="00030BAA" w:rsidRDefault="00675252" w:rsidP="0067525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Commissioner Antonia Urrejola, of Chilean nationality, did not participate in the deliberations nor in the decision in this case, in keeping with the provisions of Article 17(2</w:t>
      </w:r>
      <w:proofErr w:type="gramStart"/>
      <w:r>
        <w:rPr>
          <w:rFonts w:asciiTheme="majorHAnsi" w:hAnsiTheme="majorHAnsi"/>
          <w:sz w:val="16"/>
          <w:szCs w:val="16"/>
          <w:lang w:val="en"/>
        </w:rPr>
        <w:t>)(</w:t>
      </w:r>
      <w:proofErr w:type="gramEnd"/>
      <w:r>
        <w:rPr>
          <w:rFonts w:asciiTheme="majorHAnsi" w:hAnsiTheme="majorHAnsi"/>
          <w:sz w:val="16"/>
          <w:szCs w:val="16"/>
          <w:lang w:val="en"/>
        </w:rPr>
        <w:t>a) of the Rules of Procedure of the Commission.</w:t>
      </w:r>
    </w:p>
  </w:footnote>
  <w:footnote w:id="4">
    <w:p w14:paraId="552208FB" w14:textId="77777777" w:rsidR="00675252" w:rsidRPr="00030BAA" w:rsidRDefault="00675252" w:rsidP="0067525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“American Convention” or the “Convention.” </w:t>
      </w:r>
    </w:p>
  </w:footnote>
  <w:footnote w:id="5">
    <w:p w14:paraId="15BF66BE" w14:textId="77777777" w:rsidR="00675252" w:rsidRPr="00AF2BEB" w:rsidRDefault="00675252" w:rsidP="0067525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comments of each party were duly forwarded to the counter-party.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C510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7774" w14:textId="77777777" w:rsidR="004E450F" w:rsidRDefault="004E4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1FBA"/>
    <w:rsid w:val="000639C0"/>
    <w:rsid w:val="00070F3A"/>
    <w:rsid w:val="000716C5"/>
    <w:rsid w:val="00075E23"/>
    <w:rsid w:val="000833AF"/>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93599"/>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9551D"/>
    <w:rsid w:val="004B2762"/>
    <w:rsid w:val="004B7EB6"/>
    <w:rsid w:val="004C41DE"/>
    <w:rsid w:val="004C4B62"/>
    <w:rsid w:val="004D6025"/>
    <w:rsid w:val="004D72BC"/>
    <w:rsid w:val="004E450F"/>
    <w:rsid w:val="004F6B67"/>
    <w:rsid w:val="00501399"/>
    <w:rsid w:val="00507BC4"/>
    <w:rsid w:val="005128E4"/>
    <w:rsid w:val="00525560"/>
    <w:rsid w:val="005357A6"/>
    <w:rsid w:val="00544C49"/>
    <w:rsid w:val="0057402A"/>
    <w:rsid w:val="005771D0"/>
    <w:rsid w:val="005816E5"/>
    <w:rsid w:val="005872DD"/>
    <w:rsid w:val="0059191A"/>
    <w:rsid w:val="005921FF"/>
    <w:rsid w:val="00592718"/>
    <w:rsid w:val="005A6D0E"/>
    <w:rsid w:val="005B222D"/>
    <w:rsid w:val="005B52B0"/>
    <w:rsid w:val="005B6806"/>
    <w:rsid w:val="005C00F9"/>
    <w:rsid w:val="005C4225"/>
    <w:rsid w:val="005F0F33"/>
    <w:rsid w:val="00600DEB"/>
    <w:rsid w:val="0060553C"/>
    <w:rsid w:val="00613027"/>
    <w:rsid w:val="00627C9F"/>
    <w:rsid w:val="006311DA"/>
    <w:rsid w:val="006311E9"/>
    <w:rsid w:val="006318B2"/>
    <w:rsid w:val="00632354"/>
    <w:rsid w:val="00642810"/>
    <w:rsid w:val="00652333"/>
    <w:rsid w:val="00653EA6"/>
    <w:rsid w:val="00675252"/>
    <w:rsid w:val="0068009E"/>
    <w:rsid w:val="00694D4F"/>
    <w:rsid w:val="006A17D2"/>
    <w:rsid w:val="006A73E6"/>
    <w:rsid w:val="006B2D5C"/>
    <w:rsid w:val="006C4EB1"/>
    <w:rsid w:val="006C5107"/>
    <w:rsid w:val="006D4707"/>
    <w:rsid w:val="006E0166"/>
    <w:rsid w:val="006E7B34"/>
    <w:rsid w:val="00701B24"/>
    <w:rsid w:val="007071C8"/>
    <w:rsid w:val="0071495F"/>
    <w:rsid w:val="0073798E"/>
    <w:rsid w:val="00745899"/>
    <w:rsid w:val="007607C4"/>
    <w:rsid w:val="0076643F"/>
    <w:rsid w:val="00781653"/>
    <w:rsid w:val="007A2F70"/>
    <w:rsid w:val="007C3334"/>
    <w:rsid w:val="007C52BB"/>
    <w:rsid w:val="007D2B98"/>
    <w:rsid w:val="007D6A38"/>
    <w:rsid w:val="00803F1C"/>
    <w:rsid w:val="0080600E"/>
    <w:rsid w:val="0081576E"/>
    <w:rsid w:val="00817612"/>
    <w:rsid w:val="00837C45"/>
    <w:rsid w:val="00850C61"/>
    <w:rsid w:val="00853419"/>
    <w:rsid w:val="00897E12"/>
    <w:rsid w:val="008B037A"/>
    <w:rsid w:val="008D43BA"/>
    <w:rsid w:val="008E3759"/>
    <w:rsid w:val="009041DC"/>
    <w:rsid w:val="009104B4"/>
    <w:rsid w:val="009228DA"/>
    <w:rsid w:val="00925FCD"/>
    <w:rsid w:val="0093441A"/>
    <w:rsid w:val="00954BF7"/>
    <w:rsid w:val="0096706E"/>
    <w:rsid w:val="00981FBA"/>
    <w:rsid w:val="009B381B"/>
    <w:rsid w:val="009B3B15"/>
    <w:rsid w:val="009B5CBE"/>
    <w:rsid w:val="009C5ECF"/>
    <w:rsid w:val="009D7611"/>
    <w:rsid w:val="009E53DE"/>
    <w:rsid w:val="009E566A"/>
    <w:rsid w:val="00A12DBC"/>
    <w:rsid w:val="00A43458"/>
    <w:rsid w:val="00A528D1"/>
    <w:rsid w:val="00A52A92"/>
    <w:rsid w:val="00A56FA2"/>
    <w:rsid w:val="00A66BE5"/>
    <w:rsid w:val="00AC0FA0"/>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0A41"/>
    <w:rsid w:val="00C21762"/>
    <w:rsid w:val="00C24543"/>
    <w:rsid w:val="00C256A2"/>
    <w:rsid w:val="00C3492D"/>
    <w:rsid w:val="00C55560"/>
    <w:rsid w:val="00C64F27"/>
    <w:rsid w:val="00C66B72"/>
    <w:rsid w:val="00C9567A"/>
    <w:rsid w:val="00CA6577"/>
    <w:rsid w:val="00CB2660"/>
    <w:rsid w:val="00CC5E90"/>
    <w:rsid w:val="00CD046C"/>
    <w:rsid w:val="00CE5199"/>
    <w:rsid w:val="00CE66D5"/>
    <w:rsid w:val="00CF582A"/>
    <w:rsid w:val="00D34786"/>
    <w:rsid w:val="00D40A1E"/>
    <w:rsid w:val="00D533C0"/>
    <w:rsid w:val="00D712D3"/>
    <w:rsid w:val="00D71422"/>
    <w:rsid w:val="00D7145E"/>
    <w:rsid w:val="00D75084"/>
    <w:rsid w:val="00D7558D"/>
    <w:rsid w:val="00D77936"/>
    <w:rsid w:val="00D81D92"/>
    <w:rsid w:val="00D93446"/>
    <w:rsid w:val="00DA7B5F"/>
    <w:rsid w:val="00DC3F1A"/>
    <w:rsid w:val="00DF078B"/>
    <w:rsid w:val="00DF350D"/>
    <w:rsid w:val="00E227C1"/>
    <w:rsid w:val="00E37639"/>
    <w:rsid w:val="00E43157"/>
    <w:rsid w:val="00E47F3D"/>
    <w:rsid w:val="00E51ED1"/>
    <w:rsid w:val="00E533FF"/>
    <w:rsid w:val="00E709B3"/>
    <w:rsid w:val="00E7588C"/>
    <w:rsid w:val="00E850B6"/>
    <w:rsid w:val="00E8789F"/>
    <w:rsid w:val="00E9445C"/>
    <w:rsid w:val="00E97B71"/>
    <w:rsid w:val="00EB33DA"/>
    <w:rsid w:val="00EB454D"/>
    <w:rsid w:val="00EB6675"/>
    <w:rsid w:val="00EC7C34"/>
    <w:rsid w:val="00ED0D1B"/>
    <w:rsid w:val="00ED5C14"/>
    <w:rsid w:val="00EE3522"/>
    <w:rsid w:val="00EF619B"/>
    <w:rsid w:val="00F00B55"/>
    <w:rsid w:val="00F1380F"/>
    <w:rsid w:val="00F14F0E"/>
    <w:rsid w:val="00F15A3B"/>
    <w:rsid w:val="00F24C29"/>
    <w:rsid w:val="00F253CC"/>
    <w:rsid w:val="00F333FE"/>
    <w:rsid w:val="00F42B71"/>
    <w:rsid w:val="00F5189F"/>
    <w:rsid w:val="00F56BA5"/>
    <w:rsid w:val="00F621C3"/>
    <w:rsid w:val="00F644E6"/>
    <w:rsid w:val="00F92FB5"/>
    <w:rsid w:val="00F95120"/>
    <w:rsid w:val="00F9653B"/>
    <w:rsid w:val="00FA2FCA"/>
    <w:rsid w:val="00FB047A"/>
    <w:rsid w:val="00FB2919"/>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67525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2542C5233B4CC49FFCDC6FADA25C9E"/>
        <w:category>
          <w:name w:val="General"/>
          <w:gallery w:val="placeholder"/>
        </w:category>
        <w:types>
          <w:type w:val="bbPlcHdr"/>
        </w:types>
        <w:behaviors>
          <w:behavior w:val="content"/>
        </w:behaviors>
        <w:guid w:val="{77CB69BD-21A6-499D-A08B-0DF17F6FC2B6}"/>
      </w:docPartPr>
      <w:docPartBody>
        <w:p w:rsidR="000A5C0C" w:rsidRDefault="002E5D46" w:rsidP="002E5D46">
          <w:pPr>
            <w:pStyle w:val="A32542C5233B4CC49FFCDC6FADA25C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5C0C"/>
    <w:rsid w:val="002E5D46"/>
    <w:rsid w:val="004108B1"/>
    <w:rsid w:val="00680317"/>
    <w:rsid w:val="00833199"/>
    <w:rsid w:val="008544A5"/>
    <w:rsid w:val="0087037D"/>
    <w:rsid w:val="00AB44F1"/>
    <w:rsid w:val="00BB08A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D46"/>
    <w:rPr>
      <w:color w:val="808080"/>
    </w:rPr>
  </w:style>
  <w:style w:type="paragraph" w:customStyle="1" w:styleId="4DBB5F3FC358F64B9E5EFB773263C7D2">
    <w:name w:val="4DBB5F3FC358F64B9E5EFB773263C7D2"/>
    <w:rsid w:val="00AB44F1"/>
  </w:style>
  <w:style w:type="paragraph" w:customStyle="1" w:styleId="A32542C5233B4CC49FFCDC6FADA25C9E">
    <w:name w:val="A32542C5233B4CC49FFCDC6FADA25C9E"/>
    <w:rsid w:val="002E5D46"/>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E0BC-6F66-4BCA-BCE9-CC72F762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13362</Characters>
  <Application>Microsoft Office Word</Application>
  <DocSecurity>0</DocSecurity>
  <Lines>238</Lines>
  <Paragraphs>63</Paragraphs>
  <ScaleCrop>false</ScaleCrop>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59/18</dc:title>
  <dc:creator/>
  <cp:lastModifiedBy/>
  <cp:revision>1</cp:revision>
  <dcterms:created xsi:type="dcterms:W3CDTF">2018-09-12T20:09:00Z</dcterms:created>
  <dcterms:modified xsi:type="dcterms:W3CDTF">2018-09-12T20:09:00Z</dcterms:modified>
</cp:coreProperties>
</file>