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0D" w:rsidRPr="00D403CE" w:rsidRDefault="00C07B77" w:rsidP="008677A9">
      <w:pPr>
        <w:jc w:val="both"/>
        <w:rPr>
          <w:rFonts w:ascii="Cambria" w:hAnsi="Cambria" w:cs="Cambria"/>
          <w:b/>
          <w:bCs/>
          <w:sz w:val="22"/>
          <w:szCs w:val="22"/>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-371475</wp:posOffset>
                </wp:positionV>
                <wp:extent cx="4486275" cy="10572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710D" w:rsidRPr="00D403CE" w:rsidRDefault="00C07B77" w:rsidP="00D403CE">
                            <w:r>
                              <w:rPr>
                                <w:noProof/>
                              </w:rPr>
                              <w:drawing>
                                <wp:inline distT="0" distB="0" distL="0" distR="0">
                                  <wp:extent cx="2800350" cy="5334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" filled="f" stroked="f" strokeweight=".5pt">
                <v:textbox>
                  <w:txbxContent>
                    <w:p w:rsidR="001A710D" w:rsidRPr="00D403CE" w:rsidRDefault="00C07B77" w:rsidP="00D403CE">
                      <w:r>
                        <w:rPr>
                          <w:noProof/>
                        </w:rPr>
                        <w:drawing>
                          <wp:inline distT="0" distB="0" distL="0" distR="0">
                            <wp:extent cx="2800350" cy="5334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-356235</wp:posOffset>
                </wp:positionV>
                <wp:extent cx="1409700" cy="8977630"/>
                <wp:effectExtent l="3175"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A533EF" id="Rectangle 1" o:spid="_x0000_s1026" style="position:absolute;margin-left:-32.75pt;margin-top:-28.05pt;width:111pt;height:70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" fillcolor="#67ae3c" stroked="f" strokeweight="2pt"/>
            </w:pict>
          </mc:Fallback>
        </mc:AlternateContent>
      </w:r>
    </w:p>
    <w:p w:rsidR="001A710D" w:rsidRPr="00D403CE" w:rsidRDefault="001A710D" w:rsidP="008677A9">
      <w:pPr>
        <w:tabs>
          <w:tab w:val="center" w:pos="5400"/>
        </w:tabs>
        <w:suppressAutoHyphens/>
        <w:jc w:val="both"/>
        <w:rPr>
          <w:rFonts w:ascii="Cambria" w:hAnsi="Cambria" w:cs="Cambria"/>
          <w:sz w:val="22"/>
          <w:szCs w:val="22"/>
        </w:rPr>
      </w:pPr>
    </w:p>
    <w:p w:rsidR="001A710D" w:rsidRPr="00D403CE" w:rsidRDefault="001A710D" w:rsidP="008677A9">
      <w:pPr>
        <w:tabs>
          <w:tab w:val="center" w:pos="5400"/>
        </w:tabs>
        <w:suppressAutoHyphens/>
        <w:jc w:val="both"/>
        <w:rPr>
          <w:rFonts w:ascii="Cambria" w:hAnsi="Cambria" w:cs="Cambria"/>
          <w:sz w:val="22"/>
          <w:szCs w:val="22"/>
        </w:rPr>
      </w:pPr>
    </w:p>
    <w:p w:rsidR="001A710D" w:rsidRPr="00D403CE" w:rsidRDefault="001A710D" w:rsidP="008677A9">
      <w:pPr>
        <w:tabs>
          <w:tab w:val="center" w:pos="5400"/>
        </w:tabs>
        <w:suppressAutoHyphens/>
        <w:rPr>
          <w:rFonts w:ascii="Cambria" w:hAnsi="Cambria" w:cs="Cambria"/>
          <w:sz w:val="22"/>
          <w:szCs w:val="22"/>
        </w:rPr>
      </w:pPr>
    </w:p>
    <w:p w:rsidR="001A710D" w:rsidRPr="00D403CE" w:rsidRDefault="001A710D" w:rsidP="008677A9">
      <w:pPr>
        <w:tabs>
          <w:tab w:val="center" w:pos="5400"/>
        </w:tabs>
        <w:suppressAutoHyphens/>
        <w:rPr>
          <w:rFonts w:ascii="Cambria" w:hAnsi="Cambria" w:cs="Cambria"/>
          <w:sz w:val="22"/>
          <w:szCs w:val="22"/>
        </w:rPr>
      </w:pPr>
    </w:p>
    <w:p w:rsidR="001A710D" w:rsidRPr="00D403CE" w:rsidRDefault="001A710D" w:rsidP="008677A9">
      <w:pPr>
        <w:tabs>
          <w:tab w:val="center" w:pos="5400"/>
        </w:tabs>
        <w:suppressAutoHyphens/>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C07B77" w:rsidP="008677A9">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1209675</wp:posOffset>
                </wp:positionH>
                <wp:positionV relativeFrom="paragraph">
                  <wp:posOffset>79375</wp:posOffset>
                </wp:positionV>
                <wp:extent cx="4333875" cy="2350770"/>
                <wp:effectExtent l="0"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710D" w:rsidRPr="00995A67" w:rsidRDefault="001A710D" w:rsidP="008677A9">
                            <w:pPr>
                              <w:spacing w:line="276" w:lineRule="auto"/>
                              <w:rPr>
                                <w:rFonts w:ascii="Cambria" w:hAnsi="Cambria" w:cs="Cambria"/>
                                <w:b/>
                                <w:bCs/>
                                <w:noProof/>
                                <w:color w:val="0D0D0D"/>
                                <w:sz w:val="36"/>
                                <w:szCs w:val="36"/>
                              </w:rPr>
                            </w:pPr>
                            <w:r w:rsidRPr="00995A67">
                              <w:rPr>
                                <w:rFonts w:ascii="Cambria" w:hAnsi="Cambria" w:cs="Cambria"/>
                                <w:b/>
                                <w:bCs/>
                                <w:noProof/>
                                <w:color w:val="0D0D0D"/>
                                <w:sz w:val="36"/>
                                <w:szCs w:val="36"/>
                              </w:rPr>
                              <w:t xml:space="preserve">REPORT No. </w:t>
                            </w:r>
                            <w:r w:rsidR="00E97820">
                              <w:rPr>
                                <w:rFonts w:ascii="Cambria" w:hAnsi="Cambria" w:cs="Cambria"/>
                                <w:b/>
                                <w:bCs/>
                                <w:noProof/>
                                <w:color w:val="0D0D0D"/>
                                <w:sz w:val="36"/>
                                <w:szCs w:val="36"/>
                              </w:rPr>
                              <w:t>72</w:t>
                            </w:r>
                            <w:r w:rsidRPr="00995A67">
                              <w:rPr>
                                <w:rFonts w:ascii="Cambria" w:hAnsi="Cambria" w:cs="Cambria"/>
                                <w:b/>
                                <w:bCs/>
                                <w:noProof/>
                                <w:color w:val="0D0D0D"/>
                                <w:sz w:val="36"/>
                                <w:szCs w:val="36"/>
                              </w:rPr>
                              <w:t>/18</w:t>
                            </w:r>
                          </w:p>
                          <w:p w:rsidR="001A710D" w:rsidRPr="00995A67" w:rsidRDefault="001A710D" w:rsidP="008677A9">
                            <w:pPr>
                              <w:spacing w:line="276" w:lineRule="auto"/>
                              <w:rPr>
                                <w:rFonts w:ascii="Cambria" w:hAnsi="Cambria" w:cs="Cambria"/>
                                <w:b/>
                                <w:bCs/>
                                <w:noProof/>
                                <w:color w:val="0D0D0D"/>
                                <w:sz w:val="36"/>
                                <w:szCs w:val="36"/>
                              </w:rPr>
                            </w:pPr>
                            <w:r w:rsidRPr="00995A67">
                              <w:rPr>
                                <w:rFonts w:ascii="Cambria" w:hAnsi="Cambria" w:cs="Cambria"/>
                                <w:b/>
                                <w:bCs/>
                                <w:noProof/>
                                <w:color w:val="0D0D0D"/>
                                <w:sz w:val="36"/>
                                <w:szCs w:val="36"/>
                              </w:rPr>
                              <w:t>PETITION 1131-08</w:t>
                            </w:r>
                          </w:p>
                          <w:p w:rsidR="001A710D" w:rsidRPr="00995A67" w:rsidRDefault="001A710D" w:rsidP="008677A9">
                            <w:pPr>
                              <w:spacing w:line="276" w:lineRule="auto"/>
                              <w:rPr>
                                <w:rFonts w:ascii="Cambria" w:hAnsi="Cambria" w:cs="Cambria"/>
                                <w:noProof/>
                                <w:color w:val="0D0D0D"/>
                              </w:rPr>
                            </w:pPr>
                            <w:r w:rsidRPr="00995A67">
                              <w:rPr>
                                <w:rFonts w:ascii="Cambria" w:hAnsi="Cambria" w:cs="Cambria"/>
                                <w:noProof/>
                                <w:color w:val="0D0D0D"/>
                              </w:rPr>
                              <w:t xml:space="preserve">REPORT ON ADMISSIBILITY </w:t>
                            </w:r>
                          </w:p>
                          <w:p w:rsidR="001A710D" w:rsidRPr="00995A67" w:rsidRDefault="001A710D" w:rsidP="008677A9">
                            <w:pPr>
                              <w:spacing w:line="276" w:lineRule="auto"/>
                              <w:rPr>
                                <w:rFonts w:ascii="Cambria" w:hAnsi="Cambria" w:cs="Cambria"/>
                                <w:noProof/>
                                <w:color w:val="0D0D0D"/>
                              </w:rPr>
                            </w:pPr>
                          </w:p>
                          <w:p w:rsidR="001A710D" w:rsidRPr="00C07B77" w:rsidRDefault="001A710D" w:rsidP="008677A9">
                            <w:pPr>
                              <w:spacing w:line="276" w:lineRule="auto"/>
                              <w:rPr>
                                <w:rFonts w:ascii="Cambria" w:hAnsi="Cambria" w:cs="Cambria"/>
                                <w:noProof/>
                                <w:color w:val="0D0D0D"/>
                                <w:lang w:val="pt-BR"/>
                              </w:rPr>
                            </w:pPr>
                            <w:r w:rsidRPr="00C07B77">
                              <w:rPr>
                                <w:rFonts w:ascii="Cambria" w:hAnsi="Cambria" w:cs="Cambria"/>
                                <w:noProof/>
                                <w:color w:val="0D0D0D"/>
                                <w:lang w:val="pt-BR"/>
                              </w:rPr>
                              <w:t>MOISÉS DE JESÚS HERNÁNDEZ PINTO AND FAMILY</w:t>
                            </w:r>
                          </w:p>
                          <w:p w:rsidR="001A710D" w:rsidRPr="00995A67" w:rsidRDefault="001A710D" w:rsidP="008677A9">
                            <w:pPr>
                              <w:spacing w:line="276" w:lineRule="auto"/>
                              <w:rPr>
                                <w:rFonts w:ascii="Cambria" w:hAnsi="Cambria" w:cs="Cambria"/>
                                <w:noProof/>
                                <w:color w:val="0D0D0D"/>
                              </w:rPr>
                            </w:pPr>
                            <w:smartTag w:uri="urn:schemas-microsoft-com:office:smarttags" w:element="place">
                              <w:smartTag w:uri="urn:schemas-microsoft-com:office:smarttags" w:element="country-region">
                                <w:r w:rsidRPr="00995A67">
                                  <w:rPr>
                                    <w:rFonts w:ascii="Cambria" w:hAnsi="Cambria" w:cs="Cambria"/>
                                    <w:noProof/>
                                    <w:color w:val="0D0D0D"/>
                                  </w:rPr>
                                  <w:t>GUATEMALA</w:t>
                                </w:r>
                              </w:smartTag>
                            </w:smartTag>
                          </w:p>
                          <w:p w:rsidR="001A710D" w:rsidRPr="00995A67" w:rsidRDefault="001A710D" w:rsidP="008677A9">
                            <w:pPr>
                              <w:spacing w:line="276" w:lineRule="auto"/>
                              <w:rPr>
                                <w:rFonts w:ascii="Cambria" w:hAnsi="Cambria" w:cs="Cambria"/>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5.25pt;margin-top:6.25pt;width:341.25pt;height:18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" filled="f" stroked="f" strokeweight=".5pt">
                <v:textbox>
                  <w:txbxContent>
                    <w:p w:rsidR="001A710D" w:rsidRPr="00995A67" w:rsidRDefault="001A710D" w:rsidP="008677A9">
                      <w:pPr>
                        <w:spacing w:line="276" w:lineRule="auto"/>
                        <w:rPr>
                          <w:rFonts w:ascii="Cambria" w:hAnsi="Cambria" w:cs="Cambria"/>
                          <w:b/>
                          <w:bCs/>
                          <w:noProof/>
                          <w:color w:val="0D0D0D"/>
                          <w:sz w:val="36"/>
                          <w:szCs w:val="36"/>
                        </w:rPr>
                      </w:pPr>
                      <w:r w:rsidRPr="00995A67">
                        <w:rPr>
                          <w:rFonts w:ascii="Cambria" w:hAnsi="Cambria" w:cs="Cambria"/>
                          <w:b/>
                          <w:bCs/>
                          <w:noProof/>
                          <w:color w:val="0D0D0D"/>
                          <w:sz w:val="36"/>
                          <w:szCs w:val="36"/>
                        </w:rPr>
                        <w:t xml:space="preserve">REPORT No. </w:t>
                      </w:r>
                      <w:r w:rsidR="00E97820">
                        <w:rPr>
                          <w:rFonts w:ascii="Cambria" w:hAnsi="Cambria" w:cs="Cambria"/>
                          <w:b/>
                          <w:bCs/>
                          <w:noProof/>
                          <w:color w:val="0D0D0D"/>
                          <w:sz w:val="36"/>
                          <w:szCs w:val="36"/>
                        </w:rPr>
                        <w:t>72</w:t>
                      </w:r>
                      <w:r w:rsidRPr="00995A67">
                        <w:rPr>
                          <w:rFonts w:ascii="Cambria" w:hAnsi="Cambria" w:cs="Cambria"/>
                          <w:b/>
                          <w:bCs/>
                          <w:noProof/>
                          <w:color w:val="0D0D0D"/>
                          <w:sz w:val="36"/>
                          <w:szCs w:val="36"/>
                        </w:rPr>
                        <w:t>/18</w:t>
                      </w:r>
                    </w:p>
                    <w:p w:rsidR="001A710D" w:rsidRPr="00995A67" w:rsidRDefault="001A710D" w:rsidP="008677A9">
                      <w:pPr>
                        <w:spacing w:line="276" w:lineRule="auto"/>
                        <w:rPr>
                          <w:rFonts w:ascii="Cambria" w:hAnsi="Cambria" w:cs="Cambria"/>
                          <w:b/>
                          <w:bCs/>
                          <w:noProof/>
                          <w:color w:val="0D0D0D"/>
                          <w:sz w:val="36"/>
                          <w:szCs w:val="36"/>
                        </w:rPr>
                      </w:pPr>
                      <w:r w:rsidRPr="00995A67">
                        <w:rPr>
                          <w:rFonts w:ascii="Cambria" w:hAnsi="Cambria" w:cs="Cambria"/>
                          <w:b/>
                          <w:bCs/>
                          <w:noProof/>
                          <w:color w:val="0D0D0D"/>
                          <w:sz w:val="36"/>
                          <w:szCs w:val="36"/>
                        </w:rPr>
                        <w:t>PETITION 1131-08</w:t>
                      </w:r>
                    </w:p>
                    <w:p w:rsidR="001A710D" w:rsidRPr="00995A67" w:rsidRDefault="001A710D" w:rsidP="008677A9">
                      <w:pPr>
                        <w:spacing w:line="276" w:lineRule="auto"/>
                        <w:rPr>
                          <w:rFonts w:ascii="Cambria" w:hAnsi="Cambria" w:cs="Cambria"/>
                          <w:noProof/>
                          <w:color w:val="0D0D0D"/>
                        </w:rPr>
                      </w:pPr>
                      <w:r w:rsidRPr="00995A67">
                        <w:rPr>
                          <w:rFonts w:ascii="Cambria" w:hAnsi="Cambria" w:cs="Cambria"/>
                          <w:noProof/>
                          <w:color w:val="0D0D0D"/>
                        </w:rPr>
                        <w:t xml:space="preserve">REPORT ON ADMISSIBILITY </w:t>
                      </w:r>
                    </w:p>
                    <w:p w:rsidR="001A710D" w:rsidRPr="00995A67" w:rsidRDefault="001A710D" w:rsidP="008677A9">
                      <w:pPr>
                        <w:spacing w:line="276" w:lineRule="auto"/>
                        <w:rPr>
                          <w:rFonts w:ascii="Cambria" w:hAnsi="Cambria" w:cs="Cambria"/>
                          <w:noProof/>
                          <w:color w:val="0D0D0D"/>
                        </w:rPr>
                      </w:pPr>
                    </w:p>
                    <w:p w:rsidR="001A710D" w:rsidRPr="00C07B77" w:rsidRDefault="001A710D" w:rsidP="008677A9">
                      <w:pPr>
                        <w:spacing w:line="276" w:lineRule="auto"/>
                        <w:rPr>
                          <w:rFonts w:ascii="Cambria" w:hAnsi="Cambria" w:cs="Cambria"/>
                          <w:noProof/>
                          <w:color w:val="0D0D0D"/>
                          <w:lang w:val="pt-BR"/>
                        </w:rPr>
                      </w:pPr>
                      <w:r w:rsidRPr="00C07B77">
                        <w:rPr>
                          <w:rFonts w:ascii="Cambria" w:hAnsi="Cambria" w:cs="Cambria"/>
                          <w:noProof/>
                          <w:color w:val="0D0D0D"/>
                          <w:lang w:val="pt-BR"/>
                        </w:rPr>
                        <w:t>MOISÉS DE JESÚS HERNÁNDEZ PINTO AND FAMILY</w:t>
                      </w:r>
                    </w:p>
                    <w:p w:rsidR="001A710D" w:rsidRPr="00995A67" w:rsidRDefault="001A710D" w:rsidP="008677A9">
                      <w:pPr>
                        <w:spacing w:line="276" w:lineRule="auto"/>
                        <w:rPr>
                          <w:rFonts w:ascii="Cambria" w:hAnsi="Cambria" w:cs="Cambria"/>
                          <w:noProof/>
                          <w:color w:val="0D0D0D"/>
                        </w:rPr>
                      </w:pPr>
                      <w:smartTag w:uri="urn:schemas-microsoft-com:office:smarttags" w:element="place">
                        <w:smartTag w:uri="urn:schemas-microsoft-com:office:smarttags" w:element="country-region">
                          <w:r w:rsidRPr="00995A67">
                            <w:rPr>
                              <w:rFonts w:ascii="Cambria" w:hAnsi="Cambria" w:cs="Cambria"/>
                              <w:noProof/>
                              <w:color w:val="0D0D0D"/>
                            </w:rPr>
                            <w:t>GUATEMALA</w:t>
                          </w:r>
                        </w:smartTag>
                      </w:smartTag>
                    </w:p>
                    <w:p w:rsidR="001A710D" w:rsidRPr="00995A67" w:rsidRDefault="001A710D" w:rsidP="008677A9">
                      <w:pPr>
                        <w:spacing w:line="276" w:lineRule="auto"/>
                        <w:rPr>
                          <w:rFonts w:ascii="Cambria" w:hAnsi="Cambria" w:cs="Cambria"/>
                          <w:noProof/>
                          <w:color w:val="0D0D0D"/>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127000</wp:posOffset>
                </wp:positionV>
                <wp:extent cx="1334135" cy="1377315"/>
                <wp:effectExtent l="0" t="3175"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710D" w:rsidRPr="00C07B77" w:rsidRDefault="001A710D" w:rsidP="008677A9">
                            <w:pPr>
                              <w:jc w:val="right"/>
                              <w:rPr>
                                <w:rFonts w:ascii="Calibri" w:hAnsi="Calibri" w:cs="Calibri"/>
                                <w:noProof/>
                                <w:color w:val="FFFFFF"/>
                                <w:sz w:val="22"/>
                                <w:szCs w:val="22"/>
                                <w:lang w:val="pt-BR"/>
                              </w:rPr>
                            </w:pPr>
                            <w:r w:rsidRPr="00C07B77">
                              <w:rPr>
                                <w:rFonts w:ascii="Calibri" w:hAnsi="Calibri" w:cs="Calibri"/>
                                <w:noProof/>
                                <w:color w:val="FFFFFF"/>
                                <w:sz w:val="22"/>
                                <w:szCs w:val="22"/>
                                <w:lang w:val="pt-BR"/>
                              </w:rPr>
                              <w:t>OEA/Ser.L/V/II.</w:t>
                            </w:r>
                          </w:p>
                          <w:p w:rsidR="001A710D" w:rsidRPr="00C07B77" w:rsidRDefault="00E97820" w:rsidP="008677A9">
                            <w:pPr>
                              <w:jc w:val="right"/>
                              <w:rPr>
                                <w:rFonts w:ascii="Calibri" w:hAnsi="Calibri" w:cs="Calibri"/>
                                <w:noProof/>
                                <w:color w:val="FFFFFF"/>
                                <w:sz w:val="22"/>
                                <w:szCs w:val="22"/>
                                <w:lang w:val="pt-BR"/>
                              </w:rPr>
                            </w:pPr>
                            <w:r>
                              <w:rPr>
                                <w:rFonts w:ascii="Calibri" w:hAnsi="Calibri" w:cs="Calibri"/>
                                <w:noProof/>
                                <w:color w:val="FFFFFF"/>
                                <w:sz w:val="22"/>
                                <w:szCs w:val="22"/>
                                <w:lang w:val="pt-BR"/>
                              </w:rPr>
                              <w:t xml:space="preserve">Doc. 83 </w:t>
                            </w:r>
                          </w:p>
                          <w:p w:rsidR="001A710D" w:rsidRPr="00995A67" w:rsidRDefault="00EA0A37" w:rsidP="008677A9">
                            <w:pPr>
                              <w:jc w:val="right"/>
                              <w:rPr>
                                <w:rFonts w:ascii="Calibri" w:hAnsi="Calibri" w:cs="Calibri"/>
                                <w:noProof/>
                                <w:color w:val="FFFFFF"/>
                                <w:sz w:val="22"/>
                                <w:szCs w:val="22"/>
                              </w:rPr>
                            </w:pPr>
                            <w:r>
                              <w:rPr>
                                <w:rFonts w:ascii="Calibri" w:hAnsi="Calibri" w:cs="Calibri"/>
                                <w:noProof/>
                                <w:color w:val="FFFFFF"/>
                                <w:sz w:val="22"/>
                                <w:szCs w:val="22"/>
                                <w:lang w:val="pt-BR"/>
                              </w:rPr>
                              <w:t xml:space="preserve">20 </w:t>
                            </w:r>
                            <w:r w:rsidR="001A710D" w:rsidRPr="00C07B77">
                              <w:rPr>
                                <w:rFonts w:ascii="Calibri" w:hAnsi="Calibri" w:cs="Calibri"/>
                                <w:noProof/>
                                <w:color w:val="FFFFFF"/>
                                <w:sz w:val="22"/>
                                <w:szCs w:val="22"/>
                                <w:lang w:val="pt-BR"/>
                              </w:rPr>
                              <w:t xml:space="preserve"> </w:t>
                            </w:r>
                            <w:r w:rsidR="00E97820">
                              <w:rPr>
                                <w:rFonts w:ascii="Calibri" w:hAnsi="Calibri" w:cs="Calibri"/>
                                <w:noProof/>
                                <w:color w:val="FFFFFF"/>
                                <w:sz w:val="22"/>
                                <w:szCs w:val="22"/>
                              </w:rPr>
                              <w:t xml:space="preserve">June </w:t>
                            </w:r>
                            <w:r w:rsidR="001A710D" w:rsidRPr="00995A67">
                              <w:rPr>
                                <w:rFonts w:ascii="Calibri" w:hAnsi="Calibri" w:cs="Calibri"/>
                                <w:noProof/>
                                <w:color w:val="FFFFFF"/>
                                <w:sz w:val="22"/>
                                <w:szCs w:val="22"/>
                              </w:rPr>
                              <w:t>2018</w:t>
                            </w:r>
                          </w:p>
                          <w:p w:rsidR="001A710D" w:rsidRPr="00995A67" w:rsidRDefault="001A710D" w:rsidP="008677A9">
                            <w:pPr>
                              <w:jc w:val="right"/>
                              <w:rPr>
                                <w:rFonts w:ascii="Calibri" w:hAnsi="Calibri" w:cs="Calibri"/>
                                <w:noProof/>
                                <w:color w:val="FFFFFF"/>
                                <w:sz w:val="22"/>
                                <w:szCs w:val="22"/>
                              </w:rPr>
                            </w:pPr>
                            <w:r w:rsidRPr="00995A67">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25pt;margin-top:10pt;width:105.0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uQIAAMEFAAAOAAAAZHJzL2Uyb0RvYy54bWysVG1vmzAQ/j5p/8HydwoEJw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cD5f&#10;2rkCAADBBQAADgAAAAAAAAAAAAAAAAAuAgAAZHJzL2Uyb0RvYy54bWxQSwECLQAUAAYACAAAACEA&#10;F2r1N+EAAAAKAQAADwAAAAAAAAAAAAAAAAATBQAAZHJzL2Rvd25yZXYueG1sUEsFBgAAAAAEAAQA&#10;8wAAACEGAAAAAA==&#10;" filled="f" stroked="f" strokeweight=".5pt">
                <v:textbox>
                  <w:txbxContent>
                    <w:p w:rsidR="001A710D" w:rsidRPr="00C07B77" w:rsidRDefault="001A710D" w:rsidP="008677A9">
                      <w:pPr>
                        <w:jc w:val="right"/>
                        <w:rPr>
                          <w:rFonts w:ascii="Calibri" w:hAnsi="Calibri" w:cs="Calibri"/>
                          <w:noProof/>
                          <w:color w:val="FFFFFF"/>
                          <w:sz w:val="22"/>
                          <w:szCs w:val="22"/>
                          <w:lang w:val="pt-BR"/>
                        </w:rPr>
                      </w:pPr>
                      <w:r w:rsidRPr="00C07B77">
                        <w:rPr>
                          <w:rFonts w:ascii="Calibri" w:hAnsi="Calibri" w:cs="Calibri"/>
                          <w:noProof/>
                          <w:color w:val="FFFFFF"/>
                          <w:sz w:val="22"/>
                          <w:szCs w:val="22"/>
                          <w:lang w:val="pt-BR"/>
                        </w:rPr>
                        <w:t>OEA/Ser.L/V/II.</w:t>
                      </w:r>
                    </w:p>
                    <w:p w:rsidR="001A710D" w:rsidRPr="00C07B77" w:rsidRDefault="00E97820" w:rsidP="008677A9">
                      <w:pPr>
                        <w:jc w:val="right"/>
                        <w:rPr>
                          <w:rFonts w:ascii="Calibri" w:hAnsi="Calibri" w:cs="Calibri"/>
                          <w:noProof/>
                          <w:color w:val="FFFFFF"/>
                          <w:sz w:val="22"/>
                          <w:szCs w:val="22"/>
                          <w:lang w:val="pt-BR"/>
                        </w:rPr>
                      </w:pPr>
                      <w:r>
                        <w:rPr>
                          <w:rFonts w:ascii="Calibri" w:hAnsi="Calibri" w:cs="Calibri"/>
                          <w:noProof/>
                          <w:color w:val="FFFFFF"/>
                          <w:sz w:val="22"/>
                          <w:szCs w:val="22"/>
                          <w:lang w:val="pt-BR"/>
                        </w:rPr>
                        <w:t xml:space="preserve">Doc. 83 </w:t>
                      </w:r>
                    </w:p>
                    <w:p w:rsidR="001A710D" w:rsidRPr="00995A67" w:rsidRDefault="00EA0A37" w:rsidP="008677A9">
                      <w:pPr>
                        <w:jc w:val="right"/>
                        <w:rPr>
                          <w:rFonts w:ascii="Calibri" w:hAnsi="Calibri" w:cs="Calibri"/>
                          <w:noProof/>
                          <w:color w:val="FFFFFF"/>
                          <w:sz w:val="22"/>
                          <w:szCs w:val="22"/>
                        </w:rPr>
                      </w:pPr>
                      <w:r>
                        <w:rPr>
                          <w:rFonts w:ascii="Calibri" w:hAnsi="Calibri" w:cs="Calibri"/>
                          <w:noProof/>
                          <w:color w:val="FFFFFF"/>
                          <w:sz w:val="22"/>
                          <w:szCs w:val="22"/>
                          <w:lang w:val="pt-BR"/>
                        </w:rPr>
                        <w:t xml:space="preserve">20 </w:t>
                      </w:r>
                      <w:r w:rsidR="001A710D" w:rsidRPr="00C07B77">
                        <w:rPr>
                          <w:rFonts w:ascii="Calibri" w:hAnsi="Calibri" w:cs="Calibri"/>
                          <w:noProof/>
                          <w:color w:val="FFFFFF"/>
                          <w:sz w:val="22"/>
                          <w:szCs w:val="22"/>
                          <w:lang w:val="pt-BR"/>
                        </w:rPr>
                        <w:t xml:space="preserve"> </w:t>
                      </w:r>
                      <w:r w:rsidR="00E97820">
                        <w:rPr>
                          <w:rFonts w:ascii="Calibri" w:hAnsi="Calibri" w:cs="Calibri"/>
                          <w:noProof/>
                          <w:color w:val="FFFFFF"/>
                          <w:sz w:val="22"/>
                          <w:szCs w:val="22"/>
                        </w:rPr>
                        <w:t xml:space="preserve">June </w:t>
                      </w:r>
                      <w:r w:rsidR="001A710D" w:rsidRPr="00995A67">
                        <w:rPr>
                          <w:rFonts w:ascii="Calibri" w:hAnsi="Calibri" w:cs="Calibri"/>
                          <w:noProof/>
                          <w:color w:val="FFFFFF"/>
                          <w:sz w:val="22"/>
                          <w:szCs w:val="22"/>
                        </w:rPr>
                        <w:t>2018</w:t>
                      </w:r>
                    </w:p>
                    <w:p w:rsidR="001A710D" w:rsidRPr="00995A67" w:rsidRDefault="001A710D" w:rsidP="008677A9">
                      <w:pPr>
                        <w:jc w:val="right"/>
                        <w:rPr>
                          <w:rFonts w:ascii="Calibri" w:hAnsi="Calibri" w:cs="Calibri"/>
                          <w:noProof/>
                          <w:color w:val="FFFFFF"/>
                          <w:sz w:val="22"/>
                          <w:szCs w:val="22"/>
                        </w:rPr>
                      </w:pPr>
                      <w:r w:rsidRPr="00995A67">
                        <w:rPr>
                          <w:rFonts w:ascii="Calibri" w:hAnsi="Calibri" w:cs="Calibri"/>
                          <w:noProof/>
                          <w:color w:val="FFFFFF"/>
                          <w:sz w:val="22"/>
                          <w:szCs w:val="22"/>
                        </w:rPr>
                        <w:t>Original: Spanish</w:t>
                      </w:r>
                    </w:p>
                  </w:txbxContent>
                </v:textbox>
              </v:shape>
            </w:pict>
          </mc:Fallback>
        </mc:AlternateContent>
      </w: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22"/>
          <w:szCs w:val="22"/>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C07B77" w:rsidP="008677A9">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1207135</wp:posOffset>
                </wp:positionH>
                <wp:positionV relativeFrom="paragraph">
                  <wp:posOffset>67945</wp:posOffset>
                </wp:positionV>
                <wp:extent cx="4595495" cy="504825"/>
                <wp:effectExtent l="0" t="127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710D" w:rsidRPr="00995A67" w:rsidRDefault="001A710D" w:rsidP="008677A9">
                            <w:pPr>
                              <w:tabs>
                                <w:tab w:val="center" w:pos="5400"/>
                              </w:tabs>
                              <w:suppressAutoHyphens/>
                              <w:spacing w:before="60"/>
                              <w:rPr>
                                <w:rFonts w:ascii="Cambria" w:hAnsi="Cambria" w:cs="Cambria"/>
                                <w:noProof/>
                                <w:color w:val="0D0D0D"/>
                                <w:sz w:val="18"/>
                                <w:szCs w:val="18"/>
                              </w:rPr>
                            </w:pPr>
                            <w:r w:rsidRPr="00995A67">
                              <w:rPr>
                                <w:rFonts w:ascii="Cambria" w:hAnsi="Cambria" w:cs="Cambria"/>
                                <w:noProof/>
                                <w:color w:val="0D0D0D"/>
                                <w:sz w:val="18"/>
                                <w:szCs w:val="18"/>
                              </w:rPr>
                              <w:t xml:space="preserve">Approved </w:t>
                            </w:r>
                            <w:r w:rsidR="00EA0A37">
                              <w:rPr>
                                <w:rFonts w:ascii="Cambria" w:hAnsi="Cambria" w:cs="Cambria"/>
                                <w:noProof/>
                                <w:color w:val="0D0D0D"/>
                                <w:sz w:val="18"/>
                                <w:szCs w:val="18"/>
                              </w:rPr>
                              <w:t>electronically</w:t>
                            </w:r>
                            <w:r w:rsidR="00EA0A37" w:rsidRPr="00995A67">
                              <w:rPr>
                                <w:rFonts w:ascii="Cambria" w:hAnsi="Cambria" w:cs="Cambria"/>
                                <w:noProof/>
                                <w:color w:val="0D0D0D"/>
                                <w:sz w:val="18"/>
                                <w:szCs w:val="18"/>
                              </w:rPr>
                              <w:t xml:space="preserve"> </w:t>
                            </w:r>
                            <w:r w:rsidRPr="00995A67">
                              <w:rPr>
                                <w:rFonts w:ascii="Cambria" w:hAnsi="Cambria" w:cs="Cambria"/>
                                <w:noProof/>
                                <w:color w:val="0D0D0D"/>
                                <w:sz w:val="18"/>
                                <w:szCs w:val="18"/>
                              </w:rPr>
                              <w:t>by the Commission</w:t>
                            </w:r>
                            <w:r w:rsidR="00E97820">
                              <w:rPr>
                                <w:rFonts w:ascii="Cambria" w:hAnsi="Cambria" w:cs="Cambria"/>
                                <w:noProof/>
                                <w:color w:val="0D0D0D"/>
                                <w:sz w:val="18"/>
                                <w:szCs w:val="18"/>
                              </w:rPr>
                              <w:t xml:space="preserve"> </w:t>
                            </w:r>
                            <w:r w:rsidRPr="00995A67">
                              <w:rPr>
                                <w:rFonts w:ascii="Cambria" w:hAnsi="Cambria" w:cs="Cambria"/>
                                <w:noProof/>
                                <w:color w:val="0D0D0D"/>
                                <w:sz w:val="18"/>
                                <w:szCs w:val="18"/>
                              </w:rPr>
                              <w:t xml:space="preserve">on </w:t>
                            </w:r>
                            <w:r w:rsidR="00E97820">
                              <w:rPr>
                                <w:rFonts w:ascii="Cambria" w:hAnsi="Cambria" w:cs="Cambria"/>
                                <w:noProof/>
                                <w:color w:val="0D0D0D"/>
                                <w:sz w:val="18"/>
                                <w:szCs w:val="18"/>
                              </w:rPr>
                              <w:t>June 20</w:t>
                            </w:r>
                            <w:r w:rsidRPr="00995A67">
                              <w:rPr>
                                <w:rFonts w:ascii="Cambria" w:hAnsi="Cambria" w:cs="Cambria"/>
                                <w:noProof/>
                                <w:color w:val="0D0D0D"/>
                                <w:sz w:val="18"/>
                                <w:szCs w:val="18"/>
                              </w:rPr>
                              <w:t>, 2018</w:t>
                            </w:r>
                            <w:r w:rsidR="00EA0A37">
                              <w:rPr>
                                <w:rFonts w:ascii="Cambria" w:hAnsi="Cambria" w:cs="Cambria"/>
                                <w:noProof/>
                                <w:color w:val="0D0D0D"/>
                                <w:sz w:val="18"/>
                                <w:szCs w:val="18"/>
                              </w:rPr>
                              <w:t>.</w:t>
                            </w:r>
                            <w:r w:rsidRPr="00995A67">
                              <w:rPr>
                                <w:rFonts w:ascii="Cambria" w:hAnsi="Cambria" w:cs="Cambria"/>
                                <w:noProof/>
                                <w:color w:val="0D0D0D"/>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5.05pt;margin-top:5.35pt;width:361.8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nS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" filled="f" stroked="f" strokeweight=".5pt">
                <v:textbox>
                  <w:txbxContent>
                    <w:p w:rsidR="001A710D" w:rsidRPr="00995A67" w:rsidRDefault="001A710D" w:rsidP="008677A9">
                      <w:pPr>
                        <w:tabs>
                          <w:tab w:val="center" w:pos="5400"/>
                        </w:tabs>
                        <w:suppressAutoHyphens/>
                        <w:spacing w:before="60"/>
                        <w:rPr>
                          <w:rFonts w:ascii="Cambria" w:hAnsi="Cambria" w:cs="Cambria"/>
                          <w:noProof/>
                          <w:color w:val="0D0D0D"/>
                          <w:sz w:val="18"/>
                          <w:szCs w:val="18"/>
                        </w:rPr>
                      </w:pPr>
                      <w:r w:rsidRPr="00995A67">
                        <w:rPr>
                          <w:rFonts w:ascii="Cambria" w:hAnsi="Cambria" w:cs="Cambria"/>
                          <w:noProof/>
                          <w:color w:val="0D0D0D"/>
                          <w:sz w:val="18"/>
                          <w:szCs w:val="18"/>
                        </w:rPr>
                        <w:t xml:space="preserve">Approved </w:t>
                      </w:r>
                      <w:r w:rsidR="00EA0A37">
                        <w:rPr>
                          <w:rFonts w:ascii="Cambria" w:hAnsi="Cambria" w:cs="Cambria"/>
                          <w:noProof/>
                          <w:color w:val="0D0D0D"/>
                          <w:sz w:val="18"/>
                          <w:szCs w:val="18"/>
                        </w:rPr>
                        <w:t>electronically</w:t>
                      </w:r>
                      <w:r w:rsidR="00EA0A37" w:rsidRPr="00995A67">
                        <w:rPr>
                          <w:rFonts w:ascii="Cambria" w:hAnsi="Cambria" w:cs="Cambria"/>
                          <w:noProof/>
                          <w:color w:val="0D0D0D"/>
                          <w:sz w:val="18"/>
                          <w:szCs w:val="18"/>
                        </w:rPr>
                        <w:t xml:space="preserve"> </w:t>
                      </w:r>
                      <w:r w:rsidRPr="00995A67">
                        <w:rPr>
                          <w:rFonts w:ascii="Cambria" w:hAnsi="Cambria" w:cs="Cambria"/>
                          <w:noProof/>
                          <w:color w:val="0D0D0D"/>
                          <w:sz w:val="18"/>
                          <w:szCs w:val="18"/>
                        </w:rPr>
                        <w:t>by the Commission</w:t>
                      </w:r>
                      <w:r w:rsidR="00E97820">
                        <w:rPr>
                          <w:rFonts w:ascii="Cambria" w:hAnsi="Cambria" w:cs="Cambria"/>
                          <w:noProof/>
                          <w:color w:val="0D0D0D"/>
                          <w:sz w:val="18"/>
                          <w:szCs w:val="18"/>
                        </w:rPr>
                        <w:t xml:space="preserve"> </w:t>
                      </w:r>
                      <w:r w:rsidRPr="00995A67">
                        <w:rPr>
                          <w:rFonts w:ascii="Cambria" w:hAnsi="Cambria" w:cs="Cambria"/>
                          <w:noProof/>
                          <w:color w:val="0D0D0D"/>
                          <w:sz w:val="18"/>
                          <w:szCs w:val="18"/>
                        </w:rPr>
                        <w:t xml:space="preserve">on </w:t>
                      </w:r>
                      <w:r w:rsidR="00E97820">
                        <w:rPr>
                          <w:rFonts w:ascii="Cambria" w:hAnsi="Cambria" w:cs="Cambria"/>
                          <w:noProof/>
                          <w:color w:val="0D0D0D"/>
                          <w:sz w:val="18"/>
                          <w:szCs w:val="18"/>
                        </w:rPr>
                        <w:t>June 20</w:t>
                      </w:r>
                      <w:r w:rsidRPr="00995A67">
                        <w:rPr>
                          <w:rFonts w:ascii="Cambria" w:hAnsi="Cambria" w:cs="Cambria"/>
                          <w:noProof/>
                          <w:color w:val="0D0D0D"/>
                          <w:sz w:val="18"/>
                          <w:szCs w:val="18"/>
                        </w:rPr>
                        <w:t>, 2018</w:t>
                      </w:r>
                      <w:r w:rsidR="00EA0A37">
                        <w:rPr>
                          <w:rFonts w:ascii="Cambria" w:hAnsi="Cambria" w:cs="Cambria"/>
                          <w:noProof/>
                          <w:color w:val="0D0D0D"/>
                          <w:sz w:val="18"/>
                          <w:szCs w:val="18"/>
                        </w:rPr>
                        <w:t>.</w:t>
                      </w:r>
                      <w:r w:rsidRPr="00995A67">
                        <w:rPr>
                          <w:rFonts w:ascii="Cambria" w:hAnsi="Cambria" w:cs="Cambria"/>
                          <w:noProof/>
                          <w:color w:val="0D0D0D"/>
                          <w:sz w:val="18"/>
                          <w:szCs w:val="18"/>
                        </w:rPr>
                        <w:br/>
                      </w:r>
                    </w:p>
                  </w:txbxContent>
                </v:textbox>
              </v:shape>
            </w:pict>
          </mc:Fallback>
        </mc:AlternateContent>
      </w: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C07B77" w:rsidP="008677A9">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1209675</wp:posOffset>
                </wp:positionH>
                <wp:positionV relativeFrom="paragraph">
                  <wp:posOffset>92075</wp:posOffset>
                </wp:positionV>
                <wp:extent cx="4824095" cy="609600"/>
                <wp:effectExtent l="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710D" w:rsidRPr="00DA2006" w:rsidRDefault="001A710D" w:rsidP="008677A9">
                            <w:pPr>
                              <w:spacing w:line="276" w:lineRule="auto"/>
                              <w:rPr>
                                <w:rFonts w:ascii="Cambria" w:hAnsi="Cambria" w:cs="Cambria"/>
                                <w:noProof/>
                                <w:color w:val="595959"/>
                                <w:sz w:val="18"/>
                                <w:szCs w:val="18"/>
                                <w:lang w:val="es-ES"/>
                              </w:rPr>
                            </w:pPr>
                            <w:r w:rsidRPr="00995A67">
                              <w:rPr>
                                <w:rFonts w:ascii="Cambria" w:hAnsi="Cambria" w:cs="Cambria"/>
                                <w:b/>
                                <w:bCs/>
                                <w:noProof/>
                                <w:color w:val="595959"/>
                                <w:sz w:val="18"/>
                                <w:szCs w:val="18"/>
                              </w:rPr>
                              <w:t xml:space="preserve">Cite as: </w:t>
                            </w:r>
                            <w:r w:rsidRPr="00995A67">
                              <w:rPr>
                                <w:rFonts w:ascii="Cambria" w:hAnsi="Cambria" w:cs="Cambria"/>
                                <w:noProof/>
                                <w:color w:val="595959"/>
                                <w:sz w:val="18"/>
                                <w:szCs w:val="18"/>
                              </w:rPr>
                              <w:t xml:space="preserve">IACHR, Report No. </w:t>
                            </w:r>
                            <w:r w:rsidR="00E97820">
                              <w:rPr>
                                <w:rFonts w:ascii="Cambria" w:hAnsi="Cambria" w:cs="Cambria"/>
                                <w:noProof/>
                                <w:color w:val="595959"/>
                                <w:sz w:val="18"/>
                                <w:szCs w:val="18"/>
                              </w:rPr>
                              <w:t>72</w:t>
                            </w:r>
                            <w:r w:rsidR="00DA2006">
                              <w:rPr>
                                <w:rFonts w:ascii="Cambria" w:hAnsi="Cambria" w:cs="Cambria"/>
                                <w:noProof/>
                                <w:color w:val="595959"/>
                                <w:sz w:val="18"/>
                                <w:szCs w:val="18"/>
                              </w:rPr>
                              <w:t xml:space="preserve">/18. Petition </w:t>
                            </w:r>
                            <w:r w:rsidRPr="00995A67">
                              <w:rPr>
                                <w:rFonts w:ascii="Cambria" w:hAnsi="Cambria" w:cs="Cambria"/>
                                <w:noProof/>
                                <w:color w:val="595959"/>
                                <w:sz w:val="18"/>
                                <w:szCs w:val="18"/>
                              </w:rPr>
                              <w:t>1131-08</w:t>
                            </w:r>
                            <w:r w:rsidR="00DA2006">
                              <w:rPr>
                                <w:rFonts w:ascii="Cambria" w:hAnsi="Cambria" w:cs="Cambria"/>
                                <w:noProof/>
                                <w:color w:val="595959"/>
                                <w:sz w:val="18"/>
                                <w:szCs w:val="18"/>
                              </w:rPr>
                              <w:t>.</w:t>
                            </w:r>
                            <w:r w:rsidRPr="00995A67">
                              <w:rPr>
                                <w:rFonts w:ascii="Cambria" w:hAnsi="Cambria" w:cs="Cambria"/>
                                <w:noProof/>
                                <w:color w:val="595959"/>
                                <w:sz w:val="18"/>
                                <w:szCs w:val="18"/>
                              </w:rPr>
                              <w:t xml:space="preserve"> Admissibility. </w:t>
                            </w:r>
                            <w:r w:rsidR="00DA2006">
                              <w:rPr>
                                <w:rFonts w:ascii="Cambria" w:hAnsi="Cambria" w:cs="Cambria"/>
                                <w:noProof/>
                                <w:color w:val="595959"/>
                                <w:sz w:val="18"/>
                                <w:szCs w:val="18"/>
                              </w:rPr>
                              <w:t>Mois</w:t>
                            </w:r>
                            <w:r w:rsidR="00DA2006" w:rsidRPr="00E97820">
                              <w:rPr>
                                <w:rFonts w:ascii="Cambria" w:hAnsi="Cambria" w:cs="Cambria"/>
                                <w:noProof/>
                                <w:color w:val="595959"/>
                                <w:sz w:val="18"/>
                                <w:szCs w:val="18"/>
                              </w:rPr>
                              <w:t>és Jesús Hernández Pinto and family</w:t>
                            </w:r>
                            <w:r>
                              <w:rPr>
                                <w:rFonts w:ascii="Cambria" w:hAnsi="Cambria" w:cs="Cambria"/>
                                <w:noProof/>
                                <w:color w:val="595959"/>
                                <w:sz w:val="18"/>
                                <w:szCs w:val="18"/>
                              </w:rPr>
                              <w:t xml:space="preserve">. </w:t>
                            </w:r>
                            <w:smartTag w:uri="urn:schemas-microsoft-com:office:smarttags" w:element="place">
                              <w:smartTag w:uri="urn:schemas-microsoft-com:office:smarttags" w:element="country-region">
                                <w:r>
                                  <w:rPr>
                                    <w:rFonts w:ascii="Cambria" w:hAnsi="Cambria" w:cs="Cambria"/>
                                    <w:noProof/>
                                    <w:color w:val="595959"/>
                                    <w:sz w:val="18"/>
                                    <w:szCs w:val="18"/>
                                  </w:rPr>
                                  <w:t>Guatemala</w:t>
                                </w:r>
                              </w:smartTag>
                            </w:smartTag>
                            <w:r>
                              <w:rPr>
                                <w:rFonts w:ascii="Cambria" w:hAnsi="Cambria" w:cs="Cambria"/>
                                <w:noProof/>
                                <w:color w:val="595959"/>
                                <w:sz w:val="18"/>
                                <w:szCs w:val="18"/>
                              </w:rPr>
                              <w:t xml:space="preserve">. </w:t>
                            </w:r>
                            <w:r w:rsidR="00E97820">
                              <w:rPr>
                                <w:rFonts w:ascii="Cambria" w:hAnsi="Cambria" w:cs="Cambria"/>
                                <w:noProof/>
                                <w:color w:val="595959"/>
                                <w:sz w:val="18"/>
                                <w:szCs w:val="18"/>
                              </w:rPr>
                              <w:t>June 20, 2018</w:t>
                            </w:r>
                            <w:r>
                              <w:rPr>
                                <w:rFonts w:ascii="Cambria" w:hAnsi="Cambria" w:cs="Cambria"/>
                                <w:noProof/>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25pt;margin-top:7.25pt;width:379.8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" filled="f" stroked="f" strokeweight=".5pt">
                <v:textbox>
                  <w:txbxContent>
                    <w:p w:rsidR="001A710D" w:rsidRPr="00DA2006" w:rsidRDefault="001A710D" w:rsidP="008677A9">
                      <w:pPr>
                        <w:spacing w:line="276" w:lineRule="auto"/>
                        <w:rPr>
                          <w:rFonts w:ascii="Cambria" w:hAnsi="Cambria" w:cs="Cambria"/>
                          <w:noProof/>
                          <w:color w:val="595959"/>
                          <w:sz w:val="18"/>
                          <w:szCs w:val="18"/>
                          <w:lang w:val="es-ES"/>
                        </w:rPr>
                      </w:pPr>
                      <w:r w:rsidRPr="00995A67">
                        <w:rPr>
                          <w:rFonts w:ascii="Cambria" w:hAnsi="Cambria" w:cs="Cambria"/>
                          <w:b/>
                          <w:bCs/>
                          <w:noProof/>
                          <w:color w:val="595959"/>
                          <w:sz w:val="18"/>
                          <w:szCs w:val="18"/>
                        </w:rPr>
                        <w:t xml:space="preserve">Cite as: </w:t>
                      </w:r>
                      <w:r w:rsidRPr="00995A67">
                        <w:rPr>
                          <w:rFonts w:ascii="Cambria" w:hAnsi="Cambria" w:cs="Cambria"/>
                          <w:noProof/>
                          <w:color w:val="595959"/>
                          <w:sz w:val="18"/>
                          <w:szCs w:val="18"/>
                        </w:rPr>
                        <w:t xml:space="preserve">IACHR, Report No. </w:t>
                      </w:r>
                      <w:r w:rsidR="00E97820">
                        <w:rPr>
                          <w:rFonts w:ascii="Cambria" w:hAnsi="Cambria" w:cs="Cambria"/>
                          <w:noProof/>
                          <w:color w:val="595959"/>
                          <w:sz w:val="18"/>
                          <w:szCs w:val="18"/>
                        </w:rPr>
                        <w:t>72</w:t>
                      </w:r>
                      <w:r w:rsidR="00DA2006">
                        <w:rPr>
                          <w:rFonts w:ascii="Cambria" w:hAnsi="Cambria" w:cs="Cambria"/>
                          <w:noProof/>
                          <w:color w:val="595959"/>
                          <w:sz w:val="18"/>
                          <w:szCs w:val="18"/>
                        </w:rPr>
                        <w:t xml:space="preserve">/18. Petition </w:t>
                      </w:r>
                      <w:r w:rsidRPr="00995A67">
                        <w:rPr>
                          <w:rFonts w:ascii="Cambria" w:hAnsi="Cambria" w:cs="Cambria"/>
                          <w:noProof/>
                          <w:color w:val="595959"/>
                          <w:sz w:val="18"/>
                          <w:szCs w:val="18"/>
                        </w:rPr>
                        <w:t>1131-08</w:t>
                      </w:r>
                      <w:r w:rsidR="00DA2006">
                        <w:rPr>
                          <w:rFonts w:ascii="Cambria" w:hAnsi="Cambria" w:cs="Cambria"/>
                          <w:noProof/>
                          <w:color w:val="595959"/>
                          <w:sz w:val="18"/>
                          <w:szCs w:val="18"/>
                        </w:rPr>
                        <w:t>.</w:t>
                      </w:r>
                      <w:r w:rsidRPr="00995A67">
                        <w:rPr>
                          <w:rFonts w:ascii="Cambria" w:hAnsi="Cambria" w:cs="Cambria"/>
                          <w:noProof/>
                          <w:color w:val="595959"/>
                          <w:sz w:val="18"/>
                          <w:szCs w:val="18"/>
                        </w:rPr>
                        <w:t xml:space="preserve"> Admissibility. </w:t>
                      </w:r>
                      <w:r w:rsidR="00DA2006">
                        <w:rPr>
                          <w:rFonts w:ascii="Cambria" w:hAnsi="Cambria" w:cs="Cambria"/>
                          <w:noProof/>
                          <w:color w:val="595959"/>
                          <w:sz w:val="18"/>
                          <w:szCs w:val="18"/>
                        </w:rPr>
                        <w:t>Mois</w:t>
                      </w:r>
                      <w:r w:rsidR="00DA2006" w:rsidRPr="00E97820">
                        <w:rPr>
                          <w:rFonts w:ascii="Cambria" w:hAnsi="Cambria" w:cs="Cambria"/>
                          <w:noProof/>
                          <w:color w:val="595959"/>
                          <w:sz w:val="18"/>
                          <w:szCs w:val="18"/>
                        </w:rPr>
                        <w:t>és Jesús Hernández Pinto and family</w:t>
                      </w:r>
                      <w:r>
                        <w:rPr>
                          <w:rFonts w:ascii="Cambria" w:hAnsi="Cambria" w:cs="Cambria"/>
                          <w:noProof/>
                          <w:color w:val="595959"/>
                          <w:sz w:val="18"/>
                          <w:szCs w:val="18"/>
                        </w:rPr>
                        <w:t xml:space="preserve">. </w:t>
                      </w:r>
                      <w:smartTag w:uri="urn:schemas-microsoft-com:office:smarttags" w:element="place">
                        <w:smartTag w:uri="urn:schemas-microsoft-com:office:smarttags" w:element="country-region">
                          <w:r>
                            <w:rPr>
                              <w:rFonts w:ascii="Cambria" w:hAnsi="Cambria" w:cs="Cambria"/>
                              <w:noProof/>
                              <w:color w:val="595959"/>
                              <w:sz w:val="18"/>
                              <w:szCs w:val="18"/>
                            </w:rPr>
                            <w:t>Guatemala</w:t>
                          </w:r>
                        </w:smartTag>
                      </w:smartTag>
                      <w:r>
                        <w:rPr>
                          <w:rFonts w:ascii="Cambria" w:hAnsi="Cambria" w:cs="Cambria"/>
                          <w:noProof/>
                          <w:color w:val="595959"/>
                          <w:sz w:val="18"/>
                          <w:szCs w:val="18"/>
                        </w:rPr>
                        <w:t xml:space="preserve">. </w:t>
                      </w:r>
                      <w:r w:rsidR="00E97820">
                        <w:rPr>
                          <w:rFonts w:ascii="Cambria" w:hAnsi="Cambria" w:cs="Cambria"/>
                          <w:noProof/>
                          <w:color w:val="595959"/>
                          <w:sz w:val="18"/>
                          <w:szCs w:val="18"/>
                        </w:rPr>
                        <w:t>June 20, 2018</w:t>
                      </w:r>
                      <w:r>
                        <w:rPr>
                          <w:rFonts w:ascii="Cambria" w:hAnsi="Cambria" w:cs="Cambria"/>
                          <w:noProof/>
                          <w:color w:val="595959"/>
                          <w:sz w:val="18"/>
                          <w:szCs w:val="18"/>
                        </w:rPr>
                        <w:t>.</w:t>
                      </w:r>
                    </w:p>
                  </w:txbxContent>
                </v:textbox>
              </v:shape>
            </w:pict>
          </mc:Fallback>
        </mc:AlternateContent>
      </w: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1A710D" w:rsidP="008677A9">
      <w:pPr>
        <w:tabs>
          <w:tab w:val="center" w:pos="5400"/>
        </w:tabs>
        <w:suppressAutoHyphens/>
        <w:jc w:val="center"/>
        <w:rPr>
          <w:rFonts w:ascii="Cambria" w:hAnsi="Cambria" w:cs="Cambria"/>
          <w:sz w:val="18"/>
          <w:szCs w:val="18"/>
        </w:rPr>
      </w:pPr>
    </w:p>
    <w:p w:rsidR="001A710D" w:rsidRPr="00D403CE" w:rsidRDefault="00C07B77" w:rsidP="008677A9">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-299085</wp:posOffset>
                </wp:positionH>
                <wp:positionV relativeFrom="paragraph">
                  <wp:posOffset>859155</wp:posOffset>
                </wp:positionV>
                <wp:extent cx="1181100" cy="332740"/>
                <wp:effectExtent l="0" t="190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710D" w:rsidRPr="008677A9" w:rsidRDefault="001A710D" w:rsidP="008677A9">
                            <w:pPr>
                              <w:jc w:val="center"/>
                              <w:rPr>
                                <w:rFonts w:ascii="Calibri" w:hAnsi="Calibri" w:cs="Calibri"/>
                                <w:b/>
                                <w:bCs/>
                                <w:noProof/>
                                <w:color w:val="FFFFFF"/>
                              </w:rPr>
                            </w:pPr>
                            <w:r w:rsidRPr="008677A9">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3.55pt;margin-top:67.6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L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Cg&#10;5+NLuQIAAMAFAAAOAAAAAAAAAAAAAAAAAC4CAABkcnMvZTJvRG9jLnhtbFBLAQItABQABgAIAAAA&#10;IQBDbfVI4wAAAAsBAAAPAAAAAAAAAAAAAAAAABMFAABkcnMvZG93bnJldi54bWxQSwUGAAAAAAQA&#10;BADzAAAAIwYAAAAA&#10;" filled="f" stroked="f" strokeweight=".5pt">
                <v:textbox>
                  <w:txbxContent>
                    <w:p w:rsidR="001A710D" w:rsidRPr="008677A9" w:rsidRDefault="001A710D" w:rsidP="008677A9">
                      <w:pPr>
                        <w:jc w:val="center"/>
                        <w:rPr>
                          <w:rFonts w:ascii="Calibri" w:hAnsi="Calibri" w:cs="Calibri"/>
                          <w:b/>
                          <w:bCs/>
                          <w:noProof/>
                          <w:color w:val="FFFFFF"/>
                        </w:rPr>
                      </w:pPr>
                      <w:r w:rsidRPr="008677A9">
                        <w:rPr>
                          <w:rFonts w:ascii="Calibri" w:hAnsi="Calibri" w:cs="Calibri"/>
                          <w:b/>
                          <w:bCs/>
                          <w:noProof/>
                          <w:color w:val="FFFFFF"/>
                        </w:rPr>
                        <w:t>www.cidh.org</w:t>
                      </w:r>
                    </w:p>
                  </w:txbxContent>
                </v:textbox>
              </v:shape>
            </w:pict>
          </mc:Fallback>
        </mc:AlternateContent>
      </w:r>
    </w:p>
    <w:p w:rsidR="001A710D" w:rsidRPr="00D403CE" w:rsidRDefault="001A710D" w:rsidP="008677A9">
      <w:pPr>
        <w:tabs>
          <w:tab w:val="center" w:pos="5400"/>
        </w:tabs>
        <w:suppressAutoHyphens/>
        <w:jc w:val="center"/>
        <w:rPr>
          <w:rFonts w:ascii="Cambria" w:hAnsi="Cambria" w:cs="Cambria"/>
          <w:sz w:val="18"/>
          <w:szCs w:val="18"/>
        </w:rPr>
        <w:sectPr w:rsidR="001A710D" w:rsidRPr="00D403CE" w:rsidSect="000F1D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pPr>
    </w:p>
    <w:p w:rsidR="001A710D" w:rsidRPr="00D403CE" w:rsidRDefault="001A710D" w:rsidP="008677A9">
      <w:pPr>
        <w:spacing w:after="240"/>
        <w:ind w:firstLine="720"/>
        <w:jc w:val="both"/>
        <w:rPr>
          <w:rFonts w:ascii="Cambria" w:hAnsi="Cambria" w:cs="Cambria"/>
          <w:b/>
          <w:bCs/>
          <w:sz w:val="20"/>
          <w:szCs w:val="20"/>
        </w:rPr>
      </w:pPr>
      <w:r w:rsidRPr="00D403CE">
        <w:rPr>
          <w:rFonts w:ascii="Cambria" w:hAnsi="Cambria" w:cs="Cambria"/>
          <w:b/>
          <w:bCs/>
          <w:sz w:val="20"/>
          <w:szCs w:val="20"/>
        </w:rPr>
        <w:lastRenderedPageBreak/>
        <w:t>I.</w:t>
      </w:r>
      <w:r w:rsidRPr="00D403CE">
        <w:rPr>
          <w:rFonts w:ascii="Cambria" w:hAnsi="Cambria" w:cs="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1A710D" w:rsidRPr="00EA0A37" w:rsidTr="00CD2EAB">
        <w:tc>
          <w:tcPr>
            <w:tcW w:w="3476" w:type="dxa"/>
            <w:tcBorders>
              <w:top w:val="single" w:sz="4" w:space="0" w:color="auto"/>
            </w:tcBorders>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Petitioner</w:t>
            </w:r>
            <w:r>
              <w:rPr>
                <w:rFonts w:ascii="Cambria" w:hAnsi="Cambria" w:cs="Cambria"/>
                <w:b/>
                <w:bCs/>
                <w:color w:val="FFFFFF"/>
                <w:sz w:val="20"/>
                <w:szCs w:val="20"/>
              </w:rPr>
              <w:t>s</w:t>
            </w:r>
            <w:r w:rsidRPr="00D403CE">
              <w:rPr>
                <w:rFonts w:ascii="Cambria" w:hAnsi="Cambria" w:cs="Cambria"/>
                <w:b/>
                <w:bCs/>
                <w:color w:val="FFFFFF"/>
                <w:sz w:val="20"/>
                <w:szCs w:val="20"/>
              </w:rPr>
              <w:t>:</w:t>
            </w:r>
          </w:p>
        </w:tc>
        <w:tc>
          <w:tcPr>
            <w:tcW w:w="5884" w:type="dxa"/>
            <w:tcBorders>
              <w:top w:val="single" w:sz="4" w:space="0" w:color="auto"/>
              <w:right w:val="single" w:sz="6" w:space="0" w:color="auto"/>
            </w:tcBorders>
            <w:vAlign w:val="center"/>
          </w:tcPr>
          <w:p w:rsidR="001A710D" w:rsidRPr="00EA0A37" w:rsidRDefault="001A710D" w:rsidP="00D403CE">
            <w:pPr>
              <w:rPr>
                <w:rFonts w:ascii="Cambria" w:hAnsi="Cambria" w:cs="Cambria"/>
                <w:sz w:val="20"/>
                <w:szCs w:val="20"/>
                <w:lang w:val="es-US"/>
              </w:rPr>
            </w:pPr>
            <w:proofErr w:type="spellStart"/>
            <w:r w:rsidRPr="00EA0A37">
              <w:rPr>
                <w:rFonts w:ascii="Cambria" w:hAnsi="Cambria" w:cs="Cambria"/>
                <w:sz w:val="20"/>
                <w:szCs w:val="20"/>
                <w:lang w:val="es-US"/>
              </w:rPr>
              <w:t>Anatulia</w:t>
            </w:r>
            <w:proofErr w:type="spellEnd"/>
            <w:r w:rsidRPr="00EA0A37">
              <w:rPr>
                <w:rFonts w:ascii="Cambria" w:hAnsi="Cambria" w:cs="Cambria"/>
                <w:sz w:val="20"/>
                <w:szCs w:val="20"/>
                <w:lang w:val="es-US"/>
              </w:rPr>
              <w:t xml:space="preserve"> Hernández Escobar, Rubén Flores Monroy, and Víctor Modesto Cruz Rodríguez</w:t>
            </w:r>
          </w:p>
        </w:tc>
      </w:tr>
      <w:tr w:rsidR="001A710D" w:rsidRPr="00E97820" w:rsidTr="00CD2EAB">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Alleged victim</w:t>
            </w:r>
            <w:r>
              <w:rPr>
                <w:rFonts w:ascii="Cambria" w:hAnsi="Cambria" w:cs="Cambria"/>
                <w:b/>
                <w:bCs/>
                <w:color w:val="FFFFFF"/>
                <w:sz w:val="20"/>
                <w:szCs w:val="20"/>
              </w:rPr>
              <w:t>s</w:t>
            </w:r>
            <w:r w:rsidRPr="00D403CE">
              <w:rPr>
                <w:rFonts w:ascii="Cambria" w:hAnsi="Cambria" w:cs="Cambria"/>
                <w:b/>
                <w:bCs/>
                <w:color w:val="FFFFFF"/>
                <w:sz w:val="20"/>
                <w:szCs w:val="20"/>
              </w:rPr>
              <w:t>:</w:t>
            </w:r>
          </w:p>
        </w:tc>
        <w:tc>
          <w:tcPr>
            <w:tcW w:w="5884" w:type="dxa"/>
            <w:tcBorders>
              <w:right w:val="single" w:sz="6" w:space="0" w:color="auto"/>
            </w:tcBorders>
            <w:vAlign w:val="center"/>
          </w:tcPr>
          <w:p w:rsidR="001A710D" w:rsidRPr="006D6C09" w:rsidRDefault="001A710D" w:rsidP="00D403CE">
            <w:pPr>
              <w:rPr>
                <w:rFonts w:ascii="Cambria" w:hAnsi="Cambria" w:cs="Cambria"/>
                <w:sz w:val="20"/>
                <w:szCs w:val="20"/>
                <w:lang w:val="pt-BR"/>
              </w:rPr>
            </w:pPr>
            <w:r w:rsidRPr="006D6C09">
              <w:rPr>
                <w:rFonts w:ascii="Cambria" w:hAnsi="Cambria" w:cs="Cambria"/>
                <w:color w:val="0D0D0D"/>
                <w:sz w:val="20"/>
                <w:szCs w:val="20"/>
                <w:lang w:val="pt-BR"/>
              </w:rPr>
              <w:t>Moisés de Jesús Hernández Pinto and family</w:t>
            </w:r>
            <w:r w:rsidRPr="00D403CE">
              <w:rPr>
                <w:rFonts w:ascii="Cambria" w:hAnsi="Cambria" w:cs="Cambria"/>
                <w:sz w:val="20"/>
                <w:szCs w:val="20"/>
                <w:vertAlign w:val="superscript"/>
              </w:rPr>
              <w:footnoteReference w:id="1"/>
            </w:r>
          </w:p>
        </w:tc>
      </w:tr>
      <w:tr w:rsidR="001A710D" w:rsidRPr="00D403CE" w:rsidTr="00CD2EAB">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smartTag w:uri="urn:schemas-microsoft-com:office:smarttags" w:element="place">
              <w:smartTag w:uri="urn:schemas-microsoft-com:office:smarttags" w:element="PlaceName">
                <w:r w:rsidRPr="00D403CE">
                  <w:rPr>
                    <w:rFonts w:ascii="Cambria" w:hAnsi="Cambria" w:cs="Cambria"/>
                    <w:b/>
                    <w:bCs/>
                    <w:color w:val="FFFFFF"/>
                    <w:sz w:val="20"/>
                    <w:szCs w:val="20"/>
                  </w:rPr>
                  <w:t>Respondent</w:t>
                </w:r>
              </w:smartTag>
              <w:r w:rsidRPr="00D403CE">
                <w:rPr>
                  <w:rFonts w:ascii="Cambria" w:hAnsi="Cambria" w:cs="Cambria"/>
                  <w:b/>
                  <w:bCs/>
                  <w:color w:val="FFFFFF"/>
                  <w:sz w:val="20"/>
                  <w:szCs w:val="20"/>
                </w:rPr>
                <w:t xml:space="preserve"> </w:t>
              </w:r>
              <w:smartTag w:uri="urn:schemas-microsoft-com:office:smarttags" w:element="PlaceType">
                <w:r w:rsidRPr="00D403CE">
                  <w:rPr>
                    <w:rFonts w:ascii="Cambria" w:hAnsi="Cambria" w:cs="Cambria"/>
                    <w:b/>
                    <w:bCs/>
                    <w:color w:val="FFFFFF"/>
                    <w:sz w:val="20"/>
                    <w:szCs w:val="20"/>
                  </w:rPr>
                  <w:t>State</w:t>
                </w:r>
              </w:smartTag>
            </w:smartTag>
            <w:r w:rsidRPr="00D403CE">
              <w:rPr>
                <w:rFonts w:ascii="Cambria" w:hAnsi="Cambria" w:cs="Cambria"/>
                <w:b/>
                <w:bCs/>
                <w:color w:val="FFFFFF"/>
                <w:sz w:val="20"/>
                <w:szCs w:val="20"/>
              </w:rPr>
              <w:t>:</w:t>
            </w:r>
          </w:p>
        </w:tc>
        <w:tc>
          <w:tcPr>
            <w:tcW w:w="5884" w:type="dxa"/>
            <w:tcBorders>
              <w:right w:val="single" w:sz="6" w:space="0" w:color="auto"/>
            </w:tcBorders>
            <w:vAlign w:val="center"/>
          </w:tcPr>
          <w:p w:rsidR="001A710D" w:rsidRPr="00D403CE" w:rsidRDefault="001A710D" w:rsidP="00D403CE">
            <w:pPr>
              <w:rPr>
                <w:rFonts w:ascii="Cambria" w:hAnsi="Cambria" w:cs="Cambria"/>
                <w:sz w:val="20"/>
                <w:szCs w:val="20"/>
              </w:rPr>
            </w:pPr>
            <w:smartTag w:uri="urn:schemas-microsoft-com:office:smarttags" w:element="place">
              <w:smartTag w:uri="urn:schemas-microsoft-com:office:smarttags" w:element="country-region">
                <w:r w:rsidRPr="00D403CE">
                  <w:rPr>
                    <w:rFonts w:ascii="Cambria" w:hAnsi="Cambria" w:cs="Cambria"/>
                    <w:sz w:val="20"/>
                    <w:szCs w:val="20"/>
                  </w:rPr>
                  <w:t>Guatemala</w:t>
                </w:r>
              </w:smartTag>
            </w:smartTag>
          </w:p>
        </w:tc>
      </w:tr>
      <w:tr w:rsidR="001A710D" w:rsidRPr="00D403CE" w:rsidTr="00CD2EAB">
        <w:tc>
          <w:tcPr>
            <w:tcW w:w="3476" w:type="dxa"/>
            <w:tcBorders>
              <w:bottom w:val="single" w:sz="4" w:space="0" w:color="auto"/>
            </w:tcBorders>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Rights invoked:</w:t>
            </w:r>
          </w:p>
        </w:tc>
        <w:tc>
          <w:tcPr>
            <w:tcW w:w="5884" w:type="dxa"/>
            <w:tcBorders>
              <w:bottom w:val="single" w:sz="4" w:space="0" w:color="auto"/>
              <w:right w:val="single" w:sz="6" w:space="0" w:color="auto"/>
            </w:tcBorders>
            <w:vAlign w:val="center"/>
          </w:tcPr>
          <w:p w:rsidR="001A710D" w:rsidRPr="00D403CE" w:rsidRDefault="001A710D" w:rsidP="006D6C09">
            <w:pPr>
              <w:jc w:val="both"/>
              <w:rPr>
                <w:rFonts w:ascii="Cambria" w:hAnsi="Cambria" w:cs="Cambria"/>
                <w:sz w:val="20"/>
                <w:szCs w:val="20"/>
              </w:rPr>
            </w:pPr>
            <w:r w:rsidRPr="00D403CE">
              <w:rPr>
                <w:rFonts w:ascii="Cambria" w:hAnsi="Cambria" w:cs="Cambria"/>
                <w:sz w:val="20"/>
                <w:szCs w:val="20"/>
              </w:rPr>
              <w:t>Articles I (life, liberty and personal security), VIII (residence and movement), IX (inviolability of the home), XVIII (fair trial), XXIII (property), and XXIV (petition) of the American Declaration of the Rights and Duties of Man</w:t>
            </w:r>
            <w:r>
              <w:rPr>
                <w:rFonts w:ascii="Cambria" w:hAnsi="Cambria" w:cs="Cambria"/>
                <w:sz w:val="20"/>
                <w:szCs w:val="20"/>
              </w:rPr>
              <w:t>,</w:t>
            </w:r>
            <w:r w:rsidRPr="00D403CE">
              <w:rPr>
                <w:rStyle w:val="FootnoteReference"/>
                <w:rFonts w:ascii="Cambria" w:hAnsi="Cambria" w:cs="Cambria"/>
                <w:sz w:val="20"/>
                <w:szCs w:val="20"/>
              </w:rPr>
              <w:footnoteReference w:id="2"/>
            </w:r>
            <w:r w:rsidRPr="00D403CE">
              <w:rPr>
                <w:rFonts w:ascii="Cambria" w:hAnsi="Cambria" w:cs="Cambria"/>
                <w:sz w:val="20"/>
                <w:szCs w:val="20"/>
              </w:rPr>
              <w:t xml:space="preserve"> and Articles 3 (juridical personality), 4 (life), 7 (personal liberty), 11 (privacy), 21 (property), 24 (equal protection), and 25 (judicial protection) of the American Convention on Human Rights</w:t>
            </w:r>
            <w:r w:rsidRPr="00D403CE">
              <w:rPr>
                <w:rFonts w:ascii="Cambria" w:hAnsi="Cambria" w:cs="Cambria"/>
                <w:sz w:val="20"/>
                <w:szCs w:val="20"/>
                <w:vertAlign w:val="superscript"/>
              </w:rPr>
              <w:footnoteReference w:id="3"/>
            </w:r>
          </w:p>
        </w:tc>
      </w:tr>
    </w:tbl>
    <w:p w:rsidR="001A710D" w:rsidRPr="00D403CE" w:rsidRDefault="001A710D" w:rsidP="008677A9">
      <w:pPr>
        <w:spacing w:before="240" w:after="240"/>
        <w:ind w:firstLine="720"/>
        <w:jc w:val="both"/>
        <w:rPr>
          <w:rFonts w:ascii="Cambria" w:hAnsi="Cambria" w:cs="Cambria"/>
          <w:b/>
          <w:bCs/>
          <w:sz w:val="20"/>
          <w:szCs w:val="20"/>
        </w:rPr>
      </w:pPr>
      <w:r w:rsidRPr="00D403CE">
        <w:rPr>
          <w:rFonts w:ascii="Cambria" w:hAnsi="Cambria" w:cs="Cambria"/>
          <w:b/>
          <w:bCs/>
          <w:sz w:val="20"/>
          <w:szCs w:val="20"/>
        </w:rPr>
        <w:t>II.</w:t>
      </w:r>
      <w:r w:rsidRPr="00D403CE">
        <w:rPr>
          <w:rFonts w:ascii="Cambria" w:hAnsi="Cambria" w:cs="Cambria"/>
          <w:b/>
          <w:bCs/>
          <w:sz w:val="20"/>
          <w:szCs w:val="20"/>
        </w:rPr>
        <w:tab/>
        <w:t>PROCEEDINGS BEFORE THE IACHR</w:t>
      </w:r>
      <w:r w:rsidRPr="00D403CE">
        <w:rPr>
          <w:rFonts w:ascii="Cambria" w:hAnsi="Cambria" w:cs="Cambria"/>
          <w:b/>
          <w:bCs/>
          <w:sz w:val="20"/>
          <w:szCs w:val="20"/>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1A710D" w:rsidRPr="00D403CE" w:rsidTr="00CD2EAB">
        <w:tc>
          <w:tcPr>
            <w:tcW w:w="3476" w:type="dxa"/>
            <w:tcBorders>
              <w:top w:val="single" w:sz="4" w:space="0" w:color="auto"/>
            </w:tcBorders>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Filing of the petition:</w:t>
            </w:r>
          </w:p>
        </w:tc>
        <w:tc>
          <w:tcPr>
            <w:tcW w:w="5884" w:type="dxa"/>
            <w:tcBorders>
              <w:top w:val="single" w:sz="4" w:space="0" w:color="auto"/>
              <w:right w:val="single" w:sz="6" w:space="0" w:color="auto"/>
            </w:tcBorders>
            <w:vAlign w:val="center"/>
          </w:tcPr>
          <w:p w:rsidR="001A710D" w:rsidRPr="00D403CE" w:rsidRDefault="001A710D" w:rsidP="00D403CE">
            <w:pPr>
              <w:rPr>
                <w:rFonts w:ascii="Cambria" w:hAnsi="Cambria" w:cs="Cambria"/>
                <w:sz w:val="20"/>
                <w:szCs w:val="20"/>
              </w:rPr>
            </w:pPr>
            <w:r w:rsidRPr="00D403CE">
              <w:rPr>
                <w:rFonts w:ascii="Cambria" w:hAnsi="Cambria" w:cs="Cambria"/>
                <w:sz w:val="20"/>
                <w:szCs w:val="20"/>
              </w:rPr>
              <w:t>September 29, 2008</w:t>
            </w:r>
          </w:p>
        </w:tc>
      </w:tr>
      <w:tr w:rsidR="001A710D" w:rsidRPr="00D403CE" w:rsidTr="00CD2EAB">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Additional information received at the stage of initial review:</w:t>
            </w:r>
          </w:p>
        </w:tc>
        <w:tc>
          <w:tcPr>
            <w:tcW w:w="5884" w:type="dxa"/>
            <w:tcBorders>
              <w:right w:val="single" w:sz="6" w:space="0" w:color="auto"/>
            </w:tcBorders>
            <w:vAlign w:val="center"/>
          </w:tcPr>
          <w:p w:rsidR="001A710D" w:rsidRPr="00D403CE" w:rsidRDefault="001A710D" w:rsidP="006D6C09">
            <w:pPr>
              <w:jc w:val="both"/>
              <w:rPr>
                <w:rFonts w:ascii="Cambria" w:hAnsi="Cambria" w:cs="Cambria"/>
                <w:sz w:val="20"/>
                <w:szCs w:val="20"/>
              </w:rPr>
            </w:pPr>
            <w:r w:rsidRPr="00D403CE">
              <w:rPr>
                <w:rFonts w:ascii="Cambria" w:hAnsi="Cambria" w:cs="Cambria"/>
                <w:sz w:val="20"/>
                <w:szCs w:val="20"/>
              </w:rPr>
              <w:t>March 29, April 5, and June 8, 2010; January 30, 2011; November 9, 2012; and July 28, 2014</w:t>
            </w:r>
          </w:p>
        </w:tc>
      </w:tr>
      <w:tr w:rsidR="001A710D" w:rsidRPr="00D403CE" w:rsidTr="00CD2EAB">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Notification of the petition to the State:</w:t>
            </w:r>
          </w:p>
        </w:tc>
        <w:tc>
          <w:tcPr>
            <w:tcW w:w="5884" w:type="dxa"/>
            <w:tcBorders>
              <w:right w:val="single" w:sz="6" w:space="0" w:color="auto"/>
            </w:tcBorders>
            <w:vAlign w:val="center"/>
          </w:tcPr>
          <w:p w:rsidR="001A710D" w:rsidRPr="00D403CE" w:rsidRDefault="001A710D" w:rsidP="00D403CE">
            <w:pPr>
              <w:rPr>
                <w:rFonts w:ascii="Cambria" w:hAnsi="Cambria" w:cs="Cambria"/>
                <w:sz w:val="20"/>
                <w:szCs w:val="20"/>
              </w:rPr>
            </w:pPr>
            <w:r w:rsidRPr="00D403CE">
              <w:rPr>
                <w:rFonts w:ascii="Cambria" w:hAnsi="Cambria" w:cs="Cambria"/>
                <w:sz w:val="20"/>
                <w:szCs w:val="20"/>
              </w:rPr>
              <w:t>December 17, 2014</w:t>
            </w:r>
          </w:p>
        </w:tc>
      </w:tr>
      <w:tr w:rsidR="001A710D" w:rsidRPr="00D403CE" w:rsidTr="00CD2EAB">
        <w:trPr>
          <w:trHeight w:val="264"/>
        </w:trPr>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State</w:t>
            </w:r>
            <w:r>
              <w:rPr>
                <w:rFonts w:ascii="Cambria" w:hAnsi="Cambria" w:cs="Cambria"/>
                <w:b/>
                <w:bCs/>
                <w:color w:val="FFFFFF"/>
                <w:sz w:val="20"/>
                <w:szCs w:val="20"/>
              </w:rPr>
              <w:t>’</w:t>
            </w:r>
            <w:r w:rsidRPr="00D403CE">
              <w:rPr>
                <w:rFonts w:ascii="Cambria" w:hAnsi="Cambria" w:cs="Cambria"/>
                <w:b/>
                <w:bCs/>
                <w:color w:val="FFFFFF"/>
                <w:sz w:val="20"/>
                <w:szCs w:val="20"/>
              </w:rPr>
              <w:t>s first response:</w:t>
            </w:r>
          </w:p>
        </w:tc>
        <w:tc>
          <w:tcPr>
            <w:tcW w:w="5884" w:type="dxa"/>
            <w:tcBorders>
              <w:right w:val="single" w:sz="6" w:space="0" w:color="auto"/>
            </w:tcBorders>
            <w:vAlign w:val="center"/>
          </w:tcPr>
          <w:p w:rsidR="001A710D" w:rsidRPr="00D403CE" w:rsidRDefault="001A710D" w:rsidP="00D403CE">
            <w:pPr>
              <w:rPr>
                <w:rFonts w:ascii="Cambria" w:hAnsi="Cambria" w:cs="Cambria"/>
                <w:sz w:val="20"/>
                <w:szCs w:val="20"/>
              </w:rPr>
            </w:pPr>
            <w:r w:rsidRPr="00D403CE">
              <w:rPr>
                <w:rFonts w:ascii="Cambria" w:hAnsi="Cambria" w:cs="Cambria"/>
                <w:sz w:val="20"/>
                <w:szCs w:val="20"/>
              </w:rPr>
              <w:t>March 19, 2015</w:t>
            </w:r>
          </w:p>
        </w:tc>
      </w:tr>
      <w:tr w:rsidR="001A710D" w:rsidRPr="00D403CE" w:rsidTr="00CD2EAB">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Additional observations from the petitioner:</w:t>
            </w:r>
          </w:p>
        </w:tc>
        <w:tc>
          <w:tcPr>
            <w:tcW w:w="5884" w:type="dxa"/>
            <w:tcBorders>
              <w:right w:val="single" w:sz="6" w:space="0" w:color="auto"/>
            </w:tcBorders>
            <w:vAlign w:val="center"/>
          </w:tcPr>
          <w:p w:rsidR="001A710D" w:rsidRPr="00D403CE" w:rsidRDefault="001A710D" w:rsidP="00D403CE">
            <w:pPr>
              <w:rPr>
                <w:rFonts w:ascii="Cambria" w:hAnsi="Cambria" w:cs="Cambria"/>
                <w:sz w:val="20"/>
                <w:szCs w:val="20"/>
              </w:rPr>
            </w:pPr>
            <w:r w:rsidRPr="00D403CE">
              <w:rPr>
                <w:rFonts w:ascii="Cambria" w:hAnsi="Cambria" w:cs="Cambria"/>
                <w:sz w:val="20"/>
                <w:szCs w:val="20"/>
              </w:rPr>
              <w:t>November 13 and December 2, 2015; and November 2, 2016</w:t>
            </w:r>
          </w:p>
        </w:tc>
      </w:tr>
      <w:tr w:rsidR="001A710D" w:rsidRPr="00D403CE" w:rsidTr="00CD2EAB">
        <w:tc>
          <w:tcPr>
            <w:tcW w:w="3476" w:type="dxa"/>
            <w:tcBorders>
              <w:bottom w:val="single" w:sz="4" w:space="0" w:color="auto"/>
            </w:tcBorders>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Additional observations from the State:</w:t>
            </w:r>
          </w:p>
        </w:tc>
        <w:tc>
          <w:tcPr>
            <w:tcW w:w="5884" w:type="dxa"/>
            <w:tcBorders>
              <w:bottom w:val="single" w:sz="4" w:space="0" w:color="auto"/>
              <w:right w:val="single" w:sz="6" w:space="0" w:color="auto"/>
            </w:tcBorders>
            <w:vAlign w:val="center"/>
          </w:tcPr>
          <w:p w:rsidR="001A710D" w:rsidRPr="00D403CE" w:rsidRDefault="001A710D" w:rsidP="00D403CE">
            <w:pPr>
              <w:rPr>
                <w:rFonts w:ascii="Cambria" w:hAnsi="Cambria" w:cs="Cambria"/>
                <w:sz w:val="20"/>
                <w:szCs w:val="20"/>
              </w:rPr>
            </w:pPr>
            <w:r w:rsidRPr="00D403CE">
              <w:rPr>
                <w:rFonts w:ascii="Cambria" w:hAnsi="Cambria" w:cs="Cambria"/>
                <w:sz w:val="20"/>
                <w:szCs w:val="20"/>
              </w:rPr>
              <w:t>September 26, 2016</w:t>
            </w:r>
          </w:p>
        </w:tc>
      </w:tr>
    </w:tbl>
    <w:p w:rsidR="001A710D" w:rsidRPr="00D403CE" w:rsidRDefault="001A710D" w:rsidP="008677A9">
      <w:pPr>
        <w:spacing w:before="240" w:after="240"/>
        <w:ind w:firstLine="720"/>
        <w:jc w:val="both"/>
        <w:rPr>
          <w:rFonts w:ascii="Cambria" w:hAnsi="Cambria" w:cs="Cambria"/>
          <w:b/>
          <w:bCs/>
          <w:sz w:val="20"/>
          <w:szCs w:val="20"/>
        </w:rPr>
      </w:pPr>
      <w:r w:rsidRPr="00D403CE">
        <w:rPr>
          <w:rFonts w:ascii="Cambria" w:hAnsi="Cambria" w:cs="Cambria"/>
          <w:b/>
          <w:bCs/>
          <w:sz w:val="20"/>
          <w:szCs w:val="20"/>
        </w:rPr>
        <w:t xml:space="preserve">III. </w:t>
      </w:r>
      <w:r w:rsidRPr="00D403CE">
        <w:rPr>
          <w:rFonts w:ascii="Cambria" w:hAnsi="Cambria" w:cs="Cambria"/>
          <w:b/>
          <w:bCs/>
          <w:sz w:val="20"/>
          <w:szCs w:val="20"/>
        </w:rPr>
        <w:tab/>
        <w:t xml:space="preserve">COMPETENCE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1A710D" w:rsidRPr="00D403CE" w:rsidTr="00CD2EAB">
        <w:trPr>
          <w:cantSplit/>
        </w:trPr>
        <w:tc>
          <w:tcPr>
            <w:tcW w:w="3476" w:type="dxa"/>
            <w:tcBorders>
              <w:top w:val="single" w:sz="4" w:space="0" w:color="auto"/>
            </w:tcBorders>
            <w:shd w:val="clear" w:color="auto" w:fill="67AE3C"/>
            <w:vAlign w:val="center"/>
          </w:tcPr>
          <w:p w:rsidR="001A710D" w:rsidRPr="00D403CE" w:rsidRDefault="001A710D" w:rsidP="00423EF3">
            <w:pPr>
              <w:jc w:val="center"/>
              <w:rPr>
                <w:rFonts w:ascii="Cambria" w:hAnsi="Cambria" w:cs="Cambria"/>
                <w:b/>
                <w:bCs/>
                <w:i/>
                <w:iCs/>
                <w:color w:val="FFFFFF"/>
                <w:sz w:val="20"/>
                <w:szCs w:val="20"/>
              </w:rPr>
            </w:pPr>
            <w:r w:rsidRPr="00D403CE">
              <w:rPr>
                <w:rFonts w:ascii="Cambria" w:hAnsi="Cambria" w:cs="Cambria"/>
                <w:b/>
                <w:bCs/>
                <w:color w:val="FFFFFF"/>
                <w:sz w:val="20"/>
                <w:szCs w:val="20"/>
              </w:rPr>
              <w:t xml:space="preserve">Competence </w:t>
            </w:r>
            <w:r w:rsidRPr="00D403CE">
              <w:rPr>
                <w:rFonts w:ascii="Cambria" w:hAnsi="Cambria" w:cs="Cambria"/>
                <w:b/>
                <w:bCs/>
                <w:i/>
                <w:iCs/>
                <w:color w:val="FFFFFF"/>
                <w:sz w:val="20"/>
                <w:szCs w:val="20"/>
              </w:rPr>
              <w:t>Ratione personae</w:t>
            </w:r>
            <w:r w:rsidRPr="00387FCC">
              <w:rPr>
                <w:rFonts w:ascii="Cambria" w:hAnsi="Cambria" w:cs="Cambria"/>
                <w:b/>
                <w:bCs/>
                <w:color w:val="FFFFFF"/>
                <w:sz w:val="20"/>
                <w:szCs w:val="20"/>
              </w:rPr>
              <w:t>:</w:t>
            </w:r>
          </w:p>
        </w:tc>
        <w:tc>
          <w:tcPr>
            <w:tcW w:w="5884" w:type="dxa"/>
            <w:tcBorders>
              <w:top w:val="single" w:sz="4" w:space="0" w:color="auto"/>
              <w:right w:val="single" w:sz="6" w:space="0" w:color="auto"/>
            </w:tcBorders>
          </w:tcPr>
          <w:p w:rsidR="001A710D" w:rsidRPr="00D403CE" w:rsidRDefault="001A710D" w:rsidP="00D403CE">
            <w:pPr>
              <w:rPr>
                <w:rFonts w:ascii="Cambria" w:hAnsi="Cambria" w:cs="Cambria"/>
                <w:sz w:val="20"/>
                <w:szCs w:val="20"/>
              </w:rPr>
            </w:pPr>
            <w:r w:rsidRPr="00D403CE">
              <w:rPr>
                <w:rFonts w:ascii="Cambria" w:hAnsi="Cambria" w:cs="Cambria"/>
                <w:sz w:val="20"/>
                <w:szCs w:val="20"/>
              </w:rPr>
              <w:t>Yes</w:t>
            </w:r>
          </w:p>
        </w:tc>
      </w:tr>
      <w:tr w:rsidR="001A710D" w:rsidRPr="00D403CE" w:rsidTr="00CD2EAB">
        <w:trPr>
          <w:cantSplit/>
        </w:trPr>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 xml:space="preserve">Competence </w:t>
            </w:r>
            <w:r w:rsidRPr="00D403CE">
              <w:rPr>
                <w:rFonts w:ascii="Cambria" w:hAnsi="Cambria" w:cs="Cambria"/>
                <w:b/>
                <w:bCs/>
                <w:i/>
                <w:iCs/>
                <w:color w:val="FFFFFF"/>
                <w:sz w:val="20"/>
                <w:szCs w:val="20"/>
              </w:rPr>
              <w:t>Ratione loci</w:t>
            </w:r>
            <w:r w:rsidRPr="00D403CE">
              <w:rPr>
                <w:rFonts w:ascii="Cambria" w:hAnsi="Cambria" w:cs="Cambria"/>
                <w:b/>
                <w:bCs/>
                <w:color w:val="FFFFFF"/>
                <w:sz w:val="20"/>
                <w:szCs w:val="20"/>
              </w:rPr>
              <w:t>:</w:t>
            </w:r>
          </w:p>
        </w:tc>
        <w:tc>
          <w:tcPr>
            <w:tcW w:w="5884" w:type="dxa"/>
            <w:tcBorders>
              <w:right w:val="single" w:sz="6" w:space="0" w:color="auto"/>
            </w:tcBorders>
          </w:tcPr>
          <w:p w:rsidR="001A710D" w:rsidRPr="00D403CE" w:rsidRDefault="001A710D" w:rsidP="00D403CE">
            <w:pPr>
              <w:rPr>
                <w:rFonts w:ascii="Cambria" w:hAnsi="Cambria" w:cs="Cambria"/>
                <w:sz w:val="20"/>
                <w:szCs w:val="20"/>
              </w:rPr>
            </w:pPr>
            <w:r w:rsidRPr="00D403CE">
              <w:rPr>
                <w:rFonts w:ascii="Cambria" w:hAnsi="Cambria" w:cs="Cambria"/>
                <w:sz w:val="20"/>
                <w:szCs w:val="20"/>
              </w:rPr>
              <w:t>Yes</w:t>
            </w:r>
          </w:p>
        </w:tc>
      </w:tr>
      <w:tr w:rsidR="001A710D" w:rsidRPr="00D403CE" w:rsidTr="00CD2EAB">
        <w:trPr>
          <w:cantSplit/>
        </w:trPr>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 xml:space="preserve">Competence </w:t>
            </w:r>
            <w:r w:rsidRPr="00D403CE">
              <w:rPr>
                <w:rFonts w:ascii="Cambria" w:hAnsi="Cambria" w:cs="Cambria"/>
                <w:b/>
                <w:bCs/>
                <w:i/>
                <w:iCs/>
                <w:color w:val="FFFFFF"/>
                <w:sz w:val="20"/>
                <w:szCs w:val="20"/>
              </w:rPr>
              <w:t>Ratione temporis</w:t>
            </w:r>
            <w:r w:rsidRPr="00D403CE">
              <w:rPr>
                <w:rFonts w:ascii="Cambria" w:hAnsi="Cambria" w:cs="Cambria"/>
                <w:b/>
                <w:bCs/>
                <w:color w:val="FFFFFF"/>
                <w:sz w:val="20"/>
                <w:szCs w:val="20"/>
              </w:rPr>
              <w:t>:</w:t>
            </w:r>
          </w:p>
        </w:tc>
        <w:tc>
          <w:tcPr>
            <w:tcW w:w="5884" w:type="dxa"/>
            <w:tcBorders>
              <w:right w:val="single" w:sz="6" w:space="0" w:color="auto"/>
            </w:tcBorders>
          </w:tcPr>
          <w:p w:rsidR="001A710D" w:rsidRPr="00D403CE" w:rsidRDefault="001A710D" w:rsidP="00D403CE">
            <w:pPr>
              <w:rPr>
                <w:rFonts w:ascii="Cambria" w:hAnsi="Cambria" w:cs="Cambria"/>
                <w:sz w:val="20"/>
                <w:szCs w:val="20"/>
              </w:rPr>
            </w:pPr>
            <w:r w:rsidRPr="00D403CE">
              <w:rPr>
                <w:rFonts w:ascii="Cambria" w:hAnsi="Cambria" w:cs="Cambria"/>
                <w:sz w:val="20"/>
                <w:szCs w:val="20"/>
              </w:rPr>
              <w:t>Yes</w:t>
            </w:r>
          </w:p>
        </w:tc>
      </w:tr>
      <w:tr w:rsidR="001A710D" w:rsidRPr="00D403CE" w:rsidTr="00CD2EAB">
        <w:trPr>
          <w:cantSplit/>
        </w:trPr>
        <w:tc>
          <w:tcPr>
            <w:tcW w:w="3476" w:type="dxa"/>
            <w:tcBorders>
              <w:bottom w:val="single" w:sz="4" w:space="0" w:color="auto"/>
            </w:tcBorders>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 xml:space="preserve">Competence </w:t>
            </w:r>
            <w:r w:rsidRPr="00D403CE">
              <w:rPr>
                <w:rFonts w:ascii="Cambria" w:hAnsi="Cambria" w:cs="Cambria"/>
                <w:b/>
                <w:bCs/>
                <w:i/>
                <w:iCs/>
                <w:color w:val="FFFFFF"/>
                <w:sz w:val="20"/>
                <w:szCs w:val="20"/>
              </w:rPr>
              <w:t>Ratione materiae</w:t>
            </w:r>
            <w:r w:rsidRPr="00D403CE">
              <w:rPr>
                <w:rFonts w:ascii="Cambria" w:hAnsi="Cambria" w:cs="Cambria"/>
                <w:b/>
                <w:bCs/>
                <w:color w:val="FFFFFF"/>
                <w:sz w:val="20"/>
                <w:szCs w:val="20"/>
              </w:rPr>
              <w:t>:</w:t>
            </w:r>
          </w:p>
        </w:tc>
        <w:tc>
          <w:tcPr>
            <w:tcW w:w="5884" w:type="dxa"/>
            <w:tcBorders>
              <w:bottom w:val="single" w:sz="4" w:space="0" w:color="auto"/>
              <w:right w:val="single" w:sz="6" w:space="0" w:color="auto"/>
            </w:tcBorders>
            <w:vAlign w:val="center"/>
          </w:tcPr>
          <w:p w:rsidR="001A710D" w:rsidRPr="00D403CE" w:rsidRDefault="006D6C09" w:rsidP="006D6C09">
            <w:pPr>
              <w:jc w:val="both"/>
              <w:rPr>
                <w:rFonts w:ascii="Cambria" w:hAnsi="Cambria" w:cs="Cambria"/>
                <w:sz w:val="20"/>
                <w:szCs w:val="20"/>
              </w:rPr>
            </w:pPr>
            <w:r>
              <w:rPr>
                <w:rFonts w:ascii="Cambria" w:hAnsi="Cambria" w:cs="Cambria"/>
                <w:sz w:val="20"/>
                <w:szCs w:val="20"/>
              </w:rPr>
              <w:t>Yes,</w:t>
            </w:r>
            <w:r w:rsidR="001A710D" w:rsidRPr="00D403CE">
              <w:rPr>
                <w:rFonts w:ascii="Cambria" w:hAnsi="Cambria" w:cs="Cambria"/>
                <w:sz w:val="20"/>
                <w:szCs w:val="20"/>
              </w:rPr>
              <w:t xml:space="preserve"> American Declaration (instrument of ratification deposited on April 6, 1955); and American Convention (instrument of ratification deposited on May 25, 1978)</w:t>
            </w:r>
          </w:p>
        </w:tc>
      </w:tr>
    </w:tbl>
    <w:p w:rsidR="001A710D" w:rsidRPr="00D403CE" w:rsidRDefault="001A710D" w:rsidP="00387FCC">
      <w:pPr>
        <w:spacing w:before="240" w:after="240"/>
        <w:ind w:left="1440" w:hanging="720"/>
        <w:jc w:val="both"/>
        <w:rPr>
          <w:rFonts w:ascii="Cambria" w:hAnsi="Cambria" w:cs="Cambria"/>
          <w:b/>
          <w:bCs/>
          <w:sz w:val="20"/>
          <w:szCs w:val="20"/>
        </w:rPr>
      </w:pPr>
      <w:r w:rsidRPr="00D403CE">
        <w:rPr>
          <w:rFonts w:ascii="Cambria" w:hAnsi="Cambria" w:cs="Cambria"/>
          <w:b/>
          <w:bCs/>
          <w:sz w:val="20"/>
          <w:szCs w:val="20"/>
        </w:rPr>
        <w:t xml:space="preserve">IV. </w:t>
      </w:r>
      <w:r w:rsidRPr="00D403CE">
        <w:rPr>
          <w:rFonts w:ascii="Cambria" w:hAnsi="Cambria" w:cs="Cambria"/>
          <w:b/>
          <w:bCs/>
          <w:sz w:val="20"/>
          <w:szCs w:val="20"/>
        </w:rPr>
        <w:tab/>
        <w:t xml:space="preserve">DUPLICATION OF PROCEDURES AND INTERNATIONAL </w:t>
      </w:r>
      <w:r w:rsidRPr="00D403CE">
        <w:rPr>
          <w:rFonts w:ascii="Cambria" w:hAnsi="Cambria" w:cs="Cambria"/>
          <w:b/>
          <w:bCs/>
          <w:i/>
          <w:iCs/>
          <w:sz w:val="20"/>
          <w:szCs w:val="20"/>
        </w:rPr>
        <w:t>RES JUDICATA</w:t>
      </w:r>
      <w:r w:rsidRPr="00D403CE">
        <w:rPr>
          <w:rFonts w:ascii="Cambria" w:hAnsi="Cambria" w:cs="Cambria"/>
          <w:b/>
          <w:bCs/>
          <w:sz w:val="20"/>
          <w:szCs w:val="20"/>
        </w:rPr>
        <w:t>, COLORABLE CLAIM, EXHAUSTION OF DOMESTIC REMEDIES, AND TIMELINESS OF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1A710D" w:rsidRPr="00D403CE" w:rsidTr="00CD2EAB">
        <w:trPr>
          <w:cantSplit/>
        </w:trPr>
        <w:tc>
          <w:tcPr>
            <w:tcW w:w="3476" w:type="dxa"/>
            <w:tcBorders>
              <w:top w:val="single" w:sz="4" w:space="0" w:color="auto"/>
            </w:tcBorders>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 xml:space="preserve">Duplication of procedures and International </w:t>
            </w:r>
            <w:r w:rsidRPr="00D403CE">
              <w:rPr>
                <w:rFonts w:ascii="Cambria" w:hAnsi="Cambria" w:cs="Cambria"/>
                <w:b/>
                <w:bCs/>
                <w:i/>
                <w:iCs/>
                <w:color w:val="FFFFFF"/>
                <w:sz w:val="20"/>
                <w:szCs w:val="20"/>
              </w:rPr>
              <w:t>res judicata</w:t>
            </w:r>
            <w:r w:rsidRPr="00D403CE">
              <w:rPr>
                <w:rFonts w:ascii="Cambria" w:hAnsi="Cambria" w:cs="Cambria"/>
                <w:b/>
                <w:bCs/>
                <w:color w:val="FFFFFF"/>
                <w:sz w:val="20"/>
                <w:szCs w:val="20"/>
              </w:rPr>
              <w:t>:</w:t>
            </w:r>
          </w:p>
        </w:tc>
        <w:tc>
          <w:tcPr>
            <w:tcW w:w="5884" w:type="dxa"/>
            <w:tcBorders>
              <w:top w:val="single" w:sz="4" w:space="0" w:color="auto"/>
              <w:right w:val="single" w:sz="6" w:space="0" w:color="auto"/>
            </w:tcBorders>
            <w:vAlign w:val="center"/>
          </w:tcPr>
          <w:p w:rsidR="001A710D" w:rsidRPr="00D403CE" w:rsidRDefault="001A710D" w:rsidP="00D403CE">
            <w:pPr>
              <w:rPr>
                <w:rFonts w:ascii="Cambria" w:hAnsi="Cambria" w:cs="Cambria"/>
                <w:sz w:val="20"/>
                <w:szCs w:val="20"/>
              </w:rPr>
            </w:pPr>
            <w:r w:rsidRPr="00D403CE">
              <w:rPr>
                <w:rFonts w:ascii="Cambria" w:hAnsi="Cambria" w:cs="Cambria"/>
                <w:sz w:val="20"/>
                <w:szCs w:val="20"/>
              </w:rPr>
              <w:t>No</w:t>
            </w:r>
          </w:p>
        </w:tc>
      </w:tr>
      <w:tr w:rsidR="001A710D" w:rsidRPr="00D403CE" w:rsidTr="00CD2EAB">
        <w:trPr>
          <w:cantSplit/>
        </w:trPr>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Rights declared admissible</w:t>
            </w:r>
          </w:p>
        </w:tc>
        <w:tc>
          <w:tcPr>
            <w:tcW w:w="5884" w:type="dxa"/>
            <w:tcBorders>
              <w:right w:val="single" w:sz="6" w:space="0" w:color="auto"/>
            </w:tcBorders>
            <w:vAlign w:val="center"/>
          </w:tcPr>
          <w:p w:rsidR="001A710D" w:rsidRPr="00D403CE" w:rsidRDefault="001A710D" w:rsidP="006D6C09">
            <w:pPr>
              <w:jc w:val="both"/>
              <w:rPr>
                <w:rFonts w:ascii="Cambria" w:hAnsi="Cambria" w:cs="Cambria"/>
                <w:sz w:val="20"/>
                <w:szCs w:val="20"/>
              </w:rPr>
            </w:pPr>
            <w:r w:rsidRPr="00D403CE">
              <w:rPr>
                <w:rFonts w:ascii="Cambria" w:hAnsi="Cambria" w:cs="Cambria"/>
                <w:sz w:val="20"/>
                <w:szCs w:val="20"/>
              </w:rPr>
              <w:t xml:space="preserve">Articles 4 (life), 5 (humane treatment), 8 (fair trial), 21 (property), 22 (movement and residence), and 25 (judicial protection) of the American Convention, in conjunction with Article 1.1 thereof (obligation to respect rights); and Articles I (life, liberty and personal security), VII (protection for mothers and children), VIII (residence and movement), IX (inviolability of the home), XVIII (fair trial), and XXIII (property) of the American Declaration </w:t>
            </w:r>
          </w:p>
        </w:tc>
      </w:tr>
      <w:tr w:rsidR="001A710D" w:rsidRPr="00D403CE" w:rsidTr="00CD2EAB">
        <w:trPr>
          <w:cantSplit/>
        </w:trPr>
        <w:tc>
          <w:tcPr>
            <w:tcW w:w="3476" w:type="dxa"/>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lastRenderedPageBreak/>
              <w:t>Exhaustion of domestic remedies or applicability of an exception to the rule:</w:t>
            </w:r>
          </w:p>
        </w:tc>
        <w:tc>
          <w:tcPr>
            <w:tcW w:w="5884" w:type="dxa"/>
            <w:tcBorders>
              <w:right w:val="single" w:sz="6" w:space="0" w:color="auto"/>
            </w:tcBorders>
            <w:vAlign w:val="center"/>
          </w:tcPr>
          <w:p w:rsidR="001A710D" w:rsidRPr="00D403CE" w:rsidRDefault="001A710D" w:rsidP="00423EF3">
            <w:pPr>
              <w:rPr>
                <w:rFonts w:ascii="Cambria" w:hAnsi="Cambria" w:cs="Cambria"/>
                <w:sz w:val="20"/>
                <w:szCs w:val="20"/>
              </w:rPr>
            </w:pPr>
            <w:r w:rsidRPr="00D403CE">
              <w:rPr>
                <w:rFonts w:ascii="Cambria" w:hAnsi="Cambria" w:cs="Cambria"/>
                <w:sz w:val="20"/>
                <w:szCs w:val="20"/>
              </w:rPr>
              <w:t>Yes, as indicated in section VI</w:t>
            </w:r>
          </w:p>
        </w:tc>
      </w:tr>
      <w:tr w:rsidR="001A710D" w:rsidRPr="00D403CE" w:rsidTr="00CD2EAB">
        <w:trPr>
          <w:cantSplit/>
        </w:trPr>
        <w:tc>
          <w:tcPr>
            <w:tcW w:w="3476" w:type="dxa"/>
            <w:tcBorders>
              <w:bottom w:val="single" w:sz="4" w:space="0" w:color="auto"/>
            </w:tcBorders>
            <w:shd w:val="clear" w:color="auto" w:fill="67AE3C"/>
            <w:vAlign w:val="center"/>
          </w:tcPr>
          <w:p w:rsidR="001A710D" w:rsidRPr="00D403CE" w:rsidRDefault="001A710D" w:rsidP="00423EF3">
            <w:pPr>
              <w:jc w:val="center"/>
              <w:rPr>
                <w:rFonts w:ascii="Cambria" w:hAnsi="Cambria" w:cs="Cambria"/>
                <w:b/>
                <w:bCs/>
                <w:color w:val="FFFFFF"/>
                <w:sz w:val="20"/>
                <w:szCs w:val="20"/>
              </w:rPr>
            </w:pPr>
            <w:r w:rsidRPr="00D403CE">
              <w:rPr>
                <w:rFonts w:ascii="Cambria" w:hAnsi="Cambria" w:cs="Cambria"/>
                <w:b/>
                <w:bCs/>
                <w:color w:val="FFFFFF"/>
                <w:sz w:val="20"/>
                <w:szCs w:val="20"/>
              </w:rPr>
              <w:t>Timeliness of the petition:</w:t>
            </w:r>
          </w:p>
        </w:tc>
        <w:tc>
          <w:tcPr>
            <w:tcW w:w="5884" w:type="dxa"/>
            <w:tcBorders>
              <w:bottom w:val="single" w:sz="4" w:space="0" w:color="auto"/>
              <w:right w:val="single" w:sz="6" w:space="0" w:color="auto"/>
            </w:tcBorders>
            <w:vAlign w:val="center"/>
          </w:tcPr>
          <w:p w:rsidR="001A710D" w:rsidRPr="00D403CE" w:rsidRDefault="001A710D" w:rsidP="00423EF3">
            <w:pPr>
              <w:rPr>
                <w:rFonts w:ascii="Cambria" w:hAnsi="Cambria" w:cs="Cambria"/>
                <w:sz w:val="20"/>
                <w:szCs w:val="20"/>
              </w:rPr>
            </w:pPr>
            <w:r w:rsidRPr="00D403CE">
              <w:rPr>
                <w:rFonts w:ascii="Cambria" w:hAnsi="Cambria" w:cs="Cambria"/>
                <w:sz w:val="20"/>
                <w:szCs w:val="20"/>
              </w:rPr>
              <w:t>Yes, as indicated in section VI</w:t>
            </w:r>
          </w:p>
        </w:tc>
      </w:tr>
    </w:tbl>
    <w:p w:rsidR="001A710D" w:rsidRPr="00D403CE" w:rsidRDefault="001A710D" w:rsidP="008677A9">
      <w:pPr>
        <w:spacing w:before="240" w:after="240"/>
        <w:ind w:firstLine="720"/>
        <w:jc w:val="both"/>
        <w:rPr>
          <w:rFonts w:ascii="Cambria" w:hAnsi="Cambria" w:cs="Cambria"/>
          <w:b/>
          <w:bCs/>
          <w:sz w:val="20"/>
          <w:szCs w:val="20"/>
        </w:rPr>
      </w:pPr>
      <w:r w:rsidRPr="00D403CE">
        <w:rPr>
          <w:rFonts w:ascii="Cambria" w:hAnsi="Cambria" w:cs="Cambria"/>
          <w:b/>
          <w:bCs/>
          <w:sz w:val="20"/>
          <w:szCs w:val="20"/>
        </w:rPr>
        <w:t xml:space="preserve">V. </w:t>
      </w:r>
      <w:r w:rsidRPr="00D403CE">
        <w:rPr>
          <w:rFonts w:ascii="Cambria" w:hAnsi="Cambria" w:cs="Cambria"/>
          <w:b/>
          <w:bCs/>
          <w:sz w:val="20"/>
          <w:szCs w:val="20"/>
        </w:rPr>
        <w:tab/>
        <w:t>FACTS ALLEGED</w:t>
      </w:r>
    </w:p>
    <w:p w:rsidR="001A710D" w:rsidRPr="00D403CE" w:rsidRDefault="001A710D" w:rsidP="003A334C">
      <w:pPr>
        <w:numPr>
          <w:ilvl w:val="0"/>
          <w:numId w:val="51"/>
        </w:numPr>
        <w:suppressAutoHyphens/>
        <w:spacing w:after="240"/>
        <w:jc w:val="both"/>
        <w:rPr>
          <w:rFonts w:ascii="Cambria" w:hAnsi="Cambria" w:cs="Cambria"/>
          <w:sz w:val="20"/>
          <w:szCs w:val="20"/>
        </w:rPr>
      </w:pPr>
      <w:r w:rsidRPr="00D403CE">
        <w:rPr>
          <w:rFonts w:ascii="Cambria" w:hAnsi="Cambria" w:cs="Cambria"/>
          <w:sz w:val="20"/>
          <w:szCs w:val="20"/>
        </w:rPr>
        <w:t xml:space="preserve">The petitioners claim that the Guatemalan State is internationally responsible for a series of violations suffered by the owners of the Jupilingo and San José de las Lágrimas estates (hereinafter </w:t>
      </w:r>
      <w:r>
        <w:rPr>
          <w:rFonts w:ascii="Cambria" w:hAnsi="Cambria" w:cs="Cambria"/>
          <w:sz w:val="20"/>
          <w:szCs w:val="20"/>
        </w:rPr>
        <w:t>“</w:t>
      </w:r>
      <w:r w:rsidRPr="00D403CE">
        <w:rPr>
          <w:rFonts w:ascii="Cambria" w:hAnsi="Cambria" w:cs="Cambria"/>
          <w:sz w:val="20"/>
          <w:szCs w:val="20"/>
        </w:rPr>
        <w:t>the alleged victims</w:t>
      </w:r>
      <w:r>
        <w:rPr>
          <w:rFonts w:ascii="Cambria" w:hAnsi="Cambria" w:cs="Cambria"/>
          <w:sz w:val="20"/>
          <w:szCs w:val="20"/>
        </w:rPr>
        <w:t>”</w:t>
      </w:r>
      <w:r w:rsidRPr="00D403CE">
        <w:rPr>
          <w:rFonts w:ascii="Cambria" w:hAnsi="Cambria" w:cs="Cambria"/>
          <w:sz w:val="20"/>
          <w:szCs w:val="20"/>
        </w:rPr>
        <w:t xml:space="preserve">) at the hands of members of the Army and paramilitary groups. They explain that the members of the Hernández family are the owners of those estates, which </w:t>
      </w:r>
      <w:proofErr w:type="gramStart"/>
      <w:r w:rsidRPr="003A334C">
        <w:rPr>
          <w:rFonts w:ascii="Cambria" w:hAnsi="Cambria" w:cs="Cambria"/>
          <w:sz w:val="20"/>
          <w:szCs w:val="20"/>
        </w:rPr>
        <w:t>cover</w:t>
      </w:r>
      <w:r w:rsidRPr="003A334C">
        <w:rPr>
          <w:rFonts w:ascii="Cambria" w:hAnsi="Cambria" w:cs="Cambria"/>
          <w:color w:val="FF0000"/>
          <w:sz w:val="20"/>
          <w:szCs w:val="20"/>
        </w:rPr>
        <w:t xml:space="preserve"> </w:t>
      </w:r>
      <w:r w:rsidRPr="00D403CE">
        <w:rPr>
          <w:rFonts w:ascii="Cambria" w:hAnsi="Cambria" w:cs="Cambria"/>
          <w:sz w:val="20"/>
          <w:szCs w:val="20"/>
        </w:rPr>
        <w:t xml:space="preserve"> </w:t>
      </w:r>
      <w:r w:rsidR="003A334C" w:rsidRPr="003A334C">
        <w:rPr>
          <w:rFonts w:ascii="Cambria" w:hAnsi="Cambria" w:cs="Cambria"/>
          <w:sz w:val="20"/>
          <w:szCs w:val="20"/>
        </w:rPr>
        <w:t>24</w:t>
      </w:r>
      <w:proofErr w:type="gramEnd"/>
      <w:r w:rsidR="003A334C" w:rsidRPr="003A334C">
        <w:rPr>
          <w:rFonts w:ascii="Cambria" w:hAnsi="Cambria" w:cs="Cambria"/>
          <w:sz w:val="20"/>
          <w:szCs w:val="20"/>
        </w:rPr>
        <w:t xml:space="preserve"> </w:t>
      </w:r>
      <w:proofErr w:type="spellStart"/>
      <w:r w:rsidR="003A334C" w:rsidRPr="003A334C">
        <w:rPr>
          <w:rFonts w:ascii="Cambria" w:hAnsi="Cambria" w:cs="Cambria"/>
          <w:i/>
          <w:sz w:val="20"/>
          <w:szCs w:val="20"/>
        </w:rPr>
        <w:t>caballerías</w:t>
      </w:r>
      <w:proofErr w:type="spellEnd"/>
      <w:r w:rsidR="003A334C" w:rsidRPr="003A334C">
        <w:rPr>
          <w:rFonts w:ascii="Cambria" w:hAnsi="Cambria" w:cs="Cambria"/>
          <w:i/>
          <w:sz w:val="20"/>
          <w:szCs w:val="20"/>
        </w:rPr>
        <w:t xml:space="preserve"> </w:t>
      </w:r>
      <w:r w:rsidR="003A334C" w:rsidRPr="003A334C">
        <w:rPr>
          <w:rFonts w:ascii="Cambria" w:hAnsi="Cambria" w:cs="Cambria"/>
          <w:sz w:val="20"/>
          <w:szCs w:val="20"/>
        </w:rPr>
        <w:t>(approximately 1,072 hectares)</w:t>
      </w:r>
      <w:r w:rsidR="003A334C">
        <w:rPr>
          <w:rFonts w:ascii="Cambria" w:hAnsi="Cambria" w:cs="Cambria"/>
          <w:sz w:val="20"/>
          <w:szCs w:val="20"/>
        </w:rPr>
        <w:t xml:space="preserve"> </w:t>
      </w:r>
      <w:r w:rsidRPr="00D403CE">
        <w:rPr>
          <w:rFonts w:ascii="Cambria" w:hAnsi="Cambria" w:cs="Cambria"/>
          <w:sz w:val="20"/>
          <w:szCs w:val="20"/>
        </w:rPr>
        <w:t xml:space="preserve">of land in the department of Chiquimula, a strategic border area where the authorities were planning to establish the Ruta Maya aerodrome. The instant petition covers, </w:t>
      </w:r>
      <w:r w:rsidRPr="00D403CE">
        <w:rPr>
          <w:rFonts w:ascii="Cambria" w:hAnsi="Cambria" w:cs="Cambria"/>
          <w:i/>
          <w:iCs/>
          <w:sz w:val="20"/>
          <w:szCs w:val="20"/>
        </w:rPr>
        <w:t>inter alia</w:t>
      </w:r>
      <w:r w:rsidRPr="00D403CE">
        <w:rPr>
          <w:rFonts w:ascii="Cambria" w:hAnsi="Cambria" w:cs="Cambria"/>
          <w:sz w:val="20"/>
          <w:szCs w:val="20"/>
        </w:rPr>
        <w:t xml:space="preserve">, alleged violations of the right to life, liberty, and personal security of the alleged victims, together with their right to property, </w:t>
      </w:r>
      <w:r>
        <w:rPr>
          <w:rFonts w:ascii="Cambria" w:hAnsi="Cambria" w:cs="Cambria"/>
          <w:sz w:val="20"/>
          <w:szCs w:val="20"/>
        </w:rPr>
        <w:t xml:space="preserve">as a consequence of </w:t>
      </w:r>
      <w:r w:rsidRPr="00D403CE">
        <w:rPr>
          <w:rFonts w:ascii="Cambria" w:hAnsi="Cambria" w:cs="Cambria"/>
          <w:sz w:val="20"/>
          <w:szCs w:val="20"/>
        </w:rPr>
        <w:t xml:space="preserve">the alleged theft, plundering, and usurpation of the estates. </w:t>
      </w:r>
    </w:p>
    <w:p w:rsidR="001A710D" w:rsidRPr="00D403CE" w:rsidRDefault="001A710D" w:rsidP="008677A9">
      <w:pPr>
        <w:numPr>
          <w:ilvl w:val="0"/>
          <w:numId w:val="51"/>
        </w:numPr>
        <w:suppressAutoHyphens/>
        <w:spacing w:after="240"/>
        <w:jc w:val="both"/>
        <w:rPr>
          <w:rFonts w:ascii="Cambria" w:hAnsi="Cambria" w:cs="Cambria"/>
          <w:sz w:val="20"/>
          <w:szCs w:val="20"/>
        </w:rPr>
      </w:pPr>
      <w:r w:rsidRPr="00D403CE">
        <w:rPr>
          <w:rFonts w:ascii="Cambria" w:hAnsi="Cambria" w:cs="Cambria"/>
          <w:sz w:val="20"/>
          <w:szCs w:val="20"/>
        </w:rPr>
        <w:t>As regards the violations of the right to life and security, the petitioners report that between 1971 and 1975, Humberto Casasola Lemus, Juan Ramón Peraza, Moisés de Jesús Hernández Pinto, and 15-year-old Jesús Alberto Hernández Interiano were violently murdered. They add that during 1975, at least 25 estate workers were tortured and then killed or forcibly disappeared, including Ciriaco Pérez and Pascual García López of the Chorti indigenous people, who remain disappeared. They claim that the Chief of the Military Commissioners in Chiquimula led the contingent of soldiers and armed civilians who systematically perpetrated this series of crimes against the Hernández family and the campesinos who lived on and worked their estates. They further contend that the crimes against the alleged victims have continued for decades. Thus, they claim, Boris Colindres Casasola was murdered</w:t>
      </w:r>
      <w:r>
        <w:rPr>
          <w:rFonts w:ascii="Cambria" w:hAnsi="Cambria" w:cs="Cambria"/>
          <w:sz w:val="20"/>
          <w:szCs w:val="20"/>
        </w:rPr>
        <w:t xml:space="preserve"> </w:t>
      </w:r>
      <w:r w:rsidRPr="00D403CE">
        <w:rPr>
          <w:rFonts w:ascii="Cambria" w:hAnsi="Cambria" w:cs="Cambria"/>
          <w:sz w:val="20"/>
          <w:szCs w:val="20"/>
        </w:rPr>
        <w:t xml:space="preserve">on October 24, 2010. </w:t>
      </w:r>
    </w:p>
    <w:p w:rsidR="001A710D" w:rsidRPr="00D403CE" w:rsidRDefault="001A710D" w:rsidP="008677A9">
      <w:pPr>
        <w:pStyle w:val="ListParagraph"/>
        <w:numPr>
          <w:ilvl w:val="0"/>
          <w:numId w:val="51"/>
        </w:numPr>
        <w:ind w:left="0"/>
        <w:jc w:val="both"/>
        <w:rPr>
          <w:sz w:val="20"/>
          <w:szCs w:val="20"/>
        </w:rPr>
      </w:pPr>
      <w:r w:rsidRPr="00D403CE">
        <w:rPr>
          <w:sz w:val="20"/>
          <w:szCs w:val="20"/>
        </w:rPr>
        <w:t xml:space="preserve">The petitioners contend that for years, the alleged victims were </w:t>
      </w:r>
      <w:r>
        <w:rPr>
          <w:sz w:val="20"/>
          <w:szCs w:val="20"/>
        </w:rPr>
        <w:t>un</w:t>
      </w:r>
      <w:r w:rsidRPr="00D403CE">
        <w:rPr>
          <w:sz w:val="20"/>
          <w:szCs w:val="20"/>
        </w:rPr>
        <w:t xml:space="preserve">able to secure access to justice because of the military repression existing in </w:t>
      </w:r>
      <w:smartTag w:uri="urn:schemas-microsoft-com:office:smarttags" w:element="place">
        <w:smartTag w:uri="urn:schemas-microsoft-com:office:smarttags" w:element="country-region">
          <w:r w:rsidRPr="00D403CE">
            <w:rPr>
              <w:sz w:val="20"/>
              <w:szCs w:val="20"/>
            </w:rPr>
            <w:t>Guatemala</w:t>
          </w:r>
        </w:smartTag>
      </w:smartTag>
      <w:r w:rsidRPr="00D403CE">
        <w:rPr>
          <w:sz w:val="20"/>
          <w:szCs w:val="20"/>
        </w:rPr>
        <w:t xml:space="preserve"> and that when they pursued legal action, th</w:t>
      </w:r>
      <w:r>
        <w:rPr>
          <w:sz w:val="20"/>
          <w:szCs w:val="20"/>
        </w:rPr>
        <w:t>ose</w:t>
      </w:r>
      <w:r w:rsidRPr="00D403CE">
        <w:rPr>
          <w:sz w:val="20"/>
          <w:szCs w:val="20"/>
        </w:rPr>
        <w:t xml:space="preserve"> efforts were fruitless. They state that on March 23, 2006, Mélida Hernández Interiano reported the murders of Moisés Hernández, Jesús Hernández, and Humberto Casasola, which had taken place between 1971 and 1975, to the Municipal Prosecution Service in Esquipulas. They report that the investigation was referred to the Human Rights Prosecution Section of the Prosecution Unit for Special Cases during the Internal Armed Conflict, where it remains at the committal stage. They state that as a part of that investigation, on March 12, 2010, the next-of-kin of Humberto Casasola and Jesús Hernández were given the exhumed remains</w:t>
      </w:r>
      <w:r>
        <w:rPr>
          <w:sz w:val="20"/>
          <w:szCs w:val="20"/>
        </w:rPr>
        <w:t xml:space="preserve"> of their loved ones</w:t>
      </w:r>
      <w:r w:rsidRPr="00D403CE">
        <w:rPr>
          <w:sz w:val="20"/>
          <w:szCs w:val="20"/>
        </w:rPr>
        <w:t xml:space="preserve">. Similarly, they indicate that the murder of Boris Colindres and the subsequent threats made against his mother and other family members were reported to the District Prosecution Service of Chiquimula on October 24, 2010. The petitioners hold that more than three decades after the crimes against the Hernández family began, the facts and the perpetrators thereof remain unpunished. </w:t>
      </w:r>
    </w:p>
    <w:p w:rsidR="001A710D" w:rsidRPr="00D403CE" w:rsidRDefault="001A710D" w:rsidP="008677A9">
      <w:pPr>
        <w:pStyle w:val="ListParagraph"/>
        <w:jc w:val="both"/>
        <w:rPr>
          <w:sz w:val="20"/>
          <w:szCs w:val="20"/>
        </w:rPr>
      </w:pPr>
    </w:p>
    <w:p w:rsidR="001A710D" w:rsidRPr="00D403CE" w:rsidRDefault="001A710D" w:rsidP="008677A9">
      <w:pPr>
        <w:pStyle w:val="ListParagraph"/>
        <w:numPr>
          <w:ilvl w:val="0"/>
          <w:numId w:val="51"/>
        </w:numPr>
        <w:ind w:left="0"/>
        <w:jc w:val="both"/>
        <w:rPr>
          <w:sz w:val="20"/>
          <w:szCs w:val="20"/>
        </w:rPr>
      </w:pPr>
      <w:r w:rsidRPr="00D403CE">
        <w:rPr>
          <w:sz w:val="20"/>
          <w:szCs w:val="20"/>
        </w:rPr>
        <w:t xml:space="preserve">With regard to the alleged violations of the right of property, the petitioners state that following the murder of Moisés Hernández on November 11, 1975, most of the members of the Hernández family fled to </w:t>
      </w:r>
      <w:smartTag w:uri="urn:schemas-microsoft-com:office:smarttags" w:element="country-region">
        <w:r w:rsidRPr="00D403CE">
          <w:rPr>
            <w:sz w:val="20"/>
            <w:szCs w:val="20"/>
          </w:rPr>
          <w:t>Honduras</w:t>
        </w:r>
      </w:smartTag>
      <w:r w:rsidRPr="00D403CE">
        <w:rPr>
          <w:sz w:val="20"/>
          <w:szCs w:val="20"/>
        </w:rPr>
        <w:t xml:space="preserve"> while others went into hiding in </w:t>
      </w:r>
      <w:smartTag w:uri="urn:schemas-microsoft-com:office:smarttags" w:element="place">
        <w:smartTag w:uri="urn:schemas-microsoft-com:office:smarttags" w:element="country-region">
          <w:r w:rsidRPr="00D403CE">
            <w:rPr>
              <w:sz w:val="20"/>
              <w:szCs w:val="20"/>
            </w:rPr>
            <w:t>Guatemala</w:t>
          </w:r>
        </w:smartTag>
      </w:smartTag>
      <w:r w:rsidRPr="00D403CE">
        <w:rPr>
          <w:sz w:val="20"/>
          <w:szCs w:val="20"/>
        </w:rPr>
        <w:t xml:space="preserve">, abandoning their property. On November 21, 1975, the alleged victims learned that the Army had ransacked, dynamited, and set fire to their warehouses, for which reason they filed a complaint with the Consulate General of Guatemala in </w:t>
      </w:r>
      <w:smartTag w:uri="urn:schemas-microsoft-com:office:smarttags" w:element="place">
        <w:smartTag w:uri="urn:schemas-microsoft-com:office:smarttags" w:element="country-region">
          <w:r w:rsidRPr="00D403CE">
            <w:rPr>
              <w:sz w:val="20"/>
              <w:szCs w:val="20"/>
            </w:rPr>
            <w:t>Honduras</w:t>
          </w:r>
        </w:smartTag>
      </w:smartTag>
      <w:r w:rsidRPr="00D403CE">
        <w:rPr>
          <w:sz w:val="20"/>
          <w:szCs w:val="20"/>
        </w:rPr>
        <w:t xml:space="preserve">. The petitioners claims that in 1980, the alleged victims were forced, by threats, to travel to </w:t>
      </w:r>
      <w:smartTag w:uri="urn:schemas-microsoft-com:office:smarttags" w:element="place">
        <w:smartTag w:uri="urn:schemas-microsoft-com:office:smarttags" w:element="country-region">
          <w:r w:rsidRPr="00D403CE">
            <w:rPr>
              <w:sz w:val="20"/>
              <w:szCs w:val="20"/>
            </w:rPr>
            <w:t>Guatemala</w:t>
          </w:r>
        </w:smartTag>
      </w:smartTag>
      <w:r w:rsidRPr="00D403CE">
        <w:rPr>
          <w:sz w:val="20"/>
          <w:szCs w:val="20"/>
        </w:rPr>
        <w:t xml:space="preserve"> to meet with authorities </w:t>
      </w:r>
      <w:r>
        <w:rPr>
          <w:sz w:val="20"/>
          <w:szCs w:val="20"/>
        </w:rPr>
        <w:t>from</w:t>
      </w:r>
      <w:r w:rsidRPr="00D403CE">
        <w:rPr>
          <w:sz w:val="20"/>
          <w:szCs w:val="20"/>
        </w:rPr>
        <w:t xml:space="preserve"> the Ministry of Defense. On June 2, 1980, the 13 owners of the estates met with the Vice Minister of Defense at the </w:t>
      </w:r>
      <w:smartTag w:uri="urn:schemas-microsoft-com:office:smarttags" w:element="place">
        <w:smartTag w:uri="urn:schemas-microsoft-com:office:smarttags" w:element="PlaceName">
          <w:r w:rsidRPr="00D403CE">
            <w:rPr>
              <w:sz w:val="20"/>
              <w:szCs w:val="20"/>
            </w:rPr>
            <w:t>National</w:t>
          </w:r>
        </w:smartTag>
        <w:r w:rsidRPr="00D403CE">
          <w:rPr>
            <w:sz w:val="20"/>
            <w:szCs w:val="20"/>
          </w:rPr>
          <w:t xml:space="preserve"> </w:t>
        </w:r>
        <w:smartTag w:uri="urn:schemas-microsoft-com:office:smarttags" w:element="PlaceType">
          <w:r w:rsidRPr="00D403CE">
            <w:rPr>
              <w:sz w:val="20"/>
              <w:szCs w:val="20"/>
            </w:rPr>
            <w:t>Palace</w:t>
          </w:r>
        </w:smartTag>
      </w:smartTag>
      <w:r w:rsidRPr="00D403CE">
        <w:rPr>
          <w:sz w:val="20"/>
          <w:szCs w:val="20"/>
        </w:rPr>
        <w:t xml:space="preserve">, where they were reportedly coerced into selling the Ministry of Defense 10.5 of their </w:t>
      </w:r>
      <w:r w:rsidRPr="00D403CE">
        <w:rPr>
          <w:i/>
          <w:iCs/>
          <w:sz w:val="20"/>
          <w:szCs w:val="20"/>
        </w:rPr>
        <w:t>caballerías</w:t>
      </w:r>
      <w:r w:rsidRPr="00D403CE">
        <w:rPr>
          <w:sz w:val="20"/>
          <w:szCs w:val="20"/>
        </w:rPr>
        <w:t xml:space="preserve"> plus one </w:t>
      </w:r>
      <w:r w:rsidRPr="00D403CE">
        <w:rPr>
          <w:i/>
          <w:iCs/>
          <w:sz w:val="20"/>
          <w:szCs w:val="20"/>
        </w:rPr>
        <w:t>manzana</w:t>
      </w:r>
      <w:r w:rsidRPr="00D403CE">
        <w:rPr>
          <w:sz w:val="20"/>
          <w:szCs w:val="20"/>
        </w:rPr>
        <w:t xml:space="preserve"> for the laughable price of 250,000 quetzals (approximately US$37,719 at the time). They claim that after signing the sale contract, they were violently threatened and again forced to flee to </w:t>
      </w:r>
      <w:smartTag w:uri="urn:schemas-microsoft-com:office:smarttags" w:element="place">
        <w:smartTag w:uri="urn:schemas-microsoft-com:office:smarttags" w:element="country-region">
          <w:r w:rsidRPr="00D403CE">
            <w:rPr>
              <w:sz w:val="20"/>
              <w:szCs w:val="20"/>
            </w:rPr>
            <w:t>Honduras</w:t>
          </w:r>
        </w:smartTag>
      </w:smartTag>
      <w:r w:rsidRPr="00D403CE">
        <w:rPr>
          <w:sz w:val="20"/>
          <w:szCs w:val="20"/>
        </w:rPr>
        <w:t xml:space="preserve">. They state that although the alleged victims were coerced into selling 10.5 of their </w:t>
      </w:r>
      <w:r w:rsidRPr="00D403CE">
        <w:rPr>
          <w:i/>
          <w:iCs/>
          <w:sz w:val="20"/>
          <w:szCs w:val="20"/>
        </w:rPr>
        <w:t>caballerías</w:t>
      </w:r>
      <w:r w:rsidRPr="00D403CE">
        <w:rPr>
          <w:sz w:val="20"/>
          <w:szCs w:val="20"/>
        </w:rPr>
        <w:t xml:space="preserve">, the 24 </w:t>
      </w:r>
      <w:r w:rsidRPr="00D403CE">
        <w:rPr>
          <w:i/>
          <w:iCs/>
          <w:sz w:val="20"/>
          <w:szCs w:val="20"/>
        </w:rPr>
        <w:t xml:space="preserve">caballerías </w:t>
      </w:r>
      <w:r w:rsidRPr="00D403CE">
        <w:rPr>
          <w:sz w:val="20"/>
          <w:szCs w:val="20"/>
        </w:rPr>
        <w:t xml:space="preserve">are under the control of the Army, some of which </w:t>
      </w:r>
      <w:r>
        <w:rPr>
          <w:sz w:val="20"/>
          <w:szCs w:val="20"/>
        </w:rPr>
        <w:t>it rents</w:t>
      </w:r>
      <w:r w:rsidRPr="00D403CE">
        <w:rPr>
          <w:sz w:val="20"/>
          <w:szCs w:val="20"/>
        </w:rPr>
        <w:t xml:space="preserve"> out while others have been occupied by members of the Campesino Unity Committee. </w:t>
      </w:r>
    </w:p>
    <w:p w:rsidR="001A710D" w:rsidRPr="00D403CE" w:rsidRDefault="001A710D" w:rsidP="008677A9">
      <w:pPr>
        <w:pStyle w:val="ListParagraph"/>
        <w:jc w:val="both"/>
        <w:rPr>
          <w:sz w:val="20"/>
          <w:szCs w:val="20"/>
        </w:rPr>
      </w:pPr>
    </w:p>
    <w:p w:rsidR="001A710D" w:rsidRPr="00D403CE" w:rsidRDefault="001A710D" w:rsidP="00E85A80">
      <w:pPr>
        <w:pStyle w:val="ListParagraph"/>
        <w:numPr>
          <w:ilvl w:val="0"/>
          <w:numId w:val="51"/>
        </w:numPr>
        <w:ind w:left="0"/>
        <w:jc w:val="both"/>
        <w:rPr>
          <w:sz w:val="20"/>
          <w:szCs w:val="20"/>
        </w:rPr>
      </w:pPr>
      <w:r w:rsidRPr="00D403CE">
        <w:rPr>
          <w:sz w:val="20"/>
          <w:szCs w:val="20"/>
        </w:rPr>
        <w:lastRenderedPageBreak/>
        <w:t xml:space="preserve">The petitioners report that following the signing of the Peace Accords, the alleged victims </w:t>
      </w:r>
      <w:r>
        <w:rPr>
          <w:sz w:val="20"/>
          <w:szCs w:val="20"/>
        </w:rPr>
        <w:t xml:space="preserve">brought a series of actions </w:t>
      </w:r>
      <w:r w:rsidRPr="00D403CE">
        <w:rPr>
          <w:sz w:val="20"/>
          <w:szCs w:val="20"/>
        </w:rPr>
        <w:t xml:space="preserve">to regain control of their land. Thus, they </w:t>
      </w:r>
      <w:proofErr w:type="gramStart"/>
      <w:r w:rsidRPr="00D403CE">
        <w:rPr>
          <w:sz w:val="20"/>
          <w:szCs w:val="20"/>
        </w:rPr>
        <w:t xml:space="preserve">filed  </w:t>
      </w:r>
      <w:r w:rsidR="003A334C">
        <w:rPr>
          <w:sz w:val="20"/>
          <w:szCs w:val="20"/>
        </w:rPr>
        <w:t>double</w:t>
      </w:r>
      <w:proofErr w:type="gramEnd"/>
      <w:r w:rsidR="00E85A80">
        <w:rPr>
          <w:sz w:val="20"/>
          <w:szCs w:val="20"/>
        </w:rPr>
        <w:t xml:space="preserve"> intestate</w:t>
      </w:r>
      <w:r w:rsidR="003A334C" w:rsidRPr="003A334C">
        <w:rPr>
          <w:sz w:val="20"/>
          <w:szCs w:val="20"/>
        </w:rPr>
        <w:t xml:space="preserve"> succession proceedings</w:t>
      </w:r>
      <w:r w:rsidR="00E85A80">
        <w:rPr>
          <w:sz w:val="20"/>
          <w:szCs w:val="20"/>
        </w:rPr>
        <w:t xml:space="preserve"> </w:t>
      </w:r>
      <w:r w:rsidRPr="00D403CE">
        <w:rPr>
          <w:sz w:val="20"/>
          <w:szCs w:val="20"/>
        </w:rPr>
        <w:t xml:space="preserve"> </w:t>
      </w:r>
      <w:r w:rsidR="00E85A80">
        <w:rPr>
          <w:sz w:val="20"/>
          <w:szCs w:val="20"/>
        </w:rPr>
        <w:t xml:space="preserve">before </w:t>
      </w:r>
      <w:r w:rsidRPr="00D403CE">
        <w:rPr>
          <w:sz w:val="20"/>
          <w:szCs w:val="20"/>
        </w:rPr>
        <w:t xml:space="preserve">the </w:t>
      </w:r>
      <w:r w:rsidR="00E85A80" w:rsidRPr="00E85A80">
        <w:rPr>
          <w:sz w:val="20"/>
          <w:szCs w:val="20"/>
        </w:rPr>
        <w:t xml:space="preserve">Second Court of First Instance </w:t>
      </w:r>
      <w:r w:rsidRPr="00D403CE">
        <w:rPr>
          <w:sz w:val="20"/>
          <w:szCs w:val="20"/>
        </w:rPr>
        <w:t>of Chiquimula for the estates, which was resolved in their favor on November 19, 1996, when</w:t>
      </w:r>
      <w:r>
        <w:rPr>
          <w:sz w:val="20"/>
          <w:szCs w:val="20"/>
        </w:rPr>
        <w:t xml:space="preserve"> Mé</w:t>
      </w:r>
      <w:r w:rsidRPr="00D403CE">
        <w:rPr>
          <w:sz w:val="20"/>
          <w:szCs w:val="20"/>
        </w:rPr>
        <w:t>lida Hernández</w:t>
      </w:r>
      <w:r>
        <w:rPr>
          <w:sz w:val="20"/>
          <w:szCs w:val="20"/>
        </w:rPr>
        <w:t>—</w:t>
      </w:r>
      <w:r w:rsidRPr="00D403CE">
        <w:rPr>
          <w:sz w:val="20"/>
          <w:szCs w:val="20"/>
        </w:rPr>
        <w:t>in her capacity as the family</w:t>
      </w:r>
      <w:r>
        <w:rPr>
          <w:sz w:val="20"/>
          <w:szCs w:val="20"/>
        </w:rPr>
        <w:t>’</w:t>
      </w:r>
      <w:r w:rsidRPr="00D403CE">
        <w:rPr>
          <w:sz w:val="20"/>
          <w:szCs w:val="20"/>
        </w:rPr>
        <w:t>s representative</w:t>
      </w:r>
      <w:r>
        <w:rPr>
          <w:sz w:val="20"/>
          <w:szCs w:val="20"/>
        </w:rPr>
        <w:t>—</w:t>
      </w:r>
      <w:r w:rsidRPr="00D403CE">
        <w:rPr>
          <w:sz w:val="20"/>
          <w:szCs w:val="20"/>
        </w:rPr>
        <w:t xml:space="preserve">was awarded the preventive possession of the 24 </w:t>
      </w:r>
      <w:r w:rsidRPr="00D403CE">
        <w:rPr>
          <w:i/>
          <w:iCs/>
          <w:sz w:val="20"/>
          <w:szCs w:val="20"/>
        </w:rPr>
        <w:t>caballerías</w:t>
      </w:r>
      <w:r w:rsidRPr="00D403CE">
        <w:rPr>
          <w:sz w:val="20"/>
          <w:szCs w:val="20"/>
        </w:rPr>
        <w:t>. However, they report that in December 1996, the judgment was referred for execution to the Court of Peace in Esquipulas, which arbitrarily refused to execute it. The petitioners claim that the denial of justice has been permanent, to the extent that on October 5, 2005, Manuel Francisco Cordón y Cordón, the alleged victims</w:t>
      </w:r>
      <w:r>
        <w:rPr>
          <w:sz w:val="20"/>
          <w:szCs w:val="20"/>
        </w:rPr>
        <w:t>’</w:t>
      </w:r>
      <w:r w:rsidRPr="00D403CE">
        <w:rPr>
          <w:sz w:val="20"/>
          <w:szCs w:val="20"/>
        </w:rPr>
        <w:t xml:space="preserve"> legal representative, was murdered, purportedly for his role in the legal proceedings brought to regain control of their land. </w:t>
      </w:r>
    </w:p>
    <w:p w:rsidR="001A710D" w:rsidRPr="00D403CE" w:rsidRDefault="001A710D" w:rsidP="008677A9">
      <w:pPr>
        <w:pStyle w:val="ListParagraph"/>
        <w:rPr>
          <w:sz w:val="20"/>
          <w:szCs w:val="20"/>
        </w:rPr>
      </w:pPr>
    </w:p>
    <w:p w:rsidR="001A710D" w:rsidRPr="00D403CE" w:rsidRDefault="001A710D" w:rsidP="00BE70A9">
      <w:pPr>
        <w:pStyle w:val="ListParagraph"/>
        <w:numPr>
          <w:ilvl w:val="0"/>
          <w:numId w:val="51"/>
        </w:numPr>
        <w:ind w:left="0"/>
        <w:jc w:val="both"/>
        <w:rPr>
          <w:sz w:val="20"/>
          <w:szCs w:val="20"/>
        </w:rPr>
      </w:pPr>
      <w:r w:rsidRPr="00D403CE">
        <w:rPr>
          <w:sz w:val="20"/>
          <w:szCs w:val="20"/>
        </w:rPr>
        <w:t>They add that in 2007, members of the Hernández family went before the First-instance Coactive Civil and Economic Court of the Department of Chiquimula and lodged proceedings No. 38-07 to secure the absolute annulment of the transaction conducted with the Ministry of Defense in 1980 and of its registration in the General Property Register, to assert their ownership and possession, and to seek damages. They report that the proceedings were ruled groundless, and that that judgment was upheld by the Sixth Appeals Chamber and the Supreme Court, which on August 28, 2009, rejected the appeal for annulment lodged by the alleged victims</w:t>
      </w:r>
      <w:r>
        <w:rPr>
          <w:sz w:val="20"/>
          <w:szCs w:val="20"/>
        </w:rPr>
        <w:t>’</w:t>
      </w:r>
      <w:r w:rsidRPr="00D403CE">
        <w:rPr>
          <w:sz w:val="20"/>
          <w:szCs w:val="20"/>
        </w:rPr>
        <w:t xml:space="preserve"> representatives</w:t>
      </w:r>
      <w:r>
        <w:rPr>
          <w:sz w:val="20"/>
          <w:szCs w:val="20"/>
        </w:rPr>
        <w:t>,</w:t>
      </w:r>
      <w:r w:rsidRPr="00D403CE">
        <w:rPr>
          <w:sz w:val="20"/>
          <w:szCs w:val="20"/>
        </w:rPr>
        <w:t xml:space="preserve"> </w:t>
      </w:r>
      <w:r>
        <w:rPr>
          <w:sz w:val="20"/>
          <w:szCs w:val="20"/>
        </w:rPr>
        <w:t xml:space="preserve">with </w:t>
      </w:r>
      <w:r w:rsidRPr="00D403CE">
        <w:rPr>
          <w:sz w:val="20"/>
          <w:szCs w:val="20"/>
        </w:rPr>
        <w:t xml:space="preserve">notification </w:t>
      </w:r>
      <w:r>
        <w:rPr>
          <w:sz w:val="20"/>
          <w:szCs w:val="20"/>
        </w:rPr>
        <w:t>there</w:t>
      </w:r>
      <w:r w:rsidRPr="00D403CE">
        <w:rPr>
          <w:sz w:val="20"/>
          <w:szCs w:val="20"/>
        </w:rPr>
        <w:t xml:space="preserve">of served on the alleged victims on December 10, 2009. They add that in parallel, they fruitlessly lodged suits related to the </w:t>
      </w:r>
      <w:r w:rsidR="00BE70A9" w:rsidRPr="00BE70A9">
        <w:rPr>
          <w:sz w:val="20"/>
          <w:szCs w:val="20"/>
        </w:rPr>
        <w:t xml:space="preserve">dispossession </w:t>
      </w:r>
      <w:r w:rsidRPr="00D403CE">
        <w:rPr>
          <w:sz w:val="20"/>
          <w:szCs w:val="20"/>
        </w:rPr>
        <w:t xml:space="preserve">of their lands, including on August 6, 2007, with the Attorney for Human Rights and the Secretary for Agrarian Affairs, and on February 28, 2008, with the Attorney General of the Nation. </w:t>
      </w:r>
    </w:p>
    <w:p w:rsidR="001A710D" w:rsidRPr="00D403CE" w:rsidRDefault="001A710D" w:rsidP="008677A9">
      <w:pPr>
        <w:jc w:val="both"/>
        <w:rPr>
          <w:rFonts w:ascii="Cambria" w:hAnsi="Cambria" w:cs="Cambria"/>
          <w:sz w:val="20"/>
          <w:szCs w:val="20"/>
        </w:rPr>
      </w:pPr>
    </w:p>
    <w:p w:rsidR="001A710D" w:rsidRPr="00D403CE" w:rsidRDefault="001A710D" w:rsidP="008677A9">
      <w:pPr>
        <w:pStyle w:val="NoSpacing"/>
        <w:numPr>
          <w:ilvl w:val="0"/>
          <w:numId w:val="51"/>
        </w:numPr>
        <w:jc w:val="both"/>
        <w:rPr>
          <w:rFonts w:ascii="Cambria" w:hAnsi="Cambria" w:cs="Cambria"/>
          <w:sz w:val="20"/>
          <w:szCs w:val="20"/>
        </w:rPr>
      </w:pPr>
      <w:r w:rsidRPr="00D403CE">
        <w:rPr>
          <w:rFonts w:ascii="Cambria" w:hAnsi="Cambria" w:cs="Cambria"/>
          <w:sz w:val="20"/>
          <w:szCs w:val="20"/>
        </w:rPr>
        <w:t xml:space="preserve">The State contends that the IACHR is not competent to hear the petition on material grounds, given that it alleges violations of the American Declaration and not of the American Convention. It adds that Guatemala ratified the American Convention on May 25, 1978; thus, the Commission lacks the authority to hear the petition because the alleged facts reportedly began in 1975. The State therefore requests that the Commission rule the petition inadmissible, in that it does not have competence </w:t>
      </w:r>
      <w:r w:rsidRPr="00D403CE">
        <w:rPr>
          <w:rFonts w:ascii="Cambria" w:hAnsi="Cambria" w:cs="Cambria"/>
          <w:i/>
          <w:iCs/>
          <w:sz w:val="20"/>
          <w:szCs w:val="20"/>
        </w:rPr>
        <w:t xml:space="preserve">ratione materiae </w:t>
      </w:r>
      <w:r w:rsidRPr="00D403CE">
        <w:rPr>
          <w:rFonts w:ascii="Cambria" w:hAnsi="Cambria" w:cs="Cambria"/>
          <w:sz w:val="20"/>
          <w:szCs w:val="20"/>
        </w:rPr>
        <w:t xml:space="preserve">or </w:t>
      </w:r>
      <w:r w:rsidRPr="00D403CE">
        <w:rPr>
          <w:rFonts w:ascii="Cambria" w:hAnsi="Cambria" w:cs="Cambria"/>
          <w:i/>
          <w:iCs/>
          <w:sz w:val="20"/>
          <w:szCs w:val="20"/>
        </w:rPr>
        <w:t xml:space="preserve">ratione temporis </w:t>
      </w:r>
      <w:r w:rsidRPr="00D403CE">
        <w:rPr>
          <w:rFonts w:ascii="Cambria" w:hAnsi="Cambria" w:cs="Cambria"/>
          <w:sz w:val="20"/>
          <w:szCs w:val="20"/>
        </w:rPr>
        <w:t>to hear the alleged facts</w:t>
      </w:r>
      <w:r>
        <w:rPr>
          <w:rFonts w:ascii="Cambria" w:hAnsi="Cambria" w:cs="Cambria"/>
          <w:sz w:val="20"/>
          <w:szCs w:val="20"/>
        </w:rPr>
        <w:t>.</w:t>
      </w:r>
    </w:p>
    <w:p w:rsidR="001A710D" w:rsidRPr="00D403CE" w:rsidRDefault="001A710D" w:rsidP="008677A9">
      <w:pPr>
        <w:pStyle w:val="NoSpacing"/>
        <w:ind w:left="720"/>
        <w:jc w:val="both"/>
        <w:rPr>
          <w:rFonts w:ascii="Cambria" w:hAnsi="Cambria" w:cs="Cambria"/>
          <w:sz w:val="20"/>
          <w:szCs w:val="20"/>
        </w:rPr>
      </w:pPr>
    </w:p>
    <w:p w:rsidR="001A710D" w:rsidRPr="00D403CE" w:rsidRDefault="001A710D" w:rsidP="00BE70A9">
      <w:pPr>
        <w:pStyle w:val="NoSpacing"/>
        <w:numPr>
          <w:ilvl w:val="0"/>
          <w:numId w:val="51"/>
        </w:numPr>
        <w:jc w:val="both"/>
        <w:rPr>
          <w:rFonts w:ascii="Cambria" w:hAnsi="Cambria" w:cs="Cambria"/>
          <w:sz w:val="20"/>
          <w:szCs w:val="20"/>
        </w:rPr>
      </w:pPr>
      <w:r w:rsidRPr="00D403CE">
        <w:rPr>
          <w:rFonts w:ascii="Cambria" w:hAnsi="Cambria" w:cs="Cambria"/>
          <w:sz w:val="20"/>
          <w:szCs w:val="20"/>
        </w:rPr>
        <w:t xml:space="preserve">Additionally, </w:t>
      </w:r>
      <w:r>
        <w:rPr>
          <w:rFonts w:ascii="Cambria" w:hAnsi="Cambria" w:cs="Cambria"/>
          <w:sz w:val="20"/>
          <w:szCs w:val="20"/>
        </w:rPr>
        <w:t xml:space="preserve">Guatemala </w:t>
      </w:r>
      <w:r w:rsidRPr="00D403CE">
        <w:rPr>
          <w:rFonts w:ascii="Cambria" w:hAnsi="Cambria" w:cs="Cambria"/>
          <w:sz w:val="20"/>
          <w:szCs w:val="20"/>
        </w:rPr>
        <w:t xml:space="preserve">notes that some 35 years went by for the </w:t>
      </w:r>
      <w:r w:rsidR="00BE70A9" w:rsidRPr="00BE70A9">
        <w:rPr>
          <w:rFonts w:ascii="Cambria" w:hAnsi="Cambria" w:cs="Cambria"/>
          <w:sz w:val="20"/>
          <w:szCs w:val="20"/>
        </w:rPr>
        <w:t xml:space="preserve">Public Prosecutor's Office </w:t>
      </w:r>
      <w:r w:rsidRPr="00D403CE">
        <w:rPr>
          <w:rFonts w:ascii="Cambria" w:hAnsi="Cambria" w:cs="Cambria"/>
          <w:sz w:val="20"/>
          <w:szCs w:val="20"/>
        </w:rPr>
        <w:t xml:space="preserve">to be informed of the alleged murders, and that the investigations remain ongoing. Regarding the sale of the 10.5 </w:t>
      </w:r>
      <w:r w:rsidRPr="00D403CE">
        <w:rPr>
          <w:rFonts w:ascii="Cambria" w:hAnsi="Cambria" w:cs="Cambria"/>
          <w:i/>
          <w:iCs/>
          <w:sz w:val="20"/>
          <w:szCs w:val="20"/>
        </w:rPr>
        <w:t>caballerías</w:t>
      </w:r>
      <w:r w:rsidRPr="00D403CE">
        <w:rPr>
          <w:rFonts w:ascii="Cambria" w:hAnsi="Cambria" w:cs="Cambria"/>
          <w:sz w:val="20"/>
          <w:szCs w:val="20"/>
        </w:rPr>
        <w:t xml:space="preserve">, it maintains that the operation was validly notarized and recorded. It holds that the petitioners could have filed regular proceedings to secure damages, summary proceedings for eviction and vacation, summary proceedings for the civil responsibilities of public officials, or an </w:t>
      </w:r>
      <w:r w:rsidRPr="00D403CE">
        <w:rPr>
          <w:rFonts w:ascii="Cambria" w:hAnsi="Cambria" w:cs="Cambria"/>
          <w:i/>
          <w:iCs/>
          <w:sz w:val="20"/>
          <w:szCs w:val="20"/>
        </w:rPr>
        <w:t>amparo</w:t>
      </w:r>
      <w:r w:rsidRPr="00D403CE">
        <w:rPr>
          <w:rFonts w:ascii="Cambria" w:hAnsi="Cambria" w:cs="Cambria"/>
          <w:sz w:val="20"/>
          <w:szCs w:val="20"/>
        </w:rPr>
        <w:t xml:space="preserve"> relief suit to reinstate the use and enjoyment of the property, but that they chose to pursue none of those actions that were available domestically. It therefore requests that the IACHR rule the petition inadmissible because the domestic remedies were not exhausted.</w:t>
      </w:r>
    </w:p>
    <w:p w:rsidR="001A710D" w:rsidRPr="00D403CE" w:rsidRDefault="001A710D" w:rsidP="00CD2EAB">
      <w:pPr>
        <w:spacing w:before="240" w:after="240"/>
        <w:ind w:firstLine="720"/>
        <w:jc w:val="both"/>
        <w:rPr>
          <w:rFonts w:ascii="Cambria" w:hAnsi="Cambria" w:cs="Cambria"/>
          <w:b/>
          <w:bCs/>
          <w:sz w:val="20"/>
          <w:szCs w:val="20"/>
        </w:rPr>
      </w:pPr>
      <w:r w:rsidRPr="00D403CE">
        <w:rPr>
          <w:rFonts w:ascii="Cambria" w:hAnsi="Cambria" w:cs="Cambria"/>
          <w:b/>
          <w:bCs/>
          <w:color w:val="000000"/>
          <w:sz w:val="20"/>
          <w:szCs w:val="20"/>
          <w:u w:color="000000"/>
          <w:lang w:eastAsia="es-ES"/>
        </w:rPr>
        <w:t>VI.</w:t>
      </w:r>
      <w:r w:rsidRPr="00D403CE">
        <w:rPr>
          <w:rFonts w:ascii="Cambria" w:hAnsi="Cambria" w:cs="Cambria"/>
          <w:b/>
          <w:bCs/>
          <w:color w:val="000000"/>
          <w:sz w:val="20"/>
          <w:szCs w:val="20"/>
          <w:u w:color="000000"/>
          <w:lang w:eastAsia="es-ES"/>
        </w:rPr>
        <w:tab/>
        <w:t xml:space="preserve">ANALYSIS OF EXHAUSTION OF DOMESTIC REMEDIES AND TIMELINESS OF THE PETITION </w:t>
      </w:r>
    </w:p>
    <w:p w:rsidR="001A710D" w:rsidRPr="00D403CE" w:rsidRDefault="001A710D" w:rsidP="00880696">
      <w:pPr>
        <w:numPr>
          <w:ilvl w:val="0"/>
          <w:numId w:val="51"/>
        </w:numPr>
        <w:suppressAutoHyphens/>
        <w:spacing w:after="240"/>
        <w:jc w:val="both"/>
        <w:rPr>
          <w:rFonts w:ascii="Cambria" w:hAnsi="Cambria" w:cs="Cambria"/>
          <w:sz w:val="20"/>
          <w:szCs w:val="20"/>
        </w:rPr>
      </w:pPr>
      <w:r w:rsidRPr="00D403CE">
        <w:rPr>
          <w:rFonts w:ascii="Cambria" w:hAnsi="Cambria" w:cs="Cambria"/>
          <w:sz w:val="20"/>
          <w:szCs w:val="20"/>
        </w:rPr>
        <w:t xml:space="preserve">Regarding the alleged violations of the right to life and security purportedly committed by state agents during the internal armed conflict, the petitioners report that on March 23, 2006, a complaint was filed with the </w:t>
      </w:r>
      <w:r w:rsidR="00880696" w:rsidRPr="00880696">
        <w:rPr>
          <w:rFonts w:ascii="Cambria" w:hAnsi="Cambria" w:cs="Cambria"/>
          <w:sz w:val="20"/>
          <w:szCs w:val="20"/>
        </w:rPr>
        <w:t>Public Prosecutor's Office</w:t>
      </w:r>
      <w:r w:rsidRPr="00D403CE">
        <w:rPr>
          <w:rFonts w:ascii="Cambria" w:hAnsi="Cambria" w:cs="Cambria"/>
          <w:sz w:val="20"/>
          <w:szCs w:val="20"/>
        </w:rPr>
        <w:t xml:space="preserve">, the investigation of which is currently at the committal stage before the Human Rights Prosecution Section of the Prosecution Unit. The State, in turn, claims that the available domestic remedies have not been exhausted because the proceedings remain ongoing, and it adds that some 35 years went by before the </w:t>
      </w:r>
      <w:r w:rsidR="00880696" w:rsidRPr="00880696">
        <w:rPr>
          <w:rFonts w:ascii="Cambria" w:hAnsi="Cambria" w:cs="Cambria"/>
          <w:sz w:val="20"/>
          <w:szCs w:val="20"/>
        </w:rPr>
        <w:t xml:space="preserve">Public Prosecutor's Office </w:t>
      </w:r>
      <w:r w:rsidRPr="00D403CE">
        <w:rPr>
          <w:rFonts w:ascii="Cambria" w:hAnsi="Cambria" w:cs="Cambria"/>
          <w:sz w:val="20"/>
          <w:szCs w:val="20"/>
        </w:rPr>
        <w:t xml:space="preserve">was apprised of the alleged murders. </w:t>
      </w:r>
    </w:p>
    <w:p w:rsidR="001A710D" w:rsidRPr="00D403CE" w:rsidRDefault="001A710D" w:rsidP="008677A9">
      <w:pPr>
        <w:pStyle w:val="ListParagraph"/>
        <w:numPr>
          <w:ilvl w:val="0"/>
          <w:numId w:val="51"/>
        </w:numPr>
        <w:ind w:left="0"/>
        <w:jc w:val="both"/>
        <w:rPr>
          <w:color w:val="auto"/>
          <w:sz w:val="20"/>
          <w:szCs w:val="20"/>
          <w:lang w:eastAsia="en-US"/>
        </w:rPr>
      </w:pPr>
      <w:r w:rsidRPr="00D403CE">
        <w:rPr>
          <w:sz w:val="20"/>
          <w:szCs w:val="20"/>
          <w:lang w:eastAsia="en-US"/>
        </w:rPr>
        <w:t>The Commission notes that in situations such as this one</w:t>
      </w:r>
      <w:r>
        <w:rPr>
          <w:sz w:val="20"/>
          <w:szCs w:val="20"/>
          <w:lang w:eastAsia="en-US"/>
        </w:rPr>
        <w:t xml:space="preserve">—which </w:t>
      </w:r>
      <w:r w:rsidRPr="00D403CE">
        <w:rPr>
          <w:sz w:val="20"/>
          <w:szCs w:val="20"/>
          <w:lang w:eastAsia="en-US"/>
        </w:rPr>
        <w:t>involv</w:t>
      </w:r>
      <w:r>
        <w:rPr>
          <w:sz w:val="20"/>
          <w:szCs w:val="20"/>
          <w:lang w:eastAsia="en-US"/>
        </w:rPr>
        <w:t>es</w:t>
      </w:r>
      <w:r w:rsidRPr="00D403CE">
        <w:rPr>
          <w:sz w:val="20"/>
          <w:szCs w:val="20"/>
          <w:lang w:eastAsia="en-US"/>
        </w:rPr>
        <w:t xml:space="preserve"> crimes against life and security</w:t>
      </w:r>
      <w:r>
        <w:rPr>
          <w:sz w:val="20"/>
          <w:szCs w:val="20"/>
          <w:lang w:eastAsia="en-US"/>
        </w:rPr>
        <w:t>—</w:t>
      </w:r>
      <w:r w:rsidRPr="00D403CE">
        <w:rPr>
          <w:sz w:val="20"/>
          <w:szCs w:val="20"/>
          <w:lang w:eastAsia="en-US"/>
        </w:rPr>
        <w:t>the domestic remedies that must be taken into account for the purposes of the petition</w:t>
      </w:r>
      <w:r>
        <w:rPr>
          <w:sz w:val="20"/>
          <w:szCs w:val="20"/>
          <w:lang w:eastAsia="en-US"/>
        </w:rPr>
        <w:t>’</w:t>
      </w:r>
      <w:r w:rsidRPr="00D403CE">
        <w:rPr>
          <w:sz w:val="20"/>
          <w:szCs w:val="20"/>
          <w:lang w:eastAsia="en-US"/>
        </w:rPr>
        <w:t xml:space="preserve">s admissibility are those related to the criminal investigation and punishment of the persons responsible. The Commission notes that according to the information furnished by the parties, once the alleged military repression in the area came to an end, a </w:t>
      </w:r>
      <w:r>
        <w:rPr>
          <w:sz w:val="20"/>
          <w:szCs w:val="20"/>
          <w:lang w:eastAsia="en-US"/>
        </w:rPr>
        <w:t xml:space="preserve">criminal </w:t>
      </w:r>
      <w:r w:rsidRPr="00D403CE">
        <w:rPr>
          <w:sz w:val="20"/>
          <w:szCs w:val="20"/>
          <w:lang w:eastAsia="en-US"/>
        </w:rPr>
        <w:t xml:space="preserve">complaint was filed to </w:t>
      </w:r>
      <w:r>
        <w:rPr>
          <w:sz w:val="20"/>
          <w:szCs w:val="20"/>
          <w:lang w:eastAsia="en-US"/>
        </w:rPr>
        <w:t xml:space="preserve">bring about an investigation of </w:t>
      </w:r>
      <w:r w:rsidRPr="00D403CE">
        <w:rPr>
          <w:sz w:val="20"/>
          <w:szCs w:val="20"/>
          <w:lang w:eastAsia="en-US"/>
        </w:rPr>
        <w:t>the alleged deaths, which is still at the preliminary stage. In consideration whereof, the IACHR concludes that as regards that aspect of the petition, the exception to the exhaustion of domestic remedies provided for in Article 46.2.c of the American Convention is applicable.</w:t>
      </w:r>
    </w:p>
    <w:p w:rsidR="001A710D" w:rsidRPr="00D403CE" w:rsidRDefault="001A710D" w:rsidP="008677A9">
      <w:pPr>
        <w:pStyle w:val="ListParagraph"/>
        <w:jc w:val="both"/>
        <w:rPr>
          <w:color w:val="auto"/>
          <w:sz w:val="20"/>
          <w:szCs w:val="20"/>
          <w:lang w:eastAsia="en-US"/>
        </w:rPr>
      </w:pPr>
    </w:p>
    <w:p w:rsidR="001A710D" w:rsidRPr="00D403CE" w:rsidRDefault="001A710D" w:rsidP="008677A9">
      <w:pPr>
        <w:numPr>
          <w:ilvl w:val="0"/>
          <w:numId w:val="51"/>
        </w:numPr>
        <w:suppressAutoHyphens/>
        <w:spacing w:after="240"/>
        <w:jc w:val="both"/>
        <w:rPr>
          <w:rFonts w:ascii="Cambria" w:hAnsi="Cambria" w:cs="Cambria"/>
          <w:sz w:val="20"/>
          <w:szCs w:val="20"/>
        </w:rPr>
      </w:pPr>
      <w:r w:rsidRPr="00D403CE">
        <w:rPr>
          <w:rFonts w:ascii="Cambria" w:hAnsi="Cambria" w:cs="Cambria"/>
          <w:sz w:val="20"/>
          <w:szCs w:val="20"/>
        </w:rPr>
        <w:t xml:space="preserve">In addition, </w:t>
      </w:r>
      <w:r w:rsidR="00506AE8">
        <w:rPr>
          <w:rFonts w:ascii="Cambria" w:hAnsi="Cambria" w:cs="Cambria"/>
          <w:sz w:val="20"/>
          <w:szCs w:val="20"/>
        </w:rPr>
        <w:t>as an exception to exhaustion applies, the Commission concludes that the petition has been submitted within a reasonable period based on Article 32.2 of its Rules</w:t>
      </w:r>
      <w:r w:rsidRPr="00D403CE">
        <w:rPr>
          <w:rFonts w:ascii="Cambria" w:hAnsi="Cambria" w:cs="Cambria"/>
          <w:sz w:val="20"/>
          <w:szCs w:val="20"/>
        </w:rPr>
        <w:t>.</w:t>
      </w:r>
      <w:r w:rsidR="00506AE8">
        <w:rPr>
          <w:rFonts w:ascii="Cambria" w:hAnsi="Cambria" w:cs="Cambria"/>
          <w:sz w:val="20"/>
          <w:szCs w:val="20"/>
        </w:rPr>
        <w:t xml:space="preserve"> This, given that although the events have taken place since 1971 and the petition was received on September 29, 2008, some of its effects, such as the alleged denial of justice, would extend to the present.</w:t>
      </w:r>
      <w:r w:rsidRPr="00D403CE">
        <w:rPr>
          <w:rFonts w:ascii="Cambria" w:hAnsi="Cambria" w:cs="Cambria"/>
          <w:sz w:val="20"/>
          <w:szCs w:val="20"/>
        </w:rPr>
        <w:t xml:space="preserve"> Consequently, considering the context and characteristics of the facts set out in this report, the Commission believes that the petition was lodged within a reasonable time and that the admissibility requirement regarding the timeliness of the petition must be deemed met.</w:t>
      </w:r>
    </w:p>
    <w:p w:rsidR="001A710D" w:rsidRPr="00D403CE" w:rsidRDefault="001A710D" w:rsidP="00880696">
      <w:pPr>
        <w:pStyle w:val="ListParagraph"/>
        <w:numPr>
          <w:ilvl w:val="0"/>
          <w:numId w:val="51"/>
        </w:numPr>
        <w:ind w:left="0"/>
        <w:jc w:val="both"/>
        <w:rPr>
          <w:color w:val="auto"/>
          <w:sz w:val="20"/>
          <w:szCs w:val="20"/>
          <w:lang w:eastAsia="en-US"/>
        </w:rPr>
      </w:pPr>
      <w:r w:rsidRPr="00D403CE">
        <w:rPr>
          <w:color w:val="auto"/>
          <w:sz w:val="20"/>
          <w:szCs w:val="20"/>
          <w:lang w:eastAsia="en-US"/>
        </w:rPr>
        <w:t xml:space="preserve">Regarding the alleged violations of the right to property, the petitioners report that the Court of Peace in Esquipulas refused to execute the order issued on November 19, 1996, by the </w:t>
      </w:r>
      <w:r w:rsidR="00880696" w:rsidRPr="00880696">
        <w:rPr>
          <w:color w:val="auto"/>
          <w:sz w:val="20"/>
          <w:szCs w:val="20"/>
          <w:lang w:eastAsia="en-US"/>
        </w:rPr>
        <w:t>Second</w:t>
      </w:r>
      <w:r w:rsidR="00880696">
        <w:rPr>
          <w:color w:val="auto"/>
          <w:sz w:val="20"/>
          <w:szCs w:val="20"/>
          <w:lang w:eastAsia="en-US"/>
        </w:rPr>
        <w:t xml:space="preserve"> Court of First Instance </w:t>
      </w:r>
      <w:r w:rsidRPr="00D403CE">
        <w:rPr>
          <w:color w:val="auto"/>
          <w:sz w:val="20"/>
          <w:szCs w:val="20"/>
          <w:lang w:eastAsia="en-US"/>
        </w:rPr>
        <w:t>of Chiquimula that would have given the Hernández family preventive possession of the estates. They also state that on December 10, 2009, they received notification of the Supreme Court</w:t>
      </w:r>
      <w:r>
        <w:rPr>
          <w:color w:val="auto"/>
          <w:sz w:val="20"/>
          <w:szCs w:val="20"/>
          <w:lang w:eastAsia="en-US"/>
        </w:rPr>
        <w:t>’</w:t>
      </w:r>
      <w:r w:rsidRPr="00D403CE">
        <w:rPr>
          <w:color w:val="auto"/>
          <w:sz w:val="20"/>
          <w:szCs w:val="20"/>
          <w:lang w:eastAsia="en-US"/>
        </w:rPr>
        <w:t xml:space="preserve">s resolution upholding the dismissal of the application for annulment lodged against the allegedly coerced land sale of 1980. The State, in turn, contends that the alleged victims failed to exhaust the available domestic remedies, in that they did not pursue regular proceedings to secure damages, summary proceedings for eviction and vacation, summary proceedings for the civil responsibilities of public officials, or an </w:t>
      </w:r>
      <w:r w:rsidRPr="00D403CE">
        <w:rPr>
          <w:i/>
          <w:iCs/>
          <w:color w:val="auto"/>
          <w:sz w:val="20"/>
          <w:szCs w:val="20"/>
          <w:lang w:eastAsia="en-US"/>
        </w:rPr>
        <w:t>amparo</w:t>
      </w:r>
      <w:r w:rsidRPr="00D403CE">
        <w:rPr>
          <w:color w:val="auto"/>
          <w:sz w:val="20"/>
          <w:szCs w:val="20"/>
          <w:lang w:eastAsia="en-US"/>
        </w:rPr>
        <w:t xml:space="preserve"> relief suit to reinstate the use and enjoyment of the property. </w:t>
      </w:r>
    </w:p>
    <w:p w:rsidR="001A710D" w:rsidRPr="00D403CE" w:rsidRDefault="001A710D" w:rsidP="008677A9">
      <w:pPr>
        <w:pStyle w:val="ListParagraph"/>
        <w:jc w:val="both"/>
        <w:rPr>
          <w:color w:val="auto"/>
          <w:sz w:val="20"/>
          <w:szCs w:val="20"/>
          <w:lang w:eastAsia="en-US"/>
        </w:rPr>
      </w:pPr>
    </w:p>
    <w:p w:rsidR="001A710D" w:rsidRPr="00D403CE" w:rsidRDefault="001A710D" w:rsidP="008677A9">
      <w:pPr>
        <w:pStyle w:val="ListParagraph"/>
        <w:numPr>
          <w:ilvl w:val="0"/>
          <w:numId w:val="51"/>
        </w:numPr>
        <w:ind w:left="0"/>
        <w:jc w:val="both"/>
        <w:rPr>
          <w:color w:val="auto"/>
          <w:sz w:val="20"/>
          <w:szCs w:val="20"/>
          <w:lang w:eastAsia="en-US"/>
        </w:rPr>
      </w:pPr>
      <w:r w:rsidRPr="00D403CE">
        <w:rPr>
          <w:color w:val="auto"/>
          <w:sz w:val="20"/>
          <w:szCs w:val="20"/>
          <w:lang w:eastAsia="en-US"/>
        </w:rPr>
        <w:t>In the case at hand and for the purposes of the admissibility analysis, the Commission notes that the alleged victims have lodged repeated and timely denunciations of the violations of their right of property over the estates with the judicial authorities, that those authorities have been made aware of the situation described in the petition, and that there allegedly exists a verdict in the alleged victims</w:t>
      </w:r>
      <w:r>
        <w:rPr>
          <w:color w:val="auto"/>
          <w:sz w:val="20"/>
          <w:szCs w:val="20"/>
          <w:lang w:eastAsia="en-US"/>
        </w:rPr>
        <w:t>’</w:t>
      </w:r>
      <w:r w:rsidRPr="00D403CE">
        <w:rPr>
          <w:color w:val="auto"/>
          <w:sz w:val="20"/>
          <w:szCs w:val="20"/>
          <w:lang w:eastAsia="en-US"/>
        </w:rPr>
        <w:t xml:space="preserve"> favor that </w:t>
      </w:r>
      <w:r>
        <w:rPr>
          <w:color w:val="auto"/>
          <w:sz w:val="20"/>
          <w:szCs w:val="20"/>
          <w:lang w:eastAsia="en-US"/>
        </w:rPr>
        <w:t>has not been enforced</w:t>
      </w:r>
      <w:r w:rsidRPr="00D403CE">
        <w:rPr>
          <w:color w:val="auto"/>
          <w:sz w:val="20"/>
          <w:szCs w:val="20"/>
          <w:lang w:eastAsia="en-US"/>
        </w:rPr>
        <w:t xml:space="preserve">. In this regard, the Inter-American Commission has maintained that the exhaustion of domestic remedies requirement does not mean that the alleged victims are obliged to exhaust all the possible available remedies to meet that requirement; accordingly, the Commission believes that as regards this aspect of the petition, the requirement set in Article 46.1.a of the Convention has been met. </w:t>
      </w:r>
    </w:p>
    <w:p w:rsidR="001A710D" w:rsidRPr="00D403CE" w:rsidRDefault="001A710D" w:rsidP="008677A9">
      <w:pPr>
        <w:pStyle w:val="ListParagraph"/>
        <w:rPr>
          <w:color w:val="auto"/>
          <w:sz w:val="20"/>
          <w:szCs w:val="20"/>
          <w:lang w:eastAsia="en-US"/>
        </w:rPr>
      </w:pPr>
    </w:p>
    <w:p w:rsidR="001A710D" w:rsidRPr="00D403CE" w:rsidRDefault="001A710D" w:rsidP="008677A9">
      <w:pPr>
        <w:pStyle w:val="ListParagraph"/>
        <w:numPr>
          <w:ilvl w:val="0"/>
          <w:numId w:val="51"/>
        </w:numPr>
        <w:ind w:left="0"/>
        <w:jc w:val="both"/>
        <w:rPr>
          <w:color w:val="auto"/>
          <w:sz w:val="20"/>
          <w:szCs w:val="20"/>
          <w:lang w:eastAsia="en-US"/>
        </w:rPr>
      </w:pPr>
      <w:r w:rsidRPr="00D403CE">
        <w:rPr>
          <w:color w:val="auto"/>
          <w:sz w:val="20"/>
          <w:szCs w:val="20"/>
          <w:lang w:eastAsia="en-US"/>
        </w:rPr>
        <w:t>As regards the timeliness of the petition, domestic remedies were exhausted with the Supreme Court</w:t>
      </w:r>
      <w:r>
        <w:rPr>
          <w:color w:val="auto"/>
          <w:sz w:val="20"/>
          <w:szCs w:val="20"/>
          <w:lang w:eastAsia="en-US"/>
        </w:rPr>
        <w:t>’</w:t>
      </w:r>
      <w:r w:rsidRPr="00D403CE">
        <w:rPr>
          <w:color w:val="auto"/>
          <w:sz w:val="20"/>
          <w:szCs w:val="20"/>
          <w:lang w:eastAsia="en-US"/>
        </w:rPr>
        <w:t>s resolution of which notice was served on December 10, 2009, while the admissibility of the petition was still being studied. In keeping with the IACHR</w:t>
      </w:r>
      <w:r>
        <w:rPr>
          <w:color w:val="auto"/>
          <w:sz w:val="20"/>
          <w:szCs w:val="20"/>
          <w:lang w:eastAsia="en-US"/>
        </w:rPr>
        <w:t>’</w:t>
      </w:r>
      <w:r w:rsidRPr="00D403CE">
        <w:rPr>
          <w:color w:val="auto"/>
          <w:sz w:val="20"/>
          <w:szCs w:val="20"/>
          <w:lang w:eastAsia="en-US"/>
        </w:rPr>
        <w:t xml:space="preserve">s doctrine, the analysis of the requirement set in Article 46.1.b of the Convention must be performed in light of the situation prevailing at the time it rules on the admissibility or inadmissibility of a claim. In consideration whereof, the requirement must be seen as having been met. </w:t>
      </w:r>
    </w:p>
    <w:p w:rsidR="001A710D" w:rsidRPr="00D403CE" w:rsidRDefault="001A710D" w:rsidP="008677A9">
      <w:pPr>
        <w:pStyle w:val="ListParagraph"/>
        <w:spacing w:before="240" w:after="240"/>
        <w:jc w:val="both"/>
        <w:rPr>
          <w:b/>
          <w:bCs/>
          <w:sz w:val="20"/>
          <w:szCs w:val="20"/>
        </w:rPr>
      </w:pPr>
      <w:r w:rsidRPr="00D403CE">
        <w:rPr>
          <w:b/>
          <w:bCs/>
          <w:sz w:val="20"/>
          <w:szCs w:val="20"/>
        </w:rPr>
        <w:t>VII.</w:t>
      </w:r>
      <w:r w:rsidRPr="00D403CE">
        <w:rPr>
          <w:b/>
          <w:bCs/>
          <w:sz w:val="20"/>
          <w:szCs w:val="20"/>
        </w:rPr>
        <w:tab/>
        <w:t>ANALYSIS OF COLORABLE CLAIM</w:t>
      </w:r>
    </w:p>
    <w:p w:rsidR="001A710D" w:rsidRPr="00D403CE" w:rsidRDefault="001A710D" w:rsidP="008677A9">
      <w:pPr>
        <w:pStyle w:val="ListParagraph"/>
        <w:numPr>
          <w:ilvl w:val="0"/>
          <w:numId w:val="51"/>
        </w:numPr>
        <w:ind w:left="0"/>
        <w:jc w:val="both"/>
        <w:rPr>
          <w:sz w:val="20"/>
          <w:szCs w:val="20"/>
        </w:rPr>
      </w:pPr>
      <w:r w:rsidRPr="00D403CE">
        <w:rPr>
          <w:sz w:val="20"/>
          <w:szCs w:val="20"/>
        </w:rPr>
        <w:t>Having seen the elements of fact and law presented by the parties, the nature of the matter placed before it, and the context surrounding the complaint, the IACHR finds that if the alleged violations of the alleged victims</w:t>
      </w:r>
      <w:r>
        <w:rPr>
          <w:sz w:val="20"/>
          <w:szCs w:val="20"/>
        </w:rPr>
        <w:t>’</w:t>
      </w:r>
      <w:r w:rsidRPr="00D403CE">
        <w:rPr>
          <w:sz w:val="20"/>
          <w:szCs w:val="20"/>
        </w:rPr>
        <w:t xml:space="preserve"> rights to life, security, and property and the consequences thereof are proven, together with the failure to investigate and punish those responsible, they could tend to establish possible violations of the rights protected </w:t>
      </w:r>
      <w:r>
        <w:rPr>
          <w:sz w:val="20"/>
          <w:szCs w:val="20"/>
        </w:rPr>
        <w:t>by</w:t>
      </w:r>
      <w:r w:rsidRPr="00D403CE">
        <w:rPr>
          <w:sz w:val="20"/>
          <w:szCs w:val="20"/>
        </w:rPr>
        <w:t xml:space="preserve"> </w:t>
      </w:r>
      <w:r>
        <w:rPr>
          <w:sz w:val="20"/>
          <w:szCs w:val="20"/>
        </w:rPr>
        <w:t>A</w:t>
      </w:r>
      <w:r w:rsidRPr="00D403CE">
        <w:rPr>
          <w:sz w:val="20"/>
          <w:szCs w:val="20"/>
        </w:rPr>
        <w:t xml:space="preserve">rticles 4 (life), 5 (humane treatment), 8 (fair trial), 21 (property), 22 (movement and residence), and 25 (judicial protection) of the American Convention, in conjunction with Article 1.1 (obligation to respect rights) thereof. Similarly, as regards the facts that allegedly occurred or began prior to the entry into force of the American Convention, the Commission believes that they could tend to establish possible violations of Articles I (life, liberty, and personal security), VII (protection for mothers and children), VIII (residence and movement), IX (inviolability of the home), XVIII (fair trial), and XXIII (property) of the American Declaration. </w:t>
      </w:r>
    </w:p>
    <w:p w:rsidR="001A710D" w:rsidRPr="00D403CE" w:rsidRDefault="001A710D" w:rsidP="008677A9">
      <w:pPr>
        <w:pStyle w:val="ListParagraph"/>
        <w:jc w:val="both"/>
        <w:rPr>
          <w:sz w:val="20"/>
          <w:szCs w:val="20"/>
        </w:rPr>
      </w:pPr>
    </w:p>
    <w:p w:rsidR="001A710D" w:rsidRPr="00D403CE" w:rsidRDefault="001A710D" w:rsidP="008677A9">
      <w:pPr>
        <w:pStyle w:val="ListParagraph"/>
        <w:numPr>
          <w:ilvl w:val="0"/>
          <w:numId w:val="51"/>
        </w:numPr>
        <w:ind w:left="0"/>
        <w:jc w:val="both"/>
        <w:rPr>
          <w:sz w:val="20"/>
          <w:szCs w:val="20"/>
        </w:rPr>
      </w:pPr>
      <w:r w:rsidRPr="00D403CE">
        <w:rPr>
          <w:sz w:val="20"/>
          <w:szCs w:val="20"/>
        </w:rPr>
        <w:t xml:space="preserve">As regards the claims alleging violations of Articles 3 (juridical personality), 7 (personal liberty), 11 (privacy), and 24 (equal protection) of the American Convention, and of Article XXIV (petition) of the American Declaration, the Commission notes that the petitioners have submitted no grounds that would allow their violation to be examined on a </w:t>
      </w:r>
      <w:r w:rsidRPr="00D403CE">
        <w:rPr>
          <w:i/>
          <w:iCs/>
          <w:sz w:val="20"/>
          <w:szCs w:val="20"/>
        </w:rPr>
        <w:t xml:space="preserve">prima facie </w:t>
      </w:r>
      <w:r w:rsidRPr="00D403CE">
        <w:rPr>
          <w:sz w:val="20"/>
          <w:szCs w:val="20"/>
        </w:rPr>
        <w:t>basis.</w:t>
      </w:r>
    </w:p>
    <w:p w:rsidR="001A710D" w:rsidRPr="00D403CE" w:rsidRDefault="001A710D" w:rsidP="008677A9">
      <w:pPr>
        <w:pStyle w:val="ListParagraph"/>
        <w:rPr>
          <w:sz w:val="20"/>
          <w:szCs w:val="20"/>
        </w:rPr>
      </w:pPr>
    </w:p>
    <w:p w:rsidR="001A710D" w:rsidRPr="00D403CE" w:rsidRDefault="001A710D" w:rsidP="008677A9">
      <w:pPr>
        <w:pStyle w:val="ListParagraph"/>
        <w:numPr>
          <w:ilvl w:val="0"/>
          <w:numId w:val="51"/>
        </w:numPr>
        <w:ind w:left="0"/>
        <w:jc w:val="both"/>
        <w:rPr>
          <w:sz w:val="20"/>
          <w:szCs w:val="20"/>
        </w:rPr>
      </w:pPr>
      <w:r w:rsidRPr="00D403CE">
        <w:rPr>
          <w:sz w:val="20"/>
          <w:szCs w:val="20"/>
        </w:rPr>
        <w:lastRenderedPageBreak/>
        <w:t xml:space="preserve">As regards its competence </w:t>
      </w:r>
      <w:r w:rsidRPr="00D403CE">
        <w:rPr>
          <w:i/>
          <w:iCs/>
          <w:sz w:val="20"/>
          <w:szCs w:val="20"/>
        </w:rPr>
        <w:t>ratione temporis</w:t>
      </w:r>
      <w:r w:rsidRPr="00D403CE">
        <w:rPr>
          <w:sz w:val="20"/>
          <w:szCs w:val="20"/>
        </w:rPr>
        <w:t>, the Commission notes that some of the alleged violations occurred before Guatemala</w:t>
      </w:r>
      <w:r>
        <w:rPr>
          <w:sz w:val="20"/>
          <w:szCs w:val="20"/>
        </w:rPr>
        <w:t>’</w:t>
      </w:r>
      <w:r w:rsidRPr="00D403CE">
        <w:rPr>
          <w:sz w:val="20"/>
          <w:szCs w:val="20"/>
        </w:rPr>
        <w:t>s ratification of the American Convention on May 25, 1978. Consequently, the American Declaration represents the applicable source of law.</w:t>
      </w:r>
      <w:r w:rsidRPr="00D403CE">
        <w:rPr>
          <w:sz w:val="20"/>
          <w:szCs w:val="20"/>
          <w:vertAlign w:val="superscript"/>
        </w:rPr>
        <w:footnoteReference w:id="5"/>
      </w:r>
      <w:r w:rsidRPr="00D403CE">
        <w:rPr>
          <w:sz w:val="20"/>
          <w:szCs w:val="20"/>
          <w:vertAlign w:val="superscript"/>
        </w:rPr>
        <w:t xml:space="preserve"> </w:t>
      </w:r>
      <w:r w:rsidRPr="00D403CE">
        <w:rPr>
          <w:sz w:val="20"/>
          <w:szCs w:val="20"/>
        </w:rPr>
        <w:t xml:space="preserve">Nevertheless, the IACHR points out that with respect to incidents occurring after that date, or those that could be considered an ongoing violation of rights still taking place </w:t>
      </w:r>
      <w:r>
        <w:rPr>
          <w:sz w:val="20"/>
          <w:szCs w:val="20"/>
        </w:rPr>
        <w:t>there</w:t>
      </w:r>
      <w:r w:rsidRPr="00D403CE">
        <w:rPr>
          <w:sz w:val="20"/>
          <w:szCs w:val="20"/>
        </w:rPr>
        <w:t xml:space="preserve">after, the Commission also has competence </w:t>
      </w:r>
      <w:r w:rsidRPr="00D403CE">
        <w:rPr>
          <w:i/>
          <w:iCs/>
          <w:sz w:val="20"/>
          <w:szCs w:val="20"/>
        </w:rPr>
        <w:t xml:space="preserve">ratione temporis </w:t>
      </w:r>
      <w:r w:rsidRPr="00D403CE">
        <w:rPr>
          <w:sz w:val="20"/>
          <w:szCs w:val="20"/>
        </w:rPr>
        <w:t xml:space="preserve">to examine the petition in light of the American Convention. Similarly, the IACHR enjoys, in principle, competence </w:t>
      </w:r>
      <w:r w:rsidRPr="00D403CE">
        <w:rPr>
          <w:i/>
          <w:iCs/>
          <w:sz w:val="20"/>
          <w:szCs w:val="20"/>
        </w:rPr>
        <w:t xml:space="preserve">ratione materiae </w:t>
      </w:r>
      <w:r w:rsidRPr="00D403CE">
        <w:rPr>
          <w:sz w:val="20"/>
          <w:szCs w:val="20"/>
        </w:rPr>
        <w:t xml:space="preserve">to examine violations of rights enshrined in the American Declaration. </w:t>
      </w:r>
    </w:p>
    <w:p w:rsidR="001A710D" w:rsidRPr="00D403CE" w:rsidRDefault="001A710D" w:rsidP="008677A9">
      <w:pPr>
        <w:pStyle w:val="ListParagraph"/>
        <w:spacing w:before="240" w:after="240"/>
        <w:jc w:val="both"/>
        <w:rPr>
          <w:b/>
          <w:bCs/>
          <w:sz w:val="20"/>
          <w:szCs w:val="20"/>
        </w:rPr>
      </w:pPr>
      <w:r w:rsidRPr="00D403CE">
        <w:rPr>
          <w:b/>
          <w:bCs/>
          <w:sz w:val="20"/>
          <w:szCs w:val="20"/>
        </w:rPr>
        <w:t xml:space="preserve">VIII. </w:t>
      </w:r>
      <w:r w:rsidRPr="00D403CE">
        <w:rPr>
          <w:b/>
          <w:bCs/>
          <w:sz w:val="20"/>
          <w:szCs w:val="20"/>
        </w:rPr>
        <w:tab/>
        <w:t>DECISION</w:t>
      </w:r>
    </w:p>
    <w:p w:rsidR="001A710D" w:rsidRPr="00D403CE" w:rsidRDefault="001A710D" w:rsidP="008677A9">
      <w:pPr>
        <w:numPr>
          <w:ilvl w:val="0"/>
          <w:numId w:val="52"/>
        </w:numPr>
        <w:suppressAutoHyphens/>
        <w:spacing w:after="240"/>
        <w:jc w:val="both"/>
        <w:rPr>
          <w:rFonts w:ascii="Cambria" w:hAnsi="Cambria" w:cs="Cambria"/>
          <w:sz w:val="20"/>
          <w:szCs w:val="20"/>
        </w:rPr>
      </w:pPr>
      <w:r w:rsidRPr="00D403CE">
        <w:rPr>
          <w:rFonts w:ascii="Cambria" w:hAnsi="Cambria" w:cs="Cambria"/>
          <w:sz w:val="20"/>
          <w:szCs w:val="20"/>
        </w:rPr>
        <w:t>To find the instant petition admissible in relation to Articles 4, 5, 8, 21, 22, and 25 of the American Convention, in conjunction with Article 1.1 thereof</w:t>
      </w:r>
      <w:r w:rsidR="00691A4D">
        <w:rPr>
          <w:rFonts w:ascii="Cambria" w:hAnsi="Cambria" w:cs="Cambria"/>
          <w:sz w:val="20"/>
          <w:szCs w:val="20"/>
        </w:rPr>
        <w:t>;</w:t>
      </w:r>
      <w:r w:rsidRPr="00D403CE">
        <w:rPr>
          <w:rFonts w:ascii="Cambria" w:hAnsi="Cambria" w:cs="Cambria"/>
          <w:sz w:val="20"/>
          <w:szCs w:val="20"/>
        </w:rPr>
        <w:t xml:space="preserve"> and Articles I, VII, VIII, IX, XVIII, and XXIII of the American Declaration;</w:t>
      </w:r>
    </w:p>
    <w:p w:rsidR="001A710D" w:rsidRPr="00D403CE" w:rsidRDefault="001A710D" w:rsidP="008677A9">
      <w:pPr>
        <w:numPr>
          <w:ilvl w:val="0"/>
          <w:numId w:val="52"/>
        </w:numPr>
        <w:suppressAutoHyphens/>
        <w:spacing w:after="240"/>
        <w:jc w:val="both"/>
        <w:rPr>
          <w:rFonts w:ascii="Cambria" w:hAnsi="Cambria" w:cs="Cambria"/>
          <w:sz w:val="20"/>
          <w:szCs w:val="20"/>
        </w:rPr>
      </w:pPr>
      <w:r w:rsidRPr="00D403CE">
        <w:rPr>
          <w:rFonts w:ascii="Cambria" w:hAnsi="Cambria" w:cs="Cambria"/>
          <w:sz w:val="20"/>
          <w:szCs w:val="20"/>
        </w:rPr>
        <w:t>To find the instant petition inadmissible in relation to Articles 3, 7, 11, and 24 of the American Convention</w:t>
      </w:r>
      <w:r w:rsidR="00691A4D">
        <w:rPr>
          <w:rFonts w:ascii="Cambria" w:hAnsi="Cambria" w:cs="Cambria"/>
          <w:sz w:val="20"/>
          <w:szCs w:val="20"/>
        </w:rPr>
        <w:t xml:space="preserve">; </w:t>
      </w:r>
      <w:r w:rsidRPr="00D403CE">
        <w:rPr>
          <w:rFonts w:ascii="Cambria" w:hAnsi="Cambria" w:cs="Cambria"/>
          <w:sz w:val="20"/>
          <w:szCs w:val="20"/>
        </w:rPr>
        <w:t>and Article XXIV of the American Declaration; and</w:t>
      </w:r>
    </w:p>
    <w:p w:rsidR="001A710D" w:rsidRPr="00D403CE" w:rsidRDefault="001A710D" w:rsidP="008677A9">
      <w:pPr>
        <w:numPr>
          <w:ilvl w:val="0"/>
          <w:numId w:val="52"/>
        </w:numPr>
        <w:suppressAutoHyphens/>
        <w:spacing w:after="240"/>
        <w:jc w:val="both"/>
        <w:rPr>
          <w:rFonts w:ascii="Cambria" w:hAnsi="Cambria" w:cs="Cambria"/>
          <w:sz w:val="20"/>
          <w:szCs w:val="20"/>
        </w:rPr>
      </w:pPr>
      <w:r w:rsidRPr="00D403CE">
        <w:rPr>
          <w:rFonts w:ascii="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rsidR="00E97820" w:rsidRPr="00365F2F" w:rsidRDefault="00EA0A37" w:rsidP="00E97820">
      <w:pPr>
        <w:suppressAutoHyphens/>
        <w:ind w:firstLine="720"/>
        <w:jc w:val="both"/>
        <w:rPr>
          <w:rFonts w:ascii="Cambria" w:hAnsi="Cambria"/>
          <w:spacing w:val="-2"/>
          <w:sz w:val="20"/>
        </w:rPr>
      </w:pPr>
      <w:r w:rsidRPr="00EA0A37">
        <w:rPr>
          <w:rFonts w:ascii="Cambria" w:hAnsi="Cambria"/>
          <w:spacing w:val="-2"/>
          <w:sz w:val="20"/>
        </w:rPr>
        <w:t xml:space="preserve">Approved by the Inter-American Commission on Human Rights </w:t>
      </w:r>
      <w:r w:rsidR="00E97820" w:rsidRPr="00365F2F">
        <w:rPr>
          <w:rFonts w:ascii="Cambria" w:hAnsi="Cambria"/>
          <w:spacing w:val="-2"/>
          <w:sz w:val="20"/>
        </w:rPr>
        <w:t xml:space="preserve">on the </w:t>
      </w:r>
      <w:r w:rsidR="00E97820">
        <w:rPr>
          <w:rFonts w:ascii="Cambria" w:hAnsi="Cambria"/>
          <w:spacing w:val="-2"/>
          <w:sz w:val="20"/>
        </w:rPr>
        <w:t>20</w:t>
      </w:r>
      <w:r w:rsidR="00E97820" w:rsidRPr="00E97820">
        <w:rPr>
          <w:rFonts w:ascii="Cambria" w:hAnsi="Cambria"/>
          <w:spacing w:val="-2"/>
          <w:sz w:val="20"/>
          <w:vertAlign w:val="superscript"/>
        </w:rPr>
        <w:t>th</w:t>
      </w:r>
      <w:r w:rsidR="00E97820">
        <w:rPr>
          <w:rFonts w:ascii="Cambria" w:hAnsi="Cambria"/>
          <w:spacing w:val="-2"/>
          <w:sz w:val="20"/>
        </w:rPr>
        <w:t xml:space="preserve"> </w:t>
      </w:r>
      <w:r w:rsidR="00E97820" w:rsidRPr="00365F2F">
        <w:rPr>
          <w:rFonts w:ascii="Cambria" w:hAnsi="Cambria"/>
          <w:spacing w:val="-2"/>
          <w:sz w:val="20"/>
        </w:rPr>
        <w:t xml:space="preserve">day of the month of </w:t>
      </w:r>
      <w:r w:rsidR="00E97820">
        <w:rPr>
          <w:rFonts w:ascii="Cambria" w:hAnsi="Cambria"/>
          <w:spacing w:val="-2"/>
          <w:sz w:val="20"/>
        </w:rPr>
        <w:t>June</w:t>
      </w:r>
      <w:r w:rsidR="00E97820" w:rsidRPr="00365F2F">
        <w:rPr>
          <w:rFonts w:ascii="Cambria" w:hAnsi="Cambria"/>
          <w:spacing w:val="-2"/>
          <w:sz w:val="20"/>
        </w:rPr>
        <w:t>, 201</w:t>
      </w:r>
      <w:r w:rsidR="00E97820">
        <w:rPr>
          <w:rFonts w:ascii="Cambria" w:hAnsi="Cambria"/>
          <w:spacing w:val="-2"/>
          <w:sz w:val="20"/>
        </w:rPr>
        <w:t>8</w:t>
      </w:r>
      <w:r w:rsidR="00E97820" w:rsidRPr="00365F2F">
        <w:rPr>
          <w:rFonts w:ascii="Cambria" w:hAnsi="Cambria"/>
          <w:spacing w:val="-2"/>
          <w:sz w:val="20"/>
        </w:rPr>
        <w:t xml:space="preserve">. (Signed):  </w:t>
      </w:r>
      <w:r w:rsidR="00E97820" w:rsidRPr="00F368A7">
        <w:rPr>
          <w:rFonts w:ascii="Cambria" w:hAnsi="Cambria"/>
          <w:sz w:val="20"/>
        </w:rPr>
        <w:t xml:space="preserve">Margarette May Macaulay, President; Esmeralda E. Arosemena Bernal de Troitiño, </w:t>
      </w:r>
      <w:r w:rsidR="00E97820">
        <w:rPr>
          <w:rFonts w:ascii="Cambria" w:hAnsi="Cambria"/>
          <w:sz w:val="20"/>
        </w:rPr>
        <w:t>First Vice President</w:t>
      </w:r>
      <w:r w:rsidR="00E97820" w:rsidRPr="00F368A7">
        <w:rPr>
          <w:rFonts w:ascii="Cambria" w:hAnsi="Cambria"/>
          <w:sz w:val="20"/>
        </w:rPr>
        <w:t>; Luis Ernesto Vargas Silva, Se</w:t>
      </w:r>
      <w:r w:rsidR="00E97820">
        <w:rPr>
          <w:rFonts w:ascii="Cambria" w:hAnsi="Cambria"/>
          <w:sz w:val="20"/>
        </w:rPr>
        <w:t>cond Vice President</w:t>
      </w:r>
      <w:r w:rsidR="00E97820" w:rsidRPr="00F368A7">
        <w:rPr>
          <w:rFonts w:ascii="Cambria" w:hAnsi="Cambria"/>
          <w:sz w:val="20"/>
        </w:rPr>
        <w:t>; Francisco José Eguiguren Praeli, Joel Herná</w:t>
      </w:r>
      <w:r w:rsidR="00E97820">
        <w:rPr>
          <w:rFonts w:ascii="Cambria" w:hAnsi="Cambria"/>
          <w:sz w:val="20"/>
        </w:rPr>
        <w:t>ndez García, Antonia Urrejola, and</w:t>
      </w:r>
      <w:r w:rsidR="00E97820" w:rsidRPr="00F368A7">
        <w:rPr>
          <w:rFonts w:ascii="Cambria" w:hAnsi="Cambria"/>
          <w:sz w:val="20"/>
        </w:rPr>
        <w:t xml:space="preserve"> Flávia Piovesan,</w:t>
      </w:r>
      <w:r w:rsidR="00E97820">
        <w:rPr>
          <w:rFonts w:ascii="Cambria" w:hAnsi="Cambria" w:cs="Arial"/>
          <w:noProof/>
          <w:spacing w:val="-2"/>
          <w:sz w:val="20"/>
        </w:rPr>
        <w:t xml:space="preserve">  </w:t>
      </w:r>
      <w:r w:rsidR="00E97820" w:rsidRPr="00365F2F">
        <w:rPr>
          <w:rFonts w:ascii="Cambria" w:hAnsi="Cambria"/>
          <w:spacing w:val="-2"/>
          <w:sz w:val="20"/>
        </w:rPr>
        <w:t>Commissioners.</w:t>
      </w:r>
    </w:p>
    <w:p w:rsidR="001A710D" w:rsidRPr="00D403CE" w:rsidRDefault="001A710D" w:rsidP="008677A9">
      <w:pPr>
        <w:rPr>
          <w:rFonts w:ascii="Cambria" w:hAnsi="Cambria" w:cs="Cambria"/>
          <w:sz w:val="20"/>
          <w:szCs w:val="20"/>
        </w:rPr>
      </w:pPr>
    </w:p>
    <w:p w:rsidR="001A710D" w:rsidRPr="00D403CE" w:rsidRDefault="001A710D" w:rsidP="00D403CE">
      <w:pPr>
        <w:jc w:val="center"/>
        <w:rPr>
          <w:rFonts w:ascii="Cambria" w:hAnsi="Cambria" w:cs="Cambria"/>
          <w:b/>
          <w:bCs/>
          <w:sz w:val="20"/>
          <w:szCs w:val="20"/>
        </w:rPr>
      </w:pPr>
      <w:r w:rsidRPr="00D403CE">
        <w:rPr>
          <w:rFonts w:ascii="Cambria" w:hAnsi="Cambria" w:cs="Cambria"/>
          <w:b/>
          <w:bCs/>
          <w:sz w:val="20"/>
          <w:szCs w:val="20"/>
        </w:rPr>
        <w:br w:type="page"/>
      </w:r>
      <w:r w:rsidRPr="00D403CE">
        <w:rPr>
          <w:rFonts w:ascii="Cambria" w:hAnsi="Cambria" w:cs="Cambria"/>
          <w:b/>
          <w:bCs/>
          <w:sz w:val="20"/>
          <w:szCs w:val="20"/>
        </w:rPr>
        <w:lastRenderedPageBreak/>
        <w:t>Annex</w:t>
      </w:r>
    </w:p>
    <w:p w:rsidR="001A710D" w:rsidRPr="00D403CE" w:rsidRDefault="001A710D" w:rsidP="008677A9">
      <w:pPr>
        <w:jc w:val="center"/>
        <w:rPr>
          <w:rFonts w:ascii="Cambria" w:hAnsi="Cambria" w:cs="Cambria"/>
          <w:b/>
          <w:bCs/>
          <w:sz w:val="20"/>
          <w:szCs w:val="20"/>
        </w:rPr>
      </w:pPr>
      <w:r w:rsidRPr="00D403CE">
        <w:rPr>
          <w:rFonts w:ascii="Cambria" w:hAnsi="Cambria" w:cs="Cambria"/>
          <w:b/>
          <w:bCs/>
          <w:sz w:val="20"/>
          <w:szCs w:val="20"/>
        </w:rPr>
        <w:t xml:space="preserve"> List of alleged victims</w:t>
      </w:r>
      <w:r w:rsidRPr="00D403CE">
        <w:rPr>
          <w:rFonts w:ascii="Cambria" w:hAnsi="Cambria" w:cs="Cambria"/>
          <w:b/>
          <w:bCs/>
          <w:sz w:val="20"/>
          <w:szCs w:val="20"/>
          <w:vertAlign w:val="superscript"/>
        </w:rPr>
        <w:footnoteReference w:id="6"/>
      </w:r>
    </w:p>
    <w:p w:rsidR="001A710D" w:rsidRPr="00D403CE" w:rsidRDefault="001A710D" w:rsidP="008677A9">
      <w:pPr>
        <w:jc w:val="center"/>
        <w:rPr>
          <w:rFonts w:ascii="Cambria" w:hAnsi="Cambria" w:cs="Cambria"/>
          <w:b/>
          <w:bCs/>
          <w:sz w:val="20"/>
          <w:szCs w:val="20"/>
        </w:rPr>
      </w:pP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Moisés de Jesús Hernández Pinto (killed on November 11, 1975)</w:t>
      </w:r>
    </w:p>
    <w:p w:rsidR="001A710D" w:rsidRPr="00D403CE" w:rsidRDefault="001A710D" w:rsidP="008677A9">
      <w:pPr>
        <w:pStyle w:val="ListParagraph"/>
        <w:numPr>
          <w:ilvl w:val="0"/>
          <w:numId w:val="53"/>
        </w:numPr>
        <w:rPr>
          <w:color w:val="auto"/>
          <w:sz w:val="20"/>
          <w:szCs w:val="20"/>
          <w:lang w:eastAsia="en-US"/>
        </w:rPr>
      </w:pPr>
      <w:r w:rsidRPr="00D403CE">
        <w:rPr>
          <w:color w:val="auto"/>
          <w:sz w:val="20"/>
          <w:szCs w:val="20"/>
          <w:lang w:eastAsia="en-US"/>
        </w:rPr>
        <w:t>Jesús Alberto Hernández Interiano (killed on February 14, 1972)</w:t>
      </w:r>
    </w:p>
    <w:p w:rsidR="001A710D" w:rsidRPr="00D403CE" w:rsidRDefault="001A710D" w:rsidP="008677A9">
      <w:pPr>
        <w:pStyle w:val="ListParagraph"/>
        <w:numPr>
          <w:ilvl w:val="0"/>
          <w:numId w:val="53"/>
        </w:numPr>
        <w:rPr>
          <w:color w:val="auto"/>
          <w:sz w:val="20"/>
          <w:szCs w:val="20"/>
          <w:lang w:eastAsia="en-US"/>
        </w:rPr>
      </w:pPr>
      <w:r w:rsidRPr="00D403CE">
        <w:rPr>
          <w:color w:val="auto"/>
          <w:sz w:val="20"/>
          <w:szCs w:val="20"/>
          <w:lang w:eastAsia="en-US"/>
        </w:rPr>
        <w:t>Humberto Casasola Lemus (killed on March 17, 1971)</w:t>
      </w:r>
    </w:p>
    <w:p w:rsidR="001A710D" w:rsidRPr="00D403CE" w:rsidRDefault="001A710D" w:rsidP="008677A9">
      <w:pPr>
        <w:pStyle w:val="ListParagraph"/>
        <w:numPr>
          <w:ilvl w:val="0"/>
          <w:numId w:val="53"/>
        </w:numPr>
        <w:rPr>
          <w:color w:val="auto"/>
          <w:sz w:val="20"/>
          <w:szCs w:val="20"/>
          <w:lang w:eastAsia="en-US"/>
        </w:rPr>
      </w:pPr>
      <w:r w:rsidRPr="00D403CE">
        <w:rPr>
          <w:color w:val="auto"/>
          <w:sz w:val="20"/>
          <w:szCs w:val="20"/>
          <w:lang w:eastAsia="en-US"/>
        </w:rPr>
        <w:t>Boris Colindres Casasola (killed on October 24, 2010)</w:t>
      </w:r>
    </w:p>
    <w:p w:rsidR="001A710D" w:rsidRPr="00D403CE" w:rsidRDefault="001A710D" w:rsidP="008677A9">
      <w:pPr>
        <w:pStyle w:val="ListParagraph"/>
        <w:numPr>
          <w:ilvl w:val="0"/>
          <w:numId w:val="53"/>
        </w:numPr>
        <w:rPr>
          <w:color w:val="auto"/>
          <w:sz w:val="20"/>
          <w:szCs w:val="20"/>
          <w:lang w:eastAsia="en-US"/>
        </w:rPr>
      </w:pPr>
      <w:r w:rsidRPr="00D403CE">
        <w:rPr>
          <w:color w:val="auto"/>
          <w:sz w:val="20"/>
          <w:szCs w:val="20"/>
          <w:lang w:eastAsia="en-US"/>
        </w:rPr>
        <w:t>Humberto Hernández Interiano</w:t>
      </w:r>
      <w:r>
        <w:rPr>
          <w:color w:val="auto"/>
          <w:sz w:val="20"/>
          <w:szCs w:val="20"/>
          <w:lang w:eastAsia="en-US"/>
        </w:rPr>
        <w:t xml:space="preserve">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María Magdalena Interiano de Hernández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Melida Hernández Interiano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Anatulia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Emma Hernández Interiano</w:t>
      </w:r>
    </w:p>
    <w:p w:rsidR="001A710D" w:rsidRPr="00D403CE" w:rsidRDefault="001A710D" w:rsidP="008677A9">
      <w:pPr>
        <w:pStyle w:val="ListParagraph"/>
        <w:numPr>
          <w:ilvl w:val="0"/>
          <w:numId w:val="53"/>
        </w:numPr>
        <w:rPr>
          <w:color w:val="auto"/>
          <w:sz w:val="20"/>
          <w:szCs w:val="20"/>
          <w:lang w:eastAsia="en-US"/>
        </w:rPr>
      </w:pPr>
      <w:r w:rsidRPr="00D403CE">
        <w:rPr>
          <w:color w:val="auto"/>
          <w:sz w:val="20"/>
          <w:szCs w:val="20"/>
          <w:lang w:eastAsia="en-US"/>
        </w:rPr>
        <w:t>Elsa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Guillermina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José Manuel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Saúl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Juan Angel Hernández Sagastume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Enrique Hernández Pinto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Edna Elizabeth Casasola Hernández</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Margaria Interiano de Hernández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José Antonio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Cesar Augusto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Juliana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Esther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Erasmo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Adelmo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Rosaura Margarita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Miguel Hernández Interiano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Manuel Enrique Hernández Interiano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Carlos Humberto Hernández Pinto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Floresmila Sandoval de Hernández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Dolores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María de Carmen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Marcial de Jesús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Alexis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Bertha Alicia Hernández Sandoval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Carlos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Zulema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Gilda Amabilia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Karen Jeannette Hernández Sandoval</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Guillermo Hernández Pinto</w:t>
      </w:r>
    </w:p>
    <w:p w:rsidR="001A710D" w:rsidRPr="006D6C09" w:rsidRDefault="001A710D" w:rsidP="008677A9">
      <w:pPr>
        <w:pStyle w:val="NoSpacing"/>
        <w:numPr>
          <w:ilvl w:val="0"/>
          <w:numId w:val="53"/>
        </w:numPr>
        <w:rPr>
          <w:rFonts w:ascii="Cambria" w:hAnsi="Cambria" w:cs="Cambria"/>
          <w:sz w:val="20"/>
          <w:szCs w:val="20"/>
          <w:lang w:val="es-ES"/>
        </w:rPr>
      </w:pPr>
      <w:r w:rsidRPr="006D6C09">
        <w:rPr>
          <w:rFonts w:ascii="Cambria" w:hAnsi="Cambria" w:cs="Cambria"/>
          <w:sz w:val="20"/>
          <w:szCs w:val="20"/>
          <w:lang w:val="es-ES"/>
        </w:rPr>
        <w:t xml:space="preserve">María del Carmen Aguilar de Hernández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Guillermo Geovany Hernández Aguilar</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Manuel Antonio Hernández Aguilar</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Bayron Jesús Hernández Aguilar</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Juan Carlos Hernández Aguilar</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Maria Anita Hernández Pinto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Vidal Mina Hernández Nufio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Elizabeth Hernández Nufio</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Juan Ángel Hernández Sagastume</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 xml:space="preserve">Fantina Martínez de Hernández </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t>Juan Ángel Hernández Martínez</w:t>
      </w:r>
    </w:p>
    <w:p w:rsidR="001A710D" w:rsidRPr="00D403CE" w:rsidRDefault="001A710D" w:rsidP="008677A9">
      <w:pPr>
        <w:pStyle w:val="NoSpacing"/>
        <w:numPr>
          <w:ilvl w:val="0"/>
          <w:numId w:val="53"/>
        </w:numPr>
        <w:rPr>
          <w:rFonts w:ascii="Cambria" w:hAnsi="Cambria" w:cs="Cambria"/>
          <w:sz w:val="20"/>
          <w:szCs w:val="20"/>
        </w:rPr>
      </w:pPr>
      <w:r w:rsidRPr="00D403CE">
        <w:rPr>
          <w:rFonts w:ascii="Cambria" w:hAnsi="Cambria" w:cs="Cambria"/>
          <w:sz w:val="20"/>
          <w:szCs w:val="20"/>
        </w:rPr>
        <w:lastRenderedPageBreak/>
        <w:t xml:space="preserve">Edgar Ovidio Hernández Martínez </w:t>
      </w:r>
    </w:p>
    <w:p w:rsidR="001A710D" w:rsidRPr="00D403CE" w:rsidRDefault="001A710D" w:rsidP="008677A9">
      <w:pPr>
        <w:spacing w:before="240" w:after="240"/>
        <w:ind w:firstLine="720"/>
        <w:jc w:val="both"/>
        <w:rPr>
          <w:rFonts w:ascii="Cambria" w:hAnsi="Cambria" w:cs="Cambria"/>
          <w:b/>
          <w:bCs/>
          <w:sz w:val="20"/>
          <w:szCs w:val="20"/>
        </w:rPr>
      </w:pPr>
    </w:p>
    <w:sectPr w:rsidR="001A710D" w:rsidRPr="00D403CE" w:rsidSect="00F621C3">
      <w:headerReference w:type="default" r:id="rId14"/>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90" w:rsidRDefault="00447690" w:rsidP="0018171F">
      <w:r>
        <w:separator/>
      </w:r>
    </w:p>
  </w:endnote>
  <w:endnote w:type="continuationSeparator" w:id="0">
    <w:p w:rsidR="00447690" w:rsidRDefault="00447690" w:rsidP="0018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DF" w:rsidRDefault="00ED4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0D" w:rsidRPr="008677A9" w:rsidRDefault="001A710D">
    <w:pPr>
      <w:pStyle w:val="Footer"/>
      <w:jc w:val="center"/>
      <w:rPr>
        <w:noProof/>
        <w:sz w:val="16"/>
        <w:szCs w:val="16"/>
      </w:rPr>
    </w:pPr>
    <w:r w:rsidRPr="008677A9">
      <w:rPr>
        <w:noProof/>
        <w:sz w:val="16"/>
        <w:szCs w:val="16"/>
      </w:rPr>
      <w:fldChar w:fldCharType="begin"/>
    </w:r>
    <w:r w:rsidRPr="008677A9">
      <w:rPr>
        <w:noProof/>
        <w:sz w:val="16"/>
        <w:szCs w:val="16"/>
      </w:rPr>
      <w:instrText xml:space="preserve"> PAGE   \* MERGEFORMAT </w:instrText>
    </w:r>
    <w:r w:rsidRPr="008677A9">
      <w:rPr>
        <w:noProof/>
        <w:sz w:val="16"/>
        <w:szCs w:val="16"/>
      </w:rPr>
      <w:fldChar w:fldCharType="separate"/>
    </w:r>
    <w:r w:rsidRPr="008677A9">
      <w:rPr>
        <w:noProof/>
        <w:sz w:val="16"/>
        <w:szCs w:val="16"/>
      </w:rPr>
      <w:t>1</w:t>
    </w:r>
    <w:r w:rsidRPr="008677A9">
      <w:rPr>
        <w:noProof/>
        <w:sz w:val="16"/>
        <w:szCs w:val="16"/>
      </w:rPr>
      <w:fldChar w:fldCharType="end"/>
    </w:r>
  </w:p>
  <w:p w:rsidR="001A710D" w:rsidRPr="008677A9" w:rsidRDefault="001A710D">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0D" w:rsidRPr="008677A9" w:rsidRDefault="001A710D">
    <w:pPr>
      <w:pStyle w:val="Footer"/>
      <w:jc w:val="center"/>
      <w:rPr>
        <w:noProof/>
      </w:rPr>
    </w:pPr>
  </w:p>
  <w:p w:rsidR="001A710D" w:rsidRPr="008677A9" w:rsidRDefault="001A710D">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0D" w:rsidRPr="008677A9" w:rsidRDefault="001A710D">
    <w:pPr>
      <w:pStyle w:val="Footer"/>
      <w:jc w:val="center"/>
      <w:rPr>
        <w:noProof/>
        <w:sz w:val="16"/>
        <w:szCs w:val="16"/>
      </w:rPr>
    </w:pPr>
    <w:r w:rsidRPr="008677A9">
      <w:rPr>
        <w:noProof/>
        <w:sz w:val="16"/>
        <w:szCs w:val="16"/>
      </w:rPr>
      <w:fldChar w:fldCharType="begin"/>
    </w:r>
    <w:r w:rsidRPr="008677A9">
      <w:rPr>
        <w:noProof/>
        <w:sz w:val="16"/>
        <w:szCs w:val="16"/>
      </w:rPr>
      <w:instrText xml:space="preserve"> PAGE   \* MERGEFORMAT </w:instrText>
    </w:r>
    <w:r w:rsidRPr="008677A9">
      <w:rPr>
        <w:noProof/>
        <w:sz w:val="16"/>
        <w:szCs w:val="16"/>
      </w:rPr>
      <w:fldChar w:fldCharType="separate"/>
    </w:r>
    <w:r w:rsidR="00ED48DF">
      <w:rPr>
        <w:noProof/>
        <w:sz w:val="16"/>
        <w:szCs w:val="16"/>
      </w:rPr>
      <w:t>1</w:t>
    </w:r>
    <w:r w:rsidRPr="008677A9">
      <w:rPr>
        <w:noProof/>
        <w:sz w:val="16"/>
        <w:szCs w:val="16"/>
      </w:rPr>
      <w:fldChar w:fldCharType="end"/>
    </w:r>
  </w:p>
  <w:p w:rsidR="001A710D" w:rsidRPr="008677A9" w:rsidRDefault="001A710D">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90" w:rsidRPr="008677A9" w:rsidRDefault="00447690" w:rsidP="00036A8A">
      <w:pPr>
        <w:rPr>
          <w:rFonts w:ascii="Cambria" w:hAnsi="Cambria" w:cs="Cambria"/>
          <w:noProof/>
          <w:sz w:val="16"/>
          <w:szCs w:val="16"/>
        </w:rPr>
      </w:pPr>
      <w:r w:rsidRPr="008677A9">
        <w:rPr>
          <w:rFonts w:ascii="Cambria" w:hAnsi="Cambria" w:cs="Cambria"/>
          <w:noProof/>
          <w:sz w:val="16"/>
          <w:szCs w:val="16"/>
        </w:rPr>
        <w:separator/>
      </w:r>
    </w:p>
  </w:footnote>
  <w:footnote w:type="continuationSeparator" w:id="0">
    <w:p w:rsidR="00447690" w:rsidRPr="008677A9" w:rsidRDefault="00447690" w:rsidP="00036A8A">
      <w:pPr>
        <w:rPr>
          <w:rFonts w:ascii="Cambria" w:hAnsi="Cambria" w:cs="Cambria"/>
          <w:noProof/>
          <w:sz w:val="16"/>
          <w:szCs w:val="16"/>
        </w:rPr>
      </w:pPr>
      <w:r w:rsidRPr="008677A9">
        <w:rPr>
          <w:rFonts w:ascii="Cambria" w:hAnsi="Cambria" w:cs="Cambria"/>
          <w:noProof/>
          <w:sz w:val="16"/>
          <w:szCs w:val="16"/>
        </w:rPr>
        <w:separator/>
      </w:r>
    </w:p>
    <w:p w:rsidR="00447690" w:rsidRPr="008677A9" w:rsidRDefault="00447690" w:rsidP="00036A8A">
      <w:pPr>
        <w:pStyle w:val="Footer"/>
        <w:rPr>
          <w:noProof/>
          <w:sz w:val="16"/>
          <w:szCs w:val="16"/>
        </w:rPr>
      </w:pPr>
      <w:r w:rsidRPr="008677A9">
        <w:rPr>
          <w:noProof/>
          <w:sz w:val="16"/>
          <w:szCs w:val="16"/>
        </w:rPr>
        <w:t>[… continuation]</w:t>
      </w:r>
    </w:p>
  </w:footnote>
  <w:footnote w:id="1">
    <w:p w:rsidR="001A710D" w:rsidRDefault="001A710D" w:rsidP="00CD2EAB">
      <w:pPr>
        <w:pStyle w:val="FootnoteText"/>
        <w:tabs>
          <w:tab w:val="left" w:pos="720"/>
        </w:tabs>
        <w:ind w:firstLine="360"/>
      </w:pPr>
      <w:r w:rsidRPr="00D403CE">
        <w:rPr>
          <w:rStyle w:val="FootnoteReference"/>
          <w:rFonts w:ascii="Cambria" w:hAnsi="Cambria" w:cs="Cambria"/>
          <w:color w:val="auto"/>
          <w:sz w:val="16"/>
          <w:szCs w:val="16"/>
        </w:rPr>
        <w:footnoteRef/>
      </w:r>
      <w:r w:rsidRPr="00D403CE">
        <w:rPr>
          <w:rStyle w:val="FootnoteReference"/>
          <w:rFonts w:ascii="Cambria" w:hAnsi="Cambria" w:cs="Cambria"/>
          <w:color w:val="auto"/>
          <w:sz w:val="16"/>
          <w:szCs w:val="16"/>
        </w:rPr>
        <w:t xml:space="preserve"> </w:t>
      </w:r>
      <w:r w:rsidRPr="00D403CE">
        <w:rPr>
          <w:rFonts w:ascii="Cambria" w:hAnsi="Cambria" w:cs="Cambria"/>
          <w:color w:val="auto"/>
          <w:sz w:val="16"/>
          <w:szCs w:val="16"/>
        </w:rPr>
        <w:t xml:space="preserve">The petition is presented on behalf of 50 alleged victims, identified in the attached document. </w:t>
      </w:r>
    </w:p>
  </w:footnote>
  <w:footnote w:id="2">
    <w:p w:rsidR="001A710D" w:rsidRDefault="001A710D" w:rsidP="00CD2EAB">
      <w:pPr>
        <w:pStyle w:val="FootnoteText"/>
        <w:tabs>
          <w:tab w:val="left" w:pos="720"/>
        </w:tabs>
        <w:ind w:firstLine="360"/>
      </w:pPr>
      <w:r w:rsidRPr="00D403CE">
        <w:rPr>
          <w:rStyle w:val="FootnoteReference"/>
          <w:rFonts w:ascii="Cambria" w:hAnsi="Cambria" w:cs="Cambria"/>
          <w:sz w:val="16"/>
          <w:szCs w:val="16"/>
        </w:rPr>
        <w:footnoteRef/>
      </w:r>
      <w:r w:rsidRPr="00D403CE">
        <w:rPr>
          <w:rFonts w:ascii="Cambria" w:hAnsi="Cambria" w:cs="Cambria"/>
          <w:sz w:val="16"/>
          <w:szCs w:val="16"/>
        </w:rPr>
        <w:t xml:space="preserve"> Hereinafter, </w:t>
      </w:r>
      <w:r>
        <w:rPr>
          <w:rFonts w:ascii="Cambria" w:hAnsi="Cambria" w:cs="Cambria"/>
          <w:sz w:val="16"/>
          <w:szCs w:val="16"/>
        </w:rPr>
        <w:t>“</w:t>
      </w:r>
      <w:r w:rsidRPr="00D403CE">
        <w:rPr>
          <w:rFonts w:ascii="Cambria" w:hAnsi="Cambria" w:cs="Cambria"/>
          <w:sz w:val="16"/>
          <w:szCs w:val="16"/>
        </w:rPr>
        <w:t xml:space="preserve">the </w:t>
      </w:r>
      <w:r>
        <w:rPr>
          <w:rFonts w:ascii="Cambria" w:hAnsi="Cambria" w:cs="Cambria"/>
          <w:sz w:val="16"/>
          <w:szCs w:val="16"/>
        </w:rPr>
        <w:t>Declaration” or “</w:t>
      </w:r>
      <w:r w:rsidRPr="00D403CE">
        <w:rPr>
          <w:rFonts w:ascii="Cambria" w:hAnsi="Cambria" w:cs="Cambria"/>
          <w:sz w:val="16"/>
          <w:szCs w:val="16"/>
        </w:rPr>
        <w:t>the American Declaration.</w:t>
      </w:r>
      <w:r>
        <w:rPr>
          <w:rFonts w:ascii="Cambria" w:hAnsi="Cambria" w:cs="Cambria"/>
          <w:sz w:val="16"/>
          <w:szCs w:val="16"/>
        </w:rPr>
        <w:t>”</w:t>
      </w:r>
    </w:p>
  </w:footnote>
  <w:footnote w:id="3">
    <w:p w:rsidR="001A710D" w:rsidRDefault="001A710D" w:rsidP="00CD2EAB">
      <w:pPr>
        <w:pStyle w:val="FootnoteText"/>
        <w:tabs>
          <w:tab w:val="left" w:pos="720"/>
        </w:tabs>
        <w:ind w:firstLine="360"/>
      </w:pPr>
      <w:r w:rsidRPr="00D403CE">
        <w:rPr>
          <w:rFonts w:ascii="Cambria" w:hAnsi="Cambria" w:cs="Cambria"/>
          <w:sz w:val="16"/>
          <w:szCs w:val="16"/>
          <w:vertAlign w:val="superscript"/>
        </w:rPr>
        <w:footnoteRef/>
      </w:r>
      <w:r w:rsidRPr="00D403CE">
        <w:rPr>
          <w:rFonts w:ascii="Cambria" w:hAnsi="Cambria" w:cs="Cambria"/>
          <w:sz w:val="16"/>
          <w:szCs w:val="16"/>
        </w:rPr>
        <w:t xml:space="preserve"> Hereinafter, </w:t>
      </w:r>
      <w:r>
        <w:rPr>
          <w:rFonts w:ascii="Cambria" w:hAnsi="Cambria" w:cs="Cambria"/>
          <w:sz w:val="16"/>
          <w:szCs w:val="16"/>
        </w:rPr>
        <w:t>“</w:t>
      </w:r>
      <w:r w:rsidRPr="00D403CE">
        <w:rPr>
          <w:rFonts w:ascii="Cambria" w:hAnsi="Cambria" w:cs="Cambria"/>
          <w:sz w:val="16"/>
          <w:szCs w:val="16"/>
        </w:rPr>
        <w:t>the Convention</w:t>
      </w:r>
      <w:r>
        <w:rPr>
          <w:rFonts w:ascii="Cambria" w:hAnsi="Cambria" w:cs="Cambria"/>
          <w:sz w:val="16"/>
          <w:szCs w:val="16"/>
        </w:rPr>
        <w:t>”</w:t>
      </w:r>
      <w:r w:rsidRPr="00D403CE">
        <w:rPr>
          <w:rFonts w:ascii="Cambria" w:hAnsi="Cambria" w:cs="Cambria"/>
          <w:sz w:val="16"/>
          <w:szCs w:val="16"/>
        </w:rPr>
        <w:t xml:space="preserve"> or </w:t>
      </w:r>
      <w:r>
        <w:rPr>
          <w:rFonts w:ascii="Cambria" w:hAnsi="Cambria" w:cs="Cambria"/>
          <w:sz w:val="16"/>
          <w:szCs w:val="16"/>
        </w:rPr>
        <w:t>“</w:t>
      </w:r>
      <w:r w:rsidRPr="00D403CE">
        <w:rPr>
          <w:rFonts w:ascii="Cambria" w:hAnsi="Cambria" w:cs="Cambria"/>
          <w:sz w:val="16"/>
          <w:szCs w:val="16"/>
        </w:rPr>
        <w:t xml:space="preserve">the </w:t>
      </w:r>
      <w:proofErr w:type="gramStart"/>
      <w:r w:rsidRPr="00D403CE">
        <w:rPr>
          <w:rFonts w:ascii="Cambria" w:hAnsi="Cambria" w:cs="Cambria"/>
          <w:sz w:val="16"/>
          <w:szCs w:val="16"/>
        </w:rPr>
        <w:t xml:space="preserve">American </w:t>
      </w:r>
      <w:proofErr w:type="gramEnd"/>
      <w:r w:rsidRPr="00D403CE">
        <w:rPr>
          <w:rStyle w:val="FootnoteReference"/>
          <w:rFonts w:ascii="Cambria" w:hAnsi="Cambria" w:cs="Cambria"/>
          <w:color w:val="auto"/>
          <w:sz w:val="16"/>
          <w:szCs w:val="16"/>
          <w:vertAlign w:val="baseline"/>
        </w:rPr>
        <w:t>Convention</w:t>
      </w:r>
      <w:r w:rsidRPr="00D403CE">
        <w:rPr>
          <w:rFonts w:ascii="Cambria" w:hAnsi="Cambria" w:cs="Cambria"/>
          <w:sz w:val="16"/>
          <w:szCs w:val="16"/>
        </w:rPr>
        <w:t>.</w:t>
      </w:r>
      <w:r>
        <w:rPr>
          <w:rFonts w:ascii="Cambria" w:hAnsi="Cambria" w:cs="Cambria"/>
          <w:sz w:val="16"/>
          <w:szCs w:val="16"/>
        </w:rPr>
        <w:t>”</w:t>
      </w:r>
    </w:p>
  </w:footnote>
  <w:footnote w:id="4">
    <w:p w:rsidR="001A710D" w:rsidRDefault="001A710D" w:rsidP="00CD2EAB">
      <w:pPr>
        <w:pStyle w:val="FootnoteText"/>
        <w:tabs>
          <w:tab w:val="left" w:pos="720"/>
        </w:tabs>
        <w:ind w:firstLine="360"/>
        <w:jc w:val="both"/>
      </w:pPr>
      <w:r w:rsidRPr="00D403CE">
        <w:rPr>
          <w:rStyle w:val="FootnoteReference"/>
          <w:rFonts w:ascii="Cambria" w:hAnsi="Cambria" w:cs="Cambria"/>
          <w:sz w:val="16"/>
          <w:szCs w:val="16"/>
        </w:rPr>
        <w:footnoteRef/>
      </w:r>
      <w:r w:rsidRPr="00D403CE">
        <w:rPr>
          <w:rFonts w:ascii="Cambria" w:hAnsi="Cambria" w:cs="Cambria"/>
          <w:sz w:val="16"/>
          <w:szCs w:val="16"/>
        </w:rPr>
        <w:t xml:space="preserve"> The observations submitted by each party were duly transmitted to the opposing party.</w:t>
      </w:r>
    </w:p>
  </w:footnote>
  <w:footnote w:id="5">
    <w:p w:rsidR="001A710D" w:rsidRDefault="001A710D" w:rsidP="00CD2EAB">
      <w:pPr>
        <w:pStyle w:val="FootnoteText"/>
        <w:tabs>
          <w:tab w:val="left" w:pos="720"/>
        </w:tabs>
        <w:ind w:firstLine="360"/>
        <w:jc w:val="both"/>
      </w:pPr>
      <w:r w:rsidRPr="00D403CE">
        <w:rPr>
          <w:rStyle w:val="FootnoteReference"/>
          <w:rFonts w:ascii="Cambria" w:hAnsi="Cambria" w:cs="Cambria"/>
          <w:sz w:val="16"/>
          <w:szCs w:val="16"/>
        </w:rPr>
        <w:footnoteRef/>
      </w:r>
      <w:r w:rsidR="00691A4D">
        <w:rPr>
          <w:rFonts w:ascii="Cambria" w:hAnsi="Cambria" w:cs="Cambria"/>
          <w:sz w:val="16"/>
          <w:szCs w:val="16"/>
        </w:rPr>
        <w:t xml:space="preserve"> </w:t>
      </w:r>
      <w:r w:rsidRPr="00D403CE">
        <w:rPr>
          <w:rFonts w:ascii="Cambria" w:hAnsi="Cambria" w:cs="Cambria"/>
          <w:sz w:val="16"/>
          <w:szCs w:val="16"/>
        </w:rPr>
        <w:t>See: I/A Court H. R, Advisory Opinion OC-10/89, July 14, 1989, Ser. A No. 10, paras. 35-45.</w:t>
      </w:r>
    </w:p>
  </w:footnote>
  <w:footnote w:id="6">
    <w:p w:rsidR="001A710D" w:rsidRDefault="001A710D" w:rsidP="00CD2EAB">
      <w:pPr>
        <w:pStyle w:val="FootnoteText"/>
        <w:tabs>
          <w:tab w:val="left" w:pos="720"/>
        </w:tabs>
        <w:ind w:firstLine="360"/>
        <w:jc w:val="both"/>
      </w:pPr>
      <w:r w:rsidRPr="00D403CE">
        <w:rPr>
          <w:rStyle w:val="FootnoteReference"/>
          <w:rFonts w:ascii="Cambria" w:hAnsi="Cambria" w:cs="Cambria"/>
          <w:sz w:val="16"/>
          <w:szCs w:val="16"/>
        </w:rPr>
        <w:footnoteRef/>
      </w:r>
      <w:r w:rsidRPr="00D403CE">
        <w:rPr>
          <w:rFonts w:ascii="Cambria" w:hAnsi="Cambria" w:cs="Cambria"/>
          <w:sz w:val="16"/>
          <w:szCs w:val="16"/>
        </w:rPr>
        <w:t xml:space="preserve"> </w:t>
      </w:r>
      <w:r w:rsidRPr="00D403CE">
        <w:rPr>
          <w:rFonts w:ascii="Cambria" w:hAnsi="Cambria" w:cs="Cambria"/>
          <w:sz w:val="16"/>
          <w:szCs w:val="16"/>
        </w:rPr>
        <w:tab/>
        <w:t xml:space="preserve">The petition was initially presented on behalf of the 49 alleged victims identified herein; following his murder, Boris </w:t>
      </w:r>
      <w:proofErr w:type="spellStart"/>
      <w:r w:rsidRPr="00D403CE">
        <w:rPr>
          <w:rFonts w:ascii="Cambria" w:hAnsi="Cambria" w:cs="Cambria"/>
          <w:sz w:val="16"/>
          <w:szCs w:val="16"/>
        </w:rPr>
        <w:t>Colindres</w:t>
      </w:r>
      <w:proofErr w:type="spellEnd"/>
      <w:r w:rsidRPr="00D403CE">
        <w:rPr>
          <w:rFonts w:ascii="Cambria" w:hAnsi="Cambria" w:cs="Cambria"/>
          <w:sz w:val="16"/>
          <w:szCs w:val="16"/>
        </w:rPr>
        <w:t xml:space="preserve"> </w:t>
      </w:r>
      <w:proofErr w:type="spellStart"/>
      <w:r w:rsidRPr="00D403CE">
        <w:rPr>
          <w:rFonts w:ascii="Cambria" w:hAnsi="Cambria" w:cs="Cambria"/>
          <w:sz w:val="16"/>
          <w:szCs w:val="16"/>
        </w:rPr>
        <w:t>Casasola</w:t>
      </w:r>
      <w:proofErr w:type="spellEnd"/>
      <w:r w:rsidRPr="00D403CE">
        <w:rPr>
          <w:rFonts w:ascii="Cambria" w:hAnsi="Cambria" w:cs="Cambria"/>
          <w:sz w:val="16"/>
          <w:szCs w:val="16"/>
        </w:rPr>
        <w:t xml:space="preserve"> was added to the list. In addition, as context, the petitioners alleged that other persons had been killed and disappeared; because they were not expressly identified as victims in this petition, the</w:t>
      </w:r>
      <w:r>
        <w:rPr>
          <w:rFonts w:ascii="Cambria" w:hAnsi="Cambria" w:cs="Cambria"/>
          <w:sz w:val="16"/>
          <w:szCs w:val="16"/>
        </w:rPr>
        <w:t>y</w:t>
      </w:r>
      <w:r w:rsidRPr="00D403CE">
        <w:rPr>
          <w:rFonts w:ascii="Cambria" w:hAnsi="Cambria" w:cs="Cambria"/>
          <w:sz w:val="16"/>
          <w:szCs w:val="16"/>
        </w:rPr>
        <w:t xml:space="preserve"> are not included in this annex.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DF" w:rsidRDefault="00ED4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0D" w:rsidRPr="008677A9" w:rsidRDefault="00C07B77"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14:anchorId="6184392A" wp14:editId="2891F838">
          <wp:extent cx="2190750" cy="114300"/>
          <wp:effectExtent l="0" t="0" r="0" b="0"/>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4300"/>
                  </a:xfrm>
                  <a:prstGeom prst="rect">
                    <a:avLst/>
                  </a:prstGeom>
                  <a:noFill/>
                  <a:ln>
                    <a:noFill/>
                  </a:ln>
                </pic:spPr>
              </pic:pic>
            </a:graphicData>
          </a:graphic>
        </wp:inline>
      </w:drawing>
    </w:r>
  </w:p>
  <w:p w:rsidR="001A710D" w:rsidRPr="008677A9" w:rsidRDefault="00447690" w:rsidP="002C1641">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DF" w:rsidRDefault="00ED48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0D" w:rsidRPr="008677A9" w:rsidRDefault="00C07B77"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90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4300"/>
                  </a:xfrm>
                  <a:prstGeom prst="rect">
                    <a:avLst/>
                  </a:prstGeom>
                  <a:noFill/>
                  <a:ln>
                    <a:noFill/>
                  </a:ln>
                </pic:spPr>
              </pic:pic>
            </a:graphicData>
          </a:graphic>
        </wp:inline>
      </w:drawing>
    </w:r>
  </w:p>
  <w:p w:rsidR="001A710D" w:rsidRPr="008677A9" w:rsidRDefault="00447690" w:rsidP="002C1641">
    <w:pPr>
      <w:pStyle w:val="Header"/>
      <w:tabs>
        <w:tab w:val="clear" w:pos="4320"/>
        <w:tab w:val="clear" w:pos="8640"/>
      </w:tabs>
      <w:jc w:val="center"/>
      <w:rPr>
        <w:rFonts w:cs="Times New Roman"/>
        <w:noProof/>
        <w:sz w:val="22"/>
        <w:szCs w:val="22"/>
      </w:rPr>
    </w:pPr>
    <w:r>
      <w:rPr>
        <w:rFonts w:cs="Times New Roman"/>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Times New Roman"/>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cs="Times New Roman"/>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cs="Times New Roman"/>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cs="Times New Roman"/>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cs="Times New Roman"/>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cs="Times New Roman"/>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cs="Times New Roman"/>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cs="Times New Roman"/>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cs="Times New Roman"/>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rPr>
    </w:lvl>
    <w:lvl w:ilvl="1">
      <w:start w:val="1"/>
      <w:numFmt w:val="bullet"/>
      <w:lvlText w:val="o"/>
      <w:lvlJc w:val="left"/>
      <w:pPr>
        <w:tabs>
          <w:tab w:val="num" w:pos="1410"/>
        </w:tabs>
        <w:ind w:left="1410" w:hanging="330"/>
      </w:pPr>
      <w:rPr>
        <w:rFonts w:ascii="Calibri" w:eastAsia="Times New Roman" w:hAnsi="Calibri"/>
        <w:color w:val="000000"/>
        <w:position w:val="0"/>
        <w:sz w:val="22"/>
      </w:rPr>
    </w:lvl>
    <w:lvl w:ilvl="2">
      <w:start w:val="1"/>
      <w:numFmt w:val="bullet"/>
      <w:lvlText w:val="▪"/>
      <w:lvlJc w:val="left"/>
      <w:pPr>
        <w:tabs>
          <w:tab w:val="num" w:pos="2130"/>
        </w:tabs>
        <w:ind w:left="2130" w:hanging="330"/>
      </w:pPr>
      <w:rPr>
        <w:rFonts w:ascii="Calibri" w:eastAsia="Times New Roman" w:hAnsi="Calibri"/>
        <w:color w:val="000000"/>
        <w:position w:val="0"/>
        <w:sz w:val="22"/>
      </w:rPr>
    </w:lvl>
    <w:lvl w:ilvl="3">
      <w:start w:val="1"/>
      <w:numFmt w:val="bullet"/>
      <w:lvlText w:val="•"/>
      <w:lvlJc w:val="left"/>
      <w:pPr>
        <w:tabs>
          <w:tab w:val="num" w:pos="2850"/>
        </w:tabs>
        <w:ind w:left="2850" w:hanging="330"/>
      </w:pPr>
      <w:rPr>
        <w:rFonts w:ascii="Calibri" w:eastAsia="Times New Roman" w:hAnsi="Calibri"/>
        <w:color w:val="000000"/>
        <w:position w:val="0"/>
        <w:sz w:val="22"/>
      </w:rPr>
    </w:lvl>
    <w:lvl w:ilvl="4">
      <w:start w:val="1"/>
      <w:numFmt w:val="bullet"/>
      <w:lvlText w:val="o"/>
      <w:lvlJc w:val="left"/>
      <w:pPr>
        <w:tabs>
          <w:tab w:val="num" w:pos="3570"/>
        </w:tabs>
        <w:ind w:left="3570" w:hanging="330"/>
      </w:pPr>
      <w:rPr>
        <w:rFonts w:ascii="Calibri" w:eastAsia="Times New Roman" w:hAnsi="Calibri"/>
        <w:color w:val="000000"/>
        <w:position w:val="0"/>
        <w:sz w:val="22"/>
      </w:rPr>
    </w:lvl>
    <w:lvl w:ilvl="5">
      <w:start w:val="1"/>
      <w:numFmt w:val="bullet"/>
      <w:lvlText w:val="▪"/>
      <w:lvlJc w:val="left"/>
      <w:pPr>
        <w:tabs>
          <w:tab w:val="num" w:pos="4290"/>
        </w:tabs>
        <w:ind w:left="4290" w:hanging="330"/>
      </w:pPr>
      <w:rPr>
        <w:rFonts w:ascii="Calibri" w:eastAsia="Times New Roman" w:hAnsi="Calibri"/>
        <w:color w:val="000000"/>
        <w:position w:val="0"/>
        <w:sz w:val="22"/>
      </w:rPr>
    </w:lvl>
    <w:lvl w:ilvl="6">
      <w:start w:val="1"/>
      <w:numFmt w:val="bullet"/>
      <w:lvlText w:val="•"/>
      <w:lvlJc w:val="left"/>
      <w:pPr>
        <w:tabs>
          <w:tab w:val="num" w:pos="5010"/>
        </w:tabs>
        <w:ind w:left="5010" w:hanging="330"/>
      </w:pPr>
      <w:rPr>
        <w:rFonts w:ascii="Calibri" w:eastAsia="Times New Roman" w:hAnsi="Calibri"/>
        <w:color w:val="000000"/>
        <w:position w:val="0"/>
        <w:sz w:val="22"/>
      </w:rPr>
    </w:lvl>
    <w:lvl w:ilvl="7">
      <w:start w:val="1"/>
      <w:numFmt w:val="bullet"/>
      <w:lvlText w:val="o"/>
      <w:lvlJc w:val="left"/>
      <w:pPr>
        <w:tabs>
          <w:tab w:val="num" w:pos="5730"/>
        </w:tabs>
        <w:ind w:left="5730" w:hanging="330"/>
      </w:pPr>
      <w:rPr>
        <w:rFonts w:ascii="Calibri" w:eastAsia="Times New Roman" w:hAnsi="Calibri"/>
        <w:color w:val="000000"/>
        <w:position w:val="0"/>
        <w:sz w:val="22"/>
      </w:rPr>
    </w:lvl>
    <w:lvl w:ilvl="8">
      <w:start w:val="1"/>
      <w:numFmt w:val="bullet"/>
      <w:lvlText w:val="▪"/>
      <w:lvlJc w:val="left"/>
      <w:pPr>
        <w:tabs>
          <w:tab w:val="num" w:pos="6450"/>
        </w:tabs>
        <w:ind w:left="6450" w:hanging="330"/>
      </w:pPr>
      <w:rPr>
        <w:rFonts w:ascii="Calibri" w:eastAsia="Times New Roman" w:hAnsi="Calibri"/>
        <w:color w:val="000000"/>
        <w:position w:val="0"/>
        <w:sz w:val="22"/>
      </w:rPr>
    </w:lvl>
  </w:abstractNum>
  <w:abstractNum w:abstractNumId="4" w15:restartNumberingAfterBreak="0">
    <w:nsid w:val="0E1D2261"/>
    <w:multiLevelType w:val="hybridMultilevel"/>
    <w:tmpl w:val="EE386E66"/>
    <w:lvl w:ilvl="0" w:tplc="E0327E8E">
      <w:start w:val="1"/>
      <w:numFmt w:val="decimal"/>
      <w:lvlText w:val="%1."/>
      <w:lvlJc w:val="left"/>
      <w:pPr>
        <w:tabs>
          <w:tab w:val="num" w:pos="720"/>
        </w:tabs>
        <w:ind w:firstLine="720"/>
      </w:pPr>
      <w:rPr>
        <w:rFonts w:cs="Times New Roman" w:hint="default"/>
        <w:i w:val="0"/>
        <w:iCs w:val="0"/>
        <w:vanish w:val="0"/>
        <w:color w:val="auto"/>
      </w:rPr>
    </w:lvl>
    <w:lvl w:ilvl="1" w:tplc="FA647302">
      <w:start w:val="1"/>
      <w:numFmt w:val="lowerLetter"/>
      <w:lvlText w:val="%2."/>
      <w:lvlJc w:val="left"/>
      <w:pPr>
        <w:tabs>
          <w:tab w:val="num" w:pos="1440"/>
        </w:tabs>
        <w:ind w:left="1440" w:hanging="360"/>
      </w:pPr>
      <w:rPr>
        <w:rFonts w:cs="Times New Roman"/>
      </w:rPr>
    </w:lvl>
    <w:lvl w:ilvl="2" w:tplc="B0D0BFA0">
      <w:start w:val="1"/>
      <w:numFmt w:val="lowerRoman"/>
      <w:lvlText w:val="%3."/>
      <w:lvlJc w:val="right"/>
      <w:pPr>
        <w:tabs>
          <w:tab w:val="num" w:pos="2160"/>
        </w:tabs>
        <w:ind w:left="2160" w:hanging="180"/>
      </w:pPr>
      <w:rPr>
        <w:rFonts w:cs="Times New Roman"/>
      </w:rPr>
    </w:lvl>
    <w:lvl w:ilvl="3" w:tplc="E53A6596">
      <w:start w:val="1"/>
      <w:numFmt w:val="decimal"/>
      <w:lvlText w:val="%4."/>
      <w:lvlJc w:val="left"/>
      <w:pPr>
        <w:tabs>
          <w:tab w:val="num" w:pos="2880"/>
        </w:tabs>
        <w:ind w:left="2880" w:hanging="360"/>
      </w:pPr>
      <w:rPr>
        <w:rFonts w:cs="Times New Roman"/>
      </w:rPr>
    </w:lvl>
    <w:lvl w:ilvl="4" w:tplc="8DAA3DEC">
      <w:start w:val="1"/>
      <w:numFmt w:val="lowerLetter"/>
      <w:lvlText w:val="%5."/>
      <w:lvlJc w:val="left"/>
      <w:pPr>
        <w:tabs>
          <w:tab w:val="num" w:pos="3600"/>
        </w:tabs>
        <w:ind w:left="3600" w:hanging="360"/>
      </w:pPr>
      <w:rPr>
        <w:rFonts w:cs="Times New Roman"/>
      </w:rPr>
    </w:lvl>
    <w:lvl w:ilvl="5" w:tplc="FEC8F0D4">
      <w:start w:val="1"/>
      <w:numFmt w:val="lowerRoman"/>
      <w:lvlText w:val="%6."/>
      <w:lvlJc w:val="right"/>
      <w:pPr>
        <w:tabs>
          <w:tab w:val="num" w:pos="4320"/>
        </w:tabs>
        <w:ind w:left="4320" w:hanging="180"/>
      </w:pPr>
      <w:rPr>
        <w:rFonts w:cs="Times New Roman"/>
      </w:rPr>
    </w:lvl>
    <w:lvl w:ilvl="6" w:tplc="73A2A996">
      <w:start w:val="1"/>
      <w:numFmt w:val="decimal"/>
      <w:lvlText w:val="%7."/>
      <w:lvlJc w:val="left"/>
      <w:pPr>
        <w:tabs>
          <w:tab w:val="num" w:pos="5040"/>
        </w:tabs>
        <w:ind w:left="5040" w:hanging="360"/>
      </w:pPr>
      <w:rPr>
        <w:rFonts w:cs="Times New Roman"/>
      </w:rPr>
    </w:lvl>
    <w:lvl w:ilvl="7" w:tplc="934658DC">
      <w:start w:val="1"/>
      <w:numFmt w:val="lowerLetter"/>
      <w:lvlText w:val="%8."/>
      <w:lvlJc w:val="left"/>
      <w:pPr>
        <w:tabs>
          <w:tab w:val="num" w:pos="5760"/>
        </w:tabs>
        <w:ind w:left="5760" w:hanging="360"/>
      </w:pPr>
      <w:rPr>
        <w:rFonts w:cs="Times New Roman"/>
      </w:rPr>
    </w:lvl>
    <w:lvl w:ilvl="8" w:tplc="85D81C8C">
      <w:start w:val="1"/>
      <w:numFmt w:val="lowerRoman"/>
      <w:lvlText w:val="%9."/>
      <w:lvlJc w:val="right"/>
      <w:pPr>
        <w:tabs>
          <w:tab w:val="num" w:pos="6480"/>
        </w:tabs>
        <w:ind w:left="6480" w:hanging="180"/>
      </w:pPr>
      <w:rPr>
        <w:rFonts w:cs="Times New Roman"/>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Times New Roman"/>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imes New Roman"/>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cs="Times New Roman"/>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cs="Times New Roman"/>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cs="Times New Roman"/>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cs="Times New Roman"/>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cs="Times New Roman"/>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cs="Times New Roman"/>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cs="Times New Roman"/>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cs="Times New Roman"/>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11" w15:restartNumberingAfterBreak="0">
    <w:nsid w:val="21A31728"/>
    <w:multiLevelType w:val="hybridMultilevel"/>
    <w:tmpl w:val="991AE4F0"/>
    <w:lvl w:ilvl="0" w:tplc="8A4E7260">
      <w:start w:val="1"/>
      <w:numFmt w:val="decimal"/>
      <w:lvlText w:val="%1."/>
      <w:lvlJc w:val="left"/>
      <w:pPr>
        <w:ind w:left="720" w:hanging="360"/>
      </w:pPr>
      <w:rPr>
        <w:rFonts w:cs="Times New Roman"/>
        <w:b w:val="0"/>
        <w:bCs w:val="0"/>
        <w:vanish w:val="0"/>
      </w:rPr>
    </w:lvl>
    <w:lvl w:ilvl="1" w:tplc="D1BA4BAE">
      <w:start w:val="1"/>
      <w:numFmt w:val="lowerLetter"/>
      <w:lvlText w:val="%2."/>
      <w:lvlJc w:val="left"/>
      <w:pPr>
        <w:ind w:left="1440" w:hanging="360"/>
      </w:pPr>
      <w:rPr>
        <w:rFonts w:cs="Times New Roman"/>
      </w:rPr>
    </w:lvl>
    <w:lvl w:ilvl="2" w:tplc="E5A4746E">
      <w:start w:val="1"/>
      <w:numFmt w:val="lowerRoman"/>
      <w:lvlText w:val="%3."/>
      <w:lvlJc w:val="right"/>
      <w:pPr>
        <w:ind w:left="2160" w:hanging="180"/>
      </w:pPr>
      <w:rPr>
        <w:rFonts w:cs="Times New Roman"/>
      </w:rPr>
    </w:lvl>
    <w:lvl w:ilvl="3" w:tplc="36A4A37A">
      <w:start w:val="1"/>
      <w:numFmt w:val="decimal"/>
      <w:lvlText w:val="%4."/>
      <w:lvlJc w:val="left"/>
      <w:pPr>
        <w:ind w:left="2880" w:hanging="360"/>
      </w:pPr>
      <w:rPr>
        <w:rFonts w:cs="Times New Roman"/>
      </w:rPr>
    </w:lvl>
    <w:lvl w:ilvl="4" w:tplc="165A0084">
      <w:start w:val="1"/>
      <w:numFmt w:val="lowerLetter"/>
      <w:lvlText w:val="%5."/>
      <w:lvlJc w:val="left"/>
      <w:pPr>
        <w:ind w:left="3600" w:hanging="360"/>
      </w:pPr>
      <w:rPr>
        <w:rFonts w:cs="Times New Roman"/>
      </w:rPr>
    </w:lvl>
    <w:lvl w:ilvl="5" w:tplc="42C299BA">
      <w:start w:val="1"/>
      <w:numFmt w:val="lowerRoman"/>
      <w:lvlText w:val="%6."/>
      <w:lvlJc w:val="right"/>
      <w:pPr>
        <w:ind w:left="4320" w:hanging="180"/>
      </w:pPr>
      <w:rPr>
        <w:rFonts w:cs="Times New Roman"/>
      </w:rPr>
    </w:lvl>
    <w:lvl w:ilvl="6" w:tplc="1DB629EC">
      <w:start w:val="1"/>
      <w:numFmt w:val="decimal"/>
      <w:lvlText w:val="%7."/>
      <w:lvlJc w:val="left"/>
      <w:pPr>
        <w:ind w:left="5040" w:hanging="360"/>
      </w:pPr>
      <w:rPr>
        <w:rFonts w:cs="Times New Roman"/>
      </w:rPr>
    </w:lvl>
    <w:lvl w:ilvl="7" w:tplc="9FAAA3D4">
      <w:start w:val="1"/>
      <w:numFmt w:val="lowerLetter"/>
      <w:lvlText w:val="%8."/>
      <w:lvlJc w:val="left"/>
      <w:pPr>
        <w:ind w:left="5760" w:hanging="360"/>
      </w:pPr>
      <w:rPr>
        <w:rFonts w:cs="Times New Roman"/>
      </w:rPr>
    </w:lvl>
    <w:lvl w:ilvl="8" w:tplc="83C8F4B6">
      <w:start w:val="1"/>
      <w:numFmt w:val="lowerRoman"/>
      <w:lvlText w:val="%9."/>
      <w:lvlJc w:val="right"/>
      <w:pPr>
        <w:ind w:left="6480" w:hanging="180"/>
      </w:pPr>
      <w:rPr>
        <w:rFonts w:cs="Times New Roman"/>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Times New Roman"/>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rPr>
    </w:lvl>
    <w:lvl w:ilvl="1">
      <w:start w:val="1"/>
      <w:numFmt w:val="bullet"/>
      <w:lvlText w:val="o"/>
      <w:lvlJc w:val="left"/>
      <w:pPr>
        <w:tabs>
          <w:tab w:val="num" w:pos="1410"/>
        </w:tabs>
        <w:ind w:left="1410" w:hanging="330"/>
      </w:pPr>
      <w:rPr>
        <w:rFonts w:ascii="Calibri" w:eastAsia="Times New Roman" w:hAnsi="Calibri"/>
        <w:color w:val="000000"/>
        <w:position w:val="0"/>
        <w:sz w:val="22"/>
      </w:rPr>
    </w:lvl>
    <w:lvl w:ilvl="2">
      <w:start w:val="1"/>
      <w:numFmt w:val="bullet"/>
      <w:lvlText w:val="▪"/>
      <w:lvlJc w:val="left"/>
      <w:pPr>
        <w:tabs>
          <w:tab w:val="num" w:pos="2130"/>
        </w:tabs>
        <w:ind w:left="2130" w:hanging="330"/>
      </w:pPr>
      <w:rPr>
        <w:rFonts w:ascii="Calibri" w:eastAsia="Times New Roman" w:hAnsi="Calibri"/>
        <w:color w:val="000000"/>
        <w:position w:val="0"/>
        <w:sz w:val="22"/>
      </w:rPr>
    </w:lvl>
    <w:lvl w:ilvl="3">
      <w:start w:val="1"/>
      <w:numFmt w:val="bullet"/>
      <w:lvlText w:val="•"/>
      <w:lvlJc w:val="left"/>
      <w:pPr>
        <w:tabs>
          <w:tab w:val="num" w:pos="2850"/>
        </w:tabs>
        <w:ind w:left="2850" w:hanging="330"/>
      </w:pPr>
      <w:rPr>
        <w:rFonts w:ascii="Calibri" w:eastAsia="Times New Roman" w:hAnsi="Calibri"/>
        <w:color w:val="000000"/>
        <w:position w:val="0"/>
        <w:sz w:val="22"/>
      </w:rPr>
    </w:lvl>
    <w:lvl w:ilvl="4">
      <w:start w:val="1"/>
      <w:numFmt w:val="bullet"/>
      <w:lvlText w:val="o"/>
      <w:lvlJc w:val="left"/>
      <w:pPr>
        <w:tabs>
          <w:tab w:val="num" w:pos="3570"/>
        </w:tabs>
        <w:ind w:left="3570" w:hanging="330"/>
      </w:pPr>
      <w:rPr>
        <w:rFonts w:ascii="Calibri" w:eastAsia="Times New Roman" w:hAnsi="Calibri"/>
        <w:color w:val="000000"/>
        <w:position w:val="0"/>
        <w:sz w:val="22"/>
      </w:rPr>
    </w:lvl>
    <w:lvl w:ilvl="5">
      <w:start w:val="1"/>
      <w:numFmt w:val="bullet"/>
      <w:lvlText w:val="▪"/>
      <w:lvlJc w:val="left"/>
      <w:pPr>
        <w:tabs>
          <w:tab w:val="num" w:pos="4290"/>
        </w:tabs>
        <w:ind w:left="4290" w:hanging="330"/>
      </w:pPr>
      <w:rPr>
        <w:rFonts w:ascii="Calibri" w:eastAsia="Times New Roman" w:hAnsi="Calibri"/>
        <w:color w:val="000000"/>
        <w:position w:val="0"/>
        <w:sz w:val="22"/>
      </w:rPr>
    </w:lvl>
    <w:lvl w:ilvl="6">
      <w:start w:val="1"/>
      <w:numFmt w:val="bullet"/>
      <w:lvlText w:val="•"/>
      <w:lvlJc w:val="left"/>
      <w:pPr>
        <w:tabs>
          <w:tab w:val="num" w:pos="5010"/>
        </w:tabs>
        <w:ind w:left="5010" w:hanging="330"/>
      </w:pPr>
      <w:rPr>
        <w:rFonts w:ascii="Calibri" w:eastAsia="Times New Roman" w:hAnsi="Calibri"/>
        <w:color w:val="000000"/>
        <w:position w:val="0"/>
        <w:sz w:val="22"/>
      </w:rPr>
    </w:lvl>
    <w:lvl w:ilvl="7">
      <w:start w:val="1"/>
      <w:numFmt w:val="bullet"/>
      <w:lvlText w:val="o"/>
      <w:lvlJc w:val="left"/>
      <w:pPr>
        <w:tabs>
          <w:tab w:val="num" w:pos="5730"/>
        </w:tabs>
        <w:ind w:left="5730" w:hanging="330"/>
      </w:pPr>
      <w:rPr>
        <w:rFonts w:ascii="Calibri" w:eastAsia="Times New Roman" w:hAnsi="Calibri"/>
        <w:color w:val="000000"/>
        <w:position w:val="0"/>
        <w:sz w:val="22"/>
      </w:rPr>
    </w:lvl>
    <w:lvl w:ilvl="8">
      <w:start w:val="1"/>
      <w:numFmt w:val="bullet"/>
      <w:lvlText w:val="▪"/>
      <w:lvlJc w:val="left"/>
      <w:pPr>
        <w:tabs>
          <w:tab w:val="num" w:pos="6450"/>
        </w:tabs>
        <w:ind w:left="6450" w:hanging="330"/>
      </w:pPr>
      <w:rPr>
        <w:rFonts w:ascii="Calibri" w:eastAsia="Times New Roman" w:hAnsi="Calibri"/>
        <w:color w:val="000000"/>
        <w:position w:val="0"/>
        <w:sz w:val="22"/>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2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3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3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imes New Roman"/>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cs="Times New Roman"/>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cs="Times New Roman"/>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cs="Times New Roman"/>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cs="Times New Roman"/>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cs="Times New Roman"/>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cs="Times New Roman"/>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cs="Times New Roman"/>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cs="Times New Roman"/>
        <w:b/>
        <w:bCs/>
        <w:color w:val="000000"/>
        <w:position w:val="0"/>
        <w:sz w:val="22"/>
        <w:szCs w:val="22"/>
        <w:u w:val="single"/>
      </w:rPr>
    </w:lvl>
  </w:abstractNum>
  <w:abstractNum w:abstractNumId="3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Times New Roman"/>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cs="Times New Roman"/>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u w:val="single"/>
      </w:rPr>
    </w:lvl>
  </w:abstractNum>
  <w:abstractNum w:abstractNumId="3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3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3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3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37" w15:restartNumberingAfterBreak="0">
    <w:nsid w:val="560E281B"/>
    <w:multiLevelType w:val="hybridMultilevel"/>
    <w:tmpl w:val="60E24136"/>
    <w:lvl w:ilvl="0" w:tplc="3AA4FC98">
      <w:start w:val="1"/>
      <w:numFmt w:val="decimal"/>
      <w:lvlText w:val="%1."/>
      <w:lvlJc w:val="left"/>
      <w:pPr>
        <w:tabs>
          <w:tab w:val="num" w:pos="720"/>
        </w:tabs>
        <w:ind w:firstLine="720"/>
      </w:pPr>
      <w:rPr>
        <w:rFonts w:cs="Times New Roman" w:hint="default"/>
        <w:i w:val="0"/>
        <w:iCs w:val="0"/>
        <w:vanish w:val="0"/>
        <w:color w:val="auto"/>
      </w:rPr>
    </w:lvl>
    <w:lvl w:ilvl="1" w:tplc="82F0BF0E">
      <w:start w:val="1"/>
      <w:numFmt w:val="lowerLetter"/>
      <w:lvlText w:val="%2."/>
      <w:lvlJc w:val="left"/>
      <w:pPr>
        <w:tabs>
          <w:tab w:val="num" w:pos="1440"/>
        </w:tabs>
        <w:ind w:left="1440" w:hanging="360"/>
      </w:pPr>
      <w:rPr>
        <w:rFonts w:cs="Times New Roman"/>
      </w:rPr>
    </w:lvl>
    <w:lvl w:ilvl="2" w:tplc="25D839B6">
      <w:start w:val="1"/>
      <w:numFmt w:val="lowerRoman"/>
      <w:lvlText w:val="%3."/>
      <w:lvlJc w:val="right"/>
      <w:pPr>
        <w:tabs>
          <w:tab w:val="num" w:pos="2160"/>
        </w:tabs>
        <w:ind w:left="2160" w:hanging="180"/>
      </w:pPr>
      <w:rPr>
        <w:rFonts w:cs="Times New Roman"/>
      </w:rPr>
    </w:lvl>
    <w:lvl w:ilvl="3" w:tplc="789445E2">
      <w:start w:val="1"/>
      <w:numFmt w:val="decimal"/>
      <w:lvlText w:val="%4."/>
      <w:lvlJc w:val="left"/>
      <w:pPr>
        <w:tabs>
          <w:tab w:val="num" w:pos="2880"/>
        </w:tabs>
        <w:ind w:left="2880" w:hanging="360"/>
      </w:pPr>
      <w:rPr>
        <w:rFonts w:cs="Times New Roman"/>
      </w:rPr>
    </w:lvl>
    <w:lvl w:ilvl="4" w:tplc="51D24402">
      <w:start w:val="1"/>
      <w:numFmt w:val="lowerLetter"/>
      <w:lvlText w:val="%5."/>
      <w:lvlJc w:val="left"/>
      <w:pPr>
        <w:tabs>
          <w:tab w:val="num" w:pos="3600"/>
        </w:tabs>
        <w:ind w:left="3600" w:hanging="360"/>
      </w:pPr>
      <w:rPr>
        <w:rFonts w:cs="Times New Roman"/>
      </w:rPr>
    </w:lvl>
    <w:lvl w:ilvl="5" w:tplc="9030FCCE">
      <w:start w:val="1"/>
      <w:numFmt w:val="lowerRoman"/>
      <w:lvlText w:val="%6."/>
      <w:lvlJc w:val="right"/>
      <w:pPr>
        <w:tabs>
          <w:tab w:val="num" w:pos="4320"/>
        </w:tabs>
        <w:ind w:left="4320" w:hanging="180"/>
      </w:pPr>
      <w:rPr>
        <w:rFonts w:cs="Times New Roman"/>
      </w:rPr>
    </w:lvl>
    <w:lvl w:ilvl="6" w:tplc="13A4F280">
      <w:start w:val="1"/>
      <w:numFmt w:val="decimal"/>
      <w:lvlText w:val="%7."/>
      <w:lvlJc w:val="left"/>
      <w:pPr>
        <w:tabs>
          <w:tab w:val="num" w:pos="5040"/>
        </w:tabs>
        <w:ind w:left="5040" w:hanging="360"/>
      </w:pPr>
      <w:rPr>
        <w:rFonts w:cs="Times New Roman"/>
      </w:rPr>
    </w:lvl>
    <w:lvl w:ilvl="7" w:tplc="AA3C45C0">
      <w:start w:val="1"/>
      <w:numFmt w:val="lowerLetter"/>
      <w:lvlText w:val="%8."/>
      <w:lvlJc w:val="left"/>
      <w:pPr>
        <w:tabs>
          <w:tab w:val="num" w:pos="5760"/>
        </w:tabs>
        <w:ind w:left="5760" w:hanging="360"/>
      </w:pPr>
      <w:rPr>
        <w:rFonts w:cs="Times New Roman"/>
      </w:rPr>
    </w:lvl>
    <w:lvl w:ilvl="8" w:tplc="6C36B568">
      <w:start w:val="1"/>
      <w:numFmt w:val="lowerRoman"/>
      <w:lvlText w:val="%9."/>
      <w:lvlJc w:val="right"/>
      <w:pPr>
        <w:tabs>
          <w:tab w:val="num" w:pos="6480"/>
        </w:tabs>
        <w:ind w:left="6480" w:hanging="180"/>
      </w:pPr>
      <w:rPr>
        <w:rFonts w:cs="Times New Roman"/>
      </w:rPr>
    </w:lvl>
  </w:abstractNum>
  <w:abstractNum w:abstractNumId="3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imes New Roman"/>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u w:val="single"/>
      </w:rPr>
    </w:lvl>
  </w:abstractNum>
  <w:abstractNum w:abstractNumId="3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4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4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imes New Roman"/>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rPr>
    </w:lvl>
  </w:abstractNum>
  <w:abstractNum w:abstractNumId="4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Times New Roman"/>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cs="Times New Roman"/>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cs="Times New Roman"/>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cs="Times New Roman"/>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cs="Times New Roman"/>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cs="Times New Roman"/>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cs="Times New Roman"/>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cs="Times New Roman"/>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cs="Times New Roman"/>
        <w:b/>
        <w:bCs/>
        <w:color w:val="000000"/>
        <w:position w:val="0"/>
        <w:sz w:val="22"/>
        <w:szCs w:val="22"/>
        <w:u w:val="single"/>
      </w:rPr>
    </w:lvl>
  </w:abstractNum>
  <w:abstractNum w:abstractNumId="4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44" w15:restartNumberingAfterBreak="0">
    <w:nsid w:val="70786ED7"/>
    <w:multiLevelType w:val="hybridMultilevel"/>
    <w:tmpl w:val="0004DB54"/>
    <w:lvl w:ilvl="0" w:tplc="ED402DA2">
      <w:start w:val="1"/>
      <w:numFmt w:val="upperRoman"/>
      <w:pStyle w:val="Heading1"/>
      <w:lvlText w:val="%1."/>
      <w:lvlJc w:val="left"/>
      <w:pPr>
        <w:ind w:left="720" w:hanging="360"/>
      </w:pPr>
      <w:rPr>
        <w:rFonts w:cs="Times New Roman" w:hint="default"/>
      </w:rPr>
    </w:lvl>
    <w:lvl w:ilvl="1" w:tplc="0E1EE742">
      <w:start w:val="1"/>
      <w:numFmt w:val="lowerLetter"/>
      <w:lvlText w:val="%2."/>
      <w:lvlJc w:val="left"/>
      <w:pPr>
        <w:ind w:left="1440" w:hanging="360"/>
      </w:pPr>
      <w:rPr>
        <w:rFonts w:cs="Times New Roman"/>
      </w:rPr>
    </w:lvl>
    <w:lvl w:ilvl="2" w:tplc="6890BE82">
      <w:start w:val="1"/>
      <w:numFmt w:val="lowerRoman"/>
      <w:lvlText w:val="%3."/>
      <w:lvlJc w:val="right"/>
      <w:pPr>
        <w:ind w:left="2160" w:hanging="180"/>
      </w:pPr>
      <w:rPr>
        <w:rFonts w:cs="Times New Roman"/>
      </w:rPr>
    </w:lvl>
    <w:lvl w:ilvl="3" w:tplc="07A457A4">
      <w:start w:val="1"/>
      <w:numFmt w:val="decimal"/>
      <w:lvlText w:val="%4."/>
      <w:lvlJc w:val="left"/>
      <w:pPr>
        <w:ind w:left="2880" w:hanging="360"/>
      </w:pPr>
      <w:rPr>
        <w:rFonts w:cs="Times New Roman"/>
      </w:rPr>
    </w:lvl>
    <w:lvl w:ilvl="4" w:tplc="99909A8E">
      <w:start w:val="1"/>
      <w:numFmt w:val="lowerLetter"/>
      <w:lvlText w:val="%5."/>
      <w:lvlJc w:val="left"/>
      <w:pPr>
        <w:ind w:left="3600" w:hanging="360"/>
      </w:pPr>
      <w:rPr>
        <w:rFonts w:cs="Times New Roman"/>
      </w:rPr>
    </w:lvl>
    <w:lvl w:ilvl="5" w:tplc="C7883710">
      <w:start w:val="1"/>
      <w:numFmt w:val="lowerRoman"/>
      <w:lvlText w:val="%6."/>
      <w:lvlJc w:val="right"/>
      <w:pPr>
        <w:ind w:left="4320" w:hanging="180"/>
      </w:pPr>
      <w:rPr>
        <w:rFonts w:cs="Times New Roman"/>
      </w:rPr>
    </w:lvl>
    <w:lvl w:ilvl="6" w:tplc="BCD6F886">
      <w:start w:val="1"/>
      <w:numFmt w:val="decimal"/>
      <w:lvlText w:val="%7."/>
      <w:lvlJc w:val="left"/>
      <w:pPr>
        <w:ind w:left="5040" w:hanging="360"/>
      </w:pPr>
      <w:rPr>
        <w:rFonts w:cs="Times New Roman"/>
      </w:rPr>
    </w:lvl>
    <w:lvl w:ilvl="7" w:tplc="AEDC9D8A">
      <w:start w:val="1"/>
      <w:numFmt w:val="lowerLetter"/>
      <w:lvlText w:val="%8."/>
      <w:lvlJc w:val="left"/>
      <w:pPr>
        <w:ind w:left="5760" w:hanging="360"/>
      </w:pPr>
      <w:rPr>
        <w:rFonts w:cs="Times New Roman"/>
      </w:rPr>
    </w:lvl>
    <w:lvl w:ilvl="8" w:tplc="363C0712">
      <w:start w:val="1"/>
      <w:numFmt w:val="lowerRoman"/>
      <w:lvlText w:val="%9."/>
      <w:lvlJc w:val="right"/>
      <w:pPr>
        <w:ind w:left="6480" w:hanging="180"/>
      </w:pPr>
      <w:rPr>
        <w:rFonts w:cs="Times New Roman"/>
      </w:rPr>
    </w:lvl>
  </w:abstractNum>
  <w:abstractNum w:abstractNumId="45"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4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4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rPr>
    </w:lvl>
    <w:lvl w:ilvl="1">
      <w:start w:val="1"/>
      <w:numFmt w:val="bullet"/>
      <w:lvlText w:val="o"/>
      <w:lvlJc w:val="left"/>
      <w:pPr>
        <w:tabs>
          <w:tab w:val="num" w:pos="1410"/>
        </w:tabs>
        <w:ind w:left="1410" w:hanging="330"/>
      </w:pPr>
      <w:rPr>
        <w:rFonts w:ascii="Calibri" w:eastAsia="Times New Roman" w:hAnsi="Calibri"/>
        <w:b/>
        <w:color w:val="000000"/>
        <w:position w:val="0"/>
        <w:sz w:val="22"/>
      </w:rPr>
    </w:lvl>
    <w:lvl w:ilvl="2">
      <w:start w:val="1"/>
      <w:numFmt w:val="bullet"/>
      <w:lvlText w:val="▪"/>
      <w:lvlJc w:val="left"/>
      <w:pPr>
        <w:tabs>
          <w:tab w:val="num" w:pos="2130"/>
        </w:tabs>
        <w:ind w:left="2130" w:hanging="330"/>
      </w:pPr>
      <w:rPr>
        <w:rFonts w:ascii="Calibri" w:eastAsia="Times New Roman" w:hAnsi="Calibri"/>
        <w:b/>
        <w:color w:val="000000"/>
        <w:position w:val="0"/>
        <w:sz w:val="22"/>
      </w:rPr>
    </w:lvl>
    <w:lvl w:ilvl="3">
      <w:start w:val="1"/>
      <w:numFmt w:val="bullet"/>
      <w:lvlText w:val="•"/>
      <w:lvlJc w:val="left"/>
      <w:pPr>
        <w:tabs>
          <w:tab w:val="num" w:pos="2850"/>
        </w:tabs>
        <w:ind w:left="2850" w:hanging="330"/>
      </w:pPr>
      <w:rPr>
        <w:rFonts w:ascii="Calibri" w:eastAsia="Times New Roman" w:hAnsi="Calibri"/>
        <w:b/>
        <w:color w:val="000000"/>
        <w:position w:val="0"/>
        <w:sz w:val="22"/>
      </w:rPr>
    </w:lvl>
    <w:lvl w:ilvl="4">
      <w:start w:val="1"/>
      <w:numFmt w:val="bullet"/>
      <w:lvlText w:val="o"/>
      <w:lvlJc w:val="left"/>
      <w:pPr>
        <w:tabs>
          <w:tab w:val="num" w:pos="3570"/>
        </w:tabs>
        <w:ind w:left="3570" w:hanging="330"/>
      </w:pPr>
      <w:rPr>
        <w:rFonts w:ascii="Calibri" w:eastAsia="Times New Roman" w:hAnsi="Calibri"/>
        <w:b/>
        <w:color w:val="000000"/>
        <w:position w:val="0"/>
        <w:sz w:val="22"/>
      </w:rPr>
    </w:lvl>
    <w:lvl w:ilvl="5">
      <w:start w:val="1"/>
      <w:numFmt w:val="bullet"/>
      <w:lvlText w:val="▪"/>
      <w:lvlJc w:val="left"/>
      <w:pPr>
        <w:tabs>
          <w:tab w:val="num" w:pos="4290"/>
        </w:tabs>
        <w:ind w:left="4290" w:hanging="330"/>
      </w:pPr>
      <w:rPr>
        <w:rFonts w:ascii="Calibri" w:eastAsia="Times New Roman" w:hAnsi="Calibri"/>
        <w:b/>
        <w:color w:val="000000"/>
        <w:position w:val="0"/>
        <w:sz w:val="22"/>
      </w:rPr>
    </w:lvl>
    <w:lvl w:ilvl="6">
      <w:start w:val="1"/>
      <w:numFmt w:val="bullet"/>
      <w:lvlText w:val="•"/>
      <w:lvlJc w:val="left"/>
      <w:pPr>
        <w:tabs>
          <w:tab w:val="num" w:pos="5010"/>
        </w:tabs>
        <w:ind w:left="5010" w:hanging="330"/>
      </w:pPr>
      <w:rPr>
        <w:rFonts w:ascii="Calibri" w:eastAsia="Times New Roman" w:hAnsi="Calibri"/>
        <w:b/>
        <w:color w:val="000000"/>
        <w:position w:val="0"/>
        <w:sz w:val="22"/>
      </w:rPr>
    </w:lvl>
    <w:lvl w:ilvl="7">
      <w:start w:val="1"/>
      <w:numFmt w:val="bullet"/>
      <w:lvlText w:val="o"/>
      <w:lvlJc w:val="left"/>
      <w:pPr>
        <w:tabs>
          <w:tab w:val="num" w:pos="5730"/>
        </w:tabs>
        <w:ind w:left="5730" w:hanging="330"/>
      </w:pPr>
      <w:rPr>
        <w:rFonts w:ascii="Calibri" w:eastAsia="Times New Roman" w:hAnsi="Calibri"/>
        <w:b/>
        <w:color w:val="000000"/>
        <w:position w:val="0"/>
        <w:sz w:val="22"/>
      </w:rPr>
    </w:lvl>
    <w:lvl w:ilvl="8">
      <w:start w:val="1"/>
      <w:numFmt w:val="bullet"/>
      <w:lvlText w:val="▪"/>
      <w:lvlJc w:val="left"/>
      <w:pPr>
        <w:tabs>
          <w:tab w:val="num" w:pos="6450"/>
        </w:tabs>
        <w:ind w:left="6450" w:hanging="330"/>
      </w:pPr>
      <w:rPr>
        <w:rFonts w:ascii="Calibri" w:eastAsia="Times New Roman" w:hAnsi="Calibri"/>
        <w:b/>
        <w:color w:val="000000"/>
        <w:position w:val="0"/>
        <w:sz w:val="22"/>
      </w:rPr>
    </w:lvl>
  </w:abstractNum>
  <w:abstractNum w:abstractNumId="4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4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5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5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imes New Roman"/>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Times New Roman"/>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Times New Roman"/>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Times New Roman"/>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Times New Roman"/>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Times New Roman"/>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Times New Roman"/>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Times New Roman"/>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Times New Roman"/>
        <w:color w:val="000000"/>
        <w:position w:val="0"/>
        <w:sz w:val="22"/>
        <w:szCs w:val="22"/>
      </w:rPr>
    </w:lvl>
  </w:abstractNum>
  <w:abstractNum w:abstractNumId="5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imes New Roman"/>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cs="Times New Roman"/>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cs="Times New Roman"/>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cs="Times New Roman"/>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cs="Times New Roman"/>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cs="Times New Roman"/>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cs="Times New Roman"/>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cs="Times New Roman"/>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cs="Times New Roman"/>
        <w:b/>
        <w:bCs/>
        <w:color w:val="000000"/>
        <w:position w:val="0"/>
        <w:sz w:val="22"/>
        <w:szCs w:val="22"/>
        <w:u w:val="single"/>
      </w:rPr>
    </w:lvl>
  </w:abstractNum>
  <w:num w:numId="1">
    <w:abstractNumId w:val="3"/>
  </w:num>
  <w:num w:numId="2">
    <w:abstractNumId w:val="47"/>
  </w:num>
  <w:num w:numId="3">
    <w:abstractNumId w:val="19"/>
  </w:num>
  <w:num w:numId="4">
    <w:abstractNumId w:val="41"/>
  </w:num>
  <w:num w:numId="5">
    <w:abstractNumId w:val="24"/>
  </w:num>
  <w:num w:numId="6">
    <w:abstractNumId w:val="5"/>
  </w:num>
  <w:num w:numId="7">
    <w:abstractNumId w:val="16"/>
  </w:num>
  <w:num w:numId="8">
    <w:abstractNumId w:val="36"/>
  </w:num>
  <w:num w:numId="9">
    <w:abstractNumId w:val="0"/>
  </w:num>
  <w:num w:numId="10">
    <w:abstractNumId w:val="31"/>
  </w:num>
  <w:num w:numId="11">
    <w:abstractNumId w:val="32"/>
  </w:num>
  <w:num w:numId="12">
    <w:abstractNumId w:val="38"/>
  </w:num>
  <w:num w:numId="13">
    <w:abstractNumId w:val="1"/>
  </w:num>
  <w:num w:numId="14">
    <w:abstractNumId w:val="2"/>
  </w:num>
  <w:num w:numId="15">
    <w:abstractNumId w:val="6"/>
  </w:num>
  <w:num w:numId="16">
    <w:abstractNumId w:val="7"/>
  </w:num>
  <w:num w:numId="17">
    <w:abstractNumId w:val="8"/>
  </w:num>
  <w:num w:numId="18">
    <w:abstractNumId w:val="9"/>
  </w:num>
  <w:num w:numId="19">
    <w:abstractNumId w:val="10"/>
  </w:num>
  <w:num w:numId="20">
    <w:abstractNumId w:val="12"/>
  </w:num>
  <w:num w:numId="21">
    <w:abstractNumId w:val="13"/>
  </w:num>
  <w:num w:numId="22">
    <w:abstractNumId w:val="14"/>
  </w:num>
  <w:num w:numId="23">
    <w:abstractNumId w:val="15"/>
  </w:num>
  <w:num w:numId="24">
    <w:abstractNumId w:val="17"/>
  </w:num>
  <w:num w:numId="25">
    <w:abstractNumId w:val="18"/>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3"/>
  </w:num>
  <w:num w:numId="37">
    <w:abstractNumId w:val="34"/>
  </w:num>
  <w:num w:numId="38">
    <w:abstractNumId w:val="40"/>
  </w:num>
  <w:num w:numId="39">
    <w:abstractNumId w:val="42"/>
  </w:num>
  <w:num w:numId="40">
    <w:abstractNumId w:val="43"/>
  </w:num>
  <w:num w:numId="41">
    <w:abstractNumId w:val="45"/>
  </w:num>
  <w:num w:numId="42">
    <w:abstractNumId w:val="46"/>
  </w:num>
  <w:num w:numId="43">
    <w:abstractNumId w:val="48"/>
  </w:num>
  <w:num w:numId="44">
    <w:abstractNumId w:val="49"/>
  </w:num>
  <w:num w:numId="45">
    <w:abstractNumId w:val="50"/>
  </w:num>
  <w:num w:numId="46">
    <w:abstractNumId w:val="51"/>
  </w:num>
  <w:num w:numId="47">
    <w:abstractNumId w:val="52"/>
  </w:num>
  <w:num w:numId="48">
    <w:abstractNumId w:val="35"/>
  </w:num>
  <w:num w:numId="49">
    <w:abstractNumId w:val="44"/>
  </w:num>
  <w:num w:numId="50">
    <w:abstractNumId w:val="39"/>
  </w:num>
  <w:num w:numId="51">
    <w:abstractNumId w:val="4"/>
  </w:num>
  <w:num w:numId="52">
    <w:abstractNumId w:val="37"/>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1F"/>
    <w:rsid w:val="00036A8A"/>
    <w:rsid w:val="00052978"/>
    <w:rsid w:val="000F1D91"/>
    <w:rsid w:val="0012734F"/>
    <w:rsid w:val="0017023E"/>
    <w:rsid w:val="0018171F"/>
    <w:rsid w:val="001A710D"/>
    <w:rsid w:val="00215FE7"/>
    <w:rsid w:val="00216473"/>
    <w:rsid w:val="002550AD"/>
    <w:rsid w:val="00293B61"/>
    <w:rsid w:val="002C1641"/>
    <w:rsid w:val="002F04AF"/>
    <w:rsid w:val="00351A89"/>
    <w:rsid w:val="00387FCC"/>
    <w:rsid w:val="003A334C"/>
    <w:rsid w:val="003E0DEB"/>
    <w:rsid w:val="00423EF3"/>
    <w:rsid w:val="00447690"/>
    <w:rsid w:val="00506AE8"/>
    <w:rsid w:val="00525F73"/>
    <w:rsid w:val="00526D23"/>
    <w:rsid w:val="00636B36"/>
    <w:rsid w:val="00647997"/>
    <w:rsid w:val="00654882"/>
    <w:rsid w:val="00691A4D"/>
    <w:rsid w:val="006D6C09"/>
    <w:rsid w:val="006E2007"/>
    <w:rsid w:val="00761228"/>
    <w:rsid w:val="007E0DA4"/>
    <w:rsid w:val="008677A9"/>
    <w:rsid w:val="00880696"/>
    <w:rsid w:val="00883329"/>
    <w:rsid w:val="008C7344"/>
    <w:rsid w:val="00911E1F"/>
    <w:rsid w:val="00976A53"/>
    <w:rsid w:val="00995A67"/>
    <w:rsid w:val="00A9251C"/>
    <w:rsid w:val="00B20DFA"/>
    <w:rsid w:val="00B643A4"/>
    <w:rsid w:val="00BE70A9"/>
    <w:rsid w:val="00C07B77"/>
    <w:rsid w:val="00C302C4"/>
    <w:rsid w:val="00C46F74"/>
    <w:rsid w:val="00CA61A8"/>
    <w:rsid w:val="00CB07B8"/>
    <w:rsid w:val="00CC291F"/>
    <w:rsid w:val="00CD2DC7"/>
    <w:rsid w:val="00CD2EAB"/>
    <w:rsid w:val="00D403CE"/>
    <w:rsid w:val="00D93CC1"/>
    <w:rsid w:val="00DA2006"/>
    <w:rsid w:val="00E85A80"/>
    <w:rsid w:val="00E97820"/>
    <w:rsid w:val="00EA0A37"/>
    <w:rsid w:val="00ED48DF"/>
    <w:rsid w:val="00F303FD"/>
    <w:rsid w:val="00F621C3"/>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A4"/>
    <w:rPr>
      <w:sz w:val="24"/>
      <w:szCs w:val="24"/>
    </w:rPr>
  </w:style>
  <w:style w:type="paragraph" w:styleId="Heading1">
    <w:name w:val="heading 1"/>
    <w:basedOn w:val="Normal"/>
    <w:next w:val="Normal"/>
    <w:link w:val="Heading1Char"/>
    <w:uiPriority w:val="99"/>
    <w:qFormat/>
    <w:rsid w:val="00B643A4"/>
    <w:pPr>
      <w:keepNext/>
      <w:keepLines/>
      <w:numPr>
        <w:numId w:val="49"/>
      </w:numPr>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3A4"/>
    <w:rPr>
      <w:rFonts w:ascii="Cambria" w:hAnsi="Cambria" w:cs="Cambria"/>
      <w:b/>
      <w:bCs/>
      <w:color w:val="365F91"/>
      <w:sz w:val="28"/>
      <w:szCs w:val="28"/>
      <w:lang w:val="en-US" w:eastAsia="en-US"/>
    </w:rPr>
  </w:style>
  <w:style w:type="character" w:styleId="Hyperlink">
    <w:name w:val="Hyperlink"/>
    <w:basedOn w:val="DefaultParagraphFont"/>
    <w:uiPriority w:val="99"/>
    <w:rsid w:val="00B643A4"/>
    <w:rPr>
      <w:rFonts w:cs="Times New Roman"/>
      <w:u w:val="single"/>
    </w:rPr>
  </w:style>
  <w:style w:type="paragraph" w:customStyle="1" w:styleId="Cabeceraypie">
    <w:name w:val="Cabecera y pie"/>
    <w:uiPriority w:val="99"/>
    <w:rsid w:val="00B643A4"/>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B643A4"/>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B643A4"/>
    <w:rPr>
      <w:rFonts w:ascii="Cambria" w:hAnsi="Cambria" w:cs="Cambria"/>
      <w:color w:val="000000"/>
      <w:sz w:val="24"/>
      <w:szCs w:val="24"/>
      <w:u w:color="000000"/>
      <w:lang w:val="en-US" w:eastAsia="es-ES"/>
    </w:rPr>
  </w:style>
  <w:style w:type="paragraph" w:customStyle="1" w:styleId="Cuerpo">
    <w:name w:val="Cuerpo"/>
    <w:uiPriority w:val="99"/>
    <w:rsid w:val="00B643A4"/>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643A4"/>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18171F"/>
    <w:rPr>
      <w:rFonts w:cs="Times New Roman"/>
      <w:sz w:val="24"/>
      <w:szCs w:val="24"/>
    </w:rPr>
  </w:style>
  <w:style w:type="paragraph" w:styleId="ListParagraph">
    <w:name w:val="List Paragraph"/>
    <w:basedOn w:val="Normal"/>
    <w:uiPriority w:val="99"/>
    <w:qFormat/>
    <w:rsid w:val="00B643A4"/>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2"/>
    <w:uiPriority w:val="99"/>
    <w:semiHidden/>
    <w:rsid w:val="00B643A4"/>
    <w:rPr>
      <w:rFonts w:ascii="Calibri" w:hAnsi="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525F73"/>
    <w:rPr>
      <w:rFonts w:cs="Times New Roman"/>
      <w:sz w:val="20"/>
      <w:szCs w:val="20"/>
    </w:rPr>
  </w:style>
  <w:style w:type="character" w:customStyle="1" w:styleId="FootnoteTextChar3">
    <w:name w:val="Footnote Text Char3"/>
    <w:aliases w:val="Ca Char3,FA Fu Char3,FA Fußnotentext Char3,FA Fuﬂnotentext Char3,Footnote Text Cha Char3,Footnote Text Char Char Char Char Char Char2,Footnote Text Char Char Char Char Char11,Footnote Text Char Char Char Char11,f Char"/>
    <w:basedOn w:val="DefaultParagraphFont"/>
    <w:uiPriority w:val="99"/>
    <w:semiHidden/>
    <w:locked/>
    <w:rsid w:val="0018171F"/>
    <w:rPr>
      <w:rFonts w:cs="Times New Roman"/>
      <w:sz w:val="20"/>
      <w:szCs w:val="20"/>
    </w:rPr>
  </w:style>
  <w:style w:type="paragraph" w:styleId="BalloonText">
    <w:name w:val="Balloon Text"/>
    <w:basedOn w:val="Normal"/>
    <w:link w:val="BalloonTextChar"/>
    <w:uiPriority w:val="99"/>
    <w:semiHidden/>
    <w:rsid w:val="00B643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3A4"/>
    <w:rPr>
      <w:rFonts w:ascii="Tahoma" w:hAnsi="Tahoma" w:cs="Tahoma"/>
      <w:sz w:val="16"/>
      <w:szCs w:val="16"/>
      <w:lang w:val="en-US" w:eastAsia="en-US"/>
    </w:rPr>
  </w:style>
  <w:style w:type="paragraph" w:styleId="Header">
    <w:name w:val="header"/>
    <w:aliases w:val="encabezado"/>
    <w:basedOn w:val="Normal"/>
    <w:link w:val="HeaderChar"/>
    <w:uiPriority w:val="99"/>
    <w:rsid w:val="00B643A4"/>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B643A4"/>
    <w:rPr>
      <w:rFonts w:ascii="Univers" w:hAnsi="Univers" w:cs="Univers"/>
      <w:sz w:val="24"/>
      <w:szCs w:val="24"/>
      <w:lang w:val="en-US" w:eastAsia="en-US"/>
    </w:rPr>
  </w:style>
  <w:style w:type="table" w:styleId="MediumShading1-Accent1">
    <w:name w:val="Medium Shading 1 Accent 1"/>
    <w:basedOn w:val="TableNormal"/>
    <w:uiPriority w:val="99"/>
    <w:rsid w:val="00B643A4"/>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semiHidden/>
    <w:rsid w:val="00B643A4"/>
    <w:pPr>
      <w:tabs>
        <w:tab w:val="left" w:pos="1440"/>
        <w:tab w:val="right" w:leader="dot" w:pos="9350"/>
      </w:tabs>
      <w:spacing w:after="100"/>
      <w:ind w:left="1440" w:hanging="720"/>
    </w:pPr>
  </w:style>
  <w:style w:type="paragraph" w:styleId="TOC1">
    <w:name w:val="toc 1"/>
    <w:basedOn w:val="Normal"/>
    <w:next w:val="Normal"/>
    <w:autoRedefine/>
    <w:uiPriority w:val="99"/>
    <w:semiHidden/>
    <w:rsid w:val="00B643A4"/>
    <w:pPr>
      <w:spacing w:after="100"/>
    </w:pPr>
    <w:rPr>
      <w:rFonts w:ascii="Calibri" w:hAnsi="Calibri" w:cs="Calibri"/>
      <w:sz w:val="22"/>
      <w:szCs w:val="22"/>
    </w:rPr>
  </w:style>
  <w:style w:type="paragraph" w:styleId="TOC3">
    <w:name w:val="toc 3"/>
    <w:basedOn w:val="Normal"/>
    <w:next w:val="Normal"/>
    <w:autoRedefine/>
    <w:uiPriority w:val="99"/>
    <w:semiHidden/>
    <w:rsid w:val="00B643A4"/>
    <w:pPr>
      <w:tabs>
        <w:tab w:val="left" w:pos="880"/>
        <w:tab w:val="right" w:leader="dot" w:pos="9350"/>
      </w:tabs>
      <w:spacing w:after="100"/>
      <w:ind w:left="2160" w:hanging="720"/>
    </w:pPr>
  </w:style>
  <w:style w:type="paragraph" w:styleId="TOC4">
    <w:name w:val="toc 4"/>
    <w:basedOn w:val="Normal"/>
    <w:next w:val="Normal"/>
    <w:autoRedefine/>
    <w:uiPriority w:val="99"/>
    <w:semiHidden/>
    <w:rsid w:val="00B643A4"/>
    <w:pPr>
      <w:spacing w:after="100"/>
      <w:ind w:left="720"/>
    </w:pPr>
  </w:style>
  <w:style w:type="character" w:styleId="PageNumber">
    <w:name w:val="page number"/>
    <w:basedOn w:val="DefaultParagraphFont"/>
    <w:uiPriority w:val="99"/>
    <w:rsid w:val="00B643A4"/>
    <w:rPr>
      <w:rFonts w:cs="Times New Roman"/>
    </w:rPr>
  </w:style>
  <w:style w:type="paragraph" w:styleId="BodyText">
    <w:name w:val="Body Text"/>
    <w:basedOn w:val="Normal"/>
    <w:link w:val="BodyTextChar"/>
    <w:uiPriority w:val="99"/>
    <w:semiHidden/>
    <w:rsid w:val="00B643A4"/>
    <w:pPr>
      <w:spacing w:after="120"/>
    </w:pPr>
  </w:style>
  <w:style w:type="character" w:customStyle="1" w:styleId="BodyTextChar">
    <w:name w:val="Body Text Char"/>
    <w:basedOn w:val="DefaultParagraphFont"/>
    <w:link w:val="BodyText"/>
    <w:uiPriority w:val="99"/>
    <w:semiHidden/>
    <w:locked/>
    <w:rsid w:val="00B643A4"/>
    <w:rPr>
      <w:rFonts w:cs="Times New Roman"/>
      <w:sz w:val="24"/>
      <w:szCs w:val="24"/>
      <w:lang w:val="en-US" w:eastAsia="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f11,referencia nota al pie"/>
    <w:basedOn w:val="DefaultParagraphFont"/>
    <w:uiPriority w:val="99"/>
    <w:semiHidden/>
    <w:rsid w:val="00B643A4"/>
    <w:rPr>
      <w:rFonts w:cs="Times New Roman"/>
      <w:vertAlign w:val="superscript"/>
    </w:rPr>
  </w:style>
  <w:style w:type="character" w:customStyle="1" w:styleId="FootnoteTextChar2">
    <w:name w:val="Footnote Text Char2"/>
    <w:aliases w:val="Ca Char2,FA Fu Char2,FA Fußnotentext Char2,FA Fuﬂnotentext Char2,Footnote Text Cha Char2,Footnote Text Char Char Char2,Footnote Text Char Char Char Char3,Footnote Text Char Char Char Char Char3,Footnote reference Char,f Char1"/>
    <w:link w:val="FootnoteText"/>
    <w:uiPriority w:val="99"/>
    <w:locked/>
    <w:rsid w:val="00B643A4"/>
    <w:rPr>
      <w:rFonts w:ascii="Calibri" w:hAnsi="Calibri"/>
      <w:color w:val="000000"/>
      <w:u w:color="000000"/>
      <w:lang w:val="en-US"/>
    </w:rPr>
  </w:style>
  <w:style w:type="character" w:customStyle="1" w:styleId="FootnoteTextChar1">
    <w:name w:val="Footnote Text Char1"/>
    <w:aliases w:val="Ca Char1,FA Fu Char1,FA Fußnotentext Char1,FA Fuﬂnotentext Char1,Footnote Text Cha Char1,Footnote Text Char Char Char Char Char Char1,Footnote Text Char Char Char Char Char2,Footnote Text Char Char Char Char2,Footnote reference Char1"/>
    <w:uiPriority w:val="99"/>
    <w:locked/>
    <w:rsid w:val="00B643A4"/>
    <w:rPr>
      <w:rFonts w:ascii="Calibri" w:hAnsi="Calibri"/>
      <w:color w:val="000000"/>
      <w:u w:color="000000"/>
      <w:lang w:val="en-US"/>
    </w:rPr>
  </w:style>
  <w:style w:type="table" w:styleId="TableGrid">
    <w:name w:val="Table Grid"/>
    <w:basedOn w:val="TableNormal"/>
    <w:uiPriority w:val="99"/>
    <w:rsid w:val="00B643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43A4"/>
    <w:rPr>
      <w:rFonts w:cs="Times New Roman"/>
      <w:color w:val="808080"/>
    </w:rPr>
  </w:style>
  <w:style w:type="paragraph" w:styleId="NoSpacing">
    <w:name w:val="No Spacing"/>
    <w:uiPriority w:val="99"/>
    <w:qFormat/>
    <w:rsid w:val="00B643A4"/>
    <w:rPr>
      <w:sz w:val="24"/>
      <w:szCs w:val="24"/>
    </w:rPr>
  </w:style>
  <w:style w:type="numbering" w:customStyle="1" w:styleId="List16">
    <w:name w:val="List 16"/>
    <w:rsid w:val="00B451EB"/>
    <w:pPr>
      <w:numPr>
        <w:numId w:val="9"/>
      </w:numPr>
    </w:pPr>
  </w:style>
  <w:style w:type="numbering" w:customStyle="1" w:styleId="List36">
    <w:name w:val="List 36"/>
    <w:rsid w:val="00B451EB"/>
    <w:pPr>
      <w:numPr>
        <w:numId w:val="13"/>
      </w:numPr>
    </w:pPr>
  </w:style>
  <w:style w:type="numbering" w:customStyle="1" w:styleId="List25">
    <w:name w:val="List 25"/>
    <w:rsid w:val="00B451EB"/>
    <w:pPr>
      <w:numPr>
        <w:numId w:val="14"/>
      </w:numPr>
    </w:pPr>
  </w:style>
  <w:style w:type="numbering" w:customStyle="1" w:styleId="List1">
    <w:name w:val="List 1"/>
    <w:rsid w:val="00B451EB"/>
    <w:pPr>
      <w:numPr>
        <w:numId w:val="1"/>
      </w:numPr>
    </w:pPr>
  </w:style>
  <w:style w:type="numbering" w:customStyle="1" w:styleId="List11">
    <w:name w:val="List 11"/>
    <w:rsid w:val="00B451EB"/>
    <w:pPr>
      <w:numPr>
        <w:numId w:val="6"/>
      </w:numPr>
    </w:pPr>
  </w:style>
  <w:style w:type="numbering" w:customStyle="1" w:styleId="List15">
    <w:name w:val="List 15"/>
    <w:rsid w:val="00B451EB"/>
    <w:pPr>
      <w:numPr>
        <w:numId w:val="15"/>
      </w:numPr>
    </w:pPr>
  </w:style>
  <w:style w:type="numbering" w:customStyle="1" w:styleId="List14">
    <w:name w:val="List 14"/>
    <w:rsid w:val="00B451EB"/>
    <w:pPr>
      <w:numPr>
        <w:numId w:val="16"/>
      </w:numPr>
    </w:pPr>
  </w:style>
  <w:style w:type="numbering" w:customStyle="1" w:styleId="List23">
    <w:name w:val="List 23"/>
    <w:rsid w:val="00B451EB"/>
    <w:pPr>
      <w:numPr>
        <w:numId w:val="17"/>
      </w:numPr>
    </w:pPr>
  </w:style>
  <w:style w:type="numbering" w:customStyle="1" w:styleId="List19">
    <w:name w:val="List 19"/>
    <w:rsid w:val="00B451EB"/>
    <w:pPr>
      <w:numPr>
        <w:numId w:val="18"/>
      </w:numPr>
    </w:pPr>
  </w:style>
  <w:style w:type="numbering" w:customStyle="1" w:styleId="List45">
    <w:name w:val="List 45"/>
    <w:rsid w:val="00B451EB"/>
    <w:pPr>
      <w:numPr>
        <w:numId w:val="19"/>
      </w:numPr>
    </w:pPr>
  </w:style>
  <w:style w:type="numbering" w:customStyle="1" w:styleId="List40">
    <w:name w:val="List 40"/>
    <w:rsid w:val="00B451EB"/>
    <w:pPr>
      <w:numPr>
        <w:numId w:val="20"/>
      </w:numPr>
    </w:pPr>
  </w:style>
  <w:style w:type="numbering" w:customStyle="1" w:styleId="List9">
    <w:name w:val="List 9"/>
    <w:rsid w:val="00B451EB"/>
    <w:pPr>
      <w:numPr>
        <w:numId w:val="21"/>
      </w:numPr>
    </w:pPr>
  </w:style>
  <w:style w:type="numbering" w:customStyle="1" w:styleId="List43">
    <w:name w:val="List 43"/>
    <w:rsid w:val="00B451EB"/>
    <w:pPr>
      <w:numPr>
        <w:numId w:val="22"/>
      </w:numPr>
    </w:pPr>
  </w:style>
  <w:style w:type="numbering" w:customStyle="1" w:styleId="List46">
    <w:name w:val="List 46"/>
    <w:rsid w:val="00B451EB"/>
    <w:pPr>
      <w:numPr>
        <w:numId w:val="23"/>
      </w:numPr>
    </w:pPr>
  </w:style>
  <w:style w:type="numbering" w:customStyle="1" w:styleId="List35">
    <w:name w:val="List 35"/>
    <w:rsid w:val="00B451EB"/>
    <w:pPr>
      <w:numPr>
        <w:numId w:val="7"/>
      </w:numPr>
    </w:pPr>
  </w:style>
  <w:style w:type="numbering" w:customStyle="1" w:styleId="List17">
    <w:name w:val="List 17"/>
    <w:rsid w:val="00B451EB"/>
    <w:pPr>
      <w:numPr>
        <w:numId w:val="24"/>
      </w:numPr>
    </w:pPr>
  </w:style>
  <w:style w:type="numbering" w:customStyle="1" w:styleId="List33">
    <w:name w:val="List 33"/>
    <w:rsid w:val="00B451EB"/>
    <w:pPr>
      <w:numPr>
        <w:numId w:val="25"/>
      </w:numPr>
    </w:pPr>
  </w:style>
  <w:style w:type="numbering" w:customStyle="1" w:styleId="List7">
    <w:name w:val="List 7"/>
    <w:rsid w:val="00B451EB"/>
    <w:pPr>
      <w:numPr>
        <w:numId w:val="3"/>
      </w:numPr>
    </w:pPr>
  </w:style>
  <w:style w:type="numbering" w:customStyle="1" w:styleId="List18">
    <w:name w:val="List 18"/>
    <w:rsid w:val="00B451EB"/>
    <w:pPr>
      <w:numPr>
        <w:numId w:val="26"/>
      </w:numPr>
    </w:pPr>
  </w:style>
  <w:style w:type="numbering" w:customStyle="1" w:styleId="List22">
    <w:name w:val="List 22"/>
    <w:rsid w:val="00B451EB"/>
    <w:pPr>
      <w:numPr>
        <w:numId w:val="27"/>
      </w:numPr>
    </w:pPr>
  </w:style>
  <w:style w:type="numbering" w:customStyle="1" w:styleId="List47">
    <w:name w:val="List 47"/>
    <w:rsid w:val="00B451EB"/>
    <w:pPr>
      <w:numPr>
        <w:numId w:val="28"/>
      </w:numPr>
    </w:pPr>
  </w:style>
  <w:style w:type="numbering" w:customStyle="1" w:styleId="List28">
    <w:name w:val="List 28"/>
    <w:rsid w:val="00B451EB"/>
    <w:pPr>
      <w:numPr>
        <w:numId w:val="29"/>
      </w:numPr>
    </w:pPr>
  </w:style>
  <w:style w:type="numbering" w:customStyle="1" w:styleId="List10">
    <w:name w:val="List 10"/>
    <w:rsid w:val="00B451EB"/>
    <w:pPr>
      <w:numPr>
        <w:numId w:val="5"/>
      </w:numPr>
    </w:pPr>
  </w:style>
  <w:style w:type="numbering" w:customStyle="1" w:styleId="List0">
    <w:name w:val="List 0"/>
    <w:rsid w:val="00B451EB"/>
    <w:pPr>
      <w:numPr>
        <w:numId w:val="30"/>
      </w:numPr>
    </w:pPr>
  </w:style>
  <w:style w:type="numbering" w:customStyle="1" w:styleId="List30">
    <w:name w:val="List 30"/>
    <w:rsid w:val="00B451EB"/>
    <w:pPr>
      <w:numPr>
        <w:numId w:val="31"/>
      </w:numPr>
    </w:pPr>
  </w:style>
  <w:style w:type="numbering" w:customStyle="1" w:styleId="List29">
    <w:name w:val="List 29"/>
    <w:rsid w:val="00B451EB"/>
    <w:pPr>
      <w:numPr>
        <w:numId w:val="32"/>
      </w:numPr>
    </w:pPr>
  </w:style>
  <w:style w:type="numbering" w:customStyle="1" w:styleId="List38">
    <w:name w:val="List 38"/>
    <w:rsid w:val="00B451EB"/>
    <w:pPr>
      <w:numPr>
        <w:numId w:val="33"/>
      </w:numPr>
    </w:pPr>
  </w:style>
  <w:style w:type="numbering" w:customStyle="1" w:styleId="List12">
    <w:name w:val="List 12"/>
    <w:rsid w:val="00B451EB"/>
    <w:pPr>
      <w:numPr>
        <w:numId w:val="34"/>
      </w:numPr>
    </w:pPr>
  </w:style>
  <w:style w:type="numbering" w:customStyle="1" w:styleId="List50">
    <w:name w:val="List 50"/>
    <w:rsid w:val="00B451EB"/>
    <w:pPr>
      <w:numPr>
        <w:numId w:val="35"/>
      </w:numPr>
    </w:pPr>
  </w:style>
  <w:style w:type="numbering" w:customStyle="1" w:styleId="List34">
    <w:name w:val="List 34"/>
    <w:rsid w:val="00B451EB"/>
    <w:pPr>
      <w:numPr>
        <w:numId w:val="10"/>
      </w:numPr>
    </w:pPr>
  </w:style>
  <w:style w:type="numbering" w:customStyle="1" w:styleId="List42">
    <w:name w:val="List 42"/>
    <w:rsid w:val="00B451EB"/>
    <w:pPr>
      <w:numPr>
        <w:numId w:val="11"/>
      </w:numPr>
    </w:pPr>
  </w:style>
  <w:style w:type="numbering" w:customStyle="1" w:styleId="List49">
    <w:name w:val="List 49"/>
    <w:rsid w:val="00B451EB"/>
    <w:pPr>
      <w:numPr>
        <w:numId w:val="36"/>
      </w:numPr>
    </w:pPr>
  </w:style>
  <w:style w:type="numbering" w:customStyle="1" w:styleId="List44">
    <w:name w:val="List 44"/>
    <w:rsid w:val="00B451EB"/>
    <w:pPr>
      <w:numPr>
        <w:numId w:val="37"/>
      </w:numPr>
    </w:pPr>
  </w:style>
  <w:style w:type="numbering" w:customStyle="1" w:styleId="List21">
    <w:name w:val="List 21"/>
    <w:rsid w:val="00B451EB"/>
    <w:pPr>
      <w:numPr>
        <w:numId w:val="48"/>
      </w:numPr>
    </w:pPr>
  </w:style>
  <w:style w:type="numbering" w:customStyle="1" w:styleId="List52">
    <w:name w:val="List 52"/>
    <w:rsid w:val="00B451EB"/>
    <w:pPr>
      <w:numPr>
        <w:numId w:val="8"/>
      </w:numPr>
    </w:pPr>
  </w:style>
  <w:style w:type="numbering" w:customStyle="1" w:styleId="List24">
    <w:name w:val="List 24"/>
    <w:rsid w:val="00B451EB"/>
    <w:pPr>
      <w:numPr>
        <w:numId w:val="12"/>
      </w:numPr>
    </w:pPr>
  </w:style>
  <w:style w:type="numbering" w:customStyle="1" w:styleId="List51">
    <w:name w:val="List 51"/>
    <w:rsid w:val="00B451EB"/>
    <w:pPr>
      <w:numPr>
        <w:numId w:val="50"/>
      </w:numPr>
    </w:pPr>
  </w:style>
  <w:style w:type="numbering" w:customStyle="1" w:styleId="List27">
    <w:name w:val="List 27"/>
    <w:rsid w:val="00B451EB"/>
    <w:pPr>
      <w:numPr>
        <w:numId w:val="38"/>
      </w:numPr>
    </w:pPr>
  </w:style>
  <w:style w:type="numbering" w:customStyle="1" w:styleId="List8">
    <w:name w:val="List 8"/>
    <w:rsid w:val="00B451EB"/>
    <w:pPr>
      <w:numPr>
        <w:numId w:val="4"/>
      </w:numPr>
    </w:pPr>
  </w:style>
  <w:style w:type="numbering" w:customStyle="1" w:styleId="List13">
    <w:name w:val="List 13"/>
    <w:rsid w:val="00B451EB"/>
    <w:pPr>
      <w:numPr>
        <w:numId w:val="39"/>
      </w:numPr>
    </w:pPr>
  </w:style>
  <w:style w:type="numbering" w:customStyle="1" w:styleId="List20">
    <w:name w:val="List 20"/>
    <w:rsid w:val="00B451EB"/>
    <w:pPr>
      <w:numPr>
        <w:numId w:val="40"/>
      </w:numPr>
    </w:pPr>
  </w:style>
  <w:style w:type="numbering" w:customStyle="1" w:styleId="List41">
    <w:name w:val="List 41"/>
    <w:rsid w:val="00B451EB"/>
    <w:pPr>
      <w:numPr>
        <w:numId w:val="41"/>
      </w:numPr>
    </w:pPr>
  </w:style>
  <w:style w:type="numbering" w:customStyle="1" w:styleId="List31">
    <w:name w:val="List 31"/>
    <w:rsid w:val="00B451EB"/>
    <w:pPr>
      <w:numPr>
        <w:numId w:val="42"/>
      </w:numPr>
    </w:pPr>
  </w:style>
  <w:style w:type="numbering" w:customStyle="1" w:styleId="List6">
    <w:name w:val="List 6"/>
    <w:rsid w:val="00B451EB"/>
    <w:pPr>
      <w:numPr>
        <w:numId w:val="2"/>
      </w:numPr>
    </w:pPr>
  </w:style>
  <w:style w:type="numbering" w:customStyle="1" w:styleId="List39">
    <w:name w:val="List 39"/>
    <w:rsid w:val="00B451EB"/>
    <w:pPr>
      <w:numPr>
        <w:numId w:val="43"/>
      </w:numPr>
    </w:pPr>
  </w:style>
  <w:style w:type="numbering" w:customStyle="1" w:styleId="List37">
    <w:name w:val="List 37"/>
    <w:rsid w:val="00B451EB"/>
    <w:pPr>
      <w:numPr>
        <w:numId w:val="44"/>
      </w:numPr>
    </w:pPr>
  </w:style>
  <w:style w:type="numbering" w:customStyle="1" w:styleId="List32">
    <w:name w:val="List 32"/>
    <w:rsid w:val="00B451EB"/>
    <w:pPr>
      <w:numPr>
        <w:numId w:val="45"/>
      </w:numPr>
    </w:pPr>
  </w:style>
  <w:style w:type="numbering" w:customStyle="1" w:styleId="List26">
    <w:name w:val="List 26"/>
    <w:rsid w:val="00B451EB"/>
    <w:pPr>
      <w:numPr>
        <w:numId w:val="46"/>
      </w:numPr>
    </w:pPr>
  </w:style>
  <w:style w:type="numbering" w:customStyle="1" w:styleId="List48">
    <w:name w:val="List 48"/>
    <w:rsid w:val="00B451E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16246</Characters>
  <Application>Microsoft Office Word</Application>
  <DocSecurity>0</DocSecurity>
  <Lines>324</Lines>
  <Paragraphs>94</Paragraphs>
  <ScaleCrop>false</ScaleCrop>
  <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72/18</dc:title>
  <dc:creator/>
  <cp:lastModifiedBy/>
  <cp:revision>1</cp:revision>
  <dcterms:created xsi:type="dcterms:W3CDTF">2018-09-18T15:11:00Z</dcterms:created>
  <dcterms:modified xsi:type="dcterms:W3CDTF">2018-09-18T15:11:00Z</dcterms:modified>
</cp:coreProperties>
</file>