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7CF12" w14:textId="6584C508" w:rsidR="00040C3A" w:rsidRPr="007C5771" w:rsidRDefault="00E602C3" w:rsidP="00627C9F">
      <w:pPr>
        <w:jc w:val="both"/>
        <w:rPr>
          <w:rFonts w:asciiTheme="majorHAnsi" w:hAnsiTheme="majorHAnsi" w:cs="Univers"/>
          <w:b/>
          <w:bCs/>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9A6186D" wp14:editId="7CD48F6D">
                <wp:simplePos x="0" y="0"/>
                <wp:positionH relativeFrom="column">
                  <wp:posOffset>-415925</wp:posOffset>
                </wp:positionH>
                <wp:positionV relativeFrom="paragraph">
                  <wp:posOffset>-439420</wp:posOffset>
                </wp:positionV>
                <wp:extent cx="1543050" cy="9096375"/>
                <wp:effectExtent l="0" t="0" r="635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67AE3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1D924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" fillcolor="#67ae3b" stroked="f" strokeweight="2pt"/>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6403DA66" wp14:editId="6ACEAA4F">
                <wp:simplePos x="0" y="0"/>
                <wp:positionH relativeFrom="column">
                  <wp:posOffset>1282065</wp:posOffset>
                </wp:positionH>
                <wp:positionV relativeFrom="paragraph">
                  <wp:posOffset>-423545</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142E68" w14:textId="444B2FED" w:rsidR="00AF638E" w:rsidRDefault="00AF638E" w:rsidP="00AE5488">
                            <w:r>
                              <w:rPr>
                                <w:noProof/>
                              </w:rPr>
                              <w:drawing>
                                <wp:inline distT="0" distB="0" distL="0" distR="0" wp14:anchorId="137A7BA8" wp14:editId="5CE6865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03DA66" id="_x0000_t202" coordsize="21600,21600" o:spt="202" path="m,l,21600r21600,l21600,xe">
                <v:stroke joinstyle="miter"/>
                <v:path gradientshapeok="t" o:connecttype="rect"/>
              </v:shapetype>
              <v:shape id="Text Box 11" o:spid="_x0000_s1026" type="#_x0000_t202" style="position:absolute;left:0;text-align:left;margin-left:100.95pt;margin-top:-33.35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" filled="f" stroked="f" strokeweight=".5pt">
                <v:textbox>
                  <w:txbxContent>
                    <w:p w14:paraId="16142E68" w14:textId="444B2FED" w:rsidR="00AF638E" w:rsidRDefault="00AF638E" w:rsidP="00AE5488">
                      <w:r>
                        <w:rPr>
                          <w:noProof/>
                        </w:rPr>
                        <w:drawing>
                          <wp:inline distT="0" distB="0" distL="0" distR="0" wp14:anchorId="137A7BA8" wp14:editId="5CE6865D">
                            <wp:extent cx="2522763" cy="485775"/>
                            <wp:effectExtent l="0" t="0" r="0" b="0"/>
                            <wp:docPr id="3" name="Picture 3"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ab/>
                        <w:t xml:space="preserve">                              </w:t>
                      </w:r>
                    </w:p>
                  </w:txbxContent>
                </v:textbox>
              </v:shape>
            </w:pict>
          </mc:Fallback>
        </mc:AlternateContent>
      </w:r>
    </w:p>
    <w:p w14:paraId="268F91D3"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6CDA1809" w14:textId="77777777" w:rsidR="00040C3A" w:rsidRPr="007C5771" w:rsidRDefault="00040C3A" w:rsidP="00040C3A">
      <w:pPr>
        <w:tabs>
          <w:tab w:val="center" w:pos="5400"/>
        </w:tabs>
        <w:suppressAutoHyphens/>
        <w:jc w:val="both"/>
        <w:rPr>
          <w:rFonts w:asciiTheme="majorHAnsi" w:hAnsiTheme="majorHAnsi"/>
          <w:sz w:val="22"/>
          <w:szCs w:val="22"/>
          <w:lang w:val="es-ES"/>
        </w:rPr>
      </w:pPr>
    </w:p>
    <w:p w14:paraId="05D914A9" w14:textId="77777777" w:rsidR="005128E4" w:rsidRPr="007C5771" w:rsidRDefault="005128E4" w:rsidP="00040C3A">
      <w:pPr>
        <w:tabs>
          <w:tab w:val="center" w:pos="5400"/>
        </w:tabs>
        <w:suppressAutoHyphens/>
        <w:rPr>
          <w:rFonts w:asciiTheme="majorHAnsi" w:hAnsiTheme="majorHAnsi"/>
          <w:sz w:val="22"/>
          <w:szCs w:val="22"/>
          <w:lang w:val="es-ES"/>
        </w:rPr>
      </w:pPr>
    </w:p>
    <w:p w14:paraId="73FA4B2B" w14:textId="77777777" w:rsidR="005128E4" w:rsidRPr="007C5771" w:rsidRDefault="005128E4" w:rsidP="00040C3A">
      <w:pPr>
        <w:tabs>
          <w:tab w:val="center" w:pos="5400"/>
        </w:tabs>
        <w:suppressAutoHyphens/>
        <w:rPr>
          <w:rFonts w:asciiTheme="majorHAnsi" w:hAnsiTheme="majorHAnsi"/>
          <w:sz w:val="22"/>
          <w:szCs w:val="22"/>
          <w:lang w:val="es-ES"/>
        </w:rPr>
      </w:pPr>
    </w:p>
    <w:p w14:paraId="64229E2A" w14:textId="77777777" w:rsidR="005128E4" w:rsidRPr="007C5771" w:rsidRDefault="005128E4" w:rsidP="00040C3A">
      <w:pPr>
        <w:tabs>
          <w:tab w:val="center" w:pos="5400"/>
        </w:tabs>
        <w:suppressAutoHyphens/>
        <w:rPr>
          <w:rFonts w:asciiTheme="majorHAnsi" w:hAnsiTheme="majorHAnsi"/>
          <w:sz w:val="22"/>
          <w:szCs w:val="22"/>
          <w:lang w:val="es-ES"/>
        </w:rPr>
      </w:pPr>
    </w:p>
    <w:p w14:paraId="1F1AA0AE"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5B92EA82" w14:textId="77777777" w:rsidR="00040C3A" w:rsidRPr="007C5771" w:rsidRDefault="00040C3A" w:rsidP="005128E4">
      <w:pPr>
        <w:tabs>
          <w:tab w:val="center" w:pos="5400"/>
        </w:tabs>
        <w:suppressAutoHyphens/>
        <w:jc w:val="center"/>
        <w:rPr>
          <w:rFonts w:asciiTheme="majorHAnsi" w:hAnsiTheme="majorHAnsi"/>
          <w:sz w:val="22"/>
          <w:szCs w:val="22"/>
          <w:lang w:val="es-ES"/>
        </w:rPr>
      </w:pPr>
    </w:p>
    <w:p w14:paraId="2E3B5904"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35D2B57C"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6F893760" w14:textId="77777777" w:rsidR="005B52B0" w:rsidRPr="007C5771" w:rsidRDefault="005B52B0" w:rsidP="005128E4">
      <w:pPr>
        <w:tabs>
          <w:tab w:val="center" w:pos="5400"/>
        </w:tabs>
        <w:suppressAutoHyphens/>
        <w:jc w:val="center"/>
        <w:rPr>
          <w:rFonts w:asciiTheme="majorHAnsi" w:hAnsiTheme="majorHAnsi"/>
          <w:sz w:val="22"/>
          <w:szCs w:val="22"/>
          <w:lang w:val="es-ES"/>
        </w:rPr>
      </w:pPr>
    </w:p>
    <w:p w14:paraId="7E1E5C33"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DC41A51"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17329721" w14:textId="66607FE5" w:rsidR="00040C3A" w:rsidRPr="007C5771" w:rsidRDefault="00E602C3" w:rsidP="00040C3A">
      <w:pPr>
        <w:tabs>
          <w:tab w:val="center" w:pos="5400"/>
        </w:tabs>
        <w:suppressAutoHyphens/>
        <w:jc w:val="center"/>
        <w:rPr>
          <w:rFonts w:asciiTheme="majorHAnsi" w:hAnsiTheme="majorHAnsi"/>
          <w:sz w:val="22"/>
          <w:szCs w:val="22"/>
          <w:lang w:val="es-ES"/>
        </w:rPr>
      </w:pPr>
      <w:r w:rsidRPr="007C577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02DE5BDE" wp14:editId="3B55D1D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0F09F6" w14:textId="2BF4D61D" w:rsidR="00AF638E" w:rsidRPr="00F950D4" w:rsidRDefault="00AF638E" w:rsidP="00997BC5">
                            <w:pPr>
                              <w:spacing w:line="276" w:lineRule="auto"/>
                              <w:rPr>
                                <w:rFonts w:asciiTheme="majorHAnsi" w:hAnsiTheme="majorHAnsi" w:cs="Arial"/>
                                <w:b/>
                                <w:bCs/>
                                <w:color w:val="0D0D0D" w:themeColor="text1" w:themeTint="F2"/>
                                <w:sz w:val="36"/>
                                <w:szCs w:val="22"/>
                              </w:rPr>
                            </w:pPr>
                            <w:r w:rsidRPr="00F950D4">
                              <w:rPr>
                                <w:rFonts w:asciiTheme="majorHAnsi" w:hAnsiTheme="majorHAnsi" w:cs="Arial"/>
                                <w:b/>
                                <w:bCs/>
                                <w:color w:val="0D0D0D" w:themeColor="text1" w:themeTint="F2"/>
                                <w:sz w:val="36"/>
                                <w:szCs w:val="22"/>
                              </w:rPr>
                              <w:t xml:space="preserve">REPORT </w:t>
                            </w:r>
                            <w:r w:rsidRPr="00F950D4">
                              <w:rPr>
                                <w:rFonts w:asciiTheme="majorHAnsi" w:hAnsiTheme="majorHAnsi" w:cs="Arial"/>
                                <w:b/>
                                <w:bCs/>
                                <w:color w:val="0D0D0D" w:themeColor="text1" w:themeTint="F2"/>
                                <w:sz w:val="36"/>
                                <w:szCs w:val="40"/>
                              </w:rPr>
                              <w:t>No.</w:t>
                            </w:r>
                            <w:r w:rsidRPr="00F950D4">
                              <w:rPr>
                                <w:rFonts w:asciiTheme="majorHAnsi" w:hAnsiTheme="majorHAnsi" w:cs="Arial"/>
                                <w:b/>
                                <w:bCs/>
                                <w:color w:val="0D0D0D" w:themeColor="text1" w:themeTint="F2"/>
                                <w:sz w:val="36"/>
                                <w:szCs w:val="22"/>
                              </w:rPr>
                              <w:t xml:space="preserve"> </w:t>
                            </w:r>
                            <w:r w:rsidR="00106D29">
                              <w:rPr>
                                <w:rFonts w:asciiTheme="majorHAnsi" w:hAnsiTheme="majorHAnsi" w:cs="Arial"/>
                                <w:b/>
                                <w:bCs/>
                                <w:color w:val="0D0D0D" w:themeColor="text1" w:themeTint="F2"/>
                                <w:sz w:val="36"/>
                                <w:szCs w:val="22"/>
                              </w:rPr>
                              <w:t>201</w:t>
                            </w:r>
                            <w:r w:rsidRPr="00F950D4">
                              <w:rPr>
                                <w:rFonts w:asciiTheme="majorHAnsi" w:hAnsiTheme="majorHAnsi" w:cs="Arial"/>
                                <w:b/>
                                <w:bCs/>
                                <w:color w:val="0D0D0D" w:themeColor="text1" w:themeTint="F2"/>
                                <w:sz w:val="36"/>
                                <w:szCs w:val="22"/>
                              </w:rPr>
                              <w:t>/20</w:t>
                            </w:r>
                          </w:p>
                          <w:p w14:paraId="10FE043A" w14:textId="7ECD2F43" w:rsidR="00AF638E" w:rsidRPr="00AA17A8" w:rsidRDefault="00AF638E" w:rsidP="00997BC5">
                            <w:pPr>
                              <w:spacing w:line="276" w:lineRule="auto"/>
                              <w:rPr>
                                <w:rFonts w:asciiTheme="majorHAnsi" w:hAnsiTheme="majorHAnsi" w:cs="Arial"/>
                                <w:b/>
                                <w:color w:val="0D0D0D" w:themeColor="text1" w:themeTint="F2"/>
                                <w:sz w:val="36"/>
                                <w:szCs w:val="22"/>
                              </w:rPr>
                            </w:pPr>
                            <w:r w:rsidRPr="00AA17A8">
                              <w:rPr>
                                <w:rFonts w:asciiTheme="majorHAnsi" w:hAnsiTheme="majorHAnsi" w:cs="Arial"/>
                                <w:b/>
                                <w:color w:val="0D0D0D" w:themeColor="text1" w:themeTint="F2"/>
                                <w:sz w:val="36"/>
                                <w:szCs w:val="22"/>
                              </w:rPr>
                              <w:t xml:space="preserve">PETITION 1375-08 </w:t>
                            </w:r>
                          </w:p>
                          <w:p w14:paraId="7BF4E116" w14:textId="6CEA73EA" w:rsidR="00AF638E" w:rsidRPr="00AA17A8" w:rsidRDefault="00AF638E" w:rsidP="00997BC5">
                            <w:pPr>
                              <w:spacing w:line="276" w:lineRule="auto"/>
                              <w:rPr>
                                <w:rFonts w:asciiTheme="majorHAnsi" w:hAnsiTheme="majorHAnsi" w:cs="Arial"/>
                                <w:color w:val="0D0D0D" w:themeColor="text1" w:themeTint="F2"/>
                                <w:szCs w:val="22"/>
                              </w:rPr>
                            </w:pPr>
                            <w:r w:rsidRPr="00AA17A8">
                              <w:rPr>
                                <w:rFonts w:asciiTheme="majorHAnsi" w:hAnsiTheme="majorHAnsi" w:cs="Arial"/>
                                <w:color w:val="0D0D0D" w:themeColor="text1" w:themeTint="F2"/>
                                <w:szCs w:val="22"/>
                              </w:rPr>
                              <w:t>REPORT ON ADMISSIBILITY</w:t>
                            </w:r>
                          </w:p>
                          <w:p w14:paraId="7C6BF5C9" w14:textId="77777777" w:rsidR="00AF638E" w:rsidRPr="00AA17A8" w:rsidRDefault="00AF638E" w:rsidP="00997BC5">
                            <w:pPr>
                              <w:spacing w:line="276" w:lineRule="auto"/>
                              <w:rPr>
                                <w:rFonts w:asciiTheme="majorHAnsi" w:hAnsiTheme="majorHAnsi" w:cs="Arial"/>
                                <w:color w:val="0D0D0D" w:themeColor="text1" w:themeTint="F2"/>
                                <w:szCs w:val="22"/>
                              </w:rPr>
                            </w:pPr>
                            <w:bookmarkStart w:id="0" w:name="_ftnref1"/>
                          </w:p>
                          <w:p w14:paraId="54C11655" w14:textId="17ECB56C" w:rsidR="00AF638E" w:rsidRPr="00AA17A8" w:rsidRDefault="00AF638E" w:rsidP="00997BC5">
                            <w:pPr>
                              <w:spacing w:line="276" w:lineRule="auto"/>
                              <w:rPr>
                                <w:rFonts w:asciiTheme="majorHAnsi" w:hAnsiTheme="majorHAnsi" w:cs="Arial"/>
                                <w:color w:val="0D0D0D" w:themeColor="text1" w:themeTint="F2"/>
                                <w:szCs w:val="22"/>
                                <w:lang w:val="es-ES"/>
                              </w:rPr>
                            </w:pPr>
                            <w:r w:rsidRPr="00AA17A8">
                              <w:rPr>
                                <w:rFonts w:asciiTheme="majorHAnsi" w:hAnsiTheme="majorHAnsi" w:cs="Arial"/>
                                <w:color w:val="0D0D0D" w:themeColor="text1" w:themeTint="F2"/>
                                <w:szCs w:val="22"/>
                                <w:lang w:val="es-ES"/>
                              </w:rPr>
                              <w:t>RITA MA</w:t>
                            </w:r>
                            <w:r w:rsidRPr="00AA17A8">
                              <w:rPr>
                                <w:rFonts w:asciiTheme="majorHAnsi" w:hAnsiTheme="majorHAnsi"/>
                                <w:lang w:val="es-ES"/>
                              </w:rPr>
                              <w:t>RÍ</w:t>
                            </w:r>
                            <w:r w:rsidRPr="00AA17A8">
                              <w:rPr>
                                <w:rFonts w:asciiTheme="majorHAnsi" w:hAnsiTheme="majorHAnsi" w:cs="Arial"/>
                                <w:color w:val="0D0D0D" w:themeColor="text1" w:themeTint="F2"/>
                                <w:szCs w:val="22"/>
                                <w:lang w:val="es-ES"/>
                              </w:rPr>
                              <w:t>A ADELIA P</w:t>
                            </w:r>
                            <w:r w:rsidRPr="00AA17A8">
                              <w:rPr>
                                <w:rFonts w:asciiTheme="majorHAnsi" w:hAnsiTheme="majorHAnsi"/>
                                <w:lang w:val="es-ES"/>
                              </w:rPr>
                              <w:t>É</w:t>
                            </w:r>
                            <w:r w:rsidRPr="00AA17A8">
                              <w:rPr>
                                <w:rFonts w:asciiTheme="majorHAnsi" w:hAnsiTheme="majorHAnsi" w:cs="Arial"/>
                                <w:color w:val="0D0D0D" w:themeColor="text1" w:themeTint="F2"/>
                                <w:szCs w:val="22"/>
                                <w:lang w:val="es-ES"/>
                              </w:rPr>
                              <w:t>REZ AND</w:t>
                            </w:r>
                            <w:r>
                              <w:rPr>
                                <w:rFonts w:asciiTheme="majorHAnsi" w:hAnsiTheme="majorHAnsi" w:cs="Arial"/>
                                <w:color w:val="0D0D0D" w:themeColor="text1" w:themeTint="F2"/>
                                <w:szCs w:val="22"/>
                                <w:lang w:val="es-ES"/>
                              </w:rPr>
                              <w:t xml:space="preserve"> CHILDREN</w:t>
                            </w:r>
                          </w:p>
                          <w:bookmarkEnd w:id="0"/>
                          <w:p w14:paraId="0E828D87" w14:textId="77777777" w:rsidR="00AF638E" w:rsidRPr="00D7554C" w:rsidRDefault="00AF638E" w:rsidP="00997BC5">
                            <w:pPr>
                              <w:spacing w:line="276" w:lineRule="auto"/>
                              <w:rPr>
                                <w:rFonts w:asciiTheme="majorHAnsi" w:hAnsiTheme="majorHAnsi" w:cs="Arial"/>
                                <w:color w:val="0D0D0D" w:themeColor="text1" w:themeTint="F2"/>
                                <w:szCs w:val="22"/>
                                <w:lang w:val="es-ES"/>
                              </w:rPr>
                            </w:pPr>
                            <w:r w:rsidRPr="00D7554C">
                              <w:rPr>
                                <w:rFonts w:asciiTheme="majorHAnsi" w:hAnsiTheme="majorHAnsi" w:cs="Arial"/>
                                <w:color w:val="0D0D0D" w:themeColor="text1" w:themeTint="F2"/>
                                <w:szCs w:val="22"/>
                                <w:lang w:val="es-ES_tradnl"/>
                              </w:rPr>
                              <w:t>ARGENTINA</w:t>
                            </w:r>
                          </w:p>
                          <w:p w14:paraId="417C34EE" w14:textId="77777777" w:rsidR="00AF638E" w:rsidRPr="00AE5488" w:rsidRDefault="00AF638E"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E5BD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wbqEeo0CAACDBQAADgAAAAAAAAAAAAAAAAAuAgAAZHJzL2Uyb0RvYy54bWxQSwEC&#10;LQAUAAYACAAAACEA9UR3F+AAAAAKAQAADwAAAAAAAAAAAAAAAADnBAAAZHJzL2Rvd25yZXYueG1s&#10;UEsFBgAAAAAEAAQA8wAAAPQFAAAAAA==&#10;" filled="f" stroked="f" strokeweight=".5pt">
                <v:path arrowok="t"/>
                <v:textbox>
                  <w:txbxContent>
                    <w:p w14:paraId="390F09F6" w14:textId="2BF4D61D" w:rsidR="00AF638E" w:rsidRPr="00F950D4" w:rsidRDefault="00AF638E" w:rsidP="00997BC5">
                      <w:pPr>
                        <w:spacing w:line="276" w:lineRule="auto"/>
                        <w:rPr>
                          <w:rFonts w:asciiTheme="majorHAnsi" w:hAnsiTheme="majorHAnsi" w:cs="Arial"/>
                          <w:b/>
                          <w:bCs/>
                          <w:color w:val="0D0D0D" w:themeColor="text1" w:themeTint="F2"/>
                          <w:sz w:val="36"/>
                          <w:szCs w:val="22"/>
                        </w:rPr>
                      </w:pPr>
                      <w:r w:rsidRPr="00F950D4">
                        <w:rPr>
                          <w:rFonts w:asciiTheme="majorHAnsi" w:hAnsiTheme="majorHAnsi" w:cs="Arial"/>
                          <w:b/>
                          <w:bCs/>
                          <w:color w:val="0D0D0D" w:themeColor="text1" w:themeTint="F2"/>
                          <w:sz w:val="36"/>
                          <w:szCs w:val="22"/>
                        </w:rPr>
                        <w:t xml:space="preserve">REPORT </w:t>
                      </w:r>
                      <w:r w:rsidRPr="00F950D4">
                        <w:rPr>
                          <w:rFonts w:asciiTheme="majorHAnsi" w:hAnsiTheme="majorHAnsi" w:cs="Arial"/>
                          <w:b/>
                          <w:bCs/>
                          <w:color w:val="0D0D0D" w:themeColor="text1" w:themeTint="F2"/>
                          <w:sz w:val="36"/>
                          <w:szCs w:val="40"/>
                        </w:rPr>
                        <w:t>No.</w:t>
                      </w:r>
                      <w:r w:rsidRPr="00F950D4">
                        <w:rPr>
                          <w:rFonts w:asciiTheme="majorHAnsi" w:hAnsiTheme="majorHAnsi" w:cs="Arial"/>
                          <w:b/>
                          <w:bCs/>
                          <w:color w:val="0D0D0D" w:themeColor="text1" w:themeTint="F2"/>
                          <w:sz w:val="36"/>
                          <w:szCs w:val="22"/>
                        </w:rPr>
                        <w:t xml:space="preserve"> </w:t>
                      </w:r>
                      <w:r w:rsidR="00106D29">
                        <w:rPr>
                          <w:rFonts w:asciiTheme="majorHAnsi" w:hAnsiTheme="majorHAnsi" w:cs="Arial"/>
                          <w:b/>
                          <w:bCs/>
                          <w:color w:val="0D0D0D" w:themeColor="text1" w:themeTint="F2"/>
                          <w:sz w:val="36"/>
                          <w:szCs w:val="22"/>
                        </w:rPr>
                        <w:t>201</w:t>
                      </w:r>
                      <w:r w:rsidRPr="00F950D4">
                        <w:rPr>
                          <w:rFonts w:asciiTheme="majorHAnsi" w:hAnsiTheme="majorHAnsi" w:cs="Arial"/>
                          <w:b/>
                          <w:bCs/>
                          <w:color w:val="0D0D0D" w:themeColor="text1" w:themeTint="F2"/>
                          <w:sz w:val="36"/>
                          <w:szCs w:val="22"/>
                        </w:rPr>
                        <w:t>/20</w:t>
                      </w:r>
                    </w:p>
                    <w:p w14:paraId="10FE043A" w14:textId="7ECD2F43" w:rsidR="00AF638E" w:rsidRPr="00AA17A8" w:rsidRDefault="00AF638E" w:rsidP="00997BC5">
                      <w:pPr>
                        <w:spacing w:line="276" w:lineRule="auto"/>
                        <w:rPr>
                          <w:rFonts w:asciiTheme="majorHAnsi" w:hAnsiTheme="majorHAnsi" w:cs="Arial"/>
                          <w:b/>
                          <w:color w:val="0D0D0D" w:themeColor="text1" w:themeTint="F2"/>
                          <w:sz w:val="36"/>
                          <w:szCs w:val="22"/>
                        </w:rPr>
                      </w:pPr>
                      <w:r w:rsidRPr="00AA17A8">
                        <w:rPr>
                          <w:rFonts w:asciiTheme="majorHAnsi" w:hAnsiTheme="majorHAnsi" w:cs="Arial"/>
                          <w:b/>
                          <w:color w:val="0D0D0D" w:themeColor="text1" w:themeTint="F2"/>
                          <w:sz w:val="36"/>
                          <w:szCs w:val="22"/>
                        </w:rPr>
                        <w:t xml:space="preserve">PETITION 1375-08 </w:t>
                      </w:r>
                    </w:p>
                    <w:p w14:paraId="7BF4E116" w14:textId="6CEA73EA" w:rsidR="00AF638E" w:rsidRPr="00AA17A8" w:rsidRDefault="00AF638E" w:rsidP="00997BC5">
                      <w:pPr>
                        <w:spacing w:line="276" w:lineRule="auto"/>
                        <w:rPr>
                          <w:rFonts w:asciiTheme="majorHAnsi" w:hAnsiTheme="majorHAnsi" w:cs="Arial"/>
                          <w:color w:val="0D0D0D" w:themeColor="text1" w:themeTint="F2"/>
                          <w:szCs w:val="22"/>
                        </w:rPr>
                      </w:pPr>
                      <w:r w:rsidRPr="00AA17A8">
                        <w:rPr>
                          <w:rFonts w:asciiTheme="majorHAnsi" w:hAnsiTheme="majorHAnsi" w:cs="Arial"/>
                          <w:color w:val="0D0D0D" w:themeColor="text1" w:themeTint="F2"/>
                          <w:szCs w:val="22"/>
                        </w:rPr>
                        <w:t>REPORT ON ADMISSIBILITY</w:t>
                      </w:r>
                    </w:p>
                    <w:p w14:paraId="7C6BF5C9" w14:textId="77777777" w:rsidR="00AF638E" w:rsidRPr="00AA17A8" w:rsidRDefault="00AF638E" w:rsidP="00997BC5">
                      <w:pPr>
                        <w:spacing w:line="276" w:lineRule="auto"/>
                        <w:rPr>
                          <w:rFonts w:asciiTheme="majorHAnsi" w:hAnsiTheme="majorHAnsi" w:cs="Arial"/>
                          <w:color w:val="0D0D0D" w:themeColor="text1" w:themeTint="F2"/>
                          <w:szCs w:val="22"/>
                        </w:rPr>
                      </w:pPr>
                      <w:bookmarkStart w:id="1" w:name="_ftnref1"/>
                    </w:p>
                    <w:p w14:paraId="54C11655" w14:textId="17ECB56C" w:rsidR="00AF638E" w:rsidRPr="00AA17A8" w:rsidRDefault="00AF638E" w:rsidP="00997BC5">
                      <w:pPr>
                        <w:spacing w:line="276" w:lineRule="auto"/>
                        <w:rPr>
                          <w:rFonts w:asciiTheme="majorHAnsi" w:hAnsiTheme="majorHAnsi" w:cs="Arial"/>
                          <w:color w:val="0D0D0D" w:themeColor="text1" w:themeTint="F2"/>
                          <w:szCs w:val="22"/>
                          <w:lang w:val="es-ES"/>
                        </w:rPr>
                      </w:pPr>
                      <w:r w:rsidRPr="00AA17A8">
                        <w:rPr>
                          <w:rFonts w:asciiTheme="majorHAnsi" w:hAnsiTheme="majorHAnsi" w:cs="Arial"/>
                          <w:color w:val="0D0D0D" w:themeColor="text1" w:themeTint="F2"/>
                          <w:szCs w:val="22"/>
                          <w:lang w:val="es-ES"/>
                        </w:rPr>
                        <w:t>RITA MA</w:t>
                      </w:r>
                      <w:r w:rsidRPr="00AA17A8">
                        <w:rPr>
                          <w:rFonts w:asciiTheme="majorHAnsi" w:hAnsiTheme="majorHAnsi"/>
                          <w:lang w:val="es-ES"/>
                        </w:rPr>
                        <w:t>RÍ</w:t>
                      </w:r>
                      <w:r w:rsidRPr="00AA17A8">
                        <w:rPr>
                          <w:rFonts w:asciiTheme="majorHAnsi" w:hAnsiTheme="majorHAnsi" w:cs="Arial"/>
                          <w:color w:val="0D0D0D" w:themeColor="text1" w:themeTint="F2"/>
                          <w:szCs w:val="22"/>
                          <w:lang w:val="es-ES"/>
                        </w:rPr>
                        <w:t>A ADELIA P</w:t>
                      </w:r>
                      <w:r w:rsidRPr="00AA17A8">
                        <w:rPr>
                          <w:rFonts w:asciiTheme="majorHAnsi" w:hAnsiTheme="majorHAnsi"/>
                          <w:lang w:val="es-ES"/>
                        </w:rPr>
                        <w:t>É</w:t>
                      </w:r>
                      <w:r w:rsidRPr="00AA17A8">
                        <w:rPr>
                          <w:rFonts w:asciiTheme="majorHAnsi" w:hAnsiTheme="majorHAnsi" w:cs="Arial"/>
                          <w:color w:val="0D0D0D" w:themeColor="text1" w:themeTint="F2"/>
                          <w:szCs w:val="22"/>
                          <w:lang w:val="es-ES"/>
                        </w:rPr>
                        <w:t>REZ AND</w:t>
                      </w:r>
                      <w:r>
                        <w:rPr>
                          <w:rFonts w:asciiTheme="majorHAnsi" w:hAnsiTheme="majorHAnsi" w:cs="Arial"/>
                          <w:color w:val="0D0D0D" w:themeColor="text1" w:themeTint="F2"/>
                          <w:szCs w:val="22"/>
                          <w:lang w:val="es-ES"/>
                        </w:rPr>
                        <w:t xml:space="preserve"> CHILDREN</w:t>
                      </w:r>
                    </w:p>
                    <w:bookmarkEnd w:id="1"/>
                    <w:p w14:paraId="0E828D87" w14:textId="77777777" w:rsidR="00AF638E" w:rsidRPr="00D7554C" w:rsidRDefault="00AF638E" w:rsidP="00997BC5">
                      <w:pPr>
                        <w:spacing w:line="276" w:lineRule="auto"/>
                        <w:rPr>
                          <w:rFonts w:asciiTheme="majorHAnsi" w:hAnsiTheme="majorHAnsi" w:cs="Arial"/>
                          <w:color w:val="0D0D0D" w:themeColor="text1" w:themeTint="F2"/>
                          <w:szCs w:val="22"/>
                          <w:lang w:val="es-ES"/>
                        </w:rPr>
                      </w:pPr>
                      <w:r w:rsidRPr="00D7554C">
                        <w:rPr>
                          <w:rFonts w:asciiTheme="majorHAnsi" w:hAnsiTheme="majorHAnsi" w:cs="Arial"/>
                          <w:color w:val="0D0D0D" w:themeColor="text1" w:themeTint="F2"/>
                          <w:szCs w:val="22"/>
                          <w:lang w:val="es-ES_tradnl"/>
                        </w:rPr>
                        <w:t>ARGENTINA</w:t>
                      </w:r>
                    </w:p>
                    <w:p w14:paraId="417C34EE" w14:textId="77777777" w:rsidR="00AF638E" w:rsidRPr="00AE5488" w:rsidRDefault="00AF638E" w:rsidP="007A5817">
                      <w:pPr>
                        <w:rPr>
                          <w:color w:val="0D0D0D" w:themeColor="text1" w:themeTint="F2"/>
                          <w:lang w:val="es-ES_tradnl"/>
                        </w:rPr>
                      </w:pP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776FAD6" wp14:editId="11ACA9C6">
                <wp:simplePos x="0" y="0"/>
                <wp:positionH relativeFrom="column">
                  <wp:posOffset>-342265</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F3CFBB" w14:textId="4C08445E"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OEA/Ser.L/V/II.</w:t>
                            </w:r>
                          </w:p>
                          <w:p w14:paraId="3974FD7E" w14:textId="47AAFDDF"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 xml:space="preserve">Doc. </w:t>
                            </w:r>
                            <w:r w:rsidR="00106D29">
                              <w:rPr>
                                <w:rFonts w:asciiTheme="minorHAnsi" w:hAnsiTheme="minorHAnsi"/>
                                <w:color w:val="FFFFFF" w:themeColor="background1"/>
                                <w:sz w:val="22"/>
                                <w:lang w:val="pt-BR"/>
                              </w:rPr>
                              <w:t>215</w:t>
                            </w:r>
                          </w:p>
                          <w:p w14:paraId="582DAC54" w14:textId="2A6A655E" w:rsidR="00AF638E" w:rsidRPr="00F950D4" w:rsidRDefault="00106D2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August </w:t>
                            </w:r>
                            <w:r w:rsidR="00AF638E" w:rsidRPr="00F950D4">
                              <w:rPr>
                                <w:rFonts w:asciiTheme="minorHAnsi" w:hAnsiTheme="minorHAnsi"/>
                                <w:color w:val="FFFFFF" w:themeColor="background1"/>
                                <w:sz w:val="22"/>
                              </w:rPr>
                              <w:t>2020</w:t>
                            </w:r>
                          </w:p>
                          <w:p w14:paraId="6B38FF62" w14:textId="6AB5C180" w:rsidR="00AF638E" w:rsidRPr="00F950D4" w:rsidRDefault="00AF638E" w:rsidP="007A5817">
                            <w:pPr>
                              <w:spacing w:line="276" w:lineRule="auto"/>
                              <w:jc w:val="right"/>
                              <w:rPr>
                                <w:rFonts w:asciiTheme="minorHAnsi" w:hAnsiTheme="minorHAnsi"/>
                                <w:color w:val="FFFFFF" w:themeColor="background1"/>
                                <w:sz w:val="22"/>
                              </w:rPr>
                            </w:pPr>
                            <w:r w:rsidRPr="00F950D4">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6FAD6" id="Text Box 8" o:spid="_x0000_s1028" type="#_x0000_t202" style="position:absolute;left:0;text-align:left;margin-left:-26.95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" filled="f" stroked="f" strokeweight=".5pt">
                <v:path arrowok="t"/>
                <v:textbox>
                  <w:txbxContent>
                    <w:p w14:paraId="19F3CFBB" w14:textId="4C08445E"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OEA/Ser.L/V/II.</w:t>
                      </w:r>
                    </w:p>
                    <w:p w14:paraId="3974FD7E" w14:textId="47AAFDDF" w:rsidR="00AF638E" w:rsidRPr="0016202D" w:rsidRDefault="00AF638E" w:rsidP="007A5817">
                      <w:pPr>
                        <w:spacing w:line="276" w:lineRule="auto"/>
                        <w:jc w:val="right"/>
                        <w:rPr>
                          <w:rFonts w:asciiTheme="minorHAnsi" w:hAnsiTheme="minorHAnsi"/>
                          <w:color w:val="FFFFFF" w:themeColor="background1"/>
                          <w:sz w:val="22"/>
                          <w:lang w:val="pt-BR"/>
                        </w:rPr>
                      </w:pPr>
                      <w:r w:rsidRPr="0016202D">
                        <w:rPr>
                          <w:rFonts w:asciiTheme="minorHAnsi" w:hAnsiTheme="minorHAnsi"/>
                          <w:color w:val="FFFFFF" w:themeColor="background1"/>
                          <w:sz w:val="22"/>
                          <w:lang w:val="pt-BR"/>
                        </w:rPr>
                        <w:t xml:space="preserve">Doc. </w:t>
                      </w:r>
                      <w:r w:rsidR="00106D29">
                        <w:rPr>
                          <w:rFonts w:asciiTheme="minorHAnsi" w:hAnsiTheme="minorHAnsi"/>
                          <w:color w:val="FFFFFF" w:themeColor="background1"/>
                          <w:sz w:val="22"/>
                          <w:lang w:val="pt-BR"/>
                        </w:rPr>
                        <w:t>215</w:t>
                      </w:r>
                    </w:p>
                    <w:p w14:paraId="582DAC54" w14:textId="2A6A655E" w:rsidR="00AF638E" w:rsidRPr="00F950D4" w:rsidRDefault="00106D29"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5 August </w:t>
                      </w:r>
                      <w:r w:rsidR="00AF638E" w:rsidRPr="00F950D4">
                        <w:rPr>
                          <w:rFonts w:asciiTheme="minorHAnsi" w:hAnsiTheme="minorHAnsi"/>
                          <w:color w:val="FFFFFF" w:themeColor="background1"/>
                          <w:sz w:val="22"/>
                        </w:rPr>
                        <w:t>2020</w:t>
                      </w:r>
                    </w:p>
                    <w:p w14:paraId="6B38FF62" w14:textId="6AB5C180" w:rsidR="00AF638E" w:rsidRPr="00F950D4" w:rsidRDefault="00AF638E" w:rsidP="007A5817">
                      <w:pPr>
                        <w:spacing w:line="276" w:lineRule="auto"/>
                        <w:jc w:val="right"/>
                        <w:rPr>
                          <w:rFonts w:asciiTheme="minorHAnsi" w:hAnsiTheme="minorHAnsi"/>
                          <w:color w:val="FFFFFF" w:themeColor="background1"/>
                          <w:sz w:val="22"/>
                        </w:rPr>
                      </w:pPr>
                      <w:r w:rsidRPr="00F950D4">
                        <w:rPr>
                          <w:rFonts w:asciiTheme="minorHAnsi" w:hAnsiTheme="minorHAnsi"/>
                          <w:color w:val="FFFFFF" w:themeColor="background1"/>
                          <w:sz w:val="22"/>
                        </w:rPr>
                        <w:t>Original: Spanish</w:t>
                      </w:r>
                    </w:p>
                  </w:txbxContent>
                </v:textbox>
              </v:shape>
            </w:pict>
          </mc:Fallback>
        </mc:AlternateContent>
      </w:r>
    </w:p>
    <w:p w14:paraId="0ADC90A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AA60AF8"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EFF9DB0" w14:textId="77777777" w:rsidR="00040C3A" w:rsidRPr="007C5771" w:rsidRDefault="00040C3A" w:rsidP="00040C3A">
      <w:pPr>
        <w:tabs>
          <w:tab w:val="center" w:pos="5400"/>
        </w:tabs>
        <w:suppressAutoHyphens/>
        <w:jc w:val="center"/>
        <w:rPr>
          <w:rFonts w:asciiTheme="majorHAnsi" w:hAnsiTheme="majorHAnsi" w:cs="Arial"/>
          <w:sz w:val="22"/>
          <w:szCs w:val="22"/>
          <w:lang w:val="es-ES"/>
        </w:rPr>
      </w:pPr>
    </w:p>
    <w:p w14:paraId="0F5161BA"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01EC88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800BAF6"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4F11653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696557A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6FDFBB77"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7527A75C"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0D4C5A41"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452F1D65" w14:textId="77777777" w:rsidR="005128E4" w:rsidRPr="007C5771" w:rsidRDefault="005128E4" w:rsidP="00040C3A">
      <w:pPr>
        <w:tabs>
          <w:tab w:val="center" w:pos="5400"/>
        </w:tabs>
        <w:suppressAutoHyphens/>
        <w:jc w:val="center"/>
        <w:rPr>
          <w:rFonts w:asciiTheme="majorHAnsi" w:hAnsiTheme="majorHAnsi"/>
          <w:sz w:val="22"/>
          <w:szCs w:val="22"/>
          <w:lang w:val="es-ES"/>
        </w:rPr>
      </w:pPr>
    </w:p>
    <w:p w14:paraId="3B8784DB"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5900A53E" w14:textId="77777777" w:rsidR="00040C3A" w:rsidRPr="007C5771" w:rsidRDefault="00040C3A" w:rsidP="00040C3A">
      <w:pPr>
        <w:tabs>
          <w:tab w:val="center" w:pos="5400"/>
        </w:tabs>
        <w:suppressAutoHyphens/>
        <w:jc w:val="center"/>
        <w:rPr>
          <w:rFonts w:asciiTheme="majorHAnsi" w:hAnsiTheme="majorHAnsi"/>
          <w:sz w:val="22"/>
          <w:szCs w:val="22"/>
          <w:lang w:val="es-ES"/>
        </w:rPr>
      </w:pPr>
    </w:p>
    <w:p w14:paraId="08D013A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18E456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A0A7869"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EBA19C1"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47AD124"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76B60540"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FF46AC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EB117F5"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AF0C64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1F46FE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976F63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53D1A13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2C23462D"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6047FBD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49582F5" w14:textId="6CBEF387"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A81BD83" wp14:editId="7F25EB40">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A984E1" w14:textId="48E7F52F" w:rsidR="00AF638E" w:rsidRPr="00AA17A8" w:rsidRDefault="00AF638E" w:rsidP="00DD3D86">
                            <w:pPr>
                              <w:tabs>
                                <w:tab w:val="center" w:pos="5400"/>
                              </w:tabs>
                              <w:suppressAutoHyphens/>
                              <w:spacing w:before="60"/>
                              <w:rPr>
                                <w:rFonts w:asciiTheme="majorHAnsi" w:hAnsiTheme="majorHAnsi"/>
                                <w:color w:val="0D0D0D" w:themeColor="text1" w:themeTint="F2"/>
                                <w:sz w:val="18"/>
                                <w:szCs w:val="22"/>
                              </w:rPr>
                            </w:pPr>
                            <w:r w:rsidRPr="00AA17A8">
                              <w:rPr>
                                <w:rFonts w:asciiTheme="majorHAnsi" w:hAnsiTheme="majorHAnsi"/>
                                <w:color w:val="0D0D0D" w:themeColor="text1" w:themeTint="F2"/>
                                <w:sz w:val="18"/>
                                <w:szCs w:val="22"/>
                              </w:rPr>
                              <w:t>Electronically</w:t>
                            </w:r>
                            <w:r w:rsidR="00106D29">
                              <w:rPr>
                                <w:rFonts w:asciiTheme="majorHAnsi" w:hAnsiTheme="majorHAnsi"/>
                                <w:color w:val="0D0D0D" w:themeColor="text1" w:themeTint="F2"/>
                                <w:sz w:val="18"/>
                                <w:szCs w:val="22"/>
                              </w:rPr>
                              <w:t xml:space="preserve"> approved by the Commission on August 5</w:t>
                            </w:r>
                            <w:r w:rsidRPr="00AA17A8">
                              <w:rPr>
                                <w:rFonts w:asciiTheme="majorHAnsi" w:hAnsiTheme="majorHAnsi"/>
                                <w:color w:val="0D0D0D" w:themeColor="text1" w:themeTint="F2"/>
                                <w:sz w:val="18"/>
                                <w:szCs w:val="22"/>
                              </w:rPr>
                              <w:t>, 2020</w:t>
                            </w:r>
                            <w:r w:rsidR="00106D29">
                              <w:rPr>
                                <w:rFonts w:asciiTheme="majorHAnsi" w:hAnsiTheme="majorHAnsi"/>
                                <w:color w:val="0D0D0D" w:themeColor="text1" w:themeTint="F2"/>
                                <w:sz w:val="18"/>
                                <w:szCs w:val="22"/>
                              </w:rPr>
                              <w:t>.</w:t>
                            </w:r>
                          </w:p>
                          <w:p w14:paraId="655B91B7" w14:textId="77777777" w:rsidR="00AF638E" w:rsidRPr="00AA17A8" w:rsidRDefault="00AF638E" w:rsidP="00247403">
                            <w:pPr>
                              <w:tabs>
                                <w:tab w:val="center" w:pos="5400"/>
                              </w:tabs>
                              <w:suppressAutoHyphens/>
                              <w:spacing w:before="60"/>
                              <w:rPr>
                                <w:rFonts w:asciiTheme="minorHAnsi" w:hAnsiTheme="minorHAnsi" w:cs="Univers"/>
                                <w:color w:val="0D0D0D" w:themeColor="text1" w:themeTint="F2"/>
                                <w:sz w:val="20"/>
                                <w:szCs w:val="20"/>
                              </w:rPr>
                            </w:pPr>
                          </w:p>
                          <w:p w14:paraId="04F1FB7E" w14:textId="77777777" w:rsidR="00AF638E" w:rsidRPr="00AA17A8" w:rsidRDefault="00AF638E" w:rsidP="0059191A">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1BD83"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QKVKSowCAACCBQAADgAAAAAAAAAAAAAAAAAuAgAAZHJzL2Uyb0RvYy54bWxQSwECLQAU&#10;AAYACAAAACEAQZkOC94AAAAJAQAADwAAAAAAAAAAAAAAAADmBAAAZHJzL2Rvd25yZXYueG1sUEsF&#10;BgAAAAAEAAQA8wAAAPEFAAAAAA==&#10;" filled="f" stroked="f" strokeweight=".5pt">
                <v:path arrowok="t"/>
                <v:textbox>
                  <w:txbxContent>
                    <w:p w14:paraId="3FA984E1" w14:textId="48E7F52F" w:rsidR="00AF638E" w:rsidRPr="00AA17A8" w:rsidRDefault="00AF638E" w:rsidP="00DD3D86">
                      <w:pPr>
                        <w:tabs>
                          <w:tab w:val="center" w:pos="5400"/>
                        </w:tabs>
                        <w:suppressAutoHyphens/>
                        <w:spacing w:before="60"/>
                        <w:rPr>
                          <w:rFonts w:asciiTheme="majorHAnsi" w:hAnsiTheme="majorHAnsi"/>
                          <w:color w:val="0D0D0D" w:themeColor="text1" w:themeTint="F2"/>
                          <w:sz w:val="18"/>
                          <w:szCs w:val="22"/>
                        </w:rPr>
                      </w:pPr>
                      <w:r w:rsidRPr="00AA17A8">
                        <w:rPr>
                          <w:rFonts w:asciiTheme="majorHAnsi" w:hAnsiTheme="majorHAnsi"/>
                          <w:color w:val="0D0D0D" w:themeColor="text1" w:themeTint="F2"/>
                          <w:sz w:val="18"/>
                          <w:szCs w:val="22"/>
                        </w:rPr>
                        <w:t>Electronically</w:t>
                      </w:r>
                      <w:r w:rsidR="00106D29">
                        <w:rPr>
                          <w:rFonts w:asciiTheme="majorHAnsi" w:hAnsiTheme="majorHAnsi"/>
                          <w:color w:val="0D0D0D" w:themeColor="text1" w:themeTint="F2"/>
                          <w:sz w:val="18"/>
                          <w:szCs w:val="22"/>
                        </w:rPr>
                        <w:t xml:space="preserve"> approved by the Commission on August 5</w:t>
                      </w:r>
                      <w:r w:rsidRPr="00AA17A8">
                        <w:rPr>
                          <w:rFonts w:asciiTheme="majorHAnsi" w:hAnsiTheme="majorHAnsi"/>
                          <w:color w:val="0D0D0D" w:themeColor="text1" w:themeTint="F2"/>
                          <w:sz w:val="18"/>
                          <w:szCs w:val="22"/>
                        </w:rPr>
                        <w:t>, 2020</w:t>
                      </w:r>
                      <w:r w:rsidR="00106D29">
                        <w:rPr>
                          <w:rFonts w:asciiTheme="majorHAnsi" w:hAnsiTheme="majorHAnsi"/>
                          <w:color w:val="0D0D0D" w:themeColor="text1" w:themeTint="F2"/>
                          <w:sz w:val="18"/>
                          <w:szCs w:val="22"/>
                        </w:rPr>
                        <w:t>.</w:t>
                      </w:r>
                    </w:p>
                    <w:p w14:paraId="655B91B7" w14:textId="77777777" w:rsidR="00AF638E" w:rsidRPr="00AA17A8" w:rsidRDefault="00AF638E" w:rsidP="00247403">
                      <w:pPr>
                        <w:tabs>
                          <w:tab w:val="center" w:pos="5400"/>
                        </w:tabs>
                        <w:suppressAutoHyphens/>
                        <w:spacing w:before="60"/>
                        <w:rPr>
                          <w:rFonts w:asciiTheme="minorHAnsi" w:hAnsiTheme="minorHAnsi" w:cs="Univers"/>
                          <w:color w:val="0D0D0D" w:themeColor="text1" w:themeTint="F2"/>
                          <w:sz w:val="20"/>
                          <w:szCs w:val="20"/>
                        </w:rPr>
                      </w:pPr>
                    </w:p>
                    <w:p w14:paraId="04F1FB7E" w14:textId="77777777" w:rsidR="00AF638E" w:rsidRPr="00AA17A8" w:rsidRDefault="00AF638E" w:rsidP="0059191A">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36CDC3A7"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ED79E8F"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00EA92F8"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4214DE5A"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35A30D9F" w14:textId="7747F576" w:rsidR="00A50FCF" w:rsidRPr="007C5771" w:rsidRDefault="00E602C3" w:rsidP="00040C3A">
      <w:pPr>
        <w:tabs>
          <w:tab w:val="center" w:pos="5400"/>
        </w:tabs>
        <w:suppressAutoHyphens/>
        <w:jc w:val="center"/>
        <w:rPr>
          <w:rFonts w:asciiTheme="majorHAnsi" w:hAnsiTheme="majorHAnsi"/>
          <w:sz w:val="18"/>
          <w:szCs w:val="22"/>
          <w:lang w:val="es-ES"/>
        </w:rPr>
      </w:pPr>
      <w:r w:rsidRPr="007C577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E5005EE" wp14:editId="0C5A1799">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993856" w14:textId="0B0584E4" w:rsidR="00AF638E" w:rsidRPr="00AA17A8" w:rsidRDefault="00AF638E"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w:t>
                            </w:r>
                            <w:r>
                              <w:rPr>
                                <w:rFonts w:asciiTheme="majorHAnsi" w:hAnsiTheme="majorHAnsi"/>
                                <w:b/>
                                <w:color w:val="595959" w:themeColor="text1" w:themeTint="A6"/>
                                <w:sz w:val="18"/>
                                <w:szCs w:val="18"/>
                                <w:lang w:val="pt-BR"/>
                              </w:rPr>
                              <w:t>e</w:t>
                            </w:r>
                            <w:r w:rsidRPr="00890650">
                              <w:rPr>
                                <w:rFonts w:asciiTheme="majorHAnsi" w:hAnsiTheme="majorHAnsi"/>
                                <w:b/>
                                <w:color w:val="595959" w:themeColor="text1" w:themeTint="A6"/>
                                <w:sz w:val="18"/>
                                <w:szCs w:val="18"/>
                                <w:lang w:val="pt-BR"/>
                              </w:rPr>
                              <w:t xml:space="preserve"> </w:t>
                            </w:r>
                            <w:r>
                              <w:rPr>
                                <w:rFonts w:asciiTheme="majorHAnsi" w:hAnsiTheme="majorHAnsi"/>
                                <w:b/>
                                <w:color w:val="595959" w:themeColor="text1" w:themeTint="A6"/>
                                <w:sz w:val="18"/>
                                <w:szCs w:val="18"/>
                                <w:lang w:val="pt-BR"/>
                              </w:rPr>
                              <w:t>as</w:t>
                            </w:r>
                            <w:r w:rsidRPr="00890650">
                              <w:rPr>
                                <w:rFonts w:asciiTheme="majorHAnsi" w:hAnsiTheme="majorHAnsi"/>
                                <w:b/>
                                <w:color w:val="595959" w:themeColor="text1" w:themeTint="A6"/>
                                <w:sz w:val="18"/>
                                <w:szCs w:val="18"/>
                                <w:lang w:val="pt-BR"/>
                              </w:rPr>
                              <w:t>:</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IACHR</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Report</w:t>
                            </w:r>
                            <w:r w:rsidRPr="00890650">
                              <w:rPr>
                                <w:rFonts w:asciiTheme="majorHAnsi" w:hAnsiTheme="majorHAnsi"/>
                                <w:color w:val="595959" w:themeColor="text1" w:themeTint="A6"/>
                                <w:sz w:val="18"/>
                                <w:szCs w:val="18"/>
                                <w:lang w:val="pt-BR"/>
                              </w:rPr>
                              <w:t xml:space="preserve"> No.</w:t>
                            </w:r>
                            <w:r w:rsidR="000554CD">
                              <w:rPr>
                                <w:rFonts w:asciiTheme="majorHAnsi" w:hAnsiTheme="majorHAnsi"/>
                                <w:color w:val="595959" w:themeColor="text1" w:themeTint="A6"/>
                                <w:sz w:val="18"/>
                                <w:szCs w:val="18"/>
                                <w:lang w:val="pt-BR"/>
                              </w:rPr>
                              <w:t xml:space="preserve"> </w:t>
                            </w:r>
                            <w:r w:rsidR="00106D29">
                              <w:rPr>
                                <w:rFonts w:asciiTheme="majorHAnsi" w:hAnsiTheme="majorHAnsi"/>
                                <w:color w:val="595959" w:themeColor="text1" w:themeTint="A6"/>
                                <w:sz w:val="18"/>
                                <w:szCs w:val="18"/>
                              </w:rPr>
                              <w:t>201/20</w:t>
                            </w:r>
                            <w:r w:rsidRPr="00A36B03">
                              <w:rPr>
                                <w:rFonts w:asciiTheme="majorHAnsi" w:hAnsiTheme="majorHAnsi"/>
                                <w:color w:val="595959" w:themeColor="text1" w:themeTint="A6"/>
                                <w:sz w:val="18"/>
                                <w:szCs w:val="18"/>
                              </w:rPr>
                              <w:t>. Petition 1375-08.</w:t>
                            </w:r>
                            <w:r w:rsidRPr="00F950D4">
                              <w:rPr>
                                <w:rFonts w:asciiTheme="majorHAnsi" w:hAnsiTheme="majorHAnsi"/>
                                <w:color w:val="595959" w:themeColor="text1" w:themeTint="A6"/>
                                <w:sz w:val="18"/>
                                <w:szCs w:val="18"/>
                              </w:rPr>
                              <w:t xml:space="preserve"> Admissibility. </w:t>
                            </w:r>
                            <w:r w:rsidRPr="00AA17A8">
                              <w:rPr>
                                <w:rFonts w:asciiTheme="majorHAnsi" w:hAnsiTheme="majorHAnsi"/>
                                <w:color w:val="595959" w:themeColor="text1" w:themeTint="A6"/>
                                <w:sz w:val="18"/>
                                <w:szCs w:val="18"/>
                              </w:rPr>
                              <w:t xml:space="preserve">Rita María </w:t>
                            </w:r>
                            <w:proofErr w:type="spellStart"/>
                            <w:r w:rsidRPr="00AA17A8">
                              <w:rPr>
                                <w:rFonts w:asciiTheme="majorHAnsi" w:hAnsiTheme="majorHAnsi"/>
                                <w:color w:val="595959" w:themeColor="text1" w:themeTint="A6"/>
                                <w:sz w:val="18"/>
                                <w:szCs w:val="18"/>
                              </w:rPr>
                              <w:t>Adelia</w:t>
                            </w:r>
                            <w:proofErr w:type="spellEnd"/>
                            <w:r w:rsidRPr="00AA17A8">
                              <w:rPr>
                                <w:rFonts w:asciiTheme="majorHAnsi" w:hAnsiTheme="majorHAnsi"/>
                                <w:color w:val="595959" w:themeColor="text1" w:themeTint="A6"/>
                                <w:sz w:val="18"/>
                                <w:szCs w:val="18"/>
                              </w:rPr>
                              <w:t xml:space="preserve"> Pérez and sons. Argentina.</w:t>
                            </w:r>
                            <w:r w:rsidR="00106D29">
                              <w:rPr>
                                <w:rFonts w:asciiTheme="majorHAnsi" w:hAnsiTheme="majorHAnsi"/>
                                <w:color w:val="595959" w:themeColor="text1" w:themeTint="A6"/>
                                <w:sz w:val="18"/>
                                <w:szCs w:val="18"/>
                              </w:rPr>
                              <w:t xml:space="preserve"> August 5, 2020</w:t>
                            </w:r>
                            <w:r w:rsidRPr="00AA17A8">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05E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14:paraId="70993856" w14:textId="0B0584E4" w:rsidR="00AF638E" w:rsidRPr="00AA17A8" w:rsidRDefault="00AF638E" w:rsidP="00113F73">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w:t>
                      </w:r>
                      <w:r>
                        <w:rPr>
                          <w:rFonts w:asciiTheme="majorHAnsi" w:hAnsiTheme="majorHAnsi"/>
                          <w:b/>
                          <w:color w:val="595959" w:themeColor="text1" w:themeTint="A6"/>
                          <w:sz w:val="18"/>
                          <w:szCs w:val="18"/>
                          <w:lang w:val="pt-BR"/>
                        </w:rPr>
                        <w:t>e</w:t>
                      </w:r>
                      <w:r w:rsidRPr="00890650">
                        <w:rPr>
                          <w:rFonts w:asciiTheme="majorHAnsi" w:hAnsiTheme="majorHAnsi"/>
                          <w:b/>
                          <w:color w:val="595959" w:themeColor="text1" w:themeTint="A6"/>
                          <w:sz w:val="18"/>
                          <w:szCs w:val="18"/>
                          <w:lang w:val="pt-BR"/>
                        </w:rPr>
                        <w:t xml:space="preserve"> </w:t>
                      </w:r>
                      <w:r>
                        <w:rPr>
                          <w:rFonts w:asciiTheme="majorHAnsi" w:hAnsiTheme="majorHAnsi"/>
                          <w:b/>
                          <w:color w:val="595959" w:themeColor="text1" w:themeTint="A6"/>
                          <w:sz w:val="18"/>
                          <w:szCs w:val="18"/>
                          <w:lang w:val="pt-BR"/>
                        </w:rPr>
                        <w:t>as</w:t>
                      </w:r>
                      <w:r w:rsidRPr="00890650">
                        <w:rPr>
                          <w:rFonts w:asciiTheme="majorHAnsi" w:hAnsiTheme="majorHAnsi"/>
                          <w:b/>
                          <w:color w:val="595959" w:themeColor="text1" w:themeTint="A6"/>
                          <w:sz w:val="18"/>
                          <w:szCs w:val="18"/>
                          <w:lang w:val="pt-BR"/>
                        </w:rPr>
                        <w:t>:</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IACHR</w:t>
                      </w:r>
                      <w:r w:rsidRPr="00890650">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Report</w:t>
                      </w:r>
                      <w:r w:rsidRPr="00890650">
                        <w:rPr>
                          <w:rFonts w:asciiTheme="majorHAnsi" w:hAnsiTheme="majorHAnsi"/>
                          <w:color w:val="595959" w:themeColor="text1" w:themeTint="A6"/>
                          <w:sz w:val="18"/>
                          <w:szCs w:val="18"/>
                          <w:lang w:val="pt-BR"/>
                        </w:rPr>
                        <w:t xml:space="preserve"> No.</w:t>
                      </w:r>
                      <w:r w:rsidR="000554CD">
                        <w:rPr>
                          <w:rFonts w:asciiTheme="majorHAnsi" w:hAnsiTheme="majorHAnsi"/>
                          <w:color w:val="595959" w:themeColor="text1" w:themeTint="A6"/>
                          <w:sz w:val="18"/>
                          <w:szCs w:val="18"/>
                          <w:lang w:val="pt-BR"/>
                        </w:rPr>
                        <w:t xml:space="preserve"> </w:t>
                      </w:r>
                      <w:r w:rsidR="00106D29">
                        <w:rPr>
                          <w:rFonts w:asciiTheme="majorHAnsi" w:hAnsiTheme="majorHAnsi"/>
                          <w:color w:val="595959" w:themeColor="text1" w:themeTint="A6"/>
                          <w:sz w:val="18"/>
                          <w:szCs w:val="18"/>
                        </w:rPr>
                        <w:t>201/20</w:t>
                      </w:r>
                      <w:r w:rsidRPr="00A36B03">
                        <w:rPr>
                          <w:rFonts w:asciiTheme="majorHAnsi" w:hAnsiTheme="majorHAnsi"/>
                          <w:color w:val="595959" w:themeColor="text1" w:themeTint="A6"/>
                          <w:sz w:val="18"/>
                          <w:szCs w:val="18"/>
                        </w:rPr>
                        <w:t>. Petition 1375-08.</w:t>
                      </w:r>
                      <w:r w:rsidRPr="00F950D4">
                        <w:rPr>
                          <w:rFonts w:asciiTheme="majorHAnsi" w:hAnsiTheme="majorHAnsi"/>
                          <w:color w:val="595959" w:themeColor="text1" w:themeTint="A6"/>
                          <w:sz w:val="18"/>
                          <w:szCs w:val="18"/>
                        </w:rPr>
                        <w:t xml:space="preserve"> Admissibility. </w:t>
                      </w:r>
                      <w:r w:rsidRPr="00AA17A8">
                        <w:rPr>
                          <w:rFonts w:asciiTheme="majorHAnsi" w:hAnsiTheme="majorHAnsi"/>
                          <w:color w:val="595959" w:themeColor="text1" w:themeTint="A6"/>
                          <w:sz w:val="18"/>
                          <w:szCs w:val="18"/>
                        </w:rPr>
                        <w:t xml:space="preserve">Rita María </w:t>
                      </w:r>
                      <w:proofErr w:type="spellStart"/>
                      <w:r w:rsidRPr="00AA17A8">
                        <w:rPr>
                          <w:rFonts w:asciiTheme="majorHAnsi" w:hAnsiTheme="majorHAnsi"/>
                          <w:color w:val="595959" w:themeColor="text1" w:themeTint="A6"/>
                          <w:sz w:val="18"/>
                          <w:szCs w:val="18"/>
                        </w:rPr>
                        <w:t>Adelia</w:t>
                      </w:r>
                      <w:proofErr w:type="spellEnd"/>
                      <w:r w:rsidRPr="00AA17A8">
                        <w:rPr>
                          <w:rFonts w:asciiTheme="majorHAnsi" w:hAnsiTheme="majorHAnsi"/>
                          <w:color w:val="595959" w:themeColor="text1" w:themeTint="A6"/>
                          <w:sz w:val="18"/>
                          <w:szCs w:val="18"/>
                        </w:rPr>
                        <w:t xml:space="preserve"> Pérez and sons. Argentina.</w:t>
                      </w:r>
                      <w:r w:rsidR="00106D29">
                        <w:rPr>
                          <w:rFonts w:asciiTheme="majorHAnsi" w:hAnsiTheme="majorHAnsi"/>
                          <w:color w:val="595959" w:themeColor="text1" w:themeTint="A6"/>
                          <w:sz w:val="18"/>
                          <w:szCs w:val="18"/>
                        </w:rPr>
                        <w:t xml:space="preserve"> August 5, 2020</w:t>
                      </w:r>
                      <w:r w:rsidRPr="00AA17A8">
                        <w:rPr>
                          <w:rFonts w:asciiTheme="majorHAnsi" w:hAnsiTheme="majorHAnsi"/>
                          <w:color w:val="595959" w:themeColor="text1" w:themeTint="A6"/>
                          <w:sz w:val="18"/>
                          <w:szCs w:val="18"/>
                        </w:rPr>
                        <w:t>.</w:t>
                      </w:r>
                    </w:p>
                  </w:txbxContent>
                </v:textbox>
              </v:shape>
            </w:pict>
          </mc:Fallback>
        </mc:AlternateContent>
      </w:r>
    </w:p>
    <w:p w14:paraId="4B4E536B" w14:textId="77777777" w:rsidR="00A50FCF" w:rsidRPr="007C5771" w:rsidRDefault="00A50FCF" w:rsidP="00040C3A">
      <w:pPr>
        <w:tabs>
          <w:tab w:val="center" w:pos="5400"/>
        </w:tabs>
        <w:suppressAutoHyphens/>
        <w:jc w:val="center"/>
        <w:rPr>
          <w:rFonts w:asciiTheme="majorHAnsi" w:hAnsiTheme="majorHAnsi"/>
          <w:sz w:val="18"/>
          <w:szCs w:val="22"/>
          <w:lang w:val="es-ES"/>
        </w:rPr>
      </w:pPr>
    </w:p>
    <w:p w14:paraId="16E314BA" w14:textId="45A87C40" w:rsidR="0090270B" w:rsidRPr="007C5771" w:rsidRDefault="00E602C3" w:rsidP="005516A1">
      <w:pPr>
        <w:tabs>
          <w:tab w:val="center" w:pos="5400"/>
        </w:tabs>
        <w:suppressAutoHyphens/>
        <w:jc w:val="center"/>
        <w:rPr>
          <w:rFonts w:asciiTheme="majorHAnsi" w:hAnsiTheme="majorHAnsi"/>
          <w:b/>
          <w:sz w:val="20"/>
          <w:lang w:val="es-ES"/>
        </w:rPr>
      </w:pPr>
      <w:r w:rsidRPr="007C577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F007644" wp14:editId="0F12D83A">
                <wp:simplePos x="0" y="0"/>
                <wp:positionH relativeFrom="column">
                  <wp:posOffset>1329690</wp:posOffset>
                </wp:positionH>
                <wp:positionV relativeFrom="paragraph">
                  <wp:posOffset>638810</wp:posOffset>
                </wp:positionV>
                <wp:extent cx="4096385" cy="567055"/>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87DA5F1" w14:textId="1C7F8EF6" w:rsidR="00AF638E" w:rsidRPr="00D72DC6" w:rsidRDefault="00106D29" w:rsidP="00F02AD1">
                            <w:pPr>
                              <w:rPr>
                                <w:color w:val="FFFFFF" w:themeColor="background1"/>
                              </w:rPr>
                            </w:pPr>
                            <w:r>
                              <w:rPr>
                                <w:noProof/>
                                <w:color w:val="FFFFFF" w:themeColor="background1"/>
                              </w:rPr>
                              <w:drawing>
                                <wp:inline distT="0" distB="0" distL="0" distR="0" wp14:anchorId="649C2F3C" wp14:editId="19FFD07F">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0">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7644"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" fillcolor="white [3201]" stroked="f" strokeweight=".5pt">
                <v:path arrowok="t"/>
                <v:textbox>
                  <w:txbxContent>
                    <w:p w14:paraId="187DA5F1" w14:textId="1C7F8EF6" w:rsidR="00AF638E" w:rsidRPr="00D72DC6" w:rsidRDefault="00106D29" w:rsidP="00F02AD1">
                      <w:pPr>
                        <w:rPr>
                          <w:color w:val="FFFFFF" w:themeColor="background1"/>
                        </w:rPr>
                      </w:pPr>
                      <w:r>
                        <w:rPr>
                          <w:noProof/>
                          <w:color w:val="FFFFFF" w:themeColor="background1"/>
                        </w:rPr>
                        <w:drawing>
                          <wp:inline distT="0" distB="0" distL="0" distR="0" wp14:anchorId="649C2F3C" wp14:editId="19FFD07F">
                            <wp:extent cx="1837690" cy="4692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NG-Main-01.png"/>
                                    <pic:cNvPicPr/>
                                  </pic:nvPicPr>
                                  <pic:blipFill>
                                    <a:blip r:embed="rId11">
                                      <a:extLst>
                                        <a:ext uri="{28A0092B-C50C-407E-A947-70E740481C1C}">
                                          <a14:useLocalDpi xmlns:a14="http://schemas.microsoft.com/office/drawing/2010/main" val="0"/>
                                        </a:ext>
                                      </a:extLst>
                                    </a:blip>
                                    <a:stretch>
                                      <a:fillRect/>
                                    </a:stretch>
                                  </pic:blipFill>
                                  <pic:spPr>
                                    <a:xfrm>
                                      <a:off x="0" y="0"/>
                                      <a:ext cx="1837690" cy="469265"/>
                                    </a:xfrm>
                                    <a:prstGeom prst="rect">
                                      <a:avLst/>
                                    </a:prstGeom>
                                  </pic:spPr>
                                </pic:pic>
                              </a:graphicData>
                            </a:graphic>
                          </wp:inline>
                        </w:drawing>
                      </w:r>
                    </w:p>
                  </w:txbxContent>
                </v:textbox>
              </v:shape>
            </w:pict>
          </mc:Fallback>
        </mc:AlternateContent>
      </w:r>
      <w:r w:rsidRPr="007C577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FC603D1" wp14:editId="51865167">
                <wp:simplePos x="0" y="0"/>
                <wp:positionH relativeFrom="column">
                  <wp:posOffset>-271780</wp:posOffset>
                </wp:positionH>
                <wp:positionV relativeFrom="paragraph">
                  <wp:posOffset>915035</wp:posOffset>
                </wp:positionV>
                <wp:extent cx="1181100" cy="3327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CA5FB" w14:textId="4B5282E3" w:rsidR="00AF638E" w:rsidRPr="004B7EB6" w:rsidRDefault="00AF63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950D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950D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C603D1" id="Text Box 4" o:spid="_x0000_s1032" type="#_x0000_t202" style="position:absolute;left:0;text-align:left;margin-left:-21.4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cGjg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" filled="f" stroked="f" strokeweight=".5pt">
                <v:textbox>
                  <w:txbxContent>
                    <w:p w14:paraId="54DCA5FB" w14:textId="4B5282E3" w:rsidR="00AF638E" w:rsidRPr="004B7EB6" w:rsidRDefault="00AF638E"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F950D4">
                        <w:rPr>
                          <w:rFonts w:asciiTheme="minorHAnsi" w:hAnsiTheme="minorHAnsi"/>
                          <w:b/>
                          <w:color w:val="FFFFFF" w:themeColor="background1"/>
                          <w:lang w:val="pt-BR"/>
                        </w:rPr>
                        <w:t>iac</w:t>
                      </w:r>
                      <w:r w:rsidRPr="004B7EB6">
                        <w:rPr>
                          <w:rFonts w:asciiTheme="minorHAnsi" w:hAnsiTheme="minorHAnsi"/>
                          <w:b/>
                          <w:color w:val="FFFFFF" w:themeColor="background1"/>
                          <w:lang w:val="pt-BR"/>
                        </w:rPr>
                        <w:t>h</w:t>
                      </w:r>
                      <w:r w:rsidR="00F950D4">
                        <w:rPr>
                          <w:rFonts w:asciiTheme="minorHAnsi" w:hAnsiTheme="minorHAnsi"/>
                          <w:b/>
                          <w:color w:val="FFFFFF" w:themeColor="background1"/>
                          <w:lang w:val="pt-BR"/>
                        </w:rPr>
                        <w:t>r</w:t>
                      </w:r>
                      <w:r w:rsidRPr="004B7EB6">
                        <w:rPr>
                          <w:rFonts w:asciiTheme="minorHAnsi" w:hAnsiTheme="minorHAnsi"/>
                          <w:b/>
                          <w:color w:val="FFFFFF" w:themeColor="background1"/>
                          <w:lang w:val="pt-BR"/>
                        </w:rPr>
                        <w:t>.org</w:t>
                      </w:r>
                    </w:p>
                  </w:txbxContent>
                </v:textbox>
              </v:shape>
            </w:pict>
          </mc:Fallback>
        </mc:AlternateContent>
      </w:r>
    </w:p>
    <w:p w14:paraId="209EE9C8" w14:textId="77777777" w:rsidR="0070697F" w:rsidRPr="007C5771" w:rsidRDefault="004A6A54" w:rsidP="005516A1">
      <w:pPr>
        <w:tabs>
          <w:tab w:val="center" w:pos="5400"/>
        </w:tabs>
        <w:suppressAutoHyphens/>
        <w:jc w:val="center"/>
        <w:rPr>
          <w:rFonts w:asciiTheme="majorHAnsi" w:hAnsiTheme="majorHAnsi"/>
          <w:b/>
          <w:sz w:val="20"/>
          <w:lang w:val="es-ES"/>
        </w:rPr>
        <w:sectPr w:rsidR="0070697F" w:rsidRPr="007C5771"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r w:rsidRPr="007C5771">
        <w:rPr>
          <w:rFonts w:asciiTheme="majorHAnsi" w:hAnsiTheme="majorHAnsi"/>
          <w:b/>
          <w:sz w:val="20"/>
          <w:lang w:val="es-ES"/>
        </w:rPr>
        <w:tab/>
      </w:r>
    </w:p>
    <w:p w14:paraId="0B7B58B4" w14:textId="0480AB12" w:rsidR="003239B8" w:rsidRPr="00AA17A8" w:rsidRDefault="003239B8" w:rsidP="007C402A">
      <w:pPr>
        <w:spacing w:after="120"/>
        <w:ind w:firstLine="720"/>
        <w:jc w:val="both"/>
        <w:rPr>
          <w:rFonts w:asciiTheme="majorHAnsi" w:hAnsiTheme="majorHAnsi"/>
          <w:b/>
          <w:bCs/>
          <w:sz w:val="20"/>
          <w:szCs w:val="20"/>
        </w:rPr>
      </w:pPr>
      <w:r w:rsidRPr="00AA17A8">
        <w:rPr>
          <w:rFonts w:asciiTheme="majorHAnsi" w:hAnsiTheme="majorHAnsi"/>
          <w:b/>
          <w:bCs/>
          <w:sz w:val="20"/>
          <w:szCs w:val="20"/>
        </w:rPr>
        <w:lastRenderedPageBreak/>
        <w:t>I.</w:t>
      </w:r>
      <w:r w:rsidRPr="00AA17A8">
        <w:rPr>
          <w:rFonts w:asciiTheme="majorHAnsi" w:hAnsiTheme="majorHAnsi"/>
          <w:b/>
          <w:bCs/>
          <w:sz w:val="20"/>
          <w:szCs w:val="20"/>
        </w:rPr>
        <w:tab/>
      </w:r>
      <w:r w:rsidR="00AA17A8" w:rsidRPr="00AA17A8">
        <w:rPr>
          <w:rFonts w:asciiTheme="majorHAnsi" w:hAnsiTheme="majorHAnsi"/>
          <w:b/>
          <w:bCs/>
          <w:sz w:val="20"/>
          <w:szCs w:val="20"/>
        </w:rPr>
        <w:t>INFORMATION ABOUT THE PETITION</w:t>
      </w:r>
      <w:r w:rsidRPr="00AA17A8">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7C5771" w14:paraId="2B1A05BF" w14:textId="77777777" w:rsidTr="00AA17A8">
        <w:tc>
          <w:tcPr>
            <w:tcW w:w="2790" w:type="dxa"/>
            <w:tcBorders>
              <w:top w:val="single" w:sz="4" w:space="0" w:color="auto"/>
              <w:bottom w:val="single" w:sz="6" w:space="0" w:color="auto"/>
            </w:tcBorders>
            <w:shd w:val="clear" w:color="auto" w:fill="67AE3B"/>
            <w:vAlign w:val="center"/>
          </w:tcPr>
          <w:p w14:paraId="1606A9F7" w14:textId="0C675A16" w:rsidR="003239B8" w:rsidRPr="007C5771" w:rsidRDefault="00AA17A8" w:rsidP="00311D3F">
            <w:pPr>
              <w:jc w:val="center"/>
              <w:rPr>
                <w:rFonts w:asciiTheme="majorHAnsi" w:hAnsiTheme="majorHAnsi"/>
                <w:bCs/>
                <w:color w:val="FFFFFF" w:themeColor="background1"/>
                <w:sz w:val="19"/>
                <w:szCs w:val="19"/>
                <w:lang w:val="es-ES"/>
              </w:rPr>
            </w:pPr>
            <w:proofErr w:type="spellStart"/>
            <w:r>
              <w:rPr>
                <w:rFonts w:asciiTheme="majorHAnsi" w:hAnsiTheme="majorHAnsi"/>
                <w:bCs/>
                <w:color w:val="FFFFFF" w:themeColor="background1"/>
                <w:sz w:val="19"/>
                <w:szCs w:val="19"/>
                <w:lang w:val="es-ES"/>
              </w:rPr>
              <w:t>Petitioner</w:t>
            </w:r>
            <w:proofErr w:type="spellEnd"/>
          </w:p>
        </w:tc>
        <w:tc>
          <w:tcPr>
            <w:tcW w:w="6570" w:type="dxa"/>
            <w:vAlign w:val="center"/>
          </w:tcPr>
          <w:p w14:paraId="18B32187" w14:textId="77777777" w:rsidR="003239B8" w:rsidRPr="007C5771" w:rsidRDefault="00A87D9B" w:rsidP="00311D3F">
            <w:pPr>
              <w:jc w:val="both"/>
              <w:rPr>
                <w:rFonts w:asciiTheme="majorHAnsi" w:hAnsiTheme="majorHAnsi"/>
                <w:bCs/>
                <w:sz w:val="19"/>
                <w:szCs w:val="19"/>
                <w:lang w:val="es-ES"/>
              </w:rPr>
            </w:pPr>
            <w:r w:rsidRPr="007C5771">
              <w:rPr>
                <w:rFonts w:asciiTheme="majorHAnsi" w:hAnsiTheme="majorHAnsi"/>
                <w:bCs/>
                <w:sz w:val="19"/>
                <w:szCs w:val="19"/>
                <w:lang w:val="es-ES"/>
              </w:rPr>
              <w:t xml:space="preserve">XUMEK, </w:t>
            </w:r>
            <w:r w:rsidRPr="007C5771">
              <w:rPr>
                <w:rFonts w:asciiTheme="majorHAnsi" w:hAnsiTheme="majorHAnsi"/>
                <w:sz w:val="19"/>
                <w:szCs w:val="19"/>
                <w:lang w:val="es-ES_tradnl"/>
              </w:rPr>
              <w:t>Rita María Pérez</w:t>
            </w:r>
            <w:r w:rsidR="001C0DB0" w:rsidRPr="007C5771">
              <w:rPr>
                <w:rStyle w:val="FootnoteReference"/>
                <w:rFonts w:asciiTheme="majorHAnsi" w:hAnsiTheme="majorHAnsi"/>
                <w:sz w:val="19"/>
                <w:szCs w:val="19"/>
                <w:lang w:val="es-ES_tradnl"/>
              </w:rPr>
              <w:footnoteReference w:id="2"/>
            </w:r>
          </w:p>
        </w:tc>
      </w:tr>
      <w:tr w:rsidR="003239B8" w:rsidRPr="00AA17A8" w14:paraId="4AA3642A" w14:textId="77777777" w:rsidTr="00AA17A8">
        <w:tc>
          <w:tcPr>
            <w:tcW w:w="2790" w:type="dxa"/>
            <w:tcBorders>
              <w:top w:val="single" w:sz="6" w:space="0" w:color="auto"/>
              <w:bottom w:val="single" w:sz="6" w:space="0" w:color="auto"/>
            </w:tcBorders>
            <w:shd w:val="clear" w:color="auto" w:fill="67AE3B"/>
            <w:vAlign w:val="center"/>
          </w:tcPr>
          <w:p w14:paraId="205B31BA" w14:textId="384271BE" w:rsidR="003239B8" w:rsidRPr="007C5771" w:rsidRDefault="00AA17A8" w:rsidP="00311D3F">
            <w:pPr>
              <w:jc w:val="center"/>
              <w:rPr>
                <w:rFonts w:asciiTheme="majorHAnsi" w:hAnsiTheme="majorHAnsi"/>
                <w:bCs/>
                <w:color w:val="FFFFFF" w:themeColor="background1"/>
                <w:sz w:val="19"/>
                <w:szCs w:val="19"/>
                <w:lang w:val="es-ES"/>
              </w:rPr>
            </w:pPr>
            <w:proofErr w:type="spellStart"/>
            <w:r>
              <w:rPr>
                <w:rFonts w:asciiTheme="majorHAnsi" w:hAnsiTheme="majorHAnsi"/>
                <w:bCs/>
                <w:color w:val="FFFFFF" w:themeColor="background1"/>
                <w:sz w:val="19"/>
                <w:szCs w:val="19"/>
                <w:lang w:val="es-ES"/>
              </w:rPr>
              <w:t>Alleged</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victim</w:t>
            </w:r>
            <w:proofErr w:type="spellEnd"/>
          </w:p>
        </w:tc>
        <w:tc>
          <w:tcPr>
            <w:tcW w:w="6570" w:type="dxa"/>
            <w:vAlign w:val="center"/>
          </w:tcPr>
          <w:p w14:paraId="658F6F08" w14:textId="6455DECA" w:rsidR="003239B8" w:rsidRPr="007C5771" w:rsidRDefault="005B7D5F" w:rsidP="00123362">
            <w:pPr>
              <w:jc w:val="both"/>
              <w:rPr>
                <w:rFonts w:asciiTheme="majorHAnsi" w:hAnsiTheme="majorHAnsi"/>
                <w:bCs/>
                <w:sz w:val="19"/>
                <w:szCs w:val="19"/>
                <w:lang w:val="es-ES"/>
              </w:rPr>
            </w:pPr>
            <w:r w:rsidRPr="007C5771">
              <w:rPr>
                <w:rFonts w:asciiTheme="majorHAnsi" w:hAnsiTheme="majorHAnsi"/>
                <w:sz w:val="19"/>
                <w:szCs w:val="19"/>
                <w:lang w:val="es-ES_tradnl"/>
              </w:rPr>
              <w:t>Rita María Pérez</w:t>
            </w:r>
            <w:r w:rsidR="00123362" w:rsidRPr="007C5771">
              <w:rPr>
                <w:rFonts w:asciiTheme="majorHAnsi" w:hAnsiTheme="majorHAnsi"/>
                <w:bCs/>
                <w:sz w:val="19"/>
                <w:szCs w:val="19"/>
                <w:lang w:val="es-ES"/>
              </w:rPr>
              <w:t xml:space="preserve"> </w:t>
            </w:r>
            <w:r w:rsidR="00277A20">
              <w:rPr>
                <w:rFonts w:asciiTheme="majorHAnsi" w:hAnsiTheme="majorHAnsi"/>
                <w:bCs/>
                <w:sz w:val="19"/>
                <w:szCs w:val="19"/>
                <w:lang w:val="es-ES"/>
              </w:rPr>
              <w:t xml:space="preserve">and </w:t>
            </w:r>
            <w:proofErr w:type="spellStart"/>
            <w:r w:rsidR="00213C3D">
              <w:rPr>
                <w:rFonts w:asciiTheme="majorHAnsi" w:hAnsiTheme="majorHAnsi"/>
                <w:bCs/>
                <w:sz w:val="19"/>
                <w:szCs w:val="19"/>
                <w:lang w:val="es-ES"/>
              </w:rPr>
              <w:t>children</w:t>
            </w:r>
            <w:proofErr w:type="spellEnd"/>
            <w:r w:rsidR="00123362" w:rsidRPr="007C5771">
              <w:rPr>
                <w:rStyle w:val="FootnoteReference"/>
                <w:rFonts w:asciiTheme="majorHAnsi" w:hAnsiTheme="majorHAnsi"/>
                <w:bCs/>
                <w:sz w:val="19"/>
                <w:szCs w:val="19"/>
                <w:lang w:val="es-ES"/>
              </w:rPr>
              <w:footnoteReference w:id="3"/>
            </w:r>
          </w:p>
        </w:tc>
      </w:tr>
      <w:tr w:rsidR="003239B8" w:rsidRPr="007C5771" w14:paraId="0F2ECE4C" w14:textId="77777777" w:rsidTr="00AA17A8">
        <w:tc>
          <w:tcPr>
            <w:tcW w:w="2790" w:type="dxa"/>
            <w:tcBorders>
              <w:top w:val="single" w:sz="6" w:space="0" w:color="auto"/>
              <w:bottom w:val="single" w:sz="6" w:space="0" w:color="auto"/>
            </w:tcBorders>
            <w:shd w:val="clear" w:color="auto" w:fill="67AE3B"/>
            <w:vAlign w:val="center"/>
          </w:tcPr>
          <w:p w14:paraId="79468C6D" w14:textId="189483C5" w:rsidR="003239B8" w:rsidRPr="007C5771" w:rsidRDefault="00AA17A8" w:rsidP="00311D3F">
            <w:pPr>
              <w:jc w:val="center"/>
              <w:rPr>
                <w:rFonts w:asciiTheme="majorHAnsi" w:hAnsiTheme="majorHAnsi"/>
                <w:bCs/>
                <w:color w:val="FFFFFF" w:themeColor="background1"/>
                <w:sz w:val="19"/>
                <w:szCs w:val="19"/>
                <w:lang w:val="es-ES"/>
              </w:rPr>
            </w:pPr>
            <w:proofErr w:type="spellStart"/>
            <w:r>
              <w:rPr>
                <w:rFonts w:asciiTheme="majorHAnsi" w:hAnsiTheme="majorHAnsi"/>
                <w:bCs/>
                <w:color w:val="FFFFFF" w:themeColor="background1"/>
                <w:sz w:val="19"/>
                <w:szCs w:val="19"/>
                <w:lang w:val="es-ES"/>
              </w:rPr>
              <w:t>Respondent</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State</w:t>
            </w:r>
            <w:proofErr w:type="spellEnd"/>
          </w:p>
        </w:tc>
        <w:tc>
          <w:tcPr>
            <w:tcW w:w="6570" w:type="dxa"/>
            <w:vAlign w:val="center"/>
          </w:tcPr>
          <w:p w14:paraId="22862464" w14:textId="77777777" w:rsidR="003239B8" w:rsidRPr="007C5771" w:rsidRDefault="00B559E6" w:rsidP="005B7D5F">
            <w:pPr>
              <w:jc w:val="both"/>
              <w:rPr>
                <w:rFonts w:asciiTheme="majorHAnsi" w:hAnsiTheme="majorHAnsi"/>
                <w:bCs/>
                <w:sz w:val="19"/>
                <w:szCs w:val="19"/>
                <w:lang w:val="es-ES"/>
              </w:rPr>
            </w:pPr>
            <w:r w:rsidRPr="007C5771">
              <w:rPr>
                <w:rFonts w:asciiTheme="majorHAnsi" w:hAnsiTheme="majorHAnsi"/>
                <w:bCs/>
                <w:sz w:val="19"/>
                <w:szCs w:val="19"/>
                <w:lang w:val="es-ES"/>
              </w:rPr>
              <w:t>Argentina</w:t>
            </w:r>
          </w:p>
        </w:tc>
      </w:tr>
      <w:tr w:rsidR="00223A29" w:rsidRPr="00AA17A8" w14:paraId="0395DB04" w14:textId="77777777" w:rsidTr="00AA17A8">
        <w:tc>
          <w:tcPr>
            <w:tcW w:w="2790" w:type="dxa"/>
            <w:tcBorders>
              <w:top w:val="single" w:sz="6" w:space="0" w:color="auto"/>
              <w:bottom w:val="single" w:sz="6" w:space="0" w:color="auto"/>
            </w:tcBorders>
            <w:shd w:val="clear" w:color="auto" w:fill="67AE3B"/>
            <w:vAlign w:val="center"/>
          </w:tcPr>
          <w:p w14:paraId="11ACF568" w14:textId="44136ABB" w:rsidR="00223A29" w:rsidRPr="007C5771" w:rsidRDefault="00AA17A8" w:rsidP="00E4118C">
            <w:pPr>
              <w:jc w:val="center"/>
              <w:rPr>
                <w:rFonts w:asciiTheme="majorHAnsi" w:hAnsiTheme="majorHAnsi"/>
                <w:bCs/>
                <w:color w:val="FFFFFF" w:themeColor="background1"/>
                <w:sz w:val="19"/>
                <w:szCs w:val="19"/>
                <w:lang w:val="es-ES"/>
              </w:rPr>
            </w:pPr>
            <w:proofErr w:type="spellStart"/>
            <w:r>
              <w:rPr>
                <w:rFonts w:asciiTheme="majorHAnsi" w:hAnsiTheme="majorHAnsi"/>
                <w:bCs/>
                <w:color w:val="FFFFFF" w:themeColor="background1"/>
                <w:sz w:val="19"/>
                <w:szCs w:val="19"/>
                <w:lang w:val="es-ES"/>
              </w:rPr>
              <w:t>Rights</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invoked</w:t>
            </w:r>
            <w:proofErr w:type="spellEnd"/>
          </w:p>
        </w:tc>
        <w:tc>
          <w:tcPr>
            <w:tcW w:w="6570" w:type="dxa"/>
            <w:vAlign w:val="center"/>
          </w:tcPr>
          <w:p w14:paraId="334F484F" w14:textId="0E0261ED" w:rsidR="00C6718B" w:rsidRPr="00277A20" w:rsidRDefault="00277A20" w:rsidP="0034224A">
            <w:pPr>
              <w:jc w:val="both"/>
              <w:rPr>
                <w:rFonts w:asciiTheme="majorHAnsi" w:hAnsiTheme="majorHAnsi"/>
                <w:bCs/>
                <w:sz w:val="19"/>
                <w:szCs w:val="19"/>
              </w:rPr>
            </w:pPr>
            <w:r w:rsidRPr="00277A20">
              <w:rPr>
                <w:rFonts w:asciiTheme="majorHAnsi" w:hAnsiTheme="majorHAnsi"/>
                <w:bCs/>
                <w:sz w:val="19"/>
                <w:szCs w:val="19"/>
              </w:rPr>
              <w:t>Articles 2 (domestic legal effects), 8 (fair trial) a</w:t>
            </w:r>
            <w:r>
              <w:rPr>
                <w:rFonts w:asciiTheme="majorHAnsi" w:hAnsiTheme="majorHAnsi"/>
                <w:bCs/>
                <w:sz w:val="19"/>
                <w:szCs w:val="19"/>
              </w:rPr>
              <w:t>nd 25 (judicial protection) of the American Convention on Human Rights</w:t>
            </w:r>
            <w:r w:rsidRPr="007C5771">
              <w:rPr>
                <w:rStyle w:val="FootnoteReference"/>
                <w:rFonts w:asciiTheme="majorHAnsi" w:hAnsiTheme="majorHAnsi"/>
                <w:bCs/>
                <w:sz w:val="19"/>
                <w:szCs w:val="19"/>
                <w:lang w:val="es-ES"/>
              </w:rPr>
              <w:footnoteReference w:id="4"/>
            </w:r>
            <w:r w:rsidRPr="00277A20">
              <w:rPr>
                <w:rFonts w:asciiTheme="majorHAnsi" w:hAnsiTheme="majorHAnsi"/>
                <w:bCs/>
                <w:sz w:val="19"/>
                <w:szCs w:val="19"/>
              </w:rPr>
              <w:t xml:space="preserve"> </w:t>
            </w:r>
            <w:r>
              <w:rPr>
                <w:rFonts w:asciiTheme="majorHAnsi" w:hAnsiTheme="majorHAnsi"/>
                <w:bCs/>
                <w:sz w:val="19"/>
                <w:szCs w:val="19"/>
              </w:rPr>
              <w:t xml:space="preserve"> in relation to its </w:t>
            </w:r>
            <w:r w:rsidR="00A36B03">
              <w:rPr>
                <w:rFonts w:asciiTheme="majorHAnsi" w:hAnsiTheme="majorHAnsi"/>
                <w:bCs/>
                <w:sz w:val="19"/>
                <w:szCs w:val="19"/>
              </w:rPr>
              <w:t>Article</w:t>
            </w:r>
            <w:r>
              <w:rPr>
                <w:rFonts w:asciiTheme="majorHAnsi" w:hAnsiTheme="majorHAnsi"/>
                <w:bCs/>
                <w:sz w:val="19"/>
                <w:szCs w:val="19"/>
              </w:rPr>
              <w:t xml:space="preserve">s 1.1 (obligation to respect rights) and 2 (domestic legal effects); Inter-American Convention on the Prevention, Punishment and </w:t>
            </w:r>
            <w:r w:rsidR="00F950D4">
              <w:rPr>
                <w:rFonts w:asciiTheme="majorHAnsi" w:hAnsiTheme="majorHAnsi"/>
                <w:bCs/>
                <w:sz w:val="19"/>
                <w:szCs w:val="19"/>
              </w:rPr>
              <w:t>Eradication</w:t>
            </w:r>
            <w:r>
              <w:rPr>
                <w:rFonts w:asciiTheme="majorHAnsi" w:hAnsiTheme="majorHAnsi"/>
                <w:bCs/>
                <w:sz w:val="19"/>
                <w:szCs w:val="19"/>
              </w:rPr>
              <w:t xml:space="preserve"> of Violence Against Women</w:t>
            </w:r>
            <w:r w:rsidRPr="007C5771">
              <w:rPr>
                <w:rStyle w:val="FootnoteReference"/>
                <w:rFonts w:asciiTheme="majorHAnsi" w:hAnsiTheme="majorHAnsi"/>
                <w:sz w:val="19"/>
                <w:szCs w:val="19"/>
                <w:lang w:val="es-ES"/>
              </w:rPr>
              <w:footnoteReference w:id="5"/>
            </w:r>
            <w:r w:rsidRPr="00277A20">
              <w:rPr>
                <w:rFonts w:asciiTheme="majorHAnsi" w:hAnsiTheme="majorHAnsi"/>
                <w:bCs/>
                <w:sz w:val="19"/>
                <w:szCs w:val="19"/>
              </w:rPr>
              <w:t xml:space="preserve"> and other in</w:t>
            </w:r>
            <w:r>
              <w:rPr>
                <w:rFonts w:asciiTheme="majorHAnsi" w:hAnsiTheme="majorHAnsi"/>
                <w:bCs/>
                <w:sz w:val="19"/>
                <w:szCs w:val="19"/>
              </w:rPr>
              <w:t>ternational treaties.</w:t>
            </w:r>
            <w:r w:rsidRPr="007C5771">
              <w:rPr>
                <w:rStyle w:val="FootnoteReference"/>
                <w:rFonts w:asciiTheme="majorHAnsi" w:hAnsiTheme="majorHAnsi"/>
                <w:sz w:val="19"/>
                <w:szCs w:val="19"/>
                <w:lang w:val="es-ES"/>
              </w:rPr>
              <w:footnoteReference w:id="6"/>
            </w:r>
          </w:p>
        </w:tc>
      </w:tr>
    </w:tbl>
    <w:p w14:paraId="26FFD38A" w14:textId="17F6EBB1" w:rsidR="001C0DB0" w:rsidRPr="00AA17A8" w:rsidRDefault="001C0DB0" w:rsidP="00DF0D19">
      <w:pPr>
        <w:spacing w:before="120" w:after="120"/>
        <w:ind w:firstLine="720"/>
        <w:jc w:val="both"/>
        <w:rPr>
          <w:rFonts w:asciiTheme="majorHAnsi" w:hAnsiTheme="majorHAnsi"/>
          <w:b/>
          <w:bCs/>
          <w:sz w:val="20"/>
          <w:szCs w:val="20"/>
        </w:rPr>
      </w:pPr>
      <w:r w:rsidRPr="00AA17A8">
        <w:rPr>
          <w:rFonts w:asciiTheme="majorHAnsi" w:hAnsiTheme="majorHAnsi"/>
          <w:b/>
          <w:bCs/>
          <w:sz w:val="20"/>
          <w:szCs w:val="20"/>
        </w:rPr>
        <w:t>II.</w:t>
      </w:r>
      <w:r w:rsidRPr="00AA17A8">
        <w:rPr>
          <w:rFonts w:asciiTheme="majorHAnsi" w:hAnsiTheme="majorHAnsi"/>
          <w:b/>
          <w:bCs/>
          <w:sz w:val="20"/>
          <w:szCs w:val="20"/>
        </w:rPr>
        <w:tab/>
      </w:r>
      <w:r w:rsidR="00AA17A8" w:rsidRPr="00AA17A8">
        <w:rPr>
          <w:rFonts w:asciiTheme="majorHAnsi" w:hAnsiTheme="majorHAnsi"/>
          <w:b/>
          <w:bCs/>
          <w:sz w:val="20"/>
          <w:szCs w:val="20"/>
        </w:rPr>
        <w:t>PROCEEDINGS BEFORE THE IACHR</w:t>
      </w:r>
      <w:r w:rsidRPr="007C5771">
        <w:rPr>
          <w:rStyle w:val="FootnoteReference"/>
          <w:rFonts w:ascii="Cambria" w:hAnsi="Cambria"/>
          <w:b/>
          <w:sz w:val="20"/>
          <w:szCs w:val="20"/>
          <w:lang w:val="es-ES"/>
        </w:rPr>
        <w:footnoteReference w:id="7"/>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1C0DB0" w:rsidRPr="007C5771" w14:paraId="78C56089" w14:textId="77777777" w:rsidTr="00AA17A8">
        <w:tc>
          <w:tcPr>
            <w:tcW w:w="2790" w:type="dxa"/>
            <w:tcBorders>
              <w:top w:val="single" w:sz="6" w:space="0" w:color="auto"/>
              <w:bottom w:val="single" w:sz="6" w:space="0" w:color="auto"/>
            </w:tcBorders>
            <w:shd w:val="clear" w:color="auto" w:fill="67AE3B"/>
            <w:vAlign w:val="center"/>
          </w:tcPr>
          <w:p w14:paraId="3F63199E" w14:textId="5FD6DA30" w:rsidR="001C0DB0" w:rsidRPr="007C5771" w:rsidRDefault="00AA17A8" w:rsidP="001C0DB0">
            <w:pPr>
              <w:jc w:val="center"/>
              <w:rPr>
                <w:rFonts w:asciiTheme="majorHAnsi" w:hAnsiTheme="majorHAnsi"/>
                <w:bCs/>
                <w:color w:val="FFFFFF" w:themeColor="background1"/>
                <w:sz w:val="19"/>
                <w:szCs w:val="19"/>
                <w:lang w:val="es-ES"/>
              </w:rPr>
            </w:pPr>
            <w:proofErr w:type="spellStart"/>
            <w:r>
              <w:rPr>
                <w:rFonts w:asciiTheme="majorHAnsi" w:hAnsiTheme="majorHAnsi"/>
                <w:bCs/>
                <w:color w:val="FFFFFF" w:themeColor="background1"/>
                <w:sz w:val="19"/>
                <w:szCs w:val="19"/>
                <w:lang w:val="es-ES"/>
              </w:rPr>
              <w:t>Filing</w:t>
            </w:r>
            <w:proofErr w:type="spellEnd"/>
            <w:r>
              <w:rPr>
                <w:rFonts w:asciiTheme="majorHAnsi" w:hAnsiTheme="majorHAnsi"/>
                <w:bCs/>
                <w:color w:val="FFFFFF" w:themeColor="background1"/>
                <w:sz w:val="19"/>
                <w:szCs w:val="19"/>
                <w:lang w:val="es-ES"/>
              </w:rPr>
              <w:t xml:space="preserve"> of </w:t>
            </w:r>
            <w:proofErr w:type="spellStart"/>
            <w:r>
              <w:rPr>
                <w:rFonts w:asciiTheme="majorHAnsi" w:hAnsiTheme="majorHAnsi"/>
                <w:bCs/>
                <w:color w:val="FFFFFF" w:themeColor="background1"/>
                <w:sz w:val="19"/>
                <w:szCs w:val="19"/>
                <w:lang w:val="es-ES"/>
              </w:rPr>
              <w:t>the</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petition</w:t>
            </w:r>
            <w:proofErr w:type="spellEnd"/>
          </w:p>
        </w:tc>
        <w:tc>
          <w:tcPr>
            <w:tcW w:w="6570" w:type="dxa"/>
            <w:vAlign w:val="center"/>
          </w:tcPr>
          <w:p w14:paraId="57DA9CFC" w14:textId="72E2E8A8" w:rsidR="001C0DB0" w:rsidRPr="007C5771" w:rsidRDefault="00277A20" w:rsidP="001C0DB0">
            <w:pPr>
              <w:jc w:val="both"/>
              <w:rPr>
                <w:rFonts w:asciiTheme="majorHAnsi" w:hAnsiTheme="majorHAnsi"/>
                <w:bCs/>
                <w:sz w:val="19"/>
                <w:szCs w:val="19"/>
                <w:lang w:val="es-ES"/>
              </w:rPr>
            </w:pPr>
            <w:proofErr w:type="spellStart"/>
            <w:r>
              <w:rPr>
                <w:rFonts w:asciiTheme="majorHAnsi" w:hAnsiTheme="majorHAnsi"/>
                <w:bCs/>
                <w:sz w:val="19"/>
                <w:szCs w:val="19"/>
                <w:lang w:val="es-ES"/>
              </w:rPr>
              <w:t>December</w:t>
            </w:r>
            <w:proofErr w:type="spellEnd"/>
            <w:r>
              <w:rPr>
                <w:rFonts w:asciiTheme="majorHAnsi" w:hAnsiTheme="majorHAnsi"/>
                <w:bCs/>
                <w:sz w:val="19"/>
                <w:szCs w:val="19"/>
                <w:lang w:val="es-ES"/>
              </w:rPr>
              <w:t xml:space="preserve"> 1, 2008</w:t>
            </w:r>
          </w:p>
        </w:tc>
      </w:tr>
      <w:tr w:rsidR="001C0DB0" w:rsidRPr="007C5771" w14:paraId="6F15B10F" w14:textId="77777777" w:rsidTr="00AA17A8">
        <w:tc>
          <w:tcPr>
            <w:tcW w:w="2790" w:type="dxa"/>
            <w:tcBorders>
              <w:top w:val="single" w:sz="6" w:space="0" w:color="auto"/>
              <w:bottom w:val="single" w:sz="6" w:space="0" w:color="auto"/>
            </w:tcBorders>
            <w:shd w:val="clear" w:color="auto" w:fill="67AE3B"/>
            <w:vAlign w:val="center"/>
          </w:tcPr>
          <w:p w14:paraId="471564AD" w14:textId="67905D58" w:rsidR="001C0DB0" w:rsidRPr="007C5771" w:rsidRDefault="00AA17A8" w:rsidP="001C0DB0">
            <w:pPr>
              <w:jc w:val="center"/>
              <w:rPr>
                <w:rFonts w:asciiTheme="majorHAnsi" w:hAnsiTheme="majorHAnsi"/>
                <w:bCs/>
                <w:color w:val="FFFFFF" w:themeColor="background1"/>
                <w:sz w:val="19"/>
                <w:szCs w:val="19"/>
                <w:lang w:val="es-ES"/>
              </w:rPr>
            </w:pPr>
            <w:proofErr w:type="spellStart"/>
            <w:r>
              <w:rPr>
                <w:rFonts w:asciiTheme="majorHAnsi" w:hAnsiTheme="majorHAnsi"/>
                <w:color w:val="FFFFFF" w:themeColor="background1"/>
                <w:sz w:val="19"/>
                <w:szCs w:val="19"/>
                <w:lang w:val="es-ES"/>
              </w:rPr>
              <w:t>Notification</w:t>
            </w:r>
            <w:proofErr w:type="spellEnd"/>
            <w:r>
              <w:rPr>
                <w:rFonts w:asciiTheme="majorHAnsi" w:hAnsiTheme="majorHAnsi"/>
                <w:color w:val="FFFFFF" w:themeColor="background1"/>
                <w:sz w:val="19"/>
                <w:szCs w:val="19"/>
                <w:lang w:val="es-ES"/>
              </w:rPr>
              <w:t xml:space="preserve"> of </w:t>
            </w:r>
            <w:proofErr w:type="spellStart"/>
            <w:r>
              <w:rPr>
                <w:rFonts w:asciiTheme="majorHAnsi" w:hAnsiTheme="majorHAnsi"/>
                <w:color w:val="FFFFFF" w:themeColor="background1"/>
                <w:sz w:val="19"/>
                <w:szCs w:val="19"/>
                <w:lang w:val="es-ES"/>
              </w:rPr>
              <w:t>the</w:t>
            </w:r>
            <w:proofErr w:type="spellEnd"/>
            <w:r>
              <w:rPr>
                <w:rFonts w:asciiTheme="majorHAnsi" w:hAnsiTheme="majorHAnsi"/>
                <w:color w:val="FFFFFF" w:themeColor="background1"/>
                <w:sz w:val="19"/>
                <w:szCs w:val="19"/>
                <w:lang w:val="es-ES"/>
              </w:rPr>
              <w:t xml:space="preserve"> </w:t>
            </w:r>
            <w:proofErr w:type="spellStart"/>
            <w:r>
              <w:rPr>
                <w:rFonts w:asciiTheme="majorHAnsi" w:hAnsiTheme="majorHAnsi"/>
                <w:color w:val="FFFFFF" w:themeColor="background1"/>
                <w:sz w:val="19"/>
                <w:szCs w:val="19"/>
                <w:lang w:val="es-ES"/>
              </w:rPr>
              <w:t>petition</w:t>
            </w:r>
            <w:proofErr w:type="spellEnd"/>
          </w:p>
        </w:tc>
        <w:tc>
          <w:tcPr>
            <w:tcW w:w="6570" w:type="dxa"/>
            <w:vAlign w:val="center"/>
          </w:tcPr>
          <w:p w14:paraId="1AC412E6" w14:textId="5F22F879" w:rsidR="001C0DB0" w:rsidRPr="007C5771" w:rsidRDefault="00277A20" w:rsidP="00653CC1">
            <w:pPr>
              <w:jc w:val="both"/>
              <w:rPr>
                <w:rFonts w:asciiTheme="majorHAnsi" w:hAnsiTheme="majorHAnsi"/>
                <w:bCs/>
                <w:sz w:val="19"/>
                <w:szCs w:val="19"/>
                <w:lang w:val="es-ES"/>
              </w:rPr>
            </w:pPr>
            <w:proofErr w:type="spellStart"/>
            <w:r>
              <w:rPr>
                <w:rFonts w:asciiTheme="majorHAnsi" w:hAnsiTheme="majorHAnsi"/>
                <w:bCs/>
                <w:sz w:val="19"/>
                <w:szCs w:val="19"/>
                <w:lang w:val="es-ES"/>
              </w:rPr>
              <w:t>February</w:t>
            </w:r>
            <w:proofErr w:type="spellEnd"/>
            <w:r>
              <w:rPr>
                <w:rFonts w:asciiTheme="majorHAnsi" w:hAnsiTheme="majorHAnsi"/>
                <w:bCs/>
                <w:sz w:val="19"/>
                <w:szCs w:val="19"/>
                <w:lang w:val="es-ES"/>
              </w:rPr>
              <w:t xml:space="preserve"> 19, 2014</w:t>
            </w:r>
            <w:r w:rsidR="00653CC1" w:rsidRPr="007C5771">
              <w:rPr>
                <w:rStyle w:val="FootnoteReference"/>
                <w:rFonts w:asciiTheme="majorHAnsi" w:hAnsiTheme="majorHAnsi"/>
                <w:bCs/>
                <w:sz w:val="19"/>
                <w:szCs w:val="19"/>
                <w:lang w:val="es-ES"/>
              </w:rPr>
              <w:footnoteReference w:id="8"/>
            </w:r>
            <w:r w:rsidR="001C0DB0" w:rsidRPr="007C5771">
              <w:rPr>
                <w:rFonts w:asciiTheme="majorHAnsi" w:hAnsiTheme="majorHAnsi"/>
                <w:bCs/>
                <w:sz w:val="19"/>
                <w:szCs w:val="19"/>
                <w:lang w:val="es-ES"/>
              </w:rPr>
              <w:t xml:space="preserve">; </w:t>
            </w:r>
          </w:p>
        </w:tc>
      </w:tr>
      <w:tr w:rsidR="001C0DB0" w:rsidRPr="007C5771" w14:paraId="5DD649E1" w14:textId="77777777" w:rsidTr="00AA17A8">
        <w:tc>
          <w:tcPr>
            <w:tcW w:w="2790" w:type="dxa"/>
            <w:tcBorders>
              <w:top w:val="single" w:sz="6" w:space="0" w:color="auto"/>
              <w:bottom w:val="single" w:sz="6" w:space="0" w:color="auto"/>
            </w:tcBorders>
            <w:shd w:val="clear" w:color="auto" w:fill="67AE3B"/>
            <w:vAlign w:val="center"/>
          </w:tcPr>
          <w:p w14:paraId="2E366C6F" w14:textId="6BFA8EDF" w:rsidR="001C0DB0" w:rsidRPr="007C5771" w:rsidRDefault="00AA17A8" w:rsidP="001C0DB0">
            <w:pPr>
              <w:jc w:val="center"/>
              <w:rPr>
                <w:rFonts w:asciiTheme="majorHAnsi" w:hAnsiTheme="majorHAnsi"/>
                <w:bCs/>
                <w:color w:val="FFFFFF" w:themeColor="background1"/>
                <w:sz w:val="19"/>
                <w:szCs w:val="19"/>
                <w:lang w:val="es-ES"/>
              </w:rPr>
            </w:pPr>
            <w:proofErr w:type="spellStart"/>
            <w:r>
              <w:rPr>
                <w:rFonts w:asciiTheme="majorHAnsi" w:hAnsiTheme="majorHAnsi"/>
                <w:color w:val="FFFFFF" w:themeColor="background1"/>
                <w:sz w:val="19"/>
                <w:szCs w:val="19"/>
                <w:lang w:val="es-ES"/>
              </w:rPr>
              <w:t>State’s</w:t>
            </w:r>
            <w:proofErr w:type="spellEnd"/>
            <w:r>
              <w:rPr>
                <w:rFonts w:asciiTheme="majorHAnsi" w:hAnsiTheme="majorHAnsi"/>
                <w:color w:val="FFFFFF" w:themeColor="background1"/>
                <w:sz w:val="19"/>
                <w:szCs w:val="19"/>
                <w:lang w:val="es-ES"/>
              </w:rPr>
              <w:t xml:space="preserve"> </w:t>
            </w:r>
            <w:proofErr w:type="spellStart"/>
            <w:r>
              <w:rPr>
                <w:rFonts w:asciiTheme="majorHAnsi" w:hAnsiTheme="majorHAnsi"/>
                <w:color w:val="FFFFFF" w:themeColor="background1"/>
                <w:sz w:val="19"/>
                <w:szCs w:val="19"/>
                <w:lang w:val="es-ES"/>
              </w:rPr>
              <w:t>first</w:t>
            </w:r>
            <w:proofErr w:type="spellEnd"/>
            <w:r>
              <w:rPr>
                <w:rFonts w:asciiTheme="majorHAnsi" w:hAnsiTheme="majorHAnsi"/>
                <w:color w:val="FFFFFF" w:themeColor="background1"/>
                <w:sz w:val="19"/>
                <w:szCs w:val="19"/>
                <w:lang w:val="es-ES"/>
              </w:rPr>
              <w:t xml:space="preserve"> response</w:t>
            </w:r>
          </w:p>
        </w:tc>
        <w:tc>
          <w:tcPr>
            <w:tcW w:w="6570" w:type="dxa"/>
            <w:vAlign w:val="center"/>
          </w:tcPr>
          <w:p w14:paraId="78EAAC06" w14:textId="31A1128B" w:rsidR="001C0DB0" w:rsidRPr="007C5771" w:rsidRDefault="00277A20" w:rsidP="001C0DB0">
            <w:pPr>
              <w:jc w:val="both"/>
              <w:rPr>
                <w:rFonts w:asciiTheme="majorHAnsi" w:hAnsiTheme="majorHAnsi"/>
                <w:bCs/>
                <w:sz w:val="19"/>
                <w:szCs w:val="19"/>
                <w:lang w:val="es-ES"/>
              </w:rPr>
            </w:pPr>
            <w:proofErr w:type="spellStart"/>
            <w:r>
              <w:rPr>
                <w:rFonts w:asciiTheme="majorHAnsi" w:hAnsiTheme="majorHAnsi"/>
                <w:bCs/>
                <w:sz w:val="19"/>
                <w:szCs w:val="19"/>
                <w:lang w:val="es-ES"/>
              </w:rPr>
              <w:t>January</w:t>
            </w:r>
            <w:proofErr w:type="spellEnd"/>
            <w:r>
              <w:rPr>
                <w:rFonts w:asciiTheme="majorHAnsi" w:hAnsiTheme="majorHAnsi"/>
                <w:bCs/>
                <w:sz w:val="19"/>
                <w:szCs w:val="19"/>
                <w:lang w:val="es-ES"/>
              </w:rPr>
              <w:t xml:space="preserve"> </w:t>
            </w:r>
            <w:r w:rsidR="001C0DB0" w:rsidRPr="007C5771">
              <w:rPr>
                <w:rFonts w:asciiTheme="majorHAnsi" w:hAnsiTheme="majorHAnsi"/>
                <w:bCs/>
                <w:sz w:val="19"/>
                <w:szCs w:val="19"/>
                <w:lang w:val="es-ES"/>
              </w:rPr>
              <w:t>11</w:t>
            </w:r>
            <w:r>
              <w:rPr>
                <w:rFonts w:asciiTheme="majorHAnsi" w:hAnsiTheme="majorHAnsi"/>
                <w:bCs/>
                <w:sz w:val="19"/>
                <w:szCs w:val="19"/>
                <w:lang w:val="es-ES"/>
              </w:rPr>
              <w:t>, 2018</w:t>
            </w:r>
          </w:p>
        </w:tc>
      </w:tr>
      <w:tr w:rsidR="001C0DB0" w:rsidRPr="00AA17A8" w14:paraId="20854537" w14:textId="77777777" w:rsidTr="00AA17A8">
        <w:tc>
          <w:tcPr>
            <w:tcW w:w="2790" w:type="dxa"/>
            <w:tcBorders>
              <w:top w:val="single" w:sz="6" w:space="0" w:color="auto"/>
              <w:bottom w:val="single" w:sz="6" w:space="0" w:color="auto"/>
            </w:tcBorders>
            <w:shd w:val="clear" w:color="auto" w:fill="67AE3B"/>
            <w:vAlign w:val="center"/>
          </w:tcPr>
          <w:p w14:paraId="00DD2591" w14:textId="344142BD"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Additional observations of the petitioner</w:t>
            </w:r>
          </w:p>
        </w:tc>
        <w:tc>
          <w:tcPr>
            <w:tcW w:w="6570" w:type="dxa"/>
            <w:vAlign w:val="center"/>
          </w:tcPr>
          <w:p w14:paraId="3EF6E393" w14:textId="7B364AC5" w:rsidR="001C0DB0" w:rsidRPr="007C5771" w:rsidRDefault="00277A20" w:rsidP="00277A20">
            <w:pPr>
              <w:jc w:val="both"/>
              <w:rPr>
                <w:rFonts w:asciiTheme="majorHAnsi" w:hAnsiTheme="majorHAnsi"/>
                <w:bCs/>
                <w:sz w:val="19"/>
                <w:szCs w:val="19"/>
                <w:lang w:val="es-ES"/>
              </w:rPr>
            </w:pPr>
            <w:proofErr w:type="spellStart"/>
            <w:r>
              <w:rPr>
                <w:rFonts w:asciiTheme="majorHAnsi" w:hAnsiTheme="majorHAnsi"/>
                <w:bCs/>
                <w:sz w:val="19"/>
                <w:szCs w:val="19"/>
                <w:lang w:val="es-ES"/>
              </w:rPr>
              <w:t>October</w:t>
            </w:r>
            <w:proofErr w:type="spellEnd"/>
            <w:r>
              <w:rPr>
                <w:rFonts w:asciiTheme="majorHAnsi" w:hAnsiTheme="majorHAnsi"/>
                <w:bCs/>
                <w:sz w:val="19"/>
                <w:szCs w:val="19"/>
                <w:lang w:val="es-ES"/>
              </w:rPr>
              <w:t xml:space="preserve"> 31, 2012; June 26, 2017; and </w:t>
            </w:r>
            <w:proofErr w:type="spellStart"/>
            <w:r>
              <w:rPr>
                <w:rFonts w:asciiTheme="majorHAnsi" w:hAnsiTheme="majorHAnsi"/>
                <w:bCs/>
                <w:sz w:val="19"/>
                <w:szCs w:val="19"/>
                <w:lang w:val="es-ES"/>
              </w:rPr>
              <w:t>December</w:t>
            </w:r>
            <w:proofErr w:type="spellEnd"/>
            <w:r>
              <w:rPr>
                <w:rFonts w:asciiTheme="majorHAnsi" w:hAnsiTheme="majorHAnsi"/>
                <w:bCs/>
                <w:sz w:val="19"/>
                <w:szCs w:val="19"/>
                <w:lang w:val="es-ES"/>
              </w:rPr>
              <w:t xml:space="preserve"> 13, 2018</w:t>
            </w:r>
            <w:r w:rsidR="001C0DB0" w:rsidRPr="007C5771">
              <w:rPr>
                <w:rFonts w:asciiTheme="majorHAnsi" w:hAnsiTheme="majorHAnsi"/>
                <w:bCs/>
                <w:sz w:val="19"/>
                <w:szCs w:val="19"/>
                <w:lang w:val="es-ES"/>
              </w:rPr>
              <w:t xml:space="preserve"> </w:t>
            </w:r>
          </w:p>
        </w:tc>
      </w:tr>
      <w:tr w:rsidR="001C0DB0" w:rsidRPr="00AA17A8" w14:paraId="6B301A94" w14:textId="77777777" w:rsidTr="00AA17A8">
        <w:tc>
          <w:tcPr>
            <w:tcW w:w="2790" w:type="dxa"/>
            <w:tcBorders>
              <w:top w:val="single" w:sz="6" w:space="0" w:color="auto"/>
              <w:bottom w:val="single" w:sz="6" w:space="0" w:color="auto"/>
            </w:tcBorders>
            <w:shd w:val="clear" w:color="auto" w:fill="67AE3B"/>
            <w:vAlign w:val="center"/>
          </w:tcPr>
          <w:p w14:paraId="33BD0082" w14:textId="77788AAE"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Additional observations of the State</w:t>
            </w:r>
          </w:p>
        </w:tc>
        <w:tc>
          <w:tcPr>
            <w:tcW w:w="6570" w:type="dxa"/>
            <w:vAlign w:val="center"/>
          </w:tcPr>
          <w:p w14:paraId="74C95789" w14:textId="7D332506" w:rsidR="001C0DB0" w:rsidRPr="00213C3D" w:rsidRDefault="00213C3D" w:rsidP="001C0DB0">
            <w:pPr>
              <w:jc w:val="both"/>
              <w:rPr>
                <w:rFonts w:asciiTheme="majorHAnsi" w:hAnsiTheme="majorHAnsi"/>
                <w:sz w:val="19"/>
                <w:szCs w:val="19"/>
                <w:lang w:val="es-ES"/>
              </w:rPr>
            </w:pPr>
            <w:proofErr w:type="spellStart"/>
            <w:r>
              <w:rPr>
                <w:rFonts w:asciiTheme="majorHAnsi" w:hAnsiTheme="majorHAnsi"/>
                <w:sz w:val="19"/>
                <w:szCs w:val="19"/>
                <w:lang w:val="es-ES"/>
              </w:rPr>
              <w:t>December</w:t>
            </w:r>
            <w:proofErr w:type="spellEnd"/>
            <w:r>
              <w:rPr>
                <w:rFonts w:asciiTheme="majorHAnsi" w:hAnsiTheme="majorHAnsi"/>
                <w:sz w:val="19"/>
                <w:szCs w:val="19"/>
                <w:lang w:val="es-ES"/>
              </w:rPr>
              <w:t xml:space="preserve"> 28, 2016; </w:t>
            </w:r>
            <w:proofErr w:type="spellStart"/>
            <w:r>
              <w:rPr>
                <w:rFonts w:asciiTheme="majorHAnsi" w:hAnsiTheme="majorHAnsi"/>
                <w:sz w:val="19"/>
                <w:szCs w:val="19"/>
                <w:lang w:val="es-ES"/>
              </w:rPr>
              <w:t>July</w:t>
            </w:r>
            <w:proofErr w:type="spellEnd"/>
            <w:r>
              <w:rPr>
                <w:rFonts w:asciiTheme="majorHAnsi" w:hAnsiTheme="majorHAnsi"/>
                <w:sz w:val="19"/>
                <w:szCs w:val="19"/>
                <w:lang w:val="es-ES"/>
              </w:rPr>
              <w:t xml:space="preserve"> 20, 2017; </w:t>
            </w:r>
            <w:proofErr w:type="spellStart"/>
            <w:r>
              <w:rPr>
                <w:rFonts w:asciiTheme="majorHAnsi" w:hAnsiTheme="majorHAnsi"/>
                <w:sz w:val="19"/>
                <w:szCs w:val="19"/>
                <w:lang w:val="es-ES"/>
              </w:rPr>
              <w:t>January</w:t>
            </w:r>
            <w:proofErr w:type="spellEnd"/>
            <w:r>
              <w:rPr>
                <w:rFonts w:asciiTheme="majorHAnsi" w:hAnsiTheme="majorHAnsi"/>
                <w:sz w:val="19"/>
                <w:szCs w:val="19"/>
                <w:lang w:val="es-ES"/>
              </w:rPr>
              <w:t xml:space="preserve"> 11, 2019</w:t>
            </w:r>
          </w:p>
        </w:tc>
      </w:tr>
      <w:tr w:rsidR="001C0DB0" w:rsidRPr="007C5771" w14:paraId="0591A585" w14:textId="77777777" w:rsidTr="00AA17A8">
        <w:tc>
          <w:tcPr>
            <w:tcW w:w="2790" w:type="dxa"/>
            <w:tcBorders>
              <w:top w:val="single" w:sz="6" w:space="0" w:color="auto"/>
              <w:bottom w:val="single" w:sz="6" w:space="0" w:color="auto"/>
            </w:tcBorders>
            <w:shd w:val="clear" w:color="auto" w:fill="67AE3B"/>
            <w:vAlign w:val="center"/>
          </w:tcPr>
          <w:p w14:paraId="2F788AB1" w14:textId="70AD2248"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 xml:space="preserve">Warning on closing of </w:t>
            </w:r>
            <w:r>
              <w:rPr>
                <w:rFonts w:asciiTheme="majorHAnsi" w:hAnsiTheme="majorHAnsi"/>
                <w:bCs/>
                <w:color w:val="FFFFFF" w:themeColor="background1"/>
                <w:sz w:val="19"/>
                <w:szCs w:val="19"/>
              </w:rPr>
              <w:t>proceedings</w:t>
            </w:r>
          </w:p>
        </w:tc>
        <w:tc>
          <w:tcPr>
            <w:tcW w:w="6570" w:type="dxa"/>
            <w:vAlign w:val="center"/>
          </w:tcPr>
          <w:p w14:paraId="3E6D6392" w14:textId="535F4417" w:rsidR="001C0DB0" w:rsidRPr="007C5771" w:rsidRDefault="00213C3D" w:rsidP="00213C3D">
            <w:pPr>
              <w:jc w:val="both"/>
              <w:rPr>
                <w:rFonts w:asciiTheme="majorHAnsi" w:hAnsiTheme="majorHAnsi"/>
                <w:bCs/>
                <w:sz w:val="19"/>
                <w:szCs w:val="19"/>
                <w:lang w:val="es-ES"/>
              </w:rPr>
            </w:pPr>
            <w:proofErr w:type="spellStart"/>
            <w:r>
              <w:rPr>
                <w:rFonts w:asciiTheme="majorHAnsi" w:hAnsiTheme="majorHAnsi"/>
                <w:bCs/>
                <w:sz w:val="19"/>
                <w:szCs w:val="19"/>
                <w:lang w:val="es-ES"/>
              </w:rPr>
              <w:t>December</w:t>
            </w:r>
            <w:proofErr w:type="spellEnd"/>
            <w:r>
              <w:rPr>
                <w:rFonts w:asciiTheme="majorHAnsi" w:hAnsiTheme="majorHAnsi"/>
                <w:bCs/>
                <w:sz w:val="19"/>
                <w:szCs w:val="19"/>
                <w:lang w:val="es-ES"/>
              </w:rPr>
              <w:t xml:space="preserve"> 28, 2017</w:t>
            </w:r>
          </w:p>
        </w:tc>
      </w:tr>
      <w:tr w:rsidR="001C0DB0" w:rsidRPr="007C5771" w14:paraId="4D40CB8A" w14:textId="77777777" w:rsidTr="00AA17A8">
        <w:tc>
          <w:tcPr>
            <w:tcW w:w="2790" w:type="dxa"/>
            <w:tcBorders>
              <w:top w:val="single" w:sz="6" w:space="0" w:color="auto"/>
              <w:bottom w:val="single" w:sz="6" w:space="0" w:color="auto"/>
            </w:tcBorders>
            <w:shd w:val="clear" w:color="auto" w:fill="67AE3B"/>
            <w:vAlign w:val="center"/>
          </w:tcPr>
          <w:p w14:paraId="3F878BC0" w14:textId="44ADB37C" w:rsidR="001C0DB0" w:rsidRPr="00AA17A8" w:rsidRDefault="00AA17A8" w:rsidP="001C0DB0">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Answer to warning on closing of proceedings</w:t>
            </w:r>
          </w:p>
        </w:tc>
        <w:tc>
          <w:tcPr>
            <w:tcW w:w="6570" w:type="dxa"/>
            <w:vAlign w:val="center"/>
          </w:tcPr>
          <w:p w14:paraId="4E091393" w14:textId="4A1DCBFD" w:rsidR="001C0DB0" w:rsidRPr="007C5771" w:rsidRDefault="00213C3D" w:rsidP="00213C3D">
            <w:pPr>
              <w:jc w:val="both"/>
              <w:rPr>
                <w:rFonts w:asciiTheme="majorHAnsi" w:hAnsiTheme="majorHAnsi"/>
                <w:bCs/>
                <w:sz w:val="19"/>
                <w:szCs w:val="19"/>
                <w:lang w:val="es-ES"/>
              </w:rPr>
            </w:pPr>
            <w:proofErr w:type="spellStart"/>
            <w:r>
              <w:rPr>
                <w:rFonts w:asciiTheme="majorHAnsi" w:hAnsiTheme="majorHAnsi"/>
                <w:bCs/>
                <w:sz w:val="19"/>
                <w:szCs w:val="19"/>
                <w:lang w:val="es-ES"/>
              </w:rPr>
              <w:t>March</w:t>
            </w:r>
            <w:proofErr w:type="spellEnd"/>
            <w:r>
              <w:rPr>
                <w:rFonts w:asciiTheme="majorHAnsi" w:hAnsiTheme="majorHAnsi"/>
                <w:bCs/>
                <w:sz w:val="19"/>
                <w:szCs w:val="19"/>
                <w:lang w:val="es-ES"/>
              </w:rPr>
              <w:t xml:space="preserve"> 4, 2018</w:t>
            </w:r>
          </w:p>
        </w:tc>
      </w:tr>
    </w:tbl>
    <w:p w14:paraId="49CD3E81" w14:textId="3C54DAEE" w:rsidR="001C0DB0" w:rsidRPr="007C5771" w:rsidRDefault="001C0DB0" w:rsidP="001C0DB0">
      <w:pPr>
        <w:spacing w:before="120" w:after="120"/>
        <w:ind w:firstLine="720"/>
        <w:jc w:val="both"/>
        <w:rPr>
          <w:rFonts w:asciiTheme="majorHAnsi" w:hAnsiTheme="majorHAnsi"/>
          <w:b/>
          <w:bCs/>
          <w:sz w:val="20"/>
          <w:szCs w:val="20"/>
          <w:lang w:val="es-ES"/>
        </w:rPr>
      </w:pPr>
      <w:r w:rsidRPr="007C5771">
        <w:rPr>
          <w:rFonts w:asciiTheme="majorHAnsi" w:hAnsiTheme="majorHAnsi"/>
          <w:b/>
          <w:bCs/>
          <w:sz w:val="20"/>
          <w:szCs w:val="20"/>
          <w:lang w:val="es-ES"/>
        </w:rPr>
        <w:t xml:space="preserve">III. </w:t>
      </w:r>
      <w:r w:rsidRPr="007C5771">
        <w:rPr>
          <w:rFonts w:asciiTheme="majorHAnsi" w:hAnsiTheme="majorHAnsi"/>
          <w:b/>
          <w:bCs/>
          <w:sz w:val="20"/>
          <w:szCs w:val="20"/>
          <w:lang w:val="es-ES"/>
        </w:rPr>
        <w:tab/>
        <w:t>COMPETENC</w:t>
      </w:r>
      <w:r w:rsidR="00AA17A8">
        <w:rPr>
          <w:rFonts w:asciiTheme="majorHAnsi" w:hAnsiTheme="majorHAnsi"/>
          <w:b/>
          <w:bCs/>
          <w:sz w:val="20"/>
          <w:szCs w:val="20"/>
          <w:lang w:val="es-ES"/>
        </w:rPr>
        <w:t>E</w:t>
      </w:r>
      <w:r w:rsidRPr="007C5771">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0"/>
        <w:gridCol w:w="6482"/>
      </w:tblGrid>
      <w:tr w:rsidR="003239B8" w:rsidRPr="007C5771" w14:paraId="5D2DBF8D" w14:textId="77777777" w:rsidTr="00AA17A8">
        <w:trPr>
          <w:cantSplit/>
        </w:trPr>
        <w:tc>
          <w:tcPr>
            <w:tcW w:w="2790" w:type="dxa"/>
            <w:tcBorders>
              <w:top w:val="single" w:sz="4" w:space="0" w:color="auto"/>
              <w:bottom w:val="single" w:sz="6" w:space="0" w:color="auto"/>
            </w:tcBorders>
            <w:shd w:val="clear" w:color="auto" w:fill="67AE3B"/>
            <w:vAlign w:val="center"/>
          </w:tcPr>
          <w:p w14:paraId="61E3BEBE" w14:textId="77777777" w:rsidR="003239B8" w:rsidRPr="007C5771" w:rsidRDefault="00D77503" w:rsidP="00311D3F">
            <w:pPr>
              <w:jc w:val="center"/>
              <w:rPr>
                <w:rFonts w:ascii="Cambria" w:hAnsi="Cambria"/>
                <w:bCs/>
                <w:i/>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personae</w:t>
            </w:r>
            <w:proofErr w:type="spellEnd"/>
          </w:p>
        </w:tc>
        <w:tc>
          <w:tcPr>
            <w:tcW w:w="6570" w:type="dxa"/>
            <w:vAlign w:val="center"/>
          </w:tcPr>
          <w:p w14:paraId="79195DBB" w14:textId="5EF70328"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7C5771" w14:paraId="1003DF01" w14:textId="77777777" w:rsidTr="00AA17A8">
        <w:trPr>
          <w:cantSplit/>
        </w:trPr>
        <w:tc>
          <w:tcPr>
            <w:tcW w:w="2790" w:type="dxa"/>
            <w:tcBorders>
              <w:top w:val="single" w:sz="6" w:space="0" w:color="auto"/>
              <w:bottom w:val="single" w:sz="6" w:space="0" w:color="auto"/>
            </w:tcBorders>
            <w:shd w:val="clear" w:color="auto" w:fill="67AE3B"/>
            <w:vAlign w:val="center"/>
          </w:tcPr>
          <w:p w14:paraId="3F1A5E5D" w14:textId="77777777" w:rsidR="003239B8" w:rsidRPr="007C5771" w:rsidRDefault="003239B8" w:rsidP="00D77503">
            <w:pPr>
              <w:jc w:val="center"/>
              <w:rPr>
                <w:rFonts w:ascii="Cambria" w:hAnsi="Cambria"/>
                <w:bCs/>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loci</w:t>
            </w:r>
            <w:proofErr w:type="spellEnd"/>
          </w:p>
        </w:tc>
        <w:tc>
          <w:tcPr>
            <w:tcW w:w="6570" w:type="dxa"/>
            <w:vAlign w:val="center"/>
          </w:tcPr>
          <w:p w14:paraId="71A2DCF7" w14:textId="58ED834B"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7C5771" w14:paraId="34983F56" w14:textId="77777777" w:rsidTr="00AA17A8">
        <w:trPr>
          <w:cantSplit/>
        </w:trPr>
        <w:tc>
          <w:tcPr>
            <w:tcW w:w="2790" w:type="dxa"/>
            <w:tcBorders>
              <w:top w:val="single" w:sz="6" w:space="0" w:color="auto"/>
              <w:bottom w:val="single" w:sz="6" w:space="0" w:color="auto"/>
            </w:tcBorders>
            <w:shd w:val="clear" w:color="auto" w:fill="67AE3B"/>
            <w:vAlign w:val="center"/>
          </w:tcPr>
          <w:p w14:paraId="7F8ED2CC" w14:textId="77777777" w:rsidR="003239B8" w:rsidRPr="007C5771" w:rsidRDefault="003239B8" w:rsidP="00311D3F">
            <w:pPr>
              <w:jc w:val="center"/>
              <w:rPr>
                <w:rFonts w:ascii="Cambria" w:hAnsi="Cambria"/>
                <w:bCs/>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temporis</w:t>
            </w:r>
            <w:proofErr w:type="spellEnd"/>
          </w:p>
        </w:tc>
        <w:tc>
          <w:tcPr>
            <w:tcW w:w="6570" w:type="dxa"/>
            <w:vAlign w:val="center"/>
          </w:tcPr>
          <w:p w14:paraId="2539C71C" w14:textId="137D9633" w:rsidR="003239B8" w:rsidRPr="007C5771" w:rsidRDefault="00213C3D" w:rsidP="00311D3F">
            <w:pPr>
              <w:rPr>
                <w:rFonts w:ascii="Cambria" w:hAnsi="Cambria"/>
                <w:bCs/>
                <w:sz w:val="19"/>
                <w:szCs w:val="19"/>
                <w:lang w:val="es-ES"/>
              </w:rPr>
            </w:pPr>
            <w:r>
              <w:rPr>
                <w:rFonts w:asciiTheme="majorHAnsi" w:hAnsiTheme="majorHAnsi"/>
                <w:sz w:val="19"/>
                <w:szCs w:val="19"/>
                <w:lang w:val="es-ES"/>
              </w:rPr>
              <w:t>Yes</w:t>
            </w:r>
          </w:p>
        </w:tc>
      </w:tr>
      <w:tr w:rsidR="003239B8" w:rsidRPr="00AA17A8" w14:paraId="2A674696" w14:textId="77777777" w:rsidTr="00AA17A8">
        <w:trPr>
          <w:cantSplit/>
        </w:trPr>
        <w:tc>
          <w:tcPr>
            <w:tcW w:w="2790" w:type="dxa"/>
            <w:tcBorders>
              <w:top w:val="single" w:sz="6" w:space="0" w:color="auto"/>
              <w:bottom w:val="single" w:sz="6" w:space="0" w:color="auto"/>
            </w:tcBorders>
            <w:shd w:val="clear" w:color="auto" w:fill="67AE3B"/>
            <w:vAlign w:val="center"/>
          </w:tcPr>
          <w:p w14:paraId="4FC288A1" w14:textId="77777777" w:rsidR="003239B8" w:rsidRPr="007C5771" w:rsidRDefault="003239B8" w:rsidP="00311D3F">
            <w:pPr>
              <w:jc w:val="center"/>
              <w:rPr>
                <w:rFonts w:ascii="Cambria" w:hAnsi="Cambria"/>
                <w:bCs/>
                <w:color w:val="FFFFFF" w:themeColor="background1"/>
                <w:sz w:val="19"/>
                <w:szCs w:val="19"/>
                <w:lang w:val="es-ES"/>
              </w:rPr>
            </w:pPr>
            <w:proofErr w:type="spellStart"/>
            <w:r w:rsidRPr="007C5771">
              <w:rPr>
                <w:rFonts w:ascii="Cambria" w:hAnsi="Cambria"/>
                <w:bCs/>
                <w:i/>
                <w:color w:val="FFFFFF" w:themeColor="background1"/>
                <w:sz w:val="19"/>
                <w:szCs w:val="19"/>
                <w:lang w:val="es-ES"/>
              </w:rPr>
              <w:t>Ratione</w:t>
            </w:r>
            <w:proofErr w:type="spellEnd"/>
            <w:r w:rsidRPr="007C5771">
              <w:rPr>
                <w:rFonts w:ascii="Cambria" w:hAnsi="Cambria"/>
                <w:bCs/>
                <w:i/>
                <w:color w:val="FFFFFF" w:themeColor="background1"/>
                <w:sz w:val="19"/>
                <w:szCs w:val="19"/>
                <w:lang w:val="es-ES"/>
              </w:rPr>
              <w:t xml:space="preserve"> </w:t>
            </w:r>
            <w:proofErr w:type="spellStart"/>
            <w:r w:rsidRPr="007C5771">
              <w:rPr>
                <w:rFonts w:ascii="Cambria" w:hAnsi="Cambria"/>
                <w:bCs/>
                <w:i/>
                <w:color w:val="FFFFFF" w:themeColor="background1"/>
                <w:sz w:val="19"/>
                <w:szCs w:val="19"/>
                <w:lang w:val="es-ES"/>
              </w:rPr>
              <w:t>materia</w:t>
            </w:r>
            <w:r w:rsidR="00EE00E9" w:rsidRPr="007C5771">
              <w:rPr>
                <w:rFonts w:ascii="Cambria" w:hAnsi="Cambria"/>
                <w:bCs/>
                <w:i/>
                <w:color w:val="FFFFFF" w:themeColor="background1"/>
                <w:sz w:val="19"/>
                <w:szCs w:val="19"/>
                <w:lang w:val="es-ES"/>
              </w:rPr>
              <w:t>e</w:t>
            </w:r>
            <w:proofErr w:type="spellEnd"/>
          </w:p>
        </w:tc>
        <w:tc>
          <w:tcPr>
            <w:tcW w:w="6570" w:type="dxa"/>
            <w:vAlign w:val="center"/>
          </w:tcPr>
          <w:p w14:paraId="75005FC7" w14:textId="2BEFF83C" w:rsidR="003239B8" w:rsidRPr="00F950D4" w:rsidRDefault="00213C3D" w:rsidP="00213C3D">
            <w:pPr>
              <w:jc w:val="both"/>
              <w:rPr>
                <w:rFonts w:asciiTheme="majorHAnsi" w:hAnsiTheme="majorHAnsi"/>
                <w:bCs/>
                <w:sz w:val="19"/>
                <w:szCs w:val="19"/>
              </w:rPr>
            </w:pPr>
            <w:r w:rsidRPr="00213C3D">
              <w:rPr>
                <w:rFonts w:asciiTheme="majorHAnsi" w:hAnsiTheme="majorHAnsi"/>
                <w:sz w:val="19"/>
                <w:szCs w:val="19"/>
              </w:rPr>
              <w:t>Yes, American Convention (deposit of instrument of ratification on September 5, 198</w:t>
            </w:r>
            <w:r>
              <w:rPr>
                <w:rFonts w:asciiTheme="majorHAnsi" w:hAnsiTheme="majorHAnsi"/>
                <w:sz w:val="19"/>
                <w:szCs w:val="19"/>
              </w:rPr>
              <w:t xml:space="preserve">4) and </w:t>
            </w:r>
            <w:proofErr w:type="spellStart"/>
            <w:r>
              <w:rPr>
                <w:rFonts w:asciiTheme="majorHAnsi" w:hAnsiTheme="majorHAnsi"/>
                <w:sz w:val="19"/>
                <w:szCs w:val="19"/>
              </w:rPr>
              <w:t>Belém</w:t>
            </w:r>
            <w:proofErr w:type="spellEnd"/>
            <w:r>
              <w:rPr>
                <w:rFonts w:asciiTheme="majorHAnsi" w:hAnsiTheme="majorHAnsi"/>
                <w:sz w:val="19"/>
                <w:szCs w:val="19"/>
              </w:rPr>
              <w:t xml:space="preserve"> do </w:t>
            </w:r>
            <w:proofErr w:type="spellStart"/>
            <w:r>
              <w:rPr>
                <w:rFonts w:asciiTheme="majorHAnsi" w:hAnsiTheme="majorHAnsi"/>
                <w:sz w:val="19"/>
                <w:szCs w:val="19"/>
              </w:rPr>
              <w:t>Pará</w:t>
            </w:r>
            <w:proofErr w:type="spellEnd"/>
            <w:r>
              <w:rPr>
                <w:rFonts w:asciiTheme="majorHAnsi" w:hAnsiTheme="majorHAnsi"/>
                <w:sz w:val="19"/>
                <w:szCs w:val="19"/>
              </w:rPr>
              <w:t xml:space="preserve"> Convention (deposit of instrument of ratification on July 5, 1996)</w:t>
            </w:r>
          </w:p>
        </w:tc>
      </w:tr>
    </w:tbl>
    <w:p w14:paraId="570BB48B" w14:textId="723440E4" w:rsidR="003239B8" w:rsidRPr="00AA17A8" w:rsidRDefault="003239B8" w:rsidP="007C402A">
      <w:pPr>
        <w:spacing w:before="120" w:after="120"/>
        <w:ind w:firstLine="720"/>
        <w:jc w:val="both"/>
        <w:rPr>
          <w:rFonts w:asciiTheme="majorHAnsi" w:hAnsiTheme="majorHAnsi"/>
          <w:b/>
          <w:bCs/>
          <w:sz w:val="20"/>
          <w:szCs w:val="20"/>
        </w:rPr>
      </w:pPr>
      <w:r w:rsidRPr="00F950D4">
        <w:rPr>
          <w:rFonts w:asciiTheme="majorHAnsi" w:hAnsiTheme="majorHAnsi"/>
          <w:b/>
          <w:bCs/>
          <w:sz w:val="20"/>
          <w:szCs w:val="20"/>
        </w:rPr>
        <w:t xml:space="preserve">IV. </w:t>
      </w:r>
      <w:r w:rsidRPr="00F950D4">
        <w:rPr>
          <w:rFonts w:asciiTheme="majorHAnsi" w:hAnsiTheme="majorHAnsi"/>
          <w:b/>
          <w:bCs/>
          <w:sz w:val="20"/>
          <w:szCs w:val="20"/>
        </w:rPr>
        <w:tab/>
      </w:r>
      <w:r w:rsidR="00AA17A8" w:rsidRPr="0036031C">
        <w:rPr>
          <w:rFonts w:ascii="Cambria" w:hAnsi="Cambria"/>
          <w:b/>
          <w:bCs/>
          <w:sz w:val="20"/>
          <w:szCs w:val="20"/>
        </w:rPr>
        <w:t>DUPLICATION OF PROCEDURES AND INTERNATIONAL RES JUDICATA,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7C5771" w14:paraId="026FCA08" w14:textId="77777777" w:rsidTr="00AA17A8">
        <w:trPr>
          <w:cantSplit/>
        </w:trPr>
        <w:tc>
          <w:tcPr>
            <w:tcW w:w="2790" w:type="dxa"/>
            <w:tcBorders>
              <w:top w:val="single" w:sz="4" w:space="0" w:color="auto"/>
              <w:bottom w:val="single" w:sz="6" w:space="0" w:color="auto"/>
            </w:tcBorders>
            <w:shd w:val="clear" w:color="auto" w:fill="67AE3B"/>
            <w:vAlign w:val="center"/>
          </w:tcPr>
          <w:p w14:paraId="771A2058" w14:textId="3493774E" w:rsidR="00EE00E9" w:rsidRPr="00AA17A8" w:rsidRDefault="00AA17A8" w:rsidP="00954B82">
            <w:pPr>
              <w:jc w:val="center"/>
              <w:rPr>
                <w:rFonts w:asciiTheme="majorHAnsi" w:hAnsiTheme="majorHAnsi"/>
                <w:bCs/>
                <w:i/>
                <w:iCs/>
                <w:color w:val="FFFFFF" w:themeColor="background1"/>
                <w:sz w:val="19"/>
                <w:szCs w:val="19"/>
              </w:rPr>
            </w:pPr>
            <w:r w:rsidRPr="00AA17A8">
              <w:rPr>
                <w:rFonts w:asciiTheme="majorHAnsi" w:hAnsiTheme="majorHAnsi"/>
                <w:bCs/>
                <w:color w:val="FFFFFF" w:themeColor="background1"/>
                <w:sz w:val="19"/>
                <w:szCs w:val="19"/>
              </w:rPr>
              <w:t xml:space="preserve">Duplication of procedures and international </w:t>
            </w:r>
            <w:r w:rsidRPr="00AA17A8">
              <w:rPr>
                <w:rFonts w:asciiTheme="majorHAnsi" w:hAnsiTheme="majorHAnsi"/>
                <w:bCs/>
                <w:i/>
                <w:iCs/>
                <w:color w:val="FFFFFF" w:themeColor="background1"/>
                <w:sz w:val="19"/>
                <w:szCs w:val="19"/>
              </w:rPr>
              <w:t>res judicata</w:t>
            </w:r>
          </w:p>
        </w:tc>
        <w:tc>
          <w:tcPr>
            <w:tcW w:w="6570" w:type="dxa"/>
            <w:vAlign w:val="center"/>
          </w:tcPr>
          <w:p w14:paraId="4057C6BB" w14:textId="77777777" w:rsidR="00EE00E9" w:rsidRPr="007C5771" w:rsidRDefault="00640AE4" w:rsidP="00311D3F">
            <w:pPr>
              <w:jc w:val="both"/>
              <w:rPr>
                <w:rFonts w:asciiTheme="majorHAnsi" w:hAnsiTheme="majorHAnsi"/>
                <w:bCs/>
                <w:sz w:val="19"/>
                <w:szCs w:val="19"/>
                <w:lang w:val="es-ES"/>
              </w:rPr>
            </w:pPr>
            <w:r w:rsidRPr="007C5771">
              <w:rPr>
                <w:rFonts w:asciiTheme="majorHAnsi" w:hAnsiTheme="majorHAnsi"/>
                <w:bCs/>
                <w:sz w:val="19"/>
                <w:szCs w:val="19"/>
                <w:lang w:val="es-ES"/>
              </w:rPr>
              <w:t xml:space="preserve">No </w:t>
            </w:r>
          </w:p>
        </w:tc>
      </w:tr>
      <w:tr w:rsidR="003239B8" w:rsidRPr="00AA17A8" w14:paraId="78695D54" w14:textId="77777777" w:rsidTr="00AA17A8">
        <w:trPr>
          <w:cantSplit/>
        </w:trPr>
        <w:tc>
          <w:tcPr>
            <w:tcW w:w="2790" w:type="dxa"/>
            <w:tcBorders>
              <w:top w:val="single" w:sz="6" w:space="0" w:color="auto"/>
              <w:bottom w:val="single" w:sz="6" w:space="0" w:color="auto"/>
            </w:tcBorders>
            <w:shd w:val="clear" w:color="auto" w:fill="67AE3B"/>
            <w:vAlign w:val="center"/>
          </w:tcPr>
          <w:p w14:paraId="15A63D12" w14:textId="07AA5FC8" w:rsidR="003239B8" w:rsidRPr="007C5771" w:rsidRDefault="00AA17A8" w:rsidP="00954B82">
            <w:pPr>
              <w:jc w:val="center"/>
              <w:rPr>
                <w:rFonts w:asciiTheme="majorHAnsi" w:hAnsiTheme="majorHAnsi"/>
                <w:bCs/>
                <w:i/>
                <w:color w:val="FFFFFF" w:themeColor="background1"/>
                <w:sz w:val="19"/>
                <w:szCs w:val="19"/>
                <w:lang w:val="es-ES"/>
              </w:rPr>
            </w:pPr>
            <w:proofErr w:type="spellStart"/>
            <w:r>
              <w:rPr>
                <w:rFonts w:asciiTheme="majorHAnsi" w:hAnsiTheme="majorHAnsi"/>
                <w:bCs/>
                <w:color w:val="FFFFFF" w:themeColor="background1"/>
                <w:sz w:val="19"/>
                <w:szCs w:val="19"/>
                <w:lang w:val="es-ES"/>
              </w:rPr>
              <w:t>Rights</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declared</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admissible</w:t>
            </w:r>
            <w:proofErr w:type="spellEnd"/>
          </w:p>
        </w:tc>
        <w:tc>
          <w:tcPr>
            <w:tcW w:w="6570" w:type="dxa"/>
            <w:vAlign w:val="center"/>
          </w:tcPr>
          <w:p w14:paraId="25819CCE" w14:textId="525A9C8B" w:rsidR="003239B8" w:rsidRPr="00213C3D" w:rsidRDefault="00213C3D" w:rsidP="00A32A55">
            <w:pPr>
              <w:jc w:val="both"/>
              <w:rPr>
                <w:rFonts w:asciiTheme="majorHAnsi" w:hAnsiTheme="majorHAnsi"/>
                <w:bCs/>
                <w:sz w:val="19"/>
                <w:szCs w:val="19"/>
              </w:rPr>
            </w:pPr>
            <w:r w:rsidRPr="00213C3D">
              <w:rPr>
                <w:rFonts w:asciiTheme="majorHAnsi" w:hAnsiTheme="majorHAnsi"/>
                <w:bCs/>
                <w:sz w:val="19"/>
                <w:szCs w:val="19"/>
              </w:rPr>
              <w:t>Articles 5 (humane treatment), 8 (fair trial)</w:t>
            </w:r>
            <w:r>
              <w:rPr>
                <w:rFonts w:asciiTheme="majorHAnsi" w:hAnsiTheme="majorHAnsi"/>
                <w:bCs/>
                <w:sz w:val="19"/>
                <w:szCs w:val="19"/>
              </w:rPr>
              <w:t xml:space="preserve">, 19 (rights of the child) and 25 (judicial protection) of the American Convention in relation to its </w:t>
            </w:r>
            <w:r w:rsidR="00A36B03">
              <w:rPr>
                <w:rFonts w:asciiTheme="majorHAnsi" w:hAnsiTheme="majorHAnsi"/>
                <w:bCs/>
                <w:sz w:val="19"/>
                <w:szCs w:val="19"/>
              </w:rPr>
              <w:t>Article</w:t>
            </w:r>
            <w:r>
              <w:rPr>
                <w:rFonts w:asciiTheme="majorHAnsi" w:hAnsiTheme="majorHAnsi"/>
                <w:bCs/>
                <w:sz w:val="19"/>
                <w:szCs w:val="19"/>
              </w:rPr>
              <w:t xml:space="preserve">s 1.1 (obligation to respect rights) and 2 (domestic legal effects); and </w:t>
            </w:r>
            <w:r w:rsidR="00A36B03">
              <w:rPr>
                <w:rFonts w:asciiTheme="majorHAnsi" w:hAnsiTheme="majorHAnsi"/>
                <w:bCs/>
                <w:sz w:val="19"/>
                <w:szCs w:val="19"/>
              </w:rPr>
              <w:t>Article</w:t>
            </w:r>
            <w:r>
              <w:rPr>
                <w:rFonts w:asciiTheme="majorHAnsi" w:hAnsiTheme="majorHAnsi"/>
                <w:bCs/>
                <w:sz w:val="19"/>
                <w:szCs w:val="19"/>
              </w:rPr>
              <w:t xml:space="preserve"> 7 of the </w:t>
            </w:r>
            <w:proofErr w:type="spellStart"/>
            <w:r>
              <w:rPr>
                <w:rFonts w:asciiTheme="majorHAnsi" w:hAnsiTheme="majorHAnsi"/>
                <w:bCs/>
                <w:sz w:val="19"/>
                <w:szCs w:val="19"/>
              </w:rPr>
              <w:t>Belém</w:t>
            </w:r>
            <w:proofErr w:type="spellEnd"/>
            <w:r>
              <w:rPr>
                <w:rFonts w:asciiTheme="majorHAnsi" w:hAnsiTheme="majorHAnsi"/>
                <w:bCs/>
                <w:sz w:val="19"/>
                <w:szCs w:val="19"/>
              </w:rPr>
              <w:t xml:space="preserve"> do </w:t>
            </w:r>
            <w:proofErr w:type="spellStart"/>
            <w:r>
              <w:rPr>
                <w:rFonts w:asciiTheme="majorHAnsi" w:hAnsiTheme="majorHAnsi"/>
                <w:bCs/>
                <w:sz w:val="19"/>
                <w:szCs w:val="19"/>
              </w:rPr>
              <w:t>Pará</w:t>
            </w:r>
            <w:proofErr w:type="spellEnd"/>
            <w:r>
              <w:rPr>
                <w:rFonts w:asciiTheme="majorHAnsi" w:hAnsiTheme="majorHAnsi"/>
                <w:bCs/>
                <w:sz w:val="19"/>
                <w:szCs w:val="19"/>
              </w:rPr>
              <w:t xml:space="preserve"> Convention.</w:t>
            </w:r>
          </w:p>
        </w:tc>
      </w:tr>
      <w:tr w:rsidR="003239B8" w:rsidRPr="00AA17A8" w14:paraId="5A43A72E" w14:textId="77777777" w:rsidTr="00AA17A8">
        <w:trPr>
          <w:cantSplit/>
        </w:trPr>
        <w:tc>
          <w:tcPr>
            <w:tcW w:w="2790" w:type="dxa"/>
            <w:tcBorders>
              <w:top w:val="single" w:sz="6" w:space="0" w:color="auto"/>
              <w:bottom w:val="single" w:sz="6" w:space="0" w:color="auto"/>
            </w:tcBorders>
            <w:shd w:val="clear" w:color="auto" w:fill="67AE3B"/>
            <w:vAlign w:val="center"/>
          </w:tcPr>
          <w:p w14:paraId="7D2E5F31" w14:textId="52F227BE" w:rsidR="003239B8" w:rsidRPr="00AA17A8" w:rsidRDefault="00AA17A8" w:rsidP="006775AB">
            <w:pPr>
              <w:jc w:val="center"/>
              <w:rPr>
                <w:rFonts w:asciiTheme="majorHAnsi" w:hAnsiTheme="majorHAnsi"/>
                <w:bCs/>
                <w:color w:val="FFFFFF" w:themeColor="background1"/>
                <w:sz w:val="19"/>
                <w:szCs w:val="19"/>
              </w:rPr>
            </w:pPr>
            <w:r w:rsidRPr="00AA17A8">
              <w:rPr>
                <w:rFonts w:asciiTheme="majorHAnsi" w:hAnsiTheme="majorHAnsi"/>
                <w:bCs/>
                <w:color w:val="FFFFFF" w:themeColor="background1"/>
                <w:sz w:val="19"/>
                <w:szCs w:val="19"/>
              </w:rPr>
              <w:t>Exhaustion or exception to the exhaustion of domestic remedies</w:t>
            </w:r>
          </w:p>
        </w:tc>
        <w:tc>
          <w:tcPr>
            <w:tcW w:w="6570" w:type="dxa"/>
            <w:vAlign w:val="center"/>
          </w:tcPr>
          <w:p w14:paraId="7706C86B" w14:textId="7A32DC04" w:rsidR="003239B8" w:rsidRPr="00F950D4" w:rsidRDefault="00213C3D" w:rsidP="00A12735">
            <w:pPr>
              <w:rPr>
                <w:rFonts w:asciiTheme="majorHAnsi" w:hAnsiTheme="majorHAnsi"/>
                <w:bCs/>
                <w:sz w:val="19"/>
                <w:szCs w:val="19"/>
              </w:rPr>
            </w:pPr>
            <w:r w:rsidRPr="00F950D4">
              <w:rPr>
                <w:rFonts w:asciiTheme="majorHAnsi" w:hAnsiTheme="majorHAnsi"/>
                <w:sz w:val="19"/>
                <w:szCs w:val="19"/>
              </w:rPr>
              <w:t>Yes, as detailed in Section VI</w:t>
            </w:r>
          </w:p>
        </w:tc>
      </w:tr>
      <w:tr w:rsidR="003239B8" w:rsidRPr="00213C3D" w14:paraId="0D6C9840" w14:textId="77777777" w:rsidTr="00AA17A8">
        <w:trPr>
          <w:cantSplit/>
        </w:trPr>
        <w:tc>
          <w:tcPr>
            <w:tcW w:w="2790" w:type="dxa"/>
            <w:tcBorders>
              <w:top w:val="single" w:sz="6" w:space="0" w:color="auto"/>
              <w:bottom w:val="single" w:sz="6" w:space="0" w:color="auto"/>
            </w:tcBorders>
            <w:shd w:val="clear" w:color="auto" w:fill="67AE3B"/>
            <w:vAlign w:val="center"/>
          </w:tcPr>
          <w:p w14:paraId="707188B8" w14:textId="62312440" w:rsidR="003239B8" w:rsidRPr="007C5771" w:rsidRDefault="00AA17A8" w:rsidP="00311D3F">
            <w:pPr>
              <w:jc w:val="center"/>
              <w:rPr>
                <w:rFonts w:asciiTheme="majorHAnsi" w:hAnsiTheme="majorHAnsi"/>
                <w:bCs/>
                <w:color w:val="FFFFFF" w:themeColor="background1"/>
                <w:sz w:val="19"/>
                <w:szCs w:val="19"/>
                <w:lang w:val="es-ES"/>
              </w:rPr>
            </w:pPr>
            <w:proofErr w:type="spellStart"/>
            <w:r>
              <w:rPr>
                <w:rFonts w:asciiTheme="majorHAnsi" w:hAnsiTheme="majorHAnsi"/>
                <w:bCs/>
                <w:color w:val="FFFFFF" w:themeColor="background1"/>
                <w:sz w:val="19"/>
                <w:szCs w:val="19"/>
                <w:lang w:val="es-ES"/>
              </w:rPr>
              <w:t>Timeliness</w:t>
            </w:r>
            <w:proofErr w:type="spellEnd"/>
            <w:r>
              <w:rPr>
                <w:rFonts w:asciiTheme="majorHAnsi" w:hAnsiTheme="majorHAnsi"/>
                <w:bCs/>
                <w:color w:val="FFFFFF" w:themeColor="background1"/>
                <w:sz w:val="19"/>
                <w:szCs w:val="19"/>
                <w:lang w:val="es-ES"/>
              </w:rPr>
              <w:t xml:space="preserve"> of </w:t>
            </w:r>
            <w:proofErr w:type="spellStart"/>
            <w:r>
              <w:rPr>
                <w:rFonts w:asciiTheme="majorHAnsi" w:hAnsiTheme="majorHAnsi"/>
                <w:bCs/>
                <w:color w:val="FFFFFF" w:themeColor="background1"/>
                <w:sz w:val="19"/>
                <w:szCs w:val="19"/>
                <w:lang w:val="es-ES"/>
              </w:rPr>
              <w:t>the</w:t>
            </w:r>
            <w:proofErr w:type="spellEnd"/>
            <w:r>
              <w:rPr>
                <w:rFonts w:asciiTheme="majorHAnsi" w:hAnsiTheme="majorHAnsi"/>
                <w:bCs/>
                <w:color w:val="FFFFFF" w:themeColor="background1"/>
                <w:sz w:val="19"/>
                <w:szCs w:val="19"/>
                <w:lang w:val="es-ES"/>
              </w:rPr>
              <w:t xml:space="preserve"> </w:t>
            </w:r>
            <w:proofErr w:type="spellStart"/>
            <w:r>
              <w:rPr>
                <w:rFonts w:asciiTheme="majorHAnsi" w:hAnsiTheme="majorHAnsi"/>
                <w:bCs/>
                <w:color w:val="FFFFFF" w:themeColor="background1"/>
                <w:sz w:val="19"/>
                <w:szCs w:val="19"/>
                <w:lang w:val="es-ES"/>
              </w:rPr>
              <w:t>petition</w:t>
            </w:r>
            <w:proofErr w:type="spellEnd"/>
          </w:p>
        </w:tc>
        <w:tc>
          <w:tcPr>
            <w:tcW w:w="6570" w:type="dxa"/>
            <w:vAlign w:val="center"/>
          </w:tcPr>
          <w:p w14:paraId="4E96E218" w14:textId="02A61B04" w:rsidR="003239B8" w:rsidRPr="00213C3D" w:rsidRDefault="00213C3D" w:rsidP="00311D3F">
            <w:pPr>
              <w:rPr>
                <w:rFonts w:asciiTheme="majorHAnsi" w:hAnsiTheme="majorHAnsi"/>
                <w:bCs/>
                <w:sz w:val="19"/>
                <w:szCs w:val="19"/>
              </w:rPr>
            </w:pPr>
            <w:r w:rsidRPr="00213C3D">
              <w:rPr>
                <w:rFonts w:asciiTheme="majorHAnsi" w:hAnsiTheme="majorHAnsi"/>
                <w:sz w:val="19"/>
                <w:szCs w:val="19"/>
              </w:rPr>
              <w:t>Yes, as detailed in Section VI</w:t>
            </w:r>
          </w:p>
        </w:tc>
      </w:tr>
    </w:tbl>
    <w:p w14:paraId="1A198773" w14:textId="45C0D2F3" w:rsidR="00B520EC" w:rsidRDefault="00B520EC" w:rsidP="001F55DC">
      <w:pPr>
        <w:spacing w:before="120" w:after="120"/>
        <w:contextualSpacing/>
        <w:jc w:val="both"/>
        <w:rPr>
          <w:rFonts w:asciiTheme="majorHAnsi" w:hAnsiTheme="majorHAnsi"/>
          <w:b/>
          <w:sz w:val="20"/>
          <w:szCs w:val="20"/>
        </w:rPr>
      </w:pPr>
    </w:p>
    <w:p w14:paraId="1169A14D" w14:textId="1C5DC577" w:rsidR="00213C3D" w:rsidRDefault="00213C3D" w:rsidP="001F55DC">
      <w:pPr>
        <w:spacing w:before="120" w:after="120"/>
        <w:contextualSpacing/>
        <w:jc w:val="both"/>
        <w:rPr>
          <w:rFonts w:asciiTheme="majorHAnsi" w:hAnsiTheme="majorHAnsi"/>
          <w:b/>
          <w:sz w:val="20"/>
          <w:szCs w:val="20"/>
        </w:rPr>
      </w:pPr>
    </w:p>
    <w:p w14:paraId="546D2C70" w14:textId="7B4EA617" w:rsidR="00213C3D" w:rsidRDefault="00213C3D" w:rsidP="001F55DC">
      <w:pPr>
        <w:spacing w:before="120" w:after="120"/>
        <w:contextualSpacing/>
        <w:jc w:val="both"/>
        <w:rPr>
          <w:rFonts w:asciiTheme="majorHAnsi" w:hAnsiTheme="majorHAnsi"/>
          <w:b/>
          <w:sz w:val="20"/>
          <w:szCs w:val="20"/>
        </w:rPr>
      </w:pPr>
    </w:p>
    <w:p w14:paraId="1346C5A8" w14:textId="77777777" w:rsidR="00213C3D" w:rsidRPr="00213C3D" w:rsidRDefault="00213C3D" w:rsidP="001F55DC">
      <w:pPr>
        <w:spacing w:before="120" w:after="120"/>
        <w:contextualSpacing/>
        <w:jc w:val="both"/>
        <w:rPr>
          <w:rFonts w:asciiTheme="majorHAnsi" w:hAnsiTheme="majorHAnsi"/>
          <w:b/>
          <w:sz w:val="20"/>
          <w:szCs w:val="20"/>
        </w:rPr>
      </w:pPr>
    </w:p>
    <w:p w14:paraId="606E0318" w14:textId="665B599C" w:rsidR="003239B8" w:rsidRPr="007C5771" w:rsidRDefault="00223A29" w:rsidP="00A36B03">
      <w:pPr>
        <w:spacing w:before="120" w:after="240"/>
        <w:ind w:firstLine="720"/>
        <w:contextualSpacing/>
        <w:jc w:val="both"/>
        <w:rPr>
          <w:rFonts w:asciiTheme="majorHAnsi" w:hAnsiTheme="majorHAnsi"/>
          <w:b/>
          <w:sz w:val="20"/>
          <w:szCs w:val="20"/>
          <w:lang w:val="es-ES"/>
        </w:rPr>
      </w:pPr>
      <w:r w:rsidRPr="007C5771">
        <w:rPr>
          <w:rFonts w:asciiTheme="majorHAnsi" w:hAnsiTheme="majorHAnsi"/>
          <w:b/>
          <w:sz w:val="20"/>
          <w:szCs w:val="20"/>
          <w:lang w:val="es-ES"/>
        </w:rPr>
        <w:t xml:space="preserve">V. </w:t>
      </w:r>
      <w:r w:rsidRPr="007C5771">
        <w:rPr>
          <w:rFonts w:asciiTheme="majorHAnsi" w:hAnsiTheme="majorHAnsi"/>
          <w:b/>
          <w:sz w:val="20"/>
          <w:szCs w:val="20"/>
          <w:lang w:val="es-ES"/>
        </w:rPr>
        <w:tab/>
      </w:r>
      <w:r w:rsidR="00AA17A8">
        <w:rPr>
          <w:rFonts w:asciiTheme="majorHAnsi" w:hAnsiTheme="majorHAnsi"/>
          <w:b/>
          <w:sz w:val="20"/>
          <w:szCs w:val="20"/>
          <w:lang w:val="es-ES"/>
        </w:rPr>
        <w:t>SUMMARY OF ALLEGED FACTS</w:t>
      </w:r>
    </w:p>
    <w:p w14:paraId="74F35096" w14:textId="3B0F4A95" w:rsidR="00213C3D" w:rsidRPr="00213C3D" w:rsidRDefault="00213C3D"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rPr>
      </w:pPr>
      <w:r w:rsidRPr="00213C3D">
        <w:rPr>
          <w:rFonts w:asciiTheme="majorHAnsi" w:hAnsiTheme="majorHAnsi"/>
          <w:sz w:val="20"/>
          <w:szCs w:val="20"/>
        </w:rPr>
        <w:t>The petitioner</w:t>
      </w:r>
      <w:r w:rsidR="00C16670">
        <w:rPr>
          <w:rFonts w:asciiTheme="majorHAnsi" w:hAnsiTheme="majorHAnsi"/>
          <w:sz w:val="20"/>
          <w:szCs w:val="20"/>
        </w:rPr>
        <w:t>s</w:t>
      </w:r>
      <w:r w:rsidRPr="00213C3D">
        <w:rPr>
          <w:rFonts w:asciiTheme="majorHAnsi" w:hAnsiTheme="majorHAnsi"/>
          <w:sz w:val="20"/>
          <w:szCs w:val="20"/>
        </w:rPr>
        <w:t xml:space="preserve"> allege human rights violations to the detriment of Rita María Pérez</w:t>
      </w:r>
      <w:r>
        <w:rPr>
          <w:rFonts w:asciiTheme="majorHAnsi" w:hAnsiTheme="majorHAnsi"/>
          <w:sz w:val="20"/>
          <w:szCs w:val="20"/>
        </w:rPr>
        <w:t>, her two sons</w:t>
      </w:r>
      <w:r w:rsidRPr="007C5771">
        <w:rPr>
          <w:rStyle w:val="FootnoteReference"/>
          <w:rFonts w:asciiTheme="majorHAnsi" w:hAnsiTheme="majorHAnsi"/>
          <w:sz w:val="20"/>
          <w:szCs w:val="20"/>
          <w:lang w:val="es-ES_tradnl"/>
        </w:rPr>
        <w:footnoteReference w:id="9"/>
      </w:r>
      <w:r>
        <w:rPr>
          <w:rFonts w:asciiTheme="majorHAnsi" w:hAnsiTheme="majorHAnsi"/>
          <w:sz w:val="20"/>
          <w:szCs w:val="20"/>
        </w:rPr>
        <w:t xml:space="preserve"> and her daughter</w:t>
      </w:r>
      <w:r w:rsidRPr="007C5771">
        <w:rPr>
          <w:rStyle w:val="FootnoteReference"/>
          <w:rFonts w:asciiTheme="majorHAnsi" w:hAnsiTheme="majorHAnsi"/>
          <w:sz w:val="20"/>
          <w:szCs w:val="20"/>
          <w:lang w:val="es-ES_tradnl"/>
        </w:rPr>
        <w:footnoteReference w:id="10"/>
      </w:r>
      <w:r w:rsidRPr="00213C3D">
        <w:rPr>
          <w:rFonts w:asciiTheme="majorHAnsi" w:hAnsiTheme="majorHAnsi"/>
          <w:sz w:val="20"/>
          <w:szCs w:val="20"/>
        </w:rPr>
        <w:t xml:space="preserve"> (</w:t>
      </w:r>
      <w:r>
        <w:rPr>
          <w:rFonts w:asciiTheme="majorHAnsi" w:hAnsiTheme="majorHAnsi"/>
          <w:sz w:val="20"/>
          <w:szCs w:val="20"/>
        </w:rPr>
        <w:t xml:space="preserve">hereinafter, “the alleged victims”). </w:t>
      </w:r>
      <w:r w:rsidR="00C16670">
        <w:rPr>
          <w:rFonts w:asciiTheme="majorHAnsi" w:hAnsiTheme="majorHAnsi"/>
          <w:sz w:val="20"/>
          <w:szCs w:val="20"/>
        </w:rPr>
        <w:t>They claim</w:t>
      </w:r>
      <w:r>
        <w:rPr>
          <w:rFonts w:asciiTheme="majorHAnsi" w:hAnsiTheme="majorHAnsi"/>
          <w:sz w:val="20"/>
          <w:szCs w:val="20"/>
        </w:rPr>
        <w:t xml:space="preserve"> that the State failed to comply with its obligations with regard to the protection of </w:t>
      </w:r>
      <w:r w:rsidR="00BD2FC0">
        <w:rPr>
          <w:rFonts w:asciiTheme="majorHAnsi" w:hAnsiTheme="majorHAnsi"/>
          <w:sz w:val="20"/>
          <w:szCs w:val="20"/>
        </w:rPr>
        <w:t xml:space="preserve">women who are victims of domestic violence and the rights of the child during a mediation procedure after a de facto separation and during judicial proceedings for qualified minor </w:t>
      </w:r>
      <w:r w:rsidR="00D37735">
        <w:rPr>
          <w:rFonts w:asciiTheme="majorHAnsi" w:hAnsiTheme="majorHAnsi"/>
          <w:sz w:val="20"/>
          <w:szCs w:val="20"/>
        </w:rPr>
        <w:t>battery</w:t>
      </w:r>
      <w:r w:rsidR="00BD2FC0">
        <w:rPr>
          <w:rFonts w:asciiTheme="majorHAnsi" w:hAnsiTheme="majorHAnsi"/>
          <w:sz w:val="20"/>
          <w:szCs w:val="20"/>
        </w:rPr>
        <w:t xml:space="preserve">, divorce and </w:t>
      </w:r>
      <w:r w:rsidR="006E6946">
        <w:rPr>
          <w:rFonts w:asciiTheme="majorHAnsi" w:hAnsiTheme="majorHAnsi"/>
          <w:sz w:val="20"/>
          <w:szCs w:val="20"/>
        </w:rPr>
        <w:t>child support.</w:t>
      </w:r>
    </w:p>
    <w:p w14:paraId="40B1BB37" w14:textId="7CC5C675" w:rsidR="006E6946" w:rsidRPr="006E6946" w:rsidRDefault="006E6946"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rPr>
      </w:pPr>
      <w:r w:rsidRPr="006E6946">
        <w:rPr>
          <w:rFonts w:asciiTheme="majorHAnsi" w:hAnsiTheme="majorHAnsi"/>
          <w:sz w:val="20"/>
          <w:szCs w:val="20"/>
        </w:rPr>
        <w:t>The petitioner</w:t>
      </w:r>
      <w:r w:rsidR="00C16670">
        <w:rPr>
          <w:rFonts w:asciiTheme="majorHAnsi" w:hAnsiTheme="majorHAnsi"/>
          <w:sz w:val="20"/>
          <w:szCs w:val="20"/>
        </w:rPr>
        <w:t>s</w:t>
      </w:r>
      <w:r w:rsidRPr="006E6946">
        <w:rPr>
          <w:rFonts w:asciiTheme="majorHAnsi" w:hAnsiTheme="majorHAnsi"/>
          <w:sz w:val="20"/>
          <w:szCs w:val="20"/>
        </w:rPr>
        <w:t xml:space="preserve"> explain that Ms. P</w:t>
      </w:r>
      <w:r>
        <w:rPr>
          <w:rFonts w:asciiTheme="majorHAnsi" w:hAnsiTheme="majorHAnsi"/>
          <w:sz w:val="20"/>
          <w:szCs w:val="20"/>
        </w:rPr>
        <w:t>érez lived with her former husband, who beat hear, until April 27, 2003, when she filed a complaint over the situation of domestic violence, de facto separated and changed her residence, together with her three children</w:t>
      </w:r>
      <w:r w:rsidRPr="007C5771">
        <w:rPr>
          <w:rStyle w:val="FootnoteReference"/>
          <w:rFonts w:asciiTheme="majorHAnsi" w:hAnsiTheme="majorHAnsi"/>
          <w:sz w:val="20"/>
          <w:szCs w:val="20"/>
          <w:lang w:val="es-ES_tradnl"/>
        </w:rPr>
        <w:footnoteReference w:id="11"/>
      </w:r>
      <w:r>
        <w:rPr>
          <w:rFonts w:asciiTheme="majorHAnsi" w:hAnsiTheme="majorHAnsi"/>
          <w:sz w:val="20"/>
          <w:szCs w:val="20"/>
        </w:rPr>
        <w:t>. The petitioner</w:t>
      </w:r>
      <w:r w:rsidR="00C16670">
        <w:rPr>
          <w:rFonts w:asciiTheme="majorHAnsi" w:hAnsiTheme="majorHAnsi"/>
          <w:sz w:val="20"/>
          <w:szCs w:val="20"/>
        </w:rPr>
        <w:t>s</w:t>
      </w:r>
      <w:r>
        <w:rPr>
          <w:rFonts w:asciiTheme="majorHAnsi" w:hAnsiTheme="majorHAnsi"/>
          <w:sz w:val="20"/>
          <w:szCs w:val="20"/>
        </w:rPr>
        <w:t xml:space="preserve"> point out that she begun mediation proceedings, during which a mediation hearing was held on June 4, 2003; an agreement on communication and visitation was reached during the hearing</w:t>
      </w:r>
      <w:r w:rsidRPr="007C5771">
        <w:rPr>
          <w:rStyle w:val="FootnoteReference"/>
          <w:rFonts w:asciiTheme="majorHAnsi" w:hAnsiTheme="majorHAnsi"/>
          <w:sz w:val="20"/>
          <w:szCs w:val="20"/>
          <w:lang w:val="es-ES_tradnl"/>
        </w:rPr>
        <w:footnoteReference w:id="12"/>
      </w:r>
      <w:r>
        <w:rPr>
          <w:rFonts w:asciiTheme="majorHAnsi" w:hAnsiTheme="majorHAnsi"/>
          <w:sz w:val="20"/>
          <w:szCs w:val="20"/>
        </w:rPr>
        <w:t>. The petitioner</w:t>
      </w:r>
      <w:r w:rsidR="00C16670">
        <w:rPr>
          <w:rFonts w:asciiTheme="majorHAnsi" w:hAnsiTheme="majorHAnsi"/>
          <w:sz w:val="20"/>
          <w:szCs w:val="20"/>
        </w:rPr>
        <w:t>s</w:t>
      </w:r>
      <w:r>
        <w:rPr>
          <w:rFonts w:asciiTheme="majorHAnsi" w:hAnsiTheme="majorHAnsi"/>
          <w:sz w:val="20"/>
          <w:szCs w:val="20"/>
        </w:rPr>
        <w:t xml:space="preserve"> claim that, due to the intransigence of the former husband, no agreement or deal was reached with regard to his child support obligation. The petitioner</w:t>
      </w:r>
      <w:r w:rsidR="00C16670">
        <w:rPr>
          <w:rFonts w:asciiTheme="majorHAnsi" w:hAnsiTheme="majorHAnsi"/>
          <w:sz w:val="20"/>
          <w:szCs w:val="20"/>
        </w:rPr>
        <w:t>s</w:t>
      </w:r>
      <w:r>
        <w:rPr>
          <w:rFonts w:asciiTheme="majorHAnsi" w:hAnsiTheme="majorHAnsi"/>
          <w:sz w:val="20"/>
          <w:szCs w:val="20"/>
        </w:rPr>
        <w:t xml:space="preserve"> hold that the State</w:t>
      </w:r>
      <w:r w:rsidR="00D37735">
        <w:rPr>
          <w:rFonts w:asciiTheme="majorHAnsi" w:hAnsiTheme="majorHAnsi"/>
          <w:sz w:val="20"/>
          <w:szCs w:val="20"/>
        </w:rPr>
        <w:t>,</w:t>
      </w:r>
      <w:r>
        <w:rPr>
          <w:rFonts w:asciiTheme="majorHAnsi" w:hAnsiTheme="majorHAnsi"/>
          <w:sz w:val="20"/>
          <w:szCs w:val="20"/>
        </w:rPr>
        <w:t xml:space="preserve"> </w:t>
      </w:r>
      <w:r w:rsidR="00D37735">
        <w:rPr>
          <w:rFonts w:asciiTheme="majorHAnsi" w:hAnsiTheme="majorHAnsi"/>
          <w:sz w:val="20"/>
          <w:szCs w:val="20"/>
        </w:rPr>
        <w:t xml:space="preserve">by allowing the mediation and homologating the agreement, </w:t>
      </w:r>
      <w:r>
        <w:rPr>
          <w:rFonts w:asciiTheme="majorHAnsi" w:hAnsiTheme="majorHAnsi"/>
          <w:sz w:val="20"/>
          <w:szCs w:val="20"/>
        </w:rPr>
        <w:t xml:space="preserve">did not fulfill his obligations under the </w:t>
      </w:r>
      <w:proofErr w:type="spellStart"/>
      <w:r>
        <w:rPr>
          <w:rFonts w:asciiTheme="majorHAnsi" w:hAnsiTheme="majorHAnsi"/>
          <w:sz w:val="20"/>
          <w:szCs w:val="20"/>
        </w:rPr>
        <w:t>Belém</w:t>
      </w:r>
      <w:proofErr w:type="spellEnd"/>
      <w:r>
        <w:rPr>
          <w:rFonts w:asciiTheme="majorHAnsi" w:hAnsiTheme="majorHAnsi"/>
          <w:sz w:val="20"/>
          <w:szCs w:val="20"/>
        </w:rPr>
        <w:t xml:space="preserve"> do </w:t>
      </w:r>
      <w:proofErr w:type="spellStart"/>
      <w:r>
        <w:rPr>
          <w:rFonts w:asciiTheme="majorHAnsi" w:hAnsiTheme="majorHAnsi"/>
          <w:sz w:val="20"/>
          <w:szCs w:val="20"/>
        </w:rPr>
        <w:t>Pará</w:t>
      </w:r>
      <w:proofErr w:type="spellEnd"/>
      <w:r>
        <w:rPr>
          <w:rFonts w:asciiTheme="majorHAnsi" w:hAnsiTheme="majorHAnsi"/>
          <w:sz w:val="20"/>
          <w:szCs w:val="20"/>
        </w:rPr>
        <w:t xml:space="preserve"> Convention</w:t>
      </w:r>
      <w:r w:rsidR="00D37735">
        <w:rPr>
          <w:rFonts w:asciiTheme="majorHAnsi" w:hAnsiTheme="majorHAnsi"/>
          <w:sz w:val="20"/>
          <w:szCs w:val="20"/>
        </w:rPr>
        <w:t xml:space="preserve">, as mediation is improper in cases where domestic violence is present as the parties are not in an equal footing. In addition, </w:t>
      </w:r>
      <w:r w:rsidR="00C16670">
        <w:rPr>
          <w:rFonts w:asciiTheme="majorHAnsi" w:hAnsiTheme="majorHAnsi"/>
          <w:sz w:val="20"/>
          <w:szCs w:val="20"/>
        </w:rPr>
        <w:t>they</w:t>
      </w:r>
      <w:r w:rsidR="00D37735">
        <w:rPr>
          <w:rFonts w:asciiTheme="majorHAnsi" w:hAnsiTheme="majorHAnsi"/>
          <w:sz w:val="20"/>
          <w:szCs w:val="20"/>
        </w:rPr>
        <w:t xml:space="preserve"> consider that the State did not fulfill its obligation toward the children, as they were not afforded legal representation to look after their interests in the mediation proceeding in which the access and visitation regime was established.</w:t>
      </w:r>
    </w:p>
    <w:p w14:paraId="0DE3D603" w14:textId="342166C7" w:rsidR="00311D3F" w:rsidRPr="00D37735" w:rsidRDefault="00D37735"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9"/>
        <w:jc w:val="both"/>
        <w:rPr>
          <w:rFonts w:asciiTheme="majorHAnsi" w:hAnsiTheme="majorHAnsi"/>
          <w:sz w:val="20"/>
          <w:szCs w:val="20"/>
        </w:rPr>
      </w:pPr>
      <w:r w:rsidRPr="00D37735">
        <w:rPr>
          <w:rFonts w:asciiTheme="majorHAnsi" w:hAnsiTheme="majorHAnsi"/>
          <w:sz w:val="20"/>
          <w:szCs w:val="20"/>
        </w:rPr>
        <w:t>The petitioner</w:t>
      </w:r>
      <w:r w:rsidR="00C16670">
        <w:rPr>
          <w:rFonts w:asciiTheme="majorHAnsi" w:hAnsiTheme="majorHAnsi"/>
          <w:sz w:val="20"/>
          <w:szCs w:val="20"/>
        </w:rPr>
        <w:t>s</w:t>
      </w:r>
      <w:r w:rsidRPr="00D37735">
        <w:rPr>
          <w:rFonts w:asciiTheme="majorHAnsi" w:hAnsiTheme="majorHAnsi"/>
          <w:sz w:val="20"/>
          <w:szCs w:val="20"/>
        </w:rPr>
        <w:t xml:space="preserve"> add that on June 17, 2003, </w:t>
      </w:r>
      <w:r>
        <w:rPr>
          <w:rFonts w:asciiTheme="majorHAnsi" w:hAnsiTheme="majorHAnsi"/>
          <w:sz w:val="20"/>
          <w:szCs w:val="20"/>
        </w:rPr>
        <w:t>Ms. Pérez was assaulted by her then husband in the presence of a neighbor</w:t>
      </w:r>
      <w:r w:rsidRPr="007C5771">
        <w:rPr>
          <w:rStyle w:val="FootnoteReference"/>
          <w:rFonts w:asciiTheme="majorHAnsi" w:hAnsiTheme="majorHAnsi"/>
          <w:sz w:val="20"/>
          <w:szCs w:val="20"/>
          <w:lang w:val="es-ES_tradnl"/>
        </w:rPr>
        <w:footnoteReference w:id="13"/>
      </w:r>
      <w:r>
        <w:rPr>
          <w:rFonts w:asciiTheme="majorHAnsi" w:hAnsiTheme="majorHAnsi"/>
          <w:sz w:val="20"/>
          <w:szCs w:val="20"/>
        </w:rPr>
        <w:t>. The petitioner</w:t>
      </w:r>
      <w:r w:rsidR="00C16670">
        <w:rPr>
          <w:rFonts w:asciiTheme="majorHAnsi" w:hAnsiTheme="majorHAnsi"/>
          <w:sz w:val="20"/>
          <w:szCs w:val="20"/>
        </w:rPr>
        <w:t>s</w:t>
      </w:r>
      <w:r>
        <w:rPr>
          <w:rFonts w:asciiTheme="majorHAnsi" w:hAnsiTheme="majorHAnsi"/>
          <w:sz w:val="20"/>
          <w:szCs w:val="20"/>
        </w:rPr>
        <w:t xml:space="preserve"> point out that on this same date Ms. Pérez filed a complaint at the police station, which led to the start of an investigation for the crime of minor qualified battery against her then husband</w:t>
      </w:r>
      <w:r w:rsidRPr="007C5771">
        <w:rPr>
          <w:rStyle w:val="FootnoteReference"/>
          <w:rFonts w:asciiTheme="majorHAnsi" w:hAnsiTheme="majorHAnsi"/>
          <w:sz w:val="20"/>
          <w:szCs w:val="20"/>
          <w:lang w:val="es-ES_tradnl"/>
        </w:rPr>
        <w:footnoteReference w:id="14"/>
      </w:r>
      <w:r>
        <w:rPr>
          <w:rFonts w:asciiTheme="majorHAnsi" w:hAnsiTheme="majorHAnsi"/>
          <w:sz w:val="20"/>
          <w:szCs w:val="20"/>
        </w:rPr>
        <w:t>.</w:t>
      </w:r>
      <w:r w:rsidR="00F156AD">
        <w:rPr>
          <w:rFonts w:asciiTheme="majorHAnsi" w:hAnsiTheme="majorHAnsi"/>
          <w:sz w:val="20"/>
          <w:szCs w:val="20"/>
        </w:rPr>
        <w:t xml:space="preserve"> Her husband, however, was acquitted for “state of doubt” by the Fourth Correctional Court of First Instance of the Supreme Court of Mendoza, without the prosecutor filing any appeal. The petitioner</w:t>
      </w:r>
      <w:r w:rsidR="00C16670">
        <w:rPr>
          <w:rFonts w:asciiTheme="majorHAnsi" w:hAnsiTheme="majorHAnsi"/>
          <w:sz w:val="20"/>
          <w:szCs w:val="20"/>
        </w:rPr>
        <w:t>s</w:t>
      </w:r>
      <w:r w:rsidR="00F156AD">
        <w:rPr>
          <w:rFonts w:asciiTheme="majorHAnsi" w:hAnsiTheme="majorHAnsi"/>
          <w:sz w:val="20"/>
          <w:szCs w:val="20"/>
        </w:rPr>
        <w:t xml:space="preserve"> claim that the Court did not question the children nor the mother of Ms. Pérez, and did not request her for information on the neighbor that witnessed the incident; the petitioner adds that the court did not take into account the medical certificates produced by the police and did not undertake any investigation. As she considered that an illicit act had taken place, Ms. Pérez had resort</w:t>
      </w:r>
      <w:r w:rsidR="00F950D4">
        <w:rPr>
          <w:rFonts w:asciiTheme="majorHAnsi" w:hAnsiTheme="majorHAnsi"/>
          <w:sz w:val="20"/>
          <w:szCs w:val="20"/>
        </w:rPr>
        <w:t>ed</w:t>
      </w:r>
      <w:r w:rsidR="00F156AD">
        <w:rPr>
          <w:rFonts w:asciiTheme="majorHAnsi" w:hAnsiTheme="majorHAnsi"/>
          <w:sz w:val="20"/>
          <w:szCs w:val="20"/>
        </w:rPr>
        <w:t xml:space="preserve"> to the Department of Family, Childs and Adolescents and </w:t>
      </w:r>
      <w:r w:rsidR="00C16670">
        <w:rPr>
          <w:rFonts w:asciiTheme="majorHAnsi" w:hAnsiTheme="majorHAnsi"/>
          <w:sz w:val="20"/>
          <w:szCs w:val="20"/>
        </w:rPr>
        <w:t>solicited</w:t>
      </w:r>
      <w:r w:rsidR="00F156AD">
        <w:rPr>
          <w:rFonts w:asciiTheme="majorHAnsi" w:hAnsiTheme="majorHAnsi"/>
          <w:sz w:val="20"/>
          <w:szCs w:val="20"/>
        </w:rPr>
        <w:t xml:space="preserve"> assistance to </w:t>
      </w:r>
      <w:r w:rsidR="00C16670">
        <w:rPr>
          <w:rFonts w:asciiTheme="majorHAnsi" w:hAnsiTheme="majorHAnsi"/>
          <w:sz w:val="20"/>
          <w:szCs w:val="20"/>
        </w:rPr>
        <w:t>request that proceedings be initiated against the Judge and Prosecutor involved in the proceedings against her former husband. The petitioners point out that the Department denied the request, arguing that i</w:t>
      </w:r>
      <w:r w:rsidR="00F950D4">
        <w:rPr>
          <w:rFonts w:asciiTheme="majorHAnsi" w:hAnsiTheme="majorHAnsi"/>
          <w:sz w:val="20"/>
          <w:szCs w:val="20"/>
        </w:rPr>
        <w:t>t</w:t>
      </w:r>
      <w:r w:rsidR="00C16670">
        <w:rPr>
          <w:rFonts w:asciiTheme="majorHAnsi" w:hAnsiTheme="majorHAnsi"/>
          <w:sz w:val="20"/>
          <w:szCs w:val="20"/>
        </w:rPr>
        <w:t xml:space="preserve"> lacked competence</w:t>
      </w:r>
      <w:r w:rsidR="00C16670" w:rsidRPr="007C5771">
        <w:rPr>
          <w:rStyle w:val="FootnoteReference"/>
          <w:rFonts w:asciiTheme="majorHAnsi" w:hAnsiTheme="majorHAnsi"/>
          <w:sz w:val="20"/>
          <w:szCs w:val="20"/>
          <w:lang w:val="es-ES_tradnl"/>
        </w:rPr>
        <w:footnoteReference w:id="15"/>
      </w:r>
      <w:r w:rsidR="00C16670">
        <w:rPr>
          <w:rFonts w:asciiTheme="majorHAnsi" w:hAnsiTheme="majorHAnsi"/>
          <w:sz w:val="20"/>
          <w:szCs w:val="20"/>
        </w:rPr>
        <w:t>, and told Ms. Pérez that she would be called to be referred to a different state organ. The petitioners allege that Ms. Pérez was not contacted again and, as a result, the statute of limitations of the crime elapsed due to the passage of time. The petitioners allege that these events show a lack of due diligence on the part of the State to prevent and investigate gender violence cases.</w:t>
      </w:r>
    </w:p>
    <w:p w14:paraId="5F370381" w14:textId="402BB1AE" w:rsidR="00C16670" w:rsidRPr="00C16670" w:rsidRDefault="00C16670"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sz w:val="20"/>
          <w:szCs w:val="20"/>
        </w:rPr>
      </w:pPr>
      <w:r w:rsidRPr="00C16670">
        <w:rPr>
          <w:rFonts w:asciiTheme="majorHAnsi" w:hAnsiTheme="majorHAnsi"/>
          <w:sz w:val="20"/>
          <w:szCs w:val="20"/>
        </w:rPr>
        <w:t>The petitioners also point out that</w:t>
      </w:r>
      <w:r w:rsidR="00F950D4">
        <w:rPr>
          <w:rFonts w:asciiTheme="majorHAnsi" w:hAnsiTheme="majorHAnsi"/>
          <w:sz w:val="20"/>
          <w:szCs w:val="20"/>
        </w:rPr>
        <w:t>,</w:t>
      </w:r>
      <w:r w:rsidRPr="00C16670">
        <w:rPr>
          <w:rFonts w:asciiTheme="majorHAnsi" w:hAnsiTheme="majorHAnsi"/>
          <w:sz w:val="20"/>
          <w:szCs w:val="20"/>
        </w:rPr>
        <w:t xml:space="preserve"> on 2003</w:t>
      </w:r>
      <w:r w:rsidR="00F950D4">
        <w:rPr>
          <w:rFonts w:asciiTheme="majorHAnsi" w:hAnsiTheme="majorHAnsi"/>
          <w:sz w:val="20"/>
          <w:szCs w:val="20"/>
        </w:rPr>
        <w:t>,</w:t>
      </w:r>
      <w:r w:rsidRPr="00C16670">
        <w:rPr>
          <w:rFonts w:asciiTheme="majorHAnsi" w:hAnsiTheme="majorHAnsi"/>
          <w:sz w:val="20"/>
          <w:szCs w:val="20"/>
        </w:rPr>
        <w:t xml:space="preserve"> Ms. Pérez hired a </w:t>
      </w:r>
      <w:r>
        <w:rPr>
          <w:rFonts w:asciiTheme="majorHAnsi" w:hAnsiTheme="majorHAnsi"/>
          <w:sz w:val="20"/>
          <w:szCs w:val="20"/>
        </w:rPr>
        <w:t xml:space="preserve">private lawyer to file divorce and child support lawsuits and that, as a result, </w:t>
      </w:r>
      <w:proofErr w:type="gramStart"/>
      <w:r>
        <w:rPr>
          <w:rFonts w:asciiTheme="majorHAnsi" w:hAnsiTheme="majorHAnsi"/>
          <w:sz w:val="20"/>
          <w:szCs w:val="20"/>
        </w:rPr>
        <w:t>two</w:t>
      </w:r>
      <w:proofErr w:type="gramEnd"/>
      <w:r>
        <w:rPr>
          <w:rFonts w:asciiTheme="majorHAnsi" w:hAnsiTheme="majorHAnsi"/>
          <w:sz w:val="20"/>
          <w:szCs w:val="20"/>
        </w:rPr>
        <w:t xml:space="preserve"> proceedings were started</w:t>
      </w:r>
      <w:r w:rsidRPr="007C5771">
        <w:rPr>
          <w:rStyle w:val="FootnoteReference"/>
          <w:rFonts w:asciiTheme="majorHAnsi" w:hAnsiTheme="majorHAnsi"/>
          <w:color w:val="auto"/>
          <w:sz w:val="20"/>
          <w:szCs w:val="20"/>
          <w:lang w:val="es-ES_tradnl"/>
        </w:rPr>
        <w:footnoteReference w:id="16"/>
      </w:r>
      <w:r>
        <w:rPr>
          <w:rFonts w:asciiTheme="majorHAnsi" w:hAnsiTheme="majorHAnsi"/>
          <w:sz w:val="20"/>
          <w:szCs w:val="20"/>
        </w:rPr>
        <w:t>. However, Ms. Pérez faced economic problems that did not allow her to continue paying her private lawyer and, for this reason, she had resort</w:t>
      </w:r>
      <w:r w:rsidR="00F950D4">
        <w:rPr>
          <w:rFonts w:asciiTheme="majorHAnsi" w:hAnsiTheme="majorHAnsi"/>
          <w:sz w:val="20"/>
          <w:szCs w:val="20"/>
        </w:rPr>
        <w:t>ed</w:t>
      </w:r>
      <w:r>
        <w:rPr>
          <w:rFonts w:asciiTheme="majorHAnsi" w:hAnsiTheme="majorHAnsi"/>
          <w:sz w:val="20"/>
          <w:szCs w:val="20"/>
        </w:rPr>
        <w:t xml:space="preserve"> to the Public Defendant of the Judicial Power of Mendoza, which denied her request for assistance for considering that she had enough resources to afford private legal representation</w:t>
      </w:r>
      <w:r w:rsidRPr="007C5771">
        <w:rPr>
          <w:rStyle w:val="FootnoteReference"/>
          <w:rFonts w:asciiTheme="majorHAnsi" w:hAnsiTheme="majorHAnsi"/>
          <w:color w:val="auto"/>
          <w:sz w:val="20"/>
          <w:szCs w:val="20"/>
          <w:lang w:val="es-ES_tradnl"/>
        </w:rPr>
        <w:footnoteReference w:id="17"/>
      </w:r>
      <w:r>
        <w:rPr>
          <w:rFonts w:asciiTheme="majorHAnsi" w:hAnsiTheme="majorHAnsi"/>
          <w:sz w:val="20"/>
          <w:szCs w:val="20"/>
        </w:rPr>
        <w:t xml:space="preserve">. On August 15, 2007, the </w:t>
      </w:r>
      <w:r>
        <w:rPr>
          <w:rFonts w:asciiTheme="majorHAnsi" w:hAnsiTheme="majorHAnsi"/>
          <w:sz w:val="20"/>
          <w:szCs w:val="20"/>
        </w:rPr>
        <w:lastRenderedPageBreak/>
        <w:t>alleged victim requested a police report in which she detailed the failure of her then husband</w:t>
      </w:r>
      <w:r w:rsidRPr="007C5771">
        <w:rPr>
          <w:rStyle w:val="FootnoteReference"/>
          <w:rFonts w:asciiTheme="majorHAnsi" w:hAnsiTheme="majorHAnsi"/>
          <w:color w:val="auto"/>
          <w:sz w:val="20"/>
          <w:szCs w:val="20"/>
          <w:lang w:val="es-ES_tradnl"/>
        </w:rPr>
        <w:footnoteReference w:id="18"/>
      </w:r>
      <w:r w:rsidRPr="00C16670">
        <w:rPr>
          <w:rFonts w:asciiTheme="majorHAnsi" w:hAnsiTheme="majorHAnsi"/>
          <w:sz w:val="20"/>
          <w:szCs w:val="20"/>
        </w:rPr>
        <w:t xml:space="preserve"> to ful</w:t>
      </w:r>
      <w:r>
        <w:rPr>
          <w:rFonts w:asciiTheme="majorHAnsi" w:hAnsiTheme="majorHAnsi"/>
          <w:sz w:val="20"/>
          <w:szCs w:val="20"/>
        </w:rPr>
        <w:t>fill h</w:t>
      </w:r>
      <w:r w:rsidR="00AF04C4">
        <w:rPr>
          <w:rFonts w:asciiTheme="majorHAnsi" w:hAnsiTheme="majorHAnsi"/>
          <w:sz w:val="20"/>
          <w:szCs w:val="20"/>
        </w:rPr>
        <w:t>is</w:t>
      </w:r>
      <w:r>
        <w:rPr>
          <w:rFonts w:asciiTheme="majorHAnsi" w:hAnsiTheme="majorHAnsi"/>
          <w:sz w:val="20"/>
          <w:szCs w:val="20"/>
        </w:rPr>
        <w:t xml:space="preserve"> child support obligation and custody responsibilities. The alleged victim also detailed her financial difficulties as a substitute teacher, her husband’s violent acts, and her recent inability to establish communicat</w:t>
      </w:r>
      <w:r w:rsidR="00AF04C4">
        <w:rPr>
          <w:rFonts w:asciiTheme="majorHAnsi" w:hAnsiTheme="majorHAnsi"/>
          <w:sz w:val="20"/>
          <w:szCs w:val="20"/>
        </w:rPr>
        <w:t>ions with him, as he had blocked</w:t>
      </w:r>
      <w:r>
        <w:rPr>
          <w:rFonts w:asciiTheme="majorHAnsi" w:hAnsiTheme="majorHAnsi"/>
          <w:sz w:val="20"/>
          <w:szCs w:val="20"/>
        </w:rPr>
        <w:t xml:space="preserve"> her on his phone.</w:t>
      </w:r>
    </w:p>
    <w:p w14:paraId="37C4CEB5" w14:textId="64FAD006" w:rsidR="007D6399" w:rsidRPr="00117EF2" w:rsidRDefault="00C16670"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C16670">
        <w:rPr>
          <w:rFonts w:asciiTheme="majorHAnsi" w:hAnsiTheme="majorHAnsi"/>
          <w:color w:val="auto"/>
          <w:sz w:val="20"/>
          <w:szCs w:val="20"/>
        </w:rPr>
        <w:t xml:space="preserve">After, acting on a recommendation of a </w:t>
      </w:r>
      <w:r w:rsidR="00117EF2">
        <w:rPr>
          <w:rFonts w:asciiTheme="majorHAnsi" w:hAnsiTheme="majorHAnsi"/>
          <w:color w:val="auto"/>
          <w:sz w:val="20"/>
          <w:szCs w:val="20"/>
        </w:rPr>
        <w:t>Representative at the Legislature, Ms. Pérez had resort</w:t>
      </w:r>
      <w:r w:rsidR="00F950D4">
        <w:rPr>
          <w:rFonts w:asciiTheme="majorHAnsi" w:hAnsiTheme="majorHAnsi"/>
          <w:color w:val="auto"/>
          <w:sz w:val="20"/>
          <w:szCs w:val="20"/>
        </w:rPr>
        <w:t>ed</w:t>
      </w:r>
      <w:r w:rsidR="00117EF2">
        <w:rPr>
          <w:rFonts w:asciiTheme="majorHAnsi" w:hAnsiTheme="majorHAnsi"/>
          <w:color w:val="auto"/>
          <w:sz w:val="20"/>
          <w:szCs w:val="20"/>
        </w:rPr>
        <w:t xml:space="preserve"> to the 3</w:t>
      </w:r>
      <w:r w:rsidR="00117EF2" w:rsidRPr="00117EF2">
        <w:rPr>
          <w:rFonts w:asciiTheme="majorHAnsi" w:hAnsiTheme="majorHAnsi"/>
          <w:color w:val="auto"/>
          <w:sz w:val="20"/>
          <w:szCs w:val="20"/>
          <w:vertAlign w:val="superscript"/>
        </w:rPr>
        <w:t>rd</w:t>
      </w:r>
      <w:r w:rsidR="00117EF2">
        <w:rPr>
          <w:rFonts w:asciiTheme="majorHAnsi" w:hAnsiTheme="majorHAnsi"/>
          <w:color w:val="auto"/>
          <w:sz w:val="20"/>
          <w:szCs w:val="20"/>
        </w:rPr>
        <w:t xml:space="preserve"> Public Defender for the Poor and the Missing (hereinafter, the “Public Defender”), where she was told that the office could only provide her with legal representation in the divorce proceedings and that, with regard to the child support lawsuit, she had to resort to the Family Court to be appointed another lawyer. The petitioners consider that the fact that the proceedings required different lawyers aggravated the victimization of Ms. Pérez as it forced her to recount her story twice and to invest, in her difficult situation, twice the time meeting with lawyers</w:t>
      </w:r>
      <w:r w:rsidR="005E7829" w:rsidRPr="007C5771">
        <w:rPr>
          <w:rStyle w:val="FootnoteReference"/>
          <w:rFonts w:asciiTheme="majorHAnsi" w:hAnsiTheme="majorHAnsi"/>
          <w:color w:val="auto"/>
          <w:sz w:val="20"/>
          <w:szCs w:val="20"/>
          <w:lang w:val="es-ES_tradnl"/>
        </w:rPr>
        <w:footnoteReference w:id="19"/>
      </w:r>
      <w:r w:rsidR="00311D3F" w:rsidRPr="00117EF2">
        <w:rPr>
          <w:rFonts w:asciiTheme="majorHAnsi" w:hAnsiTheme="majorHAnsi"/>
          <w:color w:val="auto"/>
          <w:sz w:val="20"/>
          <w:szCs w:val="20"/>
        </w:rPr>
        <w:t xml:space="preserve">. </w:t>
      </w:r>
    </w:p>
    <w:p w14:paraId="5B00BA1C" w14:textId="050B5D96" w:rsidR="00117EF2" w:rsidRPr="00117EF2" w:rsidRDefault="00117EF2"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117EF2">
        <w:rPr>
          <w:rFonts w:asciiTheme="majorHAnsi" w:hAnsiTheme="majorHAnsi"/>
          <w:color w:val="auto"/>
          <w:sz w:val="20"/>
          <w:szCs w:val="20"/>
        </w:rPr>
        <w:t>With regard to the divorce proceedings. Ms. Pérez was received on September 19, 2007, by a la</w:t>
      </w:r>
      <w:r>
        <w:rPr>
          <w:rFonts w:asciiTheme="majorHAnsi" w:hAnsiTheme="majorHAnsi"/>
          <w:color w:val="auto"/>
          <w:sz w:val="20"/>
          <w:szCs w:val="20"/>
        </w:rPr>
        <w:t xml:space="preserve">wyer from the Public Defender who was unable to locate her divorce file in the system. This lawyer explained that she could not proceed until Ms. Pérez </w:t>
      </w:r>
      <w:r w:rsidR="006D0451">
        <w:rPr>
          <w:rFonts w:asciiTheme="majorHAnsi" w:hAnsiTheme="majorHAnsi"/>
          <w:color w:val="auto"/>
          <w:sz w:val="20"/>
          <w:szCs w:val="20"/>
        </w:rPr>
        <w:t xml:space="preserve">presented documentation such as the professional conformity document and the decision to reopen the proceedings, for which Ms. Pérez had to contact her former lawyer. The petitioners add that the lawyer from the Public Defender refused to place a telephone call to the lawyer that started the divorce proceedings and said that it was up to Ms. Pérez to provide her with a report of all developments in the divorce case. The petitioners consider that this involved a situation of institutional </w:t>
      </w:r>
      <w:proofErr w:type="spellStart"/>
      <w:r w:rsidR="006D0451">
        <w:rPr>
          <w:rFonts w:asciiTheme="majorHAnsi" w:hAnsiTheme="majorHAnsi"/>
          <w:color w:val="auto"/>
          <w:sz w:val="20"/>
          <w:szCs w:val="20"/>
        </w:rPr>
        <w:t>revictimization</w:t>
      </w:r>
      <w:proofErr w:type="spellEnd"/>
      <w:r w:rsidR="006D0451">
        <w:rPr>
          <w:rFonts w:asciiTheme="majorHAnsi" w:hAnsiTheme="majorHAnsi"/>
          <w:color w:val="auto"/>
          <w:sz w:val="20"/>
          <w:szCs w:val="20"/>
        </w:rPr>
        <w:t xml:space="preserve"> as the provision of assistance by the State to Ms. Pérez in her divorce should not depend on her being able to understand legal matters or to contact her former lawyer. The petitioners add that Ms. Pérez was informed that, while the proceedings were initiated as a contested divorce, the Public Defender could only provide her legal representation in a mutual consent divorce proceeding. The petitioners allege that these circumstances, together with pressure from her then husband, forced Ms. Pérez to request on September 12, 2008, that her contested divorce proceeding be converted to a mutual consent divorce proceeding. The request was approved by the 7</w:t>
      </w:r>
      <w:r w:rsidR="006D0451" w:rsidRPr="006D0451">
        <w:rPr>
          <w:rFonts w:asciiTheme="majorHAnsi" w:hAnsiTheme="majorHAnsi"/>
          <w:color w:val="auto"/>
          <w:sz w:val="20"/>
          <w:szCs w:val="20"/>
          <w:vertAlign w:val="superscript"/>
        </w:rPr>
        <w:t>th</w:t>
      </w:r>
      <w:r w:rsidR="006D0451">
        <w:rPr>
          <w:rFonts w:asciiTheme="majorHAnsi" w:hAnsiTheme="majorHAnsi"/>
          <w:color w:val="auto"/>
          <w:sz w:val="20"/>
          <w:szCs w:val="20"/>
        </w:rPr>
        <w:t xml:space="preserve"> Family Court of Mendoza on October 22, 2010. According to the petitioners, Ms. Pérez has several grounds on which she could prevail in a contested divorce proceeding, but the system harmed her by forcing her to accept a “mutual consent”, which also failed to establish an agreement on child support.</w:t>
      </w:r>
    </w:p>
    <w:p w14:paraId="008CEAC4" w14:textId="4AFD6866" w:rsidR="00311D3F" w:rsidRPr="00D925D5" w:rsidRDefault="00D925D5"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color w:val="auto"/>
          <w:sz w:val="20"/>
          <w:szCs w:val="20"/>
        </w:rPr>
      </w:pPr>
      <w:r w:rsidRPr="00D925D5">
        <w:rPr>
          <w:rFonts w:asciiTheme="majorHAnsi" w:hAnsiTheme="majorHAnsi"/>
          <w:color w:val="auto"/>
          <w:sz w:val="20"/>
          <w:szCs w:val="20"/>
        </w:rPr>
        <w:t>With regard to the ch</w:t>
      </w:r>
      <w:r>
        <w:rPr>
          <w:rFonts w:asciiTheme="majorHAnsi" w:hAnsiTheme="majorHAnsi"/>
          <w:color w:val="auto"/>
          <w:sz w:val="20"/>
          <w:szCs w:val="20"/>
        </w:rPr>
        <w:t xml:space="preserve">ild support proceeding, Ms. Pérez appeared before the Family Court of Mendoza to request assistance; a lawyer was assigned to her, to whom she delivered on September 25, 2007, the original marriage certificate and birth certificate of her three children. The petitioners claim that the lawyer did </w:t>
      </w:r>
      <w:r w:rsidR="0039501B">
        <w:rPr>
          <w:rFonts w:asciiTheme="majorHAnsi" w:hAnsiTheme="majorHAnsi"/>
          <w:color w:val="auto"/>
          <w:sz w:val="20"/>
          <w:szCs w:val="20"/>
        </w:rPr>
        <w:t xml:space="preserve">not </w:t>
      </w:r>
      <w:r w:rsidR="004079B7">
        <w:rPr>
          <w:rFonts w:asciiTheme="majorHAnsi" w:hAnsiTheme="majorHAnsi"/>
          <w:color w:val="auto"/>
          <w:sz w:val="20"/>
          <w:szCs w:val="20"/>
        </w:rPr>
        <w:t xml:space="preserve">take any actions and unduly kept the original documents. On February 6, 2008, Ms. Pérez requested the return of the documents and the appointment of a new ad-hoc lawyer before the Supreme Court of Justice of Mendoza. On that same date, a lawyer from the Jurisdictional Department of the Supreme Court of Justice of Mendoza </w:t>
      </w:r>
      <w:r w:rsidR="0039501B">
        <w:rPr>
          <w:rFonts w:asciiTheme="majorHAnsi" w:hAnsiTheme="majorHAnsi"/>
          <w:color w:val="auto"/>
          <w:sz w:val="20"/>
          <w:szCs w:val="20"/>
        </w:rPr>
        <w:t>took care of her case and a Provincial Coordinator of the Interdisciplinary Auxiliary Body (IAB) returne</w:t>
      </w:r>
      <w:r w:rsidR="00F950D4">
        <w:rPr>
          <w:rFonts w:asciiTheme="majorHAnsi" w:hAnsiTheme="majorHAnsi"/>
          <w:color w:val="auto"/>
          <w:sz w:val="20"/>
          <w:szCs w:val="20"/>
        </w:rPr>
        <w:t>d</w:t>
      </w:r>
      <w:r w:rsidR="0039501B">
        <w:rPr>
          <w:rFonts w:asciiTheme="majorHAnsi" w:hAnsiTheme="majorHAnsi"/>
          <w:color w:val="auto"/>
          <w:sz w:val="20"/>
          <w:szCs w:val="20"/>
        </w:rPr>
        <w:t xml:space="preserve"> her the original documents and provided her with an appointment with a new lawyer on March 3, 2008. The petitioners allege that the new la</w:t>
      </w:r>
      <w:r w:rsidR="00F950D4">
        <w:rPr>
          <w:rFonts w:asciiTheme="majorHAnsi" w:hAnsiTheme="majorHAnsi"/>
          <w:color w:val="auto"/>
          <w:sz w:val="20"/>
          <w:szCs w:val="20"/>
        </w:rPr>
        <w:t>w</w:t>
      </w:r>
      <w:r w:rsidR="0039501B">
        <w:rPr>
          <w:rFonts w:asciiTheme="majorHAnsi" w:hAnsiTheme="majorHAnsi"/>
          <w:color w:val="auto"/>
          <w:sz w:val="20"/>
          <w:szCs w:val="20"/>
        </w:rPr>
        <w:t>yer did not take any actions because, according to the Family Court, her case file was missing and nothing could be done until it was found</w:t>
      </w:r>
      <w:r w:rsidR="0039501B" w:rsidRPr="007C5771">
        <w:rPr>
          <w:rStyle w:val="FootnoteReference"/>
          <w:rFonts w:asciiTheme="majorHAnsi" w:hAnsiTheme="majorHAnsi"/>
          <w:color w:val="auto"/>
          <w:sz w:val="20"/>
          <w:szCs w:val="20"/>
          <w:lang w:val="es-ES_tradnl"/>
        </w:rPr>
        <w:footnoteReference w:id="20"/>
      </w:r>
      <w:r w:rsidR="0039501B">
        <w:rPr>
          <w:rFonts w:asciiTheme="majorHAnsi" w:hAnsiTheme="majorHAnsi"/>
          <w:color w:val="auto"/>
          <w:sz w:val="20"/>
          <w:szCs w:val="20"/>
        </w:rPr>
        <w:t>. The petitioners also claim that the State did not guarantee that the children had legal representation to look after their interests in this proceeding.</w:t>
      </w:r>
    </w:p>
    <w:p w14:paraId="391723D1" w14:textId="343C8713" w:rsidR="00311D3F" w:rsidRPr="00D14A11" w:rsidRDefault="00D14A11"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hAnsiTheme="majorHAnsi"/>
          <w:bCs/>
          <w:color w:val="auto"/>
          <w:sz w:val="20"/>
          <w:szCs w:val="20"/>
        </w:rPr>
      </w:pPr>
      <w:r w:rsidRPr="00D14A11">
        <w:rPr>
          <w:rFonts w:asciiTheme="majorHAnsi" w:hAnsiTheme="majorHAnsi"/>
          <w:sz w:val="20"/>
          <w:szCs w:val="20"/>
        </w:rPr>
        <w:t>Later, the Citizen Protection Association (herein</w:t>
      </w:r>
      <w:r>
        <w:rPr>
          <w:rFonts w:asciiTheme="majorHAnsi" w:hAnsiTheme="majorHAnsi"/>
          <w:sz w:val="20"/>
          <w:szCs w:val="20"/>
        </w:rPr>
        <w:t>after, “CPA”) sent a note to the Supreme Court of Justice of Mendoza (hereinafter, “SCJ”)</w:t>
      </w:r>
      <w:r w:rsidR="009B35EB">
        <w:rPr>
          <w:rFonts w:asciiTheme="majorHAnsi" w:hAnsiTheme="majorHAnsi"/>
          <w:sz w:val="20"/>
          <w:szCs w:val="20"/>
        </w:rPr>
        <w:t xml:space="preserve"> on April 11, 2008, informing it about the situation of Ms. Pérez and her children. The note also requested that the possible </w:t>
      </w:r>
      <w:r w:rsidR="00705581">
        <w:rPr>
          <w:rFonts w:asciiTheme="majorHAnsi" w:hAnsiTheme="majorHAnsi"/>
          <w:sz w:val="20"/>
          <w:szCs w:val="20"/>
        </w:rPr>
        <w:t xml:space="preserve">malfeasance in office of the Judge and Prosecutor that took part in the qualified battery proceeding be investigated and that CPA be informed about the situation of the child support case file. </w:t>
      </w:r>
      <w:r w:rsidR="00DD5764">
        <w:rPr>
          <w:rFonts w:asciiTheme="majorHAnsi" w:hAnsiTheme="majorHAnsi"/>
          <w:sz w:val="20"/>
          <w:szCs w:val="20"/>
        </w:rPr>
        <w:t>As a result of this, the SCJ started proceedings</w:t>
      </w:r>
      <w:r w:rsidR="00DD5764" w:rsidRPr="007C5771">
        <w:rPr>
          <w:rStyle w:val="FootnoteReference"/>
          <w:rFonts w:asciiTheme="majorHAnsi" w:hAnsiTheme="majorHAnsi"/>
          <w:color w:val="auto"/>
          <w:sz w:val="20"/>
          <w:szCs w:val="20"/>
          <w:lang w:val="es-ES_tradnl"/>
        </w:rPr>
        <w:footnoteReference w:id="21"/>
      </w:r>
      <w:r w:rsidR="00DD5764" w:rsidRPr="00DD5764">
        <w:rPr>
          <w:rFonts w:asciiTheme="majorHAnsi" w:hAnsiTheme="majorHAnsi"/>
          <w:sz w:val="20"/>
          <w:szCs w:val="20"/>
        </w:rPr>
        <w:t xml:space="preserve"> </w:t>
      </w:r>
      <w:r w:rsidR="00DD5764">
        <w:rPr>
          <w:rFonts w:asciiTheme="majorHAnsi" w:hAnsiTheme="majorHAnsi"/>
          <w:sz w:val="20"/>
          <w:szCs w:val="20"/>
        </w:rPr>
        <w:t xml:space="preserve">which it decided to close on July 11, </w:t>
      </w:r>
      <w:r w:rsidR="00DD5764">
        <w:rPr>
          <w:rFonts w:asciiTheme="majorHAnsi" w:hAnsiTheme="majorHAnsi"/>
          <w:sz w:val="20"/>
          <w:szCs w:val="20"/>
        </w:rPr>
        <w:lastRenderedPageBreak/>
        <w:t>2008 because it considered that the petitioner was adequately assisted by the assigned ad-hoc lawyers. Mr. Pérez filed a writ to have the decision overturned (</w:t>
      </w:r>
      <w:proofErr w:type="spellStart"/>
      <w:r w:rsidR="00DD5764">
        <w:rPr>
          <w:rFonts w:asciiTheme="majorHAnsi" w:hAnsiTheme="majorHAnsi"/>
          <w:i/>
          <w:iCs/>
          <w:sz w:val="20"/>
          <w:szCs w:val="20"/>
        </w:rPr>
        <w:t>recurso</w:t>
      </w:r>
      <w:proofErr w:type="spellEnd"/>
      <w:r w:rsidR="00DD5764">
        <w:rPr>
          <w:rFonts w:asciiTheme="majorHAnsi" w:hAnsiTheme="majorHAnsi"/>
          <w:i/>
          <w:iCs/>
          <w:sz w:val="20"/>
          <w:szCs w:val="20"/>
        </w:rPr>
        <w:t xml:space="preserve"> de </w:t>
      </w:r>
      <w:proofErr w:type="spellStart"/>
      <w:r w:rsidR="00DD5764">
        <w:rPr>
          <w:rFonts w:asciiTheme="majorHAnsi" w:hAnsiTheme="majorHAnsi"/>
          <w:i/>
          <w:iCs/>
          <w:sz w:val="20"/>
          <w:szCs w:val="20"/>
        </w:rPr>
        <w:t>revocatoria</w:t>
      </w:r>
      <w:proofErr w:type="spellEnd"/>
      <w:r w:rsidR="00DD5764">
        <w:rPr>
          <w:rFonts w:asciiTheme="majorHAnsi" w:hAnsiTheme="majorHAnsi"/>
          <w:sz w:val="20"/>
          <w:szCs w:val="20"/>
        </w:rPr>
        <w:t xml:space="preserve">) on August 14, 2008, arguing that the decision had been arbitrary since the lawyer appointed for the child support case </w:t>
      </w:r>
      <w:proofErr w:type="spellStart"/>
      <w:r w:rsidR="00DD5764">
        <w:rPr>
          <w:rFonts w:asciiTheme="majorHAnsi" w:hAnsiTheme="majorHAnsi"/>
          <w:sz w:val="20"/>
          <w:szCs w:val="20"/>
        </w:rPr>
        <w:t>dd</w:t>
      </w:r>
      <w:proofErr w:type="spellEnd"/>
      <w:r w:rsidR="00DD5764">
        <w:rPr>
          <w:rFonts w:asciiTheme="majorHAnsi" w:hAnsiTheme="majorHAnsi"/>
          <w:sz w:val="20"/>
          <w:szCs w:val="20"/>
        </w:rPr>
        <w:t xml:space="preserve"> not deliver the original documents nor took any action. On July 6, 2009, the SCJ dismissed the writ.</w:t>
      </w:r>
    </w:p>
    <w:p w14:paraId="2EFBA4E6" w14:textId="758534CA" w:rsidR="00DD5764" w:rsidRPr="00DD5764" w:rsidRDefault="00DD5764"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DD5764">
        <w:rPr>
          <w:rFonts w:asciiTheme="majorHAnsi" w:eastAsiaTheme="minorEastAsia" w:hAnsiTheme="majorHAnsi" w:cstheme="minorBidi"/>
          <w:color w:val="auto"/>
          <w:sz w:val="20"/>
          <w:szCs w:val="20"/>
        </w:rPr>
        <w:t xml:space="preserve">For its part, the State claims that </w:t>
      </w:r>
      <w:r w:rsidR="00F950D4">
        <w:rPr>
          <w:rFonts w:asciiTheme="majorHAnsi" w:eastAsiaTheme="minorEastAsia" w:hAnsiTheme="majorHAnsi" w:cstheme="minorBidi"/>
          <w:color w:val="auto"/>
          <w:sz w:val="20"/>
          <w:szCs w:val="20"/>
        </w:rPr>
        <w:t xml:space="preserve">the </w:t>
      </w:r>
      <w:r w:rsidRPr="00DD5764">
        <w:rPr>
          <w:rFonts w:asciiTheme="majorHAnsi" w:eastAsiaTheme="minorEastAsia" w:hAnsiTheme="majorHAnsi" w:cstheme="minorBidi"/>
          <w:color w:val="auto"/>
          <w:sz w:val="20"/>
          <w:szCs w:val="20"/>
        </w:rPr>
        <w:t xml:space="preserve">alleged facts do not constitute human rights violations and the petitioners </w:t>
      </w:r>
      <w:r>
        <w:rPr>
          <w:rFonts w:asciiTheme="majorHAnsi" w:eastAsiaTheme="minorEastAsia" w:hAnsiTheme="majorHAnsi" w:cstheme="minorBidi"/>
          <w:color w:val="auto"/>
          <w:sz w:val="20"/>
          <w:szCs w:val="20"/>
        </w:rPr>
        <w:t xml:space="preserve">want the Commission to act as a fourth instance. With regard to the mediation proceeding and the homologation of the agreement reached in it, it points that Ms. Pérez was legally represented by a private lawyer of her own choosing and alleges that the State may not be held responsible for what Ms. Pérez agreed to freely. The State highlights that Ms. Pérez was free to not sign the agreement and begin the </w:t>
      </w:r>
      <w:r w:rsidR="003B298D">
        <w:rPr>
          <w:rFonts w:asciiTheme="majorHAnsi" w:eastAsiaTheme="minorEastAsia" w:hAnsiTheme="majorHAnsi" w:cstheme="minorBidi"/>
          <w:color w:val="auto"/>
          <w:sz w:val="20"/>
          <w:szCs w:val="20"/>
        </w:rPr>
        <w:t>appropriate judicial proceedings with private legal representation or the assistance of the Official Public Defense.</w:t>
      </w:r>
    </w:p>
    <w:p w14:paraId="1A71426E" w14:textId="45E6BE0E" w:rsidR="00CA5E51" w:rsidRPr="003B298D" w:rsidRDefault="003B298D"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3B298D">
        <w:rPr>
          <w:color w:val="auto"/>
          <w:sz w:val="20"/>
          <w:szCs w:val="20"/>
        </w:rPr>
        <w:t xml:space="preserve">With regard to the </w:t>
      </w:r>
      <w:r>
        <w:rPr>
          <w:color w:val="auto"/>
          <w:sz w:val="20"/>
          <w:szCs w:val="20"/>
        </w:rPr>
        <w:t xml:space="preserve">criminal </w:t>
      </w:r>
      <w:r w:rsidRPr="003B298D">
        <w:rPr>
          <w:color w:val="auto"/>
          <w:sz w:val="20"/>
          <w:szCs w:val="20"/>
        </w:rPr>
        <w:t>proceedings for</w:t>
      </w:r>
      <w:r>
        <w:rPr>
          <w:color w:val="auto"/>
          <w:sz w:val="20"/>
          <w:szCs w:val="20"/>
        </w:rPr>
        <w:t xml:space="preserve"> qualified battery, it alleges that the petitioners have not submitted any evidence to back up their claims with regard to the existence of irregularities. In addition, it points out that the Direction of Family, Children and Adolescents did not have competence to request the initiation of proceedings against the Judge and Prosecutor who took part in the battery case. The State notes that it was Ms. Pérez who had direct legitimation to file the </w:t>
      </w:r>
      <w:r w:rsidR="0084443D">
        <w:rPr>
          <w:color w:val="auto"/>
          <w:sz w:val="20"/>
          <w:szCs w:val="20"/>
        </w:rPr>
        <w:t>complaints</w:t>
      </w:r>
      <w:r>
        <w:rPr>
          <w:color w:val="auto"/>
          <w:sz w:val="20"/>
          <w:szCs w:val="20"/>
        </w:rPr>
        <w:t xml:space="preserve"> that she deemed appropriate to prompt those proceedings.</w:t>
      </w:r>
    </w:p>
    <w:p w14:paraId="2A790A30" w14:textId="3CB4F301" w:rsidR="00173C22" w:rsidRPr="00173C22" w:rsidRDefault="0084443D"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84443D">
        <w:rPr>
          <w:rFonts w:asciiTheme="majorHAnsi" w:eastAsiaTheme="minorEastAsia" w:hAnsiTheme="majorHAnsi" w:cstheme="minorBidi"/>
          <w:color w:val="auto"/>
          <w:sz w:val="20"/>
          <w:szCs w:val="20"/>
        </w:rPr>
        <w:t xml:space="preserve">The State highlights that </w:t>
      </w:r>
      <w:r w:rsidR="00E03722">
        <w:rPr>
          <w:rFonts w:asciiTheme="majorHAnsi" w:eastAsiaTheme="minorEastAsia" w:hAnsiTheme="majorHAnsi" w:cstheme="minorBidi"/>
          <w:color w:val="auto"/>
          <w:sz w:val="20"/>
          <w:szCs w:val="20"/>
        </w:rPr>
        <w:t>a</w:t>
      </w:r>
      <w:r>
        <w:rPr>
          <w:rFonts w:asciiTheme="majorHAnsi" w:eastAsiaTheme="minorEastAsia" w:hAnsiTheme="majorHAnsi" w:cstheme="minorBidi"/>
          <w:color w:val="auto"/>
          <w:sz w:val="20"/>
          <w:szCs w:val="20"/>
        </w:rPr>
        <w:t xml:space="preserve"> Register of </w:t>
      </w:r>
      <w:r w:rsidR="00E03722">
        <w:rPr>
          <w:rFonts w:asciiTheme="majorHAnsi" w:eastAsiaTheme="minorEastAsia" w:hAnsiTheme="majorHAnsi" w:cstheme="minorBidi"/>
          <w:color w:val="auto"/>
          <w:sz w:val="20"/>
          <w:szCs w:val="20"/>
        </w:rPr>
        <w:t xml:space="preserve">Ad-Hoc Family Justice Attorneys of Record operates in the Province of Mendoza, for the purposes of guaranteeing the right of access to justice to all persons, particularly those </w:t>
      </w:r>
      <w:r w:rsidR="00791972">
        <w:rPr>
          <w:rFonts w:asciiTheme="majorHAnsi" w:eastAsiaTheme="minorEastAsia" w:hAnsiTheme="majorHAnsi" w:cstheme="minorBidi"/>
          <w:color w:val="auto"/>
          <w:sz w:val="20"/>
          <w:szCs w:val="20"/>
        </w:rPr>
        <w:t xml:space="preserve">in a vulnerable situation. It explains that, for the purposes of ensuring that free legal representation is adequate, lawyers lose their right to collect payment if their actions are incomplete or deficient. The State notes that, despite some inconvenience relating to the times in which service </w:t>
      </w:r>
      <w:r w:rsidR="00F950D4">
        <w:rPr>
          <w:rFonts w:asciiTheme="majorHAnsi" w:eastAsiaTheme="minorEastAsia" w:hAnsiTheme="majorHAnsi" w:cstheme="minorBidi"/>
          <w:color w:val="auto"/>
          <w:sz w:val="20"/>
          <w:szCs w:val="20"/>
        </w:rPr>
        <w:t>was</w:t>
      </w:r>
      <w:r w:rsidR="00791972">
        <w:rPr>
          <w:rFonts w:asciiTheme="majorHAnsi" w:eastAsiaTheme="minorEastAsia" w:hAnsiTheme="majorHAnsi" w:cstheme="minorBidi"/>
          <w:color w:val="auto"/>
          <w:sz w:val="20"/>
          <w:szCs w:val="20"/>
        </w:rPr>
        <w:t xml:space="preserve"> offered, the free legal representation of the alleged victims was guarantee</w:t>
      </w:r>
      <w:r w:rsidR="00AF04C4">
        <w:rPr>
          <w:rFonts w:asciiTheme="majorHAnsi" w:eastAsiaTheme="minorEastAsia" w:hAnsiTheme="majorHAnsi" w:cstheme="minorBidi"/>
          <w:color w:val="auto"/>
          <w:sz w:val="20"/>
          <w:szCs w:val="20"/>
        </w:rPr>
        <w:t>d</w:t>
      </w:r>
      <w:r w:rsidR="00791972">
        <w:rPr>
          <w:rFonts w:asciiTheme="majorHAnsi" w:eastAsiaTheme="minorEastAsia" w:hAnsiTheme="majorHAnsi" w:cstheme="minorBidi"/>
          <w:color w:val="auto"/>
          <w:sz w:val="20"/>
          <w:szCs w:val="20"/>
        </w:rPr>
        <w:t xml:space="preserve">. It highlights that immediately after Ms. Pérez made her claims known to the Suprema Court of Justice of Mendoza about the attention that she had received, appropriate correction action was taken, the documents were returned, and she was assigned legal representation through the Co-Defenders Body of the Family Law Courts. The State points out that on October 29, 2007, Ms. Pérez expressed her lack of </w:t>
      </w:r>
      <w:r w:rsidR="00173C22">
        <w:rPr>
          <w:rFonts w:asciiTheme="majorHAnsi" w:eastAsiaTheme="minorEastAsia" w:hAnsiTheme="majorHAnsi" w:cstheme="minorBidi"/>
          <w:color w:val="auto"/>
          <w:sz w:val="20"/>
          <w:szCs w:val="20"/>
        </w:rPr>
        <w:t>interest in continuing to enjoy the services of her public co-defender and, thus, the legal representation afforded by the State ended by her own free will</w:t>
      </w:r>
      <w:r w:rsidR="00CA5E51" w:rsidRPr="007C5771">
        <w:rPr>
          <w:rStyle w:val="FootnoteReference"/>
          <w:sz w:val="20"/>
          <w:szCs w:val="20"/>
          <w:lang w:val="es-ES"/>
        </w:rPr>
        <w:footnoteReference w:id="22"/>
      </w:r>
      <w:r w:rsidR="00CA5E51" w:rsidRPr="00173C22">
        <w:rPr>
          <w:sz w:val="20"/>
          <w:szCs w:val="20"/>
        </w:rPr>
        <w:t xml:space="preserve">.   </w:t>
      </w:r>
    </w:p>
    <w:p w14:paraId="6B6EFBCB" w14:textId="67C6FE59" w:rsidR="00CA5E51" w:rsidRPr="00173C22" w:rsidRDefault="00173C22"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Pr>
          <w:sz w:val="20"/>
          <w:szCs w:val="20"/>
        </w:rPr>
        <w:t xml:space="preserve">With regard to the judicial proceeding over child support, </w:t>
      </w:r>
      <w:r w:rsidR="00AF3E03">
        <w:rPr>
          <w:sz w:val="20"/>
          <w:szCs w:val="20"/>
        </w:rPr>
        <w:t>the State points out that while the case file was momentarily missing, it was later found and the Family Court notified this to the alleged victim on November 21, 2008. The State claims that the proceeding did not advance because Ms. Pérez did not appear to sign the necessary written submissions and, after she dismissed the public defense, because her private lawyers did not take procedural actions with regard to the case. The State explains that, on June 1, 2010, Ms. Pérez filed a new child support lawsuit against her former husband, which was decided in her favor on August 19, 2011, a</w:t>
      </w:r>
      <w:r w:rsidR="00F950D4">
        <w:rPr>
          <w:sz w:val="20"/>
          <w:szCs w:val="20"/>
        </w:rPr>
        <w:t>ccepting</w:t>
      </w:r>
      <w:r w:rsidR="00AF3E03">
        <w:rPr>
          <w:sz w:val="20"/>
          <w:szCs w:val="20"/>
        </w:rPr>
        <w:t xml:space="preserve"> her child support claim retroactively to the date of the lawsuit and granting provisional child support. The State also explains that this decision was appealed by the defendant on September 9, 2011 and that, in August of 2014, </w:t>
      </w:r>
      <w:r w:rsidR="00244CE1">
        <w:rPr>
          <w:sz w:val="20"/>
          <w:szCs w:val="20"/>
        </w:rPr>
        <w:t>with the proceedings paralyzed for over two years</w:t>
      </w:r>
      <w:r w:rsidR="00F950D4">
        <w:rPr>
          <w:sz w:val="20"/>
          <w:szCs w:val="20"/>
        </w:rPr>
        <w:t>,</w:t>
      </w:r>
      <w:r w:rsidR="00244CE1">
        <w:rPr>
          <w:sz w:val="20"/>
          <w:szCs w:val="20"/>
        </w:rPr>
        <w:t xml:space="preserve"> it was ordered that they be sent back to the original court and that later they were returned due to a motion to dismiss for failure to prosecute the case brought by the appellee. The State adds that on June 26, 2017, “the Chamber </w:t>
      </w:r>
      <w:r w:rsidR="001365D2">
        <w:rPr>
          <w:sz w:val="20"/>
          <w:szCs w:val="20"/>
        </w:rPr>
        <w:t>issued an order with regard to the evidence submitted in the motion and decided to request the original court to submit the case file”.</w:t>
      </w:r>
    </w:p>
    <w:p w14:paraId="1BBE85BF" w14:textId="3BA582AF" w:rsidR="00CA5E51" w:rsidRPr="001365D2" w:rsidRDefault="001365D2"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1365D2">
        <w:rPr>
          <w:rFonts w:asciiTheme="majorHAnsi" w:eastAsiaTheme="minorEastAsia" w:hAnsiTheme="majorHAnsi" w:cstheme="minorBidi"/>
          <w:color w:val="auto"/>
          <w:sz w:val="20"/>
          <w:szCs w:val="20"/>
        </w:rPr>
        <w:t>Last, the State considers that dom</w:t>
      </w:r>
      <w:r>
        <w:rPr>
          <w:rFonts w:asciiTheme="majorHAnsi" w:eastAsiaTheme="minorEastAsia" w:hAnsiTheme="majorHAnsi" w:cstheme="minorBidi"/>
          <w:color w:val="auto"/>
          <w:sz w:val="20"/>
          <w:szCs w:val="20"/>
        </w:rPr>
        <w:t xml:space="preserve">estic remedies have not been exhausted and that the period for submitting a petition has also not been respected, because at the time that the petition was filed the </w:t>
      </w:r>
      <w:r>
        <w:rPr>
          <w:rFonts w:asciiTheme="majorHAnsi" w:hAnsiTheme="majorHAnsi"/>
          <w:sz w:val="20"/>
          <w:szCs w:val="20"/>
        </w:rPr>
        <w:t>writ to have the decision overturned (</w:t>
      </w:r>
      <w:proofErr w:type="spellStart"/>
      <w:r>
        <w:rPr>
          <w:rFonts w:asciiTheme="majorHAnsi" w:hAnsiTheme="majorHAnsi"/>
          <w:i/>
          <w:iCs/>
          <w:sz w:val="20"/>
          <w:szCs w:val="20"/>
        </w:rPr>
        <w:t>recurso</w:t>
      </w:r>
      <w:proofErr w:type="spellEnd"/>
      <w:r>
        <w:rPr>
          <w:rFonts w:asciiTheme="majorHAnsi" w:hAnsiTheme="majorHAnsi"/>
          <w:i/>
          <w:iCs/>
          <w:sz w:val="20"/>
          <w:szCs w:val="20"/>
        </w:rPr>
        <w:t xml:space="preserve"> de </w:t>
      </w:r>
      <w:proofErr w:type="spellStart"/>
      <w:r>
        <w:rPr>
          <w:rFonts w:asciiTheme="majorHAnsi" w:hAnsiTheme="majorHAnsi"/>
          <w:i/>
          <w:iCs/>
          <w:sz w:val="20"/>
          <w:szCs w:val="20"/>
        </w:rPr>
        <w:t>revocatoria</w:t>
      </w:r>
      <w:proofErr w:type="spellEnd"/>
      <w:r>
        <w:rPr>
          <w:rFonts w:asciiTheme="majorHAnsi" w:hAnsiTheme="majorHAnsi"/>
          <w:sz w:val="20"/>
          <w:szCs w:val="20"/>
        </w:rPr>
        <w:t>) had not yet been decided and, on the other hand, because the petitioners had not</w:t>
      </w:r>
      <w:r w:rsidR="007956A9">
        <w:rPr>
          <w:rFonts w:asciiTheme="majorHAnsi" w:hAnsiTheme="majorHAnsi"/>
          <w:sz w:val="20"/>
          <w:szCs w:val="20"/>
        </w:rPr>
        <w:t xml:space="preserve"> judicially</w:t>
      </w:r>
      <w:r>
        <w:rPr>
          <w:rFonts w:asciiTheme="majorHAnsi" w:hAnsiTheme="majorHAnsi"/>
          <w:sz w:val="20"/>
          <w:szCs w:val="20"/>
        </w:rPr>
        <w:t xml:space="preserve"> </w:t>
      </w:r>
      <w:r w:rsidR="007956A9">
        <w:rPr>
          <w:rFonts w:asciiTheme="majorHAnsi" w:hAnsiTheme="majorHAnsi"/>
          <w:sz w:val="20"/>
          <w:szCs w:val="20"/>
        </w:rPr>
        <w:t xml:space="preserve">filed an administrative procedural action before the Supreme Court of Justice against the decision of July 6, 2009, which closed the administrative procedure. In addition, the State points out </w:t>
      </w:r>
      <w:r w:rsidR="007956A9">
        <w:rPr>
          <w:rFonts w:asciiTheme="majorHAnsi" w:hAnsiTheme="majorHAnsi"/>
          <w:sz w:val="20"/>
          <w:szCs w:val="20"/>
        </w:rPr>
        <w:lastRenderedPageBreak/>
        <w:t>that the petition was extemporaneously notified to the State and highlights that, at the time of notification, all three of Ms. Pérez children had come of age.</w:t>
      </w:r>
    </w:p>
    <w:p w14:paraId="7AC7C3E4" w14:textId="4DB1FCCF" w:rsidR="004C616A" w:rsidRPr="00AA17A8" w:rsidRDefault="004C616A" w:rsidP="00A36B03">
      <w:pPr>
        <w:pStyle w:val="ListParagraph"/>
        <w:spacing w:before="120" w:after="240"/>
        <w:jc w:val="both"/>
        <w:rPr>
          <w:rFonts w:asciiTheme="majorHAnsi" w:hAnsiTheme="majorHAnsi"/>
          <w:b/>
          <w:bCs/>
          <w:sz w:val="20"/>
          <w:szCs w:val="20"/>
        </w:rPr>
      </w:pPr>
      <w:r w:rsidRPr="00F950D4">
        <w:rPr>
          <w:rFonts w:asciiTheme="majorHAnsi" w:hAnsiTheme="majorHAnsi"/>
          <w:b/>
          <w:bCs/>
          <w:sz w:val="20"/>
          <w:szCs w:val="20"/>
        </w:rPr>
        <w:t xml:space="preserve">VI. </w:t>
      </w:r>
      <w:r w:rsidRPr="00F950D4">
        <w:rPr>
          <w:rFonts w:asciiTheme="majorHAnsi" w:hAnsiTheme="majorHAnsi"/>
          <w:b/>
          <w:bCs/>
          <w:sz w:val="20"/>
          <w:szCs w:val="20"/>
        </w:rPr>
        <w:tab/>
      </w:r>
      <w:r w:rsidR="00AA17A8" w:rsidRPr="0036031C">
        <w:rPr>
          <w:b/>
          <w:bCs/>
          <w:sz w:val="20"/>
          <w:szCs w:val="20"/>
        </w:rPr>
        <w:t>EXHAUSTION OF DOMESTIC REMEDIES AND TIMELINESS OF THE PETITION</w:t>
      </w:r>
    </w:p>
    <w:p w14:paraId="504DE7EA" w14:textId="50D199D3" w:rsidR="007956A9" w:rsidRPr="007956A9" w:rsidRDefault="007956A9"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7956A9">
        <w:rPr>
          <w:rFonts w:asciiTheme="majorHAnsi" w:eastAsiaTheme="minorEastAsia" w:hAnsiTheme="majorHAnsi" w:cstheme="minorBidi"/>
          <w:color w:val="auto"/>
          <w:sz w:val="20"/>
          <w:szCs w:val="20"/>
        </w:rPr>
        <w:t xml:space="preserve">With regard to the allegations of the petitioner </w:t>
      </w:r>
      <w:r>
        <w:rPr>
          <w:rFonts w:asciiTheme="majorHAnsi" w:eastAsiaTheme="minorEastAsia" w:hAnsiTheme="majorHAnsi" w:cstheme="minorBidi"/>
          <w:color w:val="auto"/>
          <w:sz w:val="20"/>
          <w:szCs w:val="20"/>
        </w:rPr>
        <w:t xml:space="preserve">claiming that the State did not duly protect the rights of the children of Ms. Pérez to receive child support from their father during the mediation proceedings, the mutual consent divorce proceedings and lastly the judicial child support proceedings, the </w:t>
      </w:r>
      <w:r w:rsidR="00976D99">
        <w:rPr>
          <w:rFonts w:asciiTheme="majorHAnsi" w:eastAsiaTheme="minorEastAsia" w:hAnsiTheme="majorHAnsi" w:cstheme="minorBidi"/>
          <w:color w:val="auto"/>
          <w:sz w:val="20"/>
          <w:szCs w:val="20"/>
        </w:rPr>
        <w:t>Commission notes that the State has pointed out that on August 19, 2011, a judicial decision was adopted recognizing</w:t>
      </w:r>
      <w:r w:rsidR="00F950D4">
        <w:rPr>
          <w:rFonts w:asciiTheme="majorHAnsi" w:eastAsiaTheme="minorEastAsia" w:hAnsiTheme="majorHAnsi" w:cstheme="minorBidi"/>
          <w:color w:val="auto"/>
          <w:sz w:val="20"/>
          <w:szCs w:val="20"/>
        </w:rPr>
        <w:t xml:space="preserve">, </w:t>
      </w:r>
      <w:r w:rsidR="00976D99">
        <w:rPr>
          <w:rFonts w:asciiTheme="majorHAnsi" w:eastAsiaTheme="minorEastAsia" w:hAnsiTheme="majorHAnsi" w:cstheme="minorBidi"/>
          <w:color w:val="auto"/>
          <w:sz w:val="20"/>
          <w:szCs w:val="20"/>
        </w:rPr>
        <w:t>for the first time</w:t>
      </w:r>
      <w:r w:rsidR="00F950D4">
        <w:rPr>
          <w:rFonts w:asciiTheme="majorHAnsi" w:eastAsiaTheme="minorEastAsia" w:hAnsiTheme="majorHAnsi" w:cstheme="minorBidi"/>
          <w:color w:val="auto"/>
          <w:sz w:val="20"/>
          <w:szCs w:val="20"/>
        </w:rPr>
        <w:t>,</w:t>
      </w:r>
      <w:r w:rsidR="00976D99">
        <w:rPr>
          <w:rFonts w:asciiTheme="majorHAnsi" w:eastAsiaTheme="minorEastAsia" w:hAnsiTheme="majorHAnsi" w:cstheme="minorBidi"/>
          <w:color w:val="auto"/>
          <w:sz w:val="20"/>
          <w:szCs w:val="20"/>
        </w:rPr>
        <w:t xml:space="preserve"> the child support obligation, with retroactive effects and establishing provisional child support. However, according to the information submitted by the State, this decision was appealed by the defendant and, as of June 26, 2017, the judicial proceedings have not yet definitely concluded. In these circumstance, the Commission believes, without prejudging on the merits, that the exception to the exhaustion of domestic remedies enshrined in </w:t>
      </w:r>
      <w:r w:rsidR="00A36B03">
        <w:rPr>
          <w:rFonts w:asciiTheme="majorHAnsi" w:eastAsiaTheme="minorEastAsia" w:hAnsiTheme="majorHAnsi" w:cstheme="minorBidi"/>
          <w:color w:val="auto"/>
          <w:sz w:val="20"/>
          <w:szCs w:val="20"/>
        </w:rPr>
        <w:t>Article</w:t>
      </w:r>
      <w:r w:rsidR="00976D99">
        <w:rPr>
          <w:rFonts w:asciiTheme="majorHAnsi" w:eastAsiaTheme="minorEastAsia" w:hAnsiTheme="majorHAnsi" w:cstheme="minorBidi"/>
          <w:color w:val="auto"/>
          <w:sz w:val="20"/>
          <w:szCs w:val="20"/>
        </w:rPr>
        <w:t xml:space="preserve"> 46.2(c) of the American convention is applicable to this aspect of the petition and that the petition was filed within a reasonable period of time </w:t>
      </w:r>
      <w:r w:rsidR="0042145E">
        <w:rPr>
          <w:rFonts w:asciiTheme="majorHAnsi" w:eastAsiaTheme="minorEastAsia" w:hAnsiTheme="majorHAnsi" w:cstheme="minorBidi"/>
          <w:color w:val="auto"/>
          <w:sz w:val="20"/>
          <w:szCs w:val="20"/>
        </w:rPr>
        <w:t xml:space="preserve">under </w:t>
      </w:r>
      <w:r w:rsidR="00A36B03">
        <w:rPr>
          <w:rFonts w:asciiTheme="majorHAnsi" w:eastAsiaTheme="minorEastAsia" w:hAnsiTheme="majorHAnsi" w:cstheme="minorBidi"/>
          <w:color w:val="auto"/>
          <w:sz w:val="20"/>
          <w:szCs w:val="20"/>
        </w:rPr>
        <w:t>Article</w:t>
      </w:r>
      <w:r w:rsidR="0042145E">
        <w:rPr>
          <w:rFonts w:asciiTheme="majorHAnsi" w:eastAsiaTheme="minorEastAsia" w:hAnsiTheme="majorHAnsi" w:cstheme="minorBidi"/>
          <w:color w:val="auto"/>
          <w:sz w:val="20"/>
          <w:szCs w:val="20"/>
        </w:rPr>
        <w:t xml:space="preserve"> 32.2 of the Rules of Procedure of the Commission. The Commission notes that the State has claimed that the delay in the child support proceeding is, at least in part, attributable to the conduct of Ms. Pérez and will examine these claims in the merits stage.</w:t>
      </w:r>
    </w:p>
    <w:p w14:paraId="70649EFA" w14:textId="6EA300AD" w:rsidR="00264F12" w:rsidRPr="00FA049A" w:rsidRDefault="0042145E"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42145E">
        <w:rPr>
          <w:rFonts w:asciiTheme="majorHAnsi" w:eastAsiaTheme="minorEastAsia" w:hAnsiTheme="majorHAnsi" w:cstheme="minorBidi"/>
          <w:color w:val="auto"/>
          <w:sz w:val="20"/>
          <w:szCs w:val="20"/>
        </w:rPr>
        <w:t>With regard to the alleged violation o</w:t>
      </w:r>
      <w:r>
        <w:rPr>
          <w:rFonts w:asciiTheme="majorHAnsi" w:eastAsiaTheme="minorEastAsia" w:hAnsiTheme="majorHAnsi" w:cstheme="minorBidi"/>
          <w:color w:val="auto"/>
          <w:sz w:val="20"/>
          <w:szCs w:val="20"/>
        </w:rPr>
        <w:t xml:space="preserve">f the rights of Ms. Pérez in the context of the mediation proceeding and the criminal proceeding for qualified battery, as well as for not providing her free legal assistance for a contested divorce proceeding, the Commission considers that the possible application </w:t>
      </w:r>
      <w:r w:rsidR="00FA049A">
        <w:rPr>
          <w:rFonts w:asciiTheme="majorHAnsi" w:eastAsiaTheme="minorEastAsia" w:hAnsiTheme="majorHAnsi" w:cstheme="minorBidi"/>
          <w:color w:val="auto"/>
          <w:sz w:val="20"/>
          <w:szCs w:val="20"/>
        </w:rPr>
        <w:t xml:space="preserve">of the exceptions to the exhaustion of domestic remedies established in </w:t>
      </w:r>
      <w:r w:rsidR="00A36B03">
        <w:rPr>
          <w:rFonts w:asciiTheme="majorHAnsi" w:eastAsiaTheme="minorEastAsia" w:hAnsiTheme="majorHAnsi" w:cstheme="minorBidi"/>
          <w:color w:val="auto"/>
          <w:sz w:val="20"/>
          <w:szCs w:val="20"/>
        </w:rPr>
        <w:t>Article</w:t>
      </w:r>
      <w:r w:rsidR="00FA049A">
        <w:rPr>
          <w:rFonts w:asciiTheme="majorHAnsi" w:eastAsiaTheme="minorEastAsia" w:hAnsiTheme="majorHAnsi" w:cstheme="minorBidi"/>
          <w:color w:val="auto"/>
          <w:sz w:val="20"/>
          <w:szCs w:val="20"/>
        </w:rPr>
        <w:t xml:space="preserve"> 46.2(a) and (b) of the American Convention is inextricably linked to the allegations of the petitioners claiming that the State would have failed to comply with its obligations to guarantee access to justice in a condition of equality to a woman allegedly victim of domestic violence. Thus, the Commission will undertake its analysis about exhaustion of domestic remedies and timeliness of the petition concerning this aspect of the petition together with its analysis of the merits of the case</w:t>
      </w:r>
      <w:r w:rsidR="00264F12" w:rsidRPr="007C5771">
        <w:rPr>
          <w:rStyle w:val="FootnoteReference"/>
          <w:rFonts w:asciiTheme="majorHAnsi" w:hAnsiTheme="majorHAnsi" w:cs="Calibri"/>
          <w:sz w:val="20"/>
          <w:szCs w:val="20"/>
        </w:rPr>
        <w:footnoteReference w:id="23"/>
      </w:r>
      <w:r w:rsidR="00264F12" w:rsidRPr="00FA049A">
        <w:rPr>
          <w:rFonts w:asciiTheme="majorHAnsi" w:hAnsiTheme="majorHAnsi" w:cs="Calibri"/>
          <w:sz w:val="20"/>
          <w:szCs w:val="20"/>
        </w:rPr>
        <w:t>.</w:t>
      </w:r>
    </w:p>
    <w:p w14:paraId="0C39AEA8" w14:textId="38D35CFD" w:rsidR="00FA049A" w:rsidRPr="00FA049A" w:rsidRDefault="007B6650"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Pr>
          <w:rFonts w:asciiTheme="majorHAnsi" w:eastAsiaTheme="minorEastAsia" w:hAnsiTheme="majorHAnsi" w:cstheme="minorBidi"/>
          <w:color w:val="auto"/>
          <w:sz w:val="20"/>
          <w:szCs w:val="20"/>
        </w:rPr>
        <w:t>On a different matter</w:t>
      </w:r>
      <w:r w:rsidR="00FA049A" w:rsidRPr="00FA049A">
        <w:rPr>
          <w:rFonts w:asciiTheme="majorHAnsi" w:eastAsiaTheme="minorEastAsia" w:hAnsiTheme="majorHAnsi" w:cstheme="minorBidi"/>
          <w:color w:val="auto"/>
          <w:sz w:val="20"/>
          <w:szCs w:val="20"/>
        </w:rPr>
        <w:t xml:space="preserve">, the Commission notes that the petitioners have pointed out that Ms. Pérez had </w:t>
      </w:r>
      <w:r w:rsidR="00FA049A">
        <w:rPr>
          <w:rFonts w:asciiTheme="majorHAnsi" w:eastAsiaTheme="minorEastAsia" w:hAnsiTheme="majorHAnsi" w:cstheme="minorBidi"/>
          <w:color w:val="auto"/>
          <w:sz w:val="20"/>
          <w:szCs w:val="20"/>
        </w:rPr>
        <w:t xml:space="preserve">allegedly filed </w:t>
      </w:r>
      <w:r w:rsidR="00F950D4">
        <w:rPr>
          <w:rFonts w:asciiTheme="majorHAnsi" w:eastAsiaTheme="minorEastAsia" w:hAnsiTheme="majorHAnsi" w:cstheme="minorBidi"/>
          <w:color w:val="auto"/>
          <w:sz w:val="20"/>
          <w:szCs w:val="20"/>
        </w:rPr>
        <w:t>a</w:t>
      </w:r>
      <w:r w:rsidR="00FA049A">
        <w:rPr>
          <w:rFonts w:asciiTheme="majorHAnsi" w:eastAsiaTheme="minorEastAsia" w:hAnsiTheme="majorHAnsi" w:cstheme="minorBidi"/>
          <w:color w:val="auto"/>
          <w:sz w:val="20"/>
          <w:szCs w:val="20"/>
        </w:rPr>
        <w:t xml:space="preserve"> claim on April 27, 2003, concerning an alleged situation of domestic violence that she had been suffering and that the parties have not submitted information concerning the actions taken by the State to investigate the claim and protect the claimant. </w:t>
      </w:r>
      <w:r w:rsidR="006E63E8">
        <w:rPr>
          <w:rFonts w:asciiTheme="majorHAnsi" w:eastAsiaTheme="minorEastAsia" w:hAnsiTheme="majorHAnsi" w:cstheme="minorBidi"/>
          <w:color w:val="auto"/>
          <w:sz w:val="20"/>
          <w:szCs w:val="20"/>
        </w:rPr>
        <w:t>On this matter, the Commission deems it necessary to recall that it has already established that States have the obligation to investigate cases involving alleged violations of human rights and that “t</w:t>
      </w:r>
      <w:r w:rsidR="006E63E8" w:rsidRPr="006E63E8">
        <w:rPr>
          <w:rFonts w:asciiTheme="majorHAnsi" w:eastAsiaTheme="minorEastAsia" w:hAnsiTheme="majorHAnsi" w:cstheme="minorBidi"/>
          <w:color w:val="auto"/>
          <w:sz w:val="20"/>
          <w:szCs w:val="20"/>
        </w:rPr>
        <w:t>his burden must be assumed by the State as its own legal duty, and not as a management of private interests or that depends on the initiative of the latter or the provision of evidence by them</w:t>
      </w:r>
      <w:r w:rsidR="006E63E8">
        <w:rPr>
          <w:rFonts w:asciiTheme="majorHAnsi" w:eastAsiaTheme="minorEastAsia" w:hAnsiTheme="majorHAnsi" w:cstheme="minorBidi"/>
          <w:color w:val="auto"/>
          <w:sz w:val="20"/>
          <w:szCs w:val="20"/>
        </w:rPr>
        <w:t>”</w:t>
      </w:r>
      <w:r w:rsidR="006E63E8" w:rsidRPr="007C5771">
        <w:rPr>
          <w:rStyle w:val="FootnoteReference"/>
          <w:rFonts w:asciiTheme="majorHAnsi" w:hAnsiTheme="majorHAnsi" w:cs="Calibri"/>
          <w:sz w:val="20"/>
          <w:szCs w:val="20"/>
        </w:rPr>
        <w:footnoteReference w:id="24"/>
      </w:r>
      <w:r w:rsidR="006E63E8">
        <w:rPr>
          <w:rFonts w:asciiTheme="majorHAnsi" w:eastAsiaTheme="minorEastAsia" w:hAnsiTheme="majorHAnsi" w:cstheme="minorBidi"/>
          <w:color w:val="auto"/>
          <w:sz w:val="20"/>
          <w:szCs w:val="20"/>
        </w:rPr>
        <w:t xml:space="preserve">. Likewise, it recalls that </w:t>
      </w:r>
      <w:r w:rsidR="00A36B03">
        <w:rPr>
          <w:rFonts w:asciiTheme="majorHAnsi" w:eastAsiaTheme="minorEastAsia" w:hAnsiTheme="majorHAnsi" w:cstheme="minorBidi"/>
          <w:color w:val="auto"/>
          <w:sz w:val="20"/>
          <w:szCs w:val="20"/>
        </w:rPr>
        <w:t>Article</w:t>
      </w:r>
      <w:r w:rsidR="006E63E8">
        <w:rPr>
          <w:rFonts w:asciiTheme="majorHAnsi" w:eastAsiaTheme="minorEastAsia" w:hAnsiTheme="majorHAnsi" w:cstheme="minorBidi"/>
          <w:color w:val="auto"/>
          <w:sz w:val="20"/>
          <w:szCs w:val="20"/>
        </w:rPr>
        <w:t xml:space="preserve"> 7(b) of the </w:t>
      </w:r>
      <w:proofErr w:type="spellStart"/>
      <w:r w:rsidR="006E63E8">
        <w:rPr>
          <w:rFonts w:asciiTheme="majorHAnsi" w:eastAsiaTheme="minorEastAsia" w:hAnsiTheme="majorHAnsi" w:cstheme="minorBidi"/>
          <w:color w:val="auto"/>
          <w:sz w:val="20"/>
          <w:szCs w:val="20"/>
        </w:rPr>
        <w:t>Belém</w:t>
      </w:r>
      <w:proofErr w:type="spellEnd"/>
      <w:r w:rsidR="006E63E8">
        <w:rPr>
          <w:rFonts w:asciiTheme="majorHAnsi" w:eastAsiaTheme="minorEastAsia" w:hAnsiTheme="majorHAnsi" w:cstheme="minorBidi"/>
          <w:color w:val="auto"/>
          <w:sz w:val="20"/>
          <w:szCs w:val="20"/>
        </w:rPr>
        <w:t xml:space="preserve"> do </w:t>
      </w:r>
      <w:proofErr w:type="spellStart"/>
      <w:r w:rsidR="006E63E8">
        <w:rPr>
          <w:rFonts w:asciiTheme="majorHAnsi" w:eastAsiaTheme="minorEastAsia" w:hAnsiTheme="majorHAnsi" w:cstheme="minorBidi"/>
          <w:color w:val="auto"/>
          <w:sz w:val="20"/>
          <w:szCs w:val="20"/>
        </w:rPr>
        <w:t>Pará</w:t>
      </w:r>
      <w:proofErr w:type="spellEnd"/>
      <w:r w:rsidR="006E63E8">
        <w:rPr>
          <w:rFonts w:asciiTheme="majorHAnsi" w:eastAsiaTheme="minorEastAsia" w:hAnsiTheme="majorHAnsi" w:cstheme="minorBidi"/>
          <w:color w:val="auto"/>
          <w:sz w:val="20"/>
          <w:szCs w:val="20"/>
        </w:rPr>
        <w:t xml:space="preserve"> Conventi</w:t>
      </w:r>
      <w:r w:rsidR="00F950D4">
        <w:rPr>
          <w:rFonts w:asciiTheme="majorHAnsi" w:eastAsiaTheme="minorEastAsia" w:hAnsiTheme="majorHAnsi" w:cstheme="minorBidi"/>
          <w:color w:val="auto"/>
          <w:sz w:val="20"/>
          <w:szCs w:val="20"/>
        </w:rPr>
        <w:t>o</w:t>
      </w:r>
      <w:r w:rsidR="006E63E8">
        <w:rPr>
          <w:rFonts w:asciiTheme="majorHAnsi" w:eastAsiaTheme="minorEastAsia" w:hAnsiTheme="majorHAnsi" w:cstheme="minorBidi"/>
          <w:color w:val="auto"/>
          <w:sz w:val="20"/>
          <w:szCs w:val="20"/>
        </w:rPr>
        <w:t>n establishes that States have the obligation to “</w:t>
      </w:r>
      <w:r w:rsidR="006E63E8" w:rsidRPr="006E63E8">
        <w:rPr>
          <w:rFonts w:asciiTheme="majorHAnsi" w:eastAsiaTheme="minorEastAsia" w:hAnsiTheme="majorHAnsi" w:cstheme="minorBidi"/>
          <w:color w:val="auto"/>
          <w:sz w:val="20"/>
          <w:szCs w:val="20"/>
        </w:rPr>
        <w:t>apply due diligence to prevent, investigate and impose penalties for violence against women</w:t>
      </w:r>
      <w:r w:rsidR="006E63E8">
        <w:rPr>
          <w:rFonts w:asciiTheme="majorHAnsi" w:eastAsiaTheme="minorEastAsia" w:hAnsiTheme="majorHAnsi" w:cstheme="minorBidi"/>
          <w:color w:val="auto"/>
          <w:sz w:val="20"/>
          <w:szCs w:val="20"/>
        </w:rPr>
        <w:t xml:space="preserve">”. For these reasons, the Commission considers, </w:t>
      </w:r>
      <w:r w:rsidR="006E63E8">
        <w:rPr>
          <w:rFonts w:asciiTheme="majorHAnsi" w:eastAsiaTheme="minorEastAsia" w:hAnsiTheme="majorHAnsi" w:cstheme="minorBidi"/>
          <w:i/>
          <w:iCs/>
          <w:color w:val="auto"/>
          <w:sz w:val="20"/>
          <w:szCs w:val="20"/>
        </w:rPr>
        <w:t>prima facie</w:t>
      </w:r>
      <w:r w:rsidR="006E63E8">
        <w:rPr>
          <w:rFonts w:asciiTheme="majorHAnsi" w:eastAsiaTheme="minorEastAsia" w:hAnsiTheme="majorHAnsi" w:cstheme="minorBidi"/>
          <w:color w:val="auto"/>
          <w:sz w:val="20"/>
          <w:szCs w:val="20"/>
        </w:rPr>
        <w:t xml:space="preserve"> and without prejudging on the merits, that more than 16 years elapsed since the claim was filed and the absence of information concerning the actions taken by the State in response or about their results, justifies the application of the exception to the exhaustion of domestic remedies established in </w:t>
      </w:r>
      <w:r w:rsidR="00A36B03">
        <w:rPr>
          <w:rFonts w:asciiTheme="majorHAnsi" w:eastAsiaTheme="minorEastAsia" w:hAnsiTheme="majorHAnsi" w:cstheme="minorBidi"/>
          <w:color w:val="auto"/>
          <w:sz w:val="20"/>
          <w:szCs w:val="20"/>
        </w:rPr>
        <w:t>Article</w:t>
      </w:r>
      <w:r w:rsidR="006E63E8">
        <w:rPr>
          <w:rFonts w:asciiTheme="majorHAnsi" w:eastAsiaTheme="minorEastAsia" w:hAnsiTheme="majorHAnsi" w:cstheme="minorBidi"/>
          <w:color w:val="auto"/>
          <w:sz w:val="20"/>
          <w:szCs w:val="20"/>
        </w:rPr>
        <w:t xml:space="preserve"> 46.2(c) of the American Convention to this aspect of the petition. As the petition was filed even as the grievance continues, the Commission considers that it was filed within a reasonable period under </w:t>
      </w:r>
      <w:r w:rsidR="00A36B03">
        <w:rPr>
          <w:rFonts w:asciiTheme="majorHAnsi" w:eastAsiaTheme="minorEastAsia" w:hAnsiTheme="majorHAnsi" w:cstheme="minorBidi"/>
          <w:color w:val="auto"/>
          <w:sz w:val="20"/>
          <w:szCs w:val="20"/>
        </w:rPr>
        <w:t>Article</w:t>
      </w:r>
      <w:r w:rsidR="006E63E8">
        <w:rPr>
          <w:rFonts w:asciiTheme="majorHAnsi" w:eastAsiaTheme="minorEastAsia" w:hAnsiTheme="majorHAnsi" w:cstheme="minorBidi"/>
          <w:color w:val="auto"/>
          <w:sz w:val="20"/>
          <w:szCs w:val="20"/>
        </w:rPr>
        <w:t xml:space="preserve"> 32.2. </w:t>
      </w:r>
      <w:proofErr w:type="gramStart"/>
      <w:r w:rsidR="006E63E8">
        <w:rPr>
          <w:rFonts w:asciiTheme="majorHAnsi" w:eastAsiaTheme="minorEastAsia" w:hAnsiTheme="majorHAnsi" w:cstheme="minorBidi"/>
          <w:color w:val="auto"/>
          <w:sz w:val="20"/>
          <w:szCs w:val="20"/>
        </w:rPr>
        <w:t>of</w:t>
      </w:r>
      <w:proofErr w:type="gramEnd"/>
      <w:r w:rsidR="006E63E8">
        <w:rPr>
          <w:rFonts w:asciiTheme="majorHAnsi" w:eastAsiaTheme="minorEastAsia" w:hAnsiTheme="majorHAnsi" w:cstheme="minorBidi"/>
          <w:color w:val="auto"/>
          <w:sz w:val="20"/>
          <w:szCs w:val="20"/>
        </w:rPr>
        <w:t xml:space="preserve"> its Rules of Procedure.</w:t>
      </w:r>
    </w:p>
    <w:p w14:paraId="1FB99392" w14:textId="724B5779" w:rsidR="00E96E52" w:rsidRDefault="006E63E8"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6E63E8">
        <w:rPr>
          <w:rFonts w:asciiTheme="majorHAnsi" w:eastAsiaTheme="minorEastAsia" w:hAnsiTheme="majorHAnsi" w:cstheme="minorBidi"/>
          <w:color w:val="auto"/>
          <w:sz w:val="20"/>
          <w:szCs w:val="20"/>
        </w:rPr>
        <w:t xml:space="preserve">The Commission notes that the State has pointed out that domestic remedies were not exhausted because the petitioners have not </w:t>
      </w:r>
      <w:r>
        <w:rPr>
          <w:rFonts w:asciiTheme="majorHAnsi" w:eastAsiaTheme="minorEastAsia" w:hAnsiTheme="majorHAnsi" w:cstheme="minorBidi"/>
          <w:color w:val="auto"/>
          <w:sz w:val="20"/>
          <w:szCs w:val="20"/>
        </w:rPr>
        <w:t>filed a judicial challenge to the resolution adopted by the SCJ on July 11, 2008, deciding to close the proceedings that were initiated after CPA conveyed to the SCJ the situation of Ms. Pérez</w:t>
      </w:r>
      <w:r w:rsidR="00485BA7">
        <w:rPr>
          <w:rFonts w:asciiTheme="majorHAnsi" w:eastAsiaTheme="minorEastAsia" w:hAnsiTheme="majorHAnsi" w:cstheme="minorBidi"/>
          <w:color w:val="auto"/>
          <w:sz w:val="20"/>
          <w:szCs w:val="20"/>
        </w:rPr>
        <w:t xml:space="preserve"> and </w:t>
      </w:r>
      <w:r>
        <w:rPr>
          <w:rFonts w:asciiTheme="majorHAnsi" w:eastAsiaTheme="minorEastAsia" w:hAnsiTheme="majorHAnsi" w:cstheme="minorBidi"/>
          <w:color w:val="auto"/>
          <w:sz w:val="20"/>
          <w:szCs w:val="20"/>
        </w:rPr>
        <w:t>requested</w:t>
      </w:r>
      <w:r w:rsidR="00485BA7">
        <w:rPr>
          <w:rFonts w:asciiTheme="majorHAnsi" w:eastAsiaTheme="minorEastAsia" w:hAnsiTheme="majorHAnsi" w:cstheme="minorBidi"/>
          <w:color w:val="auto"/>
          <w:sz w:val="20"/>
          <w:szCs w:val="20"/>
        </w:rPr>
        <w:t xml:space="preserve"> that</w:t>
      </w:r>
      <w:r>
        <w:rPr>
          <w:rFonts w:asciiTheme="majorHAnsi" w:eastAsiaTheme="minorEastAsia" w:hAnsiTheme="majorHAnsi" w:cstheme="minorBidi"/>
          <w:color w:val="auto"/>
          <w:sz w:val="20"/>
          <w:szCs w:val="20"/>
        </w:rPr>
        <w:t xml:space="preserve"> information about the child support case file</w:t>
      </w:r>
      <w:r w:rsidR="00485BA7">
        <w:rPr>
          <w:rFonts w:asciiTheme="majorHAnsi" w:eastAsiaTheme="minorEastAsia" w:hAnsiTheme="majorHAnsi" w:cstheme="minorBidi"/>
          <w:color w:val="auto"/>
          <w:sz w:val="20"/>
          <w:szCs w:val="20"/>
        </w:rPr>
        <w:t xml:space="preserve"> be provided</w:t>
      </w:r>
      <w:r>
        <w:rPr>
          <w:rFonts w:asciiTheme="majorHAnsi" w:eastAsiaTheme="minorEastAsia" w:hAnsiTheme="majorHAnsi" w:cstheme="minorBidi"/>
          <w:color w:val="auto"/>
          <w:sz w:val="20"/>
          <w:szCs w:val="20"/>
        </w:rPr>
        <w:t xml:space="preserve"> a</w:t>
      </w:r>
      <w:r w:rsidR="00485BA7">
        <w:rPr>
          <w:rFonts w:asciiTheme="majorHAnsi" w:eastAsiaTheme="minorEastAsia" w:hAnsiTheme="majorHAnsi" w:cstheme="minorBidi"/>
          <w:color w:val="auto"/>
          <w:sz w:val="20"/>
          <w:szCs w:val="20"/>
        </w:rPr>
        <w:t xml:space="preserve">s well as that a possible malfeasance in office on the part of the Judge and Prosecutor involved in the qualified battery case be studied. The Commission considers that this request by CPA is tangential to the subject of the instant petition; </w:t>
      </w:r>
      <w:r w:rsidR="00485BA7">
        <w:rPr>
          <w:rFonts w:asciiTheme="majorHAnsi" w:eastAsiaTheme="minorEastAsia" w:hAnsiTheme="majorHAnsi" w:cstheme="minorBidi"/>
          <w:color w:val="auto"/>
          <w:sz w:val="20"/>
          <w:szCs w:val="20"/>
        </w:rPr>
        <w:lastRenderedPageBreak/>
        <w:t>thus, analyzing whether challenges to the resolution passed on this administrative proceeding were available or not is not relevant for the purposes of studying the admissibility of the instant petition.</w:t>
      </w:r>
    </w:p>
    <w:p w14:paraId="4F67AB7A" w14:textId="2B6C9169" w:rsidR="009B2059" w:rsidRPr="009B2059" w:rsidRDefault="009B2059"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1B5576">
        <w:rPr>
          <w:rFonts w:asciiTheme="majorHAnsi" w:eastAsiaTheme="minorEastAsia" w:hAnsiTheme="majorHAnsi" w:cstheme="minorBidi"/>
          <w:color w:val="auto"/>
          <w:sz w:val="20"/>
          <w:szCs w:val="20"/>
        </w:rPr>
        <w:t xml:space="preserve">The Inter-American Commission also </w:t>
      </w:r>
      <w:r>
        <w:rPr>
          <w:rFonts w:asciiTheme="majorHAnsi" w:eastAsiaTheme="minorEastAsia" w:hAnsiTheme="majorHAnsi" w:cstheme="minorBidi"/>
          <w:color w:val="auto"/>
          <w:sz w:val="20"/>
          <w:szCs w:val="20"/>
        </w:rPr>
        <w:t>takes note of the claim of the State concerning what it describes or qualifies as the extemporaneous notification of the petition. In that regard, neither the American Convention nor the Rules of Procedure of the Commission establish a time limit for the notification of a petition to the State since its filing; the time limits established in the Rules of Procedure and in the Convention of other stages of the proceedings are not analogically applicable.</w:t>
      </w:r>
    </w:p>
    <w:p w14:paraId="102FFADD" w14:textId="34ADF0B7" w:rsidR="00006B74" w:rsidRPr="007C5771" w:rsidRDefault="00F04591" w:rsidP="00A36B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240"/>
        <w:ind w:left="720"/>
        <w:jc w:val="both"/>
        <w:rPr>
          <w:rFonts w:asciiTheme="majorHAnsi" w:hAnsiTheme="majorHAnsi"/>
          <w:b/>
          <w:bCs/>
          <w:sz w:val="20"/>
          <w:szCs w:val="20"/>
          <w:lang w:val="es-ES"/>
        </w:rPr>
      </w:pPr>
      <w:r w:rsidRPr="007C5771">
        <w:rPr>
          <w:rFonts w:asciiTheme="majorHAnsi" w:hAnsiTheme="majorHAnsi"/>
          <w:b/>
          <w:bCs/>
          <w:sz w:val="20"/>
          <w:szCs w:val="20"/>
          <w:lang w:val="es-ES"/>
        </w:rPr>
        <w:t>V</w:t>
      </w:r>
      <w:r w:rsidR="000E2789" w:rsidRPr="007C5771">
        <w:rPr>
          <w:rFonts w:asciiTheme="majorHAnsi" w:hAnsiTheme="majorHAnsi"/>
          <w:b/>
          <w:bCs/>
          <w:sz w:val="20"/>
          <w:szCs w:val="20"/>
          <w:lang w:val="es-ES"/>
        </w:rPr>
        <w:t>I</w:t>
      </w:r>
      <w:r w:rsidRPr="007C5771">
        <w:rPr>
          <w:rFonts w:asciiTheme="majorHAnsi" w:hAnsiTheme="majorHAnsi"/>
          <w:b/>
          <w:bCs/>
          <w:sz w:val="20"/>
          <w:szCs w:val="20"/>
          <w:lang w:val="es-ES"/>
        </w:rPr>
        <w:t xml:space="preserve">I. </w:t>
      </w:r>
      <w:r w:rsidRPr="007C5771">
        <w:rPr>
          <w:rFonts w:asciiTheme="majorHAnsi" w:hAnsiTheme="majorHAnsi"/>
          <w:b/>
          <w:bCs/>
          <w:sz w:val="20"/>
          <w:szCs w:val="20"/>
          <w:lang w:val="es-ES"/>
        </w:rPr>
        <w:tab/>
      </w:r>
      <w:r w:rsidR="00AA17A8">
        <w:rPr>
          <w:rFonts w:asciiTheme="majorHAnsi" w:hAnsiTheme="majorHAnsi"/>
          <w:b/>
          <w:bCs/>
          <w:sz w:val="20"/>
          <w:szCs w:val="20"/>
          <w:lang w:val="es-ES"/>
        </w:rPr>
        <w:t>COLORABLE CLAIM</w:t>
      </w:r>
    </w:p>
    <w:p w14:paraId="6432C174" w14:textId="0AE0738E" w:rsidR="00485BA7" w:rsidRPr="00485BA7" w:rsidRDefault="00485BA7"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485BA7">
        <w:rPr>
          <w:rFonts w:asciiTheme="majorHAnsi" w:eastAsiaTheme="minorEastAsia" w:hAnsiTheme="majorHAnsi" w:cstheme="minorBidi"/>
          <w:color w:val="auto"/>
          <w:sz w:val="20"/>
          <w:szCs w:val="20"/>
        </w:rPr>
        <w:t>The Commission notes that the c</w:t>
      </w:r>
      <w:r>
        <w:rPr>
          <w:rFonts w:asciiTheme="majorHAnsi" w:eastAsiaTheme="minorEastAsia" w:hAnsiTheme="majorHAnsi" w:cstheme="minorBidi"/>
          <w:color w:val="auto"/>
          <w:sz w:val="20"/>
          <w:szCs w:val="20"/>
        </w:rPr>
        <w:t>laims of the petitioners include allegations concerning: lack of due investigation of the situation of violence about which Ms. Pérez filed a complaint; negligence on the part of the authorities in charge of the proceeding in a situation in which the alleged victim did not have legal representation; irregularities, undue delay and deficient performance of duties by the legal representation afforded by the State in the child support proceedings; lack of due protection for a victim of domestic violence by allowing her to be involved in a mediation proceeding with her alleged aggressor and for homologating the mediation agreement and for not providing her legal assistance for a contested divorce proceeding, lack of protection of the rights of the children of Ms. Pérez by not guaranteeing legal representation of their interests in the different proceedings that were relevant to them.</w:t>
      </w:r>
    </w:p>
    <w:p w14:paraId="4C7BBA93" w14:textId="79550A49" w:rsidR="007D3ADB" w:rsidRPr="008B18D5" w:rsidRDefault="00F74EB4"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F74EB4">
        <w:rPr>
          <w:rFonts w:asciiTheme="majorHAnsi" w:eastAsiaTheme="minorEastAsia" w:hAnsiTheme="majorHAnsi" w:cstheme="minorBidi"/>
          <w:color w:val="auto"/>
          <w:sz w:val="20"/>
          <w:szCs w:val="20"/>
        </w:rPr>
        <w:t>Considering the nature of the allegations included in the petition, the Commission considers it necessary to recall</w:t>
      </w:r>
      <w:r>
        <w:rPr>
          <w:rFonts w:asciiTheme="majorHAnsi" w:eastAsiaTheme="minorEastAsia" w:hAnsiTheme="majorHAnsi" w:cstheme="minorBidi"/>
          <w:color w:val="auto"/>
          <w:sz w:val="20"/>
          <w:szCs w:val="20"/>
        </w:rPr>
        <w:t xml:space="preserve"> that it has already warned that “</w:t>
      </w:r>
      <w:r w:rsidRPr="00F74EB4">
        <w:rPr>
          <w:rFonts w:asciiTheme="majorHAnsi" w:eastAsiaTheme="minorEastAsia" w:hAnsiTheme="majorHAnsi" w:cstheme="minorBidi"/>
          <w:color w:val="auto"/>
          <w:sz w:val="20"/>
          <w:szCs w:val="20"/>
        </w:rPr>
        <w:t>State inaction towards cases of violence against women fosters an environment of impunity and promotes the repetition of violence</w:t>
      </w:r>
      <w:r>
        <w:rPr>
          <w:rFonts w:asciiTheme="majorHAnsi" w:eastAsiaTheme="minorEastAsia" w:hAnsiTheme="majorHAnsi" w:cstheme="minorBidi"/>
          <w:color w:val="auto"/>
          <w:sz w:val="20"/>
          <w:szCs w:val="20"/>
        </w:rPr>
        <w:t>”</w:t>
      </w:r>
      <w:r w:rsidRPr="00F74EB4">
        <w:rPr>
          <w:rStyle w:val="FootnoteReference"/>
          <w:sz w:val="20"/>
          <w:szCs w:val="20"/>
        </w:rPr>
        <w:t xml:space="preserve"> </w:t>
      </w:r>
      <w:r w:rsidRPr="007C5771">
        <w:rPr>
          <w:rStyle w:val="FootnoteReference"/>
          <w:sz w:val="20"/>
          <w:szCs w:val="20"/>
          <w:lang w:val="es-PA"/>
        </w:rPr>
        <w:footnoteReference w:id="25"/>
      </w:r>
      <w:r>
        <w:rPr>
          <w:rFonts w:asciiTheme="majorHAnsi" w:eastAsiaTheme="minorEastAsia" w:hAnsiTheme="majorHAnsi" w:cstheme="minorBidi"/>
          <w:color w:val="auto"/>
          <w:sz w:val="20"/>
          <w:szCs w:val="20"/>
        </w:rPr>
        <w:t xml:space="preserve"> and that “</w:t>
      </w:r>
      <w:r w:rsidRPr="00F74EB4">
        <w:rPr>
          <w:rFonts w:asciiTheme="majorHAnsi" w:eastAsiaTheme="minorEastAsia" w:hAnsiTheme="majorHAnsi" w:cstheme="minorBidi"/>
          <w:color w:val="auto"/>
          <w:sz w:val="20"/>
          <w:szCs w:val="20"/>
        </w:rPr>
        <w:t>international bodies have consistently established that a State may incur international responsibility for failing to act with due diligence to prevent, investigate, sanction and offer reparations for acts of violence against women; a duty which may apply to actions committed by private actors in certain circumstances</w:t>
      </w:r>
      <w:r>
        <w:rPr>
          <w:rFonts w:asciiTheme="majorHAnsi" w:eastAsiaTheme="minorEastAsia" w:hAnsiTheme="majorHAnsi" w:cstheme="minorBidi"/>
          <w:color w:val="auto"/>
          <w:sz w:val="20"/>
          <w:szCs w:val="20"/>
        </w:rPr>
        <w:t>”</w:t>
      </w:r>
      <w:r w:rsidRPr="00F74EB4">
        <w:rPr>
          <w:rStyle w:val="FootnoteReference"/>
          <w:sz w:val="20"/>
          <w:szCs w:val="20"/>
        </w:rPr>
        <w:t xml:space="preserve"> </w:t>
      </w:r>
      <w:r w:rsidRPr="007C5771">
        <w:rPr>
          <w:rStyle w:val="FootnoteReference"/>
          <w:sz w:val="20"/>
          <w:szCs w:val="20"/>
          <w:lang w:val="es-PA"/>
        </w:rPr>
        <w:footnoteReference w:id="26"/>
      </w:r>
      <w:r>
        <w:rPr>
          <w:sz w:val="20"/>
          <w:szCs w:val="20"/>
        </w:rPr>
        <w:t>. Likewise, it has expressed its concern in its thematic reports concerning the use of mediation or conciliation in cases involving alleged situations of violence because “c</w:t>
      </w:r>
      <w:r w:rsidRPr="00F74EB4">
        <w:rPr>
          <w:sz w:val="20"/>
          <w:szCs w:val="20"/>
        </w:rPr>
        <w:t xml:space="preserve">onciliation is premised on the notion that the parties at the table are operating from equal bargaining positions, which is generally not true in cases of </w:t>
      </w:r>
      <w:proofErr w:type="spellStart"/>
      <w:r w:rsidRPr="00F74EB4">
        <w:rPr>
          <w:sz w:val="20"/>
          <w:szCs w:val="20"/>
        </w:rPr>
        <w:t>intrafamily</w:t>
      </w:r>
      <w:proofErr w:type="spellEnd"/>
      <w:r w:rsidRPr="00F74EB4">
        <w:rPr>
          <w:sz w:val="20"/>
          <w:szCs w:val="20"/>
        </w:rPr>
        <w:t xml:space="preserve"> violence</w:t>
      </w:r>
      <w:r>
        <w:rPr>
          <w:sz w:val="20"/>
          <w:szCs w:val="20"/>
        </w:rPr>
        <w:t>”</w:t>
      </w:r>
      <w:r w:rsidRPr="00F74EB4">
        <w:rPr>
          <w:rStyle w:val="FootnoteReference"/>
          <w:color w:val="auto"/>
          <w:sz w:val="20"/>
          <w:szCs w:val="20"/>
        </w:rPr>
        <w:t xml:space="preserve"> </w:t>
      </w:r>
      <w:r w:rsidRPr="007C5771">
        <w:rPr>
          <w:rStyle w:val="FootnoteReference"/>
          <w:color w:val="auto"/>
          <w:sz w:val="20"/>
          <w:szCs w:val="20"/>
          <w:lang w:val="es-PA"/>
        </w:rPr>
        <w:footnoteReference w:id="27"/>
      </w:r>
      <w:r w:rsidRPr="00F74EB4">
        <w:rPr>
          <w:color w:val="auto"/>
          <w:sz w:val="20"/>
          <w:szCs w:val="20"/>
        </w:rPr>
        <w:t>.</w:t>
      </w:r>
      <w:r>
        <w:rPr>
          <w:color w:val="auto"/>
          <w:sz w:val="20"/>
          <w:szCs w:val="20"/>
        </w:rPr>
        <w:t xml:space="preserve"> In addition, the Commission has expressed its concern about procedural requirements that cause </w:t>
      </w:r>
      <w:proofErr w:type="spellStart"/>
      <w:r>
        <w:rPr>
          <w:color w:val="auto"/>
          <w:sz w:val="20"/>
          <w:szCs w:val="20"/>
        </w:rPr>
        <w:t>revictimization</w:t>
      </w:r>
      <w:proofErr w:type="spellEnd"/>
      <w:r>
        <w:rPr>
          <w:color w:val="auto"/>
          <w:sz w:val="20"/>
          <w:szCs w:val="20"/>
        </w:rPr>
        <w:t xml:space="preserve"> to an alleged victim of domestic violence by forcing her to </w:t>
      </w:r>
      <w:r w:rsidR="00050C6D">
        <w:rPr>
          <w:color w:val="auto"/>
          <w:sz w:val="20"/>
          <w:szCs w:val="20"/>
        </w:rPr>
        <w:t>providing a statement on the acts of violence on multiple occasions.</w:t>
      </w:r>
      <w:r w:rsidR="00050C6D" w:rsidRPr="007C5771">
        <w:rPr>
          <w:rStyle w:val="FootnoteReference"/>
          <w:color w:val="auto"/>
          <w:sz w:val="20"/>
          <w:szCs w:val="20"/>
          <w:lang w:val="es-PA"/>
        </w:rPr>
        <w:footnoteReference w:id="28"/>
      </w:r>
      <w:r w:rsidR="00050C6D">
        <w:rPr>
          <w:color w:val="auto"/>
          <w:sz w:val="20"/>
          <w:szCs w:val="20"/>
        </w:rPr>
        <w:t xml:space="preserve"> The IACHR has also recognized that its investigations “</w:t>
      </w:r>
      <w:r w:rsidR="00050C6D" w:rsidRPr="00050C6D">
        <w:rPr>
          <w:color w:val="auto"/>
          <w:sz w:val="20"/>
          <w:szCs w:val="20"/>
        </w:rPr>
        <w:t>have revealed that one of the greatest needs expressed by women living in violent relationships is assistance with matters related to the divorce, property and custody of the children</w:t>
      </w:r>
      <w:r w:rsidR="00050C6D">
        <w:rPr>
          <w:color w:val="auto"/>
          <w:sz w:val="20"/>
          <w:szCs w:val="20"/>
        </w:rPr>
        <w:t>”</w:t>
      </w:r>
      <w:r w:rsidR="00050C6D" w:rsidRPr="00050C6D">
        <w:rPr>
          <w:rStyle w:val="FootnoteReference"/>
          <w:color w:val="auto"/>
          <w:sz w:val="20"/>
          <w:szCs w:val="20"/>
        </w:rPr>
        <w:t xml:space="preserve"> </w:t>
      </w:r>
      <w:r w:rsidR="00050C6D" w:rsidRPr="007C5771">
        <w:rPr>
          <w:rStyle w:val="FootnoteReference"/>
          <w:color w:val="auto"/>
          <w:sz w:val="20"/>
          <w:szCs w:val="20"/>
          <w:lang w:val="es-PA"/>
        </w:rPr>
        <w:footnoteReference w:id="29"/>
      </w:r>
      <w:r w:rsidR="00050C6D" w:rsidRPr="00050C6D">
        <w:rPr>
          <w:color w:val="auto"/>
          <w:sz w:val="20"/>
          <w:szCs w:val="20"/>
        </w:rPr>
        <w:t>.</w:t>
      </w:r>
      <w:r w:rsidR="008B18D5">
        <w:rPr>
          <w:color w:val="auto"/>
          <w:sz w:val="20"/>
          <w:szCs w:val="20"/>
        </w:rPr>
        <w:t xml:space="preserve"> The Commission has also noted that “</w:t>
      </w:r>
      <w:r w:rsidR="008B18D5" w:rsidRPr="008B18D5">
        <w:rPr>
          <w:color w:val="auto"/>
          <w:sz w:val="20"/>
          <w:szCs w:val="20"/>
        </w:rPr>
        <w:t>in certain proceedings, based on their objective, the position of the mother and/or father may not necessarily represent the child’s interests so the State must guarantee that the child’s interests are represented by someone outside said conflict</w:t>
      </w:r>
      <w:r w:rsidR="008B18D5">
        <w:rPr>
          <w:color w:val="auto"/>
          <w:sz w:val="20"/>
          <w:szCs w:val="20"/>
        </w:rPr>
        <w:t>”</w:t>
      </w:r>
      <w:r w:rsidR="00350042" w:rsidRPr="007C5771">
        <w:rPr>
          <w:rStyle w:val="FootnoteReference"/>
          <w:color w:val="auto"/>
          <w:sz w:val="20"/>
          <w:szCs w:val="20"/>
          <w:lang w:val="es-PA"/>
        </w:rPr>
        <w:footnoteReference w:id="30"/>
      </w:r>
      <w:r w:rsidR="00350042" w:rsidRPr="008B18D5">
        <w:rPr>
          <w:color w:val="auto"/>
          <w:sz w:val="20"/>
          <w:szCs w:val="20"/>
        </w:rPr>
        <w:t>.</w:t>
      </w:r>
      <w:r w:rsidR="00782A5C" w:rsidRPr="008B18D5">
        <w:rPr>
          <w:color w:val="auto"/>
          <w:sz w:val="20"/>
          <w:szCs w:val="20"/>
        </w:rPr>
        <w:t xml:space="preserve"> </w:t>
      </w:r>
    </w:p>
    <w:p w14:paraId="2BDA8B42" w14:textId="27DC06DD" w:rsidR="001B5576" w:rsidRPr="001B5576" w:rsidRDefault="001B5576"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1B5576">
        <w:rPr>
          <w:rFonts w:asciiTheme="majorHAnsi" w:eastAsiaTheme="minorEastAsia" w:hAnsiTheme="majorHAnsi" w:cstheme="minorBidi"/>
          <w:color w:val="auto"/>
          <w:sz w:val="20"/>
          <w:szCs w:val="20"/>
        </w:rPr>
        <w:t>In light of these cons</w:t>
      </w:r>
      <w:r>
        <w:rPr>
          <w:rFonts w:asciiTheme="majorHAnsi" w:eastAsiaTheme="minorEastAsia" w:hAnsiTheme="majorHAnsi" w:cstheme="minorBidi"/>
          <w:color w:val="auto"/>
          <w:sz w:val="20"/>
          <w:szCs w:val="20"/>
        </w:rPr>
        <w:t xml:space="preserve">iderations and having analyzed the </w:t>
      </w:r>
      <w:r w:rsidR="00F950D4">
        <w:rPr>
          <w:rFonts w:asciiTheme="majorHAnsi" w:eastAsiaTheme="minorEastAsia" w:hAnsiTheme="majorHAnsi" w:cstheme="minorBidi"/>
          <w:color w:val="auto"/>
          <w:sz w:val="20"/>
          <w:szCs w:val="20"/>
        </w:rPr>
        <w:t>factual and legal elements</w:t>
      </w:r>
      <w:r>
        <w:rPr>
          <w:rFonts w:asciiTheme="majorHAnsi" w:eastAsiaTheme="minorEastAsia" w:hAnsiTheme="majorHAnsi" w:cstheme="minorBidi"/>
          <w:color w:val="auto"/>
          <w:sz w:val="20"/>
          <w:szCs w:val="20"/>
        </w:rPr>
        <w:t xml:space="preserve"> brought forth by the parties, the Commission considers that the allegations of the petitioners are not manifestly groundless and require a study of the merits as the alleged facts, if corroborated as true, could constitute violations of </w:t>
      </w:r>
      <w:r w:rsidR="00A36B03">
        <w:rPr>
          <w:rFonts w:asciiTheme="majorHAnsi" w:eastAsiaTheme="minorEastAsia" w:hAnsiTheme="majorHAnsi" w:cstheme="minorBidi"/>
          <w:color w:val="auto"/>
          <w:sz w:val="20"/>
          <w:szCs w:val="20"/>
        </w:rPr>
        <w:t>Article</w:t>
      </w:r>
      <w:r>
        <w:rPr>
          <w:rFonts w:asciiTheme="majorHAnsi" w:eastAsiaTheme="minorEastAsia" w:hAnsiTheme="majorHAnsi" w:cstheme="minorBidi"/>
          <w:color w:val="auto"/>
          <w:sz w:val="20"/>
          <w:szCs w:val="20"/>
        </w:rPr>
        <w:t xml:space="preserve">s 5 (humane treatment), 8 (fair trial), 19 (rights of the child) and 25 (judicial protection) of the American Convention in relation to its </w:t>
      </w:r>
      <w:r w:rsidR="00A36B03">
        <w:rPr>
          <w:rFonts w:asciiTheme="majorHAnsi" w:eastAsiaTheme="minorEastAsia" w:hAnsiTheme="majorHAnsi" w:cstheme="minorBidi"/>
          <w:color w:val="auto"/>
          <w:sz w:val="20"/>
          <w:szCs w:val="20"/>
        </w:rPr>
        <w:t>Article</w:t>
      </w:r>
      <w:r>
        <w:rPr>
          <w:rFonts w:asciiTheme="majorHAnsi" w:eastAsiaTheme="minorEastAsia" w:hAnsiTheme="majorHAnsi" w:cstheme="minorBidi"/>
          <w:color w:val="auto"/>
          <w:sz w:val="20"/>
          <w:szCs w:val="20"/>
        </w:rPr>
        <w:t xml:space="preserve">s 1.1 (obligation to respect rights) and 2 (domestic legal effects) and of </w:t>
      </w:r>
      <w:r w:rsidR="00A36B03">
        <w:rPr>
          <w:rFonts w:asciiTheme="majorHAnsi" w:eastAsiaTheme="minorEastAsia" w:hAnsiTheme="majorHAnsi" w:cstheme="minorBidi"/>
          <w:color w:val="auto"/>
          <w:sz w:val="20"/>
          <w:szCs w:val="20"/>
        </w:rPr>
        <w:t>Article</w:t>
      </w:r>
      <w:r>
        <w:rPr>
          <w:rFonts w:asciiTheme="majorHAnsi" w:eastAsiaTheme="minorEastAsia" w:hAnsiTheme="majorHAnsi" w:cstheme="minorBidi"/>
          <w:color w:val="auto"/>
          <w:sz w:val="20"/>
          <w:szCs w:val="20"/>
        </w:rPr>
        <w:t xml:space="preserve"> 7 of the </w:t>
      </w:r>
      <w:proofErr w:type="spellStart"/>
      <w:r>
        <w:rPr>
          <w:rFonts w:asciiTheme="majorHAnsi" w:eastAsiaTheme="minorEastAsia" w:hAnsiTheme="majorHAnsi" w:cstheme="minorBidi"/>
          <w:color w:val="auto"/>
          <w:sz w:val="20"/>
          <w:szCs w:val="20"/>
        </w:rPr>
        <w:t>Belém</w:t>
      </w:r>
      <w:proofErr w:type="spellEnd"/>
      <w:r>
        <w:rPr>
          <w:rFonts w:asciiTheme="majorHAnsi" w:eastAsiaTheme="minorEastAsia" w:hAnsiTheme="majorHAnsi" w:cstheme="minorBidi"/>
          <w:color w:val="auto"/>
          <w:sz w:val="20"/>
          <w:szCs w:val="20"/>
        </w:rPr>
        <w:t xml:space="preserve"> do </w:t>
      </w:r>
      <w:proofErr w:type="spellStart"/>
      <w:r>
        <w:rPr>
          <w:rFonts w:asciiTheme="majorHAnsi" w:eastAsiaTheme="minorEastAsia" w:hAnsiTheme="majorHAnsi" w:cstheme="minorBidi"/>
          <w:color w:val="auto"/>
          <w:sz w:val="20"/>
          <w:szCs w:val="20"/>
        </w:rPr>
        <w:t>Pará</w:t>
      </w:r>
      <w:proofErr w:type="spellEnd"/>
      <w:r>
        <w:rPr>
          <w:rFonts w:asciiTheme="majorHAnsi" w:eastAsiaTheme="minorEastAsia" w:hAnsiTheme="majorHAnsi" w:cstheme="minorBidi"/>
          <w:color w:val="auto"/>
          <w:sz w:val="20"/>
          <w:szCs w:val="20"/>
        </w:rPr>
        <w:t xml:space="preserve"> Convention.</w:t>
      </w:r>
    </w:p>
    <w:p w14:paraId="2E1D2164" w14:textId="01E360E6" w:rsidR="001B5576" w:rsidRPr="001B5576" w:rsidRDefault="001B5576"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1B5576">
        <w:rPr>
          <w:rFonts w:asciiTheme="majorHAnsi" w:eastAsiaTheme="minorEastAsia" w:hAnsiTheme="majorHAnsi" w:cstheme="minorBidi"/>
          <w:color w:val="auto"/>
          <w:sz w:val="20"/>
          <w:szCs w:val="20"/>
        </w:rPr>
        <w:lastRenderedPageBreak/>
        <w:t>The Commission recalls that i</w:t>
      </w:r>
      <w:r>
        <w:rPr>
          <w:rFonts w:asciiTheme="majorHAnsi" w:eastAsiaTheme="minorEastAsia" w:hAnsiTheme="majorHAnsi" w:cstheme="minorBidi"/>
          <w:color w:val="auto"/>
          <w:sz w:val="20"/>
          <w:szCs w:val="20"/>
        </w:rPr>
        <w:t xml:space="preserve">t does not have competence to decide on violation of rights enshrined in the Convention on the Rights of the Child, but that it is empowered to have resort to its standards for the purposes of interpreting the norms of the American Convention in light of its </w:t>
      </w:r>
      <w:r w:rsidR="00A36B03">
        <w:rPr>
          <w:rFonts w:asciiTheme="majorHAnsi" w:eastAsiaTheme="minorEastAsia" w:hAnsiTheme="majorHAnsi" w:cstheme="minorBidi"/>
          <w:color w:val="auto"/>
          <w:sz w:val="20"/>
          <w:szCs w:val="20"/>
        </w:rPr>
        <w:t>Article</w:t>
      </w:r>
      <w:r>
        <w:rPr>
          <w:rFonts w:asciiTheme="majorHAnsi" w:eastAsiaTheme="minorEastAsia" w:hAnsiTheme="majorHAnsi" w:cstheme="minorBidi"/>
          <w:color w:val="auto"/>
          <w:sz w:val="20"/>
          <w:szCs w:val="20"/>
        </w:rPr>
        <w:t xml:space="preserve"> 29</w:t>
      </w:r>
      <w:r w:rsidR="009A63AA" w:rsidRPr="007C5771">
        <w:rPr>
          <w:rStyle w:val="FootnoteReference"/>
          <w:rFonts w:asciiTheme="majorHAnsi" w:hAnsiTheme="majorHAnsi" w:cs="Calibri"/>
          <w:sz w:val="20"/>
          <w:szCs w:val="20"/>
        </w:rPr>
        <w:footnoteReference w:id="31"/>
      </w:r>
      <w:r w:rsidR="009A63AA" w:rsidRPr="001B5576">
        <w:rPr>
          <w:rFonts w:asciiTheme="majorHAnsi" w:hAnsiTheme="majorHAnsi" w:cs="Calibri"/>
          <w:sz w:val="20"/>
          <w:szCs w:val="20"/>
        </w:rPr>
        <w:t>.</w:t>
      </w:r>
    </w:p>
    <w:p w14:paraId="47D19875" w14:textId="4B66E050" w:rsidR="00782A5C" w:rsidRPr="001B5576" w:rsidRDefault="001B5576" w:rsidP="00A36B0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pacing w:after="240"/>
        <w:ind w:left="0" w:firstLine="706"/>
        <w:jc w:val="both"/>
        <w:rPr>
          <w:rFonts w:asciiTheme="majorHAnsi" w:eastAsiaTheme="minorEastAsia" w:hAnsiTheme="majorHAnsi" w:cstheme="minorBidi"/>
          <w:color w:val="auto"/>
          <w:sz w:val="20"/>
          <w:szCs w:val="20"/>
        </w:rPr>
      </w:pPr>
      <w:r w:rsidRPr="001B5576">
        <w:rPr>
          <w:rFonts w:asciiTheme="majorHAnsi" w:eastAsiaTheme="minorEastAsia" w:hAnsiTheme="majorHAnsi" w:cstheme="minorBidi"/>
          <w:sz w:val="20"/>
          <w:szCs w:val="20"/>
        </w:rPr>
        <w:t xml:space="preserve">With regard to the allegations of the State concerning the so-called “fourth instance” formula, the Commission reiterates that, for the purposes of admissibility, it is called upon to decide if the alleged facts can constitute a violation of rights, as established by </w:t>
      </w:r>
      <w:r w:rsidR="00A36B03">
        <w:rPr>
          <w:rFonts w:asciiTheme="majorHAnsi" w:eastAsiaTheme="minorEastAsia" w:hAnsiTheme="majorHAnsi" w:cstheme="minorBidi"/>
          <w:sz w:val="20"/>
          <w:szCs w:val="20"/>
        </w:rPr>
        <w:t>Article</w:t>
      </w:r>
      <w:r w:rsidRPr="001B5576">
        <w:rPr>
          <w:rFonts w:asciiTheme="majorHAnsi" w:eastAsiaTheme="minorEastAsia" w:hAnsiTheme="majorHAnsi" w:cstheme="minorBidi"/>
          <w:sz w:val="20"/>
          <w:szCs w:val="20"/>
        </w:rPr>
        <w:t xml:space="preserve"> 47(b) of the American Convention, or if the petition is “manifestly groundless” or “obviously out of order”, in accordance with section (c) of said </w:t>
      </w:r>
      <w:r w:rsidR="00A36B03">
        <w:rPr>
          <w:rFonts w:asciiTheme="majorHAnsi" w:eastAsiaTheme="minorEastAsia" w:hAnsiTheme="majorHAnsi" w:cstheme="minorBidi"/>
          <w:sz w:val="20"/>
          <w:szCs w:val="20"/>
        </w:rPr>
        <w:t>article</w:t>
      </w:r>
      <w:r w:rsidRPr="001B5576">
        <w:rPr>
          <w:rFonts w:asciiTheme="majorHAnsi" w:eastAsiaTheme="minorEastAsia" w:hAnsiTheme="majorHAnsi" w:cstheme="minorBidi"/>
          <w:sz w:val="20"/>
          <w:szCs w:val="20"/>
        </w:rPr>
        <w:t xml:space="preserve">. </w:t>
      </w:r>
      <w:r w:rsidRPr="001B5576">
        <w:rPr>
          <w:sz w:val="20"/>
          <w:szCs w:val="20"/>
        </w:rPr>
        <w:t xml:space="preserve">The criteria to assess these requirements is different from the one used to decide on the merits of a petition. Also, within the framework of its mandate, the Commission has competence to declare a petition admissible when it relates to domestic proceedings that may violate rights guaranteed by the American Convention. That is to say that, in accordance with the treaty norms mentioned, and with </w:t>
      </w:r>
      <w:r w:rsidR="00A36B03">
        <w:rPr>
          <w:sz w:val="20"/>
          <w:szCs w:val="20"/>
        </w:rPr>
        <w:t>Article</w:t>
      </w:r>
      <w:r w:rsidRPr="001B5576">
        <w:rPr>
          <w:sz w:val="20"/>
          <w:szCs w:val="20"/>
        </w:rPr>
        <w:t xml:space="preserve"> 34 of its Rules of Procedure, the admissibility analysis is centered on the verification of said requirements which are related to the existence of elements which, if true, could involve prima facie violations to the American Convention</w:t>
      </w:r>
      <w:r w:rsidR="00782A5C" w:rsidRPr="007C5771">
        <w:rPr>
          <w:rStyle w:val="FootnoteReference"/>
          <w:rFonts w:cs="Calibri"/>
          <w:sz w:val="20"/>
          <w:szCs w:val="20"/>
          <w:lang w:val="es-ES_tradnl"/>
        </w:rPr>
        <w:footnoteReference w:id="32"/>
      </w:r>
      <w:r w:rsidR="00782A5C" w:rsidRPr="001B5576">
        <w:rPr>
          <w:sz w:val="20"/>
          <w:szCs w:val="20"/>
        </w:rPr>
        <w:t xml:space="preserve">. </w:t>
      </w:r>
    </w:p>
    <w:p w14:paraId="4C138BA9" w14:textId="32508F95" w:rsidR="003239B8" w:rsidRPr="007C5771" w:rsidRDefault="00EC72AB" w:rsidP="00A36B0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b/>
          <w:bCs/>
          <w:sz w:val="20"/>
          <w:szCs w:val="20"/>
          <w:lang w:val="es-ES"/>
        </w:rPr>
      </w:pPr>
      <w:r w:rsidRPr="007C5771">
        <w:rPr>
          <w:rFonts w:asciiTheme="majorHAnsi" w:hAnsiTheme="majorHAnsi"/>
          <w:b/>
          <w:bCs/>
          <w:sz w:val="20"/>
          <w:szCs w:val="20"/>
          <w:lang w:val="es-ES"/>
        </w:rPr>
        <w:t>VI</w:t>
      </w:r>
      <w:r w:rsidR="00F04591" w:rsidRPr="007C5771">
        <w:rPr>
          <w:rFonts w:asciiTheme="majorHAnsi" w:hAnsiTheme="majorHAnsi"/>
          <w:b/>
          <w:bCs/>
          <w:sz w:val="20"/>
          <w:szCs w:val="20"/>
          <w:lang w:val="es-ES"/>
        </w:rPr>
        <w:t>II</w:t>
      </w:r>
      <w:r w:rsidR="003239B8" w:rsidRPr="007C5771">
        <w:rPr>
          <w:rFonts w:asciiTheme="majorHAnsi" w:hAnsiTheme="majorHAnsi"/>
          <w:b/>
          <w:bCs/>
          <w:sz w:val="20"/>
          <w:szCs w:val="20"/>
          <w:lang w:val="es-ES"/>
        </w:rPr>
        <w:t xml:space="preserve">. </w:t>
      </w:r>
      <w:r w:rsidR="003239B8" w:rsidRPr="007C5771">
        <w:rPr>
          <w:rFonts w:asciiTheme="majorHAnsi" w:hAnsiTheme="majorHAnsi"/>
          <w:b/>
          <w:bCs/>
          <w:sz w:val="20"/>
          <w:szCs w:val="20"/>
          <w:lang w:val="es-ES"/>
        </w:rPr>
        <w:tab/>
        <w:t>DECISI</w:t>
      </w:r>
      <w:r w:rsidR="00AA17A8">
        <w:rPr>
          <w:rFonts w:asciiTheme="majorHAnsi" w:hAnsiTheme="majorHAnsi"/>
          <w:b/>
          <w:bCs/>
          <w:sz w:val="20"/>
          <w:szCs w:val="20"/>
          <w:lang w:val="es-ES"/>
        </w:rPr>
        <w:t>ON</w:t>
      </w:r>
    </w:p>
    <w:p w14:paraId="02148588" w14:textId="5DC94EC8" w:rsidR="00402A14" w:rsidRPr="003576BB" w:rsidRDefault="00402A14" w:rsidP="00A36B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3576BB">
        <w:rPr>
          <w:rFonts w:ascii="Cambria" w:hAnsi="Cambria"/>
          <w:sz w:val="20"/>
          <w:szCs w:val="20"/>
        </w:rPr>
        <w:t xml:space="preserve">To find the instant petition admissible in relation to </w:t>
      </w:r>
      <w:r w:rsidR="00A36B03">
        <w:rPr>
          <w:rFonts w:ascii="Cambria" w:hAnsi="Cambria"/>
          <w:sz w:val="20"/>
          <w:szCs w:val="20"/>
        </w:rPr>
        <w:t>Article</w:t>
      </w:r>
      <w:r w:rsidRPr="003576BB">
        <w:rPr>
          <w:rFonts w:ascii="Cambria" w:hAnsi="Cambria"/>
          <w:sz w:val="20"/>
          <w:szCs w:val="20"/>
        </w:rPr>
        <w:t xml:space="preserve">s </w:t>
      </w:r>
      <w:r>
        <w:rPr>
          <w:rFonts w:ascii="Cambria" w:hAnsi="Cambria"/>
          <w:sz w:val="20"/>
          <w:szCs w:val="20"/>
        </w:rPr>
        <w:t xml:space="preserve">5, </w:t>
      </w:r>
      <w:r w:rsidRPr="003576BB">
        <w:rPr>
          <w:rFonts w:ascii="Cambria" w:hAnsi="Cambria"/>
          <w:sz w:val="20"/>
          <w:szCs w:val="20"/>
        </w:rPr>
        <w:t xml:space="preserve">8 </w:t>
      </w:r>
      <w:r>
        <w:rPr>
          <w:rFonts w:ascii="Cambria" w:hAnsi="Cambria"/>
          <w:sz w:val="20"/>
          <w:szCs w:val="20"/>
        </w:rPr>
        <w:t xml:space="preserve">18 </w:t>
      </w:r>
      <w:r w:rsidRPr="003576BB">
        <w:rPr>
          <w:rFonts w:ascii="Cambria" w:hAnsi="Cambria"/>
          <w:sz w:val="20"/>
          <w:szCs w:val="20"/>
        </w:rPr>
        <w:t>and 25 of the American Convention, in relation to</w:t>
      </w:r>
      <w:r>
        <w:rPr>
          <w:rFonts w:ascii="Cambria" w:hAnsi="Cambria"/>
          <w:sz w:val="20"/>
          <w:szCs w:val="20"/>
        </w:rPr>
        <w:t xml:space="preserve"> its</w:t>
      </w:r>
      <w:r w:rsidRPr="003576BB">
        <w:rPr>
          <w:rFonts w:ascii="Cambria" w:hAnsi="Cambria"/>
          <w:sz w:val="20"/>
          <w:szCs w:val="20"/>
        </w:rPr>
        <w:t xml:space="preserve"> </w:t>
      </w:r>
      <w:r w:rsidR="00A36B03">
        <w:rPr>
          <w:rFonts w:ascii="Cambria" w:hAnsi="Cambria"/>
          <w:sz w:val="20"/>
          <w:szCs w:val="20"/>
        </w:rPr>
        <w:t>Article</w:t>
      </w:r>
      <w:r>
        <w:rPr>
          <w:rFonts w:ascii="Cambria" w:hAnsi="Cambria"/>
          <w:sz w:val="20"/>
          <w:szCs w:val="20"/>
        </w:rPr>
        <w:t>s</w:t>
      </w:r>
      <w:r w:rsidRPr="003576BB">
        <w:rPr>
          <w:rFonts w:ascii="Cambria" w:hAnsi="Cambria"/>
          <w:sz w:val="20"/>
          <w:szCs w:val="20"/>
        </w:rPr>
        <w:t xml:space="preserve"> 1</w:t>
      </w:r>
      <w:r>
        <w:rPr>
          <w:rFonts w:ascii="Cambria" w:hAnsi="Cambria"/>
          <w:sz w:val="20"/>
          <w:szCs w:val="20"/>
        </w:rPr>
        <w:t xml:space="preserve"> and 2</w:t>
      </w:r>
      <w:r w:rsidRPr="003576BB">
        <w:rPr>
          <w:rFonts w:ascii="Cambria" w:hAnsi="Cambria"/>
          <w:sz w:val="20"/>
          <w:szCs w:val="20"/>
        </w:rPr>
        <w:t xml:space="preserve">; </w:t>
      </w:r>
      <w:r>
        <w:rPr>
          <w:rFonts w:ascii="Cambria" w:hAnsi="Cambria"/>
          <w:sz w:val="20"/>
          <w:szCs w:val="20"/>
        </w:rPr>
        <w:t xml:space="preserve">as well as </w:t>
      </w:r>
      <w:r w:rsidR="00A36B03">
        <w:rPr>
          <w:rFonts w:ascii="Cambria" w:hAnsi="Cambria"/>
          <w:sz w:val="20"/>
          <w:szCs w:val="20"/>
        </w:rPr>
        <w:t>Article</w:t>
      </w:r>
      <w:r>
        <w:rPr>
          <w:rFonts w:ascii="Cambria" w:hAnsi="Cambria"/>
          <w:sz w:val="20"/>
          <w:szCs w:val="20"/>
        </w:rPr>
        <w:t xml:space="preserve"> 7 of the </w:t>
      </w:r>
      <w:proofErr w:type="spellStart"/>
      <w:r>
        <w:rPr>
          <w:rFonts w:ascii="Cambria" w:hAnsi="Cambria"/>
          <w:sz w:val="20"/>
          <w:szCs w:val="20"/>
        </w:rPr>
        <w:t>Belém</w:t>
      </w:r>
      <w:proofErr w:type="spellEnd"/>
      <w:r>
        <w:rPr>
          <w:rFonts w:ascii="Cambria" w:hAnsi="Cambria"/>
          <w:sz w:val="20"/>
          <w:szCs w:val="20"/>
        </w:rPr>
        <w:t xml:space="preserve"> do </w:t>
      </w:r>
      <w:proofErr w:type="spellStart"/>
      <w:r>
        <w:rPr>
          <w:rFonts w:ascii="Cambria" w:hAnsi="Cambria"/>
          <w:sz w:val="20"/>
          <w:szCs w:val="20"/>
        </w:rPr>
        <w:t>Pará</w:t>
      </w:r>
      <w:proofErr w:type="spellEnd"/>
      <w:r>
        <w:rPr>
          <w:rFonts w:ascii="Cambria" w:hAnsi="Cambria"/>
          <w:sz w:val="20"/>
          <w:szCs w:val="20"/>
        </w:rPr>
        <w:t xml:space="preserve"> Convention.</w:t>
      </w:r>
    </w:p>
    <w:p w14:paraId="64BA26C8" w14:textId="77777777" w:rsidR="00402A14" w:rsidRPr="00A36B03" w:rsidRDefault="00402A14" w:rsidP="00A36B0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sz w:val="20"/>
          <w:szCs w:val="20"/>
        </w:rPr>
      </w:pPr>
      <w:r w:rsidRPr="003576BB">
        <w:rPr>
          <w:rFonts w:ascii="Cambria" w:hAnsi="Cambria"/>
          <w:sz w:val="20"/>
          <w:szCs w:val="20"/>
          <w:u w:color="000000"/>
        </w:rPr>
        <w:t>To notify the parties of this decision; to continue with the analysis on the merits; and to publish this decision and include it in its Annual Report to the General Assembly of the Organization of American States.</w:t>
      </w:r>
    </w:p>
    <w:p w14:paraId="54E113D9" w14:textId="6C7E03BE" w:rsidR="00A36B03" w:rsidRPr="000554CD" w:rsidRDefault="00A36B03" w:rsidP="000554CD">
      <w:pPr>
        <w:pStyle w:val="ListParagraph"/>
        <w:suppressAutoHyphens/>
        <w:ind w:left="0" w:firstLine="720"/>
        <w:jc w:val="both"/>
        <w:rPr>
          <w:spacing w:val="-2"/>
          <w:sz w:val="20"/>
        </w:rPr>
      </w:pPr>
      <w:r w:rsidRPr="00A36B03">
        <w:rPr>
          <w:spacing w:val="-2"/>
          <w:sz w:val="20"/>
        </w:rPr>
        <w:t>Approved by the Inter-American Commission on Human Rights on the 4</w:t>
      </w:r>
      <w:r w:rsidRPr="00A36B03">
        <w:rPr>
          <w:spacing w:val="-2"/>
          <w:sz w:val="20"/>
          <w:vertAlign w:val="superscript"/>
        </w:rPr>
        <w:t>th</w:t>
      </w:r>
      <w:r w:rsidRPr="00A36B03">
        <w:rPr>
          <w:spacing w:val="-2"/>
          <w:sz w:val="20"/>
        </w:rPr>
        <w:t xml:space="preserve"> day of the month of </w:t>
      </w:r>
      <w:r>
        <w:rPr>
          <w:spacing w:val="-2"/>
          <w:sz w:val="20"/>
        </w:rPr>
        <w:t>August</w:t>
      </w:r>
      <w:r w:rsidRPr="00A36B03">
        <w:rPr>
          <w:spacing w:val="-2"/>
          <w:sz w:val="20"/>
        </w:rPr>
        <w:t xml:space="preserve">, 2020. (Signed):  </w:t>
      </w:r>
      <w:r w:rsidRPr="00A36B03">
        <w:rPr>
          <w:rFonts w:asciiTheme="majorHAnsi" w:hAnsiTheme="majorHAnsi" w:cs="Arial"/>
          <w:noProof/>
          <w:spacing w:val="-2"/>
          <w:sz w:val="20"/>
          <w:szCs w:val="20"/>
        </w:rPr>
        <w:t xml:space="preserve">Joel Hernández, President; Antonia Urrejola, First Vice President; Flávia Piovesan, Second Vice President; </w:t>
      </w:r>
      <w:r>
        <w:rPr>
          <w:rFonts w:asciiTheme="majorHAnsi" w:hAnsiTheme="majorHAnsi" w:cs="Arial"/>
          <w:noProof/>
          <w:spacing w:val="-2"/>
          <w:sz w:val="20"/>
          <w:szCs w:val="20"/>
        </w:rPr>
        <w:t xml:space="preserve">and </w:t>
      </w:r>
      <w:r w:rsidRPr="00A36B03">
        <w:rPr>
          <w:rFonts w:asciiTheme="majorHAnsi" w:hAnsiTheme="majorHAnsi" w:cs="Arial"/>
          <w:noProof/>
          <w:spacing w:val="-2"/>
          <w:sz w:val="20"/>
          <w:szCs w:val="20"/>
        </w:rPr>
        <w:t>Esmeralda E. Arosemena Bernal de Troitiño,</w:t>
      </w:r>
      <w:bookmarkStart w:id="1" w:name="_GoBack"/>
      <w:bookmarkEnd w:id="1"/>
      <w:r w:rsidRPr="00A36B03">
        <w:rPr>
          <w:rFonts w:asciiTheme="majorHAnsi" w:hAnsiTheme="majorHAnsi" w:cs="Arial"/>
          <w:noProof/>
          <w:spacing w:val="-2"/>
          <w:sz w:val="20"/>
          <w:szCs w:val="20"/>
        </w:rPr>
        <w:t xml:space="preserve"> </w:t>
      </w:r>
      <w:r w:rsidRPr="00A36B03">
        <w:rPr>
          <w:spacing w:val="-2"/>
          <w:sz w:val="20"/>
        </w:rPr>
        <w:t>Commissioners.</w:t>
      </w:r>
    </w:p>
    <w:sectPr w:rsidR="00A36B03" w:rsidRPr="000554CD" w:rsidSect="00934A2C">
      <w:type w:val="oddPage"/>
      <w:pgSz w:w="12240" w:h="15840"/>
      <w:pgMar w:top="1440" w:right="1440" w:bottom="1440" w:left="1440" w:header="720" w:footer="720"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72EF2" w16cex:dateUtc="2020-07-01T18:49:00Z"/>
  <w16cex:commentExtensible w16cex:durableId="22A87C9A" w16cex:dateUtc="2020-07-02T18:32:00Z"/>
  <w16cex:commentExtensible w16cex:durableId="22A997E8" w16cex:dateUtc="2020-07-03T14:41:00Z"/>
  <w16cex:commentExtensible w16cex:durableId="22A9BA45" w16cex:dateUtc="2020-07-03T17:08:00Z"/>
  <w16cex:commentExtensible w16cex:durableId="22A9BBD3" w16cex:dateUtc="2020-07-03T17: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53746F" w16cid:durableId="22AABE5F"/>
  <w16cid:commentId w16cid:paraId="6F36C4C3" w16cid:durableId="22AADD6A"/>
  <w16cid:commentId w16cid:paraId="28972D51" w16cid:durableId="22AADFCA"/>
  <w16cid:commentId w16cid:paraId="7E9B9F0B" w16cid:durableId="22AAE1E7"/>
  <w16cid:commentId w16cid:paraId="7AB9E216" w16cid:durableId="22AAE2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82362" w14:textId="77777777" w:rsidR="00B37C41" w:rsidRDefault="00B37C41">
      <w:r>
        <w:separator/>
      </w:r>
    </w:p>
  </w:endnote>
  <w:endnote w:type="continuationSeparator" w:id="0">
    <w:p w14:paraId="4DCF7D1A" w14:textId="77777777" w:rsidR="00B37C41" w:rsidRDefault="00B3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A6C10" w14:textId="77777777" w:rsidR="00EB5C17" w:rsidRDefault="00EB5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063C14D" w14:textId="094A9AF7" w:rsidR="00AF638E" w:rsidRPr="00934A2C" w:rsidRDefault="00AF638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F579DF">
          <w:rPr>
            <w:noProof/>
            <w:sz w:val="16"/>
            <w:szCs w:val="22"/>
          </w:rPr>
          <w:t>5</w:t>
        </w:r>
        <w:r w:rsidRPr="00934A2C">
          <w:rPr>
            <w:noProof/>
            <w:sz w:val="16"/>
            <w:szCs w:val="22"/>
          </w:rPr>
          <w:fldChar w:fldCharType="end"/>
        </w:r>
      </w:p>
    </w:sdtContent>
  </w:sdt>
  <w:p w14:paraId="5DFB6D67" w14:textId="77777777" w:rsidR="00AF638E" w:rsidRDefault="00AF63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91E81" w14:textId="77777777" w:rsidR="00AF638E" w:rsidRPr="00934A2C" w:rsidRDefault="00AF638E">
    <w:pPr>
      <w:pStyle w:val="Footer"/>
      <w:jc w:val="center"/>
      <w:rPr>
        <w:sz w:val="16"/>
        <w:szCs w:val="22"/>
      </w:rPr>
    </w:pPr>
  </w:p>
  <w:p w14:paraId="3DF41B26" w14:textId="77777777" w:rsidR="00AF638E" w:rsidRDefault="00AF63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DF382" w14:textId="77777777" w:rsidR="00B37C41" w:rsidRPr="000F35ED" w:rsidRDefault="00B37C4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0ED41B7" w14:textId="77777777" w:rsidR="00B37C41" w:rsidRPr="000F35ED" w:rsidRDefault="00B37C41" w:rsidP="000F35ED">
      <w:pPr>
        <w:rPr>
          <w:rFonts w:asciiTheme="majorHAnsi" w:hAnsiTheme="majorHAnsi"/>
          <w:sz w:val="16"/>
          <w:szCs w:val="16"/>
        </w:rPr>
      </w:pPr>
      <w:r w:rsidRPr="000F35ED">
        <w:rPr>
          <w:rFonts w:asciiTheme="majorHAnsi" w:hAnsiTheme="majorHAnsi"/>
          <w:sz w:val="16"/>
          <w:szCs w:val="16"/>
        </w:rPr>
        <w:separator/>
      </w:r>
    </w:p>
    <w:p w14:paraId="58FEF274" w14:textId="77777777" w:rsidR="00B37C41" w:rsidRPr="000F35ED" w:rsidRDefault="00B37C41"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1B89000B" w14:textId="77777777" w:rsidR="00B37C41" w:rsidRPr="000F35ED" w:rsidRDefault="00B37C41"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13F7DB1C" w14:textId="21017128" w:rsidR="00AF638E" w:rsidRPr="00AF638E" w:rsidRDefault="00AF638E" w:rsidP="00123362">
      <w:pPr>
        <w:pStyle w:val="FootnoteText"/>
        <w:ind w:firstLine="720"/>
        <w:contextualSpacing/>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petitioner at the date that the petition was filed was CPA (Citizen Protection Association).</w:t>
      </w:r>
    </w:p>
  </w:footnote>
  <w:footnote w:id="3">
    <w:p w14:paraId="269D838F" w14:textId="1BE1530E" w:rsidR="00AF638E" w:rsidRPr="00AF638E" w:rsidRDefault="00AF638E" w:rsidP="0074097B">
      <w:pPr>
        <w:pStyle w:val="FootnoteText"/>
        <w:ind w:firstLine="720"/>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identity of the children</w:t>
      </w:r>
      <w:r w:rsidR="00F950D4">
        <w:rPr>
          <w:rFonts w:ascii="Cambria" w:hAnsi="Cambria"/>
          <w:sz w:val="16"/>
          <w:szCs w:val="16"/>
        </w:rPr>
        <w:t xml:space="preserve"> </w:t>
      </w:r>
      <w:r w:rsidRPr="00AF638E">
        <w:rPr>
          <w:rFonts w:ascii="Cambria" w:hAnsi="Cambria"/>
          <w:sz w:val="16"/>
          <w:szCs w:val="16"/>
        </w:rPr>
        <w:t>F.R.P, 17 years, R.M.P., 15 years and the daughter P.S.P., 12 years, at the date that the petition was filed is kept confidential.</w:t>
      </w:r>
    </w:p>
  </w:footnote>
  <w:footnote w:id="4">
    <w:p w14:paraId="0CF401F7" w14:textId="3DE9598E" w:rsidR="00AF638E" w:rsidRPr="00F950D4" w:rsidRDefault="00AF638E" w:rsidP="0074097B">
      <w:pPr>
        <w:pStyle w:val="FootnoteText"/>
        <w:ind w:firstLine="720"/>
        <w:contextualSpacing/>
        <w:jc w:val="both"/>
        <w:rPr>
          <w:rFonts w:ascii="Cambria" w:hAnsi="Cambria"/>
          <w:sz w:val="16"/>
          <w:szCs w:val="16"/>
        </w:rPr>
      </w:pPr>
      <w:r w:rsidRPr="00AF638E">
        <w:rPr>
          <w:rStyle w:val="FootnoteReference"/>
          <w:rFonts w:ascii="Cambria" w:hAnsi="Cambria"/>
          <w:sz w:val="16"/>
          <w:szCs w:val="16"/>
        </w:rPr>
        <w:footnoteRef/>
      </w:r>
      <w:r w:rsidRPr="00F950D4">
        <w:rPr>
          <w:rFonts w:ascii="Cambria" w:hAnsi="Cambria"/>
          <w:sz w:val="16"/>
          <w:szCs w:val="16"/>
        </w:rPr>
        <w:t xml:space="preserve"> Hereinafter, “the American Convention”.</w:t>
      </w:r>
    </w:p>
  </w:footnote>
  <w:footnote w:id="5">
    <w:p w14:paraId="25EEA8FA" w14:textId="2F7958FA" w:rsidR="00AF638E" w:rsidRPr="00F950D4" w:rsidRDefault="00AF638E" w:rsidP="0074097B">
      <w:pPr>
        <w:pStyle w:val="FootnoteText"/>
        <w:ind w:firstLine="720"/>
        <w:contextualSpacing/>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Hereinafter, the “</w:t>
      </w:r>
      <w:proofErr w:type="spellStart"/>
      <w:r w:rsidRPr="00AF638E">
        <w:rPr>
          <w:rFonts w:ascii="Cambria" w:hAnsi="Cambria"/>
          <w:sz w:val="16"/>
          <w:szCs w:val="16"/>
        </w:rPr>
        <w:t>Belém</w:t>
      </w:r>
      <w:proofErr w:type="spellEnd"/>
      <w:r w:rsidRPr="00AF638E">
        <w:rPr>
          <w:rFonts w:ascii="Cambria" w:hAnsi="Cambria"/>
          <w:sz w:val="16"/>
          <w:szCs w:val="16"/>
        </w:rPr>
        <w:t xml:space="preserve"> do </w:t>
      </w:r>
      <w:proofErr w:type="spellStart"/>
      <w:r w:rsidRPr="00AF638E">
        <w:rPr>
          <w:rFonts w:ascii="Cambria" w:hAnsi="Cambria"/>
          <w:sz w:val="16"/>
          <w:szCs w:val="16"/>
        </w:rPr>
        <w:t>Pará</w:t>
      </w:r>
      <w:proofErr w:type="spellEnd"/>
      <w:r w:rsidRPr="00AF638E">
        <w:rPr>
          <w:rFonts w:ascii="Cambria" w:hAnsi="Cambria"/>
          <w:sz w:val="16"/>
          <w:szCs w:val="16"/>
        </w:rPr>
        <w:t xml:space="preserve"> Convention”.</w:t>
      </w:r>
    </w:p>
  </w:footnote>
  <w:footnote w:id="6">
    <w:p w14:paraId="343A5A77" w14:textId="0F855B14" w:rsidR="00AF638E" w:rsidRPr="00AF638E" w:rsidRDefault="00AF638E" w:rsidP="0074097B">
      <w:pPr>
        <w:pStyle w:val="FootnoteText"/>
        <w:ind w:firstLine="720"/>
        <w:contextualSpacing/>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Articles 3, 4, 5, 19, 27 and 41 of the International Convention on the Rights of the Child.</w:t>
      </w:r>
    </w:p>
  </w:footnote>
  <w:footnote w:id="7">
    <w:p w14:paraId="1F96BEA7" w14:textId="7A1D2909" w:rsidR="00AF638E" w:rsidRPr="00AF638E" w:rsidRDefault="00AF638E" w:rsidP="0074097B">
      <w:pPr>
        <w:pStyle w:val="FootnoteText"/>
        <w:ind w:firstLine="720"/>
        <w:contextualSpacing/>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observations of each party were duly notified to the other party.</w:t>
      </w:r>
    </w:p>
  </w:footnote>
  <w:footnote w:id="8">
    <w:p w14:paraId="081FBFA5" w14:textId="24D58A8E" w:rsidR="00AF638E" w:rsidRPr="00AF638E" w:rsidRDefault="00AF638E" w:rsidP="0074097B">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petition was notified again on April 19, 2017, after the State noted that it had not records of the Letter dated January 31, 2014, through which the petition was originally notified to it.</w:t>
      </w:r>
    </w:p>
  </w:footnote>
  <w:footnote w:id="9">
    <w:p w14:paraId="3A2032EC" w14:textId="0914F682" w:rsidR="00AF638E" w:rsidRPr="00AF638E" w:rsidRDefault="00AF638E" w:rsidP="00213C3D">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It is noted that they were 17 and 15 years of age at the time that the petition was filed.</w:t>
      </w:r>
    </w:p>
  </w:footnote>
  <w:footnote w:id="10">
    <w:p w14:paraId="571F522E" w14:textId="36366898" w:rsidR="00AF638E" w:rsidRPr="00AF638E" w:rsidRDefault="00AF638E" w:rsidP="00213C3D">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It is noted that she was 12 years of age at the time that the petition was filed.</w:t>
      </w:r>
    </w:p>
  </w:footnote>
  <w:footnote w:id="11">
    <w:p w14:paraId="4DC631E1" w14:textId="45159760"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She points out that, in addition to domestic violence, she was able to establish that her former husband incurred in marital infidelity.</w:t>
      </w:r>
    </w:p>
  </w:footnote>
  <w:footnote w:id="12">
    <w:p w14:paraId="724C7BD0" w14:textId="6BCD1202"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Ms. Pérez would have custody of the 3 children and her then husband a free and flexible visitation regime.</w:t>
      </w:r>
    </w:p>
  </w:footnote>
  <w:footnote w:id="13">
    <w:p w14:paraId="25FB39B0" w14:textId="393E9D82"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According to her, her then husband took her by the wrists and bent her arms backwards, which caused her different injuries.</w:t>
      </w:r>
    </w:p>
  </w:footnote>
  <w:footnote w:id="14">
    <w:p w14:paraId="570D44C2" w14:textId="77A453EF"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Case file number 27,112 “Prosecutor</w:t>
      </w:r>
      <w:r>
        <w:rPr>
          <w:rFonts w:ascii="Cambria" w:hAnsi="Cambria"/>
          <w:sz w:val="16"/>
          <w:szCs w:val="16"/>
        </w:rPr>
        <w:t xml:space="preserve"> v. </w:t>
      </w:r>
      <w:proofErr w:type="spellStart"/>
      <w:r>
        <w:rPr>
          <w:rFonts w:ascii="Cambria" w:hAnsi="Cambria"/>
          <w:sz w:val="16"/>
          <w:szCs w:val="16"/>
        </w:rPr>
        <w:t>Paturzo</w:t>
      </w:r>
      <w:proofErr w:type="spellEnd"/>
      <w:r>
        <w:rPr>
          <w:rFonts w:ascii="Cambria" w:hAnsi="Cambria"/>
          <w:sz w:val="16"/>
          <w:szCs w:val="16"/>
        </w:rPr>
        <w:t xml:space="preserve"> on minor qualified battery”.</w:t>
      </w:r>
    </w:p>
  </w:footnote>
  <w:footnote w:id="15">
    <w:p w14:paraId="26F66F25" w14:textId="521434DE" w:rsidR="00AF638E" w:rsidRPr="00F950D4" w:rsidRDefault="00AF638E" w:rsidP="00C16670">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petitioners consider that this is in</w:t>
      </w:r>
      <w:r>
        <w:rPr>
          <w:rFonts w:ascii="Cambria" w:hAnsi="Cambria"/>
          <w:sz w:val="16"/>
          <w:szCs w:val="16"/>
        </w:rPr>
        <w:t>correct because, according to them, the role of the Department is to assist women in the face of any kind of violence, whether private or public.</w:t>
      </w:r>
    </w:p>
  </w:footnote>
  <w:footnote w:id="16">
    <w:p w14:paraId="770FDC59" w14:textId="23B5F6FD"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lang w:val="es-ES_tradnl"/>
        </w:rPr>
        <w:footnoteRef/>
      </w:r>
      <w:r w:rsidRPr="00AF638E">
        <w:rPr>
          <w:rFonts w:ascii="Cambria" w:hAnsi="Cambria"/>
          <w:sz w:val="16"/>
          <w:szCs w:val="16"/>
        </w:rPr>
        <w:t xml:space="preserve"> Case file No. 36.530 “Pérez María </w:t>
      </w:r>
      <w:proofErr w:type="spellStart"/>
      <w:r w:rsidRPr="00AF638E">
        <w:rPr>
          <w:rFonts w:ascii="Cambria" w:hAnsi="Cambria"/>
          <w:sz w:val="16"/>
          <w:szCs w:val="16"/>
        </w:rPr>
        <w:t>Adelia</w:t>
      </w:r>
      <w:proofErr w:type="spellEnd"/>
      <w:r w:rsidRPr="00AF638E">
        <w:rPr>
          <w:rFonts w:ascii="Cambria" w:hAnsi="Cambria"/>
          <w:sz w:val="16"/>
          <w:szCs w:val="16"/>
        </w:rPr>
        <w:t xml:space="preserve"> v. </w:t>
      </w:r>
      <w:proofErr w:type="spellStart"/>
      <w:r w:rsidRPr="00AF638E">
        <w:rPr>
          <w:rFonts w:ascii="Cambria" w:hAnsi="Cambria"/>
          <w:sz w:val="16"/>
          <w:szCs w:val="16"/>
        </w:rPr>
        <w:t>Paturzo</w:t>
      </w:r>
      <w:proofErr w:type="spellEnd"/>
      <w:r w:rsidRPr="00AF638E">
        <w:rPr>
          <w:rFonts w:ascii="Cambria" w:hAnsi="Cambria"/>
          <w:sz w:val="16"/>
          <w:szCs w:val="16"/>
        </w:rPr>
        <w:t xml:space="preserve">, </w:t>
      </w:r>
      <w:proofErr w:type="spellStart"/>
      <w:r w:rsidRPr="00AF638E">
        <w:rPr>
          <w:rFonts w:ascii="Cambria" w:hAnsi="Cambria"/>
          <w:sz w:val="16"/>
          <w:szCs w:val="16"/>
        </w:rPr>
        <w:t>Raúl</w:t>
      </w:r>
      <w:proofErr w:type="spellEnd"/>
      <w:r w:rsidRPr="00AF638E">
        <w:rPr>
          <w:rFonts w:ascii="Cambria" w:hAnsi="Cambria"/>
          <w:sz w:val="16"/>
          <w:szCs w:val="16"/>
        </w:rPr>
        <w:t xml:space="preserve"> Humberto on divorce” and case file numbe</w:t>
      </w:r>
      <w:r>
        <w:rPr>
          <w:rFonts w:ascii="Cambria" w:hAnsi="Cambria"/>
          <w:sz w:val="16"/>
          <w:szCs w:val="16"/>
        </w:rPr>
        <w:t>r</w:t>
      </w:r>
      <w:r w:rsidRPr="00AF638E">
        <w:rPr>
          <w:rFonts w:ascii="Cambria" w:hAnsi="Cambria"/>
          <w:sz w:val="16"/>
          <w:szCs w:val="16"/>
        </w:rPr>
        <w:t xml:space="preserve"> 36.541 “Rita Pérez v. </w:t>
      </w:r>
      <w:proofErr w:type="spellStart"/>
      <w:r w:rsidRPr="00AF638E">
        <w:rPr>
          <w:rFonts w:ascii="Cambria" w:hAnsi="Cambria"/>
          <w:sz w:val="16"/>
          <w:szCs w:val="16"/>
        </w:rPr>
        <w:t>Paturzo</w:t>
      </w:r>
      <w:proofErr w:type="spellEnd"/>
      <w:r w:rsidRPr="00AF638E">
        <w:rPr>
          <w:rFonts w:ascii="Cambria" w:hAnsi="Cambria"/>
          <w:sz w:val="16"/>
          <w:szCs w:val="16"/>
        </w:rPr>
        <w:t xml:space="preserve">, </w:t>
      </w:r>
      <w:proofErr w:type="spellStart"/>
      <w:r w:rsidRPr="00AF638E">
        <w:rPr>
          <w:rFonts w:ascii="Cambria" w:hAnsi="Cambria"/>
          <w:sz w:val="16"/>
          <w:szCs w:val="16"/>
        </w:rPr>
        <w:t>Raúl</w:t>
      </w:r>
      <w:proofErr w:type="spellEnd"/>
      <w:r w:rsidRPr="00AF638E">
        <w:rPr>
          <w:rFonts w:ascii="Cambria" w:hAnsi="Cambria"/>
          <w:sz w:val="16"/>
          <w:szCs w:val="16"/>
        </w:rPr>
        <w:t xml:space="preserve"> on child</w:t>
      </w:r>
      <w:r>
        <w:rPr>
          <w:rFonts w:ascii="Cambria" w:hAnsi="Cambria"/>
          <w:sz w:val="16"/>
          <w:szCs w:val="16"/>
        </w:rPr>
        <w:t xml:space="preserve"> support”</w:t>
      </w:r>
    </w:p>
  </w:footnote>
  <w:footnote w:id="17">
    <w:p w14:paraId="2AAF0926" w14:textId="6FBDD7C8"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The institution took into a</w:t>
      </w:r>
      <w:r>
        <w:rPr>
          <w:rFonts w:ascii="Cambria" w:hAnsi="Cambria"/>
          <w:sz w:val="16"/>
          <w:szCs w:val="16"/>
        </w:rPr>
        <w:t>ccount that she owned a car and that she was employed as a substitute teacher.</w:t>
      </w:r>
    </w:p>
  </w:footnote>
  <w:footnote w:id="18">
    <w:p w14:paraId="47D1E23C" w14:textId="6683D673" w:rsidR="00AF638E" w:rsidRPr="00AF638E" w:rsidRDefault="00AF638E" w:rsidP="00AF638E">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AF638E">
        <w:rPr>
          <w:rFonts w:ascii="Cambria" w:hAnsi="Cambria"/>
          <w:sz w:val="16"/>
          <w:szCs w:val="16"/>
        </w:rPr>
        <w:t xml:space="preserve"> She claims that, as a law</w:t>
      </w:r>
      <w:r>
        <w:rPr>
          <w:rFonts w:ascii="Cambria" w:hAnsi="Cambria"/>
          <w:sz w:val="16"/>
          <w:szCs w:val="16"/>
        </w:rPr>
        <w:t>yer, her former husband had the financial ability to meet fluidly and regularly the child support obligations toward his children.</w:t>
      </w:r>
      <w:r w:rsidRPr="00AF638E">
        <w:rPr>
          <w:rFonts w:ascii="Cambria" w:hAnsi="Cambria"/>
          <w:sz w:val="16"/>
          <w:szCs w:val="16"/>
        </w:rPr>
        <w:t xml:space="preserve"> </w:t>
      </w:r>
    </w:p>
  </w:footnote>
  <w:footnote w:id="19">
    <w:p w14:paraId="688F50C1" w14:textId="1F7CEAB4" w:rsidR="00AF638E" w:rsidRPr="00F07FAA" w:rsidRDefault="00AF638E" w:rsidP="00F07FAA">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F07FAA">
        <w:rPr>
          <w:rFonts w:ascii="Cambria" w:hAnsi="Cambria"/>
          <w:sz w:val="16"/>
          <w:szCs w:val="16"/>
        </w:rPr>
        <w:t xml:space="preserve"> The petitioners claim, generally, that </w:t>
      </w:r>
      <w:r w:rsidR="00F07FAA" w:rsidRPr="00F07FAA">
        <w:rPr>
          <w:rFonts w:ascii="Cambria" w:hAnsi="Cambria"/>
          <w:sz w:val="16"/>
          <w:szCs w:val="16"/>
        </w:rPr>
        <w:t xml:space="preserve">it was </w:t>
      </w:r>
      <w:r w:rsidR="00F07FAA">
        <w:rPr>
          <w:rFonts w:ascii="Cambria" w:hAnsi="Cambria"/>
          <w:sz w:val="16"/>
          <w:szCs w:val="16"/>
        </w:rPr>
        <w:t>very difficult for Ms. Pérez to request an appointment to be assigned a lawyer and to meet with them because she was asked to appear in the morning, when she was usually performing as a substitute teach</w:t>
      </w:r>
      <w:r w:rsidR="00F950D4">
        <w:rPr>
          <w:rFonts w:ascii="Cambria" w:hAnsi="Cambria"/>
          <w:sz w:val="16"/>
          <w:szCs w:val="16"/>
        </w:rPr>
        <w:t>er</w:t>
      </w:r>
      <w:r w:rsidR="00F07FAA">
        <w:rPr>
          <w:rFonts w:ascii="Cambria" w:hAnsi="Cambria"/>
          <w:sz w:val="16"/>
          <w:szCs w:val="16"/>
        </w:rPr>
        <w:t xml:space="preserve"> on which she financially depen</w:t>
      </w:r>
      <w:r w:rsidR="00F950D4">
        <w:rPr>
          <w:rFonts w:ascii="Cambria" w:hAnsi="Cambria"/>
          <w:sz w:val="16"/>
          <w:szCs w:val="16"/>
        </w:rPr>
        <w:t>ds on</w:t>
      </w:r>
      <w:r w:rsidR="00F07FAA">
        <w:rPr>
          <w:rFonts w:ascii="Cambria" w:hAnsi="Cambria"/>
          <w:sz w:val="16"/>
          <w:szCs w:val="16"/>
        </w:rPr>
        <w:t>.</w:t>
      </w:r>
    </w:p>
  </w:footnote>
  <w:footnote w:id="20">
    <w:p w14:paraId="59E0A238" w14:textId="6BF006A1" w:rsidR="00AF638E" w:rsidRPr="00F07FAA" w:rsidRDefault="00AF638E" w:rsidP="00F07FAA">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F07FAA">
        <w:rPr>
          <w:rFonts w:ascii="Cambria" w:hAnsi="Cambria"/>
          <w:sz w:val="16"/>
          <w:szCs w:val="16"/>
        </w:rPr>
        <w:t xml:space="preserve"> </w:t>
      </w:r>
      <w:r w:rsidR="00F07FAA" w:rsidRPr="00F07FAA">
        <w:rPr>
          <w:rFonts w:ascii="Cambria" w:hAnsi="Cambria"/>
          <w:sz w:val="16"/>
          <w:szCs w:val="16"/>
        </w:rPr>
        <w:t>The petitioners claim that CPA was n</w:t>
      </w:r>
      <w:r w:rsidR="00F07FAA">
        <w:rPr>
          <w:rFonts w:ascii="Cambria" w:hAnsi="Cambria"/>
          <w:sz w:val="16"/>
          <w:szCs w:val="16"/>
        </w:rPr>
        <w:t>ever notified of this administrative decision.</w:t>
      </w:r>
    </w:p>
  </w:footnote>
  <w:footnote w:id="21">
    <w:p w14:paraId="511832D0" w14:textId="31A8BD68" w:rsidR="00AF638E" w:rsidRPr="00F07FAA" w:rsidRDefault="00AF638E" w:rsidP="00F07FAA">
      <w:pPr>
        <w:pStyle w:val="FootnoteText"/>
        <w:ind w:firstLine="720"/>
        <w:rPr>
          <w:rFonts w:ascii="Cambria" w:hAnsi="Cambria"/>
          <w:sz w:val="16"/>
          <w:szCs w:val="16"/>
        </w:rPr>
      </w:pPr>
      <w:r w:rsidRPr="00AF638E">
        <w:rPr>
          <w:rStyle w:val="FootnoteReference"/>
          <w:rFonts w:ascii="Cambria" w:hAnsi="Cambria"/>
          <w:sz w:val="16"/>
          <w:szCs w:val="16"/>
          <w:lang w:val="es-ES_tradnl"/>
        </w:rPr>
        <w:footnoteRef/>
      </w:r>
      <w:r w:rsidRPr="00F07FAA">
        <w:rPr>
          <w:rFonts w:ascii="Cambria" w:hAnsi="Cambria"/>
          <w:sz w:val="16"/>
          <w:szCs w:val="16"/>
        </w:rPr>
        <w:t xml:space="preserve"> </w:t>
      </w:r>
      <w:r w:rsidR="00F07FAA" w:rsidRPr="00F07FAA">
        <w:rPr>
          <w:rFonts w:ascii="Cambria" w:hAnsi="Cambria"/>
          <w:sz w:val="16"/>
          <w:szCs w:val="16"/>
        </w:rPr>
        <w:t>Case file number 71.761 “Citizen Pr</w:t>
      </w:r>
      <w:r w:rsidR="00F07FAA">
        <w:rPr>
          <w:rFonts w:ascii="Cambria" w:hAnsi="Cambria"/>
          <w:sz w:val="16"/>
          <w:szCs w:val="16"/>
        </w:rPr>
        <w:t>otection Association CPA explains situation”</w:t>
      </w:r>
      <w:r w:rsidRPr="00F07FAA">
        <w:rPr>
          <w:rFonts w:ascii="Cambria" w:hAnsi="Cambria"/>
          <w:sz w:val="16"/>
          <w:szCs w:val="16"/>
        </w:rPr>
        <w:t>.</w:t>
      </w:r>
    </w:p>
  </w:footnote>
  <w:footnote w:id="22">
    <w:p w14:paraId="49578D9C" w14:textId="0909DD34" w:rsidR="00AF638E" w:rsidRPr="00F950D4" w:rsidRDefault="00AF638E" w:rsidP="00F07FAA">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F07FAA">
        <w:rPr>
          <w:rFonts w:ascii="Cambria" w:hAnsi="Cambria"/>
          <w:sz w:val="16"/>
          <w:szCs w:val="16"/>
        </w:rPr>
        <w:t xml:space="preserve"> </w:t>
      </w:r>
      <w:r w:rsidR="00F07FAA" w:rsidRPr="00F07FAA">
        <w:rPr>
          <w:rFonts w:ascii="Cambria" w:hAnsi="Cambria"/>
          <w:sz w:val="16"/>
          <w:szCs w:val="16"/>
        </w:rPr>
        <w:t>On August 9, 2009, the alleged victim</w:t>
      </w:r>
      <w:r w:rsidR="00F07FAA">
        <w:rPr>
          <w:rFonts w:ascii="Cambria" w:hAnsi="Cambria"/>
          <w:sz w:val="16"/>
          <w:szCs w:val="16"/>
        </w:rPr>
        <w:t xml:space="preserve"> submitted a letter (that did not constitute a petition) before the Supreme Court of Justice to express her lack of trust in the free legal assistance afforded by the State.</w:t>
      </w:r>
    </w:p>
  </w:footnote>
  <w:footnote w:id="23">
    <w:p w14:paraId="63798383" w14:textId="76101CF3" w:rsidR="00AF638E" w:rsidRPr="00F950D4" w:rsidRDefault="00AF638E" w:rsidP="00264F12">
      <w:pPr>
        <w:pStyle w:val="FootnoteText"/>
        <w:jc w:val="both"/>
        <w:rPr>
          <w:rFonts w:ascii="Cambria" w:hAnsi="Cambria"/>
          <w:sz w:val="16"/>
          <w:szCs w:val="16"/>
        </w:rPr>
      </w:pPr>
      <w:r w:rsidRPr="00F950D4">
        <w:rPr>
          <w:rFonts w:ascii="Cambria" w:hAnsi="Cambria"/>
          <w:sz w:val="16"/>
          <w:szCs w:val="16"/>
        </w:rPr>
        <w:tab/>
      </w:r>
      <w:r w:rsidRPr="00AF638E">
        <w:rPr>
          <w:rStyle w:val="FootnoteReference"/>
          <w:rFonts w:ascii="Cambria" w:hAnsi="Cambria"/>
          <w:sz w:val="16"/>
          <w:szCs w:val="16"/>
        </w:rPr>
        <w:footnoteRef/>
      </w:r>
      <w:r w:rsidRPr="00F07FAA">
        <w:rPr>
          <w:rFonts w:ascii="Cambria" w:hAnsi="Cambria"/>
          <w:sz w:val="16"/>
          <w:szCs w:val="16"/>
        </w:rPr>
        <w:t xml:space="preserve"> </w:t>
      </w:r>
      <w:r w:rsidR="00F07FAA" w:rsidRPr="00F07FAA">
        <w:rPr>
          <w:rFonts w:ascii="Cambria" w:hAnsi="Cambria"/>
          <w:sz w:val="16"/>
          <w:szCs w:val="16"/>
        </w:rPr>
        <w:t>IACHR</w:t>
      </w:r>
      <w:r w:rsidRPr="00F07FAA">
        <w:rPr>
          <w:rFonts w:ascii="Cambria" w:hAnsi="Cambria"/>
          <w:sz w:val="16"/>
          <w:szCs w:val="16"/>
        </w:rPr>
        <w:t xml:space="preserve">, </w:t>
      </w:r>
      <w:r w:rsidR="00F07FAA" w:rsidRPr="00F07FAA">
        <w:rPr>
          <w:rFonts w:ascii="Cambria" w:hAnsi="Cambria"/>
          <w:sz w:val="16"/>
          <w:szCs w:val="16"/>
        </w:rPr>
        <w:t>Report</w:t>
      </w:r>
      <w:r w:rsidRPr="00F07FAA">
        <w:rPr>
          <w:rFonts w:ascii="Cambria" w:hAnsi="Cambria"/>
          <w:sz w:val="16"/>
          <w:szCs w:val="16"/>
        </w:rPr>
        <w:t xml:space="preserve"> No. 121/06, Peti</w:t>
      </w:r>
      <w:r w:rsidR="00F07FAA" w:rsidRPr="00F07FAA">
        <w:rPr>
          <w:rFonts w:ascii="Cambria" w:hAnsi="Cambria"/>
          <w:sz w:val="16"/>
          <w:szCs w:val="16"/>
        </w:rPr>
        <w:t>tio</w:t>
      </w:r>
      <w:r w:rsidRPr="00F07FAA">
        <w:rPr>
          <w:rFonts w:ascii="Cambria" w:hAnsi="Cambria"/>
          <w:sz w:val="16"/>
          <w:szCs w:val="16"/>
        </w:rPr>
        <w:t xml:space="preserve">n 554-04. </w:t>
      </w:r>
      <w:r w:rsidR="00F07FAA" w:rsidRPr="00F07FAA">
        <w:rPr>
          <w:rFonts w:ascii="Cambria" w:hAnsi="Cambria"/>
          <w:sz w:val="16"/>
          <w:szCs w:val="16"/>
        </w:rPr>
        <w:t>Admissibility</w:t>
      </w:r>
      <w:r w:rsidRPr="00F07FAA">
        <w:rPr>
          <w:rFonts w:ascii="Cambria" w:hAnsi="Cambria"/>
          <w:sz w:val="16"/>
          <w:szCs w:val="16"/>
        </w:rPr>
        <w:t xml:space="preserve">. John Doe </w:t>
      </w:r>
      <w:r w:rsidR="00F07FAA" w:rsidRPr="00F07FAA">
        <w:rPr>
          <w:rFonts w:ascii="Cambria" w:hAnsi="Cambria"/>
          <w:sz w:val="16"/>
          <w:szCs w:val="16"/>
        </w:rPr>
        <w:t>and others</w:t>
      </w:r>
      <w:r w:rsidRPr="00F07FAA">
        <w:rPr>
          <w:rFonts w:ascii="Cambria" w:hAnsi="Cambria"/>
          <w:sz w:val="16"/>
          <w:szCs w:val="16"/>
        </w:rPr>
        <w:t>. Canad</w:t>
      </w:r>
      <w:r w:rsidR="00F07FAA" w:rsidRPr="00F07FAA">
        <w:rPr>
          <w:rFonts w:ascii="Cambria" w:hAnsi="Cambria"/>
          <w:sz w:val="16"/>
          <w:szCs w:val="16"/>
        </w:rPr>
        <w:t>a</w:t>
      </w:r>
      <w:r w:rsidRPr="00F07FAA">
        <w:rPr>
          <w:rFonts w:ascii="Cambria" w:hAnsi="Cambria"/>
          <w:sz w:val="16"/>
          <w:szCs w:val="16"/>
        </w:rPr>
        <w:t xml:space="preserve">. </w:t>
      </w:r>
      <w:r w:rsidR="00F07FAA">
        <w:rPr>
          <w:rFonts w:ascii="Cambria" w:hAnsi="Cambria"/>
          <w:sz w:val="16"/>
          <w:szCs w:val="16"/>
        </w:rPr>
        <w:t>October</w:t>
      </w:r>
      <w:r w:rsidR="00F950D4">
        <w:rPr>
          <w:rFonts w:ascii="Cambria" w:hAnsi="Cambria"/>
          <w:sz w:val="16"/>
          <w:szCs w:val="16"/>
        </w:rPr>
        <w:t xml:space="preserve">, </w:t>
      </w:r>
      <w:r w:rsidRPr="00F950D4">
        <w:rPr>
          <w:rFonts w:ascii="Cambria" w:hAnsi="Cambria"/>
          <w:sz w:val="16"/>
          <w:szCs w:val="16"/>
        </w:rPr>
        <w:t>27</w:t>
      </w:r>
      <w:r w:rsidR="00F07FAA" w:rsidRPr="00F950D4">
        <w:rPr>
          <w:rFonts w:ascii="Cambria" w:hAnsi="Cambria"/>
          <w:sz w:val="16"/>
          <w:szCs w:val="16"/>
        </w:rPr>
        <w:t>,</w:t>
      </w:r>
      <w:r w:rsidRPr="00F950D4">
        <w:rPr>
          <w:rFonts w:ascii="Cambria" w:hAnsi="Cambria"/>
          <w:sz w:val="16"/>
          <w:szCs w:val="16"/>
        </w:rPr>
        <w:t xml:space="preserve"> 2006, p</w:t>
      </w:r>
      <w:r w:rsidR="00F07FAA" w:rsidRPr="00F950D4">
        <w:rPr>
          <w:rFonts w:ascii="Cambria" w:hAnsi="Cambria"/>
          <w:sz w:val="16"/>
          <w:szCs w:val="16"/>
        </w:rPr>
        <w:t>ara</w:t>
      </w:r>
      <w:r w:rsidRPr="00F950D4">
        <w:rPr>
          <w:rFonts w:ascii="Cambria" w:hAnsi="Cambria"/>
          <w:sz w:val="16"/>
          <w:szCs w:val="16"/>
        </w:rPr>
        <w:t>. 63.</w:t>
      </w:r>
    </w:p>
  </w:footnote>
  <w:footnote w:id="24">
    <w:p w14:paraId="242FB225" w14:textId="700C4DC8" w:rsidR="00AF638E" w:rsidRPr="00F950D4" w:rsidRDefault="00AF638E" w:rsidP="006E63E8">
      <w:pPr>
        <w:pStyle w:val="FootnoteText"/>
        <w:jc w:val="both"/>
        <w:rPr>
          <w:rFonts w:ascii="Cambria" w:hAnsi="Cambria"/>
          <w:sz w:val="16"/>
          <w:szCs w:val="16"/>
        </w:rPr>
      </w:pPr>
      <w:r w:rsidRPr="00F950D4">
        <w:rPr>
          <w:rFonts w:ascii="Cambria" w:hAnsi="Cambria"/>
          <w:sz w:val="16"/>
          <w:szCs w:val="16"/>
        </w:rPr>
        <w:tab/>
      </w:r>
      <w:r w:rsidRPr="00AF638E">
        <w:rPr>
          <w:rStyle w:val="FootnoteReference"/>
          <w:rFonts w:ascii="Cambria" w:hAnsi="Cambria"/>
          <w:sz w:val="16"/>
          <w:szCs w:val="16"/>
        </w:rPr>
        <w:footnoteRef/>
      </w:r>
      <w:r w:rsidRPr="00F07FAA">
        <w:rPr>
          <w:rFonts w:ascii="Cambria" w:hAnsi="Cambria"/>
          <w:sz w:val="16"/>
          <w:szCs w:val="16"/>
        </w:rPr>
        <w:t xml:space="preserve"> </w:t>
      </w:r>
      <w:r w:rsidR="00F07FAA" w:rsidRPr="00F07FAA">
        <w:rPr>
          <w:rFonts w:ascii="Cambria" w:hAnsi="Cambria"/>
          <w:sz w:val="16"/>
          <w:szCs w:val="16"/>
        </w:rPr>
        <w:t>IACHR</w:t>
      </w:r>
      <w:r w:rsidRPr="00F07FAA">
        <w:rPr>
          <w:rFonts w:ascii="Cambria" w:hAnsi="Cambria"/>
          <w:sz w:val="16"/>
          <w:szCs w:val="16"/>
        </w:rPr>
        <w:t xml:space="preserve">, </w:t>
      </w:r>
      <w:r w:rsidR="00F07FAA" w:rsidRPr="00F07FAA">
        <w:rPr>
          <w:rFonts w:ascii="Cambria" w:hAnsi="Cambria"/>
          <w:sz w:val="16"/>
          <w:szCs w:val="16"/>
        </w:rPr>
        <w:t>Report</w:t>
      </w:r>
      <w:r w:rsidRPr="00F07FAA">
        <w:rPr>
          <w:rFonts w:ascii="Cambria" w:hAnsi="Cambria"/>
          <w:sz w:val="16"/>
          <w:szCs w:val="16"/>
        </w:rPr>
        <w:t xml:space="preserve"> No. 159/17, Peti</w:t>
      </w:r>
      <w:r w:rsidR="00F07FAA" w:rsidRPr="00F07FAA">
        <w:rPr>
          <w:rFonts w:ascii="Cambria" w:hAnsi="Cambria"/>
          <w:sz w:val="16"/>
          <w:szCs w:val="16"/>
        </w:rPr>
        <w:t>tio</w:t>
      </w:r>
      <w:r w:rsidRPr="00F07FAA">
        <w:rPr>
          <w:rFonts w:ascii="Cambria" w:hAnsi="Cambria"/>
          <w:sz w:val="16"/>
          <w:szCs w:val="16"/>
        </w:rPr>
        <w:t xml:space="preserve">n 712-08. </w:t>
      </w:r>
      <w:r w:rsidR="00F07FAA" w:rsidRPr="00F07FAA">
        <w:rPr>
          <w:rFonts w:ascii="Cambria" w:hAnsi="Cambria"/>
          <w:sz w:val="16"/>
          <w:szCs w:val="16"/>
        </w:rPr>
        <w:t>Admissibility</w:t>
      </w:r>
      <w:r w:rsidRPr="00F07FAA">
        <w:rPr>
          <w:rFonts w:ascii="Cambria" w:hAnsi="Cambria"/>
          <w:sz w:val="16"/>
          <w:szCs w:val="16"/>
        </w:rPr>
        <w:t xml:space="preserve">. </w:t>
      </w:r>
      <w:proofErr w:type="spellStart"/>
      <w:r w:rsidRPr="00F950D4">
        <w:rPr>
          <w:rFonts w:ascii="Cambria" w:hAnsi="Cambria"/>
          <w:sz w:val="16"/>
          <w:szCs w:val="16"/>
        </w:rPr>
        <w:t>Sebastián</w:t>
      </w:r>
      <w:proofErr w:type="spellEnd"/>
      <w:r w:rsidRPr="00F950D4">
        <w:rPr>
          <w:rFonts w:ascii="Cambria" w:hAnsi="Cambria"/>
          <w:sz w:val="16"/>
          <w:szCs w:val="16"/>
        </w:rPr>
        <w:t xml:space="preserve"> </w:t>
      </w:r>
      <w:proofErr w:type="spellStart"/>
      <w:r w:rsidRPr="00F950D4">
        <w:rPr>
          <w:rFonts w:ascii="Cambria" w:hAnsi="Cambria"/>
          <w:sz w:val="16"/>
          <w:szCs w:val="16"/>
        </w:rPr>
        <w:t>Larroza</w:t>
      </w:r>
      <w:proofErr w:type="spellEnd"/>
      <w:r w:rsidRPr="00F950D4">
        <w:rPr>
          <w:rFonts w:ascii="Cambria" w:hAnsi="Cambria"/>
          <w:sz w:val="16"/>
          <w:szCs w:val="16"/>
        </w:rPr>
        <w:t xml:space="preserve"> Velázquez </w:t>
      </w:r>
      <w:r w:rsidR="00F07FAA" w:rsidRPr="00F950D4">
        <w:rPr>
          <w:rFonts w:ascii="Cambria" w:hAnsi="Cambria"/>
          <w:sz w:val="16"/>
          <w:szCs w:val="16"/>
        </w:rPr>
        <w:t>and family</w:t>
      </w:r>
      <w:r w:rsidRPr="00F950D4">
        <w:rPr>
          <w:rFonts w:ascii="Cambria" w:hAnsi="Cambria"/>
          <w:sz w:val="16"/>
          <w:szCs w:val="16"/>
        </w:rPr>
        <w:t>. Paraguay.</w:t>
      </w:r>
      <w:r w:rsidR="00F07FAA" w:rsidRPr="00F950D4">
        <w:rPr>
          <w:rFonts w:ascii="Cambria" w:hAnsi="Cambria"/>
          <w:sz w:val="16"/>
          <w:szCs w:val="16"/>
        </w:rPr>
        <w:t xml:space="preserve"> November</w:t>
      </w:r>
      <w:r w:rsidRPr="00F950D4">
        <w:rPr>
          <w:rFonts w:ascii="Cambria" w:hAnsi="Cambria"/>
          <w:sz w:val="16"/>
          <w:szCs w:val="16"/>
        </w:rPr>
        <w:t xml:space="preserve"> 30</w:t>
      </w:r>
      <w:r w:rsidR="00F07FAA" w:rsidRPr="00F950D4">
        <w:rPr>
          <w:rFonts w:ascii="Cambria" w:hAnsi="Cambria"/>
          <w:sz w:val="16"/>
          <w:szCs w:val="16"/>
        </w:rPr>
        <w:t>,</w:t>
      </w:r>
      <w:r w:rsidRPr="00F950D4">
        <w:rPr>
          <w:rFonts w:ascii="Cambria" w:hAnsi="Cambria"/>
          <w:sz w:val="16"/>
          <w:szCs w:val="16"/>
        </w:rPr>
        <w:t xml:space="preserve"> 2017, p</w:t>
      </w:r>
      <w:r w:rsidR="00F07FAA" w:rsidRPr="00F950D4">
        <w:rPr>
          <w:rFonts w:ascii="Cambria" w:hAnsi="Cambria"/>
          <w:sz w:val="16"/>
          <w:szCs w:val="16"/>
        </w:rPr>
        <w:t>ara</w:t>
      </w:r>
      <w:r w:rsidRPr="00F950D4">
        <w:rPr>
          <w:rFonts w:ascii="Cambria" w:hAnsi="Cambria"/>
          <w:sz w:val="16"/>
          <w:szCs w:val="16"/>
        </w:rPr>
        <w:t>. 14.</w:t>
      </w:r>
    </w:p>
  </w:footnote>
  <w:footnote w:id="25">
    <w:p w14:paraId="49704F41" w14:textId="0D90AB2C" w:rsidR="00AF638E" w:rsidRPr="009B2059" w:rsidRDefault="00AF638E" w:rsidP="00F74EB4">
      <w:pPr>
        <w:pStyle w:val="FootnoteText"/>
        <w:ind w:firstLine="720"/>
        <w:jc w:val="both"/>
        <w:rPr>
          <w:rFonts w:ascii="Cambria" w:hAnsi="Cambria" w:cstheme="minorHAnsi"/>
          <w:sz w:val="16"/>
          <w:szCs w:val="16"/>
        </w:rPr>
      </w:pPr>
      <w:r w:rsidRPr="009B2059">
        <w:rPr>
          <w:rStyle w:val="FootnoteReference"/>
          <w:rFonts w:ascii="Cambria" w:hAnsi="Cambria"/>
          <w:sz w:val="16"/>
          <w:szCs w:val="16"/>
        </w:rPr>
        <w:footnoteRef/>
      </w:r>
      <w:r w:rsidRPr="009B2059">
        <w:rPr>
          <w:rFonts w:ascii="Cambria" w:hAnsi="Cambria"/>
          <w:sz w:val="16"/>
          <w:szCs w:val="16"/>
        </w:rPr>
        <w:t xml:space="preserve"> I</w:t>
      </w:r>
      <w:r w:rsidR="00F07FAA" w:rsidRPr="009B2059">
        <w:rPr>
          <w:rFonts w:ascii="Cambria" w:hAnsi="Cambria"/>
          <w:sz w:val="16"/>
          <w:szCs w:val="16"/>
        </w:rPr>
        <w:t>ACHR,</w:t>
      </w:r>
      <w:r w:rsidRPr="009B2059">
        <w:rPr>
          <w:rFonts w:ascii="Cambria" w:hAnsi="Cambria"/>
          <w:sz w:val="16"/>
          <w:szCs w:val="16"/>
        </w:rPr>
        <w:t xml:space="preserve"> </w:t>
      </w:r>
      <w:r w:rsidR="00F07FAA" w:rsidRPr="009B2059">
        <w:rPr>
          <w:rFonts w:ascii="Cambria" w:hAnsi="Cambria"/>
          <w:sz w:val="16"/>
          <w:szCs w:val="16"/>
        </w:rPr>
        <w:t xml:space="preserve">Report </w:t>
      </w:r>
      <w:r w:rsidRPr="009B2059">
        <w:rPr>
          <w:rFonts w:ascii="Cambria" w:hAnsi="Cambria"/>
          <w:sz w:val="16"/>
          <w:szCs w:val="16"/>
        </w:rPr>
        <w:t>No. 80/11, Cas</w:t>
      </w:r>
      <w:r w:rsidR="00F07FAA" w:rsidRPr="009B2059">
        <w:rPr>
          <w:rFonts w:ascii="Cambria" w:hAnsi="Cambria"/>
          <w:sz w:val="16"/>
          <w:szCs w:val="16"/>
        </w:rPr>
        <w:t>e</w:t>
      </w:r>
      <w:r w:rsidRPr="009B2059">
        <w:rPr>
          <w:rFonts w:ascii="Cambria" w:hAnsi="Cambria"/>
          <w:sz w:val="16"/>
          <w:szCs w:val="16"/>
        </w:rPr>
        <w:t xml:space="preserve"> 12.626. </w:t>
      </w:r>
      <w:r w:rsidR="00F07FAA" w:rsidRPr="009B2059">
        <w:rPr>
          <w:rFonts w:ascii="Cambria" w:hAnsi="Cambria"/>
          <w:sz w:val="16"/>
          <w:szCs w:val="16"/>
        </w:rPr>
        <w:t>Merits</w:t>
      </w:r>
      <w:r w:rsidRPr="009B2059">
        <w:rPr>
          <w:rFonts w:ascii="Cambria" w:hAnsi="Cambria"/>
          <w:sz w:val="16"/>
          <w:szCs w:val="16"/>
        </w:rPr>
        <w:t xml:space="preserve">. Jessica </w:t>
      </w:r>
      <w:proofErr w:type="spellStart"/>
      <w:r w:rsidRPr="009B2059">
        <w:rPr>
          <w:rFonts w:ascii="Cambria" w:hAnsi="Cambria"/>
          <w:sz w:val="16"/>
          <w:szCs w:val="16"/>
        </w:rPr>
        <w:t>Lenahan</w:t>
      </w:r>
      <w:proofErr w:type="spellEnd"/>
      <w:r w:rsidRPr="009B2059">
        <w:rPr>
          <w:rFonts w:ascii="Cambria" w:hAnsi="Cambria"/>
          <w:sz w:val="16"/>
          <w:szCs w:val="16"/>
        </w:rPr>
        <w:t xml:space="preserve"> (</w:t>
      </w:r>
      <w:proofErr w:type="spellStart"/>
      <w:r w:rsidRPr="009B2059">
        <w:rPr>
          <w:rFonts w:ascii="Cambria" w:hAnsi="Cambria"/>
          <w:sz w:val="16"/>
          <w:szCs w:val="16"/>
        </w:rPr>
        <w:t>Gonalez</w:t>
      </w:r>
      <w:proofErr w:type="spellEnd"/>
      <w:r w:rsidRPr="009B2059">
        <w:rPr>
          <w:rFonts w:ascii="Cambria" w:hAnsi="Cambria"/>
          <w:sz w:val="16"/>
          <w:szCs w:val="16"/>
        </w:rPr>
        <w:t xml:space="preserve">) </w:t>
      </w:r>
      <w:r w:rsidR="00F07FAA" w:rsidRPr="009B2059">
        <w:rPr>
          <w:rFonts w:ascii="Cambria" w:hAnsi="Cambria"/>
          <w:sz w:val="16"/>
          <w:szCs w:val="16"/>
        </w:rPr>
        <w:t>and others</w:t>
      </w:r>
      <w:r w:rsidRPr="009B2059">
        <w:rPr>
          <w:rFonts w:ascii="Cambria" w:hAnsi="Cambria"/>
          <w:sz w:val="16"/>
          <w:szCs w:val="16"/>
        </w:rPr>
        <w:t xml:space="preserve">. </w:t>
      </w:r>
      <w:r w:rsidR="00F07FAA" w:rsidRPr="009B2059">
        <w:rPr>
          <w:rFonts w:ascii="Cambria" w:hAnsi="Cambria"/>
          <w:sz w:val="16"/>
          <w:szCs w:val="16"/>
        </w:rPr>
        <w:t>United States of America. July 21, 201</w:t>
      </w:r>
      <w:r w:rsidRPr="009B2059">
        <w:rPr>
          <w:rFonts w:ascii="Cambria" w:hAnsi="Cambria"/>
          <w:sz w:val="16"/>
          <w:szCs w:val="16"/>
        </w:rPr>
        <w:t>1 (“</w:t>
      </w:r>
      <w:r w:rsidR="00F07FAA" w:rsidRPr="009B2059">
        <w:rPr>
          <w:rFonts w:ascii="Cambria" w:hAnsi="Cambria"/>
          <w:sz w:val="16"/>
          <w:szCs w:val="16"/>
        </w:rPr>
        <w:t>IACHR</w:t>
      </w:r>
      <w:r w:rsidRPr="009B2059">
        <w:rPr>
          <w:rFonts w:ascii="Cambria" w:hAnsi="Cambria"/>
          <w:sz w:val="16"/>
          <w:szCs w:val="16"/>
        </w:rPr>
        <w:t xml:space="preserve"> </w:t>
      </w:r>
      <w:r w:rsidR="00F07FAA" w:rsidRPr="009B2059">
        <w:rPr>
          <w:rFonts w:ascii="Cambria" w:hAnsi="Cambria"/>
          <w:sz w:val="16"/>
          <w:szCs w:val="16"/>
        </w:rPr>
        <w:t>Merits</w:t>
      </w:r>
      <w:r w:rsidRPr="009B2059">
        <w:rPr>
          <w:rFonts w:ascii="Cambria" w:hAnsi="Cambria"/>
          <w:sz w:val="16"/>
          <w:szCs w:val="16"/>
        </w:rPr>
        <w:t xml:space="preserve"> </w:t>
      </w:r>
      <w:r w:rsidRPr="009B2059">
        <w:rPr>
          <w:rFonts w:ascii="Cambria" w:hAnsi="Cambria"/>
          <w:i/>
          <w:sz w:val="16"/>
          <w:szCs w:val="16"/>
        </w:rPr>
        <w:t xml:space="preserve">Jessica </w:t>
      </w:r>
      <w:proofErr w:type="spellStart"/>
      <w:r w:rsidRPr="009B2059">
        <w:rPr>
          <w:rFonts w:ascii="Cambria" w:hAnsi="Cambria"/>
          <w:i/>
          <w:sz w:val="16"/>
          <w:szCs w:val="16"/>
        </w:rPr>
        <w:t>Lenahan</w:t>
      </w:r>
      <w:proofErr w:type="spellEnd"/>
      <w:r w:rsidRPr="009B2059">
        <w:rPr>
          <w:rFonts w:ascii="Cambria" w:hAnsi="Cambria"/>
          <w:sz w:val="16"/>
          <w:szCs w:val="16"/>
        </w:rPr>
        <w:t>”), p</w:t>
      </w:r>
      <w:r w:rsidR="00F07FAA" w:rsidRPr="009B2059">
        <w:rPr>
          <w:rFonts w:ascii="Cambria" w:hAnsi="Cambria"/>
          <w:sz w:val="16"/>
          <w:szCs w:val="16"/>
        </w:rPr>
        <w:t>ara</w:t>
      </w:r>
      <w:r w:rsidRPr="009B2059">
        <w:rPr>
          <w:rFonts w:ascii="Cambria" w:hAnsi="Cambria"/>
          <w:sz w:val="16"/>
          <w:szCs w:val="16"/>
        </w:rPr>
        <w:t xml:space="preserve">. </w:t>
      </w:r>
      <w:proofErr w:type="gramStart"/>
      <w:r w:rsidRPr="009B2059">
        <w:rPr>
          <w:rFonts w:ascii="Cambria" w:hAnsi="Cambria"/>
          <w:sz w:val="16"/>
          <w:szCs w:val="16"/>
        </w:rPr>
        <w:t>168 .</w:t>
      </w:r>
      <w:proofErr w:type="gramEnd"/>
    </w:p>
  </w:footnote>
  <w:footnote w:id="26">
    <w:p w14:paraId="4E758B60" w14:textId="05D204CE" w:rsidR="00AF638E" w:rsidRPr="00F950D4" w:rsidRDefault="00AF638E" w:rsidP="00F74EB4">
      <w:pPr>
        <w:pStyle w:val="FootnoteText"/>
        <w:ind w:firstLine="720"/>
        <w:jc w:val="both"/>
        <w:rPr>
          <w:rFonts w:ascii="Cambria" w:hAnsi="Cambria"/>
          <w:sz w:val="16"/>
          <w:szCs w:val="16"/>
        </w:rPr>
      </w:pPr>
      <w:r w:rsidRPr="009B2059">
        <w:rPr>
          <w:rStyle w:val="FootnoteReference"/>
          <w:rFonts w:ascii="Cambria" w:hAnsi="Cambria"/>
          <w:sz w:val="16"/>
          <w:szCs w:val="16"/>
        </w:rPr>
        <w:footnoteRef/>
      </w:r>
      <w:r w:rsidRPr="009B2059">
        <w:rPr>
          <w:rFonts w:ascii="Cambria" w:hAnsi="Cambria"/>
          <w:sz w:val="16"/>
          <w:szCs w:val="16"/>
        </w:rPr>
        <w:t xml:space="preserve"> I</w:t>
      </w:r>
      <w:r w:rsidR="00F07FAA" w:rsidRPr="009B2059">
        <w:rPr>
          <w:rFonts w:ascii="Cambria" w:hAnsi="Cambria"/>
          <w:sz w:val="16"/>
          <w:szCs w:val="16"/>
        </w:rPr>
        <w:t>ACHR</w:t>
      </w:r>
      <w:r w:rsidRPr="009B2059">
        <w:rPr>
          <w:rFonts w:ascii="Cambria" w:hAnsi="Cambria"/>
          <w:sz w:val="16"/>
          <w:szCs w:val="16"/>
        </w:rPr>
        <w:t xml:space="preserve">. </w:t>
      </w:r>
      <w:r w:rsidR="00F07FAA" w:rsidRPr="009B2059">
        <w:rPr>
          <w:rFonts w:ascii="Cambria" w:hAnsi="Cambria"/>
          <w:sz w:val="16"/>
          <w:szCs w:val="16"/>
        </w:rPr>
        <w:t>Merits</w:t>
      </w:r>
      <w:r w:rsidRPr="009B2059">
        <w:rPr>
          <w:rFonts w:ascii="Cambria" w:hAnsi="Cambria"/>
          <w:sz w:val="16"/>
          <w:szCs w:val="16"/>
        </w:rPr>
        <w:t xml:space="preserve"> </w:t>
      </w:r>
      <w:r w:rsidRPr="009B2059">
        <w:rPr>
          <w:rFonts w:ascii="Cambria" w:hAnsi="Cambria"/>
          <w:i/>
          <w:sz w:val="16"/>
          <w:szCs w:val="16"/>
        </w:rPr>
        <w:t xml:space="preserve">Jessica </w:t>
      </w:r>
      <w:proofErr w:type="spellStart"/>
      <w:r w:rsidRPr="009B2059">
        <w:rPr>
          <w:rFonts w:ascii="Cambria" w:hAnsi="Cambria"/>
          <w:i/>
          <w:sz w:val="16"/>
          <w:szCs w:val="16"/>
        </w:rPr>
        <w:t>Lenahan</w:t>
      </w:r>
      <w:proofErr w:type="spellEnd"/>
      <w:r w:rsidRPr="009B2059">
        <w:rPr>
          <w:rFonts w:ascii="Cambria" w:hAnsi="Cambria"/>
          <w:i/>
          <w:sz w:val="16"/>
          <w:szCs w:val="16"/>
        </w:rPr>
        <w:t xml:space="preserve">, </w:t>
      </w:r>
      <w:r w:rsidRPr="009B2059">
        <w:rPr>
          <w:rFonts w:ascii="Cambria" w:hAnsi="Cambria"/>
          <w:sz w:val="16"/>
          <w:szCs w:val="16"/>
        </w:rPr>
        <w:t>p</w:t>
      </w:r>
      <w:r w:rsidR="00F07FAA" w:rsidRPr="009B2059">
        <w:rPr>
          <w:rFonts w:ascii="Cambria" w:hAnsi="Cambria"/>
          <w:sz w:val="16"/>
          <w:szCs w:val="16"/>
        </w:rPr>
        <w:t>ara</w:t>
      </w:r>
      <w:r w:rsidRPr="009B2059">
        <w:rPr>
          <w:rFonts w:ascii="Cambria" w:hAnsi="Cambria"/>
          <w:sz w:val="16"/>
          <w:szCs w:val="16"/>
        </w:rPr>
        <w:t>. 126.</w:t>
      </w:r>
    </w:p>
  </w:footnote>
  <w:footnote w:id="27">
    <w:p w14:paraId="4E0B1061" w14:textId="575487B8" w:rsidR="00AF638E" w:rsidRPr="00F950D4" w:rsidRDefault="00AF638E" w:rsidP="00F74EB4">
      <w:pPr>
        <w:pStyle w:val="FootnoteText"/>
        <w:ind w:firstLine="720"/>
        <w:jc w:val="both"/>
        <w:rPr>
          <w:rFonts w:ascii="Cambria" w:hAnsi="Cambria"/>
          <w:color w:val="FF0000"/>
          <w:sz w:val="16"/>
          <w:szCs w:val="16"/>
        </w:rPr>
      </w:pPr>
      <w:r w:rsidRPr="00AF638E">
        <w:rPr>
          <w:rStyle w:val="FootnoteReference"/>
          <w:rFonts w:ascii="Cambria" w:hAnsi="Cambria"/>
          <w:sz w:val="16"/>
          <w:szCs w:val="16"/>
        </w:rPr>
        <w:footnoteRef/>
      </w:r>
      <w:r w:rsidRPr="00F07FAA">
        <w:rPr>
          <w:rFonts w:ascii="Cambria" w:hAnsi="Cambria"/>
          <w:sz w:val="16"/>
          <w:szCs w:val="16"/>
        </w:rPr>
        <w:t xml:space="preserve"> </w:t>
      </w:r>
      <w:r w:rsidR="00F07FAA" w:rsidRPr="00F07FAA">
        <w:rPr>
          <w:rFonts w:ascii="Cambria" w:hAnsi="Cambria"/>
          <w:sz w:val="16"/>
          <w:szCs w:val="16"/>
        </w:rPr>
        <w:t>IACHR</w:t>
      </w:r>
      <w:r w:rsidRPr="00F07FAA">
        <w:rPr>
          <w:rFonts w:ascii="Cambria" w:hAnsi="Cambria"/>
          <w:sz w:val="16"/>
          <w:szCs w:val="16"/>
        </w:rPr>
        <w:t xml:space="preserve">, </w:t>
      </w:r>
      <w:r w:rsidR="00F07FAA" w:rsidRPr="00F07FAA">
        <w:rPr>
          <w:rFonts w:ascii="Cambria" w:hAnsi="Cambria"/>
          <w:sz w:val="16"/>
          <w:szCs w:val="16"/>
        </w:rPr>
        <w:t>Access to justice for women victims of violence in the Americas</w:t>
      </w:r>
      <w:r w:rsidRPr="00F07FAA">
        <w:rPr>
          <w:rFonts w:ascii="Cambria" w:hAnsi="Cambria"/>
          <w:sz w:val="16"/>
          <w:szCs w:val="16"/>
        </w:rPr>
        <w:t>, OEA/</w:t>
      </w:r>
      <w:proofErr w:type="spellStart"/>
      <w:r w:rsidRPr="00F07FAA">
        <w:rPr>
          <w:rFonts w:ascii="Cambria" w:hAnsi="Cambria"/>
          <w:sz w:val="16"/>
          <w:szCs w:val="16"/>
        </w:rPr>
        <w:t>Ser.L</w:t>
      </w:r>
      <w:proofErr w:type="spellEnd"/>
      <w:r w:rsidRPr="00F07FAA">
        <w:rPr>
          <w:rFonts w:ascii="Cambria" w:hAnsi="Cambria"/>
          <w:sz w:val="16"/>
          <w:szCs w:val="16"/>
        </w:rPr>
        <w:t xml:space="preserve">/V/II.  </w:t>
      </w:r>
      <w:r w:rsidRPr="00F950D4">
        <w:rPr>
          <w:rFonts w:ascii="Cambria" w:hAnsi="Cambria"/>
          <w:sz w:val="16"/>
          <w:szCs w:val="16"/>
        </w:rPr>
        <w:t xml:space="preserve">Doc. 68. </w:t>
      </w:r>
      <w:r w:rsidR="00F07FAA" w:rsidRPr="00F950D4">
        <w:rPr>
          <w:rFonts w:ascii="Cambria" w:hAnsi="Cambria"/>
          <w:sz w:val="16"/>
          <w:szCs w:val="16"/>
        </w:rPr>
        <w:t xml:space="preserve">January </w:t>
      </w:r>
      <w:r w:rsidRPr="00F950D4">
        <w:rPr>
          <w:rFonts w:ascii="Cambria" w:hAnsi="Cambria"/>
          <w:sz w:val="16"/>
          <w:szCs w:val="16"/>
        </w:rPr>
        <w:t>20</w:t>
      </w:r>
      <w:r w:rsidR="00F07FAA" w:rsidRPr="00F950D4">
        <w:rPr>
          <w:rFonts w:ascii="Cambria" w:hAnsi="Cambria"/>
          <w:sz w:val="16"/>
          <w:szCs w:val="16"/>
        </w:rPr>
        <w:t>,</w:t>
      </w:r>
      <w:r w:rsidRPr="00F950D4">
        <w:rPr>
          <w:rFonts w:ascii="Cambria" w:hAnsi="Cambria"/>
          <w:sz w:val="16"/>
          <w:szCs w:val="16"/>
        </w:rPr>
        <w:t xml:space="preserve"> 2007</w:t>
      </w:r>
      <w:r w:rsidR="009B2059">
        <w:rPr>
          <w:rFonts w:ascii="Cambria" w:hAnsi="Cambria"/>
          <w:sz w:val="16"/>
          <w:szCs w:val="16"/>
        </w:rPr>
        <w:t xml:space="preserve"> (“IACHR, Access to justice for women victims of violence in the Americas”)</w:t>
      </w:r>
      <w:r w:rsidRPr="00F950D4">
        <w:rPr>
          <w:rFonts w:ascii="Cambria" w:hAnsi="Cambria"/>
          <w:sz w:val="16"/>
          <w:szCs w:val="16"/>
        </w:rPr>
        <w:t>. P</w:t>
      </w:r>
      <w:r w:rsidR="00F07FAA" w:rsidRPr="00F950D4">
        <w:rPr>
          <w:rFonts w:ascii="Cambria" w:hAnsi="Cambria"/>
          <w:sz w:val="16"/>
          <w:szCs w:val="16"/>
        </w:rPr>
        <w:t>ara</w:t>
      </w:r>
      <w:r w:rsidRPr="00F950D4">
        <w:rPr>
          <w:rFonts w:ascii="Cambria" w:hAnsi="Cambria"/>
          <w:sz w:val="16"/>
          <w:szCs w:val="16"/>
        </w:rPr>
        <w:t>. 161. </w:t>
      </w:r>
    </w:p>
  </w:footnote>
  <w:footnote w:id="28">
    <w:p w14:paraId="26E90B6B" w14:textId="7167D016" w:rsidR="00AF638E" w:rsidRPr="00F950D4" w:rsidRDefault="00AF638E" w:rsidP="00050C6D">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5426F1">
        <w:rPr>
          <w:rFonts w:ascii="Cambria" w:hAnsi="Cambria"/>
          <w:sz w:val="16"/>
          <w:szCs w:val="16"/>
        </w:rPr>
        <w:t xml:space="preserve"> </w:t>
      </w:r>
      <w:r w:rsidR="005426F1" w:rsidRPr="005426F1">
        <w:rPr>
          <w:rFonts w:ascii="Cambria" w:hAnsi="Cambria"/>
          <w:sz w:val="16"/>
          <w:szCs w:val="16"/>
        </w:rPr>
        <w:t>IACHR, Access to justice for women victims of sexual violence in Mesoamerica,</w:t>
      </w:r>
      <w:r w:rsidRPr="005426F1">
        <w:rPr>
          <w:rFonts w:ascii="Cambria" w:eastAsia="Times New Roman" w:hAnsi="Cambria" w:cs="Times New Roman"/>
          <w:sz w:val="16"/>
          <w:szCs w:val="16"/>
        </w:rPr>
        <w:t xml:space="preserve"> OEA/</w:t>
      </w:r>
      <w:proofErr w:type="spellStart"/>
      <w:r w:rsidRPr="005426F1">
        <w:rPr>
          <w:rFonts w:ascii="Cambria" w:eastAsia="Times New Roman" w:hAnsi="Cambria" w:cs="Times New Roman"/>
          <w:sz w:val="16"/>
          <w:szCs w:val="16"/>
        </w:rPr>
        <w:t>Ser.L</w:t>
      </w:r>
      <w:proofErr w:type="spellEnd"/>
      <w:r w:rsidRPr="005426F1">
        <w:rPr>
          <w:rFonts w:ascii="Cambria" w:eastAsia="Times New Roman" w:hAnsi="Cambria" w:cs="Times New Roman"/>
          <w:sz w:val="16"/>
          <w:szCs w:val="16"/>
        </w:rPr>
        <w:t>/V/II. Doc.</w:t>
      </w:r>
      <w:r w:rsidR="005426F1" w:rsidRPr="005426F1">
        <w:rPr>
          <w:rFonts w:ascii="Cambria" w:eastAsia="Times New Roman" w:hAnsi="Cambria" w:cs="Times New Roman"/>
          <w:sz w:val="16"/>
          <w:szCs w:val="16"/>
        </w:rPr>
        <w:t xml:space="preserve"> 63</w:t>
      </w:r>
      <w:r w:rsidRPr="005426F1">
        <w:rPr>
          <w:rFonts w:ascii="Cambria" w:eastAsia="Times New Roman" w:hAnsi="Cambria" w:cs="Times New Roman"/>
          <w:sz w:val="16"/>
          <w:szCs w:val="16"/>
        </w:rPr>
        <w:t>, 2015 (“</w:t>
      </w:r>
      <w:r w:rsidR="005426F1" w:rsidRPr="005426F1">
        <w:rPr>
          <w:rFonts w:ascii="Cambria" w:eastAsia="Times New Roman" w:hAnsi="Cambria" w:cs="Times New Roman"/>
          <w:sz w:val="16"/>
          <w:szCs w:val="16"/>
        </w:rPr>
        <w:t>IACHR</w:t>
      </w:r>
      <w:r w:rsidRPr="005426F1">
        <w:rPr>
          <w:rFonts w:ascii="Cambria" w:eastAsia="Times New Roman" w:hAnsi="Cambria" w:cs="Times New Roman"/>
          <w:sz w:val="16"/>
          <w:szCs w:val="16"/>
        </w:rPr>
        <w:t xml:space="preserve">, </w:t>
      </w:r>
      <w:r w:rsidR="005426F1" w:rsidRPr="005426F1">
        <w:rPr>
          <w:rFonts w:ascii="Cambria" w:eastAsia="Times New Roman" w:hAnsi="Cambria" w:cs="Times New Roman"/>
          <w:sz w:val="16"/>
          <w:szCs w:val="16"/>
        </w:rPr>
        <w:t>Access to justice for women victims of sexual violence in Mesoamerica</w:t>
      </w:r>
      <w:r w:rsidRPr="005426F1">
        <w:rPr>
          <w:rFonts w:ascii="Cambria" w:eastAsia="Times New Roman" w:hAnsi="Cambria" w:cs="Times New Roman"/>
          <w:sz w:val="16"/>
          <w:szCs w:val="16"/>
        </w:rPr>
        <w:t>”), p</w:t>
      </w:r>
      <w:r w:rsidR="005426F1" w:rsidRPr="005426F1">
        <w:rPr>
          <w:rFonts w:ascii="Cambria" w:eastAsia="Times New Roman" w:hAnsi="Cambria" w:cs="Times New Roman"/>
          <w:sz w:val="16"/>
          <w:szCs w:val="16"/>
        </w:rPr>
        <w:t>ara</w:t>
      </w:r>
      <w:r w:rsidRPr="005426F1">
        <w:rPr>
          <w:rFonts w:ascii="Cambria" w:eastAsia="Times New Roman" w:hAnsi="Cambria" w:cs="Times New Roman"/>
          <w:sz w:val="16"/>
          <w:szCs w:val="16"/>
        </w:rPr>
        <w:t xml:space="preserve">. </w:t>
      </w:r>
      <w:r w:rsidRPr="00F950D4">
        <w:rPr>
          <w:rFonts w:ascii="Cambria" w:eastAsia="Times New Roman" w:hAnsi="Cambria" w:cs="Times New Roman"/>
          <w:sz w:val="16"/>
          <w:szCs w:val="16"/>
        </w:rPr>
        <w:t xml:space="preserve">212. </w:t>
      </w:r>
    </w:p>
  </w:footnote>
  <w:footnote w:id="29">
    <w:p w14:paraId="04DFCB82" w14:textId="40D0E94F" w:rsidR="00AF638E" w:rsidRPr="00F950D4" w:rsidRDefault="00AF638E" w:rsidP="00050C6D">
      <w:pPr>
        <w:pStyle w:val="FootnoteText"/>
        <w:ind w:firstLine="720"/>
        <w:jc w:val="both"/>
        <w:rPr>
          <w:rFonts w:ascii="Cambria" w:hAnsi="Cambria"/>
          <w:color w:val="auto"/>
          <w:sz w:val="16"/>
          <w:szCs w:val="16"/>
        </w:rPr>
      </w:pPr>
      <w:r w:rsidRPr="00AF638E">
        <w:rPr>
          <w:rStyle w:val="FootnoteReference"/>
          <w:rFonts w:ascii="Cambria" w:hAnsi="Cambria"/>
          <w:sz w:val="16"/>
          <w:szCs w:val="16"/>
        </w:rPr>
        <w:footnoteRef/>
      </w:r>
      <w:r w:rsidRPr="005426F1">
        <w:rPr>
          <w:rFonts w:ascii="Cambria" w:hAnsi="Cambria"/>
          <w:sz w:val="16"/>
          <w:szCs w:val="16"/>
        </w:rPr>
        <w:t xml:space="preserve"> </w:t>
      </w:r>
      <w:r w:rsidR="009B2059">
        <w:rPr>
          <w:rFonts w:ascii="Cambria" w:hAnsi="Cambria"/>
          <w:sz w:val="16"/>
          <w:szCs w:val="16"/>
        </w:rPr>
        <w:t>IACHR, Access to justice for women victims of violence in the America</w:t>
      </w:r>
      <w:r w:rsidR="005426F1" w:rsidRPr="00F950D4">
        <w:rPr>
          <w:rFonts w:ascii="Cambria" w:hAnsi="Cambria"/>
          <w:sz w:val="16"/>
          <w:szCs w:val="16"/>
        </w:rPr>
        <w:t>. Para. 262. </w:t>
      </w:r>
    </w:p>
  </w:footnote>
  <w:footnote w:id="30">
    <w:p w14:paraId="32368609" w14:textId="1646C3DD" w:rsidR="00AF638E" w:rsidRPr="00F950D4" w:rsidRDefault="00AF638E" w:rsidP="00350042">
      <w:pPr>
        <w:pStyle w:val="FootnoteText"/>
        <w:ind w:firstLine="720"/>
        <w:jc w:val="both"/>
        <w:rPr>
          <w:rFonts w:ascii="Cambria" w:hAnsi="Cambria"/>
          <w:sz w:val="16"/>
          <w:szCs w:val="16"/>
        </w:rPr>
      </w:pPr>
      <w:r w:rsidRPr="00AF638E">
        <w:rPr>
          <w:rStyle w:val="FootnoteReference"/>
          <w:rFonts w:ascii="Cambria" w:hAnsi="Cambria"/>
          <w:sz w:val="16"/>
          <w:szCs w:val="16"/>
        </w:rPr>
        <w:footnoteRef/>
      </w:r>
      <w:r w:rsidRPr="005426F1">
        <w:rPr>
          <w:rFonts w:ascii="Cambria" w:hAnsi="Cambria"/>
          <w:sz w:val="16"/>
          <w:szCs w:val="16"/>
        </w:rPr>
        <w:t xml:space="preserve"> </w:t>
      </w:r>
      <w:r w:rsidR="005426F1" w:rsidRPr="005426F1">
        <w:rPr>
          <w:rFonts w:ascii="Cambria" w:hAnsi="Cambria"/>
          <w:sz w:val="16"/>
          <w:szCs w:val="16"/>
        </w:rPr>
        <w:t>IACHR</w:t>
      </w:r>
      <w:r w:rsidRPr="005426F1">
        <w:rPr>
          <w:rFonts w:ascii="Cambria" w:hAnsi="Cambria"/>
          <w:sz w:val="16"/>
          <w:szCs w:val="16"/>
        </w:rPr>
        <w:t xml:space="preserve">, </w:t>
      </w:r>
      <w:r w:rsidR="005426F1" w:rsidRPr="005426F1">
        <w:rPr>
          <w:rFonts w:ascii="Cambria" w:hAnsi="Cambria"/>
          <w:sz w:val="16"/>
          <w:szCs w:val="16"/>
        </w:rPr>
        <w:t>The right of boys and girl</w:t>
      </w:r>
      <w:r w:rsidR="005426F1">
        <w:rPr>
          <w:rFonts w:ascii="Cambria" w:hAnsi="Cambria"/>
          <w:sz w:val="16"/>
          <w:szCs w:val="16"/>
        </w:rPr>
        <w:t>s to a family</w:t>
      </w:r>
      <w:r w:rsidRPr="005426F1">
        <w:rPr>
          <w:rFonts w:ascii="Cambria" w:eastAsia="Times New Roman" w:hAnsi="Cambria" w:cs="Times New Roman"/>
          <w:sz w:val="16"/>
          <w:szCs w:val="16"/>
        </w:rPr>
        <w:t>, OEA/</w:t>
      </w:r>
      <w:proofErr w:type="spellStart"/>
      <w:r w:rsidRPr="005426F1">
        <w:rPr>
          <w:rFonts w:ascii="Cambria" w:eastAsia="Times New Roman" w:hAnsi="Cambria" w:cs="Times New Roman"/>
          <w:sz w:val="16"/>
          <w:szCs w:val="16"/>
        </w:rPr>
        <w:t>Ser.L</w:t>
      </w:r>
      <w:proofErr w:type="spellEnd"/>
      <w:r w:rsidRPr="005426F1">
        <w:rPr>
          <w:rFonts w:ascii="Cambria" w:eastAsia="Times New Roman" w:hAnsi="Cambria" w:cs="Times New Roman"/>
          <w:sz w:val="16"/>
          <w:szCs w:val="16"/>
        </w:rPr>
        <w:t xml:space="preserve">/V/II.  </w:t>
      </w:r>
      <w:r w:rsidRPr="00F950D4">
        <w:rPr>
          <w:rFonts w:ascii="Cambria" w:eastAsia="Times New Roman" w:hAnsi="Cambria" w:cs="Times New Roman"/>
          <w:sz w:val="16"/>
          <w:szCs w:val="16"/>
        </w:rPr>
        <w:t>Doc.54, 2013, P</w:t>
      </w:r>
      <w:r w:rsidR="005426F1" w:rsidRPr="00F950D4">
        <w:rPr>
          <w:rFonts w:ascii="Cambria" w:eastAsia="Times New Roman" w:hAnsi="Cambria" w:cs="Times New Roman"/>
          <w:sz w:val="16"/>
          <w:szCs w:val="16"/>
        </w:rPr>
        <w:t>ara</w:t>
      </w:r>
      <w:r w:rsidRPr="00F950D4">
        <w:rPr>
          <w:rFonts w:ascii="Cambria" w:eastAsia="Times New Roman" w:hAnsi="Cambria" w:cs="Times New Roman"/>
          <w:sz w:val="16"/>
          <w:szCs w:val="16"/>
        </w:rPr>
        <w:t>. 266.</w:t>
      </w:r>
    </w:p>
  </w:footnote>
  <w:footnote w:id="31">
    <w:p w14:paraId="085AEF22" w14:textId="690B3208" w:rsidR="00AF638E" w:rsidRPr="00AF638E" w:rsidRDefault="00AF638E" w:rsidP="009A63AA">
      <w:pPr>
        <w:pStyle w:val="FootnoteText"/>
        <w:jc w:val="both"/>
        <w:rPr>
          <w:rFonts w:ascii="Cambria" w:hAnsi="Cambria"/>
          <w:sz w:val="16"/>
          <w:szCs w:val="16"/>
          <w:lang w:val="es-ES"/>
        </w:rPr>
      </w:pPr>
      <w:r w:rsidRPr="00F950D4">
        <w:rPr>
          <w:rFonts w:ascii="Cambria" w:hAnsi="Cambria"/>
          <w:sz w:val="16"/>
          <w:szCs w:val="16"/>
        </w:rPr>
        <w:tab/>
      </w:r>
      <w:r w:rsidRPr="00AF638E">
        <w:rPr>
          <w:rStyle w:val="FootnoteReference"/>
          <w:rFonts w:ascii="Cambria" w:hAnsi="Cambria"/>
          <w:sz w:val="16"/>
          <w:szCs w:val="16"/>
        </w:rPr>
        <w:footnoteRef/>
      </w:r>
      <w:r w:rsidRPr="00F950D4">
        <w:rPr>
          <w:rFonts w:ascii="Cambria" w:hAnsi="Cambria"/>
          <w:sz w:val="16"/>
          <w:szCs w:val="16"/>
        </w:rPr>
        <w:t xml:space="preserve"> </w:t>
      </w:r>
      <w:r w:rsidR="005426F1" w:rsidRPr="00F950D4">
        <w:rPr>
          <w:rFonts w:ascii="Cambria" w:hAnsi="Cambria"/>
          <w:sz w:val="16"/>
          <w:szCs w:val="16"/>
        </w:rPr>
        <w:t>IACHR</w:t>
      </w:r>
      <w:r w:rsidRPr="00F950D4">
        <w:rPr>
          <w:rFonts w:ascii="Cambria" w:hAnsi="Cambria"/>
          <w:sz w:val="16"/>
          <w:szCs w:val="16"/>
        </w:rPr>
        <w:t xml:space="preserve">, </w:t>
      </w:r>
      <w:r w:rsidR="005426F1" w:rsidRPr="00F950D4">
        <w:rPr>
          <w:rFonts w:ascii="Cambria" w:hAnsi="Cambria"/>
          <w:sz w:val="16"/>
          <w:szCs w:val="16"/>
        </w:rPr>
        <w:t>Report</w:t>
      </w:r>
      <w:r w:rsidRPr="00F950D4">
        <w:rPr>
          <w:rFonts w:ascii="Cambria" w:hAnsi="Cambria"/>
          <w:sz w:val="16"/>
          <w:szCs w:val="16"/>
        </w:rPr>
        <w:t xml:space="preserve"> No. 83/17, Peti</w:t>
      </w:r>
      <w:r w:rsidR="005426F1" w:rsidRPr="00F950D4">
        <w:rPr>
          <w:rFonts w:ascii="Cambria" w:hAnsi="Cambria"/>
          <w:sz w:val="16"/>
          <w:szCs w:val="16"/>
        </w:rPr>
        <w:t>tio</w:t>
      </w:r>
      <w:r w:rsidRPr="00F950D4">
        <w:rPr>
          <w:rFonts w:ascii="Cambria" w:hAnsi="Cambria"/>
          <w:sz w:val="16"/>
          <w:szCs w:val="16"/>
        </w:rPr>
        <w:t xml:space="preserve">n 151-08. </w:t>
      </w:r>
      <w:r w:rsidR="005426F1" w:rsidRPr="00F950D4">
        <w:rPr>
          <w:rFonts w:ascii="Cambria" w:hAnsi="Cambria"/>
          <w:sz w:val="16"/>
          <w:szCs w:val="16"/>
        </w:rPr>
        <w:t>Admissibility</w:t>
      </w:r>
      <w:r w:rsidRPr="00F950D4">
        <w:rPr>
          <w:rFonts w:ascii="Cambria" w:hAnsi="Cambria"/>
          <w:sz w:val="16"/>
          <w:szCs w:val="16"/>
        </w:rPr>
        <w:t xml:space="preserve">. José Francisco Cid. </w:t>
      </w:r>
      <w:r w:rsidRPr="00AF638E">
        <w:rPr>
          <w:rFonts w:ascii="Cambria" w:hAnsi="Cambria"/>
          <w:sz w:val="16"/>
          <w:szCs w:val="16"/>
          <w:lang w:val="es-ES"/>
        </w:rPr>
        <w:t xml:space="preserve">Argentina. </w:t>
      </w:r>
      <w:proofErr w:type="spellStart"/>
      <w:r w:rsidR="005426F1">
        <w:rPr>
          <w:rFonts w:ascii="Cambria" w:hAnsi="Cambria"/>
          <w:sz w:val="16"/>
          <w:szCs w:val="16"/>
          <w:lang w:val="es-ES"/>
        </w:rPr>
        <w:t>July</w:t>
      </w:r>
      <w:proofErr w:type="spellEnd"/>
      <w:r w:rsidR="005426F1">
        <w:rPr>
          <w:rFonts w:ascii="Cambria" w:hAnsi="Cambria"/>
          <w:sz w:val="16"/>
          <w:szCs w:val="16"/>
          <w:lang w:val="es-ES"/>
        </w:rPr>
        <w:t xml:space="preserve"> </w:t>
      </w:r>
      <w:r w:rsidRPr="00AF638E">
        <w:rPr>
          <w:rFonts w:ascii="Cambria" w:hAnsi="Cambria"/>
          <w:sz w:val="16"/>
          <w:szCs w:val="16"/>
          <w:lang w:val="es-ES"/>
        </w:rPr>
        <w:t>7</w:t>
      </w:r>
      <w:r w:rsidR="005426F1">
        <w:rPr>
          <w:rFonts w:ascii="Cambria" w:hAnsi="Cambria"/>
          <w:sz w:val="16"/>
          <w:szCs w:val="16"/>
          <w:lang w:val="es-ES"/>
        </w:rPr>
        <w:t>,</w:t>
      </w:r>
      <w:r w:rsidRPr="00AF638E">
        <w:rPr>
          <w:rFonts w:ascii="Cambria" w:hAnsi="Cambria"/>
          <w:sz w:val="16"/>
          <w:szCs w:val="16"/>
          <w:lang w:val="es-ES"/>
        </w:rPr>
        <w:t xml:space="preserve"> 2017, p</w:t>
      </w:r>
      <w:r w:rsidR="005426F1">
        <w:rPr>
          <w:rFonts w:ascii="Cambria" w:hAnsi="Cambria"/>
          <w:sz w:val="16"/>
          <w:szCs w:val="16"/>
          <w:lang w:val="es-ES"/>
        </w:rPr>
        <w:t>ara</w:t>
      </w:r>
      <w:r w:rsidRPr="00AF638E">
        <w:rPr>
          <w:rFonts w:ascii="Cambria" w:hAnsi="Cambria"/>
          <w:sz w:val="16"/>
          <w:szCs w:val="16"/>
          <w:lang w:val="es-ES"/>
        </w:rPr>
        <w:t>. 23.</w:t>
      </w:r>
    </w:p>
  </w:footnote>
  <w:footnote w:id="32">
    <w:p w14:paraId="4ED299E5" w14:textId="48F03217" w:rsidR="00AF638E" w:rsidRPr="00AF638E" w:rsidRDefault="00AF638E" w:rsidP="00782A5C">
      <w:pPr>
        <w:pStyle w:val="FootnoteText"/>
        <w:ind w:firstLine="720"/>
        <w:jc w:val="both"/>
        <w:rPr>
          <w:rFonts w:ascii="Cambria" w:hAnsi="Cambria"/>
          <w:sz w:val="16"/>
          <w:szCs w:val="16"/>
          <w:lang w:val="es-ES"/>
        </w:rPr>
      </w:pPr>
      <w:r w:rsidRPr="00AF638E">
        <w:rPr>
          <w:rStyle w:val="FootnoteReference"/>
          <w:rFonts w:ascii="Cambria" w:hAnsi="Cambria"/>
          <w:sz w:val="16"/>
          <w:szCs w:val="16"/>
        </w:rPr>
        <w:footnoteRef/>
      </w:r>
      <w:r w:rsidRPr="00F950D4">
        <w:rPr>
          <w:rFonts w:ascii="Cambria" w:hAnsi="Cambria"/>
          <w:sz w:val="16"/>
          <w:szCs w:val="16"/>
          <w:lang w:val="es-ES"/>
        </w:rPr>
        <w:t xml:space="preserve"> </w:t>
      </w:r>
      <w:r w:rsidR="005426F1" w:rsidRPr="00F950D4">
        <w:rPr>
          <w:rFonts w:ascii="Cambria" w:hAnsi="Cambria"/>
          <w:sz w:val="16"/>
          <w:szCs w:val="16"/>
          <w:lang w:val="es-ES"/>
        </w:rPr>
        <w:t>IACHR</w:t>
      </w:r>
      <w:r w:rsidRPr="00F950D4">
        <w:rPr>
          <w:rFonts w:ascii="Cambria" w:hAnsi="Cambria"/>
          <w:sz w:val="16"/>
          <w:szCs w:val="16"/>
          <w:lang w:val="es-ES"/>
        </w:rPr>
        <w:t xml:space="preserve">, </w:t>
      </w:r>
      <w:proofErr w:type="spellStart"/>
      <w:r w:rsidR="005426F1" w:rsidRPr="00F950D4">
        <w:rPr>
          <w:rFonts w:ascii="Cambria" w:hAnsi="Cambria"/>
          <w:sz w:val="16"/>
          <w:szCs w:val="16"/>
          <w:lang w:val="es-ES"/>
        </w:rPr>
        <w:t>Report</w:t>
      </w:r>
      <w:proofErr w:type="spellEnd"/>
      <w:r w:rsidRPr="00F950D4">
        <w:rPr>
          <w:rFonts w:ascii="Cambria" w:hAnsi="Cambria"/>
          <w:sz w:val="16"/>
          <w:szCs w:val="16"/>
          <w:lang w:val="es-ES"/>
        </w:rPr>
        <w:t xml:space="preserve"> No. 143/18, </w:t>
      </w:r>
      <w:proofErr w:type="spellStart"/>
      <w:r w:rsidRPr="00F950D4">
        <w:rPr>
          <w:rFonts w:ascii="Cambria" w:hAnsi="Cambria"/>
          <w:sz w:val="16"/>
          <w:szCs w:val="16"/>
          <w:lang w:val="es-ES"/>
        </w:rPr>
        <w:t>Peti</w:t>
      </w:r>
      <w:r w:rsidR="005426F1" w:rsidRPr="00F950D4">
        <w:rPr>
          <w:rFonts w:ascii="Cambria" w:hAnsi="Cambria"/>
          <w:sz w:val="16"/>
          <w:szCs w:val="16"/>
          <w:lang w:val="es-ES"/>
        </w:rPr>
        <w:t>tio</w:t>
      </w:r>
      <w:r w:rsidRPr="00F950D4">
        <w:rPr>
          <w:rFonts w:ascii="Cambria" w:hAnsi="Cambria"/>
          <w:sz w:val="16"/>
          <w:szCs w:val="16"/>
          <w:lang w:val="es-ES"/>
        </w:rPr>
        <w:t>n</w:t>
      </w:r>
      <w:proofErr w:type="spellEnd"/>
      <w:r w:rsidRPr="00F950D4">
        <w:rPr>
          <w:rFonts w:ascii="Cambria" w:hAnsi="Cambria"/>
          <w:sz w:val="16"/>
          <w:szCs w:val="16"/>
          <w:lang w:val="es-ES"/>
        </w:rPr>
        <w:t xml:space="preserve"> 940-08. </w:t>
      </w:r>
      <w:proofErr w:type="spellStart"/>
      <w:r w:rsidR="005426F1" w:rsidRPr="00F950D4">
        <w:rPr>
          <w:rFonts w:ascii="Cambria" w:hAnsi="Cambria"/>
          <w:sz w:val="16"/>
          <w:szCs w:val="16"/>
          <w:lang w:val="es-ES"/>
        </w:rPr>
        <w:t>Admissibility</w:t>
      </w:r>
      <w:proofErr w:type="spellEnd"/>
      <w:r w:rsidRPr="00F950D4">
        <w:rPr>
          <w:rFonts w:ascii="Cambria" w:hAnsi="Cambria"/>
          <w:sz w:val="16"/>
          <w:szCs w:val="16"/>
          <w:lang w:val="es-ES"/>
        </w:rPr>
        <w:t xml:space="preserve">. </w:t>
      </w:r>
      <w:r w:rsidRPr="00AF638E">
        <w:rPr>
          <w:rFonts w:ascii="Cambria" w:hAnsi="Cambria"/>
          <w:sz w:val="16"/>
          <w:szCs w:val="16"/>
          <w:lang w:val="es-ES"/>
        </w:rPr>
        <w:t xml:space="preserve">Luis Américo Ayala Gonzales. </w:t>
      </w:r>
      <w:proofErr w:type="spellStart"/>
      <w:r w:rsidRPr="00AF638E">
        <w:rPr>
          <w:rFonts w:ascii="Cambria" w:hAnsi="Cambria"/>
          <w:sz w:val="16"/>
          <w:szCs w:val="16"/>
          <w:lang w:val="es-ES"/>
        </w:rPr>
        <w:t>Per</w:t>
      </w:r>
      <w:r w:rsidR="005426F1">
        <w:rPr>
          <w:rFonts w:ascii="Cambria" w:hAnsi="Cambria"/>
          <w:sz w:val="16"/>
          <w:szCs w:val="16"/>
          <w:lang w:val="es-ES"/>
        </w:rPr>
        <w:t>u</w:t>
      </w:r>
      <w:proofErr w:type="spellEnd"/>
      <w:r w:rsidRPr="00AF638E">
        <w:rPr>
          <w:rFonts w:ascii="Cambria" w:hAnsi="Cambria"/>
          <w:sz w:val="16"/>
          <w:szCs w:val="16"/>
          <w:lang w:val="es-ES"/>
        </w:rPr>
        <w:t xml:space="preserve">. </w:t>
      </w:r>
      <w:proofErr w:type="spellStart"/>
      <w:r w:rsidR="005426F1">
        <w:rPr>
          <w:rFonts w:ascii="Cambria" w:hAnsi="Cambria"/>
          <w:sz w:val="16"/>
          <w:szCs w:val="16"/>
          <w:lang w:val="es-ES"/>
        </w:rPr>
        <w:t>December</w:t>
      </w:r>
      <w:proofErr w:type="spellEnd"/>
      <w:r w:rsidR="005426F1">
        <w:rPr>
          <w:rFonts w:ascii="Cambria" w:hAnsi="Cambria"/>
          <w:sz w:val="16"/>
          <w:szCs w:val="16"/>
          <w:lang w:val="es-ES"/>
        </w:rPr>
        <w:t xml:space="preserve"> </w:t>
      </w:r>
      <w:r w:rsidRPr="00AF638E">
        <w:rPr>
          <w:rFonts w:ascii="Cambria" w:hAnsi="Cambria"/>
          <w:sz w:val="16"/>
          <w:szCs w:val="16"/>
          <w:lang w:val="es-ES"/>
        </w:rPr>
        <w:t>4</w:t>
      </w:r>
      <w:r w:rsidR="005426F1">
        <w:rPr>
          <w:rFonts w:ascii="Cambria" w:hAnsi="Cambria"/>
          <w:sz w:val="16"/>
          <w:szCs w:val="16"/>
          <w:lang w:val="es-ES"/>
        </w:rPr>
        <w:t>,</w:t>
      </w:r>
      <w:r w:rsidRPr="00AF638E">
        <w:rPr>
          <w:rFonts w:ascii="Cambria" w:hAnsi="Cambria"/>
          <w:sz w:val="16"/>
          <w:szCs w:val="16"/>
          <w:lang w:val="es-ES"/>
        </w:rPr>
        <w:t xml:space="preserve"> 2018, p</w:t>
      </w:r>
      <w:r w:rsidR="005426F1">
        <w:rPr>
          <w:rFonts w:ascii="Cambria" w:hAnsi="Cambria"/>
          <w:sz w:val="16"/>
          <w:szCs w:val="16"/>
          <w:lang w:val="es-ES"/>
        </w:rPr>
        <w:t>ara</w:t>
      </w:r>
      <w:r w:rsidRPr="00AF638E">
        <w:rPr>
          <w:rFonts w:ascii="Cambria" w:hAnsi="Cambria"/>
          <w:sz w:val="16"/>
          <w:szCs w:val="16"/>
          <w:lang w:val="es-ES"/>
        </w:rPr>
        <w:t>. 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0B877" w14:textId="77777777" w:rsidR="00AF638E" w:rsidRDefault="00AF638E" w:rsidP="00311D3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1319935" w14:textId="77777777" w:rsidR="00AF638E" w:rsidRDefault="00AF63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DFD8D" w14:textId="2A35186B" w:rsidR="00AF638E" w:rsidRDefault="00AF638E" w:rsidP="00A50FCF">
    <w:pPr>
      <w:pStyle w:val="Header"/>
      <w:tabs>
        <w:tab w:val="clear" w:pos="4320"/>
        <w:tab w:val="clear" w:pos="8640"/>
      </w:tabs>
      <w:jc w:val="center"/>
      <w:rPr>
        <w:sz w:val="22"/>
        <w:szCs w:val="22"/>
      </w:rPr>
    </w:pPr>
    <w:r>
      <w:rPr>
        <w:noProof/>
        <w:sz w:val="22"/>
        <w:szCs w:val="22"/>
      </w:rPr>
      <w:drawing>
        <wp:inline distT="0" distB="0" distL="0" distR="0" wp14:anchorId="51F681AF" wp14:editId="78D9F4FB">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57A4CB7C" w14:textId="77777777" w:rsidR="00AF638E" w:rsidRPr="00EC7D62" w:rsidRDefault="00B37C41" w:rsidP="00A50FCF">
    <w:pPr>
      <w:pStyle w:val="Header"/>
      <w:tabs>
        <w:tab w:val="clear" w:pos="4320"/>
        <w:tab w:val="clear" w:pos="8640"/>
      </w:tabs>
      <w:jc w:val="center"/>
      <w:rPr>
        <w:sz w:val="22"/>
        <w:szCs w:val="22"/>
      </w:rPr>
    </w:pPr>
    <w:r>
      <w:rPr>
        <w:noProof/>
        <w:sz w:val="22"/>
        <w:szCs w:val="22"/>
        <w:bdr w:val="nil"/>
      </w:rPr>
      <w:pict w14:anchorId="3598876D">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96947" w14:textId="77777777" w:rsidR="00EB5C17" w:rsidRDefault="00EB5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E7682C"/>
    <w:multiLevelType w:val="hybridMultilevel"/>
    <w:tmpl w:val="C77EC33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E010B9D"/>
    <w:multiLevelType w:val="hybridMultilevel"/>
    <w:tmpl w:val="753AC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1FE0C18"/>
    <w:multiLevelType w:val="multilevel"/>
    <w:tmpl w:val="B5227D9E"/>
    <w:lvl w:ilvl="0">
      <w:start w:val="1"/>
      <w:numFmt w:val="decimal"/>
      <w:lvlText w:val="%1."/>
      <w:lvlJc w:val="left"/>
      <w:pPr>
        <w:ind w:left="773" w:hanging="360"/>
      </w:pPr>
    </w:lvl>
    <w:lvl w:ilvl="1">
      <w:start w:val="1"/>
      <w:numFmt w:val="lowerLetter"/>
      <w:lvlText w:val="%2."/>
      <w:lvlJc w:val="left"/>
      <w:pPr>
        <w:ind w:left="1493" w:hanging="360"/>
      </w:pPr>
    </w:lvl>
    <w:lvl w:ilvl="2">
      <w:start w:val="1"/>
      <w:numFmt w:val="lowerRoman"/>
      <w:lvlText w:val="%3."/>
      <w:lvlJc w:val="right"/>
      <w:pPr>
        <w:ind w:left="2213" w:hanging="180"/>
      </w:pPr>
    </w:lvl>
    <w:lvl w:ilvl="3">
      <w:start w:val="1"/>
      <w:numFmt w:val="decimal"/>
      <w:lvlText w:val="%4."/>
      <w:lvlJc w:val="left"/>
      <w:pPr>
        <w:ind w:left="2933" w:hanging="360"/>
      </w:pPr>
    </w:lvl>
    <w:lvl w:ilvl="4">
      <w:start w:val="1"/>
      <w:numFmt w:val="lowerLetter"/>
      <w:lvlText w:val="%5."/>
      <w:lvlJc w:val="left"/>
      <w:pPr>
        <w:ind w:left="3653" w:hanging="360"/>
      </w:pPr>
    </w:lvl>
    <w:lvl w:ilvl="5">
      <w:start w:val="1"/>
      <w:numFmt w:val="lowerRoman"/>
      <w:lvlText w:val="%6."/>
      <w:lvlJc w:val="right"/>
      <w:pPr>
        <w:ind w:left="4373" w:hanging="180"/>
      </w:pPr>
    </w:lvl>
    <w:lvl w:ilvl="6">
      <w:start w:val="1"/>
      <w:numFmt w:val="decimal"/>
      <w:lvlText w:val="%7."/>
      <w:lvlJc w:val="left"/>
      <w:pPr>
        <w:ind w:left="5093" w:hanging="360"/>
      </w:pPr>
    </w:lvl>
    <w:lvl w:ilvl="7">
      <w:start w:val="1"/>
      <w:numFmt w:val="lowerLetter"/>
      <w:lvlText w:val="%8."/>
      <w:lvlJc w:val="left"/>
      <w:pPr>
        <w:ind w:left="5813" w:hanging="360"/>
      </w:pPr>
    </w:lvl>
    <w:lvl w:ilvl="8">
      <w:start w:val="1"/>
      <w:numFmt w:val="lowerRoman"/>
      <w:lvlText w:val="%9."/>
      <w:lvlJc w:val="right"/>
      <w:pPr>
        <w:ind w:left="6533" w:hanging="180"/>
      </w:pPr>
    </w:lvl>
  </w:abstractNum>
  <w:abstractNum w:abstractNumId="49"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7"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C515FC"/>
    <w:multiLevelType w:val="hybridMultilevel"/>
    <w:tmpl w:val="EEAE1C02"/>
    <w:lvl w:ilvl="0" w:tplc="DBE6BC5E">
      <w:start w:val="1"/>
      <w:numFmt w:val="decimal"/>
      <w:lvlText w:val="%1."/>
      <w:lvlJc w:val="left"/>
      <w:pPr>
        <w:ind w:left="773" w:hanging="360"/>
      </w:pPr>
      <w:rPr>
        <w:i w:val="0"/>
        <w:color w:val="auto"/>
        <w:lang w:val="en-US"/>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62"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6"/>
  </w:num>
  <w:num w:numId="4">
    <w:abstractNumId w:val="24"/>
  </w:num>
  <w:num w:numId="5">
    <w:abstractNumId w:val="50"/>
  </w:num>
  <w:num w:numId="6">
    <w:abstractNumId w:val="29"/>
  </w:num>
  <w:num w:numId="7">
    <w:abstractNumId w:val="8"/>
  </w:num>
  <w:num w:numId="8">
    <w:abstractNumId w:val="18"/>
  </w:num>
  <w:num w:numId="9">
    <w:abstractNumId w:val="43"/>
  </w:num>
  <w:num w:numId="10">
    <w:abstractNumId w:val="0"/>
  </w:num>
  <w:num w:numId="11">
    <w:abstractNumId w:val="38"/>
  </w:num>
  <w:num w:numId="12">
    <w:abstractNumId w:val="39"/>
  </w:num>
  <w:num w:numId="13">
    <w:abstractNumId w:val="45"/>
  </w:num>
  <w:num w:numId="14">
    <w:abstractNumId w:val="1"/>
  </w:num>
  <w:num w:numId="15">
    <w:abstractNumId w:val="2"/>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9"/>
  </w:num>
  <w:num w:numId="26">
    <w:abstractNumId w:val="20"/>
  </w:num>
  <w:num w:numId="27">
    <w:abstractNumId w:val="25"/>
  </w:num>
  <w:num w:numId="28">
    <w:abstractNumId w:val="26"/>
  </w:num>
  <w:num w:numId="29">
    <w:abstractNumId w:val="27"/>
  </w:num>
  <w:num w:numId="30">
    <w:abstractNumId w:val="28"/>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40"/>
  </w:num>
  <w:num w:numId="40">
    <w:abstractNumId w:val="41"/>
  </w:num>
  <w:num w:numId="41">
    <w:abstractNumId w:val="47"/>
  </w:num>
  <w:num w:numId="42">
    <w:abstractNumId w:val="51"/>
  </w:num>
  <w:num w:numId="43">
    <w:abstractNumId w:val="52"/>
  </w:num>
  <w:num w:numId="44">
    <w:abstractNumId w:val="54"/>
  </w:num>
  <w:num w:numId="45">
    <w:abstractNumId w:val="55"/>
  </w:num>
  <w:num w:numId="46">
    <w:abstractNumId w:val="57"/>
  </w:num>
  <w:num w:numId="47">
    <w:abstractNumId w:val="58"/>
  </w:num>
  <w:num w:numId="48">
    <w:abstractNumId w:val="59"/>
  </w:num>
  <w:num w:numId="49">
    <w:abstractNumId w:val="60"/>
  </w:num>
  <w:num w:numId="50">
    <w:abstractNumId w:val="63"/>
  </w:num>
  <w:num w:numId="51">
    <w:abstractNumId w:val="23"/>
  </w:num>
  <w:num w:numId="52">
    <w:abstractNumId w:val="42"/>
  </w:num>
  <w:num w:numId="53">
    <w:abstractNumId w:val="53"/>
  </w:num>
  <w:num w:numId="54">
    <w:abstractNumId w:val="46"/>
  </w:num>
  <w:num w:numId="55">
    <w:abstractNumId w:val="6"/>
  </w:num>
  <w:num w:numId="56">
    <w:abstractNumId w:val="44"/>
  </w:num>
  <w:num w:numId="57">
    <w:abstractNumId w:val="62"/>
  </w:num>
  <w:num w:numId="58">
    <w:abstractNumId w:val="22"/>
  </w:num>
  <w:num w:numId="59">
    <w:abstractNumId w:val="4"/>
  </w:num>
  <w:num w:numId="60">
    <w:abstractNumId w:val="49"/>
  </w:num>
  <w:num w:numId="61">
    <w:abstractNumId w:val="21"/>
  </w:num>
  <w:num w:numId="62">
    <w:abstractNumId w:val="61"/>
  </w:num>
  <w:num w:numId="63">
    <w:abstractNumId w:val="48"/>
  </w:num>
  <w:num w:numId="64">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54"/>
    <w:rsid w:val="000065D0"/>
    <w:rsid w:val="00006B74"/>
    <w:rsid w:val="00006E1F"/>
    <w:rsid w:val="000070C7"/>
    <w:rsid w:val="000070D7"/>
    <w:rsid w:val="000104F5"/>
    <w:rsid w:val="000156E9"/>
    <w:rsid w:val="00015701"/>
    <w:rsid w:val="0001788C"/>
    <w:rsid w:val="0002186F"/>
    <w:rsid w:val="00023785"/>
    <w:rsid w:val="000337EF"/>
    <w:rsid w:val="00040C3A"/>
    <w:rsid w:val="000419AD"/>
    <w:rsid w:val="0004380C"/>
    <w:rsid w:val="00050C6D"/>
    <w:rsid w:val="00051661"/>
    <w:rsid w:val="000554CD"/>
    <w:rsid w:val="00063900"/>
    <w:rsid w:val="000716C5"/>
    <w:rsid w:val="00073BC1"/>
    <w:rsid w:val="00075E23"/>
    <w:rsid w:val="00076245"/>
    <w:rsid w:val="00077E37"/>
    <w:rsid w:val="00083440"/>
    <w:rsid w:val="00086091"/>
    <w:rsid w:val="0009006E"/>
    <w:rsid w:val="0009344A"/>
    <w:rsid w:val="000A19F8"/>
    <w:rsid w:val="000A3254"/>
    <w:rsid w:val="000A392E"/>
    <w:rsid w:val="000A3D0B"/>
    <w:rsid w:val="000A56E1"/>
    <w:rsid w:val="000A575F"/>
    <w:rsid w:val="000A63D0"/>
    <w:rsid w:val="000A6B8C"/>
    <w:rsid w:val="000B0579"/>
    <w:rsid w:val="000C1C69"/>
    <w:rsid w:val="000C3A31"/>
    <w:rsid w:val="000D10DB"/>
    <w:rsid w:val="000D57A3"/>
    <w:rsid w:val="000E2789"/>
    <w:rsid w:val="000E5EB5"/>
    <w:rsid w:val="000E6985"/>
    <w:rsid w:val="000F35ED"/>
    <w:rsid w:val="00106D29"/>
    <w:rsid w:val="00107131"/>
    <w:rsid w:val="0010736F"/>
    <w:rsid w:val="00111A8A"/>
    <w:rsid w:val="00113F73"/>
    <w:rsid w:val="00117EF2"/>
    <w:rsid w:val="00121A3F"/>
    <w:rsid w:val="00121CC2"/>
    <w:rsid w:val="00123362"/>
    <w:rsid w:val="00130286"/>
    <w:rsid w:val="00131D8B"/>
    <w:rsid w:val="00133EE5"/>
    <w:rsid w:val="001365D2"/>
    <w:rsid w:val="00136E3D"/>
    <w:rsid w:val="00143226"/>
    <w:rsid w:val="00143EFE"/>
    <w:rsid w:val="001479C0"/>
    <w:rsid w:val="0015330B"/>
    <w:rsid w:val="0016202D"/>
    <w:rsid w:val="00167A34"/>
    <w:rsid w:val="00173C22"/>
    <w:rsid w:val="00175BF5"/>
    <w:rsid w:val="001760E1"/>
    <w:rsid w:val="00176BB3"/>
    <w:rsid w:val="00177EEF"/>
    <w:rsid w:val="00182D0C"/>
    <w:rsid w:val="00192D66"/>
    <w:rsid w:val="001A3498"/>
    <w:rsid w:val="001A75C1"/>
    <w:rsid w:val="001A7870"/>
    <w:rsid w:val="001B3A00"/>
    <w:rsid w:val="001B4C00"/>
    <w:rsid w:val="001B5576"/>
    <w:rsid w:val="001B5B5B"/>
    <w:rsid w:val="001B5E87"/>
    <w:rsid w:val="001C08CA"/>
    <w:rsid w:val="001C0DB0"/>
    <w:rsid w:val="001C1B41"/>
    <w:rsid w:val="001C4A52"/>
    <w:rsid w:val="001D556D"/>
    <w:rsid w:val="001D65EF"/>
    <w:rsid w:val="001E2B41"/>
    <w:rsid w:val="001E49E7"/>
    <w:rsid w:val="001F271B"/>
    <w:rsid w:val="001F55DC"/>
    <w:rsid w:val="001F7201"/>
    <w:rsid w:val="00204931"/>
    <w:rsid w:val="00213C3D"/>
    <w:rsid w:val="0021469C"/>
    <w:rsid w:val="002239E6"/>
    <w:rsid w:val="00223A29"/>
    <w:rsid w:val="002250A3"/>
    <w:rsid w:val="00231294"/>
    <w:rsid w:val="00233042"/>
    <w:rsid w:val="00235217"/>
    <w:rsid w:val="002355A9"/>
    <w:rsid w:val="00244CE1"/>
    <w:rsid w:val="002458EE"/>
    <w:rsid w:val="00246D1F"/>
    <w:rsid w:val="00247403"/>
    <w:rsid w:val="00247542"/>
    <w:rsid w:val="0025407B"/>
    <w:rsid w:val="00254226"/>
    <w:rsid w:val="00257339"/>
    <w:rsid w:val="00264F12"/>
    <w:rsid w:val="002665F8"/>
    <w:rsid w:val="00266B61"/>
    <w:rsid w:val="002670EF"/>
    <w:rsid w:val="0026712A"/>
    <w:rsid w:val="002704DB"/>
    <w:rsid w:val="00270E97"/>
    <w:rsid w:val="00277A20"/>
    <w:rsid w:val="00277BDA"/>
    <w:rsid w:val="00282D86"/>
    <w:rsid w:val="0028454B"/>
    <w:rsid w:val="00290B1F"/>
    <w:rsid w:val="0029154C"/>
    <w:rsid w:val="0029435A"/>
    <w:rsid w:val="0029575A"/>
    <w:rsid w:val="002A0AAE"/>
    <w:rsid w:val="002A1248"/>
    <w:rsid w:val="002A1D50"/>
    <w:rsid w:val="002A5820"/>
    <w:rsid w:val="002B42A5"/>
    <w:rsid w:val="002B5B48"/>
    <w:rsid w:val="002C3350"/>
    <w:rsid w:val="002D2B26"/>
    <w:rsid w:val="002D7EA2"/>
    <w:rsid w:val="002E187C"/>
    <w:rsid w:val="002E7512"/>
    <w:rsid w:val="002F22C3"/>
    <w:rsid w:val="002F3724"/>
    <w:rsid w:val="002F6985"/>
    <w:rsid w:val="00302733"/>
    <w:rsid w:val="00311135"/>
    <w:rsid w:val="00311D3F"/>
    <w:rsid w:val="003121D5"/>
    <w:rsid w:val="00314078"/>
    <w:rsid w:val="0031535D"/>
    <w:rsid w:val="003239B8"/>
    <w:rsid w:val="0033169F"/>
    <w:rsid w:val="0034224A"/>
    <w:rsid w:val="00343438"/>
    <w:rsid w:val="00344977"/>
    <w:rsid w:val="00346C95"/>
    <w:rsid w:val="00350042"/>
    <w:rsid w:val="00351155"/>
    <w:rsid w:val="00356185"/>
    <w:rsid w:val="00360380"/>
    <w:rsid w:val="00361465"/>
    <w:rsid w:val="0037519E"/>
    <w:rsid w:val="00385E43"/>
    <w:rsid w:val="00386C6C"/>
    <w:rsid w:val="00386CF0"/>
    <w:rsid w:val="0038706C"/>
    <w:rsid w:val="00392450"/>
    <w:rsid w:val="003942EC"/>
    <w:rsid w:val="0039501B"/>
    <w:rsid w:val="003A6337"/>
    <w:rsid w:val="003B298D"/>
    <w:rsid w:val="003B3BE3"/>
    <w:rsid w:val="003B4FF6"/>
    <w:rsid w:val="003B6805"/>
    <w:rsid w:val="003B70FB"/>
    <w:rsid w:val="003C6112"/>
    <w:rsid w:val="003C676B"/>
    <w:rsid w:val="003D0A55"/>
    <w:rsid w:val="003D1B7C"/>
    <w:rsid w:val="003D340E"/>
    <w:rsid w:val="003D3BC2"/>
    <w:rsid w:val="003E5B2B"/>
    <w:rsid w:val="003E614F"/>
    <w:rsid w:val="003E6CA1"/>
    <w:rsid w:val="003F09C4"/>
    <w:rsid w:val="00402A14"/>
    <w:rsid w:val="004065A8"/>
    <w:rsid w:val="004079B7"/>
    <w:rsid w:val="004153F5"/>
    <w:rsid w:val="004165C2"/>
    <w:rsid w:val="0042145E"/>
    <w:rsid w:val="004304AD"/>
    <w:rsid w:val="00436D09"/>
    <w:rsid w:val="004406B9"/>
    <w:rsid w:val="00441ECB"/>
    <w:rsid w:val="00445193"/>
    <w:rsid w:val="00447CCF"/>
    <w:rsid w:val="004565BA"/>
    <w:rsid w:val="00462C1B"/>
    <w:rsid w:val="00465999"/>
    <w:rsid w:val="00467B7E"/>
    <w:rsid w:val="0047080D"/>
    <w:rsid w:val="00473BB4"/>
    <w:rsid w:val="00476211"/>
    <w:rsid w:val="00477592"/>
    <w:rsid w:val="00485BA7"/>
    <w:rsid w:val="00486F1C"/>
    <w:rsid w:val="0049419D"/>
    <w:rsid w:val="0049784A"/>
    <w:rsid w:val="004A59CC"/>
    <w:rsid w:val="004A6A54"/>
    <w:rsid w:val="004C20D2"/>
    <w:rsid w:val="004C2312"/>
    <w:rsid w:val="004C2EC3"/>
    <w:rsid w:val="004C4B62"/>
    <w:rsid w:val="004C54C9"/>
    <w:rsid w:val="004C616A"/>
    <w:rsid w:val="004D0A79"/>
    <w:rsid w:val="004D40DE"/>
    <w:rsid w:val="004D4ABA"/>
    <w:rsid w:val="004D6025"/>
    <w:rsid w:val="004E19B1"/>
    <w:rsid w:val="004E2649"/>
    <w:rsid w:val="004F1000"/>
    <w:rsid w:val="00501399"/>
    <w:rsid w:val="00501652"/>
    <w:rsid w:val="00501B1C"/>
    <w:rsid w:val="0050460B"/>
    <w:rsid w:val="0050633D"/>
    <w:rsid w:val="00507BC4"/>
    <w:rsid w:val="005128E4"/>
    <w:rsid w:val="005133DB"/>
    <w:rsid w:val="00521721"/>
    <w:rsid w:val="00522962"/>
    <w:rsid w:val="00525560"/>
    <w:rsid w:val="005415E6"/>
    <w:rsid w:val="005426F1"/>
    <w:rsid w:val="00543FCD"/>
    <w:rsid w:val="00544216"/>
    <w:rsid w:val="00544C49"/>
    <w:rsid w:val="005516A1"/>
    <w:rsid w:val="0055335B"/>
    <w:rsid w:val="005603F2"/>
    <w:rsid w:val="00561233"/>
    <w:rsid w:val="00561E15"/>
    <w:rsid w:val="00563557"/>
    <w:rsid w:val="0056774E"/>
    <w:rsid w:val="005709C1"/>
    <w:rsid w:val="005720DA"/>
    <w:rsid w:val="0057402A"/>
    <w:rsid w:val="00574CB7"/>
    <w:rsid w:val="005771D0"/>
    <w:rsid w:val="005846E6"/>
    <w:rsid w:val="00587473"/>
    <w:rsid w:val="0059191A"/>
    <w:rsid w:val="005921FF"/>
    <w:rsid w:val="00594707"/>
    <w:rsid w:val="005A10E4"/>
    <w:rsid w:val="005A24ED"/>
    <w:rsid w:val="005A6D0E"/>
    <w:rsid w:val="005B04C9"/>
    <w:rsid w:val="005B37CC"/>
    <w:rsid w:val="005B52B0"/>
    <w:rsid w:val="005B6806"/>
    <w:rsid w:val="005B6D22"/>
    <w:rsid w:val="005B7D5F"/>
    <w:rsid w:val="005C261A"/>
    <w:rsid w:val="005C4225"/>
    <w:rsid w:val="005C5662"/>
    <w:rsid w:val="005C7989"/>
    <w:rsid w:val="005D3E87"/>
    <w:rsid w:val="005D66AD"/>
    <w:rsid w:val="005D723D"/>
    <w:rsid w:val="005E0B65"/>
    <w:rsid w:val="005E11B2"/>
    <w:rsid w:val="005E7829"/>
    <w:rsid w:val="005F0DAD"/>
    <w:rsid w:val="005F0F33"/>
    <w:rsid w:val="005F748C"/>
    <w:rsid w:val="00600DEB"/>
    <w:rsid w:val="0060565E"/>
    <w:rsid w:val="006068B7"/>
    <w:rsid w:val="00626B89"/>
    <w:rsid w:val="006277DE"/>
    <w:rsid w:val="00627C9F"/>
    <w:rsid w:val="00630D78"/>
    <w:rsid w:val="006311E9"/>
    <w:rsid w:val="00632354"/>
    <w:rsid w:val="00640AE4"/>
    <w:rsid w:val="00642810"/>
    <w:rsid w:val="00647756"/>
    <w:rsid w:val="006509DA"/>
    <w:rsid w:val="00652333"/>
    <w:rsid w:val="00653CC1"/>
    <w:rsid w:val="00661EBD"/>
    <w:rsid w:val="006728B6"/>
    <w:rsid w:val="006775AB"/>
    <w:rsid w:val="0068009E"/>
    <w:rsid w:val="006819E9"/>
    <w:rsid w:val="00684371"/>
    <w:rsid w:val="00686128"/>
    <w:rsid w:val="00686471"/>
    <w:rsid w:val="0068794B"/>
    <w:rsid w:val="00691BBE"/>
    <w:rsid w:val="00692219"/>
    <w:rsid w:val="0069402E"/>
    <w:rsid w:val="006A17D2"/>
    <w:rsid w:val="006A73E6"/>
    <w:rsid w:val="006B2D5C"/>
    <w:rsid w:val="006B2EE8"/>
    <w:rsid w:val="006C1596"/>
    <w:rsid w:val="006C2345"/>
    <w:rsid w:val="006C3804"/>
    <w:rsid w:val="006C4EB1"/>
    <w:rsid w:val="006D0451"/>
    <w:rsid w:val="006E0166"/>
    <w:rsid w:val="006E63E8"/>
    <w:rsid w:val="006E6946"/>
    <w:rsid w:val="006E772A"/>
    <w:rsid w:val="006E7B34"/>
    <w:rsid w:val="00705581"/>
    <w:rsid w:val="0070697F"/>
    <w:rsid w:val="00714CF9"/>
    <w:rsid w:val="0072199C"/>
    <w:rsid w:val="00722C9F"/>
    <w:rsid w:val="007253B8"/>
    <w:rsid w:val="007278E2"/>
    <w:rsid w:val="00727B0E"/>
    <w:rsid w:val="00734BBA"/>
    <w:rsid w:val="0073598C"/>
    <w:rsid w:val="0073741F"/>
    <w:rsid w:val="0074097B"/>
    <w:rsid w:val="00747DC5"/>
    <w:rsid w:val="0076643F"/>
    <w:rsid w:val="007710A7"/>
    <w:rsid w:val="0077164E"/>
    <w:rsid w:val="007739EE"/>
    <w:rsid w:val="00777F63"/>
    <w:rsid w:val="007816FD"/>
    <w:rsid w:val="00781D8F"/>
    <w:rsid w:val="00782A5C"/>
    <w:rsid w:val="007852B5"/>
    <w:rsid w:val="00787506"/>
    <w:rsid w:val="00791972"/>
    <w:rsid w:val="007920A4"/>
    <w:rsid w:val="0079477A"/>
    <w:rsid w:val="00795319"/>
    <w:rsid w:val="007956A9"/>
    <w:rsid w:val="00796A37"/>
    <w:rsid w:val="007A19EE"/>
    <w:rsid w:val="007A5817"/>
    <w:rsid w:val="007A5B98"/>
    <w:rsid w:val="007B05C4"/>
    <w:rsid w:val="007B11D1"/>
    <w:rsid w:val="007B60E9"/>
    <w:rsid w:val="007B6650"/>
    <w:rsid w:val="007B6CC3"/>
    <w:rsid w:val="007C3334"/>
    <w:rsid w:val="007C402A"/>
    <w:rsid w:val="007C5771"/>
    <w:rsid w:val="007D2B98"/>
    <w:rsid w:val="007D3ADB"/>
    <w:rsid w:val="007D6399"/>
    <w:rsid w:val="007D7C02"/>
    <w:rsid w:val="007E21BC"/>
    <w:rsid w:val="007E58FE"/>
    <w:rsid w:val="007E7C82"/>
    <w:rsid w:val="007F278C"/>
    <w:rsid w:val="007F588D"/>
    <w:rsid w:val="00802748"/>
    <w:rsid w:val="00803F1C"/>
    <w:rsid w:val="0080600E"/>
    <w:rsid w:val="00817612"/>
    <w:rsid w:val="008338A4"/>
    <w:rsid w:val="00834D49"/>
    <w:rsid w:val="00837C45"/>
    <w:rsid w:val="008411F0"/>
    <w:rsid w:val="008439BC"/>
    <w:rsid w:val="00843E9C"/>
    <w:rsid w:val="0084443D"/>
    <w:rsid w:val="00844730"/>
    <w:rsid w:val="008457C2"/>
    <w:rsid w:val="00853462"/>
    <w:rsid w:val="00855811"/>
    <w:rsid w:val="00857A82"/>
    <w:rsid w:val="00865080"/>
    <w:rsid w:val="00871526"/>
    <w:rsid w:val="00873836"/>
    <w:rsid w:val="00875668"/>
    <w:rsid w:val="00885737"/>
    <w:rsid w:val="00890650"/>
    <w:rsid w:val="00897E12"/>
    <w:rsid w:val="008A0F81"/>
    <w:rsid w:val="008A1F69"/>
    <w:rsid w:val="008A310C"/>
    <w:rsid w:val="008A7E0F"/>
    <w:rsid w:val="008B12F5"/>
    <w:rsid w:val="008B18D5"/>
    <w:rsid w:val="008B5932"/>
    <w:rsid w:val="008C5751"/>
    <w:rsid w:val="008C67E5"/>
    <w:rsid w:val="008D768D"/>
    <w:rsid w:val="008E0A09"/>
    <w:rsid w:val="008E0FD8"/>
    <w:rsid w:val="008E328A"/>
    <w:rsid w:val="008E3759"/>
    <w:rsid w:val="008E3BFE"/>
    <w:rsid w:val="008E7900"/>
    <w:rsid w:val="008F1912"/>
    <w:rsid w:val="0090270B"/>
    <w:rsid w:val="009029B8"/>
    <w:rsid w:val="009041DC"/>
    <w:rsid w:val="00904435"/>
    <w:rsid w:val="00910055"/>
    <w:rsid w:val="00912947"/>
    <w:rsid w:val="00913BC1"/>
    <w:rsid w:val="00917B5A"/>
    <w:rsid w:val="00920A58"/>
    <w:rsid w:val="00920A8C"/>
    <w:rsid w:val="00921CB6"/>
    <w:rsid w:val="009322BD"/>
    <w:rsid w:val="00934A2C"/>
    <w:rsid w:val="00935F06"/>
    <w:rsid w:val="0093648C"/>
    <w:rsid w:val="00937B3A"/>
    <w:rsid w:val="00945002"/>
    <w:rsid w:val="00954B82"/>
    <w:rsid w:val="00957000"/>
    <w:rsid w:val="00962436"/>
    <w:rsid w:val="0096706E"/>
    <w:rsid w:val="00974491"/>
    <w:rsid w:val="00975C4E"/>
    <w:rsid w:val="009767E1"/>
    <w:rsid w:val="00976D99"/>
    <w:rsid w:val="00977352"/>
    <w:rsid w:val="00977839"/>
    <w:rsid w:val="009778CD"/>
    <w:rsid w:val="009815EC"/>
    <w:rsid w:val="00981FBA"/>
    <w:rsid w:val="00991246"/>
    <w:rsid w:val="00996EC3"/>
    <w:rsid w:val="00997BC5"/>
    <w:rsid w:val="009A4F41"/>
    <w:rsid w:val="009A63AA"/>
    <w:rsid w:val="009A661C"/>
    <w:rsid w:val="009B1C54"/>
    <w:rsid w:val="009B2059"/>
    <w:rsid w:val="009B35EB"/>
    <w:rsid w:val="009B381B"/>
    <w:rsid w:val="009B3EF4"/>
    <w:rsid w:val="009C2FC5"/>
    <w:rsid w:val="009D1753"/>
    <w:rsid w:val="009D2B08"/>
    <w:rsid w:val="009D6502"/>
    <w:rsid w:val="009D7611"/>
    <w:rsid w:val="009D78A5"/>
    <w:rsid w:val="009E08DD"/>
    <w:rsid w:val="009E0B61"/>
    <w:rsid w:val="009E0FAC"/>
    <w:rsid w:val="009E53DE"/>
    <w:rsid w:val="009E7C00"/>
    <w:rsid w:val="009F4A7E"/>
    <w:rsid w:val="00A0691C"/>
    <w:rsid w:val="00A07743"/>
    <w:rsid w:val="00A11E44"/>
    <w:rsid w:val="00A12735"/>
    <w:rsid w:val="00A154C8"/>
    <w:rsid w:val="00A204E4"/>
    <w:rsid w:val="00A22397"/>
    <w:rsid w:val="00A32313"/>
    <w:rsid w:val="00A328B3"/>
    <w:rsid w:val="00A32A55"/>
    <w:rsid w:val="00A34891"/>
    <w:rsid w:val="00A36B03"/>
    <w:rsid w:val="00A50FCF"/>
    <w:rsid w:val="00A528D1"/>
    <w:rsid w:val="00A52D06"/>
    <w:rsid w:val="00A610CD"/>
    <w:rsid w:val="00A615AF"/>
    <w:rsid w:val="00A6209C"/>
    <w:rsid w:val="00A625E0"/>
    <w:rsid w:val="00A7036D"/>
    <w:rsid w:val="00A74947"/>
    <w:rsid w:val="00A758AA"/>
    <w:rsid w:val="00A87D9B"/>
    <w:rsid w:val="00A92093"/>
    <w:rsid w:val="00A92CE2"/>
    <w:rsid w:val="00A940A2"/>
    <w:rsid w:val="00A9755F"/>
    <w:rsid w:val="00A97F69"/>
    <w:rsid w:val="00AA09A2"/>
    <w:rsid w:val="00AA17A8"/>
    <w:rsid w:val="00AA3098"/>
    <w:rsid w:val="00AA7996"/>
    <w:rsid w:val="00AB623C"/>
    <w:rsid w:val="00AB6A7D"/>
    <w:rsid w:val="00AC19CB"/>
    <w:rsid w:val="00AC76E6"/>
    <w:rsid w:val="00AD1886"/>
    <w:rsid w:val="00AD77B7"/>
    <w:rsid w:val="00AE460A"/>
    <w:rsid w:val="00AE5283"/>
    <w:rsid w:val="00AE5488"/>
    <w:rsid w:val="00AE6F91"/>
    <w:rsid w:val="00AF04C4"/>
    <w:rsid w:val="00AF3E03"/>
    <w:rsid w:val="00AF5571"/>
    <w:rsid w:val="00AF638E"/>
    <w:rsid w:val="00B06B4E"/>
    <w:rsid w:val="00B07341"/>
    <w:rsid w:val="00B147AF"/>
    <w:rsid w:val="00B16779"/>
    <w:rsid w:val="00B202B5"/>
    <w:rsid w:val="00B30539"/>
    <w:rsid w:val="00B314DB"/>
    <w:rsid w:val="00B361F2"/>
    <w:rsid w:val="00B3718B"/>
    <w:rsid w:val="00B37C41"/>
    <w:rsid w:val="00B4632A"/>
    <w:rsid w:val="00B5067D"/>
    <w:rsid w:val="00B520EC"/>
    <w:rsid w:val="00B530F1"/>
    <w:rsid w:val="00B559E6"/>
    <w:rsid w:val="00B57297"/>
    <w:rsid w:val="00B61E79"/>
    <w:rsid w:val="00B6270F"/>
    <w:rsid w:val="00B736AF"/>
    <w:rsid w:val="00B742BE"/>
    <w:rsid w:val="00B84DA4"/>
    <w:rsid w:val="00B87359"/>
    <w:rsid w:val="00B92E1D"/>
    <w:rsid w:val="00B97946"/>
    <w:rsid w:val="00BA276C"/>
    <w:rsid w:val="00BA35E7"/>
    <w:rsid w:val="00BA5544"/>
    <w:rsid w:val="00BB306F"/>
    <w:rsid w:val="00BB3FBD"/>
    <w:rsid w:val="00BC6CD0"/>
    <w:rsid w:val="00BD2D0D"/>
    <w:rsid w:val="00BD2F54"/>
    <w:rsid w:val="00BD2FC0"/>
    <w:rsid w:val="00BD4B89"/>
    <w:rsid w:val="00BD5922"/>
    <w:rsid w:val="00BD76D9"/>
    <w:rsid w:val="00BF02CB"/>
    <w:rsid w:val="00BF3A48"/>
    <w:rsid w:val="00BF514A"/>
    <w:rsid w:val="00BF6FD8"/>
    <w:rsid w:val="00BF775D"/>
    <w:rsid w:val="00C03680"/>
    <w:rsid w:val="00C054DF"/>
    <w:rsid w:val="00C10AFC"/>
    <w:rsid w:val="00C12305"/>
    <w:rsid w:val="00C16670"/>
    <w:rsid w:val="00C21562"/>
    <w:rsid w:val="00C21762"/>
    <w:rsid w:val="00C21FEF"/>
    <w:rsid w:val="00C22357"/>
    <w:rsid w:val="00C24543"/>
    <w:rsid w:val="00C256A2"/>
    <w:rsid w:val="00C30BC7"/>
    <w:rsid w:val="00C35A26"/>
    <w:rsid w:val="00C36565"/>
    <w:rsid w:val="00C51515"/>
    <w:rsid w:val="00C52C1D"/>
    <w:rsid w:val="00C53910"/>
    <w:rsid w:val="00C53B88"/>
    <w:rsid w:val="00C53FEC"/>
    <w:rsid w:val="00C5660B"/>
    <w:rsid w:val="00C56854"/>
    <w:rsid w:val="00C5788A"/>
    <w:rsid w:val="00C65332"/>
    <w:rsid w:val="00C66B72"/>
    <w:rsid w:val="00C6718B"/>
    <w:rsid w:val="00C67DE9"/>
    <w:rsid w:val="00C87AC4"/>
    <w:rsid w:val="00C92A37"/>
    <w:rsid w:val="00C9567A"/>
    <w:rsid w:val="00C96199"/>
    <w:rsid w:val="00CA3B79"/>
    <w:rsid w:val="00CA48A3"/>
    <w:rsid w:val="00CA5E51"/>
    <w:rsid w:val="00CB212D"/>
    <w:rsid w:val="00CB2660"/>
    <w:rsid w:val="00CC0F1E"/>
    <w:rsid w:val="00CC5E90"/>
    <w:rsid w:val="00CD046C"/>
    <w:rsid w:val="00CD186A"/>
    <w:rsid w:val="00CD2383"/>
    <w:rsid w:val="00CE076C"/>
    <w:rsid w:val="00CE153B"/>
    <w:rsid w:val="00CE5199"/>
    <w:rsid w:val="00CE66D5"/>
    <w:rsid w:val="00CF637A"/>
    <w:rsid w:val="00D059DE"/>
    <w:rsid w:val="00D05ABD"/>
    <w:rsid w:val="00D13FCE"/>
    <w:rsid w:val="00D14A11"/>
    <w:rsid w:val="00D17E8C"/>
    <w:rsid w:val="00D20DAB"/>
    <w:rsid w:val="00D306D1"/>
    <w:rsid w:val="00D30800"/>
    <w:rsid w:val="00D34786"/>
    <w:rsid w:val="00D37735"/>
    <w:rsid w:val="00D37B49"/>
    <w:rsid w:val="00D37BFC"/>
    <w:rsid w:val="00D42822"/>
    <w:rsid w:val="00D47A8E"/>
    <w:rsid w:val="00D513AD"/>
    <w:rsid w:val="00D52D14"/>
    <w:rsid w:val="00D55256"/>
    <w:rsid w:val="00D56D93"/>
    <w:rsid w:val="00D712D3"/>
    <w:rsid w:val="00D71422"/>
    <w:rsid w:val="00D72DC6"/>
    <w:rsid w:val="00D73F5E"/>
    <w:rsid w:val="00D7554C"/>
    <w:rsid w:val="00D7558D"/>
    <w:rsid w:val="00D77503"/>
    <w:rsid w:val="00D81D92"/>
    <w:rsid w:val="00D82FD5"/>
    <w:rsid w:val="00D876F9"/>
    <w:rsid w:val="00D877B6"/>
    <w:rsid w:val="00D903F3"/>
    <w:rsid w:val="00D925D5"/>
    <w:rsid w:val="00D93A90"/>
    <w:rsid w:val="00DA7B5F"/>
    <w:rsid w:val="00DC11B8"/>
    <w:rsid w:val="00DC11E7"/>
    <w:rsid w:val="00DC7023"/>
    <w:rsid w:val="00DC769A"/>
    <w:rsid w:val="00DD061E"/>
    <w:rsid w:val="00DD35E0"/>
    <w:rsid w:val="00DD3D86"/>
    <w:rsid w:val="00DD5764"/>
    <w:rsid w:val="00DE02C3"/>
    <w:rsid w:val="00DE12F0"/>
    <w:rsid w:val="00DF0D19"/>
    <w:rsid w:val="00DF1EC4"/>
    <w:rsid w:val="00DF51E9"/>
    <w:rsid w:val="00DF6ACF"/>
    <w:rsid w:val="00E01943"/>
    <w:rsid w:val="00E02AC7"/>
    <w:rsid w:val="00E0340B"/>
    <w:rsid w:val="00E03722"/>
    <w:rsid w:val="00E04A90"/>
    <w:rsid w:val="00E0551F"/>
    <w:rsid w:val="00E219C7"/>
    <w:rsid w:val="00E26CCA"/>
    <w:rsid w:val="00E27F56"/>
    <w:rsid w:val="00E27F77"/>
    <w:rsid w:val="00E4118C"/>
    <w:rsid w:val="00E43157"/>
    <w:rsid w:val="00E461CE"/>
    <w:rsid w:val="00E46708"/>
    <w:rsid w:val="00E602C3"/>
    <w:rsid w:val="00E6309B"/>
    <w:rsid w:val="00E6388A"/>
    <w:rsid w:val="00E720CA"/>
    <w:rsid w:val="00E77603"/>
    <w:rsid w:val="00E84EB5"/>
    <w:rsid w:val="00E85662"/>
    <w:rsid w:val="00E8789F"/>
    <w:rsid w:val="00E92747"/>
    <w:rsid w:val="00E93D55"/>
    <w:rsid w:val="00E96E52"/>
    <w:rsid w:val="00E97B71"/>
    <w:rsid w:val="00EA3D34"/>
    <w:rsid w:val="00EA612F"/>
    <w:rsid w:val="00EB2FF5"/>
    <w:rsid w:val="00EB415F"/>
    <w:rsid w:val="00EB454D"/>
    <w:rsid w:val="00EB5C17"/>
    <w:rsid w:val="00EC173F"/>
    <w:rsid w:val="00EC26E9"/>
    <w:rsid w:val="00EC72AB"/>
    <w:rsid w:val="00ED2F03"/>
    <w:rsid w:val="00ED3006"/>
    <w:rsid w:val="00ED549D"/>
    <w:rsid w:val="00ED65D7"/>
    <w:rsid w:val="00ED76BE"/>
    <w:rsid w:val="00ED7F05"/>
    <w:rsid w:val="00EE00E9"/>
    <w:rsid w:val="00EE014D"/>
    <w:rsid w:val="00EE1D72"/>
    <w:rsid w:val="00EE329A"/>
    <w:rsid w:val="00EF35AB"/>
    <w:rsid w:val="00EF4C44"/>
    <w:rsid w:val="00EF5E01"/>
    <w:rsid w:val="00EF619B"/>
    <w:rsid w:val="00F00B55"/>
    <w:rsid w:val="00F02AD1"/>
    <w:rsid w:val="00F04591"/>
    <w:rsid w:val="00F06354"/>
    <w:rsid w:val="00F07FAA"/>
    <w:rsid w:val="00F1074C"/>
    <w:rsid w:val="00F156AD"/>
    <w:rsid w:val="00F253CC"/>
    <w:rsid w:val="00F332EF"/>
    <w:rsid w:val="00F338B1"/>
    <w:rsid w:val="00F37106"/>
    <w:rsid w:val="00F519CF"/>
    <w:rsid w:val="00F53168"/>
    <w:rsid w:val="00F56BA5"/>
    <w:rsid w:val="00F579DF"/>
    <w:rsid w:val="00F60E22"/>
    <w:rsid w:val="00F63B39"/>
    <w:rsid w:val="00F64565"/>
    <w:rsid w:val="00F67ED3"/>
    <w:rsid w:val="00F74EB4"/>
    <w:rsid w:val="00F77BFD"/>
    <w:rsid w:val="00F81395"/>
    <w:rsid w:val="00F81887"/>
    <w:rsid w:val="00F81BB8"/>
    <w:rsid w:val="00F917D1"/>
    <w:rsid w:val="00F9342C"/>
    <w:rsid w:val="00F94CB3"/>
    <w:rsid w:val="00F950D4"/>
    <w:rsid w:val="00F9653B"/>
    <w:rsid w:val="00FA049A"/>
    <w:rsid w:val="00FA2450"/>
    <w:rsid w:val="00FA2B75"/>
    <w:rsid w:val="00FA468C"/>
    <w:rsid w:val="00FA56EA"/>
    <w:rsid w:val="00FB62CF"/>
    <w:rsid w:val="00FC0F4A"/>
    <w:rsid w:val="00FC3330"/>
    <w:rsid w:val="00FD3C3B"/>
    <w:rsid w:val="00FE07DD"/>
    <w:rsid w:val="00FE5969"/>
    <w:rsid w:val="00FE6B45"/>
    <w:rsid w:val="00FF3D58"/>
    <w:rsid w:val="00FF55F3"/>
    <w:rsid w:val="00FF5851"/>
    <w:rsid w:val="00FF58A9"/>
    <w:rsid w:val="00FF7B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45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7603"/>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77603"/>
    <w:rPr>
      <w:u w:val="single"/>
    </w:rPr>
  </w:style>
  <w:style w:type="paragraph" w:customStyle="1" w:styleId="Cabeceraypie">
    <w:name w:val="Cabecera y pie"/>
    <w:rsid w:val="00E77603"/>
    <w:pPr>
      <w:tabs>
        <w:tab w:val="right" w:pos="9020"/>
      </w:tabs>
    </w:pPr>
    <w:rPr>
      <w:rFonts w:ascii="Helvetica" w:hAnsi="Arial Unicode MS" w:cs="Arial Unicode MS"/>
      <w:color w:val="000000"/>
      <w:sz w:val="24"/>
      <w:szCs w:val="24"/>
    </w:rPr>
  </w:style>
  <w:style w:type="paragraph" w:styleId="Footer">
    <w:name w:val="footer"/>
    <w:link w:val="FooterChar"/>
    <w:uiPriority w:val="99"/>
    <w:rsid w:val="00E77603"/>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sid w:val="00E77603"/>
    <w:rPr>
      <w:rFonts w:ascii="Cambria" w:eastAsia="Cambria" w:hAnsi="Cambria" w:cs="Cambria"/>
      <w:color w:val="000000"/>
      <w:sz w:val="24"/>
      <w:szCs w:val="24"/>
      <w:u w:color="000000"/>
    </w:rPr>
  </w:style>
  <w:style w:type="paragraph" w:styleId="BodyTextIndent">
    <w:name w:val="Body Text Indent"/>
    <w:rsid w:val="00E77603"/>
    <w:pPr>
      <w:ind w:left="2160" w:hanging="720"/>
    </w:pPr>
    <w:rPr>
      <w:rFonts w:eastAsia="Times New Roman"/>
      <w:color w:val="000000"/>
      <w:sz w:val="24"/>
      <w:szCs w:val="24"/>
      <w:u w:color="000000"/>
      <w:lang w:val="es-ES_tradnl"/>
    </w:rPr>
  </w:style>
  <w:style w:type="paragraph" w:styleId="ListParagraph">
    <w:name w:val="List Paragraph"/>
    <w:uiPriority w:val="34"/>
    <w:qFormat/>
    <w:rsid w:val="00E77603"/>
    <w:pPr>
      <w:ind w:left="720"/>
    </w:pPr>
    <w:rPr>
      <w:rFonts w:ascii="Cambria" w:eastAsia="Cambria" w:hAnsi="Cambria" w:cs="Cambria"/>
      <w:color w:val="000000"/>
      <w:sz w:val="24"/>
      <w:szCs w:val="24"/>
      <w:u w:color="000000"/>
      <w:lang w:val="en-US"/>
    </w:rPr>
  </w:style>
  <w:style w:type="numbering" w:customStyle="1" w:styleId="List0">
    <w:name w:val="List 0"/>
    <w:basedOn w:val="Estiloimportado1"/>
    <w:rsid w:val="00E77603"/>
    <w:pPr>
      <w:numPr>
        <w:numId w:val="31"/>
      </w:numPr>
    </w:pPr>
  </w:style>
  <w:style w:type="numbering" w:customStyle="1" w:styleId="Estiloimportado1">
    <w:name w:val="Estilo importado 1"/>
    <w:rsid w:val="00E77603"/>
  </w:style>
  <w:style w:type="numbering" w:customStyle="1" w:styleId="List1">
    <w:name w:val="List 1"/>
    <w:basedOn w:val="Estiloimportado2"/>
    <w:rsid w:val="00E77603"/>
    <w:pPr>
      <w:numPr>
        <w:numId w:val="1"/>
      </w:numPr>
    </w:pPr>
  </w:style>
  <w:style w:type="numbering" w:customStyle="1" w:styleId="Estiloimportado2">
    <w:name w:val="Estilo importado 2"/>
    <w:rsid w:val="00E77603"/>
  </w:style>
  <w:style w:type="numbering" w:customStyle="1" w:styleId="List210">
    <w:name w:val="List 21"/>
    <w:basedOn w:val="Estiloimportado3"/>
    <w:rsid w:val="00E77603"/>
    <w:pPr>
      <w:numPr>
        <w:numId w:val="52"/>
      </w:numPr>
    </w:pPr>
  </w:style>
  <w:style w:type="numbering" w:customStyle="1" w:styleId="Estiloimportado3">
    <w:name w:val="Estilo importado 3"/>
    <w:rsid w:val="00E77603"/>
  </w:style>
  <w:style w:type="numbering" w:customStyle="1" w:styleId="List31">
    <w:name w:val="List 31"/>
    <w:basedOn w:val="Estiloimportado4"/>
    <w:rsid w:val="00E77603"/>
    <w:pPr>
      <w:numPr>
        <w:numId w:val="51"/>
      </w:numPr>
    </w:pPr>
  </w:style>
  <w:style w:type="numbering" w:customStyle="1" w:styleId="Estiloimportado4">
    <w:name w:val="Estilo importado 4"/>
    <w:rsid w:val="00E77603"/>
  </w:style>
  <w:style w:type="numbering" w:customStyle="1" w:styleId="List41">
    <w:name w:val="List 41"/>
    <w:basedOn w:val="Estiloimportado5"/>
    <w:rsid w:val="00E77603"/>
    <w:pPr>
      <w:numPr>
        <w:numId w:val="2"/>
      </w:numPr>
    </w:pPr>
  </w:style>
  <w:style w:type="numbering" w:customStyle="1" w:styleId="Estiloimportado5">
    <w:name w:val="Estilo importado 5"/>
    <w:rsid w:val="00E77603"/>
  </w:style>
  <w:style w:type="numbering" w:customStyle="1" w:styleId="List510">
    <w:name w:val="List 51"/>
    <w:basedOn w:val="Estiloimportado6"/>
    <w:rsid w:val="00E77603"/>
    <w:pPr>
      <w:numPr>
        <w:numId w:val="54"/>
      </w:numPr>
    </w:pPr>
  </w:style>
  <w:style w:type="numbering" w:customStyle="1" w:styleId="Estiloimportado6">
    <w:name w:val="Estilo importado 6"/>
    <w:rsid w:val="00E77603"/>
  </w:style>
  <w:style w:type="numbering" w:customStyle="1" w:styleId="List6">
    <w:name w:val="List 6"/>
    <w:basedOn w:val="Estiloimportado7"/>
    <w:rsid w:val="00E77603"/>
    <w:pPr>
      <w:numPr>
        <w:numId w:val="3"/>
      </w:numPr>
    </w:pPr>
  </w:style>
  <w:style w:type="numbering" w:customStyle="1" w:styleId="Estiloimportado7">
    <w:name w:val="Estilo importado 7"/>
    <w:rsid w:val="00E77603"/>
  </w:style>
  <w:style w:type="numbering" w:customStyle="1" w:styleId="List7">
    <w:name w:val="List 7"/>
    <w:basedOn w:val="Estiloimportado8"/>
    <w:rsid w:val="00E77603"/>
    <w:pPr>
      <w:numPr>
        <w:numId w:val="4"/>
      </w:numPr>
    </w:pPr>
  </w:style>
  <w:style w:type="numbering" w:customStyle="1" w:styleId="Estiloimportado8">
    <w:name w:val="Estilo importado 8"/>
    <w:rsid w:val="00E77603"/>
  </w:style>
  <w:style w:type="numbering" w:customStyle="1" w:styleId="List8">
    <w:name w:val="List 8"/>
    <w:basedOn w:val="Estiloimportado9"/>
    <w:rsid w:val="00E77603"/>
    <w:pPr>
      <w:numPr>
        <w:numId w:val="5"/>
      </w:numPr>
    </w:pPr>
  </w:style>
  <w:style w:type="numbering" w:customStyle="1" w:styleId="Estiloimportado9">
    <w:name w:val="Estilo importado 9"/>
    <w:rsid w:val="00E77603"/>
  </w:style>
  <w:style w:type="numbering" w:customStyle="1" w:styleId="List9">
    <w:name w:val="List 9"/>
    <w:basedOn w:val="Estiloimportado10"/>
    <w:rsid w:val="00E77603"/>
    <w:pPr>
      <w:numPr>
        <w:numId w:val="22"/>
      </w:numPr>
    </w:pPr>
  </w:style>
  <w:style w:type="numbering" w:customStyle="1" w:styleId="Estiloimportado10">
    <w:name w:val="Estilo importado 10"/>
    <w:rsid w:val="00E77603"/>
  </w:style>
  <w:style w:type="numbering" w:customStyle="1" w:styleId="List10">
    <w:name w:val="List 10"/>
    <w:basedOn w:val="Estiloimportado11"/>
    <w:rsid w:val="00E77603"/>
    <w:pPr>
      <w:numPr>
        <w:numId w:val="6"/>
      </w:numPr>
    </w:pPr>
  </w:style>
  <w:style w:type="numbering" w:customStyle="1" w:styleId="Estiloimportado11">
    <w:name w:val="Estilo importado 11"/>
    <w:rsid w:val="00E77603"/>
  </w:style>
  <w:style w:type="numbering" w:customStyle="1" w:styleId="List11">
    <w:name w:val="List 11"/>
    <w:basedOn w:val="Estiloimportado12"/>
    <w:rsid w:val="00E77603"/>
    <w:pPr>
      <w:numPr>
        <w:numId w:val="7"/>
      </w:numPr>
    </w:pPr>
  </w:style>
  <w:style w:type="numbering" w:customStyle="1" w:styleId="Estiloimportado12">
    <w:name w:val="Estilo importado 12"/>
    <w:rsid w:val="00E77603"/>
  </w:style>
  <w:style w:type="numbering" w:customStyle="1" w:styleId="List12">
    <w:name w:val="List 12"/>
    <w:basedOn w:val="Estiloimportado13"/>
    <w:rsid w:val="00E77603"/>
    <w:pPr>
      <w:numPr>
        <w:numId w:val="36"/>
      </w:numPr>
    </w:pPr>
  </w:style>
  <w:style w:type="numbering" w:customStyle="1" w:styleId="Estiloimportado13">
    <w:name w:val="Estilo importado 13"/>
    <w:rsid w:val="00E77603"/>
  </w:style>
  <w:style w:type="numbering" w:customStyle="1" w:styleId="List13">
    <w:name w:val="List 13"/>
    <w:basedOn w:val="Estiloimportado14"/>
    <w:rsid w:val="00E77603"/>
    <w:pPr>
      <w:numPr>
        <w:numId w:val="42"/>
      </w:numPr>
    </w:pPr>
  </w:style>
  <w:style w:type="numbering" w:customStyle="1" w:styleId="Estiloimportado14">
    <w:name w:val="Estilo importado 14"/>
    <w:rsid w:val="00E77603"/>
  </w:style>
  <w:style w:type="numbering" w:customStyle="1" w:styleId="List14">
    <w:name w:val="List 14"/>
    <w:basedOn w:val="Estiloimportado15"/>
    <w:rsid w:val="00E77603"/>
    <w:pPr>
      <w:numPr>
        <w:numId w:val="17"/>
      </w:numPr>
    </w:pPr>
  </w:style>
  <w:style w:type="numbering" w:customStyle="1" w:styleId="Estiloimportado15">
    <w:name w:val="Estilo importado 15"/>
    <w:rsid w:val="00E77603"/>
  </w:style>
  <w:style w:type="numbering" w:customStyle="1" w:styleId="List15">
    <w:name w:val="List 15"/>
    <w:basedOn w:val="Estiloimportado16"/>
    <w:rsid w:val="00E77603"/>
    <w:pPr>
      <w:numPr>
        <w:numId w:val="16"/>
      </w:numPr>
    </w:pPr>
  </w:style>
  <w:style w:type="numbering" w:customStyle="1" w:styleId="Estiloimportado16">
    <w:name w:val="Estilo importado 16"/>
    <w:rsid w:val="00E77603"/>
  </w:style>
  <w:style w:type="numbering" w:customStyle="1" w:styleId="List16">
    <w:name w:val="List 16"/>
    <w:basedOn w:val="Estiloimportado16"/>
    <w:rsid w:val="00E77603"/>
    <w:pPr>
      <w:numPr>
        <w:numId w:val="10"/>
      </w:numPr>
    </w:pPr>
  </w:style>
  <w:style w:type="numbering" w:customStyle="1" w:styleId="List17">
    <w:name w:val="List 17"/>
    <w:basedOn w:val="Estiloimportado17"/>
    <w:rsid w:val="00E77603"/>
    <w:pPr>
      <w:numPr>
        <w:numId w:val="25"/>
      </w:numPr>
    </w:pPr>
  </w:style>
  <w:style w:type="numbering" w:customStyle="1" w:styleId="Estiloimportado17">
    <w:name w:val="Estilo importado 17"/>
    <w:rsid w:val="00E77603"/>
  </w:style>
  <w:style w:type="numbering" w:customStyle="1" w:styleId="List18">
    <w:name w:val="List 18"/>
    <w:basedOn w:val="Estiloimportado18"/>
    <w:rsid w:val="00E77603"/>
    <w:pPr>
      <w:numPr>
        <w:numId w:val="27"/>
      </w:numPr>
    </w:pPr>
  </w:style>
  <w:style w:type="numbering" w:customStyle="1" w:styleId="Estiloimportado18">
    <w:name w:val="Estilo importado 18"/>
    <w:rsid w:val="00E77603"/>
  </w:style>
  <w:style w:type="numbering" w:customStyle="1" w:styleId="List19">
    <w:name w:val="List 19"/>
    <w:basedOn w:val="Estiloimportado10"/>
    <w:rsid w:val="00E77603"/>
    <w:pPr>
      <w:numPr>
        <w:numId w:val="19"/>
      </w:numPr>
    </w:pPr>
  </w:style>
  <w:style w:type="numbering" w:customStyle="1" w:styleId="List20">
    <w:name w:val="List 20"/>
    <w:basedOn w:val="Estiloimportado12"/>
    <w:rsid w:val="00E77603"/>
    <w:pPr>
      <w:numPr>
        <w:numId w:val="43"/>
      </w:numPr>
    </w:pPr>
  </w:style>
  <w:style w:type="numbering" w:customStyle="1" w:styleId="List21">
    <w:name w:val="List 21"/>
    <w:basedOn w:val="Estiloimportado19"/>
    <w:rsid w:val="00E77603"/>
    <w:pPr>
      <w:numPr>
        <w:numId w:val="38"/>
      </w:numPr>
    </w:pPr>
  </w:style>
  <w:style w:type="numbering" w:customStyle="1" w:styleId="Estiloimportado19">
    <w:name w:val="Estilo importado 19"/>
    <w:rsid w:val="00E77603"/>
  </w:style>
  <w:style w:type="numbering" w:customStyle="1" w:styleId="List22">
    <w:name w:val="List 22"/>
    <w:basedOn w:val="Estiloimportado19"/>
    <w:rsid w:val="00E77603"/>
    <w:pPr>
      <w:numPr>
        <w:numId w:val="28"/>
      </w:numPr>
    </w:pPr>
  </w:style>
  <w:style w:type="numbering" w:customStyle="1" w:styleId="List23">
    <w:name w:val="List 23"/>
    <w:basedOn w:val="Estiloimportado19"/>
    <w:rsid w:val="00E77603"/>
    <w:pPr>
      <w:numPr>
        <w:numId w:val="18"/>
      </w:numPr>
    </w:pPr>
  </w:style>
  <w:style w:type="numbering" w:customStyle="1" w:styleId="List24">
    <w:name w:val="List 24"/>
    <w:basedOn w:val="Estiloimportado20"/>
    <w:rsid w:val="00E77603"/>
    <w:pPr>
      <w:numPr>
        <w:numId w:val="13"/>
      </w:numPr>
    </w:pPr>
  </w:style>
  <w:style w:type="numbering" w:customStyle="1" w:styleId="Estiloimportado20">
    <w:name w:val="Estilo importado 20"/>
    <w:rsid w:val="00E77603"/>
  </w:style>
  <w:style w:type="numbering" w:customStyle="1" w:styleId="List25">
    <w:name w:val="List 25"/>
    <w:basedOn w:val="Estiloimportado21"/>
    <w:rsid w:val="00E77603"/>
    <w:pPr>
      <w:numPr>
        <w:numId w:val="15"/>
      </w:numPr>
    </w:pPr>
  </w:style>
  <w:style w:type="numbering" w:customStyle="1" w:styleId="Estiloimportado21">
    <w:name w:val="Estilo importado 21"/>
    <w:rsid w:val="00E77603"/>
  </w:style>
  <w:style w:type="numbering" w:customStyle="1" w:styleId="List26">
    <w:name w:val="List 26"/>
    <w:basedOn w:val="Estiloimportado22"/>
    <w:rsid w:val="00E77603"/>
    <w:pPr>
      <w:numPr>
        <w:numId w:val="49"/>
      </w:numPr>
    </w:pPr>
  </w:style>
  <w:style w:type="numbering" w:customStyle="1" w:styleId="Estiloimportado22">
    <w:name w:val="Estilo importado 22"/>
    <w:rsid w:val="00E77603"/>
  </w:style>
  <w:style w:type="numbering" w:customStyle="1" w:styleId="List27">
    <w:name w:val="List 27"/>
    <w:basedOn w:val="Estiloimportado23"/>
    <w:rsid w:val="00E77603"/>
    <w:pPr>
      <w:numPr>
        <w:numId w:val="41"/>
      </w:numPr>
    </w:pPr>
  </w:style>
  <w:style w:type="numbering" w:customStyle="1" w:styleId="Estiloimportado23">
    <w:name w:val="Estilo importado 23"/>
    <w:rsid w:val="00E77603"/>
  </w:style>
  <w:style w:type="numbering" w:customStyle="1" w:styleId="List28">
    <w:name w:val="List 28"/>
    <w:basedOn w:val="Estiloimportado24"/>
    <w:rsid w:val="00E77603"/>
    <w:pPr>
      <w:numPr>
        <w:numId w:val="30"/>
      </w:numPr>
    </w:pPr>
  </w:style>
  <w:style w:type="numbering" w:customStyle="1" w:styleId="Estiloimportado24">
    <w:name w:val="Estilo importado 24"/>
    <w:rsid w:val="00E77603"/>
  </w:style>
  <w:style w:type="numbering" w:customStyle="1" w:styleId="List29">
    <w:name w:val="List 29"/>
    <w:basedOn w:val="Estiloimportado25"/>
    <w:rsid w:val="00E77603"/>
    <w:pPr>
      <w:numPr>
        <w:numId w:val="34"/>
      </w:numPr>
    </w:pPr>
  </w:style>
  <w:style w:type="numbering" w:customStyle="1" w:styleId="Estiloimportado25">
    <w:name w:val="Estilo importado 25"/>
    <w:rsid w:val="00E77603"/>
  </w:style>
  <w:style w:type="numbering" w:customStyle="1" w:styleId="List30">
    <w:name w:val="List 30"/>
    <w:basedOn w:val="Estiloimportado26"/>
    <w:rsid w:val="00E77603"/>
    <w:pPr>
      <w:numPr>
        <w:numId w:val="32"/>
      </w:numPr>
    </w:pPr>
  </w:style>
  <w:style w:type="numbering" w:customStyle="1" w:styleId="Estiloimportado26">
    <w:name w:val="Estilo importado 26"/>
    <w:rsid w:val="00E77603"/>
  </w:style>
  <w:style w:type="numbering" w:customStyle="1" w:styleId="List310">
    <w:name w:val="List 31"/>
    <w:basedOn w:val="Estiloimportado27"/>
    <w:rsid w:val="00E77603"/>
    <w:pPr>
      <w:numPr>
        <w:numId w:val="45"/>
      </w:numPr>
    </w:pPr>
  </w:style>
  <w:style w:type="numbering" w:customStyle="1" w:styleId="Estiloimportado27">
    <w:name w:val="Estilo importado 27"/>
    <w:rsid w:val="00E77603"/>
  </w:style>
  <w:style w:type="numbering" w:customStyle="1" w:styleId="List32">
    <w:name w:val="List 32"/>
    <w:basedOn w:val="Estiloimportado28"/>
    <w:rsid w:val="00E77603"/>
    <w:pPr>
      <w:numPr>
        <w:numId w:val="48"/>
      </w:numPr>
    </w:pPr>
  </w:style>
  <w:style w:type="numbering" w:customStyle="1" w:styleId="Estiloimportado28">
    <w:name w:val="Estilo importado 28"/>
    <w:rsid w:val="00E77603"/>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ft,C"/>
    <w:link w:val="FootnoteTextChar"/>
    <w:uiPriority w:val="99"/>
    <w:qFormat/>
    <w:rsid w:val="00E77603"/>
    <w:rPr>
      <w:rFonts w:ascii="Calibri" w:eastAsia="Calibri" w:hAnsi="Calibri" w:cs="Calibri"/>
      <w:color w:val="000000"/>
      <w:u w:color="000000"/>
      <w:lang w:val="en-US"/>
    </w:rPr>
  </w:style>
  <w:style w:type="numbering" w:customStyle="1" w:styleId="List33">
    <w:name w:val="List 33"/>
    <w:basedOn w:val="Estiloimportado29"/>
    <w:rsid w:val="00E77603"/>
    <w:pPr>
      <w:numPr>
        <w:numId w:val="26"/>
      </w:numPr>
    </w:pPr>
  </w:style>
  <w:style w:type="numbering" w:customStyle="1" w:styleId="Estiloimportado29">
    <w:name w:val="Estilo importado 29"/>
    <w:rsid w:val="00E77603"/>
  </w:style>
  <w:style w:type="numbering" w:customStyle="1" w:styleId="List34">
    <w:name w:val="List 34"/>
    <w:basedOn w:val="Estiloimportado30"/>
    <w:rsid w:val="00E77603"/>
    <w:pPr>
      <w:numPr>
        <w:numId w:val="11"/>
      </w:numPr>
    </w:pPr>
  </w:style>
  <w:style w:type="numbering" w:customStyle="1" w:styleId="Estiloimportado30">
    <w:name w:val="Estilo importado 30"/>
    <w:rsid w:val="00E77603"/>
  </w:style>
  <w:style w:type="numbering" w:customStyle="1" w:styleId="List35">
    <w:name w:val="List 35"/>
    <w:basedOn w:val="Estiloimportado31"/>
    <w:rsid w:val="00E77603"/>
    <w:pPr>
      <w:numPr>
        <w:numId w:val="8"/>
      </w:numPr>
    </w:pPr>
  </w:style>
  <w:style w:type="numbering" w:customStyle="1" w:styleId="Estiloimportado31">
    <w:name w:val="Estilo importado 31"/>
    <w:rsid w:val="00E77603"/>
  </w:style>
  <w:style w:type="numbering" w:customStyle="1" w:styleId="List36">
    <w:name w:val="List 36"/>
    <w:basedOn w:val="Estiloimportado32"/>
    <w:rsid w:val="00E77603"/>
    <w:pPr>
      <w:numPr>
        <w:numId w:val="14"/>
      </w:numPr>
    </w:pPr>
  </w:style>
  <w:style w:type="numbering" w:customStyle="1" w:styleId="Estiloimportado32">
    <w:name w:val="Estilo importado 32"/>
    <w:rsid w:val="00E77603"/>
  </w:style>
  <w:style w:type="numbering" w:customStyle="1" w:styleId="List37">
    <w:name w:val="List 37"/>
    <w:basedOn w:val="Estiloimportado33"/>
    <w:rsid w:val="00E77603"/>
    <w:pPr>
      <w:numPr>
        <w:numId w:val="47"/>
      </w:numPr>
    </w:pPr>
  </w:style>
  <w:style w:type="numbering" w:customStyle="1" w:styleId="Estiloimportado33">
    <w:name w:val="Estilo importado 33"/>
    <w:rsid w:val="00E77603"/>
  </w:style>
  <w:style w:type="numbering" w:customStyle="1" w:styleId="List38">
    <w:name w:val="List 38"/>
    <w:basedOn w:val="Estiloimportado34"/>
    <w:rsid w:val="00E77603"/>
    <w:pPr>
      <w:numPr>
        <w:numId w:val="35"/>
      </w:numPr>
    </w:pPr>
  </w:style>
  <w:style w:type="numbering" w:customStyle="1" w:styleId="Estiloimportado34">
    <w:name w:val="Estilo importado 34"/>
    <w:rsid w:val="00E77603"/>
  </w:style>
  <w:style w:type="numbering" w:customStyle="1" w:styleId="List39">
    <w:name w:val="List 39"/>
    <w:basedOn w:val="Estiloimportado35"/>
    <w:rsid w:val="00E77603"/>
    <w:pPr>
      <w:numPr>
        <w:numId w:val="46"/>
      </w:numPr>
    </w:pPr>
  </w:style>
  <w:style w:type="numbering" w:customStyle="1" w:styleId="Estiloimportado35">
    <w:name w:val="Estilo importado 35"/>
    <w:rsid w:val="00E77603"/>
  </w:style>
  <w:style w:type="numbering" w:customStyle="1" w:styleId="List40">
    <w:name w:val="List 40"/>
    <w:basedOn w:val="Estiloimportado36"/>
    <w:rsid w:val="00E77603"/>
    <w:pPr>
      <w:numPr>
        <w:numId w:val="21"/>
      </w:numPr>
    </w:pPr>
  </w:style>
  <w:style w:type="numbering" w:customStyle="1" w:styleId="Estiloimportado36">
    <w:name w:val="Estilo importado 36"/>
    <w:rsid w:val="00E77603"/>
  </w:style>
  <w:style w:type="numbering" w:customStyle="1" w:styleId="List410">
    <w:name w:val="List 41"/>
    <w:basedOn w:val="Estiloimportado37"/>
    <w:rsid w:val="00E77603"/>
    <w:pPr>
      <w:numPr>
        <w:numId w:val="44"/>
      </w:numPr>
    </w:pPr>
  </w:style>
  <w:style w:type="numbering" w:customStyle="1" w:styleId="Estiloimportado37">
    <w:name w:val="Estilo importado 37"/>
    <w:rsid w:val="00E77603"/>
  </w:style>
  <w:style w:type="numbering" w:customStyle="1" w:styleId="List42">
    <w:name w:val="List 42"/>
    <w:basedOn w:val="Estiloimportado12"/>
    <w:rsid w:val="00E77603"/>
    <w:pPr>
      <w:numPr>
        <w:numId w:val="12"/>
      </w:numPr>
    </w:pPr>
  </w:style>
  <w:style w:type="numbering" w:customStyle="1" w:styleId="List43">
    <w:name w:val="List 43"/>
    <w:basedOn w:val="Estiloimportado38"/>
    <w:rsid w:val="00E77603"/>
    <w:pPr>
      <w:numPr>
        <w:numId w:val="23"/>
      </w:numPr>
    </w:pPr>
  </w:style>
  <w:style w:type="numbering" w:customStyle="1" w:styleId="Estiloimportado38">
    <w:name w:val="Estilo importado 38"/>
    <w:rsid w:val="00E77603"/>
  </w:style>
  <w:style w:type="numbering" w:customStyle="1" w:styleId="List44">
    <w:name w:val="List 44"/>
    <w:basedOn w:val="Estiloimportado39"/>
    <w:rsid w:val="00E77603"/>
    <w:pPr>
      <w:numPr>
        <w:numId w:val="40"/>
      </w:numPr>
    </w:pPr>
  </w:style>
  <w:style w:type="numbering" w:customStyle="1" w:styleId="Estiloimportado39">
    <w:name w:val="Estilo importado 39"/>
    <w:rsid w:val="00E77603"/>
  </w:style>
  <w:style w:type="numbering" w:customStyle="1" w:styleId="List45">
    <w:name w:val="List 45"/>
    <w:basedOn w:val="Estiloimportado40"/>
    <w:rsid w:val="00E77603"/>
    <w:pPr>
      <w:numPr>
        <w:numId w:val="20"/>
      </w:numPr>
    </w:pPr>
  </w:style>
  <w:style w:type="numbering" w:customStyle="1" w:styleId="Estiloimportado40">
    <w:name w:val="Estilo importado 40"/>
    <w:rsid w:val="00E77603"/>
  </w:style>
  <w:style w:type="numbering" w:customStyle="1" w:styleId="List46">
    <w:name w:val="List 46"/>
    <w:basedOn w:val="Estiloimportado41"/>
    <w:rsid w:val="00E77603"/>
    <w:pPr>
      <w:numPr>
        <w:numId w:val="24"/>
      </w:numPr>
    </w:pPr>
  </w:style>
  <w:style w:type="numbering" w:customStyle="1" w:styleId="Estiloimportado41">
    <w:name w:val="Estilo importado 41"/>
    <w:rsid w:val="00E77603"/>
  </w:style>
  <w:style w:type="numbering" w:customStyle="1" w:styleId="List47">
    <w:name w:val="List 47"/>
    <w:basedOn w:val="Estiloimportado42"/>
    <w:rsid w:val="00E77603"/>
    <w:pPr>
      <w:numPr>
        <w:numId w:val="29"/>
      </w:numPr>
    </w:pPr>
  </w:style>
  <w:style w:type="numbering" w:customStyle="1" w:styleId="Estiloimportado42">
    <w:name w:val="Estilo importado 42"/>
    <w:rsid w:val="00E77603"/>
  </w:style>
  <w:style w:type="numbering" w:customStyle="1" w:styleId="List48">
    <w:name w:val="List 48"/>
    <w:basedOn w:val="Estiloimportado43"/>
    <w:rsid w:val="00E77603"/>
    <w:pPr>
      <w:numPr>
        <w:numId w:val="50"/>
      </w:numPr>
    </w:pPr>
  </w:style>
  <w:style w:type="numbering" w:customStyle="1" w:styleId="Estiloimportado43">
    <w:name w:val="Estilo importado 43"/>
    <w:rsid w:val="00E77603"/>
  </w:style>
  <w:style w:type="numbering" w:customStyle="1" w:styleId="List49">
    <w:name w:val="List 49"/>
    <w:basedOn w:val="Estiloimportado44"/>
    <w:rsid w:val="00E77603"/>
    <w:pPr>
      <w:numPr>
        <w:numId w:val="39"/>
      </w:numPr>
    </w:pPr>
  </w:style>
  <w:style w:type="numbering" w:customStyle="1" w:styleId="Estiloimportado44">
    <w:name w:val="Estilo importado 44"/>
    <w:rsid w:val="00E77603"/>
  </w:style>
  <w:style w:type="numbering" w:customStyle="1" w:styleId="List50">
    <w:name w:val="List 50"/>
    <w:basedOn w:val="Estiloimportado45"/>
    <w:rsid w:val="00E77603"/>
    <w:pPr>
      <w:numPr>
        <w:numId w:val="37"/>
      </w:numPr>
    </w:pPr>
  </w:style>
  <w:style w:type="numbering" w:customStyle="1" w:styleId="Estiloimportado45">
    <w:name w:val="Estilo importado 45"/>
    <w:rsid w:val="00E77603"/>
  </w:style>
  <w:style w:type="numbering" w:customStyle="1" w:styleId="List51">
    <w:name w:val="List 51"/>
    <w:basedOn w:val="Estiloimportado46"/>
    <w:rsid w:val="00E77603"/>
    <w:pPr>
      <w:numPr>
        <w:numId w:val="33"/>
      </w:numPr>
    </w:pPr>
  </w:style>
  <w:style w:type="numbering" w:customStyle="1" w:styleId="Estiloimportado46">
    <w:name w:val="Estilo importado 46"/>
    <w:rsid w:val="00E77603"/>
  </w:style>
  <w:style w:type="numbering" w:customStyle="1" w:styleId="List52">
    <w:name w:val="List 52"/>
    <w:basedOn w:val="Estiloimportado1"/>
    <w:rsid w:val="00E77603"/>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4GChar"/>
    <w:uiPriority w:val="99"/>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ft Char,C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uiPriority w:val="99"/>
    <w:rsid w:val="003B3BE3"/>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FollowedHyperlink">
    <w:name w:val="FollowedHyperlink"/>
    <w:basedOn w:val="DefaultParagraphFont"/>
    <w:uiPriority w:val="99"/>
    <w:semiHidden/>
    <w:unhideWhenUsed/>
    <w:rsid w:val="00050C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991908445">
      <w:bodyDiv w:val="1"/>
      <w:marLeft w:val="0"/>
      <w:marRight w:val="0"/>
      <w:marTop w:val="0"/>
      <w:marBottom w:val="0"/>
      <w:divBdr>
        <w:top w:val="none" w:sz="0" w:space="0" w:color="auto"/>
        <w:left w:val="none" w:sz="0" w:space="0" w:color="auto"/>
        <w:bottom w:val="none" w:sz="0" w:space="0" w:color="auto"/>
        <w:right w:val="none" w:sz="0" w:space="0" w:color="auto"/>
      </w:divBdr>
    </w:div>
    <w:div w:id="1095441018">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4E290-C17B-4CF3-B4A8-B5DF2296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4096</Words>
  <Characters>21510</Characters>
  <Application>Microsoft Office Word</Application>
  <DocSecurity>0</DocSecurity>
  <Lines>370</Lines>
  <Paragraphs>73</Paragraphs>
  <ScaleCrop>false</ScaleCrop>
  <Company/>
  <LinksUpToDate>false</LinksUpToDate>
  <CharactersWithSpaces>25533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201/20</dc:title>
  <dc:creator/>
  <cp:lastModifiedBy/>
  <cp:revision>1</cp:revision>
  <dcterms:created xsi:type="dcterms:W3CDTF">2020-08-21T13:14:00Z</dcterms:created>
  <dcterms:modified xsi:type="dcterms:W3CDTF">2020-08-21T13:40:00Z</dcterms:modified>
</cp:coreProperties>
</file>