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FD136C" w:rsidRDefault="006311DA" w:rsidP="00627C9F">
      <w:pPr>
        <w:jc w:val="both"/>
        <w:rPr>
          <w:rFonts w:asciiTheme="majorHAnsi" w:hAnsiTheme="majorHAnsi" w:cs="Univers"/>
          <w:b/>
          <w:bCs/>
          <w:sz w:val="22"/>
          <w:szCs w:val="22"/>
        </w:rPr>
      </w:pPr>
      <w:r w:rsidRPr="00FD136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D136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FD136C" w:rsidRDefault="00040C3A" w:rsidP="00040C3A">
      <w:pPr>
        <w:tabs>
          <w:tab w:val="center" w:pos="5400"/>
        </w:tabs>
        <w:suppressAutoHyphens/>
        <w:jc w:val="both"/>
        <w:rPr>
          <w:rFonts w:asciiTheme="majorHAnsi" w:hAnsiTheme="majorHAnsi"/>
          <w:sz w:val="22"/>
          <w:szCs w:val="22"/>
        </w:rPr>
      </w:pPr>
    </w:p>
    <w:p w14:paraId="513C008C" w14:textId="77777777" w:rsidR="00040C3A" w:rsidRPr="00FD136C" w:rsidRDefault="00040C3A" w:rsidP="00040C3A">
      <w:pPr>
        <w:tabs>
          <w:tab w:val="center" w:pos="5400"/>
        </w:tabs>
        <w:suppressAutoHyphens/>
        <w:jc w:val="both"/>
        <w:rPr>
          <w:rFonts w:asciiTheme="majorHAnsi" w:hAnsiTheme="majorHAnsi"/>
          <w:sz w:val="22"/>
          <w:szCs w:val="22"/>
        </w:rPr>
      </w:pPr>
    </w:p>
    <w:p w14:paraId="05EDDB39" w14:textId="77777777" w:rsidR="005128E4" w:rsidRPr="00FD136C" w:rsidRDefault="005128E4" w:rsidP="00040C3A">
      <w:pPr>
        <w:tabs>
          <w:tab w:val="center" w:pos="5400"/>
        </w:tabs>
        <w:suppressAutoHyphens/>
        <w:rPr>
          <w:rFonts w:asciiTheme="majorHAnsi" w:hAnsiTheme="majorHAnsi"/>
          <w:sz w:val="22"/>
          <w:szCs w:val="22"/>
        </w:rPr>
      </w:pPr>
    </w:p>
    <w:p w14:paraId="10FFBD73" w14:textId="77777777" w:rsidR="005128E4" w:rsidRPr="00FD136C" w:rsidRDefault="005128E4" w:rsidP="00040C3A">
      <w:pPr>
        <w:tabs>
          <w:tab w:val="center" w:pos="5400"/>
        </w:tabs>
        <w:suppressAutoHyphens/>
        <w:rPr>
          <w:rFonts w:asciiTheme="majorHAnsi" w:hAnsiTheme="majorHAnsi"/>
          <w:sz w:val="22"/>
          <w:szCs w:val="22"/>
        </w:rPr>
      </w:pPr>
    </w:p>
    <w:p w14:paraId="3E13B0E8" w14:textId="77777777" w:rsidR="005128E4" w:rsidRPr="00FD136C" w:rsidRDefault="005128E4" w:rsidP="00040C3A">
      <w:pPr>
        <w:tabs>
          <w:tab w:val="center" w:pos="5400"/>
        </w:tabs>
        <w:suppressAutoHyphens/>
        <w:rPr>
          <w:rFonts w:asciiTheme="majorHAnsi" w:hAnsiTheme="majorHAnsi"/>
          <w:sz w:val="22"/>
          <w:szCs w:val="22"/>
        </w:rPr>
      </w:pPr>
    </w:p>
    <w:p w14:paraId="14767CBD" w14:textId="77777777" w:rsidR="00040C3A" w:rsidRPr="00FD136C" w:rsidRDefault="00040C3A" w:rsidP="005128E4">
      <w:pPr>
        <w:tabs>
          <w:tab w:val="center" w:pos="5400"/>
        </w:tabs>
        <w:suppressAutoHyphens/>
        <w:jc w:val="center"/>
        <w:rPr>
          <w:rFonts w:asciiTheme="majorHAnsi" w:hAnsiTheme="majorHAnsi"/>
          <w:sz w:val="22"/>
          <w:szCs w:val="22"/>
        </w:rPr>
      </w:pPr>
    </w:p>
    <w:p w14:paraId="209C2AF0" w14:textId="77777777" w:rsidR="00040C3A" w:rsidRPr="00FD136C" w:rsidRDefault="00040C3A" w:rsidP="005128E4">
      <w:pPr>
        <w:tabs>
          <w:tab w:val="center" w:pos="5400"/>
        </w:tabs>
        <w:suppressAutoHyphens/>
        <w:jc w:val="center"/>
        <w:rPr>
          <w:rFonts w:asciiTheme="majorHAnsi" w:hAnsiTheme="majorHAnsi"/>
          <w:sz w:val="22"/>
          <w:szCs w:val="22"/>
        </w:rPr>
      </w:pPr>
    </w:p>
    <w:p w14:paraId="22280F95" w14:textId="77777777" w:rsidR="005B52B0" w:rsidRPr="00FD136C" w:rsidRDefault="005B52B0" w:rsidP="005128E4">
      <w:pPr>
        <w:tabs>
          <w:tab w:val="center" w:pos="5400"/>
        </w:tabs>
        <w:suppressAutoHyphens/>
        <w:jc w:val="center"/>
        <w:rPr>
          <w:rFonts w:asciiTheme="majorHAnsi" w:hAnsiTheme="majorHAnsi"/>
          <w:sz w:val="22"/>
          <w:szCs w:val="22"/>
        </w:rPr>
      </w:pPr>
    </w:p>
    <w:p w14:paraId="75EA8B29" w14:textId="77777777" w:rsidR="005B52B0" w:rsidRPr="00FD136C" w:rsidRDefault="005B52B0" w:rsidP="005128E4">
      <w:pPr>
        <w:tabs>
          <w:tab w:val="center" w:pos="5400"/>
        </w:tabs>
        <w:suppressAutoHyphens/>
        <w:jc w:val="center"/>
        <w:rPr>
          <w:rFonts w:asciiTheme="majorHAnsi" w:hAnsiTheme="majorHAnsi"/>
          <w:sz w:val="22"/>
          <w:szCs w:val="22"/>
        </w:rPr>
      </w:pPr>
    </w:p>
    <w:p w14:paraId="41E9A166" w14:textId="77777777" w:rsidR="005B52B0" w:rsidRPr="00FD136C" w:rsidRDefault="005B52B0" w:rsidP="005128E4">
      <w:pPr>
        <w:tabs>
          <w:tab w:val="center" w:pos="5400"/>
        </w:tabs>
        <w:suppressAutoHyphens/>
        <w:jc w:val="center"/>
        <w:rPr>
          <w:rFonts w:asciiTheme="majorHAnsi" w:hAnsiTheme="majorHAnsi"/>
          <w:sz w:val="22"/>
          <w:szCs w:val="22"/>
        </w:rPr>
      </w:pPr>
    </w:p>
    <w:p w14:paraId="3AE1A97C" w14:textId="77777777" w:rsidR="00040C3A" w:rsidRPr="00FD136C" w:rsidRDefault="00040C3A" w:rsidP="00040C3A">
      <w:pPr>
        <w:tabs>
          <w:tab w:val="center" w:pos="5400"/>
        </w:tabs>
        <w:suppressAutoHyphens/>
        <w:jc w:val="center"/>
        <w:rPr>
          <w:rFonts w:asciiTheme="majorHAnsi" w:hAnsiTheme="majorHAnsi"/>
          <w:sz w:val="22"/>
          <w:szCs w:val="22"/>
        </w:rPr>
      </w:pPr>
    </w:p>
    <w:p w14:paraId="7E2FD54E" w14:textId="77777777" w:rsidR="00040C3A" w:rsidRPr="00FD136C" w:rsidRDefault="00040C3A" w:rsidP="00040C3A">
      <w:pPr>
        <w:tabs>
          <w:tab w:val="center" w:pos="5400"/>
        </w:tabs>
        <w:suppressAutoHyphens/>
        <w:jc w:val="center"/>
        <w:rPr>
          <w:rFonts w:asciiTheme="majorHAnsi" w:hAnsiTheme="majorHAnsi"/>
          <w:sz w:val="22"/>
          <w:szCs w:val="22"/>
        </w:rPr>
      </w:pPr>
    </w:p>
    <w:p w14:paraId="0C171AAF" w14:textId="77777777" w:rsidR="00040C3A" w:rsidRPr="00FD136C" w:rsidRDefault="00040C3A" w:rsidP="00040C3A">
      <w:pPr>
        <w:tabs>
          <w:tab w:val="center" w:pos="5400"/>
        </w:tabs>
        <w:suppressAutoHyphens/>
        <w:jc w:val="center"/>
        <w:rPr>
          <w:rFonts w:asciiTheme="majorHAnsi" w:hAnsiTheme="majorHAnsi"/>
          <w:sz w:val="22"/>
          <w:szCs w:val="22"/>
        </w:rPr>
      </w:pPr>
    </w:p>
    <w:p w14:paraId="6D675D19" w14:textId="77777777" w:rsidR="00040C3A" w:rsidRPr="00FD136C" w:rsidRDefault="00E533FF" w:rsidP="00040C3A">
      <w:pPr>
        <w:tabs>
          <w:tab w:val="center" w:pos="5400"/>
        </w:tabs>
        <w:suppressAutoHyphens/>
        <w:jc w:val="center"/>
        <w:rPr>
          <w:rFonts w:asciiTheme="majorHAnsi" w:hAnsiTheme="majorHAnsi"/>
          <w:sz w:val="22"/>
          <w:szCs w:val="22"/>
        </w:rPr>
      </w:pPr>
      <w:r w:rsidRPr="00FD136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3212D88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05DB3">
                              <w:rPr>
                                <w:rFonts w:asciiTheme="majorHAnsi" w:hAnsiTheme="majorHAnsi" w:cs="Arial"/>
                                <w:b/>
                                <w:bCs/>
                                <w:color w:val="0D0D0D" w:themeColor="text1" w:themeTint="F2"/>
                                <w:sz w:val="36"/>
                                <w:szCs w:val="40"/>
                              </w:rPr>
                              <w:t>178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086FA69"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992378">
                              <w:rPr>
                                <w:rFonts w:asciiTheme="majorHAnsi" w:hAnsiTheme="majorHAnsi" w:cs="Arial"/>
                                <w:b/>
                                <w:bCs/>
                                <w:color w:val="0D0D0D" w:themeColor="text1" w:themeTint="F2"/>
                                <w:sz w:val="36"/>
                                <w:szCs w:val="40"/>
                              </w:rPr>
                              <w:t>668</w:t>
                            </w:r>
                            <w:r>
                              <w:rPr>
                                <w:rFonts w:asciiTheme="majorHAnsi" w:hAnsiTheme="majorHAnsi" w:cs="Arial"/>
                                <w:b/>
                                <w:bCs/>
                                <w:color w:val="0D0D0D" w:themeColor="text1" w:themeTint="F2"/>
                                <w:sz w:val="36"/>
                                <w:szCs w:val="40"/>
                              </w:rPr>
                              <w:t>-</w:t>
                            </w:r>
                            <w:r w:rsidR="00992378">
                              <w:rPr>
                                <w:rFonts w:asciiTheme="majorHAnsi" w:hAnsiTheme="majorHAnsi" w:cs="Arial"/>
                                <w:b/>
                                <w:bCs/>
                                <w:color w:val="0D0D0D" w:themeColor="text1" w:themeTint="F2"/>
                                <w:sz w:val="36"/>
                                <w:szCs w:val="40"/>
                              </w:rPr>
                              <w:t>09</w:t>
                            </w:r>
                          </w:p>
                          <w:p w14:paraId="51480B27" w14:textId="35418176"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BC9D626" w:rsidR="00261E08" w:rsidRPr="00992378" w:rsidRDefault="00992378"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92378">
                              <w:rPr>
                                <w:rFonts w:ascii="Cambria" w:hAnsi="Cambria" w:cs="Arial"/>
                                <w:color w:val="0D0D0D"/>
                                <w:szCs w:val="22"/>
                                <w:lang w:val="es-ES"/>
                              </w:rPr>
                              <w:t xml:space="preserve">DAVID NAZARENO CORONEL </w:t>
                            </w:r>
                            <w:r w:rsidRPr="00992378">
                              <w:rPr>
                                <w:rFonts w:ascii="Cambria" w:hAnsi="Cambria" w:cs="Arial"/>
                                <w:i/>
                                <w:iCs/>
                                <w:color w:val="0D0D0D"/>
                                <w:szCs w:val="22"/>
                                <w:lang w:val="es-ES"/>
                              </w:rPr>
                              <w:t>ET AL.</w:t>
                            </w:r>
                            <w:r w:rsidR="00261E08" w:rsidRPr="00992378">
                              <w:rPr>
                                <w:rFonts w:ascii="Cambria" w:hAnsi="Cambria" w:cs="Arial"/>
                                <w:color w:val="0D0D0D"/>
                                <w:szCs w:val="22"/>
                                <w:lang w:val="es-ES"/>
                              </w:rPr>
                              <w:t xml:space="preserve"> </w:t>
                            </w:r>
                          </w:p>
                          <w:p w14:paraId="67476ECA" w14:textId="331DC5DA" w:rsidR="005B52B0" w:rsidRPr="000C4365" w:rsidRDefault="00992378" w:rsidP="00261E08">
                            <w:pPr>
                              <w:spacing w:line="276" w:lineRule="auto"/>
                              <w:rPr>
                                <w:rFonts w:asciiTheme="majorHAnsi" w:hAnsiTheme="majorHAnsi"/>
                                <w:color w:val="0D0D0D" w:themeColor="text1" w:themeTint="F2"/>
                              </w:rPr>
                            </w:pPr>
                            <w:r>
                              <w:rPr>
                                <w:rFonts w:ascii="Cambria" w:hAnsi="Cambria" w:cs="Arial"/>
                                <w:color w:val="0D0D0D"/>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3212D88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05DB3">
                        <w:rPr>
                          <w:rFonts w:asciiTheme="majorHAnsi" w:hAnsiTheme="majorHAnsi" w:cs="Arial"/>
                          <w:b/>
                          <w:bCs/>
                          <w:color w:val="0D0D0D" w:themeColor="text1" w:themeTint="F2"/>
                          <w:sz w:val="36"/>
                          <w:szCs w:val="40"/>
                        </w:rPr>
                        <w:t>178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086FA69"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992378">
                        <w:rPr>
                          <w:rFonts w:asciiTheme="majorHAnsi" w:hAnsiTheme="majorHAnsi" w:cs="Arial"/>
                          <w:b/>
                          <w:bCs/>
                          <w:color w:val="0D0D0D" w:themeColor="text1" w:themeTint="F2"/>
                          <w:sz w:val="36"/>
                          <w:szCs w:val="40"/>
                        </w:rPr>
                        <w:t>668</w:t>
                      </w:r>
                      <w:r>
                        <w:rPr>
                          <w:rFonts w:asciiTheme="majorHAnsi" w:hAnsiTheme="majorHAnsi" w:cs="Arial"/>
                          <w:b/>
                          <w:bCs/>
                          <w:color w:val="0D0D0D" w:themeColor="text1" w:themeTint="F2"/>
                          <w:sz w:val="36"/>
                          <w:szCs w:val="40"/>
                        </w:rPr>
                        <w:t>-</w:t>
                      </w:r>
                      <w:r w:rsidR="00992378">
                        <w:rPr>
                          <w:rFonts w:asciiTheme="majorHAnsi" w:hAnsiTheme="majorHAnsi" w:cs="Arial"/>
                          <w:b/>
                          <w:bCs/>
                          <w:color w:val="0D0D0D" w:themeColor="text1" w:themeTint="F2"/>
                          <w:sz w:val="36"/>
                          <w:szCs w:val="40"/>
                        </w:rPr>
                        <w:t>09</w:t>
                      </w:r>
                    </w:p>
                    <w:p w14:paraId="51480B27" w14:textId="35418176"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BC9D626" w:rsidR="00261E08" w:rsidRPr="00992378" w:rsidRDefault="00992378"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92378">
                        <w:rPr>
                          <w:rFonts w:ascii="Cambria" w:hAnsi="Cambria" w:cs="Arial"/>
                          <w:color w:val="0D0D0D"/>
                          <w:szCs w:val="22"/>
                          <w:lang w:val="es-ES"/>
                        </w:rPr>
                        <w:t xml:space="preserve">DAVID NAZARENO CORONEL </w:t>
                      </w:r>
                      <w:r w:rsidRPr="00992378">
                        <w:rPr>
                          <w:rFonts w:ascii="Cambria" w:hAnsi="Cambria" w:cs="Arial"/>
                          <w:i/>
                          <w:iCs/>
                          <w:color w:val="0D0D0D"/>
                          <w:szCs w:val="22"/>
                          <w:lang w:val="es-ES"/>
                        </w:rPr>
                        <w:t>ET AL.</w:t>
                      </w:r>
                      <w:r w:rsidR="00261E08" w:rsidRPr="00992378">
                        <w:rPr>
                          <w:rFonts w:ascii="Cambria" w:hAnsi="Cambria" w:cs="Arial"/>
                          <w:color w:val="0D0D0D"/>
                          <w:szCs w:val="22"/>
                          <w:lang w:val="es-ES"/>
                        </w:rPr>
                        <w:t xml:space="preserve"> </w:t>
                      </w:r>
                    </w:p>
                    <w:p w14:paraId="67476ECA" w14:textId="331DC5DA" w:rsidR="005B52B0" w:rsidRPr="000C4365" w:rsidRDefault="00992378" w:rsidP="00261E08">
                      <w:pPr>
                        <w:spacing w:line="276" w:lineRule="auto"/>
                        <w:rPr>
                          <w:rFonts w:asciiTheme="majorHAnsi" w:hAnsiTheme="majorHAnsi"/>
                          <w:color w:val="0D0D0D" w:themeColor="text1" w:themeTint="F2"/>
                        </w:rPr>
                      </w:pPr>
                      <w:r>
                        <w:rPr>
                          <w:rFonts w:ascii="Cambria" w:hAnsi="Cambria" w:cs="Arial"/>
                          <w:color w:val="0D0D0D"/>
                          <w:szCs w:val="22"/>
                        </w:rPr>
                        <w:t>ARGENTINA</w:t>
                      </w:r>
                    </w:p>
                  </w:txbxContent>
                </v:textbox>
              </v:shape>
            </w:pict>
          </mc:Fallback>
        </mc:AlternateContent>
      </w:r>
      <w:r w:rsidR="004B7EB6" w:rsidRPr="00FD136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4C07D32B" w:rsidR="00627C9F" w:rsidRPr="00572527" w:rsidRDefault="009E566A" w:rsidP="009E566A">
                            <w:pPr>
                              <w:jc w:val="right"/>
                              <w:rPr>
                                <w:rFonts w:asciiTheme="minorHAnsi" w:hAnsiTheme="minorHAnsi"/>
                                <w:color w:val="FFFFFF" w:themeColor="background1"/>
                                <w:sz w:val="22"/>
                                <w:lang w:val="es-US"/>
                              </w:rPr>
                            </w:pPr>
                            <w:r w:rsidRPr="00572527">
                              <w:rPr>
                                <w:rFonts w:asciiTheme="minorHAnsi" w:hAnsiTheme="minorHAnsi"/>
                                <w:color w:val="FFFFFF" w:themeColor="background1"/>
                                <w:sz w:val="22"/>
                                <w:lang w:val="es-US"/>
                              </w:rPr>
                              <w:t>OEA/Ser.L/V/II.</w:t>
                            </w:r>
                            <w:r w:rsidR="002F2697" w:rsidRPr="00572527">
                              <w:rPr>
                                <w:rFonts w:asciiTheme="minorHAnsi" w:hAnsiTheme="minorHAnsi"/>
                                <w:color w:val="FFFFFF" w:themeColor="background1"/>
                                <w:sz w:val="22"/>
                                <w:lang w:val="es-US"/>
                              </w:rPr>
                              <w:t xml:space="preserve"> </w:t>
                            </w:r>
                          </w:p>
                          <w:p w14:paraId="2B86BB36" w14:textId="0647A947" w:rsidR="00627C9F" w:rsidRPr="00B05DB3" w:rsidRDefault="00CA6577" w:rsidP="009E566A">
                            <w:pPr>
                              <w:jc w:val="right"/>
                              <w:rPr>
                                <w:rFonts w:asciiTheme="minorHAnsi" w:hAnsiTheme="minorHAnsi"/>
                                <w:color w:val="FFFFFF" w:themeColor="background1"/>
                                <w:sz w:val="22"/>
                              </w:rPr>
                            </w:pPr>
                            <w:r w:rsidRPr="00B05DB3">
                              <w:rPr>
                                <w:rFonts w:asciiTheme="minorHAnsi" w:hAnsiTheme="minorHAnsi"/>
                                <w:color w:val="FFFFFF" w:themeColor="background1"/>
                                <w:sz w:val="22"/>
                              </w:rPr>
                              <w:t xml:space="preserve">Doc. </w:t>
                            </w:r>
                            <w:r w:rsidR="00B05DB3" w:rsidRPr="00B05DB3">
                              <w:rPr>
                                <w:rFonts w:asciiTheme="minorHAnsi" w:hAnsiTheme="minorHAnsi"/>
                                <w:color w:val="FFFFFF" w:themeColor="background1"/>
                                <w:sz w:val="22"/>
                              </w:rPr>
                              <w:t>1</w:t>
                            </w:r>
                            <w:r w:rsidR="00B05DB3">
                              <w:rPr>
                                <w:rFonts w:asciiTheme="minorHAnsi" w:hAnsiTheme="minorHAnsi"/>
                                <w:color w:val="FFFFFF" w:themeColor="background1"/>
                                <w:sz w:val="22"/>
                              </w:rPr>
                              <w:t>88</w:t>
                            </w:r>
                          </w:p>
                          <w:p w14:paraId="6AC8D657" w14:textId="4F46AE45" w:rsidR="00627C9F" w:rsidRPr="00B05DB3" w:rsidRDefault="00022CF5" w:rsidP="009E566A">
                            <w:pPr>
                              <w:jc w:val="right"/>
                              <w:rPr>
                                <w:rFonts w:asciiTheme="minorHAnsi" w:hAnsiTheme="minorHAnsi"/>
                                <w:color w:val="FFFFFF" w:themeColor="background1"/>
                                <w:sz w:val="22"/>
                              </w:rPr>
                            </w:pPr>
                            <w:r w:rsidRPr="00B05DB3">
                              <w:rPr>
                                <w:rFonts w:asciiTheme="minorHAnsi" w:hAnsiTheme="minorHAnsi"/>
                                <w:color w:val="FFFFFF" w:themeColor="background1"/>
                                <w:sz w:val="22"/>
                              </w:rPr>
                              <w:t xml:space="preserve"> </w:t>
                            </w:r>
                            <w:r w:rsidR="00B05DB3">
                              <w:rPr>
                                <w:rFonts w:asciiTheme="minorHAnsi" w:hAnsiTheme="minorHAnsi"/>
                                <w:color w:val="FFFFFF" w:themeColor="background1"/>
                                <w:sz w:val="22"/>
                              </w:rPr>
                              <w:t>7 July</w:t>
                            </w:r>
                            <w:r w:rsidR="000C4365" w:rsidRPr="00B05DB3">
                              <w:rPr>
                                <w:rFonts w:asciiTheme="minorHAnsi" w:hAnsiTheme="minorHAnsi"/>
                                <w:color w:val="FFFFFF" w:themeColor="background1"/>
                                <w:sz w:val="22"/>
                              </w:rPr>
                              <w:t xml:space="preserve"> </w:t>
                            </w:r>
                            <w:r w:rsidR="002F2697" w:rsidRPr="00B05DB3">
                              <w:rPr>
                                <w:rFonts w:asciiTheme="minorHAnsi" w:hAnsiTheme="minorHAnsi"/>
                                <w:color w:val="FFFFFF" w:themeColor="background1"/>
                                <w:sz w:val="22"/>
                              </w:rPr>
                              <w:t>2020</w:t>
                            </w:r>
                          </w:p>
                          <w:p w14:paraId="35D3ABA3" w14:textId="4D5A616E" w:rsidR="00627C9F" w:rsidRPr="00B05DB3" w:rsidRDefault="00627C9F" w:rsidP="009E566A">
                            <w:pPr>
                              <w:jc w:val="right"/>
                              <w:rPr>
                                <w:rFonts w:asciiTheme="minorHAnsi" w:hAnsiTheme="minorHAnsi"/>
                                <w:color w:val="FFFFFF" w:themeColor="background1"/>
                                <w:sz w:val="22"/>
                              </w:rPr>
                            </w:pPr>
                            <w:r w:rsidRPr="00B05DB3">
                              <w:rPr>
                                <w:rFonts w:asciiTheme="minorHAnsi" w:hAnsiTheme="minorHAnsi"/>
                                <w:color w:val="FFFFFF" w:themeColor="background1"/>
                                <w:sz w:val="22"/>
                              </w:rPr>
                              <w:t>Original:</w:t>
                            </w:r>
                            <w:r w:rsidR="002C1641" w:rsidRPr="00B05DB3">
                              <w:rPr>
                                <w:rFonts w:asciiTheme="minorHAnsi" w:hAnsiTheme="minorHAnsi"/>
                                <w:color w:val="FFFFFF" w:themeColor="background1"/>
                                <w:sz w:val="22"/>
                              </w:rPr>
                              <w:t xml:space="preserve"> </w:t>
                            </w:r>
                            <w:r w:rsidR="00F42B71" w:rsidRPr="00B05DB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4C07D32B" w:rsidR="00627C9F" w:rsidRPr="00B05DB3" w:rsidRDefault="009E566A" w:rsidP="009E566A">
                      <w:pPr>
                        <w:jc w:val="right"/>
                        <w:rPr>
                          <w:rFonts w:asciiTheme="minorHAnsi" w:hAnsiTheme="minorHAnsi"/>
                          <w:color w:val="FFFFFF" w:themeColor="background1"/>
                          <w:sz w:val="22"/>
                        </w:rPr>
                      </w:pPr>
                      <w:r w:rsidRPr="00B05DB3">
                        <w:rPr>
                          <w:rFonts w:asciiTheme="minorHAnsi" w:hAnsiTheme="minorHAnsi"/>
                          <w:color w:val="FFFFFF" w:themeColor="background1"/>
                          <w:sz w:val="22"/>
                        </w:rPr>
                        <w:t>OEA/</w:t>
                      </w:r>
                      <w:proofErr w:type="spellStart"/>
                      <w:r w:rsidRPr="00B05DB3">
                        <w:rPr>
                          <w:rFonts w:asciiTheme="minorHAnsi" w:hAnsiTheme="minorHAnsi"/>
                          <w:color w:val="FFFFFF" w:themeColor="background1"/>
                          <w:sz w:val="22"/>
                        </w:rPr>
                        <w:t>Ser.L</w:t>
                      </w:r>
                      <w:proofErr w:type="spellEnd"/>
                      <w:r w:rsidRPr="00B05DB3">
                        <w:rPr>
                          <w:rFonts w:asciiTheme="minorHAnsi" w:hAnsiTheme="minorHAnsi"/>
                          <w:color w:val="FFFFFF" w:themeColor="background1"/>
                          <w:sz w:val="22"/>
                        </w:rPr>
                        <w:t>/V/II.</w:t>
                      </w:r>
                      <w:r w:rsidR="002F2697" w:rsidRPr="00B05DB3">
                        <w:rPr>
                          <w:rFonts w:asciiTheme="minorHAnsi" w:hAnsiTheme="minorHAnsi"/>
                          <w:color w:val="FFFFFF" w:themeColor="background1"/>
                          <w:sz w:val="22"/>
                        </w:rPr>
                        <w:t xml:space="preserve"> </w:t>
                      </w:r>
                    </w:p>
                    <w:p w14:paraId="2B86BB36" w14:textId="0647A947" w:rsidR="00627C9F" w:rsidRPr="00B05DB3" w:rsidRDefault="00CA6577" w:rsidP="009E566A">
                      <w:pPr>
                        <w:jc w:val="right"/>
                        <w:rPr>
                          <w:rFonts w:asciiTheme="minorHAnsi" w:hAnsiTheme="minorHAnsi"/>
                          <w:color w:val="FFFFFF" w:themeColor="background1"/>
                          <w:sz w:val="22"/>
                        </w:rPr>
                      </w:pPr>
                      <w:r w:rsidRPr="00B05DB3">
                        <w:rPr>
                          <w:rFonts w:asciiTheme="minorHAnsi" w:hAnsiTheme="minorHAnsi"/>
                          <w:color w:val="FFFFFF" w:themeColor="background1"/>
                          <w:sz w:val="22"/>
                        </w:rPr>
                        <w:t xml:space="preserve">Doc. </w:t>
                      </w:r>
                      <w:r w:rsidR="00B05DB3" w:rsidRPr="00B05DB3">
                        <w:rPr>
                          <w:rFonts w:asciiTheme="minorHAnsi" w:hAnsiTheme="minorHAnsi"/>
                          <w:color w:val="FFFFFF" w:themeColor="background1"/>
                          <w:sz w:val="22"/>
                        </w:rPr>
                        <w:t>1</w:t>
                      </w:r>
                      <w:r w:rsidR="00B05DB3">
                        <w:rPr>
                          <w:rFonts w:asciiTheme="minorHAnsi" w:hAnsiTheme="minorHAnsi"/>
                          <w:color w:val="FFFFFF" w:themeColor="background1"/>
                          <w:sz w:val="22"/>
                        </w:rPr>
                        <w:t>88</w:t>
                      </w:r>
                    </w:p>
                    <w:p w14:paraId="6AC8D657" w14:textId="4F46AE45" w:rsidR="00627C9F" w:rsidRPr="00B05DB3" w:rsidRDefault="00022CF5" w:rsidP="009E566A">
                      <w:pPr>
                        <w:jc w:val="right"/>
                        <w:rPr>
                          <w:rFonts w:asciiTheme="minorHAnsi" w:hAnsiTheme="minorHAnsi"/>
                          <w:color w:val="FFFFFF" w:themeColor="background1"/>
                          <w:sz w:val="22"/>
                        </w:rPr>
                      </w:pPr>
                      <w:r w:rsidRPr="00B05DB3">
                        <w:rPr>
                          <w:rFonts w:asciiTheme="minorHAnsi" w:hAnsiTheme="minorHAnsi"/>
                          <w:color w:val="FFFFFF" w:themeColor="background1"/>
                          <w:sz w:val="22"/>
                        </w:rPr>
                        <w:t xml:space="preserve"> </w:t>
                      </w:r>
                      <w:r w:rsidR="00B05DB3">
                        <w:rPr>
                          <w:rFonts w:asciiTheme="minorHAnsi" w:hAnsiTheme="minorHAnsi"/>
                          <w:color w:val="FFFFFF" w:themeColor="background1"/>
                          <w:sz w:val="22"/>
                        </w:rPr>
                        <w:t>7 July</w:t>
                      </w:r>
                      <w:r w:rsidR="000C4365" w:rsidRPr="00B05DB3">
                        <w:rPr>
                          <w:rFonts w:asciiTheme="minorHAnsi" w:hAnsiTheme="minorHAnsi"/>
                          <w:color w:val="FFFFFF" w:themeColor="background1"/>
                          <w:sz w:val="22"/>
                        </w:rPr>
                        <w:t xml:space="preserve"> </w:t>
                      </w:r>
                      <w:r w:rsidR="002F2697" w:rsidRPr="00B05DB3">
                        <w:rPr>
                          <w:rFonts w:asciiTheme="minorHAnsi" w:hAnsiTheme="minorHAnsi"/>
                          <w:color w:val="FFFFFF" w:themeColor="background1"/>
                          <w:sz w:val="22"/>
                        </w:rPr>
                        <w:t>2020</w:t>
                      </w:r>
                    </w:p>
                    <w:p w14:paraId="35D3ABA3" w14:textId="4D5A616E" w:rsidR="00627C9F" w:rsidRPr="00B05DB3" w:rsidRDefault="00627C9F" w:rsidP="009E566A">
                      <w:pPr>
                        <w:jc w:val="right"/>
                        <w:rPr>
                          <w:rFonts w:asciiTheme="minorHAnsi" w:hAnsiTheme="minorHAnsi"/>
                          <w:color w:val="FFFFFF" w:themeColor="background1"/>
                          <w:sz w:val="22"/>
                        </w:rPr>
                      </w:pPr>
                      <w:r w:rsidRPr="00B05DB3">
                        <w:rPr>
                          <w:rFonts w:asciiTheme="minorHAnsi" w:hAnsiTheme="minorHAnsi"/>
                          <w:color w:val="FFFFFF" w:themeColor="background1"/>
                          <w:sz w:val="22"/>
                        </w:rPr>
                        <w:t>Original:</w:t>
                      </w:r>
                      <w:r w:rsidR="002C1641" w:rsidRPr="00B05DB3">
                        <w:rPr>
                          <w:rFonts w:asciiTheme="minorHAnsi" w:hAnsiTheme="minorHAnsi"/>
                          <w:color w:val="FFFFFF" w:themeColor="background1"/>
                          <w:sz w:val="22"/>
                        </w:rPr>
                        <w:t xml:space="preserve"> </w:t>
                      </w:r>
                      <w:r w:rsidR="00F42B71" w:rsidRPr="00B05DB3">
                        <w:rPr>
                          <w:rFonts w:asciiTheme="minorHAnsi" w:hAnsiTheme="minorHAnsi"/>
                          <w:color w:val="FFFFFF" w:themeColor="background1"/>
                          <w:sz w:val="22"/>
                        </w:rPr>
                        <w:t>Spanish</w:t>
                      </w:r>
                    </w:p>
                  </w:txbxContent>
                </v:textbox>
              </v:shape>
            </w:pict>
          </mc:Fallback>
        </mc:AlternateContent>
      </w:r>
    </w:p>
    <w:p w14:paraId="316B8AC2" w14:textId="77777777" w:rsidR="00040C3A" w:rsidRPr="00FD136C" w:rsidRDefault="00040C3A" w:rsidP="00040C3A">
      <w:pPr>
        <w:tabs>
          <w:tab w:val="center" w:pos="5400"/>
        </w:tabs>
        <w:suppressAutoHyphens/>
        <w:jc w:val="center"/>
        <w:rPr>
          <w:rFonts w:asciiTheme="majorHAnsi" w:hAnsiTheme="majorHAnsi"/>
          <w:sz w:val="22"/>
          <w:szCs w:val="22"/>
        </w:rPr>
      </w:pPr>
    </w:p>
    <w:p w14:paraId="05B705ED" w14:textId="77777777" w:rsidR="00040C3A" w:rsidRPr="00FD136C" w:rsidRDefault="00040C3A" w:rsidP="00040C3A">
      <w:pPr>
        <w:tabs>
          <w:tab w:val="center" w:pos="5400"/>
        </w:tabs>
        <w:suppressAutoHyphens/>
        <w:jc w:val="center"/>
        <w:rPr>
          <w:rFonts w:asciiTheme="majorHAnsi" w:hAnsiTheme="majorHAnsi" w:cs="Arial"/>
          <w:sz w:val="22"/>
          <w:szCs w:val="22"/>
        </w:rPr>
      </w:pPr>
    </w:p>
    <w:p w14:paraId="596B1995" w14:textId="77777777" w:rsidR="00040C3A" w:rsidRPr="00FD136C" w:rsidRDefault="00040C3A" w:rsidP="00040C3A">
      <w:pPr>
        <w:tabs>
          <w:tab w:val="center" w:pos="5400"/>
        </w:tabs>
        <w:suppressAutoHyphens/>
        <w:jc w:val="center"/>
        <w:rPr>
          <w:rFonts w:asciiTheme="majorHAnsi" w:hAnsiTheme="majorHAnsi"/>
          <w:sz w:val="22"/>
          <w:szCs w:val="22"/>
        </w:rPr>
      </w:pPr>
    </w:p>
    <w:p w14:paraId="7CC143B7" w14:textId="77777777" w:rsidR="00040C3A" w:rsidRPr="00FD136C" w:rsidRDefault="00040C3A" w:rsidP="00040C3A">
      <w:pPr>
        <w:tabs>
          <w:tab w:val="center" w:pos="5400"/>
        </w:tabs>
        <w:suppressAutoHyphens/>
        <w:jc w:val="center"/>
        <w:rPr>
          <w:rFonts w:asciiTheme="majorHAnsi" w:hAnsiTheme="majorHAnsi"/>
          <w:sz w:val="22"/>
          <w:szCs w:val="22"/>
        </w:rPr>
      </w:pPr>
    </w:p>
    <w:p w14:paraId="1D4FB47A" w14:textId="77777777" w:rsidR="00040C3A" w:rsidRPr="00FD136C" w:rsidRDefault="00040C3A" w:rsidP="00040C3A">
      <w:pPr>
        <w:tabs>
          <w:tab w:val="center" w:pos="5400"/>
        </w:tabs>
        <w:suppressAutoHyphens/>
        <w:jc w:val="center"/>
        <w:rPr>
          <w:rFonts w:asciiTheme="majorHAnsi" w:hAnsiTheme="majorHAnsi"/>
          <w:sz w:val="22"/>
          <w:szCs w:val="22"/>
        </w:rPr>
      </w:pPr>
    </w:p>
    <w:p w14:paraId="15CB5C81" w14:textId="77777777" w:rsidR="00040C3A" w:rsidRPr="00FD136C" w:rsidRDefault="00040C3A" w:rsidP="00040C3A">
      <w:pPr>
        <w:tabs>
          <w:tab w:val="center" w:pos="5400"/>
        </w:tabs>
        <w:suppressAutoHyphens/>
        <w:jc w:val="center"/>
        <w:rPr>
          <w:rFonts w:asciiTheme="majorHAnsi" w:hAnsiTheme="majorHAnsi"/>
          <w:sz w:val="22"/>
          <w:szCs w:val="22"/>
        </w:rPr>
      </w:pPr>
    </w:p>
    <w:p w14:paraId="35A86C79" w14:textId="77777777" w:rsidR="005128E4" w:rsidRPr="00FD136C" w:rsidRDefault="005128E4" w:rsidP="00040C3A">
      <w:pPr>
        <w:tabs>
          <w:tab w:val="center" w:pos="5400"/>
        </w:tabs>
        <w:suppressAutoHyphens/>
        <w:jc w:val="center"/>
        <w:rPr>
          <w:rFonts w:asciiTheme="majorHAnsi" w:hAnsiTheme="majorHAnsi"/>
          <w:sz w:val="22"/>
          <w:szCs w:val="22"/>
        </w:rPr>
      </w:pPr>
    </w:p>
    <w:p w14:paraId="19562CDC" w14:textId="77777777" w:rsidR="00040C3A" w:rsidRPr="00FD136C" w:rsidRDefault="00040C3A" w:rsidP="00040C3A">
      <w:pPr>
        <w:tabs>
          <w:tab w:val="center" w:pos="5400"/>
        </w:tabs>
        <w:suppressAutoHyphens/>
        <w:jc w:val="center"/>
        <w:rPr>
          <w:rFonts w:asciiTheme="majorHAnsi" w:hAnsiTheme="majorHAnsi"/>
          <w:sz w:val="22"/>
          <w:szCs w:val="22"/>
        </w:rPr>
      </w:pPr>
    </w:p>
    <w:p w14:paraId="1A03B1AA" w14:textId="77777777" w:rsidR="005128E4" w:rsidRPr="00FD136C" w:rsidRDefault="005128E4" w:rsidP="00040C3A">
      <w:pPr>
        <w:tabs>
          <w:tab w:val="center" w:pos="5400"/>
        </w:tabs>
        <w:suppressAutoHyphens/>
        <w:jc w:val="center"/>
        <w:rPr>
          <w:rFonts w:asciiTheme="majorHAnsi" w:hAnsiTheme="majorHAnsi"/>
          <w:sz w:val="22"/>
          <w:szCs w:val="22"/>
        </w:rPr>
      </w:pPr>
    </w:p>
    <w:p w14:paraId="1AC39403" w14:textId="77777777" w:rsidR="005128E4" w:rsidRPr="00FD136C" w:rsidRDefault="005128E4" w:rsidP="00040C3A">
      <w:pPr>
        <w:tabs>
          <w:tab w:val="center" w:pos="5400"/>
        </w:tabs>
        <w:suppressAutoHyphens/>
        <w:jc w:val="center"/>
        <w:rPr>
          <w:rFonts w:asciiTheme="majorHAnsi" w:hAnsiTheme="majorHAnsi"/>
          <w:sz w:val="22"/>
          <w:szCs w:val="22"/>
        </w:rPr>
      </w:pPr>
    </w:p>
    <w:p w14:paraId="5C11F4FB" w14:textId="77777777" w:rsidR="005128E4" w:rsidRPr="00FD136C" w:rsidRDefault="005128E4" w:rsidP="00040C3A">
      <w:pPr>
        <w:tabs>
          <w:tab w:val="center" w:pos="5400"/>
        </w:tabs>
        <w:suppressAutoHyphens/>
        <w:jc w:val="center"/>
        <w:rPr>
          <w:rFonts w:asciiTheme="majorHAnsi" w:hAnsiTheme="majorHAnsi"/>
          <w:sz w:val="22"/>
          <w:szCs w:val="22"/>
        </w:rPr>
      </w:pPr>
    </w:p>
    <w:p w14:paraId="37F01C5F" w14:textId="77777777" w:rsidR="00040C3A" w:rsidRPr="00FD136C" w:rsidRDefault="00040C3A" w:rsidP="00040C3A">
      <w:pPr>
        <w:tabs>
          <w:tab w:val="center" w:pos="5400"/>
        </w:tabs>
        <w:suppressAutoHyphens/>
        <w:jc w:val="center"/>
        <w:rPr>
          <w:rFonts w:asciiTheme="majorHAnsi" w:hAnsiTheme="majorHAnsi"/>
          <w:sz w:val="22"/>
          <w:szCs w:val="22"/>
        </w:rPr>
      </w:pPr>
    </w:p>
    <w:p w14:paraId="117D4487" w14:textId="77777777" w:rsidR="00040C3A" w:rsidRPr="00FD136C" w:rsidRDefault="00040C3A" w:rsidP="00040C3A">
      <w:pPr>
        <w:tabs>
          <w:tab w:val="center" w:pos="5400"/>
        </w:tabs>
        <w:suppressAutoHyphens/>
        <w:jc w:val="center"/>
        <w:rPr>
          <w:rFonts w:asciiTheme="majorHAnsi" w:hAnsiTheme="majorHAnsi"/>
          <w:sz w:val="22"/>
          <w:szCs w:val="22"/>
        </w:rPr>
      </w:pPr>
    </w:p>
    <w:p w14:paraId="0DBAA49F" w14:textId="77777777" w:rsidR="002C1641" w:rsidRPr="00FD136C" w:rsidRDefault="002C1641" w:rsidP="00040C3A">
      <w:pPr>
        <w:tabs>
          <w:tab w:val="center" w:pos="5400"/>
        </w:tabs>
        <w:suppressAutoHyphens/>
        <w:jc w:val="center"/>
        <w:rPr>
          <w:rFonts w:asciiTheme="majorHAnsi" w:hAnsiTheme="majorHAnsi"/>
          <w:sz w:val="18"/>
          <w:szCs w:val="22"/>
        </w:rPr>
      </w:pPr>
    </w:p>
    <w:p w14:paraId="4C4A165E" w14:textId="77777777" w:rsidR="002C1641" w:rsidRPr="00FD136C" w:rsidRDefault="002C1641" w:rsidP="00040C3A">
      <w:pPr>
        <w:tabs>
          <w:tab w:val="center" w:pos="5400"/>
        </w:tabs>
        <w:suppressAutoHyphens/>
        <w:jc w:val="center"/>
        <w:rPr>
          <w:rFonts w:asciiTheme="majorHAnsi" w:hAnsiTheme="majorHAnsi"/>
          <w:sz w:val="18"/>
          <w:szCs w:val="22"/>
        </w:rPr>
      </w:pPr>
    </w:p>
    <w:p w14:paraId="5148ED3D" w14:textId="77777777" w:rsidR="002C1641" w:rsidRPr="00FD136C" w:rsidRDefault="002C1641" w:rsidP="00040C3A">
      <w:pPr>
        <w:tabs>
          <w:tab w:val="center" w:pos="5400"/>
        </w:tabs>
        <w:suppressAutoHyphens/>
        <w:jc w:val="center"/>
        <w:rPr>
          <w:rFonts w:asciiTheme="majorHAnsi" w:hAnsiTheme="majorHAnsi"/>
          <w:sz w:val="18"/>
          <w:szCs w:val="22"/>
        </w:rPr>
      </w:pPr>
    </w:p>
    <w:p w14:paraId="75C215DF" w14:textId="77777777" w:rsidR="002C1641" w:rsidRPr="00FD136C" w:rsidRDefault="002C1641" w:rsidP="00040C3A">
      <w:pPr>
        <w:tabs>
          <w:tab w:val="center" w:pos="5400"/>
        </w:tabs>
        <w:suppressAutoHyphens/>
        <w:jc w:val="center"/>
        <w:rPr>
          <w:rFonts w:asciiTheme="majorHAnsi" w:hAnsiTheme="majorHAnsi"/>
          <w:sz w:val="18"/>
          <w:szCs w:val="22"/>
        </w:rPr>
      </w:pPr>
    </w:p>
    <w:p w14:paraId="31CE0E9D" w14:textId="77777777" w:rsidR="002C1641" w:rsidRPr="00FD136C" w:rsidRDefault="002C1641" w:rsidP="00040C3A">
      <w:pPr>
        <w:tabs>
          <w:tab w:val="center" w:pos="5400"/>
        </w:tabs>
        <w:suppressAutoHyphens/>
        <w:jc w:val="center"/>
        <w:rPr>
          <w:rFonts w:asciiTheme="majorHAnsi" w:hAnsiTheme="majorHAnsi"/>
          <w:sz w:val="18"/>
          <w:szCs w:val="22"/>
        </w:rPr>
      </w:pPr>
    </w:p>
    <w:p w14:paraId="49136797" w14:textId="77777777" w:rsidR="002C1641" w:rsidRPr="00FD136C" w:rsidRDefault="002C1641" w:rsidP="00040C3A">
      <w:pPr>
        <w:tabs>
          <w:tab w:val="center" w:pos="5400"/>
        </w:tabs>
        <w:suppressAutoHyphens/>
        <w:jc w:val="center"/>
        <w:rPr>
          <w:rFonts w:asciiTheme="majorHAnsi" w:hAnsiTheme="majorHAnsi"/>
          <w:sz w:val="18"/>
          <w:szCs w:val="22"/>
        </w:rPr>
      </w:pPr>
    </w:p>
    <w:p w14:paraId="0879DB6F" w14:textId="77777777" w:rsidR="002C1641" w:rsidRPr="00FD136C" w:rsidRDefault="002C1641" w:rsidP="00040C3A">
      <w:pPr>
        <w:tabs>
          <w:tab w:val="center" w:pos="5400"/>
        </w:tabs>
        <w:suppressAutoHyphens/>
        <w:jc w:val="center"/>
        <w:rPr>
          <w:rFonts w:asciiTheme="majorHAnsi" w:hAnsiTheme="majorHAnsi"/>
          <w:sz w:val="18"/>
          <w:szCs w:val="22"/>
        </w:rPr>
      </w:pPr>
    </w:p>
    <w:p w14:paraId="45E3E10E" w14:textId="77777777" w:rsidR="002C1641" w:rsidRPr="00FD136C" w:rsidRDefault="002C1641" w:rsidP="00040C3A">
      <w:pPr>
        <w:tabs>
          <w:tab w:val="center" w:pos="5400"/>
        </w:tabs>
        <w:suppressAutoHyphens/>
        <w:jc w:val="center"/>
        <w:rPr>
          <w:rFonts w:asciiTheme="majorHAnsi" w:hAnsiTheme="majorHAnsi"/>
          <w:sz w:val="18"/>
          <w:szCs w:val="22"/>
        </w:rPr>
      </w:pPr>
    </w:p>
    <w:p w14:paraId="523DA49C" w14:textId="77777777" w:rsidR="002C1641" w:rsidRPr="00FD136C" w:rsidRDefault="002C1641" w:rsidP="00040C3A">
      <w:pPr>
        <w:tabs>
          <w:tab w:val="center" w:pos="5400"/>
        </w:tabs>
        <w:suppressAutoHyphens/>
        <w:jc w:val="center"/>
        <w:rPr>
          <w:rFonts w:asciiTheme="majorHAnsi" w:hAnsiTheme="majorHAnsi"/>
          <w:sz w:val="18"/>
          <w:szCs w:val="22"/>
        </w:rPr>
      </w:pPr>
    </w:p>
    <w:p w14:paraId="21E0DC4D" w14:textId="77777777" w:rsidR="002C1641" w:rsidRPr="00FD136C" w:rsidRDefault="002C1641" w:rsidP="00040C3A">
      <w:pPr>
        <w:tabs>
          <w:tab w:val="center" w:pos="5400"/>
        </w:tabs>
        <w:suppressAutoHyphens/>
        <w:jc w:val="center"/>
        <w:rPr>
          <w:rFonts w:asciiTheme="majorHAnsi" w:hAnsiTheme="majorHAnsi"/>
          <w:sz w:val="18"/>
          <w:szCs w:val="22"/>
        </w:rPr>
      </w:pPr>
    </w:p>
    <w:p w14:paraId="4A703177" w14:textId="77777777" w:rsidR="002C1641" w:rsidRPr="00FD136C" w:rsidRDefault="002C1641" w:rsidP="00040C3A">
      <w:pPr>
        <w:tabs>
          <w:tab w:val="center" w:pos="5400"/>
        </w:tabs>
        <w:suppressAutoHyphens/>
        <w:jc w:val="center"/>
        <w:rPr>
          <w:rFonts w:asciiTheme="majorHAnsi" w:hAnsiTheme="majorHAnsi"/>
          <w:sz w:val="18"/>
          <w:szCs w:val="22"/>
        </w:rPr>
      </w:pPr>
    </w:p>
    <w:p w14:paraId="4D26849C" w14:textId="77777777" w:rsidR="002C1641" w:rsidRPr="00FD136C" w:rsidRDefault="002C1641" w:rsidP="00040C3A">
      <w:pPr>
        <w:tabs>
          <w:tab w:val="center" w:pos="5400"/>
        </w:tabs>
        <w:suppressAutoHyphens/>
        <w:jc w:val="center"/>
        <w:rPr>
          <w:rFonts w:asciiTheme="majorHAnsi" w:hAnsiTheme="majorHAnsi"/>
          <w:sz w:val="18"/>
          <w:szCs w:val="22"/>
        </w:rPr>
      </w:pPr>
    </w:p>
    <w:p w14:paraId="59BA4177" w14:textId="60A2BB5F" w:rsidR="002C1641" w:rsidRPr="00FD136C" w:rsidRDefault="009B306D" w:rsidP="00040C3A">
      <w:pPr>
        <w:tabs>
          <w:tab w:val="center" w:pos="5400"/>
        </w:tabs>
        <w:suppressAutoHyphens/>
        <w:jc w:val="center"/>
        <w:rPr>
          <w:rFonts w:asciiTheme="majorHAnsi" w:hAnsiTheme="majorHAnsi"/>
          <w:sz w:val="18"/>
          <w:szCs w:val="22"/>
        </w:rPr>
      </w:pPr>
      <w:r w:rsidRPr="00FD136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1BFF3008" w:rsidR="009B306D" w:rsidRPr="009B306D" w:rsidRDefault="00B05DB3"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July 7, 2020</w:t>
                            </w:r>
                            <w:r w:rsidR="00B26BAF">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1BFF3008" w:rsidR="009B306D" w:rsidRPr="009B306D" w:rsidRDefault="00B05DB3"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July 7, 2020</w:t>
                      </w:r>
                      <w:r w:rsidR="00B26BAF">
                        <w:rPr>
                          <w:rFonts w:asciiTheme="majorHAnsi" w:hAnsiTheme="majorHAnsi"/>
                          <w:color w:val="0D0D0D" w:themeColor="text1" w:themeTint="F2"/>
                          <w:sz w:val="20"/>
                        </w:rPr>
                        <w:t>.</w:t>
                      </w:r>
                    </w:p>
                  </w:txbxContent>
                </v:textbox>
              </v:shape>
            </w:pict>
          </mc:Fallback>
        </mc:AlternateContent>
      </w:r>
    </w:p>
    <w:p w14:paraId="596E688A" w14:textId="0B94A5A1" w:rsidR="002C1641" w:rsidRPr="00FD136C" w:rsidRDefault="002C1641" w:rsidP="00040C3A">
      <w:pPr>
        <w:tabs>
          <w:tab w:val="center" w:pos="5400"/>
        </w:tabs>
        <w:suppressAutoHyphens/>
        <w:jc w:val="center"/>
        <w:rPr>
          <w:rFonts w:asciiTheme="majorHAnsi" w:hAnsiTheme="majorHAnsi"/>
          <w:sz w:val="18"/>
          <w:szCs w:val="22"/>
        </w:rPr>
      </w:pPr>
    </w:p>
    <w:p w14:paraId="7BAD6F10" w14:textId="77777777" w:rsidR="002C1641" w:rsidRPr="00FD136C" w:rsidRDefault="002C1641" w:rsidP="00040C3A">
      <w:pPr>
        <w:tabs>
          <w:tab w:val="center" w:pos="5400"/>
        </w:tabs>
        <w:suppressAutoHyphens/>
        <w:jc w:val="center"/>
        <w:rPr>
          <w:rFonts w:asciiTheme="majorHAnsi" w:hAnsiTheme="majorHAnsi"/>
          <w:sz w:val="18"/>
          <w:szCs w:val="22"/>
        </w:rPr>
      </w:pPr>
    </w:p>
    <w:p w14:paraId="478ABF75" w14:textId="77777777" w:rsidR="002C1641" w:rsidRPr="00FD136C" w:rsidRDefault="002C1641" w:rsidP="00040C3A">
      <w:pPr>
        <w:tabs>
          <w:tab w:val="center" w:pos="5400"/>
        </w:tabs>
        <w:suppressAutoHyphens/>
        <w:jc w:val="center"/>
        <w:rPr>
          <w:rFonts w:asciiTheme="majorHAnsi" w:hAnsiTheme="majorHAnsi"/>
          <w:sz w:val="18"/>
          <w:szCs w:val="22"/>
        </w:rPr>
      </w:pPr>
    </w:p>
    <w:p w14:paraId="30DFD514" w14:textId="77777777" w:rsidR="002C1641" w:rsidRPr="00FD136C" w:rsidRDefault="002C1641" w:rsidP="00040C3A">
      <w:pPr>
        <w:tabs>
          <w:tab w:val="center" w:pos="5400"/>
        </w:tabs>
        <w:suppressAutoHyphens/>
        <w:jc w:val="center"/>
        <w:rPr>
          <w:rFonts w:asciiTheme="majorHAnsi" w:hAnsiTheme="majorHAnsi"/>
          <w:sz w:val="18"/>
          <w:szCs w:val="22"/>
        </w:rPr>
      </w:pPr>
    </w:p>
    <w:p w14:paraId="15FE377C" w14:textId="77777777" w:rsidR="002C1641" w:rsidRPr="00FD136C" w:rsidRDefault="003C32BC" w:rsidP="00040C3A">
      <w:pPr>
        <w:tabs>
          <w:tab w:val="center" w:pos="5400"/>
        </w:tabs>
        <w:suppressAutoHyphens/>
        <w:jc w:val="center"/>
        <w:rPr>
          <w:rFonts w:asciiTheme="majorHAnsi" w:hAnsiTheme="majorHAnsi"/>
          <w:sz w:val="18"/>
          <w:szCs w:val="22"/>
        </w:rPr>
      </w:pPr>
      <w:r w:rsidRPr="00FD136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04A8818D" w:rsidR="00F644E6" w:rsidRPr="003C32BC" w:rsidRDefault="00F644E6" w:rsidP="00F644E6">
                            <w:pPr>
                              <w:spacing w:line="276" w:lineRule="auto"/>
                              <w:rPr>
                                <w:rFonts w:asciiTheme="majorHAnsi" w:hAnsiTheme="majorHAnsi"/>
                                <w:color w:val="595959" w:themeColor="text1" w:themeTint="A6"/>
                                <w:sz w:val="18"/>
                              </w:rPr>
                            </w:pPr>
                            <w:r w:rsidRPr="00B05DB3">
                              <w:rPr>
                                <w:rFonts w:asciiTheme="majorHAnsi" w:hAnsiTheme="majorHAnsi"/>
                                <w:b/>
                                <w:color w:val="595959" w:themeColor="text1" w:themeTint="A6"/>
                                <w:sz w:val="18"/>
                              </w:rPr>
                              <w:t xml:space="preserve">Cite as: </w:t>
                            </w:r>
                            <w:r w:rsidRPr="00B05DB3">
                              <w:rPr>
                                <w:rFonts w:asciiTheme="majorHAnsi" w:hAnsiTheme="majorHAnsi"/>
                                <w:color w:val="595959" w:themeColor="text1" w:themeTint="A6"/>
                                <w:sz w:val="18"/>
                              </w:rPr>
                              <w:t xml:space="preserve">IACHR, Report No. </w:t>
                            </w:r>
                            <w:r w:rsidR="00B05DB3">
                              <w:rPr>
                                <w:rFonts w:asciiTheme="majorHAnsi" w:hAnsiTheme="majorHAnsi"/>
                                <w:color w:val="595959" w:themeColor="text1" w:themeTint="A6"/>
                                <w:sz w:val="18"/>
                                <w:lang w:val="en-GB"/>
                              </w:rPr>
                              <w:t>178</w:t>
                            </w:r>
                            <w:r w:rsidR="00022CF5" w:rsidRPr="00B05DB3">
                              <w:rPr>
                                <w:rFonts w:asciiTheme="majorHAnsi" w:hAnsiTheme="majorHAnsi"/>
                                <w:color w:val="595959" w:themeColor="text1" w:themeTint="A6"/>
                                <w:sz w:val="18"/>
                                <w:lang w:val="en-GB"/>
                              </w:rPr>
                              <w:t>/</w:t>
                            </w:r>
                            <w:r w:rsidR="002F2697" w:rsidRPr="00B05DB3">
                              <w:rPr>
                                <w:rFonts w:asciiTheme="majorHAnsi" w:hAnsiTheme="majorHAnsi"/>
                                <w:color w:val="595959" w:themeColor="text1" w:themeTint="A6"/>
                                <w:sz w:val="18"/>
                                <w:lang w:val="en-GB"/>
                              </w:rPr>
                              <w:t>20</w:t>
                            </w:r>
                            <w:r w:rsidRPr="00B05DB3">
                              <w:rPr>
                                <w:rFonts w:asciiTheme="majorHAnsi" w:hAnsiTheme="majorHAnsi"/>
                                <w:color w:val="595959" w:themeColor="text1" w:themeTint="A6"/>
                                <w:sz w:val="18"/>
                                <w:lang w:val="en-GB"/>
                              </w:rPr>
                              <w:t xml:space="preserve">, </w:t>
                            </w:r>
                            <w:r w:rsidR="00F42B71" w:rsidRPr="00B05DB3">
                              <w:rPr>
                                <w:rFonts w:asciiTheme="majorHAnsi" w:hAnsiTheme="majorHAnsi"/>
                                <w:color w:val="595959" w:themeColor="text1" w:themeTint="A6"/>
                                <w:sz w:val="18"/>
                                <w:lang w:val="en-GB"/>
                              </w:rPr>
                              <w:t xml:space="preserve">Petition </w:t>
                            </w:r>
                            <w:r w:rsidR="00992378" w:rsidRPr="00B05DB3">
                              <w:rPr>
                                <w:rFonts w:asciiTheme="majorHAnsi" w:hAnsiTheme="majorHAnsi"/>
                                <w:color w:val="595959" w:themeColor="text1" w:themeTint="A6"/>
                                <w:sz w:val="18"/>
                                <w:lang w:val="en-GB"/>
                              </w:rPr>
                              <w:t>668-09</w:t>
                            </w:r>
                            <w:r w:rsidRPr="00B05DB3">
                              <w:rPr>
                                <w:rFonts w:asciiTheme="majorHAnsi" w:hAnsiTheme="majorHAnsi"/>
                                <w:color w:val="595959" w:themeColor="text1" w:themeTint="A6"/>
                                <w:sz w:val="18"/>
                                <w:lang w:val="en-GB"/>
                              </w:rPr>
                              <w:t>.</w:t>
                            </w:r>
                            <w:r w:rsidR="00992378" w:rsidRPr="00B05DB3">
                              <w:rPr>
                                <w:rFonts w:asciiTheme="majorHAnsi" w:hAnsiTheme="majorHAnsi"/>
                                <w:color w:val="595959" w:themeColor="text1" w:themeTint="A6"/>
                                <w:sz w:val="18"/>
                                <w:lang w:val="en-GB"/>
                              </w:rPr>
                              <w:t xml:space="preserve"> </w:t>
                            </w:r>
                            <w:r w:rsidR="00F42B71" w:rsidRPr="00B05DB3">
                              <w:rPr>
                                <w:rFonts w:asciiTheme="majorHAnsi" w:hAnsiTheme="majorHAnsi"/>
                                <w:color w:val="595959" w:themeColor="text1" w:themeTint="A6"/>
                                <w:sz w:val="18"/>
                              </w:rPr>
                              <w:t>Admissibility</w:t>
                            </w:r>
                            <w:r w:rsidRPr="00B05DB3">
                              <w:rPr>
                                <w:rFonts w:asciiTheme="majorHAnsi" w:hAnsiTheme="majorHAnsi"/>
                                <w:color w:val="595959" w:themeColor="text1" w:themeTint="A6"/>
                                <w:sz w:val="18"/>
                              </w:rPr>
                              <w:t xml:space="preserve">. </w:t>
                            </w:r>
                            <w:r w:rsidR="00992378" w:rsidRPr="00B05DB3">
                              <w:rPr>
                                <w:rFonts w:asciiTheme="majorHAnsi" w:hAnsiTheme="majorHAnsi"/>
                                <w:color w:val="595959" w:themeColor="text1" w:themeTint="A6"/>
                                <w:sz w:val="18"/>
                              </w:rPr>
                              <w:t xml:space="preserve">David </w:t>
                            </w:r>
                            <w:proofErr w:type="spellStart"/>
                            <w:r w:rsidR="00992378" w:rsidRPr="00B05DB3">
                              <w:rPr>
                                <w:rFonts w:asciiTheme="majorHAnsi" w:hAnsiTheme="majorHAnsi"/>
                                <w:color w:val="595959" w:themeColor="text1" w:themeTint="A6"/>
                                <w:sz w:val="18"/>
                              </w:rPr>
                              <w:t>Nazareno</w:t>
                            </w:r>
                            <w:proofErr w:type="spellEnd"/>
                            <w:r w:rsidR="00992378" w:rsidRPr="00B05DB3">
                              <w:rPr>
                                <w:rFonts w:asciiTheme="majorHAnsi" w:hAnsiTheme="majorHAnsi"/>
                                <w:color w:val="595959" w:themeColor="text1" w:themeTint="A6"/>
                                <w:sz w:val="18"/>
                              </w:rPr>
                              <w:t xml:space="preserve"> Coronel </w:t>
                            </w:r>
                            <w:r w:rsidR="00992378" w:rsidRPr="00B05DB3">
                              <w:rPr>
                                <w:rFonts w:asciiTheme="majorHAnsi" w:hAnsiTheme="majorHAnsi"/>
                                <w:i/>
                                <w:iCs/>
                                <w:color w:val="595959" w:themeColor="text1" w:themeTint="A6"/>
                                <w:sz w:val="18"/>
                              </w:rPr>
                              <w:t>et al.</w:t>
                            </w:r>
                            <w:r w:rsidRPr="00B05DB3">
                              <w:rPr>
                                <w:rFonts w:asciiTheme="majorHAnsi" w:hAnsiTheme="majorHAnsi"/>
                                <w:color w:val="595959" w:themeColor="text1" w:themeTint="A6"/>
                                <w:sz w:val="18"/>
                              </w:rPr>
                              <w:t xml:space="preserve"> </w:t>
                            </w:r>
                            <w:r w:rsidR="00992378" w:rsidRPr="00B05DB3">
                              <w:rPr>
                                <w:rFonts w:asciiTheme="majorHAnsi" w:hAnsiTheme="majorHAnsi"/>
                                <w:color w:val="595959" w:themeColor="text1" w:themeTint="A6"/>
                                <w:sz w:val="18"/>
                              </w:rPr>
                              <w:t>Argentina</w:t>
                            </w:r>
                            <w:r w:rsidR="00022CF5" w:rsidRPr="00B05DB3">
                              <w:rPr>
                                <w:rFonts w:asciiTheme="majorHAnsi" w:hAnsiTheme="majorHAnsi"/>
                                <w:color w:val="595959" w:themeColor="text1" w:themeTint="A6"/>
                                <w:sz w:val="18"/>
                              </w:rPr>
                              <w:t xml:space="preserve">. </w:t>
                            </w:r>
                            <w:r w:rsidR="00B05DB3">
                              <w:rPr>
                                <w:rFonts w:asciiTheme="majorHAnsi" w:hAnsiTheme="majorHAnsi"/>
                                <w:color w:val="595959" w:themeColor="text1" w:themeTint="A6"/>
                                <w:sz w:val="18"/>
                              </w:rPr>
                              <w:t>July 7, 2020</w:t>
                            </w:r>
                            <w:r w:rsidR="00F621C3" w:rsidRPr="00B05DB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04A8818D" w:rsidR="00F644E6" w:rsidRPr="003C32BC" w:rsidRDefault="00F644E6" w:rsidP="00F644E6">
                      <w:pPr>
                        <w:spacing w:line="276" w:lineRule="auto"/>
                        <w:rPr>
                          <w:rFonts w:asciiTheme="majorHAnsi" w:hAnsiTheme="majorHAnsi"/>
                          <w:color w:val="595959" w:themeColor="text1" w:themeTint="A6"/>
                          <w:sz w:val="18"/>
                        </w:rPr>
                      </w:pPr>
                      <w:r w:rsidRPr="00B05DB3">
                        <w:rPr>
                          <w:rFonts w:asciiTheme="majorHAnsi" w:hAnsiTheme="majorHAnsi"/>
                          <w:b/>
                          <w:color w:val="595959" w:themeColor="text1" w:themeTint="A6"/>
                          <w:sz w:val="18"/>
                        </w:rPr>
                        <w:t xml:space="preserve">Cite </w:t>
                      </w:r>
                      <w:proofErr w:type="gramStart"/>
                      <w:r w:rsidRPr="00B05DB3">
                        <w:rPr>
                          <w:rFonts w:asciiTheme="majorHAnsi" w:hAnsiTheme="majorHAnsi"/>
                          <w:b/>
                          <w:color w:val="595959" w:themeColor="text1" w:themeTint="A6"/>
                          <w:sz w:val="18"/>
                        </w:rPr>
                        <w:t>as:</w:t>
                      </w:r>
                      <w:proofErr w:type="gramEnd"/>
                      <w:r w:rsidRPr="00B05DB3">
                        <w:rPr>
                          <w:rFonts w:asciiTheme="majorHAnsi" w:hAnsiTheme="majorHAnsi"/>
                          <w:b/>
                          <w:color w:val="595959" w:themeColor="text1" w:themeTint="A6"/>
                          <w:sz w:val="18"/>
                        </w:rPr>
                        <w:t xml:space="preserve"> </w:t>
                      </w:r>
                      <w:r w:rsidRPr="00B05DB3">
                        <w:rPr>
                          <w:rFonts w:asciiTheme="majorHAnsi" w:hAnsiTheme="majorHAnsi"/>
                          <w:color w:val="595959" w:themeColor="text1" w:themeTint="A6"/>
                          <w:sz w:val="18"/>
                        </w:rPr>
                        <w:t xml:space="preserve">IACHR, Report No. </w:t>
                      </w:r>
                      <w:r w:rsidR="00B05DB3">
                        <w:rPr>
                          <w:rFonts w:asciiTheme="majorHAnsi" w:hAnsiTheme="majorHAnsi"/>
                          <w:color w:val="595959" w:themeColor="text1" w:themeTint="A6"/>
                          <w:sz w:val="18"/>
                          <w:lang w:val="en-GB"/>
                        </w:rPr>
                        <w:t>178</w:t>
                      </w:r>
                      <w:r w:rsidR="00022CF5" w:rsidRPr="00B05DB3">
                        <w:rPr>
                          <w:rFonts w:asciiTheme="majorHAnsi" w:hAnsiTheme="majorHAnsi"/>
                          <w:color w:val="595959" w:themeColor="text1" w:themeTint="A6"/>
                          <w:sz w:val="18"/>
                          <w:lang w:val="en-GB"/>
                        </w:rPr>
                        <w:t>/</w:t>
                      </w:r>
                      <w:r w:rsidR="002F2697" w:rsidRPr="00B05DB3">
                        <w:rPr>
                          <w:rFonts w:asciiTheme="majorHAnsi" w:hAnsiTheme="majorHAnsi"/>
                          <w:color w:val="595959" w:themeColor="text1" w:themeTint="A6"/>
                          <w:sz w:val="18"/>
                          <w:lang w:val="en-GB"/>
                        </w:rPr>
                        <w:t>20</w:t>
                      </w:r>
                      <w:r w:rsidRPr="00B05DB3">
                        <w:rPr>
                          <w:rFonts w:asciiTheme="majorHAnsi" w:hAnsiTheme="majorHAnsi"/>
                          <w:color w:val="595959" w:themeColor="text1" w:themeTint="A6"/>
                          <w:sz w:val="18"/>
                          <w:lang w:val="en-GB"/>
                        </w:rPr>
                        <w:t xml:space="preserve">, </w:t>
                      </w:r>
                      <w:r w:rsidR="00F42B71" w:rsidRPr="00B05DB3">
                        <w:rPr>
                          <w:rFonts w:asciiTheme="majorHAnsi" w:hAnsiTheme="majorHAnsi"/>
                          <w:color w:val="595959" w:themeColor="text1" w:themeTint="A6"/>
                          <w:sz w:val="18"/>
                          <w:lang w:val="en-GB"/>
                        </w:rPr>
                        <w:t xml:space="preserve">Petition </w:t>
                      </w:r>
                      <w:r w:rsidR="00992378" w:rsidRPr="00B05DB3">
                        <w:rPr>
                          <w:rFonts w:asciiTheme="majorHAnsi" w:hAnsiTheme="majorHAnsi"/>
                          <w:color w:val="595959" w:themeColor="text1" w:themeTint="A6"/>
                          <w:sz w:val="18"/>
                          <w:lang w:val="en-GB"/>
                        </w:rPr>
                        <w:t>668-09</w:t>
                      </w:r>
                      <w:r w:rsidRPr="00B05DB3">
                        <w:rPr>
                          <w:rFonts w:asciiTheme="majorHAnsi" w:hAnsiTheme="majorHAnsi"/>
                          <w:color w:val="595959" w:themeColor="text1" w:themeTint="A6"/>
                          <w:sz w:val="18"/>
                          <w:lang w:val="en-GB"/>
                        </w:rPr>
                        <w:t>.</w:t>
                      </w:r>
                      <w:r w:rsidR="00992378" w:rsidRPr="00B05DB3">
                        <w:rPr>
                          <w:rFonts w:asciiTheme="majorHAnsi" w:hAnsiTheme="majorHAnsi"/>
                          <w:color w:val="595959" w:themeColor="text1" w:themeTint="A6"/>
                          <w:sz w:val="18"/>
                          <w:lang w:val="en-GB"/>
                        </w:rPr>
                        <w:t xml:space="preserve"> </w:t>
                      </w:r>
                      <w:r w:rsidR="00F42B71" w:rsidRPr="00B05DB3">
                        <w:rPr>
                          <w:rFonts w:asciiTheme="majorHAnsi" w:hAnsiTheme="majorHAnsi"/>
                          <w:color w:val="595959" w:themeColor="text1" w:themeTint="A6"/>
                          <w:sz w:val="18"/>
                        </w:rPr>
                        <w:t>Admissibility</w:t>
                      </w:r>
                      <w:r w:rsidRPr="00B05DB3">
                        <w:rPr>
                          <w:rFonts w:asciiTheme="majorHAnsi" w:hAnsiTheme="majorHAnsi"/>
                          <w:color w:val="595959" w:themeColor="text1" w:themeTint="A6"/>
                          <w:sz w:val="18"/>
                        </w:rPr>
                        <w:t xml:space="preserve">. </w:t>
                      </w:r>
                      <w:r w:rsidR="00992378" w:rsidRPr="00B05DB3">
                        <w:rPr>
                          <w:rFonts w:asciiTheme="majorHAnsi" w:hAnsiTheme="majorHAnsi"/>
                          <w:color w:val="595959" w:themeColor="text1" w:themeTint="A6"/>
                          <w:sz w:val="18"/>
                        </w:rPr>
                        <w:t xml:space="preserve">David </w:t>
                      </w:r>
                      <w:proofErr w:type="spellStart"/>
                      <w:r w:rsidR="00992378" w:rsidRPr="00B05DB3">
                        <w:rPr>
                          <w:rFonts w:asciiTheme="majorHAnsi" w:hAnsiTheme="majorHAnsi"/>
                          <w:color w:val="595959" w:themeColor="text1" w:themeTint="A6"/>
                          <w:sz w:val="18"/>
                        </w:rPr>
                        <w:t>Nazareno</w:t>
                      </w:r>
                      <w:proofErr w:type="spellEnd"/>
                      <w:r w:rsidR="00992378" w:rsidRPr="00B05DB3">
                        <w:rPr>
                          <w:rFonts w:asciiTheme="majorHAnsi" w:hAnsiTheme="majorHAnsi"/>
                          <w:color w:val="595959" w:themeColor="text1" w:themeTint="A6"/>
                          <w:sz w:val="18"/>
                        </w:rPr>
                        <w:t xml:space="preserve"> Coronel </w:t>
                      </w:r>
                      <w:r w:rsidR="00992378" w:rsidRPr="00B05DB3">
                        <w:rPr>
                          <w:rFonts w:asciiTheme="majorHAnsi" w:hAnsiTheme="majorHAnsi"/>
                          <w:i/>
                          <w:iCs/>
                          <w:color w:val="595959" w:themeColor="text1" w:themeTint="A6"/>
                          <w:sz w:val="18"/>
                        </w:rPr>
                        <w:t>et al.</w:t>
                      </w:r>
                      <w:r w:rsidRPr="00B05DB3">
                        <w:rPr>
                          <w:rFonts w:asciiTheme="majorHAnsi" w:hAnsiTheme="majorHAnsi"/>
                          <w:color w:val="595959" w:themeColor="text1" w:themeTint="A6"/>
                          <w:sz w:val="18"/>
                        </w:rPr>
                        <w:t xml:space="preserve"> </w:t>
                      </w:r>
                      <w:r w:rsidR="00992378" w:rsidRPr="00B05DB3">
                        <w:rPr>
                          <w:rFonts w:asciiTheme="majorHAnsi" w:hAnsiTheme="majorHAnsi"/>
                          <w:color w:val="595959" w:themeColor="text1" w:themeTint="A6"/>
                          <w:sz w:val="18"/>
                        </w:rPr>
                        <w:t>Argentina</w:t>
                      </w:r>
                      <w:r w:rsidR="00022CF5" w:rsidRPr="00B05DB3">
                        <w:rPr>
                          <w:rFonts w:asciiTheme="majorHAnsi" w:hAnsiTheme="majorHAnsi"/>
                          <w:color w:val="595959" w:themeColor="text1" w:themeTint="A6"/>
                          <w:sz w:val="18"/>
                        </w:rPr>
                        <w:t xml:space="preserve">. </w:t>
                      </w:r>
                      <w:r w:rsidR="00B05DB3">
                        <w:rPr>
                          <w:rFonts w:asciiTheme="majorHAnsi" w:hAnsiTheme="majorHAnsi"/>
                          <w:color w:val="595959" w:themeColor="text1" w:themeTint="A6"/>
                          <w:sz w:val="18"/>
                        </w:rPr>
                        <w:t>July 7, 2020</w:t>
                      </w:r>
                      <w:r w:rsidR="00F621C3" w:rsidRPr="00B05DB3">
                        <w:rPr>
                          <w:rFonts w:asciiTheme="majorHAnsi" w:hAnsiTheme="majorHAnsi"/>
                          <w:color w:val="595959" w:themeColor="text1" w:themeTint="A6"/>
                          <w:sz w:val="18"/>
                        </w:rPr>
                        <w:t>.</w:t>
                      </w:r>
                    </w:p>
                  </w:txbxContent>
                </v:textbox>
              </v:shape>
            </w:pict>
          </mc:Fallback>
        </mc:AlternateContent>
      </w:r>
    </w:p>
    <w:p w14:paraId="54A35402" w14:textId="54732CD0" w:rsidR="002C1641" w:rsidRPr="00FD136C" w:rsidRDefault="002C1641" w:rsidP="00040C3A">
      <w:pPr>
        <w:tabs>
          <w:tab w:val="center" w:pos="5400"/>
        </w:tabs>
        <w:suppressAutoHyphens/>
        <w:jc w:val="center"/>
        <w:rPr>
          <w:rFonts w:asciiTheme="majorHAnsi" w:hAnsiTheme="majorHAnsi"/>
          <w:sz w:val="18"/>
          <w:szCs w:val="22"/>
        </w:rPr>
      </w:pPr>
    </w:p>
    <w:p w14:paraId="18DAA0E7" w14:textId="4FC54D86" w:rsidR="002C1641" w:rsidRPr="00FD136C" w:rsidRDefault="002C1641" w:rsidP="00040C3A">
      <w:pPr>
        <w:tabs>
          <w:tab w:val="center" w:pos="5400"/>
        </w:tabs>
        <w:suppressAutoHyphens/>
        <w:jc w:val="center"/>
        <w:rPr>
          <w:rFonts w:asciiTheme="majorHAnsi" w:hAnsiTheme="majorHAnsi"/>
          <w:sz w:val="18"/>
          <w:szCs w:val="22"/>
        </w:rPr>
      </w:pPr>
    </w:p>
    <w:p w14:paraId="165B7F09" w14:textId="24B09380" w:rsidR="003C32BC" w:rsidRPr="00FD136C" w:rsidRDefault="003C32BC" w:rsidP="003C32BC">
      <w:pPr>
        <w:tabs>
          <w:tab w:val="center" w:pos="5400"/>
        </w:tabs>
        <w:suppressAutoHyphens/>
        <w:jc w:val="center"/>
        <w:rPr>
          <w:rFonts w:asciiTheme="majorHAnsi" w:hAnsiTheme="majorHAnsi"/>
          <w:sz w:val="18"/>
          <w:szCs w:val="22"/>
        </w:rPr>
      </w:pPr>
    </w:p>
    <w:p w14:paraId="4F2529D3" w14:textId="0F6A110E" w:rsidR="003C32BC" w:rsidRPr="00FD136C" w:rsidRDefault="00126E08" w:rsidP="003C32BC">
      <w:pPr>
        <w:tabs>
          <w:tab w:val="center" w:pos="5400"/>
        </w:tabs>
        <w:suppressAutoHyphens/>
        <w:jc w:val="center"/>
        <w:rPr>
          <w:rFonts w:asciiTheme="majorHAnsi" w:hAnsiTheme="majorHAnsi"/>
          <w:sz w:val="18"/>
          <w:szCs w:val="22"/>
        </w:rPr>
      </w:pPr>
      <w:r w:rsidRPr="00FD136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FD136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2FDAEE1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05DB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2FDAEE1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05DB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Pr="00FD136C" w:rsidRDefault="007607C4" w:rsidP="003C32BC">
      <w:pPr>
        <w:tabs>
          <w:tab w:val="center" w:pos="5400"/>
        </w:tabs>
        <w:suppressAutoHyphens/>
        <w:jc w:val="center"/>
        <w:rPr>
          <w:rFonts w:asciiTheme="majorHAnsi" w:hAnsiTheme="majorHAnsi"/>
          <w:sz w:val="18"/>
          <w:szCs w:val="22"/>
        </w:rPr>
        <w:sectPr w:rsidR="007607C4" w:rsidRPr="00FD136C"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FD136C" w:rsidRDefault="00F621C3" w:rsidP="00C355B4">
      <w:pPr>
        <w:spacing w:after="120"/>
        <w:ind w:firstLine="720"/>
        <w:jc w:val="both"/>
        <w:rPr>
          <w:rFonts w:asciiTheme="majorHAnsi" w:hAnsiTheme="majorHAnsi"/>
          <w:b/>
          <w:bCs/>
          <w:sz w:val="19"/>
          <w:szCs w:val="19"/>
        </w:rPr>
      </w:pPr>
      <w:r w:rsidRPr="00FD136C">
        <w:rPr>
          <w:rFonts w:asciiTheme="majorHAnsi" w:hAnsiTheme="majorHAnsi"/>
          <w:b/>
          <w:bCs/>
          <w:sz w:val="19"/>
          <w:szCs w:val="19"/>
        </w:rPr>
        <w:lastRenderedPageBreak/>
        <w:t>I.</w:t>
      </w:r>
      <w:r w:rsidRPr="00FD136C">
        <w:rPr>
          <w:rFonts w:asciiTheme="majorHAnsi" w:hAnsiTheme="majorHAnsi"/>
          <w:b/>
          <w:bCs/>
          <w:sz w:val="19"/>
          <w:szCs w:val="19"/>
        </w:rPr>
        <w:tab/>
      </w:r>
      <w:r w:rsidR="00592718" w:rsidRPr="00FD136C">
        <w:rPr>
          <w:rFonts w:asciiTheme="majorHAnsi" w:hAnsiTheme="majorHAnsi"/>
          <w:b/>
          <w:bCs/>
          <w:sz w:val="19"/>
          <w:szCs w:val="19"/>
        </w:rPr>
        <w:t>INFORMATION ABOUT THE PETITION</w:t>
      </w:r>
      <w:r w:rsidRPr="00FD136C">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FD136C"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FD136C" w:rsidRDefault="00261E08" w:rsidP="009163FC">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Petitioner</w:t>
            </w:r>
          </w:p>
        </w:tc>
        <w:tc>
          <w:tcPr>
            <w:tcW w:w="6570" w:type="dxa"/>
          </w:tcPr>
          <w:p w14:paraId="67A3AC7B" w14:textId="45932F61" w:rsidR="00261E08" w:rsidRPr="00FD136C" w:rsidRDefault="00571FDE" w:rsidP="009163FC">
            <w:pPr>
              <w:jc w:val="both"/>
              <w:rPr>
                <w:rFonts w:asciiTheme="majorHAnsi" w:hAnsiTheme="majorHAnsi"/>
                <w:bCs/>
                <w:sz w:val="19"/>
                <w:szCs w:val="19"/>
              </w:rPr>
            </w:pPr>
            <w:r w:rsidRPr="00FD136C">
              <w:rPr>
                <w:rFonts w:asciiTheme="majorHAnsi" w:hAnsiTheme="majorHAnsi"/>
                <w:bCs/>
                <w:sz w:val="19"/>
                <w:szCs w:val="19"/>
              </w:rPr>
              <w:t xml:space="preserve">CELS, </w:t>
            </w:r>
            <w:proofErr w:type="spellStart"/>
            <w:r w:rsidRPr="00FD136C">
              <w:rPr>
                <w:rFonts w:asciiTheme="majorHAnsi" w:hAnsiTheme="majorHAnsi"/>
                <w:bCs/>
                <w:sz w:val="19"/>
                <w:szCs w:val="19"/>
              </w:rPr>
              <w:t>Xumek</w:t>
            </w:r>
            <w:proofErr w:type="spellEnd"/>
            <w:r w:rsidRPr="00FD136C">
              <w:rPr>
                <w:rFonts w:asciiTheme="majorHAnsi" w:hAnsiTheme="majorHAnsi"/>
                <w:bCs/>
                <w:sz w:val="19"/>
                <w:szCs w:val="19"/>
              </w:rPr>
              <w:t xml:space="preserve"> Civil Association, and Sur Argentina Foundation</w:t>
            </w:r>
          </w:p>
        </w:tc>
      </w:tr>
      <w:tr w:rsidR="00261E08" w:rsidRPr="00FD136C"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FD136C" w:rsidRDefault="00261E08" w:rsidP="009163FC">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Alleged victim</w:t>
            </w:r>
          </w:p>
        </w:tc>
        <w:tc>
          <w:tcPr>
            <w:tcW w:w="6570" w:type="dxa"/>
          </w:tcPr>
          <w:p w14:paraId="1E62AC27" w14:textId="2D8CBE86" w:rsidR="00261E08" w:rsidRPr="00FD136C" w:rsidRDefault="00571FDE" w:rsidP="009163FC">
            <w:pPr>
              <w:jc w:val="both"/>
              <w:rPr>
                <w:rFonts w:asciiTheme="majorHAnsi" w:hAnsiTheme="majorHAnsi"/>
                <w:bCs/>
                <w:sz w:val="19"/>
                <w:szCs w:val="19"/>
              </w:rPr>
            </w:pPr>
            <w:r w:rsidRPr="00FD136C">
              <w:rPr>
                <w:rFonts w:asciiTheme="majorHAnsi" w:hAnsiTheme="majorHAnsi"/>
                <w:bCs/>
                <w:sz w:val="19"/>
                <w:szCs w:val="19"/>
              </w:rPr>
              <w:t xml:space="preserve">David </w:t>
            </w:r>
            <w:proofErr w:type="spellStart"/>
            <w:r w:rsidRPr="00FD136C">
              <w:rPr>
                <w:rFonts w:asciiTheme="majorHAnsi" w:hAnsiTheme="majorHAnsi"/>
                <w:bCs/>
                <w:sz w:val="19"/>
                <w:szCs w:val="19"/>
              </w:rPr>
              <w:t>Nazareno</w:t>
            </w:r>
            <w:proofErr w:type="spellEnd"/>
            <w:r w:rsidRPr="00FD136C">
              <w:rPr>
                <w:rFonts w:asciiTheme="majorHAnsi" w:hAnsiTheme="majorHAnsi"/>
                <w:bCs/>
                <w:sz w:val="19"/>
                <w:szCs w:val="19"/>
              </w:rPr>
              <w:t xml:space="preserve"> Coronel and others</w:t>
            </w:r>
            <w:r w:rsidRPr="00FD136C">
              <w:rPr>
                <w:rStyle w:val="FootnoteReference"/>
                <w:rFonts w:asciiTheme="majorHAnsi" w:hAnsiTheme="majorHAnsi"/>
                <w:bCs/>
                <w:sz w:val="19"/>
                <w:szCs w:val="19"/>
              </w:rPr>
              <w:footnoteReference w:id="2"/>
            </w:r>
          </w:p>
        </w:tc>
      </w:tr>
      <w:tr w:rsidR="00261E08" w:rsidRPr="00FD136C"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FD136C" w:rsidRDefault="00261E08" w:rsidP="005816E5">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Respondent State</w:t>
            </w:r>
          </w:p>
        </w:tc>
        <w:tc>
          <w:tcPr>
            <w:tcW w:w="6570" w:type="dxa"/>
          </w:tcPr>
          <w:p w14:paraId="68C5B5B0" w14:textId="5E9ECD98" w:rsidR="00261E08" w:rsidRPr="00FD136C" w:rsidRDefault="00571FDE" w:rsidP="009163FC">
            <w:pPr>
              <w:jc w:val="both"/>
              <w:rPr>
                <w:rFonts w:asciiTheme="majorHAnsi" w:hAnsiTheme="majorHAnsi"/>
                <w:bCs/>
                <w:sz w:val="19"/>
                <w:szCs w:val="19"/>
              </w:rPr>
            </w:pPr>
            <w:r w:rsidRPr="00FD136C">
              <w:rPr>
                <w:rFonts w:asciiTheme="majorHAnsi" w:hAnsiTheme="majorHAnsi"/>
                <w:bCs/>
                <w:sz w:val="19"/>
                <w:szCs w:val="19"/>
              </w:rPr>
              <w:t>Argentina</w:t>
            </w:r>
          </w:p>
        </w:tc>
      </w:tr>
      <w:tr w:rsidR="00261E08" w:rsidRPr="00FD136C"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FD136C" w:rsidRDefault="00261E08" w:rsidP="00E7588C">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Rights invoked</w:t>
            </w:r>
          </w:p>
        </w:tc>
        <w:tc>
          <w:tcPr>
            <w:tcW w:w="6570" w:type="dxa"/>
          </w:tcPr>
          <w:p w14:paraId="6C99BD6B" w14:textId="596A4C01" w:rsidR="00261E08" w:rsidRPr="00FD136C" w:rsidRDefault="00571FDE" w:rsidP="00261E08">
            <w:pPr>
              <w:jc w:val="both"/>
              <w:rPr>
                <w:rFonts w:asciiTheme="majorHAnsi" w:hAnsiTheme="majorHAnsi"/>
                <w:bCs/>
                <w:sz w:val="19"/>
                <w:szCs w:val="19"/>
              </w:rPr>
            </w:pPr>
            <w:r w:rsidRPr="00FD136C">
              <w:rPr>
                <w:rFonts w:asciiTheme="majorHAnsi" w:hAnsiTheme="majorHAnsi"/>
                <w:bCs/>
                <w:sz w:val="19"/>
                <w:szCs w:val="19"/>
              </w:rPr>
              <w:t xml:space="preserve">Articles 5 (humane treatment), 7 (personal liberty), 8 (fair trial), 9 (freedom from </w:t>
            </w:r>
            <w:r w:rsidRPr="00FD136C">
              <w:rPr>
                <w:rFonts w:asciiTheme="majorHAnsi" w:hAnsiTheme="majorHAnsi"/>
                <w:bCs/>
                <w:i/>
                <w:iCs/>
                <w:sz w:val="19"/>
                <w:szCs w:val="19"/>
              </w:rPr>
              <w:t>ex post facto</w:t>
            </w:r>
            <w:r w:rsidRPr="00FD136C">
              <w:rPr>
                <w:rFonts w:asciiTheme="majorHAnsi" w:hAnsiTheme="majorHAnsi"/>
                <w:bCs/>
                <w:sz w:val="19"/>
                <w:szCs w:val="19"/>
              </w:rPr>
              <w:t xml:space="preserve"> laws), 17 (</w:t>
            </w:r>
            <w:r w:rsidR="00D11087" w:rsidRPr="00FD136C">
              <w:rPr>
                <w:rFonts w:asciiTheme="majorHAnsi" w:hAnsiTheme="majorHAnsi"/>
                <w:bCs/>
                <w:sz w:val="19"/>
                <w:szCs w:val="19"/>
              </w:rPr>
              <w:t>rights of the family</w:t>
            </w:r>
            <w:r w:rsidRPr="00FD136C">
              <w:rPr>
                <w:rFonts w:asciiTheme="majorHAnsi" w:hAnsiTheme="majorHAnsi"/>
                <w:bCs/>
                <w:sz w:val="19"/>
                <w:szCs w:val="19"/>
              </w:rPr>
              <w:t>)</w:t>
            </w:r>
            <w:r w:rsidR="00D11087" w:rsidRPr="00FD136C">
              <w:rPr>
                <w:rFonts w:asciiTheme="majorHAnsi" w:hAnsiTheme="majorHAnsi"/>
                <w:bCs/>
                <w:sz w:val="19"/>
                <w:szCs w:val="19"/>
              </w:rPr>
              <w:t>, 19 (rights of the child), and 24 (equal protection) of the American Convention on Human Rights,</w:t>
            </w:r>
            <w:r w:rsidR="00D11087" w:rsidRPr="00FD136C">
              <w:rPr>
                <w:rStyle w:val="FootnoteReference"/>
                <w:rFonts w:asciiTheme="majorHAnsi" w:hAnsiTheme="majorHAnsi"/>
                <w:bCs/>
                <w:sz w:val="19"/>
                <w:szCs w:val="19"/>
              </w:rPr>
              <w:footnoteReference w:id="3"/>
            </w:r>
            <w:r w:rsidR="00D11087" w:rsidRPr="00FD136C">
              <w:rPr>
                <w:rFonts w:asciiTheme="majorHAnsi" w:hAnsiTheme="majorHAnsi"/>
                <w:bCs/>
                <w:sz w:val="19"/>
                <w:szCs w:val="19"/>
              </w:rPr>
              <w:t xml:space="preserve"> in connection with Articles 1.1 (obligation to respect rights) and 2 (domestic legal effects) thereof; and other international instruments</w:t>
            </w:r>
            <w:r w:rsidR="00B6691D" w:rsidRPr="00FD136C">
              <w:rPr>
                <w:rStyle w:val="FootnoteReference"/>
                <w:rFonts w:asciiTheme="majorHAnsi" w:hAnsiTheme="majorHAnsi"/>
                <w:bCs/>
                <w:sz w:val="19"/>
                <w:szCs w:val="19"/>
              </w:rPr>
              <w:footnoteReference w:id="4"/>
            </w:r>
          </w:p>
        </w:tc>
      </w:tr>
    </w:tbl>
    <w:p w14:paraId="08C39C2C" w14:textId="77777777" w:rsidR="00F621C3" w:rsidRPr="00FD136C" w:rsidRDefault="00F621C3" w:rsidP="00C355B4">
      <w:pPr>
        <w:spacing w:before="120" w:after="120"/>
        <w:ind w:firstLine="720"/>
        <w:jc w:val="both"/>
        <w:rPr>
          <w:rFonts w:asciiTheme="majorHAnsi" w:hAnsiTheme="majorHAnsi"/>
          <w:b/>
          <w:bCs/>
          <w:sz w:val="19"/>
          <w:szCs w:val="19"/>
        </w:rPr>
      </w:pPr>
      <w:r w:rsidRPr="00FD136C">
        <w:rPr>
          <w:rFonts w:asciiTheme="majorHAnsi" w:hAnsiTheme="majorHAnsi"/>
          <w:b/>
          <w:bCs/>
          <w:sz w:val="19"/>
          <w:szCs w:val="19"/>
        </w:rPr>
        <w:t>II.</w:t>
      </w:r>
      <w:r w:rsidRPr="00FD136C">
        <w:rPr>
          <w:rFonts w:asciiTheme="majorHAnsi" w:hAnsiTheme="majorHAnsi"/>
          <w:b/>
          <w:bCs/>
          <w:sz w:val="19"/>
          <w:szCs w:val="19"/>
        </w:rPr>
        <w:tab/>
        <w:t>PROCE</w:t>
      </w:r>
      <w:r w:rsidR="00321AFD" w:rsidRPr="00FD136C">
        <w:rPr>
          <w:rFonts w:asciiTheme="majorHAnsi" w:hAnsiTheme="majorHAnsi"/>
          <w:b/>
          <w:bCs/>
          <w:sz w:val="19"/>
          <w:szCs w:val="19"/>
        </w:rPr>
        <w:t>EDINGS</w:t>
      </w:r>
      <w:r w:rsidRPr="00FD136C">
        <w:rPr>
          <w:rFonts w:asciiTheme="majorHAnsi" w:hAnsiTheme="majorHAnsi"/>
          <w:b/>
          <w:bCs/>
          <w:sz w:val="19"/>
          <w:szCs w:val="19"/>
        </w:rPr>
        <w:t xml:space="preserve"> BEFORE THE IACHR</w:t>
      </w:r>
      <w:r w:rsidR="00653EA6" w:rsidRPr="00FD136C">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FD136C"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FD136C" w:rsidRDefault="00AB4FA4" w:rsidP="00B06BB7">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 xml:space="preserve">Date of </w:t>
            </w:r>
            <w:r w:rsidR="006E270D" w:rsidRPr="00FD136C">
              <w:rPr>
                <w:rFonts w:asciiTheme="majorHAnsi" w:hAnsiTheme="majorHAnsi"/>
                <w:bCs/>
                <w:color w:val="FFFFFF" w:themeColor="background1"/>
                <w:sz w:val="19"/>
                <w:szCs w:val="19"/>
              </w:rPr>
              <w:t>filing</w:t>
            </w:r>
          </w:p>
        </w:tc>
        <w:tc>
          <w:tcPr>
            <w:tcW w:w="6570" w:type="dxa"/>
            <w:vAlign w:val="center"/>
          </w:tcPr>
          <w:p w14:paraId="7EADD3E8" w14:textId="0822D3EE" w:rsidR="00261E08" w:rsidRPr="00FD136C" w:rsidRDefault="00614AF6" w:rsidP="009163FC">
            <w:pPr>
              <w:jc w:val="both"/>
              <w:rPr>
                <w:rFonts w:asciiTheme="majorHAnsi" w:hAnsiTheme="majorHAnsi"/>
                <w:bCs/>
                <w:sz w:val="19"/>
                <w:szCs w:val="19"/>
              </w:rPr>
            </w:pPr>
            <w:r w:rsidRPr="00FD136C">
              <w:rPr>
                <w:rFonts w:asciiTheme="majorHAnsi" w:hAnsiTheme="majorHAnsi"/>
                <w:bCs/>
                <w:sz w:val="19"/>
                <w:szCs w:val="19"/>
              </w:rPr>
              <w:t>June 2, 2009</w:t>
            </w:r>
            <w:r w:rsidR="000E5984" w:rsidRPr="00FD136C">
              <w:rPr>
                <w:rFonts w:asciiTheme="majorHAnsi" w:hAnsiTheme="majorHAnsi"/>
                <w:bCs/>
                <w:sz w:val="19"/>
                <w:szCs w:val="19"/>
              </w:rPr>
              <w:t xml:space="preserve"> </w:t>
            </w:r>
          </w:p>
        </w:tc>
      </w:tr>
      <w:tr w:rsidR="00261E08" w:rsidRPr="00FD136C" w14:paraId="5F460099" w14:textId="77777777" w:rsidTr="00C355B4">
        <w:tc>
          <w:tcPr>
            <w:tcW w:w="2790" w:type="dxa"/>
            <w:tcBorders>
              <w:top w:val="single" w:sz="6" w:space="0" w:color="auto"/>
              <w:bottom w:val="single" w:sz="6" w:space="0" w:color="auto"/>
            </w:tcBorders>
            <w:shd w:val="clear" w:color="auto" w:fill="67AE3C"/>
            <w:vAlign w:val="center"/>
          </w:tcPr>
          <w:p w14:paraId="48D0BCDE" w14:textId="77777777" w:rsidR="00261E08" w:rsidRPr="00FD136C" w:rsidRDefault="00261E08" w:rsidP="00C355B4">
            <w:pPr>
              <w:jc w:val="center"/>
              <w:rPr>
                <w:rFonts w:asciiTheme="majorHAnsi" w:hAnsiTheme="majorHAnsi"/>
                <w:color w:val="FFFFFF" w:themeColor="background1"/>
                <w:sz w:val="19"/>
                <w:szCs w:val="19"/>
              </w:rPr>
            </w:pPr>
            <w:r w:rsidRPr="00FD136C">
              <w:rPr>
                <w:rFonts w:asciiTheme="majorHAnsi" w:hAnsiTheme="majorHAnsi"/>
                <w:color w:val="FFFFFF" w:themeColor="background1"/>
                <w:sz w:val="19"/>
                <w:szCs w:val="19"/>
              </w:rPr>
              <w:t>Additional information received during initial review</w:t>
            </w:r>
          </w:p>
        </w:tc>
        <w:tc>
          <w:tcPr>
            <w:tcW w:w="6570" w:type="dxa"/>
            <w:vAlign w:val="center"/>
          </w:tcPr>
          <w:p w14:paraId="0AEA72E2" w14:textId="3C00DCC9" w:rsidR="00261E08" w:rsidRPr="00FD136C" w:rsidRDefault="00614AF6" w:rsidP="009163FC">
            <w:pPr>
              <w:jc w:val="both"/>
              <w:rPr>
                <w:rFonts w:asciiTheme="majorHAnsi" w:hAnsiTheme="majorHAnsi"/>
                <w:bCs/>
                <w:sz w:val="19"/>
                <w:szCs w:val="19"/>
              </w:rPr>
            </w:pPr>
            <w:r w:rsidRPr="00FD136C">
              <w:rPr>
                <w:rFonts w:asciiTheme="majorHAnsi" w:hAnsiTheme="majorHAnsi"/>
                <w:bCs/>
                <w:sz w:val="19"/>
                <w:szCs w:val="19"/>
              </w:rPr>
              <w:t>June 5, 2009</w:t>
            </w:r>
            <w:r w:rsidR="000E5984" w:rsidRPr="00FD136C">
              <w:rPr>
                <w:rFonts w:asciiTheme="majorHAnsi" w:hAnsiTheme="majorHAnsi"/>
                <w:bCs/>
                <w:sz w:val="19"/>
                <w:szCs w:val="19"/>
              </w:rPr>
              <w:t xml:space="preserve"> </w:t>
            </w:r>
          </w:p>
        </w:tc>
      </w:tr>
      <w:tr w:rsidR="00261E08" w:rsidRPr="00FD136C"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FD136C" w:rsidRDefault="00261E08" w:rsidP="00C355B4">
            <w:pPr>
              <w:jc w:val="center"/>
              <w:rPr>
                <w:rFonts w:asciiTheme="majorHAnsi" w:hAnsiTheme="majorHAnsi"/>
                <w:bCs/>
                <w:color w:val="FFFFFF" w:themeColor="background1"/>
                <w:sz w:val="19"/>
                <w:szCs w:val="19"/>
              </w:rPr>
            </w:pPr>
            <w:r w:rsidRPr="00FD136C">
              <w:rPr>
                <w:rFonts w:asciiTheme="majorHAnsi" w:hAnsiTheme="majorHAnsi"/>
                <w:color w:val="FFFFFF" w:themeColor="background1"/>
                <w:sz w:val="19"/>
                <w:szCs w:val="19"/>
              </w:rPr>
              <w:t>Notification of the petition</w:t>
            </w:r>
          </w:p>
        </w:tc>
        <w:tc>
          <w:tcPr>
            <w:tcW w:w="6570" w:type="dxa"/>
            <w:vAlign w:val="center"/>
          </w:tcPr>
          <w:p w14:paraId="425D0EC0" w14:textId="2A989E62" w:rsidR="00261E08" w:rsidRPr="00FD136C" w:rsidRDefault="00614AF6" w:rsidP="009163FC">
            <w:pPr>
              <w:jc w:val="both"/>
              <w:rPr>
                <w:rFonts w:asciiTheme="majorHAnsi" w:hAnsiTheme="majorHAnsi"/>
                <w:bCs/>
                <w:sz w:val="19"/>
                <w:szCs w:val="19"/>
              </w:rPr>
            </w:pPr>
            <w:r w:rsidRPr="00FD136C">
              <w:rPr>
                <w:rFonts w:asciiTheme="majorHAnsi" w:hAnsiTheme="majorHAnsi"/>
                <w:bCs/>
                <w:sz w:val="19"/>
                <w:szCs w:val="19"/>
              </w:rPr>
              <w:t>March 24, 2010</w:t>
            </w:r>
            <w:r w:rsidR="000E5984" w:rsidRPr="00FD136C">
              <w:rPr>
                <w:rFonts w:asciiTheme="majorHAnsi" w:hAnsiTheme="majorHAnsi"/>
                <w:bCs/>
                <w:sz w:val="19"/>
                <w:szCs w:val="19"/>
              </w:rPr>
              <w:t xml:space="preserve"> </w:t>
            </w:r>
          </w:p>
        </w:tc>
      </w:tr>
      <w:tr w:rsidR="00261E08" w:rsidRPr="00FD136C"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FD136C" w:rsidRDefault="00261E08" w:rsidP="009163FC">
            <w:pPr>
              <w:jc w:val="center"/>
              <w:rPr>
                <w:rFonts w:asciiTheme="majorHAnsi" w:hAnsiTheme="majorHAnsi"/>
                <w:bCs/>
                <w:color w:val="FFFFFF" w:themeColor="background1"/>
                <w:sz w:val="19"/>
                <w:szCs w:val="19"/>
              </w:rPr>
            </w:pPr>
            <w:r w:rsidRPr="00FD136C">
              <w:rPr>
                <w:rFonts w:asciiTheme="majorHAnsi" w:hAnsiTheme="majorHAnsi"/>
                <w:color w:val="FFFFFF" w:themeColor="background1"/>
                <w:sz w:val="19"/>
                <w:szCs w:val="19"/>
              </w:rPr>
              <w:t>State’s first response</w:t>
            </w:r>
          </w:p>
        </w:tc>
        <w:tc>
          <w:tcPr>
            <w:tcW w:w="6570" w:type="dxa"/>
            <w:vAlign w:val="center"/>
          </w:tcPr>
          <w:p w14:paraId="7B420FC0" w14:textId="1DAA5557" w:rsidR="00261E08" w:rsidRPr="00FD136C" w:rsidRDefault="00614AF6" w:rsidP="009163FC">
            <w:pPr>
              <w:jc w:val="both"/>
              <w:rPr>
                <w:rFonts w:asciiTheme="majorHAnsi" w:hAnsiTheme="majorHAnsi"/>
                <w:bCs/>
                <w:sz w:val="19"/>
                <w:szCs w:val="19"/>
              </w:rPr>
            </w:pPr>
            <w:r w:rsidRPr="00FD136C">
              <w:rPr>
                <w:rFonts w:asciiTheme="majorHAnsi" w:hAnsiTheme="majorHAnsi"/>
                <w:bCs/>
                <w:sz w:val="19"/>
                <w:szCs w:val="19"/>
              </w:rPr>
              <w:t>July 8, 2010</w:t>
            </w:r>
            <w:r w:rsidR="000E5984" w:rsidRPr="00FD136C">
              <w:rPr>
                <w:rFonts w:asciiTheme="majorHAnsi" w:hAnsiTheme="majorHAnsi"/>
                <w:bCs/>
                <w:sz w:val="19"/>
                <w:szCs w:val="19"/>
              </w:rPr>
              <w:t xml:space="preserve"> </w:t>
            </w:r>
          </w:p>
        </w:tc>
      </w:tr>
      <w:tr w:rsidR="00261E08" w:rsidRPr="00FD136C"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FD136C" w:rsidRDefault="00261E08" w:rsidP="0023351C">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Additional observations from the petitioner</w:t>
            </w:r>
          </w:p>
        </w:tc>
        <w:tc>
          <w:tcPr>
            <w:tcW w:w="6570" w:type="dxa"/>
            <w:vAlign w:val="center"/>
          </w:tcPr>
          <w:p w14:paraId="281700F5" w14:textId="31762D08" w:rsidR="00261E08" w:rsidRPr="00FD136C" w:rsidRDefault="000E5984" w:rsidP="009163FC">
            <w:pPr>
              <w:jc w:val="both"/>
              <w:rPr>
                <w:rFonts w:asciiTheme="majorHAnsi" w:hAnsiTheme="majorHAnsi"/>
                <w:bCs/>
                <w:sz w:val="19"/>
                <w:szCs w:val="19"/>
              </w:rPr>
            </w:pPr>
            <w:r w:rsidRPr="00FD136C">
              <w:rPr>
                <w:rFonts w:asciiTheme="majorHAnsi" w:hAnsiTheme="majorHAnsi"/>
                <w:bCs/>
                <w:sz w:val="19"/>
                <w:szCs w:val="19"/>
              </w:rPr>
              <w:t xml:space="preserve">December 22, 2010 and February 6, 2012 </w:t>
            </w:r>
          </w:p>
        </w:tc>
      </w:tr>
      <w:tr w:rsidR="00261E08" w:rsidRPr="00FD136C"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FD136C" w:rsidRDefault="00261E08" w:rsidP="00653EA6">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Additional observations from the State</w:t>
            </w:r>
          </w:p>
        </w:tc>
        <w:tc>
          <w:tcPr>
            <w:tcW w:w="6570" w:type="dxa"/>
            <w:vAlign w:val="center"/>
          </w:tcPr>
          <w:p w14:paraId="496FF3FF" w14:textId="6ECB7983" w:rsidR="00261E08" w:rsidRPr="00FD136C" w:rsidRDefault="000E5984" w:rsidP="009163FC">
            <w:pPr>
              <w:jc w:val="both"/>
              <w:rPr>
                <w:rFonts w:asciiTheme="majorHAnsi" w:hAnsiTheme="majorHAnsi"/>
                <w:bCs/>
                <w:sz w:val="19"/>
                <w:szCs w:val="19"/>
              </w:rPr>
            </w:pPr>
            <w:r w:rsidRPr="00FD136C">
              <w:rPr>
                <w:rFonts w:asciiTheme="majorHAnsi" w:hAnsiTheme="majorHAnsi"/>
                <w:bCs/>
                <w:sz w:val="19"/>
                <w:szCs w:val="19"/>
              </w:rPr>
              <w:t>October 4, 2011 and August 4, 2017</w:t>
            </w:r>
          </w:p>
        </w:tc>
      </w:tr>
    </w:tbl>
    <w:p w14:paraId="3091AFE0" w14:textId="77777777" w:rsidR="00F621C3" w:rsidRPr="00FD136C" w:rsidRDefault="00F621C3" w:rsidP="00C355B4">
      <w:pPr>
        <w:spacing w:before="120" w:after="120"/>
        <w:ind w:firstLine="720"/>
        <w:jc w:val="both"/>
        <w:rPr>
          <w:rFonts w:asciiTheme="majorHAnsi" w:hAnsiTheme="majorHAnsi"/>
          <w:b/>
          <w:bCs/>
          <w:sz w:val="19"/>
          <w:szCs w:val="19"/>
        </w:rPr>
      </w:pPr>
      <w:r w:rsidRPr="00FD136C">
        <w:rPr>
          <w:rFonts w:asciiTheme="majorHAnsi" w:hAnsiTheme="majorHAnsi"/>
          <w:b/>
          <w:bCs/>
          <w:sz w:val="19"/>
          <w:szCs w:val="19"/>
        </w:rPr>
        <w:t xml:space="preserve">III. </w:t>
      </w:r>
      <w:r w:rsidRPr="00FD136C">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FD136C"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FD136C" w:rsidRDefault="00261E08" w:rsidP="009163FC">
            <w:pPr>
              <w:jc w:val="center"/>
              <w:rPr>
                <w:rFonts w:asciiTheme="majorHAnsi" w:hAnsiTheme="majorHAnsi"/>
                <w:bCs/>
                <w:i/>
                <w:color w:val="FFFFFF" w:themeColor="background1"/>
                <w:sz w:val="19"/>
                <w:szCs w:val="19"/>
              </w:rPr>
            </w:pPr>
            <w:r w:rsidRPr="00FD136C">
              <w:rPr>
                <w:rFonts w:asciiTheme="majorHAnsi" w:hAnsiTheme="majorHAnsi"/>
                <w:bCs/>
                <w:i/>
                <w:color w:val="FFFFFF" w:themeColor="background1"/>
                <w:sz w:val="19"/>
                <w:szCs w:val="19"/>
              </w:rPr>
              <w:t>Ratione personae</w:t>
            </w:r>
          </w:p>
        </w:tc>
        <w:tc>
          <w:tcPr>
            <w:tcW w:w="6622" w:type="dxa"/>
            <w:vAlign w:val="center"/>
          </w:tcPr>
          <w:p w14:paraId="21522B2E" w14:textId="78DFEA82" w:rsidR="00261E08" w:rsidRPr="00FD136C" w:rsidRDefault="000B58CE" w:rsidP="009163FC">
            <w:pPr>
              <w:rPr>
                <w:rFonts w:asciiTheme="majorHAnsi" w:hAnsiTheme="majorHAnsi"/>
                <w:bCs/>
                <w:sz w:val="19"/>
                <w:szCs w:val="19"/>
              </w:rPr>
            </w:pPr>
            <w:r w:rsidRPr="00FD136C">
              <w:rPr>
                <w:rFonts w:asciiTheme="majorHAnsi" w:hAnsiTheme="majorHAnsi"/>
                <w:bCs/>
                <w:sz w:val="19"/>
                <w:szCs w:val="19"/>
              </w:rPr>
              <w:t>Yes</w:t>
            </w:r>
          </w:p>
        </w:tc>
      </w:tr>
      <w:tr w:rsidR="00261E08" w:rsidRPr="00FD136C"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FD136C" w:rsidRDefault="00261E08" w:rsidP="00C355B4">
            <w:pPr>
              <w:jc w:val="center"/>
              <w:rPr>
                <w:rFonts w:asciiTheme="majorHAnsi" w:hAnsiTheme="majorHAnsi"/>
                <w:bCs/>
                <w:color w:val="FFFFFF" w:themeColor="background1"/>
                <w:sz w:val="19"/>
                <w:szCs w:val="19"/>
              </w:rPr>
            </w:pPr>
            <w:r w:rsidRPr="00FD136C">
              <w:rPr>
                <w:rFonts w:asciiTheme="majorHAnsi" w:hAnsiTheme="majorHAnsi"/>
                <w:bCs/>
                <w:i/>
                <w:color w:val="FFFFFF" w:themeColor="background1"/>
                <w:sz w:val="19"/>
                <w:szCs w:val="19"/>
              </w:rPr>
              <w:t>Ratione loci</w:t>
            </w:r>
          </w:p>
        </w:tc>
        <w:tc>
          <w:tcPr>
            <w:tcW w:w="6622" w:type="dxa"/>
            <w:vAlign w:val="center"/>
          </w:tcPr>
          <w:p w14:paraId="27041F7E" w14:textId="48662C40" w:rsidR="00261E08" w:rsidRPr="00FD136C" w:rsidRDefault="000B58CE" w:rsidP="009163FC">
            <w:pPr>
              <w:rPr>
                <w:rFonts w:asciiTheme="majorHAnsi" w:hAnsiTheme="majorHAnsi"/>
                <w:bCs/>
                <w:sz w:val="19"/>
                <w:szCs w:val="19"/>
              </w:rPr>
            </w:pPr>
            <w:r w:rsidRPr="00FD136C">
              <w:rPr>
                <w:rFonts w:asciiTheme="majorHAnsi" w:hAnsiTheme="majorHAnsi"/>
                <w:bCs/>
                <w:sz w:val="19"/>
                <w:szCs w:val="19"/>
              </w:rPr>
              <w:t>Yes</w:t>
            </w:r>
          </w:p>
        </w:tc>
      </w:tr>
      <w:tr w:rsidR="00261E08" w:rsidRPr="00FD136C"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FD136C" w:rsidRDefault="00261E08" w:rsidP="009163FC">
            <w:pPr>
              <w:jc w:val="center"/>
              <w:rPr>
                <w:rFonts w:asciiTheme="majorHAnsi" w:hAnsiTheme="majorHAnsi"/>
                <w:bCs/>
                <w:color w:val="FFFFFF" w:themeColor="background1"/>
                <w:sz w:val="19"/>
                <w:szCs w:val="19"/>
              </w:rPr>
            </w:pPr>
            <w:r w:rsidRPr="00FD136C">
              <w:rPr>
                <w:rFonts w:asciiTheme="majorHAnsi" w:hAnsiTheme="majorHAnsi"/>
                <w:bCs/>
                <w:i/>
                <w:color w:val="FFFFFF" w:themeColor="background1"/>
                <w:sz w:val="19"/>
                <w:szCs w:val="19"/>
              </w:rPr>
              <w:t>Ratione temporis</w:t>
            </w:r>
          </w:p>
        </w:tc>
        <w:tc>
          <w:tcPr>
            <w:tcW w:w="6622" w:type="dxa"/>
            <w:vAlign w:val="center"/>
          </w:tcPr>
          <w:p w14:paraId="6091B7B0" w14:textId="12BC800D" w:rsidR="00261E08" w:rsidRPr="00FD136C" w:rsidRDefault="000B58CE" w:rsidP="009163FC">
            <w:pPr>
              <w:rPr>
                <w:rFonts w:asciiTheme="majorHAnsi" w:hAnsiTheme="majorHAnsi"/>
                <w:bCs/>
                <w:sz w:val="19"/>
                <w:szCs w:val="19"/>
              </w:rPr>
            </w:pPr>
            <w:r w:rsidRPr="00FD136C">
              <w:rPr>
                <w:rFonts w:asciiTheme="majorHAnsi" w:hAnsiTheme="majorHAnsi"/>
                <w:bCs/>
                <w:sz w:val="19"/>
                <w:szCs w:val="19"/>
              </w:rPr>
              <w:t>Yes</w:t>
            </w:r>
          </w:p>
        </w:tc>
      </w:tr>
      <w:tr w:rsidR="00261E08" w:rsidRPr="00FD136C"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FD136C" w:rsidRDefault="00261E08" w:rsidP="009163FC">
            <w:pPr>
              <w:jc w:val="center"/>
              <w:rPr>
                <w:rFonts w:asciiTheme="majorHAnsi" w:hAnsiTheme="majorHAnsi"/>
                <w:bCs/>
                <w:color w:val="FFFFFF" w:themeColor="background1"/>
                <w:sz w:val="19"/>
                <w:szCs w:val="19"/>
              </w:rPr>
            </w:pPr>
            <w:r w:rsidRPr="00FD136C">
              <w:rPr>
                <w:rFonts w:asciiTheme="majorHAnsi" w:hAnsiTheme="majorHAnsi"/>
                <w:bCs/>
                <w:i/>
                <w:color w:val="FFFFFF" w:themeColor="background1"/>
                <w:sz w:val="19"/>
                <w:szCs w:val="19"/>
              </w:rPr>
              <w:t>Ratione materiae</w:t>
            </w:r>
          </w:p>
        </w:tc>
        <w:tc>
          <w:tcPr>
            <w:tcW w:w="6622" w:type="dxa"/>
            <w:vAlign w:val="center"/>
          </w:tcPr>
          <w:p w14:paraId="49BB57C8" w14:textId="5BD45502" w:rsidR="00261E08" w:rsidRPr="00FD136C" w:rsidRDefault="000B58CE" w:rsidP="009163FC">
            <w:pPr>
              <w:jc w:val="both"/>
              <w:rPr>
                <w:rFonts w:asciiTheme="majorHAnsi" w:hAnsiTheme="majorHAnsi"/>
                <w:bCs/>
                <w:sz w:val="19"/>
                <w:szCs w:val="19"/>
              </w:rPr>
            </w:pPr>
            <w:r w:rsidRPr="00FD136C">
              <w:rPr>
                <w:rFonts w:asciiTheme="majorHAnsi" w:hAnsiTheme="majorHAnsi"/>
                <w:bCs/>
                <w:sz w:val="19"/>
                <w:szCs w:val="19"/>
              </w:rPr>
              <w:t>Yes, American Convention (deposit of instrument of ratification on September 5, 1984)</w:t>
            </w:r>
          </w:p>
        </w:tc>
      </w:tr>
    </w:tbl>
    <w:p w14:paraId="742070CB" w14:textId="77777777" w:rsidR="00F621C3" w:rsidRPr="00FD136C" w:rsidRDefault="00F621C3" w:rsidP="00C355B4">
      <w:pPr>
        <w:spacing w:before="120" w:after="120"/>
        <w:ind w:firstLine="720"/>
        <w:jc w:val="both"/>
        <w:rPr>
          <w:rFonts w:asciiTheme="majorHAnsi" w:hAnsiTheme="majorHAnsi"/>
          <w:b/>
          <w:bCs/>
          <w:sz w:val="19"/>
          <w:szCs w:val="19"/>
        </w:rPr>
      </w:pPr>
      <w:r w:rsidRPr="00FD136C">
        <w:rPr>
          <w:rFonts w:asciiTheme="majorHAnsi" w:hAnsiTheme="majorHAnsi"/>
          <w:b/>
          <w:bCs/>
          <w:sz w:val="19"/>
          <w:szCs w:val="19"/>
        </w:rPr>
        <w:t xml:space="preserve">IV. </w:t>
      </w:r>
      <w:r w:rsidRPr="00FD136C">
        <w:rPr>
          <w:rFonts w:asciiTheme="majorHAnsi" w:hAnsiTheme="majorHAnsi"/>
          <w:b/>
          <w:bCs/>
          <w:sz w:val="19"/>
          <w:szCs w:val="19"/>
        </w:rPr>
        <w:tab/>
        <w:t xml:space="preserve">DUPLICATION OF PROCEDURES AND INTERNATIONAL </w:t>
      </w:r>
      <w:r w:rsidRPr="00FD136C">
        <w:rPr>
          <w:rFonts w:asciiTheme="majorHAnsi" w:hAnsiTheme="majorHAnsi"/>
          <w:b/>
          <w:bCs/>
          <w:i/>
          <w:sz w:val="19"/>
          <w:szCs w:val="19"/>
        </w:rPr>
        <w:t>RES JUDICATA</w:t>
      </w:r>
      <w:r w:rsidRPr="00FD136C">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FD136C"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FD136C" w:rsidRDefault="00261E08" w:rsidP="008546E5">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 xml:space="preserve">Duplication of procedures and international </w:t>
            </w:r>
            <w:r w:rsidRPr="00FD136C">
              <w:rPr>
                <w:rFonts w:asciiTheme="majorHAnsi" w:hAnsiTheme="majorHAnsi"/>
                <w:bCs/>
                <w:i/>
                <w:color w:val="FFFFFF" w:themeColor="background1"/>
                <w:sz w:val="19"/>
                <w:szCs w:val="19"/>
              </w:rPr>
              <w:t>res judicata</w:t>
            </w:r>
          </w:p>
        </w:tc>
        <w:tc>
          <w:tcPr>
            <w:tcW w:w="6618" w:type="dxa"/>
            <w:vAlign w:val="center"/>
          </w:tcPr>
          <w:p w14:paraId="1A7CFC69" w14:textId="2C9D197A" w:rsidR="00261E08" w:rsidRPr="00FD136C" w:rsidRDefault="000B58CE" w:rsidP="009163FC">
            <w:pPr>
              <w:jc w:val="both"/>
              <w:rPr>
                <w:rFonts w:asciiTheme="majorHAnsi" w:hAnsiTheme="majorHAnsi"/>
                <w:bCs/>
                <w:sz w:val="19"/>
                <w:szCs w:val="19"/>
              </w:rPr>
            </w:pPr>
            <w:r w:rsidRPr="00FD136C">
              <w:rPr>
                <w:rFonts w:asciiTheme="majorHAnsi" w:hAnsiTheme="majorHAnsi"/>
                <w:bCs/>
                <w:sz w:val="19"/>
                <w:szCs w:val="19"/>
              </w:rPr>
              <w:t>No</w:t>
            </w:r>
          </w:p>
        </w:tc>
      </w:tr>
      <w:tr w:rsidR="00261E08" w:rsidRPr="00FD136C"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FD136C" w:rsidRDefault="00261E08" w:rsidP="009163FC">
            <w:pPr>
              <w:jc w:val="center"/>
              <w:rPr>
                <w:rFonts w:asciiTheme="majorHAnsi" w:hAnsiTheme="majorHAnsi"/>
                <w:bCs/>
                <w:i/>
                <w:color w:val="FFFFFF" w:themeColor="background1"/>
                <w:sz w:val="19"/>
                <w:szCs w:val="19"/>
              </w:rPr>
            </w:pPr>
            <w:r w:rsidRPr="00FD136C">
              <w:rPr>
                <w:rFonts w:asciiTheme="majorHAnsi" w:hAnsiTheme="majorHAnsi"/>
                <w:bCs/>
                <w:color w:val="FFFFFF" w:themeColor="background1"/>
                <w:sz w:val="19"/>
                <w:szCs w:val="19"/>
              </w:rPr>
              <w:t>Rights declared admissible</w:t>
            </w:r>
          </w:p>
        </w:tc>
        <w:tc>
          <w:tcPr>
            <w:tcW w:w="6618" w:type="dxa"/>
            <w:vAlign w:val="center"/>
          </w:tcPr>
          <w:p w14:paraId="7C8C5244" w14:textId="7099C088" w:rsidR="00261E08" w:rsidRPr="00FD136C" w:rsidRDefault="000B58CE" w:rsidP="009163FC">
            <w:pPr>
              <w:jc w:val="both"/>
              <w:rPr>
                <w:rFonts w:asciiTheme="majorHAnsi" w:hAnsiTheme="majorHAnsi"/>
                <w:bCs/>
                <w:sz w:val="19"/>
                <w:szCs w:val="19"/>
              </w:rPr>
            </w:pPr>
            <w:r w:rsidRPr="00FD136C">
              <w:rPr>
                <w:rFonts w:asciiTheme="majorHAnsi" w:hAnsiTheme="majorHAnsi"/>
                <w:bCs/>
                <w:sz w:val="19"/>
                <w:szCs w:val="19"/>
              </w:rPr>
              <w:t>Articles 5 (humane treatment), 7 (personal liberty), 8 (fair trial), 17 (rights of the family), 19 (rights of the child), 24 (equal protection), 25 (judicial protection), and 26 (economic, social, and cultural rights) of the American Convention, in connection with Articles 1.1 (obligation to respect rights) and 2 (domestic legal effects) thereof</w:t>
            </w:r>
          </w:p>
        </w:tc>
      </w:tr>
      <w:tr w:rsidR="00261E08" w:rsidRPr="00FD136C"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FD136C" w:rsidRDefault="00261E08" w:rsidP="008546E5">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0D4B110F" w:rsidR="00261E08" w:rsidRPr="00FD136C" w:rsidRDefault="000B58CE" w:rsidP="009163FC">
            <w:pPr>
              <w:rPr>
                <w:rFonts w:asciiTheme="majorHAnsi" w:hAnsiTheme="majorHAnsi"/>
                <w:bCs/>
                <w:sz w:val="19"/>
                <w:szCs w:val="19"/>
              </w:rPr>
            </w:pPr>
            <w:r w:rsidRPr="00FD136C">
              <w:rPr>
                <w:rFonts w:asciiTheme="majorHAnsi" w:hAnsiTheme="majorHAnsi"/>
                <w:bCs/>
                <w:sz w:val="19"/>
                <w:szCs w:val="19"/>
              </w:rPr>
              <w:t>Yes, December 2, 2008</w:t>
            </w:r>
          </w:p>
        </w:tc>
      </w:tr>
      <w:tr w:rsidR="00261E08" w:rsidRPr="00FD136C"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FD136C" w:rsidRDefault="00261E08" w:rsidP="009163FC">
            <w:pPr>
              <w:jc w:val="center"/>
              <w:rPr>
                <w:rFonts w:asciiTheme="majorHAnsi" w:hAnsiTheme="majorHAnsi"/>
                <w:bCs/>
                <w:color w:val="FFFFFF" w:themeColor="background1"/>
                <w:sz w:val="19"/>
                <w:szCs w:val="19"/>
              </w:rPr>
            </w:pPr>
            <w:r w:rsidRPr="00FD136C">
              <w:rPr>
                <w:rFonts w:asciiTheme="majorHAnsi" w:hAnsiTheme="majorHAnsi"/>
                <w:bCs/>
                <w:color w:val="FFFFFF" w:themeColor="background1"/>
                <w:sz w:val="19"/>
                <w:szCs w:val="19"/>
              </w:rPr>
              <w:t>Timeliness of the petition</w:t>
            </w:r>
          </w:p>
        </w:tc>
        <w:tc>
          <w:tcPr>
            <w:tcW w:w="6618" w:type="dxa"/>
            <w:vAlign w:val="center"/>
          </w:tcPr>
          <w:p w14:paraId="474C25FA" w14:textId="192FE1E3" w:rsidR="00261E08" w:rsidRPr="00FD136C" w:rsidRDefault="000B58CE" w:rsidP="009163FC">
            <w:pPr>
              <w:rPr>
                <w:rFonts w:asciiTheme="majorHAnsi" w:hAnsiTheme="majorHAnsi"/>
                <w:bCs/>
                <w:sz w:val="19"/>
                <w:szCs w:val="19"/>
              </w:rPr>
            </w:pPr>
            <w:r w:rsidRPr="00FD136C">
              <w:rPr>
                <w:rFonts w:asciiTheme="majorHAnsi" w:hAnsiTheme="majorHAnsi"/>
                <w:bCs/>
                <w:sz w:val="19"/>
                <w:szCs w:val="19"/>
              </w:rPr>
              <w:t>Yes, June 2, 2009</w:t>
            </w:r>
          </w:p>
        </w:tc>
      </w:tr>
    </w:tbl>
    <w:p w14:paraId="3FEBD323" w14:textId="4DF09BDD" w:rsidR="00F621C3" w:rsidRPr="00FD136C" w:rsidRDefault="00F621C3" w:rsidP="00C355B4">
      <w:pPr>
        <w:spacing w:before="120" w:after="120"/>
        <w:ind w:firstLine="720"/>
        <w:jc w:val="both"/>
        <w:rPr>
          <w:rFonts w:asciiTheme="majorHAnsi" w:hAnsiTheme="majorHAnsi"/>
          <w:b/>
          <w:sz w:val="20"/>
          <w:szCs w:val="20"/>
        </w:rPr>
      </w:pPr>
      <w:r w:rsidRPr="00FD136C">
        <w:rPr>
          <w:rFonts w:asciiTheme="majorHAnsi" w:hAnsiTheme="majorHAnsi"/>
          <w:b/>
          <w:sz w:val="20"/>
          <w:szCs w:val="20"/>
        </w:rPr>
        <w:t xml:space="preserve">V. </w:t>
      </w:r>
      <w:r w:rsidRPr="00FD136C">
        <w:rPr>
          <w:rFonts w:asciiTheme="majorHAnsi" w:hAnsiTheme="majorHAnsi"/>
          <w:b/>
          <w:sz w:val="20"/>
          <w:szCs w:val="20"/>
        </w:rPr>
        <w:tab/>
      </w:r>
      <w:r w:rsidR="003D6EE0" w:rsidRPr="00FD136C">
        <w:rPr>
          <w:rFonts w:asciiTheme="majorHAnsi" w:hAnsiTheme="majorHAnsi"/>
          <w:b/>
          <w:sz w:val="20"/>
          <w:szCs w:val="20"/>
        </w:rPr>
        <w:t xml:space="preserve">SUMMARY OF </w:t>
      </w:r>
      <w:r w:rsidRPr="00FD136C">
        <w:rPr>
          <w:rFonts w:asciiTheme="majorHAnsi" w:hAnsiTheme="majorHAnsi"/>
          <w:b/>
          <w:sz w:val="20"/>
          <w:szCs w:val="20"/>
        </w:rPr>
        <w:t xml:space="preserve">FACTS </w:t>
      </w:r>
      <w:r w:rsidR="008C2373" w:rsidRPr="00FD136C">
        <w:rPr>
          <w:rFonts w:asciiTheme="majorHAnsi" w:hAnsiTheme="majorHAnsi"/>
          <w:b/>
          <w:sz w:val="20"/>
          <w:szCs w:val="20"/>
        </w:rPr>
        <w:t>ALLEGED</w:t>
      </w:r>
    </w:p>
    <w:p w14:paraId="1B0B2BA8" w14:textId="2F611FBA"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t>The instant petition concerns a claim about the unlawful and arbitrary detention of several socially vulnerable boys, girls, and adolescents</w:t>
      </w:r>
      <w:r w:rsidR="00FE0E05">
        <w:rPr>
          <w:rFonts w:asciiTheme="majorHAnsi" w:hAnsiTheme="majorHAnsi"/>
          <w:sz w:val="20"/>
          <w:szCs w:val="20"/>
        </w:rPr>
        <w:t xml:space="preserve"> who, </w:t>
      </w:r>
      <w:r w:rsidR="001F066E">
        <w:rPr>
          <w:rFonts w:asciiTheme="majorHAnsi" w:hAnsiTheme="majorHAnsi"/>
          <w:sz w:val="20"/>
          <w:szCs w:val="20"/>
        </w:rPr>
        <w:t>being accused of</w:t>
      </w:r>
      <w:r w:rsidR="00FE0E05">
        <w:rPr>
          <w:rFonts w:asciiTheme="majorHAnsi" w:hAnsiTheme="majorHAnsi"/>
          <w:sz w:val="20"/>
          <w:szCs w:val="20"/>
        </w:rPr>
        <w:t xml:space="preserve"> </w:t>
      </w:r>
      <w:r w:rsidR="001F066E">
        <w:rPr>
          <w:rFonts w:asciiTheme="majorHAnsi" w:hAnsiTheme="majorHAnsi"/>
          <w:sz w:val="20"/>
          <w:szCs w:val="20"/>
        </w:rPr>
        <w:t>committing a c</w:t>
      </w:r>
      <w:r w:rsidR="00FE0E05">
        <w:rPr>
          <w:rFonts w:asciiTheme="majorHAnsi" w:hAnsiTheme="majorHAnsi"/>
          <w:sz w:val="20"/>
          <w:szCs w:val="20"/>
        </w:rPr>
        <w:t>rime before turning 16, are detained</w:t>
      </w:r>
      <w:r w:rsidRPr="00FD136C">
        <w:rPr>
          <w:rFonts w:asciiTheme="majorHAnsi" w:hAnsiTheme="majorHAnsi"/>
          <w:sz w:val="20"/>
          <w:szCs w:val="20"/>
        </w:rPr>
        <w:t xml:space="preserve"> in several state </w:t>
      </w:r>
      <w:r w:rsidR="00327F3A" w:rsidRPr="00FD136C">
        <w:rPr>
          <w:rFonts w:asciiTheme="majorHAnsi" w:hAnsiTheme="majorHAnsi"/>
          <w:sz w:val="20"/>
          <w:szCs w:val="20"/>
        </w:rPr>
        <w:t xml:space="preserve">public </w:t>
      </w:r>
      <w:r w:rsidRPr="00FD136C">
        <w:rPr>
          <w:rFonts w:asciiTheme="majorHAnsi" w:hAnsiTheme="majorHAnsi"/>
          <w:sz w:val="20"/>
          <w:szCs w:val="20"/>
        </w:rPr>
        <w:t>facilities in Argentina, by order of national juvenile courts despite</w:t>
      </w:r>
      <w:r w:rsidR="003B5B44">
        <w:rPr>
          <w:rFonts w:asciiTheme="majorHAnsi" w:hAnsiTheme="majorHAnsi"/>
          <w:sz w:val="20"/>
          <w:szCs w:val="20"/>
        </w:rPr>
        <w:t xml:space="preserve"> minors’</w:t>
      </w:r>
      <w:r w:rsidRPr="00FD136C">
        <w:rPr>
          <w:rFonts w:asciiTheme="majorHAnsi" w:hAnsiTheme="majorHAnsi"/>
          <w:sz w:val="20"/>
          <w:szCs w:val="20"/>
        </w:rPr>
        <w:t xml:space="preserve"> </w:t>
      </w:r>
      <w:r w:rsidR="00FE0E05" w:rsidRPr="00393800">
        <w:rPr>
          <w:rFonts w:asciiTheme="majorHAnsi" w:hAnsiTheme="majorHAnsi"/>
          <w:sz w:val="20"/>
          <w:szCs w:val="20"/>
        </w:rPr>
        <w:t>in</w:t>
      </w:r>
      <w:r w:rsidRPr="00393800">
        <w:rPr>
          <w:rFonts w:asciiTheme="majorHAnsi" w:hAnsiTheme="majorHAnsi"/>
          <w:sz w:val="20"/>
          <w:szCs w:val="20"/>
        </w:rPr>
        <w:t>competen</w:t>
      </w:r>
      <w:r w:rsidR="003B5B44" w:rsidRPr="00393800">
        <w:rPr>
          <w:rFonts w:asciiTheme="majorHAnsi" w:hAnsiTheme="majorHAnsi"/>
          <w:sz w:val="20"/>
          <w:szCs w:val="20"/>
        </w:rPr>
        <w:t>ce</w:t>
      </w:r>
      <w:r w:rsidRPr="00FD136C">
        <w:rPr>
          <w:rFonts w:asciiTheme="majorHAnsi" w:hAnsiTheme="majorHAnsi"/>
          <w:sz w:val="20"/>
          <w:szCs w:val="20"/>
        </w:rPr>
        <w:t xml:space="preserve"> to stand trial under the law on juvenile delinquency. The petitioners claim violations of the rights to equal protection, personal liberty, due process, and </w:t>
      </w:r>
      <w:r w:rsidR="00CF7BD9">
        <w:rPr>
          <w:rFonts w:asciiTheme="majorHAnsi" w:hAnsiTheme="majorHAnsi"/>
          <w:sz w:val="20"/>
          <w:szCs w:val="20"/>
        </w:rPr>
        <w:t>judicial guarantees</w:t>
      </w:r>
      <w:r w:rsidRPr="00FD136C">
        <w:rPr>
          <w:rFonts w:asciiTheme="majorHAnsi" w:hAnsiTheme="majorHAnsi"/>
          <w:sz w:val="20"/>
          <w:szCs w:val="20"/>
        </w:rPr>
        <w:t xml:space="preserve">. They also report that the alleged victims are held in poor living conditions, which </w:t>
      </w:r>
      <w:r w:rsidR="00943FB3">
        <w:rPr>
          <w:rFonts w:asciiTheme="majorHAnsi" w:hAnsiTheme="majorHAnsi"/>
          <w:sz w:val="20"/>
          <w:szCs w:val="20"/>
        </w:rPr>
        <w:t>contravenes</w:t>
      </w:r>
      <w:r w:rsidRPr="00FD136C">
        <w:rPr>
          <w:rFonts w:asciiTheme="majorHAnsi" w:hAnsiTheme="majorHAnsi"/>
          <w:sz w:val="20"/>
          <w:szCs w:val="20"/>
        </w:rPr>
        <w:t xml:space="preserve"> their right to physical integrity. </w:t>
      </w:r>
    </w:p>
    <w:p w14:paraId="169694A4" w14:textId="7F8DE5A1"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lastRenderedPageBreak/>
        <w:t>The petitioners submit that article 1 of Decree-Law 22</w:t>
      </w:r>
      <w:r w:rsidR="007F6B92">
        <w:rPr>
          <w:rFonts w:asciiTheme="majorHAnsi" w:hAnsiTheme="majorHAnsi"/>
          <w:sz w:val="20"/>
          <w:szCs w:val="20"/>
        </w:rPr>
        <w:t>.</w:t>
      </w:r>
      <w:r w:rsidRPr="00FD136C">
        <w:rPr>
          <w:rFonts w:asciiTheme="majorHAnsi" w:hAnsiTheme="majorHAnsi"/>
          <w:sz w:val="20"/>
          <w:szCs w:val="20"/>
        </w:rPr>
        <w:t>278</w:t>
      </w:r>
      <w:r w:rsidRPr="00FD136C">
        <w:rPr>
          <w:rStyle w:val="FootnoteReference"/>
          <w:rFonts w:asciiTheme="majorHAnsi" w:hAnsiTheme="majorHAnsi"/>
          <w:sz w:val="20"/>
          <w:szCs w:val="20"/>
        </w:rPr>
        <w:footnoteReference w:id="6"/>
      </w:r>
      <w:r w:rsidRPr="00FD136C">
        <w:rPr>
          <w:rFonts w:asciiTheme="majorHAnsi" w:hAnsiTheme="majorHAnsi"/>
          <w:sz w:val="20"/>
          <w:szCs w:val="20"/>
        </w:rPr>
        <w:t xml:space="preserve"> </w:t>
      </w:r>
      <w:r w:rsidR="006B194E">
        <w:rPr>
          <w:rFonts w:asciiTheme="majorHAnsi" w:hAnsiTheme="majorHAnsi"/>
          <w:sz w:val="20"/>
          <w:szCs w:val="20"/>
        </w:rPr>
        <w:t xml:space="preserve">puts </w:t>
      </w:r>
      <w:r w:rsidR="006A1120">
        <w:rPr>
          <w:rFonts w:asciiTheme="majorHAnsi" w:hAnsiTheme="majorHAnsi"/>
          <w:sz w:val="20"/>
          <w:szCs w:val="20"/>
        </w:rPr>
        <w:t>juveniles</w:t>
      </w:r>
      <w:r w:rsidRPr="00FD136C">
        <w:rPr>
          <w:rFonts w:asciiTheme="majorHAnsi" w:hAnsiTheme="majorHAnsi"/>
          <w:sz w:val="20"/>
          <w:szCs w:val="20"/>
        </w:rPr>
        <w:t xml:space="preserve"> under the age of 16 who are suspected of committing a crime at risk of being deprived of their liberty for an indefinite amount of time despite their incompetenc</w:t>
      </w:r>
      <w:r w:rsidR="007F6B92">
        <w:rPr>
          <w:rFonts w:asciiTheme="majorHAnsi" w:hAnsiTheme="majorHAnsi"/>
          <w:sz w:val="20"/>
          <w:szCs w:val="20"/>
        </w:rPr>
        <w:t>e</w:t>
      </w:r>
      <w:r w:rsidRPr="00FD136C">
        <w:rPr>
          <w:rFonts w:asciiTheme="majorHAnsi" w:hAnsiTheme="majorHAnsi"/>
          <w:sz w:val="20"/>
          <w:szCs w:val="20"/>
        </w:rPr>
        <w:t xml:space="preserve"> to stand trial. Under this article, if a youth aged under 16 is accused of a crime, the judge hearing the case can, at </w:t>
      </w:r>
      <w:r w:rsidR="001C76DD">
        <w:rPr>
          <w:rFonts w:asciiTheme="majorHAnsi" w:hAnsiTheme="majorHAnsi"/>
          <w:sz w:val="20"/>
          <w:szCs w:val="20"/>
        </w:rPr>
        <w:t>its</w:t>
      </w:r>
      <w:r w:rsidRPr="00FD136C">
        <w:rPr>
          <w:rFonts w:asciiTheme="majorHAnsi" w:hAnsiTheme="majorHAnsi"/>
          <w:sz w:val="20"/>
          <w:szCs w:val="20"/>
        </w:rPr>
        <w:t xml:space="preserve"> discretion and following a hearing with the youth’s parents or legal guardians, order th</w:t>
      </w:r>
      <w:r w:rsidR="001C76DD">
        <w:rPr>
          <w:rFonts w:asciiTheme="majorHAnsi" w:hAnsiTheme="majorHAnsi"/>
          <w:sz w:val="20"/>
          <w:szCs w:val="20"/>
        </w:rPr>
        <w:t xml:space="preserve">at the </w:t>
      </w:r>
      <w:r w:rsidRPr="00FD136C">
        <w:rPr>
          <w:rFonts w:asciiTheme="majorHAnsi" w:hAnsiTheme="majorHAnsi"/>
          <w:sz w:val="20"/>
          <w:szCs w:val="20"/>
        </w:rPr>
        <w:t>youth</w:t>
      </w:r>
      <w:r w:rsidR="001C76DD">
        <w:rPr>
          <w:rFonts w:asciiTheme="majorHAnsi" w:hAnsiTheme="majorHAnsi"/>
          <w:sz w:val="20"/>
          <w:szCs w:val="20"/>
        </w:rPr>
        <w:t xml:space="preserve"> be placed in custody of the State </w:t>
      </w:r>
      <w:r w:rsidRPr="00FD136C">
        <w:rPr>
          <w:rFonts w:asciiTheme="majorHAnsi" w:hAnsiTheme="majorHAnsi"/>
          <w:sz w:val="20"/>
          <w:szCs w:val="20"/>
        </w:rPr>
        <w:t>while the</w:t>
      </w:r>
      <w:r w:rsidR="006A1120">
        <w:rPr>
          <w:rFonts w:asciiTheme="majorHAnsi" w:hAnsiTheme="majorHAnsi"/>
          <w:sz w:val="20"/>
          <w:szCs w:val="20"/>
        </w:rPr>
        <w:t xml:space="preserve"> judge</w:t>
      </w:r>
      <w:r w:rsidRPr="00FD136C">
        <w:rPr>
          <w:rFonts w:asciiTheme="majorHAnsi" w:hAnsiTheme="majorHAnsi"/>
          <w:sz w:val="20"/>
          <w:szCs w:val="20"/>
        </w:rPr>
        <w:t xml:space="preserve"> </w:t>
      </w:r>
      <w:r w:rsidR="007F6B92">
        <w:rPr>
          <w:rFonts w:asciiTheme="majorHAnsi" w:hAnsiTheme="majorHAnsi"/>
          <w:sz w:val="20"/>
          <w:szCs w:val="20"/>
        </w:rPr>
        <w:t>determine</w:t>
      </w:r>
      <w:r w:rsidR="006A1120">
        <w:rPr>
          <w:rFonts w:asciiTheme="majorHAnsi" w:hAnsiTheme="majorHAnsi"/>
          <w:sz w:val="20"/>
          <w:szCs w:val="20"/>
        </w:rPr>
        <w:t>s</w:t>
      </w:r>
      <w:r w:rsidRPr="00FD136C">
        <w:rPr>
          <w:rFonts w:asciiTheme="majorHAnsi" w:hAnsiTheme="majorHAnsi"/>
          <w:sz w:val="20"/>
          <w:szCs w:val="20"/>
        </w:rPr>
        <w:t xml:space="preserve"> the youth’s social background</w:t>
      </w:r>
      <w:r w:rsidR="001C76DD">
        <w:rPr>
          <w:rFonts w:asciiTheme="majorHAnsi" w:hAnsiTheme="majorHAnsi"/>
          <w:sz w:val="20"/>
          <w:szCs w:val="20"/>
        </w:rPr>
        <w:t xml:space="preserve"> and situation,</w:t>
      </w:r>
      <w:r w:rsidRPr="00FD136C">
        <w:rPr>
          <w:rFonts w:asciiTheme="majorHAnsi" w:hAnsiTheme="majorHAnsi"/>
          <w:sz w:val="20"/>
          <w:szCs w:val="20"/>
        </w:rPr>
        <w:t xml:space="preserve"> and </w:t>
      </w:r>
      <w:r w:rsidR="004D0038">
        <w:rPr>
          <w:rFonts w:asciiTheme="majorHAnsi" w:hAnsiTheme="majorHAnsi"/>
          <w:sz w:val="20"/>
          <w:szCs w:val="20"/>
        </w:rPr>
        <w:t xml:space="preserve">how to address </w:t>
      </w:r>
      <w:r w:rsidR="001C76DD">
        <w:rPr>
          <w:rFonts w:asciiTheme="majorHAnsi" w:hAnsiTheme="majorHAnsi"/>
          <w:sz w:val="20"/>
          <w:szCs w:val="20"/>
        </w:rPr>
        <w:t>it</w:t>
      </w:r>
      <w:r w:rsidRPr="00FD136C">
        <w:rPr>
          <w:rFonts w:asciiTheme="majorHAnsi" w:hAnsiTheme="majorHAnsi"/>
          <w:sz w:val="20"/>
          <w:szCs w:val="20"/>
        </w:rPr>
        <w:t>. The petitioners submit that</w:t>
      </w:r>
      <w:r w:rsidR="00985D0A">
        <w:rPr>
          <w:rFonts w:asciiTheme="majorHAnsi" w:hAnsiTheme="majorHAnsi"/>
          <w:sz w:val="20"/>
          <w:szCs w:val="20"/>
        </w:rPr>
        <w:t xml:space="preserve"> </w:t>
      </w:r>
      <w:r w:rsidR="001C76DD">
        <w:rPr>
          <w:rFonts w:asciiTheme="majorHAnsi" w:hAnsiTheme="majorHAnsi"/>
          <w:sz w:val="20"/>
          <w:szCs w:val="20"/>
        </w:rPr>
        <w:t>this S</w:t>
      </w:r>
      <w:r w:rsidRPr="00FD136C">
        <w:rPr>
          <w:rFonts w:asciiTheme="majorHAnsi" w:hAnsiTheme="majorHAnsi"/>
          <w:sz w:val="20"/>
          <w:szCs w:val="20"/>
        </w:rPr>
        <w:t xml:space="preserve">tate </w:t>
      </w:r>
      <w:r w:rsidR="00985D0A">
        <w:rPr>
          <w:rFonts w:asciiTheme="majorHAnsi" w:hAnsiTheme="majorHAnsi"/>
          <w:sz w:val="20"/>
          <w:szCs w:val="20"/>
        </w:rPr>
        <w:t>intervention</w:t>
      </w:r>
      <w:r w:rsidRPr="00FD136C">
        <w:rPr>
          <w:rFonts w:asciiTheme="majorHAnsi" w:hAnsiTheme="majorHAnsi"/>
          <w:sz w:val="20"/>
          <w:szCs w:val="20"/>
        </w:rPr>
        <w:t xml:space="preserve"> takes the form of deprivation of liberty</w:t>
      </w:r>
      <w:r w:rsidR="00985D0A">
        <w:rPr>
          <w:rFonts w:asciiTheme="majorHAnsi" w:hAnsiTheme="majorHAnsi"/>
          <w:sz w:val="20"/>
          <w:szCs w:val="20"/>
        </w:rPr>
        <w:t xml:space="preserve"> </w:t>
      </w:r>
      <w:r w:rsidR="00A655A0">
        <w:rPr>
          <w:rFonts w:asciiTheme="majorHAnsi" w:hAnsiTheme="majorHAnsi"/>
          <w:sz w:val="20"/>
          <w:szCs w:val="20"/>
        </w:rPr>
        <w:t>of</w:t>
      </w:r>
      <w:r w:rsidR="00985D0A">
        <w:rPr>
          <w:rFonts w:asciiTheme="majorHAnsi" w:hAnsiTheme="majorHAnsi"/>
          <w:sz w:val="20"/>
          <w:szCs w:val="20"/>
        </w:rPr>
        <w:t xml:space="preserve"> </w:t>
      </w:r>
      <w:r w:rsidR="00985D0A" w:rsidRPr="00FD136C">
        <w:rPr>
          <w:rFonts w:asciiTheme="majorHAnsi" w:hAnsiTheme="majorHAnsi"/>
          <w:sz w:val="20"/>
          <w:szCs w:val="20"/>
        </w:rPr>
        <w:t>youth</w:t>
      </w:r>
      <w:r w:rsidR="001C76DD">
        <w:rPr>
          <w:rFonts w:asciiTheme="majorHAnsi" w:hAnsiTheme="majorHAnsi"/>
          <w:sz w:val="20"/>
          <w:szCs w:val="20"/>
        </w:rPr>
        <w:t xml:space="preserve"> in situation of social vulnerability</w:t>
      </w:r>
      <w:r w:rsidRPr="00FD136C">
        <w:rPr>
          <w:rFonts w:asciiTheme="majorHAnsi" w:hAnsiTheme="majorHAnsi"/>
          <w:sz w:val="20"/>
          <w:szCs w:val="20"/>
        </w:rPr>
        <w:t xml:space="preserve">. </w:t>
      </w:r>
      <w:r w:rsidR="001C76DD">
        <w:rPr>
          <w:rFonts w:asciiTheme="majorHAnsi" w:hAnsiTheme="majorHAnsi"/>
          <w:sz w:val="20"/>
          <w:szCs w:val="20"/>
        </w:rPr>
        <w:t xml:space="preserve">They allege that </w:t>
      </w:r>
      <w:r w:rsidRPr="00FD136C">
        <w:rPr>
          <w:rFonts w:asciiTheme="majorHAnsi" w:hAnsiTheme="majorHAnsi"/>
          <w:sz w:val="20"/>
          <w:szCs w:val="20"/>
        </w:rPr>
        <w:t xml:space="preserve">the adoption of this protective measure is part of a </w:t>
      </w:r>
      <w:r w:rsidR="001C76DD">
        <w:rPr>
          <w:rFonts w:asciiTheme="majorHAnsi" w:hAnsiTheme="majorHAnsi"/>
          <w:sz w:val="20"/>
          <w:szCs w:val="20"/>
        </w:rPr>
        <w:t>guardianship</w:t>
      </w:r>
      <w:r w:rsidRPr="00FD136C">
        <w:rPr>
          <w:rFonts w:asciiTheme="majorHAnsi" w:hAnsiTheme="majorHAnsi"/>
          <w:sz w:val="20"/>
          <w:szCs w:val="20"/>
        </w:rPr>
        <w:t xml:space="preserve"> proceeding in which </w:t>
      </w:r>
      <w:r w:rsidR="006B194E">
        <w:rPr>
          <w:rFonts w:asciiTheme="majorHAnsi" w:hAnsiTheme="majorHAnsi"/>
          <w:sz w:val="20"/>
          <w:szCs w:val="20"/>
        </w:rPr>
        <w:t>a</w:t>
      </w:r>
      <w:r w:rsidRPr="00FD136C">
        <w:rPr>
          <w:rFonts w:asciiTheme="majorHAnsi" w:hAnsiTheme="majorHAnsi"/>
          <w:sz w:val="20"/>
          <w:szCs w:val="20"/>
        </w:rPr>
        <w:t xml:space="preserve"> judge </w:t>
      </w:r>
      <w:r w:rsidR="002C4FE9">
        <w:rPr>
          <w:rFonts w:asciiTheme="majorHAnsi" w:hAnsiTheme="majorHAnsi"/>
          <w:sz w:val="20"/>
          <w:szCs w:val="20"/>
        </w:rPr>
        <w:t xml:space="preserve">orders the youth’s </w:t>
      </w:r>
      <w:r w:rsidR="001C76DD">
        <w:rPr>
          <w:rFonts w:asciiTheme="majorHAnsi" w:hAnsiTheme="majorHAnsi"/>
          <w:sz w:val="20"/>
          <w:szCs w:val="20"/>
        </w:rPr>
        <w:t>custody</w:t>
      </w:r>
      <w:r w:rsidRPr="00FD136C">
        <w:rPr>
          <w:rFonts w:asciiTheme="majorHAnsi" w:hAnsiTheme="majorHAnsi"/>
          <w:sz w:val="20"/>
          <w:szCs w:val="20"/>
        </w:rPr>
        <w:t xml:space="preserve"> based on reports </w:t>
      </w:r>
      <w:r w:rsidR="001C76DD">
        <w:rPr>
          <w:rFonts w:asciiTheme="majorHAnsi" w:hAnsiTheme="majorHAnsi"/>
          <w:sz w:val="20"/>
          <w:szCs w:val="20"/>
        </w:rPr>
        <w:t>addressing</w:t>
      </w:r>
      <w:r w:rsidRPr="00FD136C">
        <w:rPr>
          <w:rFonts w:asciiTheme="majorHAnsi" w:hAnsiTheme="majorHAnsi"/>
          <w:sz w:val="20"/>
          <w:szCs w:val="20"/>
        </w:rPr>
        <w:t xml:space="preserve"> the family, psychological, social, and environmental aspects of the youth and </w:t>
      </w:r>
      <w:r w:rsidR="001C76DD">
        <w:rPr>
          <w:rFonts w:asciiTheme="majorHAnsi" w:hAnsiTheme="majorHAnsi"/>
          <w:sz w:val="20"/>
          <w:szCs w:val="20"/>
        </w:rPr>
        <w:t>its</w:t>
      </w:r>
      <w:r w:rsidRPr="00FD136C">
        <w:rPr>
          <w:rFonts w:asciiTheme="majorHAnsi" w:hAnsiTheme="majorHAnsi"/>
          <w:sz w:val="20"/>
          <w:szCs w:val="20"/>
        </w:rPr>
        <w:t xml:space="preserve"> family</w:t>
      </w:r>
      <w:r w:rsidR="00A96B7C">
        <w:rPr>
          <w:rFonts w:asciiTheme="majorHAnsi" w:hAnsiTheme="majorHAnsi"/>
          <w:sz w:val="20"/>
          <w:szCs w:val="20"/>
        </w:rPr>
        <w:t xml:space="preserve"> but</w:t>
      </w:r>
      <w:r w:rsidRPr="00FD136C">
        <w:rPr>
          <w:rFonts w:asciiTheme="majorHAnsi" w:hAnsiTheme="majorHAnsi"/>
          <w:sz w:val="20"/>
          <w:szCs w:val="20"/>
        </w:rPr>
        <w:t xml:space="preserve"> </w:t>
      </w:r>
      <w:r w:rsidR="00A96B7C">
        <w:rPr>
          <w:rFonts w:asciiTheme="majorHAnsi" w:hAnsiTheme="majorHAnsi"/>
          <w:sz w:val="20"/>
          <w:szCs w:val="20"/>
        </w:rPr>
        <w:t>which are fully disconnected from</w:t>
      </w:r>
      <w:r w:rsidRPr="00FD136C">
        <w:rPr>
          <w:rFonts w:asciiTheme="majorHAnsi" w:hAnsiTheme="majorHAnsi"/>
          <w:sz w:val="20"/>
          <w:szCs w:val="20"/>
        </w:rPr>
        <w:t xml:space="preserve"> the criminal proceeding fo</w:t>
      </w:r>
      <w:r w:rsidR="001C76DD">
        <w:rPr>
          <w:rFonts w:asciiTheme="majorHAnsi" w:hAnsiTheme="majorHAnsi"/>
          <w:sz w:val="20"/>
          <w:szCs w:val="20"/>
        </w:rPr>
        <w:t>llowing which the youth’s case has been dismissed</w:t>
      </w:r>
      <w:r w:rsidRPr="00FD136C">
        <w:rPr>
          <w:rFonts w:asciiTheme="majorHAnsi" w:hAnsiTheme="majorHAnsi"/>
          <w:sz w:val="20"/>
          <w:szCs w:val="20"/>
        </w:rPr>
        <w:t>.</w:t>
      </w:r>
      <w:r w:rsidR="002C4FE9">
        <w:rPr>
          <w:rFonts w:asciiTheme="majorHAnsi" w:hAnsiTheme="majorHAnsi"/>
          <w:sz w:val="20"/>
          <w:szCs w:val="20"/>
        </w:rPr>
        <w:t xml:space="preserve"> </w:t>
      </w:r>
    </w:p>
    <w:p w14:paraId="29D10B6E" w14:textId="659246F2"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t xml:space="preserve">The petitioners submit that on their visit </w:t>
      </w:r>
      <w:r w:rsidR="005F5991">
        <w:rPr>
          <w:rFonts w:asciiTheme="majorHAnsi" w:hAnsiTheme="majorHAnsi"/>
          <w:sz w:val="20"/>
          <w:szCs w:val="20"/>
        </w:rPr>
        <w:t xml:space="preserve">on </w:t>
      </w:r>
      <w:r w:rsidR="005F5991" w:rsidRPr="00FD136C">
        <w:rPr>
          <w:rFonts w:asciiTheme="majorHAnsi" w:hAnsiTheme="majorHAnsi"/>
          <w:sz w:val="20"/>
          <w:szCs w:val="20"/>
        </w:rPr>
        <w:t>April 14, 2009</w:t>
      </w:r>
      <w:r w:rsidR="005F5991">
        <w:rPr>
          <w:rFonts w:asciiTheme="majorHAnsi" w:hAnsiTheme="majorHAnsi"/>
          <w:sz w:val="20"/>
          <w:szCs w:val="20"/>
        </w:rPr>
        <w:t xml:space="preserve">, </w:t>
      </w:r>
      <w:r w:rsidRPr="00FD136C">
        <w:rPr>
          <w:rFonts w:asciiTheme="majorHAnsi" w:hAnsiTheme="majorHAnsi"/>
          <w:sz w:val="20"/>
          <w:szCs w:val="20"/>
        </w:rPr>
        <w:t>to</w:t>
      </w:r>
      <w:r w:rsidR="001B5ED5">
        <w:rPr>
          <w:rFonts w:asciiTheme="majorHAnsi" w:hAnsiTheme="majorHAnsi"/>
          <w:sz w:val="20"/>
          <w:szCs w:val="20"/>
        </w:rPr>
        <w:t xml:space="preserve"> the</w:t>
      </w:r>
      <w:r w:rsidRPr="00FD136C">
        <w:rPr>
          <w:rFonts w:asciiTheme="majorHAnsi" w:hAnsiTheme="majorHAnsi"/>
          <w:sz w:val="20"/>
          <w:szCs w:val="20"/>
        </w:rPr>
        <w:t xml:space="preserve"> </w:t>
      </w:r>
      <w:r w:rsidRPr="001B5ED5">
        <w:rPr>
          <w:rFonts w:asciiTheme="majorHAnsi" w:hAnsiTheme="majorHAnsi"/>
          <w:i/>
          <w:iCs/>
          <w:sz w:val="20"/>
          <w:szCs w:val="20"/>
        </w:rPr>
        <w:t>Instituto General San Martín</w:t>
      </w:r>
      <w:r w:rsidR="001B5ED5">
        <w:rPr>
          <w:rFonts w:asciiTheme="majorHAnsi" w:hAnsiTheme="majorHAnsi"/>
          <w:sz w:val="20"/>
          <w:szCs w:val="20"/>
        </w:rPr>
        <w:t>,</w:t>
      </w:r>
      <w:r w:rsidR="001C76DD">
        <w:rPr>
          <w:rFonts w:asciiTheme="majorHAnsi" w:hAnsiTheme="majorHAnsi"/>
          <w:sz w:val="20"/>
          <w:szCs w:val="20"/>
        </w:rPr>
        <w:t xml:space="preserve"> one of the S</w:t>
      </w:r>
      <w:r w:rsidRPr="00FD136C">
        <w:rPr>
          <w:rFonts w:asciiTheme="majorHAnsi" w:hAnsiTheme="majorHAnsi"/>
          <w:sz w:val="20"/>
          <w:szCs w:val="20"/>
        </w:rPr>
        <w:t xml:space="preserve">tate </w:t>
      </w:r>
      <w:r w:rsidR="00A34DB0">
        <w:rPr>
          <w:rFonts w:asciiTheme="majorHAnsi" w:hAnsiTheme="majorHAnsi"/>
          <w:sz w:val="20"/>
          <w:szCs w:val="20"/>
        </w:rPr>
        <w:t>housing</w:t>
      </w:r>
      <w:r w:rsidRPr="00FD136C">
        <w:rPr>
          <w:rFonts w:asciiTheme="majorHAnsi" w:hAnsiTheme="majorHAnsi"/>
          <w:sz w:val="20"/>
          <w:szCs w:val="20"/>
        </w:rPr>
        <w:t xml:space="preserve"> facilities mentioned in the petition, they observed that the </w:t>
      </w:r>
      <w:r w:rsidR="00197D98">
        <w:rPr>
          <w:rFonts w:asciiTheme="majorHAnsi" w:hAnsiTheme="majorHAnsi"/>
          <w:sz w:val="20"/>
          <w:szCs w:val="20"/>
        </w:rPr>
        <w:t>minors</w:t>
      </w:r>
      <w:r w:rsidRPr="00FD136C">
        <w:rPr>
          <w:rFonts w:asciiTheme="majorHAnsi" w:hAnsiTheme="majorHAnsi"/>
          <w:sz w:val="20"/>
          <w:szCs w:val="20"/>
        </w:rPr>
        <w:t xml:space="preserve"> </w:t>
      </w:r>
      <w:r w:rsidR="001C76DD">
        <w:rPr>
          <w:rFonts w:asciiTheme="majorHAnsi" w:hAnsiTheme="majorHAnsi"/>
          <w:sz w:val="20"/>
          <w:szCs w:val="20"/>
        </w:rPr>
        <w:t>were</w:t>
      </w:r>
      <w:r w:rsidRPr="00FD136C">
        <w:rPr>
          <w:rFonts w:asciiTheme="majorHAnsi" w:hAnsiTheme="majorHAnsi"/>
          <w:sz w:val="20"/>
          <w:szCs w:val="20"/>
        </w:rPr>
        <w:t xml:space="preserve"> held in pavilions with closed</w:t>
      </w:r>
      <w:r w:rsidR="001B5ED5">
        <w:rPr>
          <w:rFonts w:asciiTheme="majorHAnsi" w:hAnsiTheme="majorHAnsi"/>
          <w:sz w:val="20"/>
          <w:szCs w:val="20"/>
        </w:rPr>
        <w:t>,</w:t>
      </w:r>
      <w:r w:rsidRPr="00FD136C">
        <w:rPr>
          <w:rFonts w:asciiTheme="majorHAnsi" w:hAnsiTheme="majorHAnsi"/>
          <w:sz w:val="20"/>
          <w:szCs w:val="20"/>
        </w:rPr>
        <w:t xml:space="preserve"> barred doors similar to those found in prisons for adult offenders. They also say that there is no heating system</w:t>
      </w:r>
      <w:r w:rsidR="001A6C04">
        <w:rPr>
          <w:rFonts w:asciiTheme="majorHAnsi" w:hAnsiTheme="majorHAnsi"/>
          <w:sz w:val="20"/>
          <w:szCs w:val="20"/>
        </w:rPr>
        <w:t xml:space="preserve"> in the cells</w:t>
      </w:r>
      <w:r w:rsidRPr="00FD136C">
        <w:rPr>
          <w:rFonts w:asciiTheme="majorHAnsi" w:hAnsiTheme="majorHAnsi"/>
          <w:sz w:val="20"/>
          <w:szCs w:val="20"/>
        </w:rPr>
        <w:t xml:space="preserve"> </w:t>
      </w:r>
      <w:r w:rsidR="001C76DD">
        <w:rPr>
          <w:rFonts w:asciiTheme="majorHAnsi" w:hAnsiTheme="majorHAnsi"/>
          <w:sz w:val="20"/>
          <w:szCs w:val="20"/>
        </w:rPr>
        <w:t>and that</w:t>
      </w:r>
      <w:r w:rsidRPr="00FD136C">
        <w:rPr>
          <w:rFonts w:asciiTheme="majorHAnsi" w:hAnsiTheme="majorHAnsi"/>
          <w:sz w:val="20"/>
          <w:szCs w:val="20"/>
        </w:rPr>
        <w:t xml:space="preserve"> the windows are broken</w:t>
      </w:r>
      <w:r w:rsidR="00036FA4">
        <w:rPr>
          <w:rFonts w:asciiTheme="majorHAnsi" w:hAnsiTheme="majorHAnsi"/>
          <w:sz w:val="20"/>
          <w:szCs w:val="20"/>
        </w:rPr>
        <w:t xml:space="preserve"> and </w:t>
      </w:r>
      <w:r w:rsidRPr="00FD136C">
        <w:rPr>
          <w:rFonts w:asciiTheme="majorHAnsi" w:hAnsiTheme="majorHAnsi"/>
          <w:sz w:val="20"/>
          <w:szCs w:val="20"/>
        </w:rPr>
        <w:t xml:space="preserve">let the cool air in. They complain </w:t>
      </w:r>
      <w:r w:rsidR="006D7395">
        <w:rPr>
          <w:rFonts w:asciiTheme="majorHAnsi" w:hAnsiTheme="majorHAnsi"/>
          <w:sz w:val="20"/>
          <w:szCs w:val="20"/>
        </w:rPr>
        <w:t xml:space="preserve">about the lack of regular visits </w:t>
      </w:r>
      <w:r w:rsidR="006D7395" w:rsidRPr="00E11AD7">
        <w:rPr>
          <w:rFonts w:asciiTheme="majorHAnsi" w:hAnsiTheme="majorHAnsi"/>
          <w:sz w:val="20"/>
          <w:szCs w:val="20"/>
        </w:rPr>
        <w:t>from</w:t>
      </w:r>
      <w:r w:rsidRPr="00FD136C">
        <w:rPr>
          <w:rFonts w:asciiTheme="majorHAnsi" w:hAnsiTheme="majorHAnsi"/>
          <w:sz w:val="20"/>
          <w:szCs w:val="20"/>
        </w:rPr>
        <w:t xml:space="preserve"> counsels and the lack of rules establishing behavior guidelines and corrective measures </w:t>
      </w:r>
      <w:r w:rsidR="006F6337">
        <w:rPr>
          <w:rFonts w:asciiTheme="majorHAnsi" w:hAnsiTheme="majorHAnsi"/>
          <w:sz w:val="20"/>
          <w:szCs w:val="20"/>
        </w:rPr>
        <w:t>since</w:t>
      </w:r>
      <w:r w:rsidR="001B5ED5">
        <w:rPr>
          <w:rFonts w:asciiTheme="majorHAnsi" w:hAnsiTheme="majorHAnsi"/>
          <w:sz w:val="20"/>
          <w:szCs w:val="20"/>
        </w:rPr>
        <w:t>,</w:t>
      </w:r>
      <w:r w:rsidRPr="00FD136C">
        <w:rPr>
          <w:rFonts w:asciiTheme="majorHAnsi" w:hAnsiTheme="majorHAnsi"/>
          <w:sz w:val="20"/>
          <w:szCs w:val="20"/>
        </w:rPr>
        <w:t xml:space="preserve"> in</w:t>
      </w:r>
      <w:r w:rsidR="006F6337">
        <w:rPr>
          <w:rFonts w:asciiTheme="majorHAnsi" w:hAnsiTheme="majorHAnsi"/>
          <w:sz w:val="20"/>
          <w:szCs w:val="20"/>
        </w:rPr>
        <w:t xml:space="preserve"> </w:t>
      </w:r>
      <w:r w:rsidRPr="00FD136C">
        <w:rPr>
          <w:rFonts w:asciiTheme="majorHAnsi" w:hAnsiTheme="majorHAnsi"/>
          <w:sz w:val="20"/>
          <w:szCs w:val="20"/>
        </w:rPr>
        <w:t xml:space="preserve">case of misbehavior, the </w:t>
      </w:r>
      <w:r w:rsidR="001B5ED5">
        <w:rPr>
          <w:rFonts w:asciiTheme="majorHAnsi" w:hAnsiTheme="majorHAnsi"/>
          <w:sz w:val="20"/>
          <w:szCs w:val="20"/>
        </w:rPr>
        <w:t>minors</w:t>
      </w:r>
      <w:r w:rsidRPr="00FD136C">
        <w:rPr>
          <w:rFonts w:asciiTheme="majorHAnsi" w:hAnsiTheme="majorHAnsi"/>
          <w:sz w:val="20"/>
          <w:szCs w:val="20"/>
        </w:rPr>
        <w:t xml:space="preserve"> are isolated in cells with</w:t>
      </w:r>
      <w:r w:rsidR="00A556D4">
        <w:rPr>
          <w:rFonts w:asciiTheme="majorHAnsi" w:hAnsiTheme="majorHAnsi"/>
          <w:sz w:val="20"/>
          <w:szCs w:val="20"/>
        </w:rPr>
        <w:t xml:space="preserve">out </w:t>
      </w:r>
      <w:r w:rsidRPr="00FD136C">
        <w:rPr>
          <w:rFonts w:asciiTheme="majorHAnsi" w:hAnsiTheme="majorHAnsi"/>
          <w:sz w:val="20"/>
          <w:szCs w:val="20"/>
        </w:rPr>
        <w:t xml:space="preserve">furniture or </w:t>
      </w:r>
      <w:r w:rsidR="00A556D4">
        <w:rPr>
          <w:rFonts w:asciiTheme="majorHAnsi" w:hAnsiTheme="majorHAnsi"/>
          <w:sz w:val="20"/>
          <w:szCs w:val="20"/>
        </w:rPr>
        <w:t xml:space="preserve">a </w:t>
      </w:r>
      <w:r w:rsidRPr="00FD136C">
        <w:rPr>
          <w:rFonts w:asciiTheme="majorHAnsi" w:hAnsiTheme="majorHAnsi"/>
          <w:sz w:val="20"/>
          <w:szCs w:val="20"/>
        </w:rPr>
        <w:t>toile</w:t>
      </w:r>
      <w:r w:rsidR="001C76DD">
        <w:rPr>
          <w:rFonts w:asciiTheme="majorHAnsi" w:hAnsiTheme="majorHAnsi"/>
          <w:sz w:val="20"/>
          <w:szCs w:val="20"/>
        </w:rPr>
        <w:t xml:space="preserve">t. Another factor they mention </w:t>
      </w:r>
      <w:r w:rsidRPr="00FD136C">
        <w:rPr>
          <w:rFonts w:asciiTheme="majorHAnsi" w:hAnsiTheme="majorHAnsi"/>
          <w:sz w:val="20"/>
          <w:szCs w:val="20"/>
        </w:rPr>
        <w:t>is the lack of training for the facility’s security guards</w:t>
      </w:r>
      <w:r w:rsidR="001C76DD">
        <w:rPr>
          <w:rFonts w:asciiTheme="majorHAnsi" w:hAnsiTheme="majorHAnsi"/>
          <w:sz w:val="20"/>
          <w:szCs w:val="20"/>
        </w:rPr>
        <w:t>, who do not receive specific course on the matter</w:t>
      </w:r>
      <w:r w:rsidRPr="00FD136C">
        <w:rPr>
          <w:rFonts w:asciiTheme="majorHAnsi" w:hAnsiTheme="majorHAnsi"/>
          <w:sz w:val="20"/>
          <w:szCs w:val="20"/>
        </w:rPr>
        <w:t xml:space="preserve">. They conclude that the living conditions at this facility violate </w:t>
      </w:r>
      <w:r w:rsidR="00B53073">
        <w:rPr>
          <w:rFonts w:asciiTheme="majorHAnsi" w:hAnsiTheme="majorHAnsi"/>
          <w:sz w:val="20"/>
          <w:szCs w:val="20"/>
        </w:rPr>
        <w:t>the minors’</w:t>
      </w:r>
      <w:r w:rsidRPr="00FD136C">
        <w:rPr>
          <w:rFonts w:asciiTheme="majorHAnsi" w:hAnsiTheme="majorHAnsi"/>
          <w:sz w:val="20"/>
          <w:szCs w:val="20"/>
        </w:rPr>
        <w:t xml:space="preserve"> rights to privacy and physical integrity because of the</w:t>
      </w:r>
      <w:r w:rsidR="001C76DD">
        <w:rPr>
          <w:rFonts w:asciiTheme="majorHAnsi" w:hAnsiTheme="majorHAnsi"/>
          <w:sz w:val="20"/>
          <w:szCs w:val="20"/>
        </w:rPr>
        <w:t xml:space="preserve"> harsh conditions of living and the </w:t>
      </w:r>
      <w:r w:rsidRPr="00FD136C">
        <w:rPr>
          <w:rFonts w:asciiTheme="majorHAnsi" w:hAnsiTheme="majorHAnsi"/>
          <w:sz w:val="20"/>
          <w:szCs w:val="20"/>
        </w:rPr>
        <w:t xml:space="preserve">maltreatment. </w:t>
      </w:r>
    </w:p>
    <w:p w14:paraId="53B0491C" w14:textId="16110204"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t xml:space="preserve">The petitioners detail the individual cases of three alleged victims </w:t>
      </w:r>
      <w:r w:rsidR="00C7650A">
        <w:rPr>
          <w:rFonts w:asciiTheme="majorHAnsi" w:hAnsiTheme="majorHAnsi"/>
          <w:sz w:val="20"/>
          <w:szCs w:val="20"/>
        </w:rPr>
        <w:t>that</w:t>
      </w:r>
      <w:r w:rsidRPr="00FD136C">
        <w:rPr>
          <w:rFonts w:asciiTheme="majorHAnsi" w:hAnsiTheme="majorHAnsi"/>
          <w:sz w:val="20"/>
          <w:szCs w:val="20"/>
        </w:rPr>
        <w:t xml:space="preserve"> </w:t>
      </w:r>
      <w:r w:rsidR="001C76DD">
        <w:rPr>
          <w:rFonts w:asciiTheme="majorHAnsi" w:hAnsiTheme="majorHAnsi"/>
          <w:sz w:val="20"/>
          <w:szCs w:val="20"/>
        </w:rPr>
        <w:t>purportedly</w:t>
      </w:r>
      <w:r w:rsidRPr="00FD136C">
        <w:rPr>
          <w:rFonts w:asciiTheme="majorHAnsi" w:hAnsiTheme="majorHAnsi"/>
          <w:sz w:val="20"/>
          <w:szCs w:val="20"/>
        </w:rPr>
        <w:t xml:space="preserve"> represent a universe of </w:t>
      </w:r>
      <w:r w:rsidR="00A914D9">
        <w:rPr>
          <w:rFonts w:asciiTheme="majorHAnsi" w:hAnsiTheme="majorHAnsi"/>
          <w:sz w:val="20"/>
          <w:szCs w:val="20"/>
        </w:rPr>
        <w:t>juveniles</w:t>
      </w:r>
      <w:r w:rsidRPr="00FD136C">
        <w:rPr>
          <w:rFonts w:asciiTheme="majorHAnsi" w:hAnsiTheme="majorHAnsi"/>
          <w:sz w:val="20"/>
          <w:szCs w:val="20"/>
        </w:rPr>
        <w:t xml:space="preserve"> who are in the same situation. </w:t>
      </w:r>
      <w:r w:rsidR="00FD136C" w:rsidRPr="00FD136C">
        <w:rPr>
          <w:rFonts w:asciiTheme="majorHAnsi" w:hAnsiTheme="majorHAnsi"/>
          <w:sz w:val="20"/>
          <w:szCs w:val="20"/>
        </w:rPr>
        <w:t>They</w:t>
      </w:r>
      <w:r w:rsidRPr="00FD136C">
        <w:rPr>
          <w:rFonts w:asciiTheme="majorHAnsi" w:hAnsiTheme="majorHAnsi"/>
          <w:sz w:val="20"/>
          <w:szCs w:val="20"/>
        </w:rPr>
        <w:t xml:space="preserve"> explain that victims Juan Manuel Cardozo (aged 16) Leonardo Ariel Rosales (aged 14), and David </w:t>
      </w:r>
      <w:proofErr w:type="spellStart"/>
      <w:r w:rsidRPr="00FD136C">
        <w:rPr>
          <w:rFonts w:asciiTheme="majorHAnsi" w:hAnsiTheme="majorHAnsi"/>
          <w:sz w:val="20"/>
          <w:szCs w:val="20"/>
        </w:rPr>
        <w:t>Nazareno</w:t>
      </w:r>
      <w:proofErr w:type="spellEnd"/>
      <w:r w:rsidRPr="00FD136C">
        <w:rPr>
          <w:rFonts w:asciiTheme="majorHAnsi" w:hAnsiTheme="majorHAnsi"/>
          <w:sz w:val="20"/>
          <w:szCs w:val="20"/>
        </w:rPr>
        <w:t xml:space="preserve"> Coronel (aged 15) were transferred to the</w:t>
      </w:r>
      <w:r w:rsidR="000553FD">
        <w:rPr>
          <w:rFonts w:asciiTheme="majorHAnsi" w:hAnsiTheme="majorHAnsi"/>
          <w:sz w:val="20"/>
          <w:szCs w:val="20"/>
        </w:rPr>
        <w:t xml:space="preserve"> </w:t>
      </w:r>
      <w:r w:rsidRPr="000553FD">
        <w:rPr>
          <w:rFonts w:asciiTheme="majorHAnsi" w:hAnsiTheme="majorHAnsi"/>
          <w:i/>
          <w:iCs/>
          <w:sz w:val="20"/>
          <w:szCs w:val="20"/>
        </w:rPr>
        <w:t>Instituto General San Martín</w:t>
      </w:r>
      <w:r w:rsidRPr="00FD136C">
        <w:rPr>
          <w:rFonts w:asciiTheme="majorHAnsi" w:hAnsiTheme="majorHAnsi"/>
          <w:sz w:val="20"/>
          <w:szCs w:val="20"/>
        </w:rPr>
        <w:t xml:space="preserve"> and illegally deprived of their liberty. They say that on July 11, 2007, Juvenile Court No. 2 declared youth Cardozo </w:t>
      </w:r>
      <w:r w:rsidR="00EC7D04">
        <w:rPr>
          <w:rFonts w:asciiTheme="majorHAnsi" w:hAnsiTheme="majorHAnsi"/>
          <w:sz w:val="20"/>
          <w:szCs w:val="20"/>
        </w:rPr>
        <w:t>incompetent</w:t>
      </w:r>
      <w:r w:rsidRPr="00FD136C">
        <w:rPr>
          <w:rFonts w:asciiTheme="majorHAnsi" w:hAnsiTheme="majorHAnsi"/>
          <w:sz w:val="20"/>
          <w:szCs w:val="20"/>
        </w:rPr>
        <w:t xml:space="preserve"> to stand trial, </w:t>
      </w:r>
      <w:r w:rsidR="001C76DD">
        <w:rPr>
          <w:rFonts w:asciiTheme="majorHAnsi" w:hAnsiTheme="majorHAnsi"/>
          <w:sz w:val="20"/>
          <w:szCs w:val="20"/>
        </w:rPr>
        <w:t xml:space="preserve">dismissing his case </w:t>
      </w:r>
      <w:r w:rsidRPr="00FD136C">
        <w:rPr>
          <w:rFonts w:asciiTheme="majorHAnsi" w:hAnsiTheme="majorHAnsi"/>
          <w:sz w:val="20"/>
          <w:szCs w:val="20"/>
        </w:rPr>
        <w:t>in relation to his alleged commission of a crime at age 16</w:t>
      </w:r>
      <w:r w:rsidR="000553FD">
        <w:rPr>
          <w:rFonts w:asciiTheme="majorHAnsi" w:hAnsiTheme="majorHAnsi"/>
          <w:sz w:val="20"/>
          <w:szCs w:val="20"/>
        </w:rPr>
        <w:t>;</w:t>
      </w:r>
      <w:r w:rsidRPr="00FD136C">
        <w:rPr>
          <w:rFonts w:asciiTheme="majorHAnsi" w:hAnsiTheme="majorHAnsi"/>
          <w:sz w:val="20"/>
          <w:szCs w:val="20"/>
        </w:rPr>
        <w:t xml:space="preserve"> and that given his economic and socio-environmental background, the</w:t>
      </w:r>
      <w:r w:rsidR="000553FD">
        <w:rPr>
          <w:rFonts w:asciiTheme="majorHAnsi" w:hAnsiTheme="majorHAnsi"/>
          <w:sz w:val="20"/>
          <w:szCs w:val="20"/>
        </w:rPr>
        <w:t xml:space="preserve"> said</w:t>
      </w:r>
      <w:r w:rsidRPr="00FD136C">
        <w:rPr>
          <w:rFonts w:asciiTheme="majorHAnsi" w:hAnsiTheme="majorHAnsi"/>
          <w:sz w:val="20"/>
          <w:szCs w:val="20"/>
        </w:rPr>
        <w:t xml:space="preserve"> Court provisionally placed him at </w:t>
      </w:r>
      <w:r w:rsidR="007A6659">
        <w:rPr>
          <w:rFonts w:asciiTheme="majorHAnsi" w:hAnsiTheme="majorHAnsi"/>
          <w:sz w:val="20"/>
          <w:szCs w:val="20"/>
        </w:rPr>
        <w:t xml:space="preserve">the </w:t>
      </w:r>
      <w:r w:rsidR="007A6659" w:rsidRPr="007A6659">
        <w:rPr>
          <w:rFonts w:asciiTheme="majorHAnsi" w:hAnsiTheme="majorHAnsi"/>
          <w:i/>
          <w:iCs/>
          <w:sz w:val="20"/>
          <w:szCs w:val="20"/>
        </w:rPr>
        <w:t>Instituto</w:t>
      </w:r>
      <w:r w:rsidRPr="00FD136C">
        <w:rPr>
          <w:rFonts w:asciiTheme="majorHAnsi" w:hAnsiTheme="majorHAnsi"/>
          <w:sz w:val="20"/>
          <w:szCs w:val="20"/>
        </w:rPr>
        <w:t xml:space="preserve">—he stayed there for 32 days—before </w:t>
      </w:r>
      <w:r w:rsidR="00E77EE0" w:rsidRPr="00E77EE0">
        <w:rPr>
          <w:rFonts w:asciiTheme="majorHAnsi" w:hAnsiTheme="majorHAnsi"/>
          <w:sz w:val="20"/>
          <w:szCs w:val="20"/>
        </w:rPr>
        <w:t>finding a</w:t>
      </w:r>
      <w:r w:rsidR="00E77EE0">
        <w:rPr>
          <w:rFonts w:asciiTheme="majorHAnsi" w:hAnsiTheme="majorHAnsi"/>
          <w:sz w:val="20"/>
          <w:szCs w:val="20"/>
        </w:rPr>
        <w:t xml:space="preserve">n accommodation </w:t>
      </w:r>
      <w:r w:rsidR="00E77EE0" w:rsidRPr="00E77EE0">
        <w:rPr>
          <w:rFonts w:asciiTheme="majorHAnsi" w:hAnsiTheme="majorHAnsi"/>
          <w:sz w:val="20"/>
          <w:szCs w:val="20"/>
        </w:rPr>
        <w:t xml:space="preserve">that </w:t>
      </w:r>
      <w:r w:rsidR="00C24E61">
        <w:rPr>
          <w:rFonts w:asciiTheme="majorHAnsi" w:hAnsiTheme="majorHAnsi"/>
          <w:sz w:val="20"/>
          <w:szCs w:val="20"/>
        </w:rPr>
        <w:t>best</w:t>
      </w:r>
      <w:r w:rsidR="00E77EE0" w:rsidRPr="00E77EE0">
        <w:rPr>
          <w:rFonts w:asciiTheme="majorHAnsi" w:hAnsiTheme="majorHAnsi"/>
          <w:sz w:val="20"/>
          <w:szCs w:val="20"/>
        </w:rPr>
        <w:t xml:space="preserve"> suited his needs</w:t>
      </w:r>
      <w:r w:rsidRPr="00E77EE0">
        <w:rPr>
          <w:rFonts w:asciiTheme="majorHAnsi" w:hAnsiTheme="majorHAnsi"/>
          <w:sz w:val="20"/>
          <w:szCs w:val="20"/>
        </w:rPr>
        <w:t>.</w:t>
      </w:r>
      <w:r w:rsidRPr="00FD136C">
        <w:rPr>
          <w:rFonts w:asciiTheme="majorHAnsi" w:hAnsiTheme="majorHAnsi"/>
          <w:sz w:val="20"/>
          <w:szCs w:val="20"/>
        </w:rPr>
        <w:t xml:space="preserve"> As for youth Rosales, they say that he was deprived of his liberty seven times between 2006 and 2008, for a total of 120 days. They indicate that he was found </w:t>
      </w:r>
      <w:r w:rsidR="00EC7D04">
        <w:rPr>
          <w:rFonts w:asciiTheme="majorHAnsi" w:hAnsiTheme="majorHAnsi"/>
          <w:sz w:val="20"/>
          <w:szCs w:val="20"/>
        </w:rPr>
        <w:t>incompetent</w:t>
      </w:r>
      <w:r w:rsidRPr="00FD136C">
        <w:rPr>
          <w:rFonts w:asciiTheme="majorHAnsi" w:hAnsiTheme="majorHAnsi"/>
          <w:sz w:val="20"/>
          <w:szCs w:val="20"/>
        </w:rPr>
        <w:t xml:space="preserve"> to stand trial and referred to the </w:t>
      </w:r>
      <w:r w:rsidRPr="007A6659">
        <w:rPr>
          <w:rFonts w:asciiTheme="majorHAnsi" w:hAnsiTheme="majorHAnsi"/>
          <w:i/>
          <w:iCs/>
          <w:sz w:val="20"/>
          <w:szCs w:val="20"/>
        </w:rPr>
        <w:t>Instituto</w:t>
      </w:r>
      <w:r w:rsidRPr="00FD136C">
        <w:rPr>
          <w:rFonts w:asciiTheme="majorHAnsi" w:hAnsiTheme="majorHAnsi"/>
          <w:sz w:val="20"/>
          <w:szCs w:val="20"/>
        </w:rPr>
        <w:t xml:space="preserve"> because he came from an extremely large, poor family. Regarding youth Coronel, they say that Juvenile Court No. 2 declared hi</w:t>
      </w:r>
      <w:r w:rsidR="009802E6">
        <w:rPr>
          <w:rFonts w:asciiTheme="majorHAnsi" w:hAnsiTheme="majorHAnsi"/>
          <w:sz w:val="20"/>
          <w:szCs w:val="20"/>
        </w:rPr>
        <w:t>m</w:t>
      </w:r>
      <w:r w:rsidRPr="00FD136C">
        <w:rPr>
          <w:rFonts w:asciiTheme="majorHAnsi" w:hAnsiTheme="majorHAnsi"/>
          <w:sz w:val="20"/>
          <w:szCs w:val="20"/>
        </w:rPr>
        <w:t xml:space="preserve"> </w:t>
      </w:r>
      <w:r w:rsidR="00EC7D04">
        <w:rPr>
          <w:rFonts w:asciiTheme="majorHAnsi" w:hAnsiTheme="majorHAnsi"/>
          <w:sz w:val="20"/>
          <w:szCs w:val="20"/>
        </w:rPr>
        <w:t>incompetent</w:t>
      </w:r>
      <w:r w:rsidR="009802E6">
        <w:rPr>
          <w:rFonts w:asciiTheme="majorHAnsi" w:hAnsiTheme="majorHAnsi"/>
          <w:sz w:val="20"/>
          <w:szCs w:val="20"/>
        </w:rPr>
        <w:t xml:space="preserve"> to</w:t>
      </w:r>
      <w:r w:rsidRPr="00FD136C">
        <w:rPr>
          <w:rFonts w:asciiTheme="majorHAnsi" w:hAnsiTheme="majorHAnsi"/>
          <w:sz w:val="20"/>
          <w:szCs w:val="20"/>
        </w:rPr>
        <w:t xml:space="preserve"> stand trial and referred him to the </w:t>
      </w:r>
      <w:r w:rsidRPr="00E16917">
        <w:rPr>
          <w:rFonts w:asciiTheme="majorHAnsi" w:hAnsiTheme="majorHAnsi"/>
          <w:i/>
          <w:iCs/>
          <w:sz w:val="20"/>
          <w:szCs w:val="20"/>
        </w:rPr>
        <w:t>Instituto</w:t>
      </w:r>
      <w:r w:rsidRPr="00FD136C">
        <w:rPr>
          <w:rFonts w:asciiTheme="majorHAnsi" w:hAnsiTheme="majorHAnsi"/>
          <w:sz w:val="20"/>
          <w:szCs w:val="20"/>
        </w:rPr>
        <w:t xml:space="preserve"> given his economic, social, and family background</w:t>
      </w:r>
      <w:r w:rsidR="00E77EE0">
        <w:rPr>
          <w:rFonts w:asciiTheme="majorHAnsi" w:hAnsiTheme="majorHAnsi"/>
          <w:sz w:val="20"/>
          <w:szCs w:val="20"/>
        </w:rPr>
        <w:t xml:space="preserve"> and that </w:t>
      </w:r>
      <w:r w:rsidR="00E16917">
        <w:rPr>
          <w:rFonts w:asciiTheme="majorHAnsi" w:hAnsiTheme="majorHAnsi"/>
          <w:sz w:val="20"/>
          <w:szCs w:val="20"/>
        </w:rPr>
        <w:t xml:space="preserve">he </w:t>
      </w:r>
      <w:r w:rsidRPr="00FD136C">
        <w:rPr>
          <w:rFonts w:asciiTheme="majorHAnsi" w:hAnsiTheme="majorHAnsi"/>
          <w:sz w:val="20"/>
          <w:szCs w:val="20"/>
        </w:rPr>
        <w:t xml:space="preserve">stayed </w:t>
      </w:r>
      <w:r w:rsidR="00E77EE0">
        <w:rPr>
          <w:rFonts w:asciiTheme="majorHAnsi" w:hAnsiTheme="majorHAnsi"/>
          <w:sz w:val="20"/>
          <w:szCs w:val="20"/>
        </w:rPr>
        <w:t xml:space="preserve">there </w:t>
      </w:r>
      <w:r w:rsidRPr="00FD136C">
        <w:rPr>
          <w:rFonts w:asciiTheme="majorHAnsi" w:hAnsiTheme="majorHAnsi"/>
          <w:sz w:val="20"/>
          <w:szCs w:val="20"/>
        </w:rPr>
        <w:t xml:space="preserve">for 102 days. The petitioners claim that none of the alleged victims were </w:t>
      </w:r>
      <w:r w:rsidR="00E16917">
        <w:rPr>
          <w:rFonts w:asciiTheme="majorHAnsi" w:hAnsiTheme="majorHAnsi"/>
          <w:sz w:val="20"/>
          <w:szCs w:val="20"/>
        </w:rPr>
        <w:t>appointed</w:t>
      </w:r>
      <w:r w:rsidRPr="00FD136C">
        <w:rPr>
          <w:rFonts w:asciiTheme="majorHAnsi" w:hAnsiTheme="majorHAnsi"/>
          <w:sz w:val="20"/>
          <w:szCs w:val="20"/>
        </w:rPr>
        <w:t xml:space="preserve"> a public defender, meaning that these were unable to access their court record</w:t>
      </w:r>
      <w:r w:rsidR="005002EA">
        <w:rPr>
          <w:rFonts w:asciiTheme="majorHAnsi" w:hAnsiTheme="majorHAnsi"/>
          <w:sz w:val="20"/>
          <w:szCs w:val="20"/>
        </w:rPr>
        <w:t>s</w:t>
      </w:r>
      <w:r w:rsidRPr="00FD136C">
        <w:rPr>
          <w:rFonts w:asciiTheme="majorHAnsi" w:hAnsiTheme="majorHAnsi"/>
          <w:sz w:val="20"/>
          <w:szCs w:val="20"/>
        </w:rPr>
        <w:t xml:space="preserve">, or told how long their time in custody would be. The petitioners claim violations of the right of defense and the rights to a hearing, the presumption of innocence, due process, and public trial. Likewise, they claim violations of the right to humane treatment given the alleged victims’ </w:t>
      </w:r>
      <w:r w:rsidR="00BB3267">
        <w:rPr>
          <w:rFonts w:asciiTheme="majorHAnsi" w:hAnsiTheme="majorHAnsi"/>
          <w:sz w:val="20"/>
          <w:szCs w:val="20"/>
        </w:rPr>
        <w:t>lack o</w:t>
      </w:r>
      <w:r w:rsidRPr="00FD136C">
        <w:rPr>
          <w:rFonts w:asciiTheme="majorHAnsi" w:hAnsiTheme="majorHAnsi"/>
          <w:sz w:val="20"/>
          <w:szCs w:val="20"/>
        </w:rPr>
        <w:t xml:space="preserve">f </w:t>
      </w:r>
      <w:r w:rsidR="00E15CAA">
        <w:rPr>
          <w:rFonts w:asciiTheme="majorHAnsi" w:hAnsiTheme="majorHAnsi"/>
          <w:sz w:val="20"/>
          <w:szCs w:val="20"/>
        </w:rPr>
        <w:t>adequate</w:t>
      </w:r>
      <w:r w:rsidRPr="00FD136C">
        <w:rPr>
          <w:rFonts w:asciiTheme="majorHAnsi" w:hAnsiTheme="majorHAnsi"/>
          <w:sz w:val="20"/>
          <w:szCs w:val="20"/>
        </w:rPr>
        <w:t xml:space="preserve"> sanita</w:t>
      </w:r>
      <w:r w:rsidR="00E15CAA">
        <w:rPr>
          <w:rFonts w:asciiTheme="majorHAnsi" w:hAnsiTheme="majorHAnsi"/>
          <w:sz w:val="20"/>
          <w:szCs w:val="20"/>
        </w:rPr>
        <w:t xml:space="preserve">ry </w:t>
      </w:r>
      <w:r w:rsidRPr="00FD136C">
        <w:rPr>
          <w:rFonts w:asciiTheme="majorHAnsi" w:hAnsiTheme="majorHAnsi"/>
          <w:sz w:val="20"/>
          <w:szCs w:val="20"/>
        </w:rPr>
        <w:t>and education conditions at the facilities they live in</w:t>
      </w:r>
      <w:r w:rsidR="00BB3267">
        <w:rPr>
          <w:rFonts w:asciiTheme="majorHAnsi" w:hAnsiTheme="majorHAnsi"/>
          <w:sz w:val="20"/>
          <w:szCs w:val="20"/>
        </w:rPr>
        <w:t>,</w:t>
      </w:r>
      <w:r w:rsidRPr="00FD136C">
        <w:rPr>
          <w:rFonts w:asciiTheme="majorHAnsi" w:hAnsiTheme="majorHAnsi"/>
          <w:sz w:val="20"/>
          <w:szCs w:val="20"/>
        </w:rPr>
        <w:t xml:space="preserve"> </w:t>
      </w:r>
      <w:r w:rsidR="00B373A6">
        <w:rPr>
          <w:rFonts w:asciiTheme="majorHAnsi" w:hAnsiTheme="majorHAnsi"/>
          <w:sz w:val="20"/>
          <w:szCs w:val="20"/>
        </w:rPr>
        <w:t>in addition to their deprivation</w:t>
      </w:r>
      <w:r w:rsidRPr="00FD136C">
        <w:rPr>
          <w:rFonts w:asciiTheme="majorHAnsi" w:hAnsiTheme="majorHAnsi"/>
          <w:sz w:val="20"/>
          <w:szCs w:val="20"/>
        </w:rPr>
        <w:t xml:space="preserve"> </w:t>
      </w:r>
      <w:r w:rsidR="00B373A6">
        <w:rPr>
          <w:rFonts w:asciiTheme="majorHAnsi" w:hAnsiTheme="majorHAnsi"/>
          <w:sz w:val="20"/>
          <w:szCs w:val="20"/>
        </w:rPr>
        <w:t>of</w:t>
      </w:r>
      <w:r w:rsidR="00234A0F">
        <w:rPr>
          <w:rFonts w:asciiTheme="majorHAnsi" w:hAnsiTheme="majorHAnsi"/>
          <w:sz w:val="20"/>
          <w:szCs w:val="20"/>
        </w:rPr>
        <w:t xml:space="preserve"> </w:t>
      </w:r>
      <w:r w:rsidRPr="00FD136C">
        <w:rPr>
          <w:rFonts w:asciiTheme="majorHAnsi" w:hAnsiTheme="majorHAnsi"/>
          <w:sz w:val="20"/>
          <w:szCs w:val="20"/>
        </w:rPr>
        <w:t>visit</w:t>
      </w:r>
      <w:r w:rsidR="00234A0F">
        <w:rPr>
          <w:rFonts w:asciiTheme="majorHAnsi" w:hAnsiTheme="majorHAnsi"/>
          <w:sz w:val="20"/>
          <w:szCs w:val="20"/>
        </w:rPr>
        <w:t xml:space="preserve">s </w:t>
      </w:r>
      <w:r w:rsidRPr="00FD136C">
        <w:rPr>
          <w:rFonts w:asciiTheme="majorHAnsi" w:hAnsiTheme="majorHAnsi"/>
          <w:sz w:val="20"/>
          <w:szCs w:val="20"/>
        </w:rPr>
        <w:t xml:space="preserve">from their respective families. </w:t>
      </w:r>
    </w:p>
    <w:p w14:paraId="2CF1A252" w14:textId="21B0222B"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t xml:space="preserve">On September 20, 2006, the petitioners filed a </w:t>
      </w:r>
      <w:r w:rsidRPr="008E71A6">
        <w:rPr>
          <w:rFonts w:asciiTheme="majorHAnsi" w:hAnsiTheme="majorHAnsi"/>
          <w:i/>
          <w:iCs/>
          <w:sz w:val="20"/>
          <w:szCs w:val="20"/>
        </w:rPr>
        <w:t>habeas corpus</w:t>
      </w:r>
      <w:r w:rsidRPr="00FD136C">
        <w:rPr>
          <w:rFonts w:asciiTheme="majorHAnsi" w:hAnsiTheme="majorHAnsi"/>
          <w:sz w:val="20"/>
          <w:szCs w:val="20"/>
        </w:rPr>
        <w:t xml:space="preserve"> petition </w:t>
      </w:r>
      <w:r w:rsidR="00EE4571">
        <w:rPr>
          <w:rFonts w:asciiTheme="majorHAnsi" w:hAnsiTheme="majorHAnsi"/>
          <w:sz w:val="20"/>
          <w:szCs w:val="20"/>
        </w:rPr>
        <w:t>before the</w:t>
      </w:r>
      <w:r w:rsidRPr="00FD136C">
        <w:rPr>
          <w:rFonts w:asciiTheme="majorHAnsi" w:hAnsiTheme="majorHAnsi"/>
          <w:sz w:val="20"/>
          <w:szCs w:val="20"/>
        </w:rPr>
        <w:t xml:space="preserve"> National Juvenile Court No. 5 on behalf of all the people who, </w:t>
      </w:r>
      <w:r w:rsidR="001F066E">
        <w:rPr>
          <w:rFonts w:asciiTheme="majorHAnsi" w:hAnsiTheme="majorHAnsi"/>
          <w:sz w:val="20"/>
          <w:szCs w:val="20"/>
        </w:rPr>
        <w:t>being accused of committing a crime before age 16</w:t>
      </w:r>
      <w:r w:rsidRPr="00FD136C">
        <w:rPr>
          <w:rFonts w:asciiTheme="majorHAnsi" w:hAnsiTheme="majorHAnsi"/>
          <w:sz w:val="20"/>
          <w:szCs w:val="20"/>
        </w:rPr>
        <w:t xml:space="preserve">, are held in custody in the jurisdiction of </w:t>
      </w:r>
      <w:r w:rsidR="00100122">
        <w:rPr>
          <w:rFonts w:asciiTheme="majorHAnsi" w:hAnsiTheme="majorHAnsi"/>
          <w:sz w:val="20"/>
          <w:szCs w:val="20"/>
        </w:rPr>
        <w:t>the</w:t>
      </w:r>
      <w:r w:rsidR="002C270B">
        <w:rPr>
          <w:rFonts w:asciiTheme="majorHAnsi" w:hAnsiTheme="majorHAnsi"/>
          <w:sz w:val="20"/>
          <w:szCs w:val="20"/>
        </w:rPr>
        <w:t xml:space="preserve"> Autonomous</w:t>
      </w:r>
      <w:r w:rsidR="00100122">
        <w:rPr>
          <w:rFonts w:asciiTheme="majorHAnsi" w:hAnsiTheme="majorHAnsi"/>
          <w:sz w:val="20"/>
          <w:szCs w:val="20"/>
        </w:rPr>
        <w:t xml:space="preserve"> </w:t>
      </w:r>
      <w:r w:rsidR="002C270B">
        <w:rPr>
          <w:rFonts w:asciiTheme="majorHAnsi" w:hAnsiTheme="majorHAnsi"/>
          <w:sz w:val="20"/>
          <w:szCs w:val="20"/>
        </w:rPr>
        <w:t>C</w:t>
      </w:r>
      <w:r w:rsidR="00100122">
        <w:rPr>
          <w:rFonts w:asciiTheme="majorHAnsi" w:hAnsiTheme="majorHAnsi"/>
          <w:sz w:val="20"/>
          <w:szCs w:val="20"/>
        </w:rPr>
        <w:t>ity of</w:t>
      </w:r>
      <w:r w:rsidRPr="00FD136C">
        <w:rPr>
          <w:rFonts w:asciiTheme="majorHAnsi" w:hAnsiTheme="majorHAnsi"/>
          <w:sz w:val="20"/>
          <w:szCs w:val="20"/>
        </w:rPr>
        <w:t xml:space="preserve"> Buenos Aires, by virtue of national juvenile court orders. According to the petitioners, the alleged victims did not file any remedy themselves; however, at the request of the Supreme Court of Justice, these</w:t>
      </w:r>
      <w:r w:rsidR="008E71A6">
        <w:rPr>
          <w:rFonts w:asciiTheme="majorHAnsi" w:hAnsiTheme="majorHAnsi"/>
          <w:sz w:val="20"/>
          <w:szCs w:val="20"/>
        </w:rPr>
        <w:t>,</w:t>
      </w:r>
      <w:r w:rsidRPr="00FD136C">
        <w:rPr>
          <w:rFonts w:asciiTheme="majorHAnsi" w:hAnsiTheme="majorHAnsi"/>
          <w:sz w:val="20"/>
          <w:szCs w:val="20"/>
        </w:rPr>
        <w:t xml:space="preserve"> along with the rest</w:t>
      </w:r>
      <w:r w:rsidR="008E71A6">
        <w:rPr>
          <w:rFonts w:asciiTheme="majorHAnsi" w:hAnsiTheme="majorHAnsi"/>
          <w:sz w:val="20"/>
          <w:szCs w:val="20"/>
        </w:rPr>
        <w:t>,</w:t>
      </w:r>
      <w:r w:rsidRPr="00FD136C">
        <w:rPr>
          <w:rFonts w:asciiTheme="majorHAnsi" w:hAnsiTheme="majorHAnsi"/>
          <w:sz w:val="20"/>
          <w:szCs w:val="20"/>
        </w:rPr>
        <w:t xml:space="preserve"> were duly identified in the amparo remedy.</w:t>
      </w:r>
      <w:r w:rsidRPr="00FD136C">
        <w:rPr>
          <w:rStyle w:val="FootnoteReference"/>
          <w:rFonts w:asciiTheme="majorHAnsi" w:hAnsiTheme="majorHAnsi"/>
          <w:sz w:val="20"/>
          <w:szCs w:val="20"/>
        </w:rPr>
        <w:footnoteReference w:id="7"/>
      </w:r>
      <w:r w:rsidRPr="00FD136C">
        <w:rPr>
          <w:rFonts w:asciiTheme="majorHAnsi" w:hAnsiTheme="majorHAnsi"/>
          <w:sz w:val="20"/>
          <w:szCs w:val="20"/>
        </w:rPr>
        <w:t xml:space="preserve"> The</w:t>
      </w:r>
      <w:r w:rsidR="008E71A6">
        <w:rPr>
          <w:rFonts w:asciiTheme="majorHAnsi" w:hAnsiTheme="majorHAnsi"/>
          <w:sz w:val="20"/>
          <w:szCs w:val="20"/>
        </w:rPr>
        <w:t>y</w:t>
      </w:r>
      <w:r w:rsidRPr="00FD136C">
        <w:rPr>
          <w:rFonts w:asciiTheme="majorHAnsi" w:hAnsiTheme="majorHAnsi"/>
          <w:sz w:val="20"/>
          <w:szCs w:val="20"/>
        </w:rPr>
        <w:t xml:space="preserve"> emphasize that this remedy is the only one available to access justice in case of illegal, arbitrary detention and thus the only adequate legal remedy. They explain that th</w:t>
      </w:r>
      <w:r w:rsidR="00905FBD">
        <w:rPr>
          <w:rFonts w:asciiTheme="majorHAnsi" w:hAnsiTheme="majorHAnsi"/>
          <w:sz w:val="20"/>
          <w:szCs w:val="20"/>
        </w:rPr>
        <w:t>ey filed a</w:t>
      </w:r>
      <w:r w:rsidRPr="00FD136C">
        <w:rPr>
          <w:rFonts w:asciiTheme="majorHAnsi" w:hAnsiTheme="majorHAnsi"/>
          <w:sz w:val="20"/>
          <w:szCs w:val="20"/>
        </w:rPr>
        <w:t xml:space="preserve"> joint</w:t>
      </w:r>
      <w:r w:rsidR="00031286">
        <w:rPr>
          <w:rFonts w:asciiTheme="majorHAnsi" w:hAnsiTheme="majorHAnsi"/>
          <w:sz w:val="20"/>
          <w:szCs w:val="20"/>
        </w:rPr>
        <w:t xml:space="preserve"> </w:t>
      </w:r>
      <w:r w:rsidR="00031286" w:rsidRPr="00031286">
        <w:rPr>
          <w:rFonts w:asciiTheme="majorHAnsi" w:hAnsiTheme="majorHAnsi"/>
          <w:i/>
          <w:iCs/>
          <w:sz w:val="20"/>
          <w:szCs w:val="20"/>
        </w:rPr>
        <w:t>habeas corpus</w:t>
      </w:r>
      <w:r w:rsidRPr="00FD136C">
        <w:rPr>
          <w:rFonts w:asciiTheme="majorHAnsi" w:hAnsiTheme="majorHAnsi"/>
          <w:sz w:val="20"/>
          <w:szCs w:val="20"/>
        </w:rPr>
        <w:t xml:space="preserve"> petition because individual petitions </w:t>
      </w:r>
      <w:r w:rsidR="00905FBD">
        <w:rPr>
          <w:rFonts w:asciiTheme="majorHAnsi" w:hAnsiTheme="majorHAnsi"/>
          <w:sz w:val="20"/>
          <w:szCs w:val="20"/>
        </w:rPr>
        <w:t>would have been insufficient a</w:t>
      </w:r>
      <w:r w:rsidRPr="00FD136C">
        <w:rPr>
          <w:rFonts w:asciiTheme="majorHAnsi" w:hAnsiTheme="majorHAnsi"/>
          <w:sz w:val="20"/>
          <w:szCs w:val="20"/>
        </w:rPr>
        <w:t xml:space="preserve">s they would have addressed the right of a few specific </w:t>
      </w:r>
      <w:r w:rsidR="008E71A6">
        <w:rPr>
          <w:rFonts w:asciiTheme="majorHAnsi" w:hAnsiTheme="majorHAnsi"/>
          <w:sz w:val="20"/>
          <w:szCs w:val="20"/>
        </w:rPr>
        <w:t>minors</w:t>
      </w:r>
      <w:r w:rsidRPr="00FD136C">
        <w:rPr>
          <w:rFonts w:asciiTheme="majorHAnsi" w:hAnsiTheme="majorHAnsi"/>
          <w:sz w:val="20"/>
          <w:szCs w:val="20"/>
        </w:rPr>
        <w:t xml:space="preserve"> to protection from arbitrary </w:t>
      </w:r>
      <w:r w:rsidR="00D94947">
        <w:rPr>
          <w:rFonts w:asciiTheme="majorHAnsi" w:hAnsiTheme="majorHAnsi"/>
          <w:sz w:val="20"/>
          <w:szCs w:val="20"/>
        </w:rPr>
        <w:t>arrest</w:t>
      </w:r>
      <w:r w:rsidRPr="00FD136C">
        <w:rPr>
          <w:rFonts w:asciiTheme="majorHAnsi" w:hAnsiTheme="majorHAnsi"/>
          <w:sz w:val="20"/>
          <w:szCs w:val="20"/>
        </w:rPr>
        <w:t xml:space="preserve"> yet not deal with the issue of the protective measure regarding all the </w:t>
      </w:r>
      <w:r w:rsidR="00D94947">
        <w:rPr>
          <w:rFonts w:asciiTheme="majorHAnsi" w:hAnsiTheme="majorHAnsi"/>
          <w:sz w:val="20"/>
          <w:szCs w:val="20"/>
        </w:rPr>
        <w:t>minors</w:t>
      </w:r>
      <w:r w:rsidRPr="00FD136C">
        <w:rPr>
          <w:rFonts w:asciiTheme="majorHAnsi" w:hAnsiTheme="majorHAnsi"/>
          <w:sz w:val="20"/>
          <w:szCs w:val="20"/>
        </w:rPr>
        <w:t xml:space="preserve"> in custody. Moreover, they argue that the alleged victims’ vulnerable </w:t>
      </w:r>
      <w:r w:rsidR="0067155C">
        <w:rPr>
          <w:rFonts w:asciiTheme="majorHAnsi" w:hAnsiTheme="majorHAnsi"/>
          <w:sz w:val="20"/>
          <w:szCs w:val="20"/>
        </w:rPr>
        <w:t>condition</w:t>
      </w:r>
      <w:r w:rsidRPr="00FD136C">
        <w:rPr>
          <w:rFonts w:asciiTheme="majorHAnsi" w:hAnsiTheme="majorHAnsi"/>
          <w:sz w:val="20"/>
          <w:szCs w:val="20"/>
        </w:rPr>
        <w:t xml:space="preserve">, especially given their lack of access to public defenders, prevented them from filing remedies on their own behalf. The remedy was rejected and referred to the National Court of Appeals for Criminal and Correctional Matters for judgment on the lawfulness of </w:t>
      </w:r>
      <w:r w:rsidR="0067155C">
        <w:rPr>
          <w:rFonts w:asciiTheme="majorHAnsi" w:hAnsiTheme="majorHAnsi"/>
          <w:sz w:val="20"/>
          <w:szCs w:val="20"/>
        </w:rPr>
        <w:t>youth</w:t>
      </w:r>
      <w:r w:rsidRPr="00FD136C">
        <w:rPr>
          <w:rFonts w:asciiTheme="majorHAnsi" w:hAnsiTheme="majorHAnsi"/>
          <w:sz w:val="20"/>
          <w:szCs w:val="20"/>
        </w:rPr>
        <w:t xml:space="preserve"> detention and the elaboration of </w:t>
      </w:r>
      <w:r w:rsidR="0067155C">
        <w:rPr>
          <w:rFonts w:asciiTheme="majorHAnsi" w:hAnsiTheme="majorHAnsi"/>
          <w:sz w:val="20"/>
          <w:szCs w:val="20"/>
        </w:rPr>
        <w:t xml:space="preserve">a </w:t>
      </w:r>
      <w:r w:rsidRPr="00FD136C">
        <w:rPr>
          <w:rFonts w:asciiTheme="majorHAnsi" w:hAnsiTheme="majorHAnsi"/>
          <w:sz w:val="20"/>
          <w:szCs w:val="20"/>
        </w:rPr>
        <w:t>p</w:t>
      </w:r>
      <w:r w:rsidR="0067155C">
        <w:rPr>
          <w:rFonts w:asciiTheme="majorHAnsi" w:hAnsiTheme="majorHAnsi"/>
          <w:sz w:val="20"/>
          <w:szCs w:val="20"/>
        </w:rPr>
        <w:t>lan for</w:t>
      </w:r>
      <w:r w:rsidRPr="00FD136C">
        <w:rPr>
          <w:rFonts w:asciiTheme="majorHAnsi" w:hAnsiTheme="majorHAnsi"/>
          <w:sz w:val="20"/>
          <w:szCs w:val="20"/>
        </w:rPr>
        <w:t xml:space="preserve"> the gradual release of </w:t>
      </w:r>
      <w:r w:rsidR="0067155C">
        <w:rPr>
          <w:rFonts w:asciiTheme="majorHAnsi" w:hAnsiTheme="majorHAnsi"/>
          <w:sz w:val="20"/>
          <w:szCs w:val="20"/>
        </w:rPr>
        <w:t>the minors</w:t>
      </w:r>
      <w:r w:rsidRPr="00FD136C">
        <w:rPr>
          <w:rFonts w:asciiTheme="majorHAnsi" w:hAnsiTheme="majorHAnsi"/>
          <w:sz w:val="20"/>
          <w:szCs w:val="20"/>
        </w:rPr>
        <w:t xml:space="preserve">, to be included in the Comprehensive Protection System for the Rights of Children and Adolescents. On September </w:t>
      </w:r>
      <w:r w:rsidRPr="00FD136C">
        <w:rPr>
          <w:rFonts w:asciiTheme="majorHAnsi" w:hAnsiTheme="majorHAnsi"/>
          <w:sz w:val="20"/>
          <w:szCs w:val="20"/>
        </w:rPr>
        <w:lastRenderedPageBreak/>
        <w:t>21, 2006, the</w:t>
      </w:r>
      <w:r w:rsidR="0067155C">
        <w:rPr>
          <w:rFonts w:asciiTheme="majorHAnsi" w:hAnsiTheme="majorHAnsi"/>
          <w:sz w:val="20"/>
          <w:szCs w:val="20"/>
        </w:rPr>
        <w:t xml:space="preserve"> said </w:t>
      </w:r>
      <w:r w:rsidRPr="00FD136C">
        <w:rPr>
          <w:rFonts w:asciiTheme="majorHAnsi" w:hAnsiTheme="majorHAnsi"/>
          <w:sz w:val="20"/>
          <w:szCs w:val="20"/>
        </w:rPr>
        <w:t>Court upheld the judgment of the Juvenile Court, on considering that the detention</w:t>
      </w:r>
      <w:r w:rsidR="0067155C">
        <w:rPr>
          <w:rFonts w:asciiTheme="majorHAnsi" w:hAnsiTheme="majorHAnsi"/>
          <w:sz w:val="20"/>
          <w:szCs w:val="20"/>
        </w:rPr>
        <w:t xml:space="preserve"> of </w:t>
      </w:r>
      <w:r w:rsidR="00BF3B07">
        <w:rPr>
          <w:rFonts w:asciiTheme="majorHAnsi" w:hAnsiTheme="majorHAnsi"/>
          <w:sz w:val="20"/>
          <w:szCs w:val="20"/>
        </w:rPr>
        <w:t xml:space="preserve">these </w:t>
      </w:r>
      <w:r w:rsidR="0067155C">
        <w:rPr>
          <w:rFonts w:asciiTheme="majorHAnsi" w:hAnsiTheme="majorHAnsi"/>
          <w:sz w:val="20"/>
          <w:szCs w:val="20"/>
        </w:rPr>
        <w:t xml:space="preserve">minors </w:t>
      </w:r>
      <w:r w:rsidRPr="00FD136C">
        <w:rPr>
          <w:rFonts w:asciiTheme="majorHAnsi" w:hAnsiTheme="majorHAnsi"/>
          <w:sz w:val="20"/>
          <w:szCs w:val="20"/>
        </w:rPr>
        <w:t>was based on the decisions made by competent authorities</w:t>
      </w:r>
      <w:r w:rsidR="00BF52B7">
        <w:rPr>
          <w:rFonts w:asciiTheme="majorHAnsi" w:hAnsiTheme="majorHAnsi"/>
          <w:sz w:val="20"/>
          <w:szCs w:val="20"/>
        </w:rPr>
        <w:t>; that, accordingly,</w:t>
      </w:r>
      <w:r w:rsidRPr="00FD136C">
        <w:rPr>
          <w:rFonts w:asciiTheme="majorHAnsi" w:hAnsiTheme="majorHAnsi"/>
          <w:sz w:val="20"/>
          <w:szCs w:val="20"/>
        </w:rPr>
        <w:t xml:space="preserve"> remed</w:t>
      </w:r>
      <w:r w:rsidR="001F0977">
        <w:rPr>
          <w:rFonts w:asciiTheme="majorHAnsi" w:hAnsiTheme="majorHAnsi"/>
          <w:sz w:val="20"/>
          <w:szCs w:val="20"/>
        </w:rPr>
        <w:t>ies</w:t>
      </w:r>
      <w:r w:rsidR="004A01A7">
        <w:rPr>
          <w:rFonts w:asciiTheme="majorHAnsi" w:hAnsiTheme="majorHAnsi"/>
          <w:sz w:val="20"/>
          <w:szCs w:val="20"/>
        </w:rPr>
        <w:t xml:space="preserve"> on the legality of the detention</w:t>
      </w:r>
      <w:r w:rsidRPr="00FD136C">
        <w:rPr>
          <w:rFonts w:asciiTheme="majorHAnsi" w:hAnsiTheme="majorHAnsi"/>
          <w:sz w:val="20"/>
          <w:szCs w:val="20"/>
        </w:rPr>
        <w:t xml:space="preserve"> should be filed with the latter. As a result, the petitioners filed, </w:t>
      </w:r>
      <w:r w:rsidR="004A01A7">
        <w:rPr>
          <w:rFonts w:asciiTheme="majorHAnsi" w:hAnsiTheme="majorHAnsi"/>
          <w:sz w:val="20"/>
          <w:szCs w:val="20"/>
        </w:rPr>
        <w:t>before</w:t>
      </w:r>
      <w:r w:rsidRPr="00FD136C">
        <w:rPr>
          <w:rFonts w:asciiTheme="majorHAnsi" w:hAnsiTheme="majorHAnsi"/>
          <w:sz w:val="20"/>
          <w:szCs w:val="20"/>
        </w:rPr>
        <w:t xml:space="preserve"> the National Criminal Court of Appeals, an extraordinary appeal for annulment </w:t>
      </w:r>
      <w:r w:rsidR="004A01A7">
        <w:rPr>
          <w:rFonts w:asciiTheme="majorHAnsi" w:hAnsiTheme="majorHAnsi"/>
          <w:sz w:val="20"/>
          <w:szCs w:val="20"/>
        </w:rPr>
        <w:t xml:space="preserve">and unconstitutionality </w:t>
      </w:r>
      <w:r w:rsidRPr="00FD136C">
        <w:rPr>
          <w:rFonts w:asciiTheme="majorHAnsi" w:hAnsiTheme="majorHAnsi"/>
          <w:sz w:val="20"/>
          <w:szCs w:val="20"/>
        </w:rPr>
        <w:t>against article 1 of Decree-Law No. 22</w:t>
      </w:r>
      <w:r w:rsidR="005318C0">
        <w:rPr>
          <w:rFonts w:asciiTheme="majorHAnsi" w:hAnsiTheme="majorHAnsi"/>
          <w:sz w:val="20"/>
          <w:szCs w:val="20"/>
        </w:rPr>
        <w:t>.</w:t>
      </w:r>
      <w:r w:rsidRPr="00FD136C">
        <w:rPr>
          <w:rFonts w:asciiTheme="majorHAnsi" w:hAnsiTheme="majorHAnsi"/>
          <w:sz w:val="20"/>
          <w:szCs w:val="20"/>
        </w:rPr>
        <w:t>278. On December 11, 2007</w:t>
      </w:r>
      <w:r w:rsidR="005318C0">
        <w:rPr>
          <w:rFonts w:asciiTheme="majorHAnsi" w:hAnsiTheme="majorHAnsi"/>
          <w:sz w:val="20"/>
          <w:szCs w:val="20"/>
        </w:rPr>
        <w:t>, this</w:t>
      </w:r>
      <w:r w:rsidRPr="00FD136C">
        <w:rPr>
          <w:rFonts w:asciiTheme="majorHAnsi" w:hAnsiTheme="majorHAnsi"/>
          <w:sz w:val="20"/>
          <w:szCs w:val="20"/>
        </w:rPr>
        <w:t xml:space="preserve"> Court admitted the appeal, recommended the gradual release of the </w:t>
      </w:r>
      <w:r w:rsidR="005318C0">
        <w:rPr>
          <w:rFonts w:asciiTheme="majorHAnsi" w:hAnsiTheme="majorHAnsi"/>
          <w:sz w:val="20"/>
          <w:szCs w:val="20"/>
        </w:rPr>
        <w:t>minors,</w:t>
      </w:r>
      <w:r w:rsidRPr="00FD136C">
        <w:rPr>
          <w:rFonts w:asciiTheme="majorHAnsi" w:hAnsiTheme="majorHAnsi"/>
          <w:sz w:val="20"/>
          <w:szCs w:val="20"/>
        </w:rPr>
        <w:t xml:space="preserve"> and ordered the National Legislative Branch to </w:t>
      </w:r>
      <w:r w:rsidR="004A01A7">
        <w:rPr>
          <w:rFonts w:asciiTheme="majorHAnsi" w:hAnsiTheme="majorHAnsi"/>
          <w:sz w:val="20"/>
          <w:szCs w:val="20"/>
        </w:rPr>
        <w:t>amend accordingly</w:t>
      </w:r>
      <w:r w:rsidRPr="00FD136C">
        <w:rPr>
          <w:rFonts w:asciiTheme="majorHAnsi" w:hAnsiTheme="majorHAnsi"/>
          <w:sz w:val="20"/>
          <w:szCs w:val="20"/>
        </w:rPr>
        <w:t xml:space="preserve"> the corresponding law. However, the Attorney </w:t>
      </w:r>
      <w:r w:rsidR="00B77447">
        <w:rPr>
          <w:rFonts w:asciiTheme="majorHAnsi" w:hAnsiTheme="majorHAnsi"/>
          <w:sz w:val="20"/>
          <w:szCs w:val="20"/>
        </w:rPr>
        <w:t>General</w:t>
      </w:r>
      <w:r w:rsidR="00B77447" w:rsidRPr="00FD136C">
        <w:rPr>
          <w:rFonts w:asciiTheme="majorHAnsi" w:hAnsiTheme="majorHAnsi"/>
          <w:sz w:val="20"/>
          <w:szCs w:val="20"/>
        </w:rPr>
        <w:t xml:space="preserve"> </w:t>
      </w:r>
      <w:r w:rsidR="004A01A7">
        <w:rPr>
          <w:rFonts w:asciiTheme="majorHAnsi" w:hAnsiTheme="majorHAnsi"/>
          <w:sz w:val="20"/>
          <w:szCs w:val="20"/>
        </w:rPr>
        <w:t>filed</w:t>
      </w:r>
      <w:r w:rsidRPr="00FD136C">
        <w:rPr>
          <w:rFonts w:asciiTheme="majorHAnsi" w:hAnsiTheme="majorHAnsi"/>
          <w:sz w:val="20"/>
          <w:szCs w:val="20"/>
        </w:rPr>
        <w:t xml:space="preserve"> a complaint </w:t>
      </w:r>
      <w:r w:rsidR="004A01A7">
        <w:rPr>
          <w:rFonts w:asciiTheme="majorHAnsi" w:hAnsiTheme="majorHAnsi"/>
          <w:sz w:val="20"/>
          <w:szCs w:val="20"/>
        </w:rPr>
        <w:t>remedy before</w:t>
      </w:r>
      <w:r w:rsidRPr="00FD136C">
        <w:rPr>
          <w:rFonts w:asciiTheme="majorHAnsi" w:hAnsiTheme="majorHAnsi"/>
          <w:sz w:val="20"/>
          <w:szCs w:val="20"/>
        </w:rPr>
        <w:t xml:space="preserve"> the Supreme Court of Justice, which admitted </w:t>
      </w:r>
      <w:r w:rsidR="005318C0">
        <w:rPr>
          <w:rFonts w:asciiTheme="majorHAnsi" w:hAnsiTheme="majorHAnsi"/>
          <w:sz w:val="20"/>
          <w:szCs w:val="20"/>
        </w:rPr>
        <w:t>it</w:t>
      </w:r>
      <w:r w:rsidRPr="00FD136C">
        <w:rPr>
          <w:rFonts w:asciiTheme="majorHAnsi" w:hAnsiTheme="majorHAnsi"/>
          <w:sz w:val="20"/>
          <w:szCs w:val="20"/>
        </w:rPr>
        <w:t xml:space="preserve"> on March 18, 2008,</w:t>
      </w:r>
      <w:r w:rsidR="005318C0">
        <w:rPr>
          <w:rFonts w:asciiTheme="majorHAnsi" w:hAnsiTheme="majorHAnsi"/>
          <w:sz w:val="20"/>
          <w:szCs w:val="20"/>
        </w:rPr>
        <w:t xml:space="preserve"> and thus</w:t>
      </w:r>
      <w:r w:rsidRPr="00FD136C">
        <w:rPr>
          <w:rFonts w:asciiTheme="majorHAnsi" w:hAnsiTheme="majorHAnsi"/>
          <w:sz w:val="20"/>
          <w:szCs w:val="20"/>
        </w:rPr>
        <w:t xml:space="preserve"> suspend</w:t>
      </w:r>
      <w:r w:rsidR="005318C0">
        <w:rPr>
          <w:rFonts w:asciiTheme="majorHAnsi" w:hAnsiTheme="majorHAnsi"/>
          <w:sz w:val="20"/>
          <w:szCs w:val="20"/>
        </w:rPr>
        <w:t>ed</w:t>
      </w:r>
      <w:r w:rsidRPr="00FD136C">
        <w:rPr>
          <w:rFonts w:asciiTheme="majorHAnsi" w:hAnsiTheme="majorHAnsi"/>
          <w:sz w:val="20"/>
          <w:szCs w:val="20"/>
        </w:rPr>
        <w:t xml:space="preserve"> the effect of the judgment by the National Criminal Court of Appeals. Subsequently, on December 2, 2008, the Supreme Court of Justice confirmed the</w:t>
      </w:r>
      <w:r w:rsidR="005318C0">
        <w:rPr>
          <w:rFonts w:asciiTheme="majorHAnsi" w:hAnsiTheme="majorHAnsi"/>
          <w:sz w:val="20"/>
          <w:szCs w:val="20"/>
        </w:rPr>
        <w:t xml:space="preserve"> </w:t>
      </w:r>
      <w:r w:rsidR="00BF3B07">
        <w:rPr>
          <w:rFonts w:asciiTheme="majorHAnsi" w:hAnsiTheme="majorHAnsi"/>
          <w:sz w:val="20"/>
          <w:szCs w:val="20"/>
        </w:rPr>
        <w:t xml:space="preserve">lawfulness of youth detention </w:t>
      </w:r>
      <w:r w:rsidRPr="00FD136C">
        <w:rPr>
          <w:rFonts w:asciiTheme="majorHAnsi" w:hAnsiTheme="majorHAnsi"/>
          <w:sz w:val="20"/>
          <w:szCs w:val="20"/>
        </w:rPr>
        <w:t>a</w:t>
      </w:r>
      <w:r w:rsidR="00386571">
        <w:rPr>
          <w:rFonts w:asciiTheme="majorHAnsi" w:hAnsiTheme="majorHAnsi"/>
          <w:sz w:val="20"/>
          <w:szCs w:val="20"/>
        </w:rPr>
        <w:t>nd</w:t>
      </w:r>
      <w:r w:rsidRPr="00FD136C">
        <w:rPr>
          <w:rFonts w:asciiTheme="majorHAnsi" w:hAnsiTheme="majorHAnsi"/>
          <w:sz w:val="20"/>
          <w:szCs w:val="20"/>
        </w:rPr>
        <w:t xml:space="preserve"> article 1 of Decree-Law No. 22</w:t>
      </w:r>
      <w:r w:rsidR="005318C0">
        <w:rPr>
          <w:rFonts w:asciiTheme="majorHAnsi" w:hAnsiTheme="majorHAnsi"/>
          <w:sz w:val="20"/>
          <w:szCs w:val="20"/>
        </w:rPr>
        <w:t>.</w:t>
      </w:r>
      <w:r w:rsidRPr="00FD136C">
        <w:rPr>
          <w:rFonts w:asciiTheme="majorHAnsi" w:hAnsiTheme="majorHAnsi"/>
          <w:sz w:val="20"/>
          <w:szCs w:val="20"/>
        </w:rPr>
        <w:t>278. Although th</w:t>
      </w:r>
      <w:r w:rsidR="005318C0">
        <w:rPr>
          <w:rFonts w:asciiTheme="majorHAnsi" w:hAnsiTheme="majorHAnsi"/>
          <w:sz w:val="20"/>
          <w:szCs w:val="20"/>
        </w:rPr>
        <w:t>e Supreme</w:t>
      </w:r>
      <w:r w:rsidRPr="00FD136C">
        <w:rPr>
          <w:rFonts w:asciiTheme="majorHAnsi" w:hAnsiTheme="majorHAnsi"/>
          <w:sz w:val="20"/>
          <w:szCs w:val="20"/>
        </w:rPr>
        <w:t xml:space="preserve"> Court</w:t>
      </w:r>
      <w:r w:rsidR="0026353E">
        <w:rPr>
          <w:rFonts w:asciiTheme="majorHAnsi" w:hAnsiTheme="majorHAnsi"/>
          <w:sz w:val="20"/>
          <w:szCs w:val="20"/>
        </w:rPr>
        <w:t>’s resolution</w:t>
      </w:r>
      <w:r w:rsidRPr="00FD136C">
        <w:rPr>
          <w:rFonts w:asciiTheme="majorHAnsi" w:hAnsiTheme="majorHAnsi"/>
          <w:sz w:val="20"/>
          <w:szCs w:val="20"/>
        </w:rPr>
        <w:t xml:space="preserve"> urged the executive and legislative authorities to adopt the necessary measures to modify the internal rules, it did not set</w:t>
      </w:r>
      <w:r w:rsidR="005318C0">
        <w:rPr>
          <w:rFonts w:asciiTheme="majorHAnsi" w:hAnsiTheme="majorHAnsi"/>
          <w:sz w:val="20"/>
          <w:szCs w:val="20"/>
        </w:rPr>
        <w:t xml:space="preserve"> any</w:t>
      </w:r>
      <w:r w:rsidRPr="00FD136C">
        <w:rPr>
          <w:rFonts w:asciiTheme="majorHAnsi" w:hAnsiTheme="majorHAnsi"/>
          <w:sz w:val="20"/>
          <w:szCs w:val="20"/>
        </w:rPr>
        <w:t xml:space="preserve"> guidelines that were </w:t>
      </w:r>
      <w:r w:rsidR="005318C0" w:rsidRPr="00FD136C">
        <w:rPr>
          <w:rFonts w:asciiTheme="majorHAnsi" w:hAnsiTheme="majorHAnsi"/>
          <w:sz w:val="20"/>
          <w:szCs w:val="20"/>
        </w:rPr>
        <w:t>specific</w:t>
      </w:r>
      <w:r w:rsidR="005318C0">
        <w:rPr>
          <w:rFonts w:asciiTheme="majorHAnsi" w:hAnsiTheme="majorHAnsi"/>
          <w:sz w:val="20"/>
          <w:szCs w:val="20"/>
        </w:rPr>
        <w:t>ally</w:t>
      </w:r>
      <w:r w:rsidR="005318C0" w:rsidRPr="00FD136C">
        <w:rPr>
          <w:rFonts w:asciiTheme="majorHAnsi" w:hAnsiTheme="majorHAnsi"/>
          <w:sz w:val="20"/>
          <w:szCs w:val="20"/>
        </w:rPr>
        <w:t xml:space="preserve"> </w:t>
      </w:r>
      <w:r w:rsidRPr="00FD136C">
        <w:rPr>
          <w:rFonts w:asciiTheme="majorHAnsi" w:hAnsiTheme="majorHAnsi"/>
          <w:sz w:val="20"/>
          <w:szCs w:val="20"/>
        </w:rPr>
        <w:t>aimed at enforcing the rights embodied in the National Constitution and the international treaties on human rights. The petitioners submit that</w:t>
      </w:r>
      <w:r w:rsidR="00581704">
        <w:rPr>
          <w:rFonts w:asciiTheme="majorHAnsi" w:hAnsiTheme="majorHAnsi"/>
          <w:sz w:val="20"/>
          <w:szCs w:val="20"/>
        </w:rPr>
        <w:t>,</w:t>
      </w:r>
      <w:r w:rsidRPr="00FD136C">
        <w:rPr>
          <w:rFonts w:asciiTheme="majorHAnsi" w:hAnsiTheme="majorHAnsi"/>
          <w:sz w:val="20"/>
          <w:szCs w:val="20"/>
        </w:rPr>
        <w:t xml:space="preserve"> to date</w:t>
      </w:r>
      <w:r w:rsidR="00581704">
        <w:rPr>
          <w:rFonts w:asciiTheme="majorHAnsi" w:hAnsiTheme="majorHAnsi"/>
          <w:sz w:val="20"/>
          <w:szCs w:val="20"/>
        </w:rPr>
        <w:t>,</w:t>
      </w:r>
      <w:r w:rsidRPr="00FD136C">
        <w:rPr>
          <w:rFonts w:asciiTheme="majorHAnsi" w:hAnsiTheme="majorHAnsi"/>
          <w:sz w:val="20"/>
          <w:szCs w:val="20"/>
        </w:rPr>
        <w:t xml:space="preserve"> there is not a bill aimed at introducing </w:t>
      </w:r>
      <w:r w:rsidR="005318C0">
        <w:rPr>
          <w:rFonts w:asciiTheme="majorHAnsi" w:hAnsiTheme="majorHAnsi"/>
          <w:sz w:val="20"/>
          <w:szCs w:val="20"/>
        </w:rPr>
        <w:t>changes</w:t>
      </w:r>
      <w:r w:rsidRPr="00FD136C">
        <w:rPr>
          <w:rFonts w:asciiTheme="majorHAnsi" w:hAnsiTheme="majorHAnsi"/>
          <w:sz w:val="20"/>
          <w:szCs w:val="20"/>
        </w:rPr>
        <w:t xml:space="preserve"> to the law at issue</w:t>
      </w:r>
      <w:r w:rsidR="00D05654">
        <w:rPr>
          <w:rFonts w:asciiTheme="majorHAnsi" w:hAnsiTheme="majorHAnsi"/>
          <w:sz w:val="20"/>
          <w:szCs w:val="20"/>
        </w:rPr>
        <w:t xml:space="preserve">, and that </w:t>
      </w:r>
      <w:r w:rsidRPr="00FD136C">
        <w:rPr>
          <w:rFonts w:asciiTheme="majorHAnsi" w:hAnsiTheme="majorHAnsi"/>
          <w:sz w:val="20"/>
          <w:szCs w:val="20"/>
        </w:rPr>
        <w:t xml:space="preserve">none of the measures mentioned by the State have been discussed by the Congress yet. </w:t>
      </w:r>
    </w:p>
    <w:p w14:paraId="4CECF3E3" w14:textId="24FA8FA2"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t xml:space="preserve">For its part, the State contends that within the </w:t>
      </w:r>
      <w:r w:rsidRPr="005318C0">
        <w:rPr>
          <w:rFonts w:asciiTheme="majorHAnsi" w:hAnsiTheme="majorHAnsi"/>
          <w:i/>
          <w:iCs/>
          <w:sz w:val="20"/>
          <w:szCs w:val="20"/>
        </w:rPr>
        <w:t>habeas corpus</w:t>
      </w:r>
      <w:r w:rsidRPr="00FD136C">
        <w:rPr>
          <w:rFonts w:asciiTheme="majorHAnsi" w:hAnsiTheme="majorHAnsi"/>
          <w:sz w:val="20"/>
          <w:szCs w:val="20"/>
        </w:rPr>
        <w:t xml:space="preserve"> proceeding, the petitioners claimed the unlawfulness of </w:t>
      </w:r>
      <w:r w:rsidR="00451388">
        <w:rPr>
          <w:rFonts w:asciiTheme="majorHAnsi" w:hAnsiTheme="majorHAnsi"/>
          <w:sz w:val="20"/>
          <w:szCs w:val="20"/>
        </w:rPr>
        <w:t>youth</w:t>
      </w:r>
      <w:r w:rsidR="005E6F5B">
        <w:rPr>
          <w:rFonts w:asciiTheme="majorHAnsi" w:hAnsiTheme="majorHAnsi"/>
          <w:sz w:val="20"/>
          <w:szCs w:val="20"/>
        </w:rPr>
        <w:t xml:space="preserve"> </w:t>
      </w:r>
      <w:r w:rsidRPr="00FD136C">
        <w:rPr>
          <w:rFonts w:asciiTheme="majorHAnsi" w:hAnsiTheme="majorHAnsi"/>
          <w:sz w:val="20"/>
          <w:szCs w:val="20"/>
        </w:rPr>
        <w:t>detention</w:t>
      </w:r>
      <w:r w:rsidR="005E6F5B">
        <w:rPr>
          <w:rFonts w:asciiTheme="majorHAnsi" w:hAnsiTheme="majorHAnsi"/>
          <w:sz w:val="20"/>
          <w:szCs w:val="20"/>
        </w:rPr>
        <w:t xml:space="preserve"> </w:t>
      </w:r>
      <w:r w:rsidRPr="00FD136C">
        <w:rPr>
          <w:rFonts w:asciiTheme="majorHAnsi" w:hAnsiTheme="majorHAnsi"/>
          <w:sz w:val="20"/>
          <w:szCs w:val="20"/>
        </w:rPr>
        <w:t xml:space="preserve">from the constitutional point of view but did not refer to the detention conditions </w:t>
      </w:r>
      <w:r w:rsidR="005E6F5B">
        <w:rPr>
          <w:rFonts w:asciiTheme="majorHAnsi" w:hAnsiTheme="majorHAnsi"/>
          <w:sz w:val="20"/>
          <w:szCs w:val="20"/>
        </w:rPr>
        <w:t>as the</w:t>
      </w:r>
      <w:r w:rsidR="00386571">
        <w:rPr>
          <w:rFonts w:asciiTheme="majorHAnsi" w:hAnsiTheme="majorHAnsi"/>
          <w:sz w:val="20"/>
          <w:szCs w:val="20"/>
        </w:rPr>
        <w:t>se</w:t>
      </w:r>
      <w:r w:rsidRPr="00FD136C">
        <w:rPr>
          <w:rFonts w:asciiTheme="majorHAnsi" w:hAnsiTheme="majorHAnsi"/>
          <w:sz w:val="20"/>
          <w:szCs w:val="20"/>
        </w:rPr>
        <w:t xml:space="preserve"> were not </w:t>
      </w:r>
      <w:r w:rsidR="00D05654">
        <w:rPr>
          <w:rFonts w:asciiTheme="majorHAnsi" w:hAnsiTheme="majorHAnsi"/>
          <w:sz w:val="20"/>
          <w:szCs w:val="20"/>
        </w:rPr>
        <w:t>alleged in the</w:t>
      </w:r>
      <w:r w:rsidRPr="00FD136C">
        <w:rPr>
          <w:rFonts w:asciiTheme="majorHAnsi" w:hAnsiTheme="majorHAnsi"/>
          <w:sz w:val="20"/>
          <w:szCs w:val="20"/>
        </w:rPr>
        <w:t xml:space="preserve"> petition. The State also claims that their remedy was not appropriate for adjudicating the matter because when it comes to resolutions </w:t>
      </w:r>
      <w:r w:rsidR="005E6F5B">
        <w:rPr>
          <w:rFonts w:asciiTheme="majorHAnsi" w:hAnsiTheme="majorHAnsi"/>
          <w:sz w:val="20"/>
          <w:szCs w:val="20"/>
        </w:rPr>
        <w:t>concerning</w:t>
      </w:r>
      <w:r w:rsidRPr="00FD136C">
        <w:rPr>
          <w:rFonts w:asciiTheme="majorHAnsi" w:hAnsiTheme="majorHAnsi"/>
          <w:sz w:val="20"/>
          <w:szCs w:val="20"/>
        </w:rPr>
        <w:t xml:space="preserve"> deprivation of liberty, th</w:t>
      </w:r>
      <w:r w:rsidR="00386571">
        <w:rPr>
          <w:rFonts w:asciiTheme="majorHAnsi" w:hAnsiTheme="majorHAnsi"/>
          <w:sz w:val="20"/>
          <w:szCs w:val="20"/>
        </w:rPr>
        <w:t>e</w:t>
      </w:r>
      <w:r w:rsidRPr="00FD136C">
        <w:rPr>
          <w:rFonts w:asciiTheme="majorHAnsi" w:hAnsiTheme="majorHAnsi"/>
          <w:sz w:val="20"/>
          <w:szCs w:val="20"/>
        </w:rPr>
        <w:t xml:space="preserve"> interested</w:t>
      </w:r>
      <w:r w:rsidR="00386571">
        <w:rPr>
          <w:rFonts w:asciiTheme="majorHAnsi" w:hAnsiTheme="majorHAnsi"/>
          <w:sz w:val="20"/>
          <w:szCs w:val="20"/>
        </w:rPr>
        <w:t xml:space="preserve"> party</w:t>
      </w:r>
      <w:r w:rsidRPr="00FD136C">
        <w:rPr>
          <w:rFonts w:asciiTheme="majorHAnsi" w:hAnsiTheme="majorHAnsi"/>
          <w:sz w:val="20"/>
          <w:szCs w:val="20"/>
        </w:rPr>
        <w:t xml:space="preserve"> must file ordinary appeals and eventually extraordinary remedies like appeals for annulment on the grounds of error, which the alleged victims </w:t>
      </w:r>
      <w:r w:rsidR="005E6F5B">
        <w:rPr>
          <w:rFonts w:asciiTheme="majorHAnsi" w:hAnsiTheme="majorHAnsi"/>
          <w:sz w:val="20"/>
          <w:szCs w:val="20"/>
        </w:rPr>
        <w:t xml:space="preserve">failed to </w:t>
      </w:r>
      <w:r w:rsidRPr="00FD136C">
        <w:rPr>
          <w:rFonts w:asciiTheme="majorHAnsi" w:hAnsiTheme="majorHAnsi"/>
          <w:sz w:val="20"/>
          <w:szCs w:val="20"/>
        </w:rPr>
        <w:t xml:space="preserve">exhaust. It also indicates that it is not reasonable to expect that a judicial ruling with a provision of general scope </w:t>
      </w:r>
      <w:r w:rsidR="005E6F5B">
        <w:rPr>
          <w:rFonts w:asciiTheme="majorHAnsi" w:hAnsiTheme="majorHAnsi"/>
          <w:sz w:val="20"/>
          <w:szCs w:val="20"/>
        </w:rPr>
        <w:t>will</w:t>
      </w:r>
      <w:r w:rsidRPr="00FD136C">
        <w:rPr>
          <w:rFonts w:asciiTheme="majorHAnsi" w:hAnsiTheme="majorHAnsi"/>
          <w:sz w:val="20"/>
          <w:szCs w:val="20"/>
        </w:rPr>
        <w:t xml:space="preserve"> suffice to overcome the deficiencies </w:t>
      </w:r>
      <w:r w:rsidR="00C76B56">
        <w:rPr>
          <w:rFonts w:asciiTheme="majorHAnsi" w:hAnsiTheme="majorHAnsi"/>
          <w:sz w:val="20"/>
          <w:szCs w:val="20"/>
        </w:rPr>
        <w:t>in</w:t>
      </w:r>
      <w:r w:rsidRPr="00FD136C">
        <w:rPr>
          <w:rFonts w:asciiTheme="majorHAnsi" w:hAnsiTheme="majorHAnsi"/>
          <w:sz w:val="20"/>
          <w:szCs w:val="20"/>
        </w:rPr>
        <w:t xml:space="preserve"> a legal system. Similarly, although the State does not dispute the fact that youth</w:t>
      </w:r>
      <w:r w:rsidR="00C76B56">
        <w:rPr>
          <w:rFonts w:asciiTheme="majorHAnsi" w:hAnsiTheme="majorHAnsi"/>
          <w:sz w:val="20"/>
          <w:szCs w:val="20"/>
        </w:rPr>
        <w:t>s</w:t>
      </w:r>
      <w:r w:rsidRPr="00FD136C">
        <w:rPr>
          <w:rFonts w:asciiTheme="majorHAnsi" w:hAnsiTheme="majorHAnsi"/>
          <w:sz w:val="20"/>
          <w:szCs w:val="20"/>
        </w:rPr>
        <w:t xml:space="preserve"> Cardozo, Rosales, and Coronel were held at the </w:t>
      </w:r>
      <w:r w:rsidRPr="00DB779B">
        <w:rPr>
          <w:rFonts w:asciiTheme="majorHAnsi" w:hAnsiTheme="majorHAnsi"/>
          <w:i/>
          <w:iCs/>
          <w:sz w:val="20"/>
          <w:szCs w:val="20"/>
        </w:rPr>
        <w:t>Instituto General San Martín</w:t>
      </w:r>
      <w:r w:rsidRPr="00FD136C">
        <w:rPr>
          <w:rFonts w:asciiTheme="majorHAnsi" w:hAnsiTheme="majorHAnsi"/>
          <w:sz w:val="20"/>
          <w:szCs w:val="20"/>
        </w:rPr>
        <w:t xml:space="preserve">, it claims that the petitioners did not submit enough evidence to demonstrate the alleged isolation of the minors. In accordance with the foregoing, it holds that from the </w:t>
      </w:r>
      <w:r w:rsidR="00DB779B">
        <w:rPr>
          <w:rFonts w:asciiTheme="majorHAnsi" w:hAnsiTheme="majorHAnsi"/>
          <w:sz w:val="20"/>
          <w:szCs w:val="20"/>
        </w:rPr>
        <w:t>youths’</w:t>
      </w:r>
      <w:r w:rsidRPr="00FD136C">
        <w:rPr>
          <w:rFonts w:asciiTheme="majorHAnsi" w:hAnsiTheme="majorHAnsi"/>
          <w:sz w:val="20"/>
          <w:szCs w:val="20"/>
        </w:rPr>
        <w:t xml:space="preserve"> personal and medical records, there is nothing to indicate that the </w:t>
      </w:r>
      <w:r w:rsidR="00DB779B">
        <w:rPr>
          <w:rFonts w:asciiTheme="majorHAnsi" w:hAnsiTheme="majorHAnsi"/>
          <w:sz w:val="20"/>
          <w:szCs w:val="20"/>
        </w:rPr>
        <w:t>episodes</w:t>
      </w:r>
      <w:r w:rsidRPr="00FD136C">
        <w:rPr>
          <w:rFonts w:asciiTheme="majorHAnsi" w:hAnsiTheme="majorHAnsi"/>
          <w:sz w:val="20"/>
          <w:szCs w:val="20"/>
        </w:rPr>
        <w:t xml:space="preserve"> </w:t>
      </w:r>
      <w:r w:rsidR="00DB779B">
        <w:rPr>
          <w:rFonts w:asciiTheme="majorHAnsi" w:hAnsiTheme="majorHAnsi"/>
          <w:sz w:val="20"/>
          <w:szCs w:val="20"/>
        </w:rPr>
        <w:t xml:space="preserve">of maltreatment </w:t>
      </w:r>
      <w:r w:rsidR="00DD5EF9">
        <w:rPr>
          <w:rFonts w:asciiTheme="majorHAnsi" w:hAnsiTheme="majorHAnsi"/>
          <w:sz w:val="20"/>
          <w:szCs w:val="20"/>
        </w:rPr>
        <w:t>alleged</w:t>
      </w:r>
      <w:r w:rsidRPr="00FD136C">
        <w:rPr>
          <w:rFonts w:asciiTheme="majorHAnsi" w:hAnsiTheme="majorHAnsi"/>
          <w:sz w:val="20"/>
          <w:szCs w:val="20"/>
        </w:rPr>
        <w:t xml:space="preserve"> by the petitioners are true. </w:t>
      </w:r>
    </w:p>
    <w:p w14:paraId="39552BF9" w14:textId="43493841"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t xml:space="preserve">Furthermore, the State </w:t>
      </w:r>
      <w:r w:rsidR="004B4990">
        <w:rPr>
          <w:rFonts w:asciiTheme="majorHAnsi" w:hAnsiTheme="majorHAnsi"/>
          <w:sz w:val="20"/>
          <w:szCs w:val="20"/>
        </w:rPr>
        <w:t>says</w:t>
      </w:r>
      <w:r w:rsidRPr="00FD136C">
        <w:rPr>
          <w:rFonts w:asciiTheme="majorHAnsi" w:hAnsiTheme="majorHAnsi"/>
          <w:sz w:val="20"/>
          <w:szCs w:val="20"/>
        </w:rPr>
        <w:t xml:space="preserve"> that the Argentine Supreme Court of Justice changed its internal rules regarding </w:t>
      </w:r>
      <w:r w:rsidR="00DC7C8D">
        <w:rPr>
          <w:rFonts w:asciiTheme="majorHAnsi" w:hAnsiTheme="majorHAnsi"/>
          <w:sz w:val="20"/>
          <w:szCs w:val="20"/>
        </w:rPr>
        <w:t>juveniles</w:t>
      </w:r>
      <w:r w:rsidRPr="00FD136C">
        <w:rPr>
          <w:rFonts w:asciiTheme="majorHAnsi" w:hAnsiTheme="majorHAnsi"/>
          <w:sz w:val="20"/>
          <w:szCs w:val="20"/>
        </w:rPr>
        <w:t xml:space="preserve"> deprived of liberty, claiming that on November 25, 2009, the Upper House of Representatives passed a bill that would change the law appealed by the petitioners </w:t>
      </w:r>
      <w:r w:rsidR="00457535">
        <w:rPr>
          <w:rFonts w:asciiTheme="majorHAnsi" w:hAnsiTheme="majorHAnsi"/>
          <w:sz w:val="20"/>
          <w:szCs w:val="20"/>
        </w:rPr>
        <w:t>about</w:t>
      </w:r>
      <w:r w:rsidRPr="00FD136C">
        <w:rPr>
          <w:rFonts w:asciiTheme="majorHAnsi" w:hAnsiTheme="majorHAnsi"/>
          <w:sz w:val="20"/>
          <w:szCs w:val="20"/>
        </w:rPr>
        <w:t xml:space="preserve"> the situation of socially vulnerable </w:t>
      </w:r>
      <w:r w:rsidR="00DC7C8D">
        <w:rPr>
          <w:rFonts w:asciiTheme="majorHAnsi" w:hAnsiTheme="majorHAnsi"/>
          <w:sz w:val="20"/>
          <w:szCs w:val="20"/>
        </w:rPr>
        <w:t>minors</w:t>
      </w:r>
      <w:r w:rsidRPr="00FD136C">
        <w:rPr>
          <w:rFonts w:asciiTheme="majorHAnsi" w:hAnsiTheme="majorHAnsi"/>
          <w:sz w:val="20"/>
          <w:szCs w:val="20"/>
        </w:rPr>
        <w:t xml:space="preserve"> </w:t>
      </w:r>
      <w:r w:rsidR="00457535">
        <w:rPr>
          <w:rFonts w:asciiTheme="majorHAnsi" w:hAnsiTheme="majorHAnsi"/>
          <w:sz w:val="20"/>
          <w:szCs w:val="20"/>
        </w:rPr>
        <w:t xml:space="preserve">declared </w:t>
      </w:r>
      <w:r w:rsidR="00D05654">
        <w:rPr>
          <w:rFonts w:asciiTheme="majorHAnsi" w:hAnsiTheme="majorHAnsi"/>
          <w:sz w:val="20"/>
          <w:szCs w:val="20"/>
        </w:rPr>
        <w:t>incompetent</w:t>
      </w:r>
      <w:r w:rsidRPr="00FD136C">
        <w:rPr>
          <w:rFonts w:asciiTheme="majorHAnsi" w:hAnsiTheme="majorHAnsi"/>
          <w:sz w:val="20"/>
          <w:szCs w:val="20"/>
        </w:rPr>
        <w:t xml:space="preserve"> to stand trial, </w:t>
      </w:r>
      <w:r w:rsidR="00D05654">
        <w:rPr>
          <w:rFonts w:asciiTheme="majorHAnsi" w:hAnsiTheme="majorHAnsi"/>
          <w:sz w:val="20"/>
          <w:szCs w:val="20"/>
        </w:rPr>
        <w:t>changing the j</w:t>
      </w:r>
      <w:r w:rsidRPr="00FD136C">
        <w:rPr>
          <w:rFonts w:asciiTheme="majorHAnsi" w:hAnsiTheme="majorHAnsi"/>
          <w:sz w:val="20"/>
          <w:szCs w:val="20"/>
        </w:rPr>
        <w:t xml:space="preserve">udicial authorities’ approach to </w:t>
      </w:r>
      <w:r w:rsidR="00D05654">
        <w:rPr>
          <w:rFonts w:asciiTheme="majorHAnsi" w:hAnsiTheme="majorHAnsi"/>
          <w:sz w:val="20"/>
          <w:szCs w:val="20"/>
        </w:rPr>
        <w:t xml:space="preserve">the </w:t>
      </w:r>
      <w:r w:rsidRPr="00FD136C">
        <w:rPr>
          <w:rFonts w:asciiTheme="majorHAnsi" w:hAnsiTheme="majorHAnsi"/>
          <w:sz w:val="20"/>
          <w:szCs w:val="20"/>
        </w:rPr>
        <w:t>youths’ social background</w:t>
      </w:r>
      <w:r w:rsidR="00D05654">
        <w:rPr>
          <w:rFonts w:asciiTheme="majorHAnsi" w:hAnsiTheme="majorHAnsi"/>
          <w:sz w:val="20"/>
          <w:szCs w:val="20"/>
        </w:rPr>
        <w:t xml:space="preserve"> and situation</w:t>
      </w:r>
      <w:r w:rsidRPr="00FD136C">
        <w:rPr>
          <w:rFonts w:asciiTheme="majorHAnsi" w:hAnsiTheme="majorHAnsi"/>
          <w:sz w:val="20"/>
          <w:szCs w:val="20"/>
        </w:rPr>
        <w:t>. It details that, therefore, whenever a criminal judge dealing with crimes committed by people under the age of 18 notices a situation of threat or violation of</w:t>
      </w:r>
      <w:r w:rsidR="00E454CF">
        <w:rPr>
          <w:rFonts w:asciiTheme="majorHAnsi" w:hAnsiTheme="majorHAnsi"/>
          <w:sz w:val="20"/>
          <w:szCs w:val="20"/>
        </w:rPr>
        <w:t xml:space="preserve"> the rights of </w:t>
      </w:r>
      <w:r w:rsidRPr="00FD136C">
        <w:rPr>
          <w:rFonts w:asciiTheme="majorHAnsi" w:hAnsiTheme="majorHAnsi"/>
          <w:sz w:val="20"/>
          <w:szCs w:val="20"/>
        </w:rPr>
        <w:t xml:space="preserve">a defendant, they shall report this situation to the local administrative authority for the protection of rights. In accordance with the foregoing, it says that the mechanisms provided by the Constitution for regulating the tensions that the petitioners say exist regarding </w:t>
      </w:r>
      <w:r w:rsidR="00163F6C">
        <w:rPr>
          <w:rFonts w:asciiTheme="majorHAnsi" w:hAnsiTheme="majorHAnsi"/>
          <w:sz w:val="20"/>
          <w:szCs w:val="20"/>
        </w:rPr>
        <w:t xml:space="preserve">youth </w:t>
      </w:r>
      <w:r w:rsidRPr="00FD136C">
        <w:rPr>
          <w:rFonts w:asciiTheme="majorHAnsi" w:hAnsiTheme="majorHAnsi"/>
          <w:sz w:val="20"/>
          <w:szCs w:val="20"/>
        </w:rPr>
        <w:t>detention, between Law No. 22</w:t>
      </w:r>
      <w:r w:rsidR="00163F6C">
        <w:rPr>
          <w:rFonts w:asciiTheme="majorHAnsi" w:hAnsiTheme="majorHAnsi"/>
          <w:sz w:val="20"/>
          <w:szCs w:val="20"/>
        </w:rPr>
        <w:t>.</w:t>
      </w:r>
      <w:r w:rsidRPr="00FD136C">
        <w:rPr>
          <w:rFonts w:asciiTheme="majorHAnsi" w:hAnsiTheme="majorHAnsi"/>
          <w:sz w:val="20"/>
          <w:szCs w:val="20"/>
        </w:rPr>
        <w:t>278 and the international treaties on human rights ratified by Argentina, are currently in place</w:t>
      </w:r>
      <w:r w:rsidR="00D05654">
        <w:rPr>
          <w:rFonts w:asciiTheme="majorHAnsi" w:hAnsiTheme="majorHAnsi"/>
          <w:sz w:val="20"/>
          <w:szCs w:val="20"/>
        </w:rPr>
        <w:t>,</w:t>
      </w:r>
      <w:r w:rsidRPr="00FD136C">
        <w:rPr>
          <w:rFonts w:asciiTheme="majorHAnsi" w:hAnsiTheme="majorHAnsi"/>
          <w:sz w:val="20"/>
          <w:szCs w:val="20"/>
        </w:rPr>
        <w:t xml:space="preserve"> in order to remedy the reported situation. </w:t>
      </w:r>
    </w:p>
    <w:p w14:paraId="1384C780" w14:textId="33810A06" w:rsidR="002C73FE" w:rsidRPr="00FD136C" w:rsidRDefault="002C73FE" w:rsidP="002C73FE">
      <w:pPr>
        <w:pStyle w:val="ListParagraph"/>
        <w:numPr>
          <w:ilvl w:val="0"/>
          <w:numId w:val="107"/>
        </w:numPr>
        <w:tabs>
          <w:tab w:val="left" w:pos="720"/>
        </w:tabs>
        <w:spacing w:before="120" w:after="120"/>
        <w:ind w:left="0" w:firstLine="720"/>
        <w:jc w:val="both"/>
        <w:rPr>
          <w:rFonts w:asciiTheme="majorHAnsi" w:hAnsiTheme="majorHAnsi"/>
          <w:sz w:val="20"/>
          <w:szCs w:val="20"/>
        </w:rPr>
      </w:pPr>
      <w:r w:rsidRPr="00FD136C">
        <w:rPr>
          <w:rFonts w:asciiTheme="majorHAnsi" w:hAnsiTheme="majorHAnsi"/>
          <w:sz w:val="20"/>
          <w:szCs w:val="20"/>
        </w:rPr>
        <w:t xml:space="preserve">Lastly, it notes that the National Ombudsman’s Office created a Follow-Up Commission on the Institutional Care of Boys, Girls, and Adolescents to oversee the performance of juvenile detention centers under the National Secretariat, like the </w:t>
      </w:r>
      <w:r w:rsidRPr="005F2FBE">
        <w:rPr>
          <w:rFonts w:asciiTheme="majorHAnsi" w:hAnsiTheme="majorHAnsi"/>
          <w:i/>
          <w:iCs/>
          <w:sz w:val="20"/>
          <w:szCs w:val="20"/>
        </w:rPr>
        <w:t>Instituto General San Martín</w:t>
      </w:r>
      <w:r w:rsidRPr="00FD136C">
        <w:rPr>
          <w:rFonts w:asciiTheme="majorHAnsi" w:hAnsiTheme="majorHAnsi"/>
          <w:sz w:val="20"/>
          <w:szCs w:val="20"/>
        </w:rPr>
        <w:t xml:space="preserve">. It submits that </w:t>
      </w:r>
      <w:r w:rsidR="0070465A">
        <w:rPr>
          <w:rFonts w:asciiTheme="majorHAnsi" w:hAnsiTheme="majorHAnsi"/>
          <w:sz w:val="20"/>
          <w:szCs w:val="20"/>
        </w:rPr>
        <w:t xml:space="preserve">it is </w:t>
      </w:r>
      <w:r w:rsidRPr="00FD136C">
        <w:rPr>
          <w:rFonts w:asciiTheme="majorHAnsi" w:hAnsiTheme="majorHAnsi"/>
          <w:sz w:val="20"/>
          <w:szCs w:val="20"/>
        </w:rPr>
        <w:t xml:space="preserve">based on this </w:t>
      </w:r>
      <w:r w:rsidR="000917A6">
        <w:rPr>
          <w:rFonts w:asciiTheme="majorHAnsi" w:hAnsiTheme="majorHAnsi"/>
          <w:sz w:val="20"/>
          <w:szCs w:val="20"/>
        </w:rPr>
        <w:t xml:space="preserve">work of </w:t>
      </w:r>
      <w:r w:rsidRPr="00FD136C">
        <w:rPr>
          <w:rFonts w:asciiTheme="majorHAnsi" w:hAnsiTheme="majorHAnsi"/>
          <w:sz w:val="20"/>
          <w:szCs w:val="20"/>
        </w:rPr>
        <w:t xml:space="preserve">supervision </w:t>
      </w:r>
      <w:r w:rsidR="0070465A">
        <w:rPr>
          <w:rFonts w:asciiTheme="majorHAnsi" w:hAnsiTheme="majorHAnsi"/>
          <w:sz w:val="20"/>
          <w:szCs w:val="20"/>
        </w:rPr>
        <w:t>that</w:t>
      </w:r>
      <w:r w:rsidRPr="00FD136C">
        <w:rPr>
          <w:rFonts w:asciiTheme="majorHAnsi" w:hAnsiTheme="majorHAnsi"/>
          <w:sz w:val="20"/>
          <w:szCs w:val="20"/>
        </w:rPr>
        <w:t xml:space="preserve"> observations are made on the overall performance of detention centers. It </w:t>
      </w:r>
      <w:r w:rsidR="00F941BF">
        <w:rPr>
          <w:rFonts w:asciiTheme="majorHAnsi" w:hAnsiTheme="majorHAnsi"/>
          <w:sz w:val="20"/>
          <w:szCs w:val="20"/>
        </w:rPr>
        <w:t>also</w:t>
      </w:r>
      <w:r w:rsidRPr="00FD136C">
        <w:rPr>
          <w:rFonts w:asciiTheme="majorHAnsi" w:hAnsiTheme="majorHAnsi"/>
          <w:sz w:val="20"/>
          <w:szCs w:val="20"/>
        </w:rPr>
        <w:t xml:space="preserve"> contends that judges and defenders often visit these facilities, individually, to interview and examine the minors. It emphasizes that the Security and Surveillance Force of the </w:t>
      </w:r>
      <w:r w:rsidRPr="000917A6">
        <w:rPr>
          <w:rFonts w:asciiTheme="majorHAnsi" w:hAnsiTheme="majorHAnsi"/>
          <w:i/>
          <w:iCs/>
          <w:sz w:val="20"/>
          <w:szCs w:val="20"/>
        </w:rPr>
        <w:t>Instituto General San Martín</w:t>
      </w:r>
      <w:r w:rsidRPr="00FD136C">
        <w:rPr>
          <w:rFonts w:asciiTheme="majorHAnsi" w:hAnsiTheme="majorHAnsi"/>
          <w:sz w:val="20"/>
          <w:szCs w:val="20"/>
        </w:rPr>
        <w:t xml:space="preserve"> has training sessions provided </w:t>
      </w:r>
      <w:r w:rsidR="00D05654">
        <w:rPr>
          <w:rFonts w:asciiTheme="majorHAnsi" w:hAnsiTheme="majorHAnsi"/>
          <w:sz w:val="20"/>
          <w:szCs w:val="20"/>
        </w:rPr>
        <w:t xml:space="preserve">for </w:t>
      </w:r>
      <w:r w:rsidRPr="00FD136C">
        <w:rPr>
          <w:rFonts w:asciiTheme="majorHAnsi" w:hAnsiTheme="majorHAnsi"/>
          <w:sz w:val="20"/>
          <w:szCs w:val="20"/>
        </w:rPr>
        <w:t xml:space="preserve">by the </w:t>
      </w:r>
      <w:r w:rsidR="00581704">
        <w:rPr>
          <w:rFonts w:asciiTheme="majorHAnsi" w:hAnsiTheme="majorHAnsi"/>
          <w:sz w:val="20"/>
          <w:szCs w:val="20"/>
        </w:rPr>
        <w:t xml:space="preserve">detention </w:t>
      </w:r>
      <w:r w:rsidR="00BE651B">
        <w:rPr>
          <w:rFonts w:asciiTheme="majorHAnsi" w:hAnsiTheme="majorHAnsi"/>
          <w:sz w:val="20"/>
          <w:szCs w:val="20"/>
        </w:rPr>
        <w:t>center</w:t>
      </w:r>
      <w:r w:rsidRPr="00FD136C">
        <w:rPr>
          <w:rFonts w:asciiTheme="majorHAnsi" w:hAnsiTheme="majorHAnsi"/>
          <w:sz w:val="20"/>
          <w:szCs w:val="20"/>
        </w:rPr>
        <w:t xml:space="preserve"> itself. It highlights that th</w:t>
      </w:r>
      <w:r w:rsidR="00DE4DB4">
        <w:rPr>
          <w:rFonts w:asciiTheme="majorHAnsi" w:hAnsiTheme="majorHAnsi"/>
          <w:sz w:val="20"/>
          <w:szCs w:val="20"/>
        </w:rPr>
        <w:t>is center</w:t>
      </w:r>
      <w:r w:rsidRPr="00FD136C">
        <w:rPr>
          <w:rFonts w:asciiTheme="majorHAnsi" w:hAnsiTheme="majorHAnsi"/>
          <w:sz w:val="20"/>
          <w:szCs w:val="20"/>
        </w:rPr>
        <w:t xml:space="preserve"> ensures access to education through the work of teachers </w:t>
      </w:r>
      <w:r w:rsidR="00DE4DB4">
        <w:rPr>
          <w:rFonts w:asciiTheme="majorHAnsi" w:hAnsiTheme="majorHAnsi"/>
          <w:sz w:val="20"/>
          <w:szCs w:val="20"/>
        </w:rPr>
        <w:t>from</w:t>
      </w:r>
      <w:r w:rsidRPr="00FD136C">
        <w:rPr>
          <w:rFonts w:asciiTheme="majorHAnsi" w:hAnsiTheme="majorHAnsi"/>
          <w:sz w:val="20"/>
          <w:szCs w:val="20"/>
        </w:rPr>
        <w:t xml:space="preserve"> the National Ministry of Education and the Ministry of Education of the </w:t>
      </w:r>
      <w:r w:rsidR="002C270B">
        <w:rPr>
          <w:rFonts w:asciiTheme="majorHAnsi" w:hAnsiTheme="majorHAnsi"/>
          <w:sz w:val="20"/>
          <w:szCs w:val="20"/>
        </w:rPr>
        <w:t>Autonomous C</w:t>
      </w:r>
      <w:r w:rsidRPr="00FD136C">
        <w:rPr>
          <w:rFonts w:asciiTheme="majorHAnsi" w:hAnsiTheme="majorHAnsi"/>
          <w:sz w:val="20"/>
          <w:szCs w:val="20"/>
        </w:rPr>
        <w:t>ity of Buenos Aires. As for the visit of families to the minors, it contends that they can visit them on Wednesdays and Sundays and</w:t>
      </w:r>
      <w:r w:rsidR="00581704">
        <w:rPr>
          <w:rFonts w:asciiTheme="majorHAnsi" w:hAnsiTheme="majorHAnsi"/>
          <w:sz w:val="20"/>
          <w:szCs w:val="20"/>
        </w:rPr>
        <w:t>,</w:t>
      </w:r>
      <w:r w:rsidRPr="00FD136C">
        <w:rPr>
          <w:rFonts w:asciiTheme="majorHAnsi" w:hAnsiTheme="majorHAnsi"/>
          <w:sz w:val="20"/>
          <w:szCs w:val="20"/>
        </w:rPr>
        <w:t xml:space="preserve"> should relatives refuse to visit </w:t>
      </w:r>
      <w:r w:rsidR="00DE4DB4">
        <w:rPr>
          <w:rFonts w:asciiTheme="majorHAnsi" w:hAnsiTheme="majorHAnsi"/>
          <w:sz w:val="20"/>
          <w:szCs w:val="20"/>
        </w:rPr>
        <w:t>a minor</w:t>
      </w:r>
      <w:r w:rsidRPr="00FD136C">
        <w:rPr>
          <w:rFonts w:asciiTheme="majorHAnsi" w:hAnsiTheme="majorHAnsi"/>
          <w:sz w:val="20"/>
          <w:szCs w:val="20"/>
        </w:rPr>
        <w:t xml:space="preserve">, the </w:t>
      </w:r>
      <w:r w:rsidR="00DE4DB4">
        <w:rPr>
          <w:rFonts w:asciiTheme="majorHAnsi" w:hAnsiTheme="majorHAnsi"/>
          <w:sz w:val="20"/>
          <w:szCs w:val="20"/>
        </w:rPr>
        <w:t>center</w:t>
      </w:r>
      <w:r w:rsidRPr="00FD136C">
        <w:rPr>
          <w:rFonts w:asciiTheme="majorHAnsi" w:hAnsiTheme="majorHAnsi"/>
          <w:sz w:val="20"/>
          <w:szCs w:val="20"/>
        </w:rPr>
        <w:t>’s professional staff intervene to change th</w:t>
      </w:r>
      <w:r w:rsidR="00DE4DB4">
        <w:rPr>
          <w:rFonts w:asciiTheme="majorHAnsi" w:hAnsiTheme="majorHAnsi"/>
          <w:sz w:val="20"/>
          <w:szCs w:val="20"/>
        </w:rPr>
        <w:t>is</w:t>
      </w:r>
      <w:r w:rsidRPr="00FD136C">
        <w:rPr>
          <w:rFonts w:asciiTheme="majorHAnsi" w:hAnsiTheme="majorHAnsi"/>
          <w:sz w:val="20"/>
          <w:szCs w:val="20"/>
        </w:rPr>
        <w:t xml:space="preserve"> situation. </w:t>
      </w:r>
    </w:p>
    <w:p w14:paraId="67E63D62" w14:textId="77777777" w:rsidR="002C73FE" w:rsidRPr="00FD136C" w:rsidRDefault="002C73FE" w:rsidP="002C73FE">
      <w:pPr>
        <w:spacing w:before="120" w:after="120"/>
        <w:ind w:firstLine="720"/>
        <w:jc w:val="both"/>
        <w:rPr>
          <w:rFonts w:asciiTheme="majorHAnsi" w:hAnsiTheme="majorHAnsi"/>
          <w:b/>
          <w:sz w:val="20"/>
          <w:szCs w:val="20"/>
        </w:rPr>
      </w:pPr>
      <w:r w:rsidRPr="00FD136C">
        <w:rPr>
          <w:rFonts w:asciiTheme="majorHAnsi" w:hAnsiTheme="majorHAnsi"/>
          <w:b/>
          <w:bCs/>
          <w:sz w:val="20"/>
          <w:szCs w:val="20"/>
        </w:rPr>
        <w:t xml:space="preserve">VI. </w:t>
      </w:r>
      <w:r w:rsidRPr="00FD136C">
        <w:rPr>
          <w:rFonts w:asciiTheme="majorHAnsi" w:hAnsiTheme="majorHAnsi"/>
          <w:b/>
          <w:bCs/>
          <w:sz w:val="20"/>
          <w:szCs w:val="20"/>
        </w:rPr>
        <w:tab/>
        <w:t>EXHAUSTION OF DOMESTIC REMEDIES AND TIMELINESS OF THE PETITION</w:t>
      </w:r>
    </w:p>
    <w:p w14:paraId="06CDC82C" w14:textId="58396DF8" w:rsidR="002C73FE" w:rsidRPr="00FD136C" w:rsidRDefault="002C73FE" w:rsidP="009D0CA0">
      <w:pPr>
        <w:pStyle w:val="ListParagraph"/>
        <w:numPr>
          <w:ilvl w:val="0"/>
          <w:numId w:val="107"/>
        </w:numPr>
        <w:spacing w:before="120" w:after="120"/>
        <w:ind w:left="0" w:firstLine="709"/>
        <w:jc w:val="both"/>
        <w:rPr>
          <w:rFonts w:asciiTheme="majorHAnsi" w:eastAsia="Arial Unicode MS" w:hAnsiTheme="majorHAnsi" w:cs="Times New Roman"/>
          <w:color w:val="auto"/>
          <w:sz w:val="20"/>
          <w:szCs w:val="20"/>
        </w:rPr>
      </w:pPr>
      <w:r w:rsidRPr="00FD136C">
        <w:rPr>
          <w:rFonts w:asciiTheme="majorHAnsi" w:hAnsiTheme="majorHAnsi"/>
          <w:sz w:val="20"/>
          <w:szCs w:val="20"/>
        </w:rPr>
        <w:t>The Commission observes that on September 20, 2006, the petitioner</w:t>
      </w:r>
      <w:r w:rsidR="009D0CA0">
        <w:rPr>
          <w:rFonts w:asciiTheme="majorHAnsi" w:hAnsiTheme="majorHAnsi"/>
          <w:sz w:val="20"/>
          <w:szCs w:val="20"/>
        </w:rPr>
        <w:t>s</w:t>
      </w:r>
      <w:r w:rsidRPr="00FD136C">
        <w:rPr>
          <w:rFonts w:asciiTheme="majorHAnsi" w:hAnsiTheme="majorHAnsi"/>
          <w:sz w:val="20"/>
          <w:szCs w:val="20"/>
        </w:rPr>
        <w:t xml:space="preserve"> filed a </w:t>
      </w:r>
      <w:r w:rsidRPr="009D0CA0">
        <w:rPr>
          <w:rFonts w:asciiTheme="majorHAnsi" w:hAnsiTheme="majorHAnsi"/>
          <w:i/>
          <w:iCs/>
          <w:sz w:val="20"/>
          <w:szCs w:val="20"/>
        </w:rPr>
        <w:t>habeas corpus</w:t>
      </w:r>
      <w:r w:rsidRPr="00FD136C">
        <w:rPr>
          <w:rFonts w:asciiTheme="majorHAnsi" w:hAnsiTheme="majorHAnsi"/>
          <w:sz w:val="20"/>
          <w:szCs w:val="20"/>
        </w:rPr>
        <w:t xml:space="preserve"> petition with National Juvenile Court No. 5, on behalf of all the detainees under the age of 16. The Juvenile Court rejected the petition</w:t>
      </w:r>
      <w:r w:rsidR="00581704">
        <w:rPr>
          <w:rFonts w:asciiTheme="majorHAnsi" w:hAnsiTheme="majorHAnsi"/>
          <w:sz w:val="20"/>
          <w:szCs w:val="20"/>
        </w:rPr>
        <w:t>,</w:t>
      </w:r>
      <w:r w:rsidRPr="00FD136C">
        <w:rPr>
          <w:rFonts w:asciiTheme="majorHAnsi" w:hAnsiTheme="majorHAnsi"/>
          <w:sz w:val="20"/>
          <w:szCs w:val="20"/>
        </w:rPr>
        <w:t xml:space="preserve"> and on September 21, 2006, the National Court of Appeals for Criminal and Correctional </w:t>
      </w:r>
      <w:r w:rsidRPr="00FD136C">
        <w:rPr>
          <w:rFonts w:asciiTheme="majorHAnsi" w:hAnsiTheme="majorHAnsi"/>
          <w:sz w:val="20"/>
          <w:szCs w:val="20"/>
        </w:rPr>
        <w:lastRenderedPageBreak/>
        <w:t xml:space="preserve">Matters confirmed the decision. Consequently, the petitioners filed an extraordinary appeal for annulment </w:t>
      </w:r>
      <w:r w:rsidR="00D05654">
        <w:rPr>
          <w:rFonts w:asciiTheme="majorHAnsi" w:hAnsiTheme="majorHAnsi"/>
          <w:sz w:val="20"/>
          <w:szCs w:val="20"/>
        </w:rPr>
        <w:t xml:space="preserve">and unconstitutionality </w:t>
      </w:r>
      <w:r w:rsidRPr="00FD136C">
        <w:rPr>
          <w:rFonts w:asciiTheme="majorHAnsi" w:hAnsiTheme="majorHAnsi"/>
          <w:sz w:val="20"/>
          <w:szCs w:val="20"/>
        </w:rPr>
        <w:t xml:space="preserve">against article 1 of Decree-Law No. 22.278. The Third Division of the National Criminal Court of Appeals admitted the appeal. However, on December 2, 2008, the Supreme Court of Justice admitted the complaint filed by the </w:t>
      </w:r>
      <w:r w:rsidR="00B77447" w:rsidRPr="00FD136C">
        <w:rPr>
          <w:rFonts w:asciiTheme="majorHAnsi" w:hAnsiTheme="majorHAnsi"/>
          <w:sz w:val="20"/>
          <w:szCs w:val="20"/>
        </w:rPr>
        <w:t xml:space="preserve">Attorney </w:t>
      </w:r>
      <w:r w:rsidR="00CF7D00">
        <w:rPr>
          <w:rFonts w:asciiTheme="majorHAnsi" w:hAnsiTheme="majorHAnsi"/>
          <w:sz w:val="20"/>
          <w:szCs w:val="20"/>
        </w:rPr>
        <w:t>General</w:t>
      </w:r>
      <w:r w:rsidRPr="00FD136C">
        <w:rPr>
          <w:rFonts w:asciiTheme="majorHAnsi" w:hAnsiTheme="majorHAnsi"/>
          <w:sz w:val="20"/>
          <w:szCs w:val="20"/>
        </w:rPr>
        <w:t xml:space="preserve"> and confirmed the </w:t>
      </w:r>
      <w:r w:rsidR="000630B6">
        <w:rPr>
          <w:rFonts w:asciiTheme="majorHAnsi" w:hAnsiTheme="majorHAnsi"/>
          <w:sz w:val="20"/>
          <w:szCs w:val="20"/>
        </w:rPr>
        <w:t xml:space="preserve">lawfulness of </w:t>
      </w:r>
      <w:r w:rsidR="00061526">
        <w:rPr>
          <w:rFonts w:asciiTheme="majorHAnsi" w:hAnsiTheme="majorHAnsi"/>
          <w:sz w:val="20"/>
          <w:szCs w:val="20"/>
        </w:rPr>
        <w:t>youth</w:t>
      </w:r>
      <w:r w:rsidR="000630B6">
        <w:rPr>
          <w:rFonts w:asciiTheme="majorHAnsi" w:hAnsiTheme="majorHAnsi"/>
          <w:sz w:val="20"/>
          <w:szCs w:val="20"/>
        </w:rPr>
        <w:t xml:space="preserve"> </w:t>
      </w:r>
      <w:r w:rsidRPr="00FD136C">
        <w:rPr>
          <w:rFonts w:asciiTheme="majorHAnsi" w:hAnsiTheme="majorHAnsi"/>
          <w:sz w:val="20"/>
          <w:szCs w:val="20"/>
        </w:rPr>
        <w:t>detention and article 1 of Decree</w:t>
      </w:r>
      <w:r w:rsidR="00581704">
        <w:rPr>
          <w:rFonts w:asciiTheme="majorHAnsi" w:hAnsiTheme="majorHAnsi"/>
          <w:sz w:val="20"/>
          <w:szCs w:val="20"/>
        </w:rPr>
        <w:t>-</w:t>
      </w:r>
      <w:r w:rsidRPr="00FD136C">
        <w:rPr>
          <w:rFonts w:asciiTheme="majorHAnsi" w:hAnsiTheme="majorHAnsi"/>
          <w:sz w:val="20"/>
          <w:szCs w:val="20"/>
        </w:rPr>
        <w:t>Law No. 22</w:t>
      </w:r>
      <w:r w:rsidR="000630B6">
        <w:rPr>
          <w:rFonts w:asciiTheme="majorHAnsi" w:hAnsiTheme="majorHAnsi"/>
          <w:sz w:val="20"/>
          <w:szCs w:val="20"/>
        </w:rPr>
        <w:t>.</w:t>
      </w:r>
      <w:r w:rsidRPr="00FD136C">
        <w:rPr>
          <w:rFonts w:asciiTheme="majorHAnsi" w:hAnsiTheme="majorHAnsi"/>
          <w:sz w:val="20"/>
          <w:szCs w:val="20"/>
        </w:rPr>
        <w:t xml:space="preserve">278, by revoking the judgment by the National Criminal Court of Appeals. With respect to this, the Commission has established that </w:t>
      </w:r>
      <w:r w:rsidRPr="002A7C42">
        <w:rPr>
          <w:rFonts w:asciiTheme="majorHAnsi" w:hAnsiTheme="majorHAnsi"/>
          <w:i/>
          <w:iCs/>
          <w:sz w:val="20"/>
          <w:szCs w:val="20"/>
        </w:rPr>
        <w:t>habeas corpus</w:t>
      </w:r>
      <w:r w:rsidRPr="00FD136C">
        <w:rPr>
          <w:rFonts w:asciiTheme="majorHAnsi" w:hAnsiTheme="majorHAnsi"/>
          <w:sz w:val="20"/>
          <w:szCs w:val="20"/>
        </w:rPr>
        <w:t xml:space="preserve"> is the appropriate remedy in all cases in which a person believes that he or she has been illegally </w:t>
      </w:r>
      <w:r w:rsidR="002A7C42">
        <w:rPr>
          <w:rFonts w:asciiTheme="majorHAnsi" w:hAnsiTheme="majorHAnsi"/>
          <w:sz w:val="20"/>
          <w:szCs w:val="20"/>
        </w:rPr>
        <w:t xml:space="preserve">deprived </w:t>
      </w:r>
      <w:r w:rsidRPr="00FD136C">
        <w:rPr>
          <w:rFonts w:asciiTheme="majorHAnsi" w:hAnsiTheme="majorHAnsi"/>
          <w:sz w:val="20"/>
          <w:szCs w:val="20"/>
        </w:rPr>
        <w:t>of his or her liberty.</w:t>
      </w:r>
      <w:r w:rsidRPr="00FD136C">
        <w:rPr>
          <w:rStyle w:val="FootnoteReference"/>
          <w:rFonts w:asciiTheme="majorHAnsi" w:hAnsiTheme="majorHAnsi"/>
          <w:sz w:val="20"/>
          <w:szCs w:val="20"/>
        </w:rPr>
        <w:footnoteReference w:id="8"/>
      </w:r>
      <w:r w:rsidRPr="00FD136C">
        <w:rPr>
          <w:rFonts w:asciiTheme="majorHAnsi" w:hAnsiTheme="majorHAnsi"/>
          <w:sz w:val="20"/>
          <w:szCs w:val="20"/>
        </w:rPr>
        <w:t xml:space="preserve"> </w:t>
      </w:r>
      <w:r w:rsidR="006C2F1A">
        <w:rPr>
          <w:rFonts w:asciiTheme="majorHAnsi" w:hAnsiTheme="majorHAnsi"/>
          <w:sz w:val="20"/>
          <w:szCs w:val="20"/>
        </w:rPr>
        <w:t>Considering</w:t>
      </w:r>
      <w:r w:rsidRPr="00FD136C">
        <w:rPr>
          <w:rFonts w:asciiTheme="majorHAnsi" w:hAnsiTheme="majorHAnsi"/>
          <w:sz w:val="20"/>
          <w:szCs w:val="20"/>
        </w:rPr>
        <w:t xml:space="preserve"> the foregoing, the Commission </w:t>
      </w:r>
      <w:r w:rsidR="006C2F1A">
        <w:rPr>
          <w:rFonts w:asciiTheme="majorHAnsi" w:hAnsiTheme="majorHAnsi"/>
          <w:sz w:val="20"/>
          <w:szCs w:val="20"/>
        </w:rPr>
        <w:t>believes</w:t>
      </w:r>
      <w:r w:rsidRPr="00FD136C">
        <w:rPr>
          <w:rFonts w:asciiTheme="majorHAnsi" w:hAnsiTheme="majorHAnsi"/>
          <w:sz w:val="20"/>
          <w:szCs w:val="20"/>
        </w:rPr>
        <w:t xml:space="preserve"> that the instant petition meets the requirement established </w:t>
      </w:r>
      <w:r w:rsidR="0039451A">
        <w:rPr>
          <w:rFonts w:asciiTheme="majorHAnsi" w:hAnsiTheme="majorHAnsi"/>
          <w:sz w:val="20"/>
          <w:szCs w:val="20"/>
        </w:rPr>
        <w:t>in</w:t>
      </w:r>
      <w:r w:rsidRPr="00FD136C">
        <w:rPr>
          <w:rFonts w:asciiTheme="majorHAnsi" w:hAnsiTheme="majorHAnsi"/>
          <w:sz w:val="20"/>
          <w:szCs w:val="20"/>
        </w:rPr>
        <w:t xml:space="preserve"> Article 46.1.a of the American Convention.</w:t>
      </w:r>
      <w:r w:rsidRPr="00FD136C">
        <w:rPr>
          <w:rStyle w:val="FootnoteReference"/>
          <w:rFonts w:asciiTheme="majorHAnsi" w:hAnsiTheme="majorHAnsi"/>
          <w:sz w:val="20"/>
          <w:szCs w:val="20"/>
        </w:rPr>
        <w:footnoteReference w:id="9"/>
      </w:r>
      <w:r w:rsidRPr="00FD136C">
        <w:rPr>
          <w:rFonts w:asciiTheme="majorHAnsi" w:hAnsiTheme="majorHAnsi"/>
          <w:sz w:val="20"/>
          <w:szCs w:val="20"/>
        </w:rPr>
        <w:t xml:space="preserve"> </w:t>
      </w:r>
    </w:p>
    <w:p w14:paraId="1F850538" w14:textId="5711F274" w:rsidR="002C73FE" w:rsidRPr="00FD136C" w:rsidRDefault="002C73FE" w:rsidP="002C73FE">
      <w:pPr>
        <w:pStyle w:val="ListParagraph"/>
        <w:numPr>
          <w:ilvl w:val="0"/>
          <w:numId w:val="107"/>
        </w:numPr>
        <w:spacing w:before="120" w:after="120"/>
        <w:ind w:left="0" w:firstLine="720"/>
        <w:jc w:val="both"/>
        <w:rPr>
          <w:rFonts w:asciiTheme="majorHAnsi" w:eastAsia="Arial Unicode MS" w:hAnsiTheme="majorHAnsi" w:cs="Times New Roman"/>
          <w:color w:val="auto"/>
          <w:sz w:val="20"/>
          <w:szCs w:val="20"/>
        </w:rPr>
      </w:pPr>
      <w:r w:rsidRPr="00FD136C">
        <w:rPr>
          <w:rFonts w:asciiTheme="majorHAnsi" w:hAnsiTheme="majorHAnsi"/>
          <w:sz w:val="20"/>
          <w:szCs w:val="20"/>
        </w:rPr>
        <w:t xml:space="preserve"> The State contends that the alleged victims, including Juan Manuel Cardozo, Leonardo Ariel Rosales, and David </w:t>
      </w:r>
      <w:proofErr w:type="spellStart"/>
      <w:r w:rsidRPr="00FD136C">
        <w:rPr>
          <w:rFonts w:asciiTheme="majorHAnsi" w:hAnsiTheme="majorHAnsi"/>
          <w:sz w:val="20"/>
          <w:szCs w:val="20"/>
        </w:rPr>
        <w:t>Nazareno</w:t>
      </w:r>
      <w:proofErr w:type="spellEnd"/>
      <w:r w:rsidRPr="00FD136C">
        <w:rPr>
          <w:rFonts w:asciiTheme="majorHAnsi" w:hAnsiTheme="majorHAnsi"/>
          <w:sz w:val="20"/>
          <w:szCs w:val="20"/>
        </w:rPr>
        <w:t xml:space="preserve"> Coronel, did not file any remedy themselves with the national judicial authorities regarding the lawfulness of their detention and the living conditions at the detention facilities </w:t>
      </w:r>
      <w:r w:rsidR="00F941BF">
        <w:rPr>
          <w:rFonts w:asciiTheme="majorHAnsi" w:hAnsiTheme="majorHAnsi"/>
          <w:sz w:val="20"/>
          <w:szCs w:val="20"/>
        </w:rPr>
        <w:t>despite the availability of</w:t>
      </w:r>
      <w:r w:rsidR="001C60A3">
        <w:rPr>
          <w:rFonts w:asciiTheme="majorHAnsi" w:hAnsiTheme="majorHAnsi"/>
          <w:sz w:val="20"/>
          <w:szCs w:val="20"/>
        </w:rPr>
        <w:t xml:space="preserve"> </w:t>
      </w:r>
      <w:r w:rsidR="00F941BF">
        <w:rPr>
          <w:rFonts w:asciiTheme="majorHAnsi" w:hAnsiTheme="majorHAnsi"/>
          <w:sz w:val="20"/>
          <w:szCs w:val="20"/>
        </w:rPr>
        <w:t>the</w:t>
      </w:r>
      <w:r w:rsidR="001C60A3">
        <w:rPr>
          <w:rFonts w:asciiTheme="majorHAnsi" w:hAnsiTheme="majorHAnsi"/>
          <w:sz w:val="20"/>
          <w:szCs w:val="20"/>
        </w:rPr>
        <w:t xml:space="preserve"> ordinary</w:t>
      </w:r>
      <w:r w:rsidRPr="00FD136C">
        <w:rPr>
          <w:rFonts w:asciiTheme="majorHAnsi" w:hAnsiTheme="majorHAnsi"/>
          <w:sz w:val="20"/>
          <w:szCs w:val="20"/>
        </w:rPr>
        <w:t xml:space="preserve"> appeal and ultimately </w:t>
      </w:r>
      <w:r w:rsidR="00F941BF">
        <w:rPr>
          <w:rFonts w:asciiTheme="majorHAnsi" w:hAnsiTheme="majorHAnsi"/>
          <w:sz w:val="20"/>
          <w:szCs w:val="20"/>
        </w:rPr>
        <w:t>the</w:t>
      </w:r>
      <w:r w:rsidR="001C60A3">
        <w:rPr>
          <w:rFonts w:asciiTheme="majorHAnsi" w:hAnsiTheme="majorHAnsi"/>
          <w:sz w:val="20"/>
          <w:szCs w:val="20"/>
        </w:rPr>
        <w:t xml:space="preserve"> </w:t>
      </w:r>
      <w:r w:rsidRPr="00FD136C">
        <w:rPr>
          <w:rFonts w:asciiTheme="majorHAnsi" w:hAnsiTheme="majorHAnsi"/>
          <w:sz w:val="20"/>
          <w:szCs w:val="20"/>
        </w:rPr>
        <w:t xml:space="preserve">extraordinary appeal for annulment on the grounds of error, which it claims is specifically adequate for cases like this. The Commission takes note of </w:t>
      </w:r>
      <w:r w:rsidR="001C60A3">
        <w:rPr>
          <w:rFonts w:asciiTheme="majorHAnsi" w:hAnsiTheme="majorHAnsi"/>
          <w:sz w:val="20"/>
          <w:szCs w:val="20"/>
        </w:rPr>
        <w:t xml:space="preserve">the </w:t>
      </w:r>
      <w:r w:rsidRPr="00FD136C">
        <w:rPr>
          <w:rFonts w:asciiTheme="majorHAnsi" w:hAnsiTheme="majorHAnsi"/>
          <w:sz w:val="20"/>
          <w:szCs w:val="20"/>
        </w:rPr>
        <w:t>boys</w:t>
      </w:r>
      <w:r w:rsidR="001C60A3">
        <w:rPr>
          <w:rFonts w:asciiTheme="majorHAnsi" w:hAnsiTheme="majorHAnsi"/>
          <w:sz w:val="20"/>
          <w:szCs w:val="20"/>
        </w:rPr>
        <w:t>’</w:t>
      </w:r>
      <w:r w:rsidRPr="00FD136C">
        <w:rPr>
          <w:rFonts w:asciiTheme="majorHAnsi" w:hAnsiTheme="majorHAnsi"/>
          <w:sz w:val="20"/>
          <w:szCs w:val="20"/>
        </w:rPr>
        <w:t xml:space="preserve"> and girls’ alleged lack of legal assistance and vulnerable condition, which </w:t>
      </w:r>
      <w:r w:rsidR="00D05654">
        <w:rPr>
          <w:rFonts w:asciiTheme="majorHAnsi" w:hAnsiTheme="majorHAnsi"/>
          <w:sz w:val="20"/>
          <w:szCs w:val="20"/>
        </w:rPr>
        <w:t>would have</w:t>
      </w:r>
      <w:r w:rsidRPr="00FD136C">
        <w:rPr>
          <w:rFonts w:asciiTheme="majorHAnsi" w:hAnsiTheme="majorHAnsi"/>
          <w:sz w:val="20"/>
          <w:szCs w:val="20"/>
        </w:rPr>
        <w:t xml:space="preserve"> prevented them, </w:t>
      </w:r>
      <w:r w:rsidRPr="001C60A3">
        <w:rPr>
          <w:rFonts w:asciiTheme="majorHAnsi" w:hAnsiTheme="majorHAnsi"/>
          <w:i/>
          <w:iCs/>
          <w:sz w:val="20"/>
          <w:szCs w:val="20"/>
        </w:rPr>
        <w:t>prima facie</w:t>
      </w:r>
      <w:r w:rsidRPr="00FD136C">
        <w:rPr>
          <w:rFonts w:asciiTheme="majorHAnsi" w:hAnsiTheme="majorHAnsi"/>
          <w:sz w:val="20"/>
          <w:szCs w:val="20"/>
        </w:rPr>
        <w:t>, from filing th</w:t>
      </w:r>
      <w:r w:rsidR="006149CD">
        <w:rPr>
          <w:rFonts w:asciiTheme="majorHAnsi" w:hAnsiTheme="majorHAnsi"/>
          <w:sz w:val="20"/>
          <w:szCs w:val="20"/>
        </w:rPr>
        <w:t>e</w:t>
      </w:r>
      <w:r w:rsidRPr="00FD136C">
        <w:rPr>
          <w:rFonts w:asciiTheme="majorHAnsi" w:hAnsiTheme="majorHAnsi"/>
          <w:sz w:val="20"/>
          <w:szCs w:val="20"/>
        </w:rPr>
        <w:t>se remedies. The Commission reiterates that under the rule of exhaustion of domestic remedies set forth in Article 46.1.a of the American Convention, petitioners must pursue and exhaust the adequate remedies under national law first. The Commission has established that the requirement to exhaust domestic remedies does not mean that the alleged victims are obliged to exhaust every remedy available to them. Accordingly, if an alleged victim has pursued the matter through one of the valid and appropriate options</w:t>
      </w:r>
      <w:r w:rsidR="00581704">
        <w:rPr>
          <w:rFonts w:asciiTheme="majorHAnsi" w:hAnsiTheme="majorHAnsi"/>
          <w:sz w:val="20"/>
          <w:szCs w:val="20"/>
        </w:rPr>
        <w:t xml:space="preserve"> in</w:t>
      </w:r>
      <w:r w:rsidRPr="00FD136C">
        <w:rPr>
          <w:rFonts w:asciiTheme="majorHAnsi" w:hAnsiTheme="majorHAnsi"/>
          <w:sz w:val="20"/>
          <w:szCs w:val="20"/>
        </w:rPr>
        <w:t xml:space="preserve"> accordance with the domestic legal system and the State has had the opportunity to remedy the matter in its jurisdiction, the objective of </w:t>
      </w:r>
      <w:r w:rsidR="00D05654">
        <w:rPr>
          <w:rFonts w:asciiTheme="majorHAnsi" w:hAnsiTheme="majorHAnsi"/>
          <w:sz w:val="20"/>
          <w:szCs w:val="20"/>
        </w:rPr>
        <w:t>international law has been met.</w:t>
      </w:r>
      <w:r w:rsidRPr="00FD136C">
        <w:rPr>
          <w:rStyle w:val="FootnoteReference"/>
          <w:rFonts w:asciiTheme="majorHAnsi" w:hAnsiTheme="majorHAnsi"/>
          <w:sz w:val="20"/>
          <w:szCs w:val="20"/>
        </w:rPr>
        <w:footnoteReference w:id="10"/>
      </w:r>
      <w:r w:rsidRPr="00FD136C">
        <w:rPr>
          <w:rFonts w:asciiTheme="majorHAnsi" w:hAnsiTheme="majorHAnsi"/>
          <w:sz w:val="20"/>
          <w:szCs w:val="20"/>
        </w:rPr>
        <w:t xml:space="preserve"> With regard to this, the Commission observes that through the </w:t>
      </w:r>
      <w:r w:rsidRPr="001C60A3">
        <w:rPr>
          <w:rFonts w:asciiTheme="majorHAnsi" w:hAnsiTheme="majorHAnsi"/>
          <w:i/>
          <w:iCs/>
          <w:sz w:val="20"/>
          <w:szCs w:val="20"/>
        </w:rPr>
        <w:t>habeas corpus</w:t>
      </w:r>
      <w:r w:rsidRPr="00FD136C">
        <w:rPr>
          <w:rFonts w:asciiTheme="majorHAnsi" w:hAnsiTheme="majorHAnsi"/>
          <w:sz w:val="20"/>
          <w:szCs w:val="20"/>
        </w:rPr>
        <w:t xml:space="preserve"> remedy, the authorities became aware of the alleged victims’ complaints regarding the lawfulness of their detention, the poor sanitary conditions, and the maltreatment sustained in the detention facilities. In these circumstances, the IACHR </w:t>
      </w:r>
      <w:r w:rsidR="001C60A3">
        <w:rPr>
          <w:rFonts w:asciiTheme="majorHAnsi" w:hAnsiTheme="majorHAnsi"/>
          <w:sz w:val="20"/>
          <w:szCs w:val="20"/>
        </w:rPr>
        <w:t>deems</w:t>
      </w:r>
      <w:r w:rsidRPr="00FD136C">
        <w:rPr>
          <w:rFonts w:asciiTheme="majorHAnsi" w:hAnsiTheme="majorHAnsi"/>
          <w:sz w:val="20"/>
          <w:szCs w:val="20"/>
        </w:rPr>
        <w:t xml:space="preserve"> that</w:t>
      </w:r>
      <w:r w:rsidR="003D7E8A">
        <w:rPr>
          <w:rFonts w:asciiTheme="majorHAnsi" w:hAnsiTheme="majorHAnsi"/>
          <w:sz w:val="20"/>
          <w:szCs w:val="20"/>
        </w:rPr>
        <w:t xml:space="preserve"> since</w:t>
      </w:r>
      <w:r w:rsidRPr="00FD136C">
        <w:rPr>
          <w:rFonts w:asciiTheme="majorHAnsi" w:hAnsiTheme="majorHAnsi"/>
          <w:sz w:val="20"/>
          <w:szCs w:val="20"/>
        </w:rPr>
        <w:t xml:space="preserve"> the authorities were aware of the situation of the alleged victim</w:t>
      </w:r>
      <w:r w:rsidR="003D7E8A">
        <w:rPr>
          <w:rFonts w:asciiTheme="majorHAnsi" w:hAnsiTheme="majorHAnsi"/>
          <w:sz w:val="20"/>
          <w:szCs w:val="20"/>
        </w:rPr>
        <w:t>s</w:t>
      </w:r>
      <w:r w:rsidRPr="00FD136C">
        <w:rPr>
          <w:rFonts w:asciiTheme="majorHAnsi" w:hAnsiTheme="majorHAnsi"/>
          <w:sz w:val="20"/>
          <w:szCs w:val="20"/>
        </w:rPr>
        <w:t xml:space="preserve">, the instant petition </w:t>
      </w:r>
      <w:r w:rsidR="003D7E8A">
        <w:rPr>
          <w:rFonts w:asciiTheme="majorHAnsi" w:hAnsiTheme="majorHAnsi"/>
          <w:sz w:val="20"/>
          <w:szCs w:val="20"/>
        </w:rPr>
        <w:t>meets</w:t>
      </w:r>
      <w:r w:rsidRPr="00FD136C">
        <w:rPr>
          <w:rFonts w:asciiTheme="majorHAnsi" w:hAnsiTheme="majorHAnsi"/>
          <w:sz w:val="20"/>
          <w:szCs w:val="20"/>
        </w:rPr>
        <w:t xml:space="preserve"> the requirements of Article 46</w:t>
      </w:r>
      <w:r w:rsidR="009C1D2B">
        <w:rPr>
          <w:rFonts w:asciiTheme="majorHAnsi" w:hAnsiTheme="majorHAnsi"/>
          <w:sz w:val="20"/>
          <w:szCs w:val="20"/>
        </w:rPr>
        <w:t xml:space="preserve"> of the American Convention</w:t>
      </w:r>
      <w:r w:rsidRPr="00FD136C">
        <w:rPr>
          <w:rFonts w:asciiTheme="majorHAnsi" w:hAnsiTheme="majorHAnsi"/>
          <w:sz w:val="20"/>
          <w:szCs w:val="20"/>
        </w:rPr>
        <w:t>.</w:t>
      </w:r>
      <w:r w:rsidR="009C1D2B">
        <w:rPr>
          <w:rStyle w:val="FootnoteReference"/>
          <w:rFonts w:asciiTheme="majorHAnsi" w:hAnsiTheme="majorHAnsi"/>
          <w:sz w:val="20"/>
          <w:szCs w:val="20"/>
        </w:rPr>
        <w:footnoteReference w:id="11"/>
      </w:r>
    </w:p>
    <w:p w14:paraId="4D2608E3" w14:textId="2A0536CF" w:rsidR="002C73FE" w:rsidRPr="00FD136C" w:rsidRDefault="002C73FE" w:rsidP="002C73FE">
      <w:pPr>
        <w:pStyle w:val="ListParagraph"/>
        <w:numPr>
          <w:ilvl w:val="0"/>
          <w:numId w:val="107"/>
        </w:numPr>
        <w:spacing w:before="120" w:after="120"/>
        <w:ind w:left="0" w:firstLine="720"/>
        <w:jc w:val="both"/>
        <w:rPr>
          <w:rFonts w:asciiTheme="majorHAnsi" w:hAnsiTheme="majorHAnsi"/>
          <w:sz w:val="20"/>
          <w:szCs w:val="20"/>
        </w:rPr>
      </w:pPr>
      <w:r w:rsidRPr="00FD136C">
        <w:rPr>
          <w:rFonts w:asciiTheme="majorHAnsi" w:hAnsiTheme="majorHAnsi"/>
          <w:sz w:val="20"/>
          <w:szCs w:val="20"/>
        </w:rPr>
        <w:t>Concerning the timeliness of the instant petition, the IACHR received it on June 2, 1999</w:t>
      </w:r>
      <w:r w:rsidR="004038D1">
        <w:rPr>
          <w:rFonts w:asciiTheme="majorHAnsi" w:hAnsiTheme="majorHAnsi"/>
          <w:sz w:val="20"/>
          <w:szCs w:val="20"/>
        </w:rPr>
        <w:t>;</w:t>
      </w:r>
      <w:r w:rsidRPr="00FD136C">
        <w:rPr>
          <w:rFonts w:asciiTheme="majorHAnsi" w:hAnsiTheme="majorHAnsi"/>
          <w:sz w:val="20"/>
          <w:szCs w:val="20"/>
        </w:rPr>
        <w:t xml:space="preserve"> thus, the petition was filed within the </w:t>
      </w:r>
      <w:r w:rsidR="00FD136C" w:rsidRPr="00FD136C">
        <w:rPr>
          <w:rFonts w:asciiTheme="majorHAnsi" w:hAnsiTheme="majorHAnsi"/>
          <w:sz w:val="20"/>
          <w:szCs w:val="20"/>
        </w:rPr>
        <w:t>six-month</w:t>
      </w:r>
      <w:r w:rsidRPr="00FD136C">
        <w:rPr>
          <w:rFonts w:asciiTheme="majorHAnsi" w:hAnsiTheme="majorHAnsi"/>
          <w:sz w:val="20"/>
          <w:szCs w:val="20"/>
        </w:rPr>
        <w:t xml:space="preserve"> period provided by Article 46.1.b of the Convention.</w:t>
      </w:r>
      <w:r w:rsidRPr="00FD136C">
        <w:rPr>
          <w:rFonts w:asciiTheme="majorHAnsi" w:hAnsiTheme="majorHAnsi"/>
          <w:sz w:val="20"/>
          <w:szCs w:val="20"/>
          <w:highlight w:val="yellow"/>
        </w:rPr>
        <w:t xml:space="preserve"> </w:t>
      </w:r>
    </w:p>
    <w:p w14:paraId="472FDA9C" w14:textId="77777777" w:rsidR="002C73FE" w:rsidRPr="00FD136C" w:rsidRDefault="002C73FE" w:rsidP="002C73FE">
      <w:pPr>
        <w:pStyle w:val="ListParagraph"/>
        <w:spacing w:before="120" w:after="120"/>
        <w:jc w:val="both"/>
        <w:rPr>
          <w:rFonts w:asciiTheme="majorHAnsi" w:eastAsia="Arial Unicode MS" w:hAnsiTheme="majorHAnsi" w:cs="Times New Roman"/>
          <w:b/>
          <w:color w:val="auto"/>
          <w:sz w:val="20"/>
          <w:szCs w:val="20"/>
        </w:rPr>
      </w:pPr>
      <w:r w:rsidRPr="00FD136C">
        <w:rPr>
          <w:rFonts w:asciiTheme="majorHAnsi" w:eastAsia="Arial Unicode MS" w:hAnsiTheme="majorHAnsi" w:cs="Times New Roman"/>
          <w:b/>
          <w:bCs/>
          <w:color w:val="auto"/>
          <w:sz w:val="20"/>
          <w:szCs w:val="20"/>
        </w:rPr>
        <w:t xml:space="preserve">VII. </w:t>
      </w:r>
      <w:r w:rsidRPr="00FD136C">
        <w:rPr>
          <w:rFonts w:asciiTheme="majorHAnsi" w:eastAsia="Arial Unicode MS" w:hAnsiTheme="majorHAnsi" w:cs="Times New Roman"/>
          <w:b/>
          <w:bCs/>
          <w:color w:val="auto"/>
          <w:sz w:val="20"/>
          <w:szCs w:val="20"/>
        </w:rPr>
        <w:tab/>
        <w:t>COLORABLE CLAIM</w:t>
      </w:r>
    </w:p>
    <w:p w14:paraId="11E26CF7" w14:textId="4C80F358" w:rsidR="002C73FE" w:rsidRPr="00FD136C" w:rsidRDefault="002C73FE" w:rsidP="002C73FE">
      <w:pPr>
        <w:pStyle w:val="ListParagraph"/>
        <w:numPr>
          <w:ilvl w:val="0"/>
          <w:numId w:val="107"/>
        </w:numPr>
        <w:tabs>
          <w:tab w:val="left" w:pos="0"/>
        </w:tabs>
        <w:spacing w:before="120" w:after="120"/>
        <w:ind w:left="0" w:firstLine="720"/>
        <w:jc w:val="both"/>
        <w:rPr>
          <w:rFonts w:asciiTheme="majorHAnsi" w:hAnsiTheme="majorHAnsi"/>
          <w:sz w:val="20"/>
          <w:szCs w:val="20"/>
        </w:rPr>
      </w:pPr>
      <w:r w:rsidRPr="00FD136C">
        <w:rPr>
          <w:sz w:val="20"/>
          <w:szCs w:val="20"/>
        </w:rPr>
        <w:t xml:space="preserve">The Commission observes that the instant petition involves claims </w:t>
      </w:r>
      <w:r w:rsidR="00E5564F">
        <w:rPr>
          <w:sz w:val="20"/>
          <w:szCs w:val="20"/>
        </w:rPr>
        <w:t>about</w:t>
      </w:r>
      <w:r w:rsidRPr="00FD136C">
        <w:rPr>
          <w:sz w:val="20"/>
          <w:szCs w:val="20"/>
        </w:rPr>
        <w:t xml:space="preserve"> the </w:t>
      </w:r>
      <w:r w:rsidRPr="00FD136C">
        <w:rPr>
          <w:rFonts w:asciiTheme="majorHAnsi" w:hAnsiTheme="majorHAnsi"/>
          <w:sz w:val="20"/>
          <w:szCs w:val="20"/>
        </w:rPr>
        <w:t xml:space="preserve">unlawful detention of </w:t>
      </w:r>
      <w:r w:rsidR="00E5564F">
        <w:rPr>
          <w:rFonts w:asciiTheme="majorHAnsi" w:hAnsiTheme="majorHAnsi"/>
          <w:sz w:val="20"/>
          <w:szCs w:val="20"/>
        </w:rPr>
        <w:t>minors</w:t>
      </w:r>
      <w:r w:rsidRPr="00FD136C">
        <w:rPr>
          <w:rFonts w:asciiTheme="majorHAnsi" w:hAnsiTheme="majorHAnsi"/>
          <w:sz w:val="20"/>
          <w:szCs w:val="20"/>
        </w:rPr>
        <w:t>, the violation of their rights to due process and to a fair trial in the legal proceedings against them, the poor sanitary conditions</w:t>
      </w:r>
      <w:r w:rsidR="009C1D2B">
        <w:rPr>
          <w:rFonts w:asciiTheme="majorHAnsi" w:hAnsiTheme="majorHAnsi"/>
          <w:sz w:val="20"/>
          <w:szCs w:val="20"/>
        </w:rPr>
        <w:t>,</w:t>
      </w:r>
      <w:r w:rsidRPr="00FD136C">
        <w:rPr>
          <w:rFonts w:asciiTheme="majorHAnsi" w:hAnsiTheme="majorHAnsi"/>
          <w:sz w:val="20"/>
          <w:szCs w:val="20"/>
        </w:rPr>
        <w:t xml:space="preserve"> and </w:t>
      </w:r>
      <w:r w:rsidR="009C1D2B">
        <w:rPr>
          <w:rFonts w:asciiTheme="majorHAnsi" w:hAnsiTheme="majorHAnsi"/>
          <w:sz w:val="20"/>
          <w:szCs w:val="20"/>
        </w:rPr>
        <w:t xml:space="preserve">the </w:t>
      </w:r>
      <w:r w:rsidRPr="00FD136C">
        <w:rPr>
          <w:rFonts w:asciiTheme="majorHAnsi" w:hAnsiTheme="majorHAnsi"/>
          <w:sz w:val="20"/>
          <w:szCs w:val="20"/>
        </w:rPr>
        <w:t xml:space="preserve">maltreatment sustained in the detention facilities. </w:t>
      </w:r>
      <w:r w:rsidRPr="00FD136C">
        <w:rPr>
          <w:sz w:val="20"/>
          <w:szCs w:val="20"/>
        </w:rPr>
        <w:t>In view of these considerations and having analyzed the factual and legal elements presented by the parties, the Commission deems that the petitioners’ claims are not manifestly groundless and require an analysis of the merits. If proven to be true, the facts alleged may constitute violations of Articles</w:t>
      </w:r>
      <w:r w:rsidRPr="00FD136C">
        <w:rPr>
          <w:rFonts w:asciiTheme="majorHAnsi" w:hAnsiTheme="majorHAnsi"/>
          <w:sz w:val="20"/>
          <w:szCs w:val="20"/>
        </w:rPr>
        <w:t xml:space="preserve"> 5 (humane treatment), 7 (personal liberty), 8 (fair trial), 17 (rights of the family), 19 (rights of the child), 24 (equal protection), 25 (judicial protection), and </w:t>
      </w:r>
      <w:r w:rsidR="00E5564F">
        <w:rPr>
          <w:rFonts w:asciiTheme="majorHAnsi" w:hAnsiTheme="majorHAnsi"/>
          <w:sz w:val="20"/>
          <w:szCs w:val="20"/>
        </w:rPr>
        <w:t xml:space="preserve">26 </w:t>
      </w:r>
      <w:r w:rsidRPr="00FD136C">
        <w:rPr>
          <w:rFonts w:asciiTheme="majorHAnsi" w:hAnsiTheme="majorHAnsi"/>
          <w:sz w:val="20"/>
          <w:szCs w:val="20"/>
        </w:rPr>
        <w:t>(economic, social, and cultural rights) of the American Convention, regarding Articles 1.1 (obligation to respect rights) and 2 (domestic legal effects)</w:t>
      </w:r>
      <w:r w:rsidR="00E5564F">
        <w:rPr>
          <w:rFonts w:asciiTheme="majorHAnsi" w:hAnsiTheme="majorHAnsi"/>
          <w:sz w:val="20"/>
          <w:szCs w:val="20"/>
        </w:rPr>
        <w:t xml:space="preserve"> thereof</w:t>
      </w:r>
      <w:r w:rsidRPr="00FD136C">
        <w:rPr>
          <w:rFonts w:asciiTheme="majorHAnsi" w:hAnsiTheme="majorHAnsi"/>
          <w:sz w:val="20"/>
          <w:szCs w:val="20"/>
        </w:rPr>
        <w:t>.</w:t>
      </w:r>
      <w:r w:rsidRPr="00FD136C">
        <w:rPr>
          <w:rStyle w:val="FootnoteReference"/>
          <w:rFonts w:asciiTheme="majorHAnsi" w:eastAsia="Arial Unicode MS" w:hAnsiTheme="majorHAnsi"/>
          <w:color w:val="auto"/>
          <w:sz w:val="20"/>
          <w:szCs w:val="20"/>
        </w:rPr>
        <w:footnoteReference w:id="12"/>
      </w:r>
      <w:r w:rsidRPr="00FD136C">
        <w:rPr>
          <w:rFonts w:asciiTheme="majorHAnsi" w:hAnsiTheme="majorHAnsi"/>
          <w:sz w:val="20"/>
          <w:szCs w:val="20"/>
        </w:rPr>
        <w:t xml:space="preserve"> </w:t>
      </w:r>
    </w:p>
    <w:p w14:paraId="367AEE7D" w14:textId="5FF32BB9" w:rsidR="002C73FE" w:rsidRPr="00FD136C" w:rsidRDefault="002C73FE" w:rsidP="002C73FE">
      <w:pPr>
        <w:pStyle w:val="ListParagraph"/>
        <w:numPr>
          <w:ilvl w:val="0"/>
          <w:numId w:val="107"/>
        </w:numPr>
        <w:tabs>
          <w:tab w:val="left" w:pos="0"/>
        </w:tabs>
        <w:spacing w:before="120" w:after="120"/>
        <w:ind w:left="0" w:firstLine="720"/>
        <w:jc w:val="both"/>
        <w:rPr>
          <w:rFonts w:asciiTheme="majorHAnsi" w:hAnsiTheme="majorHAnsi"/>
          <w:sz w:val="20"/>
          <w:szCs w:val="20"/>
        </w:rPr>
      </w:pPr>
      <w:r w:rsidRPr="00FD136C">
        <w:rPr>
          <w:rFonts w:asciiTheme="majorHAnsi" w:hAnsiTheme="majorHAnsi"/>
          <w:sz w:val="20"/>
          <w:szCs w:val="20"/>
        </w:rPr>
        <w:t xml:space="preserve">As for the alleged violation of Article 9 (freedom from </w:t>
      </w:r>
      <w:r w:rsidRPr="00FD136C">
        <w:rPr>
          <w:rFonts w:asciiTheme="majorHAnsi" w:hAnsiTheme="majorHAnsi"/>
          <w:i/>
          <w:iCs/>
          <w:sz w:val="20"/>
          <w:szCs w:val="20"/>
        </w:rPr>
        <w:t>ex post facto</w:t>
      </w:r>
      <w:r w:rsidRPr="00FD136C">
        <w:rPr>
          <w:rFonts w:asciiTheme="majorHAnsi" w:hAnsiTheme="majorHAnsi"/>
          <w:sz w:val="20"/>
          <w:szCs w:val="20"/>
        </w:rPr>
        <w:t xml:space="preserve"> laws) of the American Convention, the Commission notes that the petitioners </w:t>
      </w:r>
      <w:r w:rsidR="0027012D">
        <w:rPr>
          <w:rFonts w:asciiTheme="majorHAnsi" w:hAnsiTheme="majorHAnsi"/>
          <w:sz w:val="20"/>
          <w:szCs w:val="20"/>
        </w:rPr>
        <w:t>did</w:t>
      </w:r>
      <w:r w:rsidRPr="00FD136C">
        <w:rPr>
          <w:rFonts w:asciiTheme="majorHAnsi" w:hAnsiTheme="majorHAnsi"/>
          <w:sz w:val="20"/>
          <w:szCs w:val="20"/>
        </w:rPr>
        <w:t xml:space="preserve"> not submit enough evidence to </w:t>
      </w:r>
      <w:r w:rsidRPr="0027012D">
        <w:rPr>
          <w:rFonts w:asciiTheme="majorHAnsi" w:hAnsiTheme="majorHAnsi"/>
          <w:i/>
          <w:iCs/>
          <w:sz w:val="20"/>
          <w:szCs w:val="20"/>
        </w:rPr>
        <w:t>prima facie</w:t>
      </w:r>
      <w:r w:rsidR="0027012D">
        <w:rPr>
          <w:rFonts w:asciiTheme="majorHAnsi" w:hAnsiTheme="majorHAnsi"/>
          <w:sz w:val="20"/>
          <w:szCs w:val="20"/>
        </w:rPr>
        <w:t xml:space="preserve"> </w:t>
      </w:r>
      <w:r w:rsidR="0027012D" w:rsidRPr="00FD136C">
        <w:rPr>
          <w:rFonts w:asciiTheme="majorHAnsi" w:hAnsiTheme="majorHAnsi"/>
          <w:sz w:val="20"/>
          <w:szCs w:val="20"/>
        </w:rPr>
        <w:t>establish</w:t>
      </w:r>
      <w:r w:rsidRPr="00FD136C">
        <w:rPr>
          <w:rFonts w:asciiTheme="majorHAnsi" w:hAnsiTheme="majorHAnsi"/>
          <w:sz w:val="20"/>
          <w:szCs w:val="20"/>
        </w:rPr>
        <w:t xml:space="preserve"> a possible violation. </w:t>
      </w:r>
    </w:p>
    <w:p w14:paraId="251BF213" w14:textId="111BE78A" w:rsidR="002C73FE" w:rsidRPr="00FD136C" w:rsidRDefault="002C73FE" w:rsidP="002C73FE">
      <w:pPr>
        <w:pStyle w:val="ListParagraph"/>
        <w:numPr>
          <w:ilvl w:val="0"/>
          <w:numId w:val="107"/>
        </w:numPr>
        <w:tabs>
          <w:tab w:val="left" w:pos="0"/>
        </w:tabs>
        <w:spacing w:before="120" w:after="120"/>
        <w:ind w:left="0" w:firstLine="720"/>
        <w:jc w:val="both"/>
        <w:rPr>
          <w:rFonts w:asciiTheme="majorHAnsi" w:hAnsiTheme="majorHAnsi"/>
          <w:sz w:val="20"/>
          <w:szCs w:val="20"/>
        </w:rPr>
      </w:pPr>
      <w:r w:rsidRPr="00FD136C">
        <w:rPr>
          <w:rFonts w:asciiTheme="majorHAnsi" w:hAnsiTheme="majorHAnsi" w:cs="Times New Roman"/>
          <w:sz w:val="20"/>
          <w:szCs w:val="20"/>
        </w:rPr>
        <w:t xml:space="preserve">In regard to the alleged violation of Articles 37 and 40 of the Convention on the Rights of the Child, the Commission </w:t>
      </w:r>
      <w:r w:rsidR="00D05654" w:rsidRPr="00FD136C">
        <w:rPr>
          <w:rFonts w:asciiTheme="majorHAnsi" w:hAnsiTheme="majorHAnsi" w:cs="Times New Roman"/>
          <w:sz w:val="20"/>
          <w:szCs w:val="20"/>
        </w:rPr>
        <w:t>clarifies</w:t>
      </w:r>
      <w:r w:rsidRPr="00FD136C">
        <w:rPr>
          <w:rFonts w:asciiTheme="majorHAnsi" w:hAnsiTheme="majorHAnsi" w:cs="Times New Roman"/>
          <w:sz w:val="20"/>
          <w:szCs w:val="20"/>
        </w:rPr>
        <w:t xml:space="preserve"> that while it is not competent to adjudicate violations of rights embodied in the </w:t>
      </w:r>
      <w:r w:rsidRPr="00FD136C">
        <w:rPr>
          <w:rFonts w:asciiTheme="majorHAnsi" w:hAnsiTheme="majorHAnsi" w:cs="Times New Roman"/>
          <w:sz w:val="20"/>
          <w:szCs w:val="20"/>
        </w:rPr>
        <w:lastRenderedPageBreak/>
        <w:t xml:space="preserve">Convention on the Rights of the Child, the IACHR is competent to resort to the </w:t>
      </w:r>
      <w:r w:rsidR="00D05654">
        <w:rPr>
          <w:rFonts w:asciiTheme="majorHAnsi" w:hAnsiTheme="majorHAnsi" w:cs="Times New Roman"/>
          <w:sz w:val="20"/>
          <w:szCs w:val="20"/>
        </w:rPr>
        <w:t>norms</w:t>
      </w:r>
      <w:r w:rsidRPr="00FD136C">
        <w:rPr>
          <w:rFonts w:asciiTheme="majorHAnsi" w:hAnsiTheme="majorHAnsi" w:cs="Times New Roman"/>
          <w:sz w:val="20"/>
          <w:szCs w:val="20"/>
        </w:rPr>
        <w:t xml:space="preserve"> of the latter in order to interpret the rules of the American Convention, under Article 29 of this treaty. </w:t>
      </w:r>
    </w:p>
    <w:p w14:paraId="3C229360" w14:textId="77777777" w:rsidR="002C73FE" w:rsidRPr="00FD136C" w:rsidRDefault="002C73FE" w:rsidP="002C73FE">
      <w:pPr>
        <w:pStyle w:val="ListParagraph"/>
        <w:spacing w:before="120" w:after="120"/>
        <w:jc w:val="both"/>
        <w:rPr>
          <w:rFonts w:asciiTheme="majorHAnsi" w:eastAsia="Arial Unicode MS" w:hAnsiTheme="majorHAnsi" w:cs="Times New Roman"/>
          <w:b/>
          <w:color w:val="auto"/>
          <w:sz w:val="20"/>
          <w:szCs w:val="20"/>
        </w:rPr>
      </w:pPr>
      <w:r w:rsidRPr="00FD136C">
        <w:rPr>
          <w:rFonts w:asciiTheme="majorHAnsi" w:eastAsia="Arial Unicode MS" w:hAnsiTheme="majorHAnsi" w:cs="Times New Roman"/>
          <w:b/>
          <w:bCs/>
          <w:color w:val="auto"/>
          <w:sz w:val="20"/>
          <w:szCs w:val="20"/>
        </w:rPr>
        <w:t xml:space="preserve">VIII. </w:t>
      </w:r>
      <w:r w:rsidRPr="00FD136C">
        <w:rPr>
          <w:rFonts w:asciiTheme="majorHAnsi" w:eastAsia="Arial Unicode MS" w:hAnsiTheme="majorHAnsi" w:cs="Times New Roman"/>
          <w:b/>
          <w:bCs/>
          <w:color w:val="auto"/>
          <w:sz w:val="20"/>
          <w:szCs w:val="20"/>
        </w:rPr>
        <w:tab/>
        <w:t>DECISION</w:t>
      </w:r>
    </w:p>
    <w:p w14:paraId="157CA6DD" w14:textId="77777777" w:rsidR="002C73FE" w:rsidRPr="00FD136C" w:rsidRDefault="002C73FE" w:rsidP="002C73F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FD136C">
        <w:rPr>
          <w:rFonts w:asciiTheme="majorHAnsi" w:hAnsiTheme="majorHAnsi"/>
          <w:sz w:val="20"/>
          <w:szCs w:val="20"/>
        </w:rPr>
        <w:t>To declare this petition admissible with regard to Articles 5, 7, 8, 17, 19, 24, 25, and 26 of the American Convention in relation to Articles 1.1 and 2 thereof;</w:t>
      </w:r>
    </w:p>
    <w:p w14:paraId="6A1A2FB8" w14:textId="77777777" w:rsidR="002C73FE" w:rsidRPr="00FD136C" w:rsidRDefault="002C73FE" w:rsidP="002C73FE">
      <w:pPr>
        <w:pStyle w:val="ListParagraph"/>
        <w:numPr>
          <w:ilvl w:val="0"/>
          <w:numId w:val="105"/>
        </w:numPr>
        <w:spacing w:after="120"/>
        <w:jc w:val="both"/>
        <w:rPr>
          <w:rFonts w:asciiTheme="majorHAnsi" w:eastAsia="Arial Unicode MS" w:hAnsiTheme="majorHAnsi" w:cs="Times New Roman"/>
          <w:color w:val="auto"/>
          <w:sz w:val="20"/>
          <w:szCs w:val="20"/>
        </w:rPr>
      </w:pPr>
      <w:r w:rsidRPr="00FD136C">
        <w:rPr>
          <w:rFonts w:asciiTheme="majorHAnsi" w:hAnsiTheme="majorHAnsi"/>
          <w:color w:val="auto"/>
          <w:sz w:val="20"/>
          <w:szCs w:val="20"/>
        </w:rPr>
        <w:t>To declare the instant petition inadmissible in relation to Article 9 of the American Convention; and</w:t>
      </w:r>
    </w:p>
    <w:p w14:paraId="09A591F8" w14:textId="44735EC1" w:rsidR="002C73FE" w:rsidRPr="00FD136C" w:rsidRDefault="002C73FE" w:rsidP="002C73F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FD136C">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14:paraId="111DCBF7" w14:textId="5FF2A315" w:rsidR="00B05DB3" w:rsidRDefault="00B05DB3" w:rsidP="00B05DB3">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7</w:t>
      </w:r>
      <w:r w:rsidRPr="00B05DB3">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sidR="006752E1">
        <w:rPr>
          <w:rFonts w:asciiTheme="majorHAnsi" w:hAnsiTheme="majorHAnsi" w:cs="Arial"/>
          <w:noProof/>
          <w:spacing w:val="-2"/>
          <w:sz w:val="20"/>
          <w:szCs w:val="20"/>
        </w:rPr>
        <w:t xml:space="preserve">and </w:t>
      </w:r>
      <w:r w:rsidRPr="007F3C48">
        <w:rPr>
          <w:rFonts w:asciiTheme="majorHAnsi" w:hAnsiTheme="majorHAnsi" w:cs="Arial"/>
          <w:noProof/>
          <w:spacing w:val="-2"/>
          <w:sz w:val="20"/>
          <w:szCs w:val="20"/>
        </w:rPr>
        <w:t>Julissa Mantilla Falcón</w:t>
      </w:r>
      <w:r>
        <w:rPr>
          <w:rFonts w:asciiTheme="majorHAnsi" w:hAnsiTheme="majorHAnsi" w:cs="Arial"/>
          <w:noProof/>
          <w:spacing w:val="-2"/>
          <w:sz w:val="20"/>
          <w:szCs w:val="20"/>
        </w:rPr>
        <w:t>,</w:t>
      </w:r>
      <w:r w:rsidR="0062401C">
        <w:rPr>
          <w:rFonts w:asciiTheme="majorHAnsi" w:hAnsiTheme="majorHAnsi" w:cs="Arial"/>
          <w:noProof/>
          <w:spacing w:val="-2"/>
          <w:sz w:val="20"/>
          <w:szCs w:val="20"/>
        </w:rPr>
        <w:t xml:space="preserve"> </w:t>
      </w:r>
      <w:r w:rsidRPr="00365F2F">
        <w:rPr>
          <w:rFonts w:ascii="Cambria" w:hAnsi="Cambria"/>
          <w:spacing w:val="-2"/>
          <w:sz w:val="20"/>
        </w:rPr>
        <w:t>Commissioners.</w:t>
      </w:r>
    </w:p>
    <w:p w14:paraId="2FDD8EB1"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61B7ED99"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6822E37E"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1D7E3B9B"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0EC17331"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2E6CD606"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205B7900"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703DC027"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0C017921"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2F909C43"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59C795CC" w14:textId="77777777" w:rsidR="002C73FE" w:rsidRPr="00FD136C" w:rsidRDefault="002C73FE" w:rsidP="002C73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p w14:paraId="5B6C1BEB" w14:textId="77777777" w:rsidR="00C55560" w:rsidRPr="00FD136C" w:rsidRDefault="00C55560" w:rsidP="00230163">
      <w:pPr>
        <w:tabs>
          <w:tab w:val="left" w:pos="2820"/>
        </w:tabs>
        <w:suppressAutoHyphens/>
        <w:spacing w:line="276" w:lineRule="auto"/>
        <w:rPr>
          <w:rFonts w:asciiTheme="majorHAnsi" w:hAnsiTheme="majorHAnsi"/>
          <w:sz w:val="20"/>
          <w:szCs w:val="20"/>
        </w:rPr>
      </w:pPr>
    </w:p>
    <w:sectPr w:rsidR="00C55560" w:rsidRPr="00FD136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5BF2A" w14:textId="77777777" w:rsidR="00E879B5" w:rsidRDefault="00E879B5" w:rsidP="00036A8A">
      <w:r>
        <w:separator/>
      </w:r>
    </w:p>
  </w:endnote>
  <w:endnote w:type="continuationSeparator" w:id="0">
    <w:p w14:paraId="34477D78" w14:textId="77777777" w:rsidR="00E879B5" w:rsidRDefault="00E879B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6AFE" w14:textId="77777777" w:rsidR="00572527" w:rsidRDefault="00572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5DCAB5A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72527">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7EE0" w14:textId="77777777" w:rsidR="00E879B5" w:rsidRPr="00036A8A" w:rsidRDefault="00E879B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044362" w14:textId="77777777" w:rsidR="00E879B5" w:rsidRPr="00036A8A" w:rsidRDefault="00E879B5" w:rsidP="00036A8A">
      <w:pPr>
        <w:rPr>
          <w:rFonts w:asciiTheme="majorHAnsi" w:hAnsiTheme="majorHAnsi"/>
          <w:sz w:val="16"/>
          <w:szCs w:val="16"/>
        </w:rPr>
      </w:pPr>
      <w:r w:rsidRPr="00036A8A">
        <w:rPr>
          <w:rFonts w:asciiTheme="majorHAnsi" w:hAnsiTheme="majorHAnsi"/>
          <w:sz w:val="16"/>
          <w:szCs w:val="16"/>
        </w:rPr>
        <w:separator/>
      </w:r>
    </w:p>
    <w:p w14:paraId="2599BE93" w14:textId="77777777" w:rsidR="00E879B5" w:rsidRPr="00036A8A" w:rsidRDefault="00E879B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B553C04" w14:textId="77777777" w:rsidR="00E879B5" w:rsidRPr="0093441A" w:rsidRDefault="00E879B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B75DBB9" w14:textId="3A70F7AE" w:rsidR="00571FDE" w:rsidRPr="006149CD" w:rsidRDefault="00B05DB3" w:rsidP="001C76DD">
      <w:pPr>
        <w:pStyle w:val="FootnoteText"/>
        <w:jc w:val="both"/>
        <w:rPr>
          <w:rFonts w:asciiTheme="majorHAnsi" w:hAnsiTheme="majorHAnsi"/>
          <w:sz w:val="16"/>
          <w:szCs w:val="16"/>
        </w:rPr>
      </w:pPr>
      <w:r>
        <w:rPr>
          <w:rFonts w:asciiTheme="majorHAnsi" w:hAnsiTheme="majorHAnsi"/>
          <w:sz w:val="16"/>
          <w:szCs w:val="16"/>
        </w:rPr>
        <w:tab/>
      </w:r>
      <w:r w:rsidR="00571FDE" w:rsidRPr="006149CD">
        <w:rPr>
          <w:rStyle w:val="FootnoteReference"/>
          <w:rFonts w:asciiTheme="majorHAnsi" w:hAnsiTheme="majorHAnsi"/>
          <w:sz w:val="16"/>
          <w:szCs w:val="16"/>
        </w:rPr>
        <w:footnoteRef/>
      </w:r>
      <w:r w:rsidR="00571FDE" w:rsidRPr="006149CD">
        <w:rPr>
          <w:rFonts w:asciiTheme="majorHAnsi" w:hAnsiTheme="majorHAnsi"/>
          <w:sz w:val="16"/>
          <w:szCs w:val="16"/>
        </w:rPr>
        <w:t xml:space="preserve"> </w:t>
      </w:r>
      <w:r w:rsidR="00557728" w:rsidRPr="006149CD">
        <w:rPr>
          <w:rFonts w:asciiTheme="majorHAnsi" w:hAnsiTheme="majorHAnsi"/>
          <w:sz w:val="16"/>
          <w:szCs w:val="16"/>
        </w:rPr>
        <w:t>Juan Manuel Cardozo, Leonardo Ariel Rosales, and o</w:t>
      </w:r>
      <w:r w:rsidR="008D11E1" w:rsidRPr="006149CD">
        <w:rPr>
          <w:rFonts w:asciiTheme="majorHAnsi" w:hAnsiTheme="majorHAnsi"/>
          <w:sz w:val="16"/>
          <w:szCs w:val="16"/>
        </w:rPr>
        <w:t>th</w:t>
      </w:r>
      <w:r w:rsidR="00557728" w:rsidRPr="006149CD">
        <w:rPr>
          <w:rFonts w:asciiTheme="majorHAnsi" w:hAnsiTheme="majorHAnsi"/>
          <w:sz w:val="16"/>
          <w:szCs w:val="16"/>
        </w:rPr>
        <w:t>er</w:t>
      </w:r>
      <w:r w:rsidR="008D11E1" w:rsidRPr="006149CD">
        <w:rPr>
          <w:rFonts w:asciiTheme="majorHAnsi" w:hAnsiTheme="majorHAnsi"/>
          <w:sz w:val="16"/>
          <w:szCs w:val="16"/>
        </w:rPr>
        <w:t>s.</w:t>
      </w:r>
      <w:r w:rsidR="0014189F" w:rsidRPr="006149CD">
        <w:rPr>
          <w:rFonts w:asciiTheme="majorHAnsi" w:hAnsiTheme="majorHAnsi"/>
          <w:sz w:val="16"/>
          <w:szCs w:val="16"/>
        </w:rPr>
        <w:t xml:space="preserve"> </w:t>
      </w:r>
      <w:r w:rsidR="008D43BE" w:rsidRPr="006149CD">
        <w:rPr>
          <w:rFonts w:asciiTheme="majorHAnsi" w:hAnsiTheme="majorHAnsi"/>
          <w:sz w:val="16"/>
          <w:szCs w:val="16"/>
        </w:rPr>
        <w:t>T</w:t>
      </w:r>
      <w:r w:rsidR="0014189F" w:rsidRPr="006149CD">
        <w:rPr>
          <w:rFonts w:asciiTheme="majorHAnsi" w:hAnsiTheme="majorHAnsi"/>
          <w:sz w:val="16"/>
          <w:szCs w:val="16"/>
        </w:rPr>
        <w:t xml:space="preserve">he other alleged victims’ names </w:t>
      </w:r>
      <w:r w:rsidR="008D43BE" w:rsidRPr="006149CD">
        <w:rPr>
          <w:rFonts w:asciiTheme="majorHAnsi" w:hAnsiTheme="majorHAnsi"/>
          <w:sz w:val="16"/>
          <w:szCs w:val="16"/>
        </w:rPr>
        <w:t>are</w:t>
      </w:r>
      <w:r w:rsidR="0014189F" w:rsidRPr="006149CD">
        <w:rPr>
          <w:rFonts w:asciiTheme="majorHAnsi" w:hAnsiTheme="majorHAnsi"/>
          <w:sz w:val="16"/>
          <w:szCs w:val="16"/>
        </w:rPr>
        <w:t xml:space="preserve"> </w:t>
      </w:r>
      <w:r w:rsidR="007F6B92" w:rsidRPr="006149CD">
        <w:rPr>
          <w:rFonts w:asciiTheme="majorHAnsi" w:hAnsiTheme="majorHAnsi"/>
          <w:sz w:val="16"/>
          <w:szCs w:val="16"/>
        </w:rPr>
        <w:t>listed</w:t>
      </w:r>
      <w:r w:rsidR="008D43BE" w:rsidRPr="006149CD">
        <w:rPr>
          <w:rFonts w:asciiTheme="majorHAnsi" w:hAnsiTheme="majorHAnsi"/>
          <w:sz w:val="16"/>
          <w:szCs w:val="16"/>
        </w:rPr>
        <w:t xml:space="preserve"> </w:t>
      </w:r>
      <w:r w:rsidR="007F6B92" w:rsidRPr="006149CD">
        <w:rPr>
          <w:rFonts w:asciiTheme="majorHAnsi" w:hAnsiTheme="majorHAnsi"/>
          <w:sz w:val="16"/>
          <w:szCs w:val="16"/>
        </w:rPr>
        <w:t>in</w:t>
      </w:r>
      <w:r w:rsidR="008D43BE" w:rsidRPr="006149CD">
        <w:rPr>
          <w:rFonts w:asciiTheme="majorHAnsi" w:hAnsiTheme="majorHAnsi"/>
          <w:sz w:val="16"/>
          <w:szCs w:val="16"/>
        </w:rPr>
        <w:t xml:space="preserve"> </w:t>
      </w:r>
      <w:r w:rsidR="007F6B92" w:rsidRPr="006149CD">
        <w:rPr>
          <w:rFonts w:asciiTheme="majorHAnsi" w:hAnsiTheme="majorHAnsi"/>
          <w:sz w:val="16"/>
          <w:szCs w:val="16"/>
        </w:rPr>
        <w:t>the</w:t>
      </w:r>
      <w:r w:rsidR="0014189F" w:rsidRPr="006149CD">
        <w:rPr>
          <w:rFonts w:asciiTheme="majorHAnsi" w:hAnsiTheme="majorHAnsi"/>
          <w:sz w:val="16"/>
          <w:szCs w:val="16"/>
        </w:rPr>
        <w:t xml:space="preserve"> </w:t>
      </w:r>
      <w:r w:rsidR="007F6B92" w:rsidRPr="006149CD">
        <w:rPr>
          <w:rFonts w:asciiTheme="majorHAnsi" w:hAnsiTheme="majorHAnsi"/>
          <w:sz w:val="16"/>
          <w:szCs w:val="16"/>
        </w:rPr>
        <w:t>annex attached hereto</w:t>
      </w:r>
      <w:r w:rsidR="0014189F" w:rsidRPr="006149CD">
        <w:rPr>
          <w:rFonts w:asciiTheme="majorHAnsi" w:hAnsiTheme="majorHAnsi"/>
          <w:sz w:val="16"/>
          <w:szCs w:val="16"/>
        </w:rPr>
        <w:t>.</w:t>
      </w:r>
    </w:p>
  </w:footnote>
  <w:footnote w:id="3">
    <w:p w14:paraId="44D938B3" w14:textId="0017232A" w:rsidR="00D11087" w:rsidRPr="006149CD" w:rsidRDefault="00B05DB3" w:rsidP="001C76DD">
      <w:pPr>
        <w:pStyle w:val="FootnoteText"/>
        <w:jc w:val="both"/>
        <w:rPr>
          <w:rFonts w:asciiTheme="majorHAnsi" w:hAnsiTheme="majorHAnsi"/>
          <w:sz w:val="16"/>
          <w:szCs w:val="16"/>
        </w:rPr>
      </w:pPr>
      <w:r>
        <w:rPr>
          <w:rFonts w:asciiTheme="majorHAnsi" w:hAnsiTheme="majorHAnsi"/>
          <w:sz w:val="16"/>
          <w:szCs w:val="16"/>
        </w:rPr>
        <w:tab/>
      </w:r>
      <w:r w:rsidR="00D11087" w:rsidRPr="006149CD">
        <w:rPr>
          <w:rStyle w:val="FootnoteReference"/>
          <w:rFonts w:asciiTheme="majorHAnsi" w:hAnsiTheme="majorHAnsi"/>
          <w:sz w:val="16"/>
          <w:szCs w:val="16"/>
        </w:rPr>
        <w:footnoteRef/>
      </w:r>
      <w:r w:rsidR="00D11087" w:rsidRPr="006149CD">
        <w:rPr>
          <w:rFonts w:asciiTheme="majorHAnsi" w:hAnsiTheme="majorHAnsi"/>
          <w:sz w:val="16"/>
          <w:szCs w:val="16"/>
        </w:rPr>
        <w:t xml:space="preserve"> </w:t>
      </w:r>
      <w:r w:rsidR="0014189F" w:rsidRPr="006149CD">
        <w:rPr>
          <w:rFonts w:asciiTheme="majorHAnsi" w:hAnsiTheme="majorHAnsi"/>
          <w:sz w:val="16"/>
          <w:szCs w:val="16"/>
        </w:rPr>
        <w:t>Hereinafter “American Convention” or “Convention.”</w:t>
      </w:r>
    </w:p>
  </w:footnote>
  <w:footnote w:id="4">
    <w:p w14:paraId="5DF29B74" w14:textId="6CCB0F84" w:rsidR="00B6691D" w:rsidRPr="006149CD" w:rsidRDefault="00B05DB3" w:rsidP="001C76DD">
      <w:pPr>
        <w:pStyle w:val="FootnoteText"/>
        <w:jc w:val="both"/>
        <w:rPr>
          <w:rFonts w:asciiTheme="majorHAnsi" w:hAnsiTheme="majorHAnsi"/>
          <w:sz w:val="16"/>
          <w:szCs w:val="16"/>
        </w:rPr>
      </w:pPr>
      <w:r>
        <w:rPr>
          <w:rFonts w:asciiTheme="majorHAnsi" w:hAnsiTheme="majorHAnsi"/>
          <w:sz w:val="16"/>
          <w:szCs w:val="16"/>
        </w:rPr>
        <w:tab/>
      </w:r>
      <w:r w:rsidR="00B6691D" w:rsidRPr="006149CD">
        <w:rPr>
          <w:rStyle w:val="FootnoteReference"/>
          <w:rFonts w:asciiTheme="majorHAnsi" w:hAnsiTheme="majorHAnsi"/>
          <w:sz w:val="16"/>
          <w:szCs w:val="16"/>
        </w:rPr>
        <w:footnoteRef/>
      </w:r>
      <w:r w:rsidR="00B6691D" w:rsidRPr="006149CD">
        <w:rPr>
          <w:rFonts w:asciiTheme="majorHAnsi" w:hAnsiTheme="majorHAnsi"/>
          <w:sz w:val="16"/>
          <w:szCs w:val="16"/>
        </w:rPr>
        <w:t xml:space="preserve"> The petitioners specifically invoked Articles 37 and 40 of the Convention on the Rights of the Child.</w:t>
      </w:r>
    </w:p>
  </w:footnote>
  <w:footnote w:id="5">
    <w:p w14:paraId="55774E34" w14:textId="354ABD29" w:rsidR="00653EA6" w:rsidRPr="006149CD" w:rsidRDefault="00B05DB3" w:rsidP="001C76DD">
      <w:pPr>
        <w:pStyle w:val="FootnoteText"/>
        <w:jc w:val="both"/>
        <w:rPr>
          <w:rFonts w:asciiTheme="majorHAnsi" w:hAnsiTheme="majorHAnsi"/>
          <w:sz w:val="16"/>
          <w:szCs w:val="16"/>
        </w:rPr>
      </w:pPr>
      <w:r>
        <w:rPr>
          <w:rFonts w:asciiTheme="majorHAnsi" w:hAnsiTheme="majorHAnsi"/>
          <w:sz w:val="16"/>
          <w:szCs w:val="16"/>
        </w:rPr>
        <w:tab/>
      </w:r>
      <w:r w:rsidR="00653EA6" w:rsidRPr="006149CD">
        <w:rPr>
          <w:rStyle w:val="FootnoteReference"/>
          <w:rFonts w:asciiTheme="majorHAnsi" w:hAnsiTheme="majorHAnsi"/>
          <w:sz w:val="16"/>
          <w:szCs w:val="16"/>
        </w:rPr>
        <w:footnoteRef/>
      </w:r>
      <w:r w:rsidR="00653EA6" w:rsidRPr="006149CD">
        <w:rPr>
          <w:rFonts w:asciiTheme="majorHAnsi" w:hAnsiTheme="majorHAnsi"/>
          <w:sz w:val="16"/>
          <w:szCs w:val="16"/>
        </w:rPr>
        <w:t xml:space="preserve"> The observations </w:t>
      </w:r>
      <w:r w:rsidR="00321AFD" w:rsidRPr="006149CD">
        <w:rPr>
          <w:rFonts w:asciiTheme="majorHAnsi" w:hAnsiTheme="majorHAnsi"/>
          <w:sz w:val="16"/>
          <w:szCs w:val="16"/>
        </w:rPr>
        <w:t>submitted</w:t>
      </w:r>
      <w:r w:rsidR="00653EA6" w:rsidRPr="006149CD">
        <w:rPr>
          <w:rFonts w:asciiTheme="majorHAnsi" w:hAnsiTheme="majorHAnsi"/>
          <w:sz w:val="16"/>
          <w:szCs w:val="16"/>
        </w:rPr>
        <w:t xml:space="preserve"> by each party were duly transmitted to the opposing party.</w:t>
      </w:r>
    </w:p>
  </w:footnote>
  <w:footnote w:id="6">
    <w:p w14:paraId="58CA9CAF" w14:textId="16A46076" w:rsidR="002C73FE" w:rsidRPr="006149CD" w:rsidRDefault="00B05DB3" w:rsidP="001C76DD">
      <w:pPr>
        <w:pStyle w:val="FootnoteText"/>
        <w:jc w:val="both"/>
      </w:pPr>
      <w:r>
        <w:rPr>
          <w:sz w:val="16"/>
          <w:szCs w:val="16"/>
        </w:rPr>
        <w:tab/>
      </w:r>
      <w:r w:rsidR="002C73FE" w:rsidRPr="006149CD">
        <w:rPr>
          <w:rStyle w:val="FootnoteReference"/>
          <w:sz w:val="16"/>
          <w:szCs w:val="16"/>
        </w:rPr>
        <w:footnoteRef/>
      </w:r>
      <w:r w:rsidR="002C73FE" w:rsidRPr="006149CD">
        <w:rPr>
          <w:sz w:val="16"/>
          <w:szCs w:val="16"/>
        </w:rPr>
        <w:t xml:space="preserve"> </w:t>
      </w:r>
      <w:r w:rsidR="002C73FE" w:rsidRPr="006149CD">
        <w:rPr>
          <w:rFonts w:ascii="Cambria" w:hAnsi="Cambria"/>
          <w:sz w:val="16"/>
          <w:szCs w:val="16"/>
        </w:rPr>
        <w:t>Law on Juvenile Delinquency and Juvenile Correctional Facilities.</w:t>
      </w:r>
    </w:p>
  </w:footnote>
  <w:footnote w:id="7">
    <w:p w14:paraId="6FE9BCCA" w14:textId="4EC506C1" w:rsidR="002C73FE" w:rsidRPr="006149CD" w:rsidRDefault="00B05DB3" w:rsidP="001C76DD">
      <w:pPr>
        <w:pStyle w:val="FootnoteText"/>
        <w:jc w:val="both"/>
        <w:rPr>
          <w:rFonts w:asciiTheme="majorHAnsi" w:hAnsiTheme="majorHAnsi"/>
          <w:sz w:val="16"/>
          <w:szCs w:val="16"/>
        </w:rPr>
      </w:pPr>
      <w:r>
        <w:rPr>
          <w:rFonts w:asciiTheme="majorHAnsi" w:hAnsiTheme="majorHAnsi"/>
          <w:sz w:val="16"/>
          <w:szCs w:val="16"/>
        </w:rPr>
        <w:tab/>
      </w:r>
      <w:r w:rsidR="002C73FE" w:rsidRPr="006149CD">
        <w:rPr>
          <w:rStyle w:val="FootnoteReference"/>
          <w:rFonts w:asciiTheme="majorHAnsi" w:hAnsiTheme="majorHAnsi"/>
          <w:sz w:val="16"/>
          <w:szCs w:val="16"/>
        </w:rPr>
        <w:footnoteRef/>
      </w:r>
      <w:r w:rsidR="002C73FE" w:rsidRPr="006149CD">
        <w:rPr>
          <w:rFonts w:asciiTheme="majorHAnsi" w:hAnsiTheme="majorHAnsi"/>
          <w:sz w:val="16"/>
          <w:szCs w:val="16"/>
        </w:rPr>
        <w:t xml:space="preserve"> The list of the victims included in the </w:t>
      </w:r>
      <w:r w:rsidR="002C73FE" w:rsidRPr="006149CD">
        <w:rPr>
          <w:rFonts w:asciiTheme="majorHAnsi" w:hAnsiTheme="majorHAnsi"/>
          <w:i/>
          <w:iCs/>
          <w:sz w:val="16"/>
          <w:szCs w:val="16"/>
        </w:rPr>
        <w:t>habeas corpus</w:t>
      </w:r>
      <w:r w:rsidR="002C73FE" w:rsidRPr="006149CD">
        <w:rPr>
          <w:rFonts w:asciiTheme="majorHAnsi" w:hAnsiTheme="majorHAnsi"/>
          <w:sz w:val="16"/>
          <w:szCs w:val="16"/>
        </w:rPr>
        <w:t xml:space="preserve"> petition is on Annex 1 of this report.</w:t>
      </w:r>
    </w:p>
  </w:footnote>
  <w:footnote w:id="8">
    <w:p w14:paraId="74FC7BB4" w14:textId="34539D69" w:rsidR="002C73FE" w:rsidRPr="00572527" w:rsidRDefault="00B05DB3" w:rsidP="001C76DD">
      <w:pPr>
        <w:pStyle w:val="FootnoteText"/>
        <w:jc w:val="both"/>
        <w:rPr>
          <w:rFonts w:ascii="Cambria" w:hAnsi="Cambria"/>
          <w:lang w:val="es-US"/>
        </w:rPr>
      </w:pPr>
      <w:r>
        <w:rPr>
          <w:rFonts w:ascii="Cambria" w:eastAsia="Arial Unicode MS" w:hAnsi="Cambria" w:cs="Times New Roman"/>
          <w:color w:val="auto"/>
          <w:sz w:val="16"/>
        </w:rPr>
        <w:tab/>
      </w:r>
      <w:r w:rsidR="002C73FE" w:rsidRPr="006149CD">
        <w:rPr>
          <w:rFonts w:ascii="Cambria" w:eastAsia="Arial Unicode MS" w:hAnsi="Cambria" w:cs="Times New Roman"/>
          <w:color w:val="auto"/>
          <w:sz w:val="16"/>
          <w:vertAlign w:val="superscript"/>
        </w:rPr>
        <w:footnoteRef/>
      </w:r>
      <w:r w:rsidR="002C73FE" w:rsidRPr="006149CD">
        <w:rPr>
          <w:rFonts w:ascii="Cambria" w:eastAsia="Arial Unicode MS" w:hAnsi="Cambria" w:cs="Times New Roman"/>
          <w:color w:val="auto"/>
          <w:sz w:val="16"/>
        </w:rPr>
        <w:t xml:space="preserve"> I/A Court of H.R., Habeas Corpus in Emergency Situations (</w:t>
      </w:r>
      <w:r w:rsidR="00FD136C" w:rsidRPr="006149CD">
        <w:rPr>
          <w:rFonts w:ascii="Cambria" w:eastAsia="Arial Unicode MS" w:hAnsi="Cambria" w:cs="Times New Roman"/>
          <w:color w:val="auto"/>
          <w:sz w:val="16"/>
        </w:rPr>
        <w:t>a</w:t>
      </w:r>
      <w:r w:rsidR="002C73FE" w:rsidRPr="006149CD">
        <w:rPr>
          <w:rFonts w:ascii="Cambria" w:eastAsia="Arial Unicode MS" w:hAnsi="Cambria" w:cs="Times New Roman"/>
          <w:color w:val="auto"/>
          <w:sz w:val="16"/>
        </w:rPr>
        <w:t>rt</w:t>
      </w:r>
      <w:r w:rsidR="00FD136C" w:rsidRPr="006149CD">
        <w:rPr>
          <w:rFonts w:ascii="Cambria" w:eastAsia="Arial Unicode MS" w:hAnsi="Cambria" w:cs="Times New Roman"/>
          <w:color w:val="auto"/>
          <w:sz w:val="16"/>
        </w:rPr>
        <w:t>s.</w:t>
      </w:r>
      <w:r w:rsidR="002C73FE" w:rsidRPr="006149CD">
        <w:rPr>
          <w:rFonts w:ascii="Cambria" w:eastAsia="Arial Unicode MS" w:hAnsi="Cambria" w:cs="Times New Roman"/>
          <w:color w:val="auto"/>
          <w:sz w:val="16"/>
        </w:rPr>
        <w:t xml:space="preserve"> 27(2), 25(1), and 7(6) American Convention on Human Rights). Advisory Opinion OC-8/87 of January 30, 1987. </w:t>
      </w:r>
      <w:r w:rsidR="002C73FE" w:rsidRPr="00572527">
        <w:rPr>
          <w:rFonts w:ascii="Cambria" w:eastAsia="Arial Unicode MS" w:hAnsi="Cambria" w:cs="Times New Roman"/>
          <w:color w:val="auto"/>
          <w:sz w:val="16"/>
          <w:lang w:val="es-US"/>
        </w:rPr>
        <w:t>Series A No. 8, par. 35.</w:t>
      </w:r>
    </w:p>
  </w:footnote>
  <w:footnote w:id="9">
    <w:p w14:paraId="15229F01" w14:textId="382105BB" w:rsidR="002C73FE" w:rsidRPr="00572527" w:rsidRDefault="00B05DB3" w:rsidP="001C76DD">
      <w:pPr>
        <w:pStyle w:val="FootnoteText"/>
        <w:jc w:val="both"/>
        <w:rPr>
          <w:rFonts w:ascii="Cambria" w:hAnsi="Cambria"/>
          <w:lang w:val="es-US"/>
        </w:rPr>
      </w:pPr>
      <w:r w:rsidRPr="00572527">
        <w:rPr>
          <w:rFonts w:ascii="Cambria" w:eastAsia="Arial Unicode MS" w:hAnsi="Cambria" w:cs="Times New Roman"/>
          <w:color w:val="auto"/>
          <w:sz w:val="16"/>
          <w:lang w:val="es-US"/>
        </w:rPr>
        <w:tab/>
      </w:r>
      <w:r w:rsidR="002C73FE" w:rsidRPr="006149CD">
        <w:rPr>
          <w:rFonts w:ascii="Cambria" w:eastAsia="Arial Unicode MS" w:hAnsi="Cambria" w:cs="Times New Roman"/>
          <w:color w:val="auto"/>
          <w:sz w:val="16"/>
          <w:vertAlign w:val="superscript"/>
        </w:rPr>
        <w:footnoteRef/>
      </w:r>
      <w:r w:rsidR="00FD136C" w:rsidRPr="00572527">
        <w:rPr>
          <w:rFonts w:ascii="Cambria" w:eastAsia="Arial Unicode MS" w:hAnsi="Cambria" w:cs="Times New Roman"/>
          <w:color w:val="auto"/>
          <w:sz w:val="16"/>
          <w:lang w:val="es-US"/>
        </w:rPr>
        <w:t xml:space="preserve"> IACHR. </w:t>
      </w:r>
      <w:r w:rsidR="002C73FE" w:rsidRPr="00572527">
        <w:rPr>
          <w:rFonts w:ascii="Cambria" w:eastAsia="Arial Unicode MS" w:hAnsi="Cambria" w:cs="Times New Roman"/>
          <w:color w:val="auto"/>
          <w:sz w:val="16"/>
          <w:lang w:val="es-US"/>
        </w:rPr>
        <w:t xml:space="preserve">Report No. 16/08. Case 12.359. Cristina Aguayo Ortiz </w:t>
      </w:r>
      <w:r w:rsidR="002C73FE" w:rsidRPr="00572527">
        <w:rPr>
          <w:rFonts w:ascii="Cambria" w:eastAsia="Arial Unicode MS" w:hAnsi="Cambria" w:cs="Times New Roman"/>
          <w:i/>
          <w:iCs/>
          <w:color w:val="auto"/>
          <w:sz w:val="16"/>
          <w:lang w:val="es-US"/>
        </w:rPr>
        <w:t>et al</w:t>
      </w:r>
      <w:r w:rsidR="002C73FE" w:rsidRPr="00572527">
        <w:rPr>
          <w:rFonts w:ascii="Cambria" w:eastAsia="Arial Unicode MS" w:hAnsi="Cambria" w:cs="Times New Roman"/>
          <w:color w:val="auto"/>
          <w:sz w:val="16"/>
          <w:lang w:val="es-US"/>
        </w:rPr>
        <w:t>. Paraguay. March 6, 2008, pars. 65, 72-84.</w:t>
      </w:r>
    </w:p>
  </w:footnote>
  <w:footnote w:id="10">
    <w:p w14:paraId="6C3AB184" w14:textId="794C409B" w:rsidR="002C73FE" w:rsidRPr="006149CD" w:rsidRDefault="00B05DB3" w:rsidP="001C76DD">
      <w:pPr>
        <w:pStyle w:val="FootnoteText"/>
        <w:jc w:val="both"/>
        <w:rPr>
          <w:rFonts w:asciiTheme="majorHAnsi" w:hAnsiTheme="majorHAnsi"/>
          <w:sz w:val="16"/>
          <w:szCs w:val="16"/>
        </w:rPr>
      </w:pPr>
      <w:r w:rsidRPr="00572527">
        <w:rPr>
          <w:rFonts w:asciiTheme="majorHAnsi" w:hAnsiTheme="majorHAnsi"/>
          <w:sz w:val="16"/>
          <w:szCs w:val="16"/>
          <w:lang w:val="es-US"/>
        </w:rPr>
        <w:tab/>
      </w:r>
      <w:r w:rsidR="002C73FE" w:rsidRPr="006149CD">
        <w:rPr>
          <w:rStyle w:val="FootnoteReference"/>
          <w:rFonts w:asciiTheme="majorHAnsi" w:hAnsiTheme="majorHAnsi"/>
          <w:sz w:val="16"/>
          <w:szCs w:val="16"/>
        </w:rPr>
        <w:footnoteRef/>
      </w:r>
      <w:r w:rsidR="002C73FE" w:rsidRPr="00572527">
        <w:rPr>
          <w:rFonts w:asciiTheme="majorHAnsi" w:hAnsiTheme="majorHAnsi"/>
          <w:sz w:val="16"/>
          <w:szCs w:val="16"/>
          <w:lang w:val="es-US"/>
        </w:rPr>
        <w:t xml:space="preserve"> IACHR, Report No. 16/18, Petition 884-07. Admissibility. </w:t>
      </w:r>
      <w:r w:rsidR="002C73FE" w:rsidRPr="001C76DD">
        <w:rPr>
          <w:rFonts w:asciiTheme="majorHAnsi" w:hAnsiTheme="majorHAnsi"/>
          <w:sz w:val="16"/>
          <w:szCs w:val="16"/>
          <w:lang w:val="es-MX"/>
        </w:rPr>
        <w:t xml:space="preserve">Victoria Piedad Palacios Tejada de Saavedra. </w:t>
      </w:r>
      <w:r w:rsidR="002C73FE" w:rsidRPr="00572527">
        <w:rPr>
          <w:rFonts w:asciiTheme="majorHAnsi" w:hAnsiTheme="majorHAnsi"/>
          <w:sz w:val="16"/>
          <w:szCs w:val="16"/>
          <w:lang w:val="es-US"/>
        </w:rPr>
        <w:t xml:space="preserve">Peru. </w:t>
      </w:r>
      <w:r w:rsidR="002C73FE" w:rsidRPr="006149CD">
        <w:rPr>
          <w:rFonts w:asciiTheme="majorHAnsi" w:hAnsiTheme="majorHAnsi"/>
          <w:sz w:val="16"/>
          <w:szCs w:val="16"/>
        </w:rPr>
        <w:t>February 24, 2018, par. 12.</w:t>
      </w:r>
    </w:p>
  </w:footnote>
  <w:footnote w:id="11">
    <w:p w14:paraId="4821BBC0" w14:textId="542D916E" w:rsidR="009C1D2B" w:rsidRPr="006149CD" w:rsidRDefault="00B05DB3" w:rsidP="001C76DD">
      <w:pPr>
        <w:pStyle w:val="FootnoteText"/>
        <w:jc w:val="both"/>
      </w:pPr>
      <w:r>
        <w:tab/>
      </w:r>
      <w:r w:rsidR="009C1D2B" w:rsidRPr="006149CD">
        <w:rPr>
          <w:rStyle w:val="FootnoteReference"/>
        </w:rPr>
        <w:footnoteRef/>
      </w:r>
      <w:r w:rsidR="009C1D2B" w:rsidRPr="006149CD">
        <w:t xml:space="preserve"> </w:t>
      </w:r>
      <w:r w:rsidR="00E5564F" w:rsidRPr="006149CD">
        <w:rPr>
          <w:rFonts w:asciiTheme="majorHAnsi" w:hAnsiTheme="majorHAnsi"/>
          <w:sz w:val="16"/>
          <w:szCs w:val="16"/>
        </w:rPr>
        <w:t xml:space="preserve">IACHR, Report No. 89/17, Petition 788-08. Admissibility. Curtis Armstrong a.k.a. Tyrone </w:t>
      </w:r>
      <w:proofErr w:type="spellStart"/>
      <w:r w:rsidR="00E5564F" w:rsidRPr="006149CD">
        <w:rPr>
          <w:rFonts w:asciiTheme="majorHAnsi" w:hAnsiTheme="majorHAnsi"/>
          <w:sz w:val="16"/>
          <w:szCs w:val="16"/>
        </w:rPr>
        <w:t>Traill</w:t>
      </w:r>
      <w:proofErr w:type="spellEnd"/>
      <w:r w:rsidR="00E5564F" w:rsidRPr="006149CD">
        <w:rPr>
          <w:rFonts w:asciiTheme="majorHAnsi" w:hAnsiTheme="majorHAnsi"/>
          <w:sz w:val="16"/>
          <w:szCs w:val="16"/>
        </w:rPr>
        <w:t>. Jamaica. July 7, 2017, par. 10.</w:t>
      </w:r>
    </w:p>
  </w:footnote>
  <w:footnote w:id="12">
    <w:p w14:paraId="22B91216" w14:textId="089BAF5D" w:rsidR="002C73FE" w:rsidRPr="006149CD" w:rsidRDefault="00B05DB3" w:rsidP="001C76DD">
      <w:pPr>
        <w:pStyle w:val="FootnoteText"/>
        <w:jc w:val="both"/>
      </w:pPr>
      <w:r>
        <w:rPr>
          <w:rFonts w:ascii="Cambria" w:eastAsia="Arial Unicode MS" w:hAnsi="Cambria" w:cs="Times New Roman"/>
          <w:color w:val="auto"/>
          <w:sz w:val="16"/>
          <w:vertAlign w:val="superscript"/>
        </w:rPr>
        <w:tab/>
      </w:r>
      <w:r w:rsidR="002C73FE" w:rsidRPr="006149CD">
        <w:rPr>
          <w:rFonts w:ascii="Cambria" w:eastAsia="Arial Unicode MS" w:hAnsi="Cambria" w:cs="Times New Roman"/>
          <w:color w:val="auto"/>
          <w:sz w:val="16"/>
          <w:vertAlign w:val="superscript"/>
        </w:rPr>
        <w:footnoteRef/>
      </w:r>
      <w:r w:rsidR="002C73FE" w:rsidRPr="006149CD">
        <w:rPr>
          <w:rFonts w:ascii="Cambria" w:eastAsia="Arial Unicode MS" w:hAnsi="Cambria" w:cs="Times New Roman"/>
          <w:color w:val="auto"/>
          <w:sz w:val="16"/>
          <w:vertAlign w:val="superscript"/>
        </w:rPr>
        <w:t xml:space="preserve"> </w:t>
      </w:r>
      <w:r w:rsidR="002C73FE" w:rsidRPr="006149CD">
        <w:rPr>
          <w:rFonts w:ascii="Cambria" w:eastAsia="Arial Unicode MS" w:hAnsi="Cambria" w:cs="Times New Roman"/>
          <w:color w:val="auto"/>
          <w:sz w:val="16"/>
        </w:rPr>
        <w:t xml:space="preserve">IACHR, Report No. 41/99. Case 11.491. Minors in Detention. </w:t>
      </w:r>
      <w:r w:rsidR="002C73FE" w:rsidRPr="00572527">
        <w:rPr>
          <w:rFonts w:ascii="Cambria" w:eastAsia="Arial Unicode MS" w:hAnsi="Cambria" w:cs="Times New Roman"/>
          <w:color w:val="auto"/>
          <w:sz w:val="16"/>
          <w:lang w:val="es-US"/>
        </w:rPr>
        <w:t xml:space="preserve">Honduras. March 10, 1999, par. 57. Report No. 16/08. Case 12.359. Cristina Aguayo Ortiz </w:t>
      </w:r>
      <w:r w:rsidR="002C73FE" w:rsidRPr="00572527">
        <w:rPr>
          <w:rFonts w:ascii="Cambria" w:eastAsia="Arial Unicode MS" w:hAnsi="Cambria" w:cs="Times New Roman"/>
          <w:i/>
          <w:iCs/>
          <w:color w:val="auto"/>
          <w:sz w:val="16"/>
          <w:lang w:val="es-US"/>
        </w:rPr>
        <w:t>et al</w:t>
      </w:r>
      <w:r w:rsidR="002C73FE" w:rsidRPr="00572527">
        <w:rPr>
          <w:rFonts w:ascii="Cambria" w:eastAsia="Arial Unicode MS" w:hAnsi="Cambria" w:cs="Times New Roman"/>
          <w:color w:val="auto"/>
          <w:sz w:val="16"/>
          <w:lang w:val="es-US"/>
        </w:rPr>
        <w:t xml:space="preserve">. </w:t>
      </w:r>
      <w:r w:rsidR="002C73FE" w:rsidRPr="006149CD">
        <w:rPr>
          <w:rFonts w:ascii="Cambria" w:eastAsia="Arial Unicode MS" w:hAnsi="Cambria" w:cs="Times New Roman"/>
          <w:color w:val="auto"/>
          <w:sz w:val="16"/>
        </w:rPr>
        <w:t>Paraguay. March 6, 2008, par.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E879B5"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C574" w14:textId="77777777" w:rsidR="00572527" w:rsidRDefault="00572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F895479"/>
    <w:multiLevelType w:val="hybridMultilevel"/>
    <w:tmpl w:val="0A0A7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1"/>
  </w:num>
  <w:num w:numId="105">
    <w:abstractNumId w:val="46"/>
  </w:num>
  <w:num w:numId="106">
    <w:abstractNumId w:val="32"/>
  </w:num>
  <w:num w:numId="107">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1286"/>
    <w:rsid w:val="00036A8A"/>
    <w:rsid w:val="00036FA4"/>
    <w:rsid w:val="00040C3A"/>
    <w:rsid w:val="000460CA"/>
    <w:rsid w:val="000553FD"/>
    <w:rsid w:val="00061526"/>
    <w:rsid w:val="000630B6"/>
    <w:rsid w:val="000639C0"/>
    <w:rsid w:val="00070F3A"/>
    <w:rsid w:val="000716C5"/>
    <w:rsid w:val="00075E23"/>
    <w:rsid w:val="000917A6"/>
    <w:rsid w:val="00092F32"/>
    <w:rsid w:val="0009344A"/>
    <w:rsid w:val="000A575F"/>
    <w:rsid w:val="000B58CE"/>
    <w:rsid w:val="000C1AE7"/>
    <w:rsid w:val="000C4365"/>
    <w:rsid w:val="000D10DB"/>
    <w:rsid w:val="000E5984"/>
    <w:rsid w:val="00100122"/>
    <w:rsid w:val="00113A4F"/>
    <w:rsid w:val="00115F41"/>
    <w:rsid w:val="00124116"/>
    <w:rsid w:val="00126E08"/>
    <w:rsid w:val="0013104F"/>
    <w:rsid w:val="00137EBA"/>
    <w:rsid w:val="0014189F"/>
    <w:rsid w:val="00145EDC"/>
    <w:rsid w:val="00153084"/>
    <w:rsid w:val="00163F6C"/>
    <w:rsid w:val="00167A34"/>
    <w:rsid w:val="001714B4"/>
    <w:rsid w:val="0018037F"/>
    <w:rsid w:val="00193D82"/>
    <w:rsid w:val="00197D98"/>
    <w:rsid w:val="001A5F27"/>
    <w:rsid w:val="001A65E4"/>
    <w:rsid w:val="001A6C04"/>
    <w:rsid w:val="001A7870"/>
    <w:rsid w:val="001B5ED5"/>
    <w:rsid w:val="001C1B41"/>
    <w:rsid w:val="001C60A3"/>
    <w:rsid w:val="001C76DD"/>
    <w:rsid w:val="001E366B"/>
    <w:rsid w:val="001F066E"/>
    <w:rsid w:val="001F0977"/>
    <w:rsid w:val="001F1902"/>
    <w:rsid w:val="002043E0"/>
    <w:rsid w:val="00210E0E"/>
    <w:rsid w:val="00210F4B"/>
    <w:rsid w:val="00230163"/>
    <w:rsid w:val="0023351C"/>
    <w:rsid w:val="00234A0F"/>
    <w:rsid w:val="002401AD"/>
    <w:rsid w:val="00247301"/>
    <w:rsid w:val="00247403"/>
    <w:rsid w:val="00247542"/>
    <w:rsid w:val="00257893"/>
    <w:rsid w:val="00261E08"/>
    <w:rsid w:val="00262ADD"/>
    <w:rsid w:val="0026353E"/>
    <w:rsid w:val="00263BF5"/>
    <w:rsid w:val="00266092"/>
    <w:rsid w:val="00266B61"/>
    <w:rsid w:val="0026712A"/>
    <w:rsid w:val="0027012D"/>
    <w:rsid w:val="002704DB"/>
    <w:rsid w:val="002760CE"/>
    <w:rsid w:val="002826D3"/>
    <w:rsid w:val="002A6B0C"/>
    <w:rsid w:val="002A7C42"/>
    <w:rsid w:val="002B7A85"/>
    <w:rsid w:val="002C1641"/>
    <w:rsid w:val="002C270B"/>
    <w:rsid w:val="002C4FE9"/>
    <w:rsid w:val="002C73FE"/>
    <w:rsid w:val="002D7EA2"/>
    <w:rsid w:val="002E15DF"/>
    <w:rsid w:val="002E187C"/>
    <w:rsid w:val="002E6E57"/>
    <w:rsid w:val="002F2697"/>
    <w:rsid w:val="00301075"/>
    <w:rsid w:val="00302733"/>
    <w:rsid w:val="003053BF"/>
    <w:rsid w:val="00311A4F"/>
    <w:rsid w:val="00314078"/>
    <w:rsid w:val="00315387"/>
    <w:rsid w:val="00321AFD"/>
    <w:rsid w:val="00322450"/>
    <w:rsid w:val="003246B5"/>
    <w:rsid w:val="00327F3A"/>
    <w:rsid w:val="0033169F"/>
    <w:rsid w:val="003414AC"/>
    <w:rsid w:val="00356185"/>
    <w:rsid w:val="00360380"/>
    <w:rsid w:val="003771A3"/>
    <w:rsid w:val="00386571"/>
    <w:rsid w:val="00386CF0"/>
    <w:rsid w:val="00393800"/>
    <w:rsid w:val="0039451A"/>
    <w:rsid w:val="003A4348"/>
    <w:rsid w:val="003A5566"/>
    <w:rsid w:val="003B5B44"/>
    <w:rsid w:val="003C32BC"/>
    <w:rsid w:val="003C3BDA"/>
    <w:rsid w:val="003D1E33"/>
    <w:rsid w:val="003D692F"/>
    <w:rsid w:val="003D6EE0"/>
    <w:rsid w:val="003D7E8A"/>
    <w:rsid w:val="003E1CF5"/>
    <w:rsid w:val="003E3E03"/>
    <w:rsid w:val="003F1BBF"/>
    <w:rsid w:val="004038D1"/>
    <w:rsid w:val="004162B1"/>
    <w:rsid w:val="004165C2"/>
    <w:rsid w:val="00433117"/>
    <w:rsid w:val="0043489C"/>
    <w:rsid w:val="0043764F"/>
    <w:rsid w:val="004434A5"/>
    <w:rsid w:val="00450A4A"/>
    <w:rsid w:val="00451388"/>
    <w:rsid w:val="004515B7"/>
    <w:rsid w:val="00457535"/>
    <w:rsid w:val="004666FB"/>
    <w:rsid w:val="00466D0B"/>
    <w:rsid w:val="00467B7E"/>
    <w:rsid w:val="00476E7D"/>
    <w:rsid w:val="0049419D"/>
    <w:rsid w:val="004A01A7"/>
    <w:rsid w:val="004A7BA7"/>
    <w:rsid w:val="004B2762"/>
    <w:rsid w:val="004B4990"/>
    <w:rsid w:val="004B7EB6"/>
    <w:rsid w:val="004C41DE"/>
    <w:rsid w:val="004C4B62"/>
    <w:rsid w:val="004D0038"/>
    <w:rsid w:val="004D6025"/>
    <w:rsid w:val="004D72BC"/>
    <w:rsid w:val="004F6B67"/>
    <w:rsid w:val="005002EA"/>
    <w:rsid w:val="00501399"/>
    <w:rsid w:val="00507BC4"/>
    <w:rsid w:val="005128E4"/>
    <w:rsid w:val="005243C2"/>
    <w:rsid w:val="00525560"/>
    <w:rsid w:val="005318C0"/>
    <w:rsid w:val="005357A6"/>
    <w:rsid w:val="00544C49"/>
    <w:rsid w:val="00557728"/>
    <w:rsid w:val="00571FDE"/>
    <w:rsid w:val="00572527"/>
    <w:rsid w:val="0057402A"/>
    <w:rsid w:val="005771D0"/>
    <w:rsid w:val="005816E5"/>
    <w:rsid w:val="00581704"/>
    <w:rsid w:val="0059191A"/>
    <w:rsid w:val="005921FF"/>
    <w:rsid w:val="00592718"/>
    <w:rsid w:val="005A2DE6"/>
    <w:rsid w:val="005A6D0E"/>
    <w:rsid w:val="005B222D"/>
    <w:rsid w:val="005B2D18"/>
    <w:rsid w:val="005B52B0"/>
    <w:rsid w:val="005B6806"/>
    <w:rsid w:val="005C00F9"/>
    <w:rsid w:val="005C4225"/>
    <w:rsid w:val="005D2EF7"/>
    <w:rsid w:val="005E6F5B"/>
    <w:rsid w:val="005F0F33"/>
    <w:rsid w:val="005F2FBE"/>
    <w:rsid w:val="005F3E64"/>
    <w:rsid w:val="005F5991"/>
    <w:rsid w:val="00600DEB"/>
    <w:rsid w:val="00613027"/>
    <w:rsid w:val="006149CD"/>
    <w:rsid w:val="00614AF6"/>
    <w:rsid w:val="00616FFA"/>
    <w:rsid w:val="0062401C"/>
    <w:rsid w:val="00627C9F"/>
    <w:rsid w:val="006311DA"/>
    <w:rsid w:val="006311E9"/>
    <w:rsid w:val="006318B2"/>
    <w:rsid w:val="00632354"/>
    <w:rsid w:val="00642810"/>
    <w:rsid w:val="00652333"/>
    <w:rsid w:val="00653EA6"/>
    <w:rsid w:val="0067155C"/>
    <w:rsid w:val="00673B2A"/>
    <w:rsid w:val="006752E1"/>
    <w:rsid w:val="0068009E"/>
    <w:rsid w:val="006A1120"/>
    <w:rsid w:val="006A17D2"/>
    <w:rsid w:val="006A73E6"/>
    <w:rsid w:val="006B194E"/>
    <w:rsid w:val="006B2D5C"/>
    <w:rsid w:val="006C2F1A"/>
    <w:rsid w:val="006C4EB1"/>
    <w:rsid w:val="006D4707"/>
    <w:rsid w:val="006D7395"/>
    <w:rsid w:val="006E0166"/>
    <w:rsid w:val="006E270D"/>
    <w:rsid w:val="006E72BB"/>
    <w:rsid w:val="006E7B34"/>
    <w:rsid w:val="006F6337"/>
    <w:rsid w:val="00701B24"/>
    <w:rsid w:val="0070465A"/>
    <w:rsid w:val="00706858"/>
    <w:rsid w:val="00713AED"/>
    <w:rsid w:val="0071495F"/>
    <w:rsid w:val="0073798E"/>
    <w:rsid w:val="00740872"/>
    <w:rsid w:val="00745899"/>
    <w:rsid w:val="00752D34"/>
    <w:rsid w:val="007607C4"/>
    <w:rsid w:val="0076643F"/>
    <w:rsid w:val="00781653"/>
    <w:rsid w:val="007A2082"/>
    <w:rsid w:val="007A2F70"/>
    <w:rsid w:val="007A6659"/>
    <w:rsid w:val="007B5D6F"/>
    <w:rsid w:val="007C3334"/>
    <w:rsid w:val="007C52BB"/>
    <w:rsid w:val="007D2B98"/>
    <w:rsid w:val="007F6B92"/>
    <w:rsid w:val="007F6DE9"/>
    <w:rsid w:val="007F7980"/>
    <w:rsid w:val="00803F1C"/>
    <w:rsid w:val="0080600E"/>
    <w:rsid w:val="00817612"/>
    <w:rsid w:val="008258D7"/>
    <w:rsid w:val="00827DAC"/>
    <w:rsid w:val="00837C45"/>
    <w:rsid w:val="00847D84"/>
    <w:rsid w:val="00853419"/>
    <w:rsid w:val="008546E5"/>
    <w:rsid w:val="008801F8"/>
    <w:rsid w:val="0089002B"/>
    <w:rsid w:val="00897E12"/>
    <w:rsid w:val="008A5D83"/>
    <w:rsid w:val="008C2373"/>
    <w:rsid w:val="008D11E1"/>
    <w:rsid w:val="008D43BA"/>
    <w:rsid w:val="008D43BE"/>
    <w:rsid w:val="008E3759"/>
    <w:rsid w:val="008E40F5"/>
    <w:rsid w:val="008E4EEF"/>
    <w:rsid w:val="008E71A6"/>
    <w:rsid w:val="008F235F"/>
    <w:rsid w:val="008F5775"/>
    <w:rsid w:val="009041DC"/>
    <w:rsid w:val="00905FBD"/>
    <w:rsid w:val="009104B4"/>
    <w:rsid w:val="009228DA"/>
    <w:rsid w:val="00925FCD"/>
    <w:rsid w:val="0093441A"/>
    <w:rsid w:val="00936805"/>
    <w:rsid w:val="00943FB3"/>
    <w:rsid w:val="00954BF7"/>
    <w:rsid w:val="0096706E"/>
    <w:rsid w:val="009802E6"/>
    <w:rsid w:val="00981FBA"/>
    <w:rsid w:val="00985D0A"/>
    <w:rsid w:val="0098783D"/>
    <w:rsid w:val="00992378"/>
    <w:rsid w:val="009B306D"/>
    <w:rsid w:val="009B381B"/>
    <w:rsid w:val="009C1D2B"/>
    <w:rsid w:val="009C2E7E"/>
    <w:rsid w:val="009D0CA0"/>
    <w:rsid w:val="009D59D2"/>
    <w:rsid w:val="009D7611"/>
    <w:rsid w:val="009E53DE"/>
    <w:rsid w:val="009E566A"/>
    <w:rsid w:val="00A0523B"/>
    <w:rsid w:val="00A12DBC"/>
    <w:rsid w:val="00A16001"/>
    <w:rsid w:val="00A2467F"/>
    <w:rsid w:val="00A34DB0"/>
    <w:rsid w:val="00A43458"/>
    <w:rsid w:val="00A465A0"/>
    <w:rsid w:val="00A528D1"/>
    <w:rsid w:val="00A556D4"/>
    <w:rsid w:val="00A655A0"/>
    <w:rsid w:val="00A66BE5"/>
    <w:rsid w:val="00A82E9C"/>
    <w:rsid w:val="00A914D9"/>
    <w:rsid w:val="00A96B7C"/>
    <w:rsid w:val="00AB4FA4"/>
    <w:rsid w:val="00AD37C1"/>
    <w:rsid w:val="00AE169D"/>
    <w:rsid w:val="00AE2C03"/>
    <w:rsid w:val="00AE66EC"/>
    <w:rsid w:val="00AE6F91"/>
    <w:rsid w:val="00AF5571"/>
    <w:rsid w:val="00B05DB3"/>
    <w:rsid w:val="00B06BB7"/>
    <w:rsid w:val="00B06F3D"/>
    <w:rsid w:val="00B167E9"/>
    <w:rsid w:val="00B179ED"/>
    <w:rsid w:val="00B26BAF"/>
    <w:rsid w:val="00B314DB"/>
    <w:rsid w:val="00B31EBE"/>
    <w:rsid w:val="00B3718B"/>
    <w:rsid w:val="00B373A6"/>
    <w:rsid w:val="00B44B23"/>
    <w:rsid w:val="00B4632A"/>
    <w:rsid w:val="00B53073"/>
    <w:rsid w:val="00B6691D"/>
    <w:rsid w:val="00B77447"/>
    <w:rsid w:val="00B92E49"/>
    <w:rsid w:val="00BA276C"/>
    <w:rsid w:val="00BB306F"/>
    <w:rsid w:val="00BB3267"/>
    <w:rsid w:val="00BC5DF2"/>
    <w:rsid w:val="00BD232B"/>
    <w:rsid w:val="00BD2E42"/>
    <w:rsid w:val="00BD4B89"/>
    <w:rsid w:val="00BE651B"/>
    <w:rsid w:val="00BE6657"/>
    <w:rsid w:val="00BF3B07"/>
    <w:rsid w:val="00BF52B7"/>
    <w:rsid w:val="00C02721"/>
    <w:rsid w:val="00C21762"/>
    <w:rsid w:val="00C24543"/>
    <w:rsid w:val="00C24E61"/>
    <w:rsid w:val="00C256A2"/>
    <w:rsid w:val="00C3492D"/>
    <w:rsid w:val="00C355B4"/>
    <w:rsid w:val="00C55560"/>
    <w:rsid w:val="00C66B72"/>
    <w:rsid w:val="00C7650A"/>
    <w:rsid w:val="00C76B56"/>
    <w:rsid w:val="00C77713"/>
    <w:rsid w:val="00C87C57"/>
    <w:rsid w:val="00C9567A"/>
    <w:rsid w:val="00C962B2"/>
    <w:rsid w:val="00CA5CCE"/>
    <w:rsid w:val="00CA6577"/>
    <w:rsid w:val="00CB2660"/>
    <w:rsid w:val="00CC5E90"/>
    <w:rsid w:val="00CD046C"/>
    <w:rsid w:val="00CE5199"/>
    <w:rsid w:val="00CE66D5"/>
    <w:rsid w:val="00CF7BD9"/>
    <w:rsid w:val="00CF7D00"/>
    <w:rsid w:val="00D05654"/>
    <w:rsid w:val="00D11087"/>
    <w:rsid w:val="00D15F52"/>
    <w:rsid w:val="00D219EA"/>
    <w:rsid w:val="00D34786"/>
    <w:rsid w:val="00D40A1E"/>
    <w:rsid w:val="00D533C0"/>
    <w:rsid w:val="00D66D3C"/>
    <w:rsid w:val="00D707F4"/>
    <w:rsid w:val="00D712D3"/>
    <w:rsid w:val="00D71422"/>
    <w:rsid w:val="00D7145E"/>
    <w:rsid w:val="00D75084"/>
    <w:rsid w:val="00D7558D"/>
    <w:rsid w:val="00D81D92"/>
    <w:rsid w:val="00D93446"/>
    <w:rsid w:val="00D94947"/>
    <w:rsid w:val="00DA7B5F"/>
    <w:rsid w:val="00DB3B3C"/>
    <w:rsid w:val="00DB779B"/>
    <w:rsid w:val="00DC7B91"/>
    <w:rsid w:val="00DC7C8D"/>
    <w:rsid w:val="00DD5EF9"/>
    <w:rsid w:val="00DE4DB4"/>
    <w:rsid w:val="00DF078B"/>
    <w:rsid w:val="00DF350D"/>
    <w:rsid w:val="00E11AD7"/>
    <w:rsid w:val="00E15CAA"/>
    <w:rsid w:val="00E16917"/>
    <w:rsid w:val="00E227C1"/>
    <w:rsid w:val="00E43157"/>
    <w:rsid w:val="00E454CF"/>
    <w:rsid w:val="00E47F3D"/>
    <w:rsid w:val="00E533FF"/>
    <w:rsid w:val="00E5564F"/>
    <w:rsid w:val="00E709B3"/>
    <w:rsid w:val="00E70DB6"/>
    <w:rsid w:val="00E7588C"/>
    <w:rsid w:val="00E76E74"/>
    <w:rsid w:val="00E7797F"/>
    <w:rsid w:val="00E77EE0"/>
    <w:rsid w:val="00E850B6"/>
    <w:rsid w:val="00E8789F"/>
    <w:rsid w:val="00E879B5"/>
    <w:rsid w:val="00E97B71"/>
    <w:rsid w:val="00EB454D"/>
    <w:rsid w:val="00EC7D04"/>
    <w:rsid w:val="00ED0D1B"/>
    <w:rsid w:val="00ED5FB1"/>
    <w:rsid w:val="00EE3522"/>
    <w:rsid w:val="00EE4571"/>
    <w:rsid w:val="00EF619B"/>
    <w:rsid w:val="00F00B55"/>
    <w:rsid w:val="00F1380F"/>
    <w:rsid w:val="00F14F0E"/>
    <w:rsid w:val="00F15A3B"/>
    <w:rsid w:val="00F24C29"/>
    <w:rsid w:val="00F253CC"/>
    <w:rsid w:val="00F42B71"/>
    <w:rsid w:val="00F455FB"/>
    <w:rsid w:val="00F56BA5"/>
    <w:rsid w:val="00F621C3"/>
    <w:rsid w:val="00F644E6"/>
    <w:rsid w:val="00F700ED"/>
    <w:rsid w:val="00F941BF"/>
    <w:rsid w:val="00F9653B"/>
    <w:rsid w:val="00FB2DCE"/>
    <w:rsid w:val="00FB62CF"/>
    <w:rsid w:val="00FC3EB4"/>
    <w:rsid w:val="00FC6C58"/>
    <w:rsid w:val="00FD136C"/>
    <w:rsid w:val="00FE0E05"/>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6A3B-56DD-43C5-9F98-CD37CC04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3031</Words>
  <Characters>15674</Characters>
  <Application>Microsoft Office Word</Application>
  <DocSecurity>0</DocSecurity>
  <Lines>301</Lines>
  <Paragraphs>86</Paragraphs>
  <ScaleCrop>false</ScaleCrop>
  <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178/20</dc:title>
  <dc:creator/>
  <cp:lastModifiedBy/>
  <cp:revision>1</cp:revision>
  <dcterms:created xsi:type="dcterms:W3CDTF">2020-07-30T18:40:00Z</dcterms:created>
  <dcterms:modified xsi:type="dcterms:W3CDTF">2020-07-30T18:40:00Z</dcterms:modified>
</cp:coreProperties>
</file>