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3133DD" w:rsidRDefault="003133DD">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3133DD" w:rsidRDefault="003133DD">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58676A48" w:rsidR="003133DD" w:rsidRPr="004B7EB6" w:rsidRDefault="003133D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A7F2A">
                              <w:rPr>
                                <w:rFonts w:asciiTheme="majorHAnsi" w:hAnsiTheme="majorHAnsi" w:cs="Arial"/>
                                <w:b/>
                                <w:bCs/>
                                <w:color w:val="0D0D0D" w:themeColor="text1" w:themeTint="F2"/>
                                <w:sz w:val="36"/>
                                <w:szCs w:val="40"/>
                              </w:rPr>
                              <w:t>160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857F468" w14:textId="4B2BD75D" w:rsidR="003133DD" w:rsidRPr="004B7EB6" w:rsidRDefault="003133DD"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524-10</w:t>
                            </w:r>
                          </w:p>
                          <w:p w14:paraId="51480B27" w14:textId="6BF1D8A2" w:rsidR="003133DD" w:rsidRPr="004B7EB6" w:rsidRDefault="003133DD"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3133DD" w:rsidRPr="004B7EB6" w:rsidRDefault="003133DD" w:rsidP="00261E08">
                            <w:pPr>
                              <w:spacing w:line="276" w:lineRule="auto"/>
                              <w:rPr>
                                <w:rFonts w:asciiTheme="majorHAnsi" w:hAnsiTheme="majorHAnsi" w:cs="Arial"/>
                                <w:color w:val="0D0D0D" w:themeColor="text1" w:themeTint="F2"/>
                                <w:szCs w:val="22"/>
                              </w:rPr>
                            </w:pPr>
                          </w:p>
                          <w:p w14:paraId="7B4EF8DB" w14:textId="77777777" w:rsidR="003133DD" w:rsidRPr="00400C55" w:rsidRDefault="003133DD" w:rsidP="008F5EA4">
                            <w:pPr>
                              <w:spacing w:line="276" w:lineRule="auto"/>
                              <w:rPr>
                                <w:rFonts w:asciiTheme="majorHAnsi" w:hAnsiTheme="majorHAnsi" w:cs="Arial"/>
                                <w:color w:val="0D0D0D" w:themeColor="text1" w:themeTint="F2"/>
                                <w:szCs w:val="22"/>
                                <w:lang w:val="en-GB"/>
                              </w:rPr>
                            </w:pPr>
                            <w:r w:rsidRPr="00400C55">
                              <w:rPr>
                                <w:rFonts w:asciiTheme="majorHAnsi" w:hAnsiTheme="majorHAnsi" w:cs="Arial"/>
                                <w:color w:val="0D0D0D" w:themeColor="text1" w:themeTint="F2"/>
                                <w:szCs w:val="22"/>
                                <w:lang w:val="en-GB"/>
                              </w:rPr>
                              <w:t>TANIMBU GUIRAENDY ESTREMADOIRO QUIROZ</w:t>
                            </w:r>
                          </w:p>
                          <w:p w14:paraId="67476ECA" w14:textId="437B1CC8" w:rsidR="003133DD" w:rsidRPr="008F5EA4" w:rsidRDefault="003133DD" w:rsidP="00261E0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58676A48" w:rsidR="003133DD" w:rsidRPr="004B7EB6" w:rsidRDefault="003133D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A7F2A">
                        <w:rPr>
                          <w:rFonts w:asciiTheme="majorHAnsi" w:hAnsiTheme="majorHAnsi" w:cs="Arial"/>
                          <w:b/>
                          <w:bCs/>
                          <w:color w:val="0D0D0D" w:themeColor="text1" w:themeTint="F2"/>
                          <w:sz w:val="36"/>
                          <w:szCs w:val="40"/>
                        </w:rPr>
                        <w:t>160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857F468" w14:textId="4B2BD75D" w:rsidR="003133DD" w:rsidRPr="004B7EB6" w:rsidRDefault="003133DD"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524-10</w:t>
                      </w:r>
                    </w:p>
                    <w:p w14:paraId="51480B27" w14:textId="6BF1D8A2" w:rsidR="003133DD" w:rsidRPr="004B7EB6" w:rsidRDefault="003133DD"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3133DD" w:rsidRPr="004B7EB6" w:rsidRDefault="003133DD" w:rsidP="00261E08">
                      <w:pPr>
                        <w:spacing w:line="276" w:lineRule="auto"/>
                        <w:rPr>
                          <w:rFonts w:asciiTheme="majorHAnsi" w:hAnsiTheme="majorHAnsi" w:cs="Arial"/>
                          <w:color w:val="0D0D0D" w:themeColor="text1" w:themeTint="F2"/>
                          <w:szCs w:val="22"/>
                        </w:rPr>
                      </w:pPr>
                    </w:p>
                    <w:p w14:paraId="7B4EF8DB" w14:textId="77777777" w:rsidR="003133DD" w:rsidRPr="00400C55" w:rsidRDefault="003133DD" w:rsidP="008F5EA4">
                      <w:pPr>
                        <w:spacing w:line="276" w:lineRule="auto"/>
                        <w:rPr>
                          <w:rFonts w:asciiTheme="majorHAnsi" w:hAnsiTheme="majorHAnsi" w:cs="Arial"/>
                          <w:color w:val="0D0D0D" w:themeColor="text1" w:themeTint="F2"/>
                          <w:szCs w:val="22"/>
                          <w:lang w:val="en-GB"/>
                        </w:rPr>
                      </w:pPr>
                      <w:r w:rsidRPr="00400C55">
                        <w:rPr>
                          <w:rFonts w:asciiTheme="majorHAnsi" w:hAnsiTheme="majorHAnsi" w:cs="Arial"/>
                          <w:color w:val="0D0D0D" w:themeColor="text1" w:themeTint="F2"/>
                          <w:szCs w:val="22"/>
                          <w:lang w:val="en-GB"/>
                        </w:rPr>
                        <w:t>TANIMBU GUIRAENDY ESTREMADOIRO QUIROZ</w:t>
                      </w:r>
                    </w:p>
                    <w:p w14:paraId="67476ECA" w14:textId="437B1CC8" w:rsidR="003133DD" w:rsidRPr="008F5EA4" w:rsidRDefault="003133DD" w:rsidP="00261E0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3E7F083B" w:rsidR="003133DD" w:rsidRPr="00C05CAF" w:rsidRDefault="003133DD" w:rsidP="009E566A">
                            <w:pPr>
                              <w:jc w:val="right"/>
                              <w:rPr>
                                <w:rFonts w:asciiTheme="minorHAnsi" w:hAnsiTheme="minorHAnsi"/>
                                <w:color w:val="FFFFFF" w:themeColor="background1"/>
                                <w:sz w:val="22"/>
                                <w:lang w:val="es-US"/>
                              </w:rPr>
                            </w:pPr>
                            <w:r w:rsidRPr="00C05CAF">
                              <w:rPr>
                                <w:rFonts w:asciiTheme="minorHAnsi" w:hAnsiTheme="minorHAnsi"/>
                                <w:color w:val="FFFFFF" w:themeColor="background1"/>
                                <w:sz w:val="22"/>
                                <w:lang w:val="es-US"/>
                              </w:rPr>
                              <w:t>OEA/Ser.L/V/II.</w:t>
                            </w:r>
                            <w:r w:rsidRPr="00C05CAF">
                              <w:rPr>
                                <w:rFonts w:asciiTheme="minorHAnsi" w:hAnsiTheme="minorHAnsi"/>
                                <w:color w:val="FF0000"/>
                                <w:sz w:val="22"/>
                                <w:lang w:val="es-US"/>
                              </w:rPr>
                              <w:t xml:space="preserve"> </w:t>
                            </w:r>
                          </w:p>
                          <w:p w14:paraId="2B86BB36" w14:textId="65C00E02" w:rsidR="003133DD" w:rsidRPr="003A7F2A" w:rsidRDefault="003133DD" w:rsidP="009E566A">
                            <w:pPr>
                              <w:jc w:val="right"/>
                              <w:rPr>
                                <w:rFonts w:asciiTheme="minorHAnsi" w:hAnsiTheme="minorHAnsi"/>
                                <w:sz w:val="22"/>
                              </w:rPr>
                            </w:pPr>
                            <w:r w:rsidRPr="003A7F2A">
                              <w:rPr>
                                <w:rFonts w:asciiTheme="minorHAnsi" w:hAnsiTheme="minorHAnsi"/>
                                <w:color w:val="FFFFFF" w:themeColor="background1"/>
                                <w:sz w:val="22"/>
                              </w:rPr>
                              <w:t>Doc.</w:t>
                            </w:r>
                            <w:r w:rsidR="003A7F2A" w:rsidRPr="003A7F2A">
                              <w:rPr>
                                <w:rFonts w:asciiTheme="minorHAnsi" w:hAnsiTheme="minorHAnsi"/>
                                <w:color w:val="FFFFFF" w:themeColor="background1"/>
                                <w:sz w:val="22"/>
                              </w:rPr>
                              <w:t xml:space="preserve"> 1</w:t>
                            </w:r>
                            <w:r w:rsidR="003A7F2A">
                              <w:rPr>
                                <w:rFonts w:asciiTheme="minorHAnsi" w:hAnsiTheme="minorHAnsi"/>
                                <w:color w:val="FFFFFF" w:themeColor="background1"/>
                                <w:sz w:val="22"/>
                              </w:rPr>
                              <w:t>70</w:t>
                            </w:r>
                          </w:p>
                          <w:p w14:paraId="6AC8D657" w14:textId="2931EEE4" w:rsidR="003133DD" w:rsidRPr="003A7F2A" w:rsidRDefault="003133DD" w:rsidP="009E566A">
                            <w:pPr>
                              <w:jc w:val="right"/>
                              <w:rPr>
                                <w:rFonts w:asciiTheme="minorHAnsi" w:hAnsiTheme="minorHAnsi"/>
                                <w:color w:val="FFFFFF" w:themeColor="background1"/>
                                <w:sz w:val="22"/>
                              </w:rPr>
                            </w:pPr>
                            <w:r w:rsidRPr="003A7F2A">
                              <w:rPr>
                                <w:rFonts w:asciiTheme="minorHAnsi" w:hAnsiTheme="minorHAnsi"/>
                                <w:sz w:val="22"/>
                              </w:rPr>
                              <w:t xml:space="preserve"> </w:t>
                            </w:r>
                            <w:r w:rsidR="003A7F2A">
                              <w:rPr>
                                <w:rFonts w:asciiTheme="minorHAnsi" w:hAnsiTheme="minorHAnsi"/>
                                <w:color w:val="FFFFFF" w:themeColor="background1"/>
                                <w:sz w:val="22"/>
                              </w:rPr>
                              <w:t>2 July</w:t>
                            </w:r>
                            <w:r w:rsidRPr="003A7F2A">
                              <w:rPr>
                                <w:rFonts w:asciiTheme="minorHAnsi" w:hAnsiTheme="minorHAnsi"/>
                                <w:color w:val="FFFFFF" w:themeColor="background1"/>
                                <w:sz w:val="22"/>
                              </w:rPr>
                              <w:t xml:space="preserve"> 2020</w:t>
                            </w:r>
                          </w:p>
                          <w:p w14:paraId="35D3ABA3" w14:textId="4D5A616E" w:rsidR="003133DD" w:rsidRPr="003A7F2A" w:rsidRDefault="003133DD" w:rsidP="009E566A">
                            <w:pPr>
                              <w:jc w:val="right"/>
                              <w:rPr>
                                <w:rFonts w:asciiTheme="minorHAnsi" w:hAnsiTheme="minorHAnsi"/>
                                <w:color w:val="FFFFFF" w:themeColor="background1"/>
                                <w:sz w:val="22"/>
                              </w:rPr>
                            </w:pPr>
                            <w:r w:rsidRPr="003A7F2A">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3E7F083B" w:rsidR="003133DD" w:rsidRPr="003A7F2A" w:rsidRDefault="003133DD" w:rsidP="009E566A">
                      <w:pPr>
                        <w:jc w:val="right"/>
                        <w:rPr>
                          <w:rFonts w:asciiTheme="minorHAnsi" w:hAnsiTheme="minorHAnsi"/>
                          <w:color w:val="FFFFFF" w:themeColor="background1"/>
                          <w:sz w:val="22"/>
                        </w:rPr>
                      </w:pPr>
                      <w:r w:rsidRPr="003A7F2A">
                        <w:rPr>
                          <w:rFonts w:asciiTheme="minorHAnsi" w:hAnsiTheme="minorHAnsi"/>
                          <w:color w:val="FFFFFF" w:themeColor="background1"/>
                          <w:sz w:val="22"/>
                        </w:rPr>
                        <w:t>OEA/</w:t>
                      </w:r>
                      <w:proofErr w:type="spellStart"/>
                      <w:r w:rsidRPr="003A7F2A">
                        <w:rPr>
                          <w:rFonts w:asciiTheme="minorHAnsi" w:hAnsiTheme="minorHAnsi"/>
                          <w:color w:val="FFFFFF" w:themeColor="background1"/>
                          <w:sz w:val="22"/>
                        </w:rPr>
                        <w:t>Ser.L</w:t>
                      </w:r>
                      <w:proofErr w:type="spellEnd"/>
                      <w:r w:rsidRPr="003A7F2A">
                        <w:rPr>
                          <w:rFonts w:asciiTheme="minorHAnsi" w:hAnsiTheme="minorHAnsi"/>
                          <w:color w:val="FFFFFF" w:themeColor="background1"/>
                          <w:sz w:val="22"/>
                        </w:rPr>
                        <w:t>/V/II.</w:t>
                      </w:r>
                      <w:r w:rsidRPr="003A7F2A">
                        <w:rPr>
                          <w:rFonts w:asciiTheme="minorHAnsi" w:hAnsiTheme="minorHAnsi"/>
                          <w:color w:val="FF0000"/>
                          <w:sz w:val="22"/>
                        </w:rPr>
                        <w:t xml:space="preserve"> </w:t>
                      </w:r>
                    </w:p>
                    <w:p w14:paraId="2B86BB36" w14:textId="65C00E02" w:rsidR="003133DD" w:rsidRPr="003A7F2A" w:rsidRDefault="003133DD" w:rsidP="009E566A">
                      <w:pPr>
                        <w:jc w:val="right"/>
                        <w:rPr>
                          <w:rFonts w:asciiTheme="minorHAnsi" w:hAnsiTheme="minorHAnsi"/>
                          <w:sz w:val="22"/>
                        </w:rPr>
                      </w:pPr>
                      <w:r w:rsidRPr="003A7F2A">
                        <w:rPr>
                          <w:rFonts w:asciiTheme="minorHAnsi" w:hAnsiTheme="minorHAnsi"/>
                          <w:color w:val="FFFFFF" w:themeColor="background1"/>
                          <w:sz w:val="22"/>
                        </w:rPr>
                        <w:t>Doc.</w:t>
                      </w:r>
                      <w:r w:rsidR="003A7F2A" w:rsidRPr="003A7F2A">
                        <w:rPr>
                          <w:rFonts w:asciiTheme="minorHAnsi" w:hAnsiTheme="minorHAnsi"/>
                          <w:color w:val="FFFFFF" w:themeColor="background1"/>
                          <w:sz w:val="22"/>
                        </w:rPr>
                        <w:t xml:space="preserve"> 1</w:t>
                      </w:r>
                      <w:r w:rsidR="003A7F2A">
                        <w:rPr>
                          <w:rFonts w:asciiTheme="minorHAnsi" w:hAnsiTheme="minorHAnsi"/>
                          <w:color w:val="FFFFFF" w:themeColor="background1"/>
                          <w:sz w:val="22"/>
                        </w:rPr>
                        <w:t>70</w:t>
                      </w:r>
                    </w:p>
                    <w:p w14:paraId="6AC8D657" w14:textId="2931EEE4" w:rsidR="003133DD" w:rsidRPr="003A7F2A" w:rsidRDefault="003133DD" w:rsidP="009E566A">
                      <w:pPr>
                        <w:jc w:val="right"/>
                        <w:rPr>
                          <w:rFonts w:asciiTheme="minorHAnsi" w:hAnsiTheme="minorHAnsi"/>
                          <w:color w:val="FFFFFF" w:themeColor="background1"/>
                          <w:sz w:val="22"/>
                        </w:rPr>
                      </w:pPr>
                      <w:r w:rsidRPr="003A7F2A">
                        <w:rPr>
                          <w:rFonts w:asciiTheme="minorHAnsi" w:hAnsiTheme="minorHAnsi"/>
                          <w:sz w:val="22"/>
                        </w:rPr>
                        <w:t xml:space="preserve"> </w:t>
                      </w:r>
                      <w:r w:rsidR="003A7F2A">
                        <w:rPr>
                          <w:rFonts w:asciiTheme="minorHAnsi" w:hAnsiTheme="minorHAnsi"/>
                          <w:color w:val="FFFFFF" w:themeColor="background1"/>
                          <w:sz w:val="22"/>
                        </w:rPr>
                        <w:t>2 July</w:t>
                      </w:r>
                      <w:r w:rsidRPr="003A7F2A">
                        <w:rPr>
                          <w:rFonts w:asciiTheme="minorHAnsi" w:hAnsiTheme="minorHAnsi"/>
                          <w:color w:val="FFFFFF" w:themeColor="background1"/>
                          <w:sz w:val="22"/>
                        </w:rPr>
                        <w:t xml:space="preserve"> 2020</w:t>
                      </w:r>
                    </w:p>
                    <w:p w14:paraId="35D3ABA3" w14:textId="4D5A616E" w:rsidR="003133DD" w:rsidRPr="003A7F2A" w:rsidRDefault="003133DD" w:rsidP="009E566A">
                      <w:pPr>
                        <w:jc w:val="right"/>
                        <w:rPr>
                          <w:rFonts w:asciiTheme="minorHAnsi" w:hAnsiTheme="minorHAnsi"/>
                          <w:color w:val="FFFFFF" w:themeColor="background1"/>
                          <w:sz w:val="22"/>
                        </w:rPr>
                      </w:pPr>
                      <w:r w:rsidRPr="003A7F2A">
                        <w:rPr>
                          <w:rFonts w:asciiTheme="minorHAnsi" w:hAnsiTheme="minorHAnsi"/>
                          <w:color w:val="FFFFFF" w:themeColor="background1"/>
                          <w:sz w:val="22"/>
                        </w:rPr>
                        <w:t>Original: 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25ED96D3" w:rsidR="003133DD" w:rsidRPr="009B306D" w:rsidRDefault="003A7F2A"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3133D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2, 2020</w:t>
                            </w:r>
                            <w:r w:rsidR="00F95360">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25ED96D3" w:rsidR="003133DD" w:rsidRPr="009B306D" w:rsidRDefault="003A7F2A"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3133D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2, 2020</w:t>
                      </w:r>
                      <w:r w:rsidR="00F95360">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18E24233" w:rsidR="003133DD" w:rsidRPr="003C32BC" w:rsidRDefault="003133D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A7F2A">
                              <w:rPr>
                                <w:rFonts w:asciiTheme="majorHAnsi" w:hAnsiTheme="majorHAnsi"/>
                                <w:color w:val="595959" w:themeColor="text1" w:themeTint="A6"/>
                                <w:sz w:val="18"/>
                              </w:rPr>
                              <w:t xml:space="preserve"> 160/20</w:t>
                            </w:r>
                            <w:r>
                              <w:rPr>
                                <w:rFonts w:asciiTheme="majorHAnsi" w:hAnsiTheme="majorHAnsi"/>
                                <w:color w:val="595959" w:themeColor="text1" w:themeTint="A6"/>
                                <w:sz w:val="18"/>
                                <w:lang w:val="en-GB"/>
                              </w:rPr>
                              <w:t>.</w:t>
                            </w:r>
                            <w:r w:rsidRPr="008F5EA4">
                              <w:rPr>
                                <w:rFonts w:asciiTheme="majorHAnsi" w:hAnsiTheme="majorHAnsi"/>
                                <w:color w:val="595959" w:themeColor="text1" w:themeTint="A6"/>
                                <w:sz w:val="18"/>
                                <w:lang w:val="en-GB"/>
                              </w:rPr>
                              <w:t xml:space="preserve"> </w:t>
                            </w:r>
                            <w:r w:rsidRPr="00C4379A">
                              <w:rPr>
                                <w:rFonts w:asciiTheme="majorHAnsi" w:hAnsiTheme="majorHAnsi"/>
                                <w:color w:val="595959" w:themeColor="text1" w:themeTint="A6"/>
                                <w:sz w:val="18"/>
                              </w:rPr>
                              <w:t xml:space="preserve">Petition 524-10. Admissibility. </w:t>
                            </w:r>
                            <w:proofErr w:type="spellStart"/>
                            <w:r w:rsidRPr="00C4379A">
                              <w:rPr>
                                <w:rFonts w:asciiTheme="majorHAnsi" w:hAnsiTheme="majorHAnsi"/>
                                <w:color w:val="595959" w:themeColor="text1" w:themeTint="A6"/>
                                <w:sz w:val="18"/>
                              </w:rPr>
                              <w:t>Tanimbu</w:t>
                            </w:r>
                            <w:proofErr w:type="spellEnd"/>
                            <w:r w:rsidRPr="00C4379A">
                              <w:rPr>
                                <w:rFonts w:asciiTheme="majorHAnsi" w:hAnsiTheme="majorHAnsi"/>
                                <w:color w:val="595959" w:themeColor="text1" w:themeTint="A6"/>
                                <w:sz w:val="18"/>
                              </w:rPr>
                              <w:t xml:space="preserve"> </w:t>
                            </w:r>
                            <w:proofErr w:type="spellStart"/>
                            <w:r w:rsidRPr="00C4379A">
                              <w:rPr>
                                <w:rFonts w:asciiTheme="majorHAnsi" w:hAnsiTheme="majorHAnsi"/>
                                <w:color w:val="595959" w:themeColor="text1" w:themeTint="A6"/>
                                <w:sz w:val="18"/>
                              </w:rPr>
                              <w:t>Guiraendy</w:t>
                            </w:r>
                            <w:proofErr w:type="spellEnd"/>
                            <w:r w:rsidRPr="00C4379A">
                              <w:rPr>
                                <w:rFonts w:asciiTheme="majorHAnsi" w:hAnsiTheme="majorHAnsi"/>
                                <w:color w:val="595959" w:themeColor="text1" w:themeTint="A6"/>
                                <w:sz w:val="18"/>
                              </w:rPr>
                              <w:t xml:space="preserve"> </w:t>
                            </w:r>
                            <w:proofErr w:type="spellStart"/>
                            <w:r w:rsidRPr="00C4379A">
                              <w:rPr>
                                <w:rFonts w:asciiTheme="majorHAnsi" w:hAnsiTheme="majorHAnsi"/>
                                <w:color w:val="595959" w:themeColor="text1" w:themeTint="A6"/>
                                <w:sz w:val="18"/>
                              </w:rPr>
                              <w:t>Estremadoiro</w:t>
                            </w:r>
                            <w:proofErr w:type="spellEnd"/>
                            <w:r w:rsidRPr="00C4379A">
                              <w:rPr>
                                <w:rFonts w:asciiTheme="majorHAnsi" w:hAnsiTheme="majorHAnsi"/>
                                <w:color w:val="595959" w:themeColor="text1" w:themeTint="A6"/>
                                <w:sz w:val="18"/>
                              </w:rPr>
                              <w:t xml:space="preserve"> Quiroz. Bolivia.</w:t>
                            </w:r>
                            <w:r w:rsidR="003A7F2A">
                              <w:rPr>
                                <w:rFonts w:asciiTheme="majorHAnsi" w:hAnsiTheme="majorHAnsi"/>
                                <w:color w:val="595959" w:themeColor="text1" w:themeTint="A6"/>
                                <w:sz w:val="18"/>
                              </w:rPr>
                              <w:t xml:space="preserve"> July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18E24233" w:rsidR="003133DD" w:rsidRPr="003C32BC" w:rsidRDefault="003133D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003A7F2A">
                        <w:rPr>
                          <w:rFonts w:asciiTheme="majorHAnsi" w:hAnsiTheme="majorHAnsi"/>
                          <w:color w:val="595959" w:themeColor="text1" w:themeTint="A6"/>
                          <w:sz w:val="18"/>
                        </w:rPr>
                        <w:t xml:space="preserve"> 160/20</w:t>
                      </w:r>
                      <w:r>
                        <w:rPr>
                          <w:rFonts w:asciiTheme="majorHAnsi" w:hAnsiTheme="majorHAnsi"/>
                          <w:color w:val="595959" w:themeColor="text1" w:themeTint="A6"/>
                          <w:sz w:val="18"/>
                          <w:lang w:val="en-GB"/>
                        </w:rPr>
                        <w:t>.</w:t>
                      </w:r>
                      <w:r w:rsidRPr="008F5EA4">
                        <w:rPr>
                          <w:rFonts w:asciiTheme="majorHAnsi" w:hAnsiTheme="majorHAnsi"/>
                          <w:color w:val="595959" w:themeColor="text1" w:themeTint="A6"/>
                          <w:sz w:val="18"/>
                          <w:lang w:val="en-GB"/>
                        </w:rPr>
                        <w:t xml:space="preserve"> </w:t>
                      </w:r>
                      <w:r w:rsidRPr="00C4379A">
                        <w:rPr>
                          <w:rFonts w:asciiTheme="majorHAnsi" w:hAnsiTheme="majorHAnsi"/>
                          <w:color w:val="595959" w:themeColor="text1" w:themeTint="A6"/>
                          <w:sz w:val="18"/>
                        </w:rPr>
                        <w:t xml:space="preserve">Petition 524-10. Admissibility. </w:t>
                      </w:r>
                      <w:proofErr w:type="spellStart"/>
                      <w:r w:rsidRPr="00C4379A">
                        <w:rPr>
                          <w:rFonts w:asciiTheme="majorHAnsi" w:hAnsiTheme="majorHAnsi"/>
                          <w:color w:val="595959" w:themeColor="text1" w:themeTint="A6"/>
                          <w:sz w:val="18"/>
                        </w:rPr>
                        <w:t>Tanimbu</w:t>
                      </w:r>
                      <w:proofErr w:type="spellEnd"/>
                      <w:r w:rsidRPr="00C4379A">
                        <w:rPr>
                          <w:rFonts w:asciiTheme="majorHAnsi" w:hAnsiTheme="majorHAnsi"/>
                          <w:color w:val="595959" w:themeColor="text1" w:themeTint="A6"/>
                          <w:sz w:val="18"/>
                        </w:rPr>
                        <w:t xml:space="preserve"> </w:t>
                      </w:r>
                      <w:proofErr w:type="spellStart"/>
                      <w:r w:rsidRPr="00C4379A">
                        <w:rPr>
                          <w:rFonts w:asciiTheme="majorHAnsi" w:hAnsiTheme="majorHAnsi"/>
                          <w:color w:val="595959" w:themeColor="text1" w:themeTint="A6"/>
                          <w:sz w:val="18"/>
                        </w:rPr>
                        <w:t>Guiraendy</w:t>
                      </w:r>
                      <w:proofErr w:type="spellEnd"/>
                      <w:r w:rsidRPr="00C4379A">
                        <w:rPr>
                          <w:rFonts w:asciiTheme="majorHAnsi" w:hAnsiTheme="majorHAnsi"/>
                          <w:color w:val="595959" w:themeColor="text1" w:themeTint="A6"/>
                          <w:sz w:val="18"/>
                        </w:rPr>
                        <w:t xml:space="preserve"> </w:t>
                      </w:r>
                      <w:proofErr w:type="spellStart"/>
                      <w:r w:rsidRPr="00C4379A">
                        <w:rPr>
                          <w:rFonts w:asciiTheme="majorHAnsi" w:hAnsiTheme="majorHAnsi"/>
                          <w:color w:val="595959" w:themeColor="text1" w:themeTint="A6"/>
                          <w:sz w:val="18"/>
                        </w:rPr>
                        <w:t>Estremadoiro</w:t>
                      </w:r>
                      <w:proofErr w:type="spellEnd"/>
                      <w:r w:rsidRPr="00C4379A">
                        <w:rPr>
                          <w:rFonts w:asciiTheme="majorHAnsi" w:hAnsiTheme="majorHAnsi"/>
                          <w:color w:val="595959" w:themeColor="text1" w:themeTint="A6"/>
                          <w:sz w:val="18"/>
                        </w:rPr>
                        <w:t xml:space="preserve"> Quiroz. Bolivia.</w:t>
                      </w:r>
                      <w:r w:rsidR="003A7F2A">
                        <w:rPr>
                          <w:rFonts w:asciiTheme="majorHAnsi" w:hAnsiTheme="majorHAnsi"/>
                          <w:color w:val="595959" w:themeColor="text1" w:themeTint="A6"/>
                          <w:sz w:val="18"/>
                        </w:rPr>
                        <w:t xml:space="preserve"> July 2,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0581C44B" wp14:editId="65477EE7">
                <wp:simplePos x="0" y="0"/>
                <wp:positionH relativeFrom="column">
                  <wp:posOffset>1207770</wp:posOffset>
                </wp:positionH>
                <wp:positionV relativeFrom="page">
                  <wp:posOffset>9016093</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133DD" w:rsidRDefault="003133DD">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1pt;margin-top:709.95pt;width:171pt;height:4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" fillcolor="white [3201]" stroked="f" strokeweight=".5pt">
                <v:textbox>
                  <w:txbxContent>
                    <w:p w14:paraId="03673E8D" w14:textId="65DB3C30" w:rsidR="003133DD" w:rsidRDefault="003133DD">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w10:wrap anchory="page"/>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1FC1EA9" w:rsidR="003133DD" w:rsidRPr="004B7EB6" w:rsidRDefault="003133D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A7F2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1FC1EA9" w:rsidR="003133DD" w:rsidRPr="004B7EB6" w:rsidRDefault="003133D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A7F2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C05CAF" w14:paraId="0D1CC739" w14:textId="77777777" w:rsidTr="003133DD">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3133D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16D38321" w:rsidR="00261E08" w:rsidRPr="00C4379A" w:rsidRDefault="00C4379A" w:rsidP="003133DD">
            <w:pPr>
              <w:jc w:val="both"/>
              <w:rPr>
                <w:rFonts w:asciiTheme="majorHAnsi" w:hAnsiTheme="majorHAnsi"/>
                <w:bCs/>
                <w:sz w:val="19"/>
                <w:szCs w:val="19"/>
                <w:lang w:val="es-CO"/>
              </w:rPr>
            </w:pPr>
            <w:r w:rsidRPr="00C4379A">
              <w:rPr>
                <w:rFonts w:asciiTheme="majorHAnsi" w:hAnsiTheme="majorHAnsi"/>
                <w:bCs/>
                <w:i/>
                <w:iCs/>
                <w:sz w:val="20"/>
                <w:szCs w:val="20"/>
                <w:lang w:val="es-ES"/>
              </w:rPr>
              <w:t>Centro de Estudios Jurídicos e Investigación Social</w:t>
            </w:r>
            <w:r>
              <w:rPr>
                <w:rFonts w:asciiTheme="majorHAnsi" w:hAnsiTheme="majorHAnsi"/>
                <w:bCs/>
                <w:sz w:val="20"/>
                <w:szCs w:val="20"/>
                <w:lang w:val="es-ES"/>
              </w:rPr>
              <w:t xml:space="preserve"> – CEJIS</w:t>
            </w:r>
          </w:p>
        </w:tc>
      </w:tr>
      <w:tr w:rsidR="00261E08" w:rsidRPr="003A5566" w14:paraId="4A730984" w14:textId="77777777" w:rsidTr="003133DD">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3133D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510EC22E" w:rsidR="00261E08" w:rsidRPr="003A5566" w:rsidRDefault="008F5EA4" w:rsidP="003133DD">
            <w:pPr>
              <w:jc w:val="both"/>
              <w:rPr>
                <w:rFonts w:asciiTheme="majorHAnsi" w:hAnsiTheme="majorHAnsi"/>
                <w:bCs/>
                <w:sz w:val="19"/>
                <w:szCs w:val="19"/>
              </w:rPr>
            </w:pPr>
            <w:r>
              <w:rPr>
                <w:rFonts w:asciiTheme="majorHAnsi" w:hAnsiTheme="majorHAnsi"/>
                <w:bCs/>
                <w:sz w:val="19"/>
                <w:szCs w:val="19"/>
              </w:rPr>
              <w:t>Tanimbu Guiraendy Estremadoiro Quiroz</w:t>
            </w:r>
          </w:p>
        </w:tc>
      </w:tr>
      <w:tr w:rsidR="00261E08" w:rsidRPr="003A5566" w14:paraId="03D81EE5" w14:textId="77777777" w:rsidTr="003133DD">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7DF0054C" w:rsidR="00261E08" w:rsidRPr="003A5566" w:rsidRDefault="008F5EA4" w:rsidP="003133DD">
            <w:pPr>
              <w:jc w:val="both"/>
              <w:rPr>
                <w:rFonts w:asciiTheme="majorHAnsi" w:hAnsiTheme="majorHAnsi"/>
                <w:bCs/>
                <w:sz w:val="19"/>
                <w:szCs w:val="19"/>
              </w:rPr>
            </w:pPr>
            <w:r>
              <w:rPr>
                <w:rFonts w:asciiTheme="majorHAnsi" w:hAnsiTheme="majorHAnsi"/>
                <w:bCs/>
                <w:sz w:val="19"/>
                <w:szCs w:val="19"/>
              </w:rPr>
              <w:t>Bolivia</w:t>
            </w:r>
          </w:p>
        </w:tc>
      </w:tr>
      <w:tr w:rsidR="00261E08" w:rsidRPr="003A5566" w14:paraId="61049B38" w14:textId="77777777" w:rsidTr="003133DD">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56519C0D" w:rsidR="00261E08" w:rsidRPr="003A5566" w:rsidRDefault="008F5EA4" w:rsidP="00261E08">
            <w:pPr>
              <w:jc w:val="both"/>
              <w:rPr>
                <w:rFonts w:asciiTheme="majorHAnsi" w:hAnsiTheme="majorHAnsi"/>
                <w:bCs/>
                <w:sz w:val="19"/>
                <w:szCs w:val="19"/>
              </w:rPr>
            </w:pPr>
            <w:r>
              <w:rPr>
                <w:rFonts w:asciiTheme="majorHAnsi" w:hAnsiTheme="majorHAnsi"/>
                <w:bCs/>
                <w:sz w:val="19"/>
                <w:szCs w:val="19"/>
              </w:rPr>
              <w:t>Articles 5 (humane treatment), 7 (personal liberty), 8 (fair trial), 13 (freedom of thought and expression), 15 (assembly), 21 (property),</w:t>
            </w:r>
            <w:r w:rsidR="00CC3DC2">
              <w:rPr>
                <w:rFonts w:asciiTheme="majorHAnsi" w:hAnsiTheme="majorHAnsi"/>
                <w:bCs/>
                <w:sz w:val="19"/>
                <w:szCs w:val="19"/>
              </w:rPr>
              <w:t xml:space="preserve"> and</w:t>
            </w:r>
            <w:r>
              <w:rPr>
                <w:rFonts w:asciiTheme="majorHAnsi" w:hAnsiTheme="majorHAnsi"/>
                <w:bCs/>
                <w:sz w:val="19"/>
                <w:szCs w:val="19"/>
              </w:rPr>
              <w:t xml:space="preserve"> 22 (movement and residence) of the American Convention on Human R</w:t>
            </w:r>
            <w:r w:rsidR="00CC3DC2">
              <w:rPr>
                <w:rFonts w:asciiTheme="majorHAnsi" w:hAnsiTheme="majorHAnsi"/>
                <w:bCs/>
                <w:sz w:val="19"/>
                <w:szCs w:val="19"/>
              </w:rPr>
              <w:t>i</w:t>
            </w:r>
            <w:r>
              <w:rPr>
                <w:rFonts w:asciiTheme="majorHAnsi" w:hAnsiTheme="majorHAnsi"/>
                <w:bCs/>
                <w:sz w:val="19"/>
                <w:szCs w:val="19"/>
              </w:rPr>
              <w:t>ghts</w:t>
            </w:r>
            <w:r>
              <w:rPr>
                <w:rStyle w:val="FootnoteReference"/>
                <w:rFonts w:asciiTheme="majorHAnsi" w:hAnsiTheme="majorHAnsi"/>
                <w:bCs/>
                <w:sz w:val="19"/>
                <w:szCs w:val="19"/>
              </w:rPr>
              <w:footnoteReference w:id="2"/>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68AE96CE"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April 12, 2010</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4CFB9523"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April 21, 2017</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3133DD">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2BFCF117"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August 31, 2017</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6CA0B0E4"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April 4, 2018</w:t>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1821148E"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July 1, 2019</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3133DD">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38CC768C" w:rsidR="00261E08" w:rsidRPr="003A5566" w:rsidRDefault="00CC3DC2" w:rsidP="003133DD">
            <w:pPr>
              <w:rPr>
                <w:rFonts w:asciiTheme="majorHAnsi" w:hAnsiTheme="majorHAnsi"/>
                <w:bCs/>
                <w:sz w:val="19"/>
                <w:szCs w:val="19"/>
              </w:rPr>
            </w:pPr>
            <w:r>
              <w:rPr>
                <w:rFonts w:asciiTheme="majorHAnsi" w:hAnsiTheme="majorHAnsi"/>
                <w:bCs/>
                <w:sz w:val="19"/>
                <w:szCs w:val="19"/>
              </w:rPr>
              <w:t>Yes</w:t>
            </w:r>
          </w:p>
        </w:tc>
      </w:tr>
      <w:tr w:rsidR="00CC3DC2" w:rsidRPr="003A5566" w14:paraId="6438DD58" w14:textId="77777777" w:rsidTr="003133DD">
        <w:trPr>
          <w:cantSplit/>
        </w:trPr>
        <w:tc>
          <w:tcPr>
            <w:tcW w:w="2763" w:type="dxa"/>
            <w:tcBorders>
              <w:top w:val="single" w:sz="6" w:space="0" w:color="auto"/>
              <w:bottom w:val="single" w:sz="6" w:space="0" w:color="auto"/>
            </w:tcBorders>
            <w:shd w:val="clear" w:color="auto" w:fill="67AE3C"/>
            <w:vAlign w:val="center"/>
          </w:tcPr>
          <w:p w14:paraId="43AB8B19" w14:textId="6682D917" w:rsidR="00CC3DC2" w:rsidRPr="003A5566" w:rsidRDefault="00CC3DC2" w:rsidP="00CC3DC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tcPr>
          <w:p w14:paraId="27041F7E" w14:textId="1696B181" w:rsidR="00CC3DC2" w:rsidRPr="003A5566" w:rsidRDefault="00CC3DC2" w:rsidP="00CC3DC2">
            <w:pPr>
              <w:rPr>
                <w:rFonts w:asciiTheme="majorHAnsi" w:hAnsiTheme="majorHAnsi"/>
                <w:bCs/>
                <w:sz w:val="19"/>
                <w:szCs w:val="19"/>
              </w:rPr>
            </w:pPr>
            <w:r w:rsidRPr="00D01278">
              <w:rPr>
                <w:rFonts w:asciiTheme="majorHAnsi" w:hAnsiTheme="majorHAnsi"/>
                <w:bCs/>
                <w:sz w:val="19"/>
                <w:szCs w:val="19"/>
              </w:rPr>
              <w:t>Yes</w:t>
            </w:r>
          </w:p>
        </w:tc>
      </w:tr>
      <w:tr w:rsidR="00CC3DC2" w:rsidRPr="003A5566" w14:paraId="5140C2B6" w14:textId="77777777" w:rsidTr="003133DD">
        <w:trPr>
          <w:cantSplit/>
        </w:trPr>
        <w:tc>
          <w:tcPr>
            <w:tcW w:w="2763" w:type="dxa"/>
            <w:tcBorders>
              <w:top w:val="single" w:sz="6" w:space="0" w:color="auto"/>
              <w:bottom w:val="single" w:sz="6" w:space="0" w:color="auto"/>
            </w:tcBorders>
            <w:shd w:val="clear" w:color="auto" w:fill="67AE3C"/>
            <w:vAlign w:val="center"/>
          </w:tcPr>
          <w:p w14:paraId="74905820" w14:textId="44CF3A98" w:rsidR="00CC3DC2" w:rsidRPr="003A5566" w:rsidRDefault="00CC3DC2" w:rsidP="00CC3DC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tcPr>
          <w:p w14:paraId="6091B7B0" w14:textId="2E2458A3" w:rsidR="00CC3DC2" w:rsidRPr="003A5566" w:rsidRDefault="00CC3DC2" w:rsidP="00CC3DC2">
            <w:pPr>
              <w:rPr>
                <w:rFonts w:asciiTheme="majorHAnsi" w:hAnsiTheme="majorHAnsi"/>
                <w:bCs/>
                <w:sz w:val="19"/>
                <w:szCs w:val="19"/>
              </w:rPr>
            </w:pPr>
            <w:r w:rsidRPr="00D01278">
              <w:rPr>
                <w:rFonts w:asciiTheme="majorHAnsi" w:hAnsiTheme="majorHAnsi"/>
                <w:bCs/>
                <w:sz w:val="19"/>
                <w:szCs w:val="19"/>
              </w:rPr>
              <w:t>Yes</w:t>
            </w:r>
          </w:p>
        </w:tc>
      </w:tr>
      <w:tr w:rsidR="00CC3DC2" w:rsidRPr="003A5566" w14:paraId="33238134" w14:textId="77777777" w:rsidTr="003133DD">
        <w:trPr>
          <w:cantSplit/>
        </w:trPr>
        <w:tc>
          <w:tcPr>
            <w:tcW w:w="2763" w:type="dxa"/>
            <w:tcBorders>
              <w:top w:val="single" w:sz="6" w:space="0" w:color="auto"/>
              <w:bottom w:val="single" w:sz="6" w:space="0" w:color="auto"/>
            </w:tcBorders>
            <w:shd w:val="clear" w:color="auto" w:fill="67AE3C"/>
            <w:vAlign w:val="center"/>
          </w:tcPr>
          <w:p w14:paraId="3C7AAFE9" w14:textId="5D07C0FE" w:rsidR="00CC3DC2" w:rsidRPr="003A5566" w:rsidRDefault="00CC3DC2" w:rsidP="00CC3DC2">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tcPr>
          <w:p w14:paraId="49BB57C8" w14:textId="3A705A8B" w:rsidR="00CC3DC2" w:rsidRPr="003A5566" w:rsidRDefault="00CC3DC2" w:rsidP="00CC3DC2">
            <w:pPr>
              <w:jc w:val="both"/>
              <w:rPr>
                <w:rFonts w:asciiTheme="majorHAnsi" w:hAnsiTheme="majorHAnsi"/>
                <w:bCs/>
                <w:sz w:val="19"/>
                <w:szCs w:val="19"/>
              </w:rPr>
            </w:pPr>
            <w:r w:rsidRPr="00D01278">
              <w:rPr>
                <w:rFonts w:asciiTheme="majorHAnsi" w:hAnsiTheme="majorHAnsi"/>
                <w:bCs/>
                <w:sz w:val="19"/>
                <w:szCs w:val="19"/>
              </w:rPr>
              <w:t>Yes</w:t>
            </w:r>
            <w:r>
              <w:rPr>
                <w:rFonts w:asciiTheme="majorHAnsi" w:hAnsiTheme="majorHAnsi"/>
                <w:bCs/>
                <w:sz w:val="19"/>
                <w:szCs w:val="19"/>
              </w:rPr>
              <w:t xml:space="preserve">, American Convention (instrument </w:t>
            </w:r>
            <w:r w:rsidR="00FF05BD">
              <w:rPr>
                <w:rFonts w:asciiTheme="majorHAnsi" w:hAnsiTheme="majorHAnsi"/>
                <w:bCs/>
                <w:sz w:val="19"/>
                <w:szCs w:val="19"/>
              </w:rPr>
              <w:t xml:space="preserve">of ratification </w:t>
            </w:r>
            <w:r w:rsidR="00D93872">
              <w:rPr>
                <w:rFonts w:asciiTheme="majorHAnsi" w:hAnsiTheme="majorHAnsi"/>
                <w:bCs/>
                <w:sz w:val="19"/>
                <w:szCs w:val="19"/>
              </w:rPr>
              <w:t xml:space="preserve">deposited </w:t>
            </w:r>
            <w:r>
              <w:rPr>
                <w:rFonts w:asciiTheme="majorHAnsi" w:hAnsiTheme="majorHAnsi"/>
                <w:bCs/>
                <w:sz w:val="19"/>
                <w:szCs w:val="19"/>
              </w:rPr>
              <w:t>on July 19, 1979)</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3F0F8267"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3133DD">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74F89E88" w:rsidR="00261E08" w:rsidRPr="003A5566" w:rsidRDefault="00CC3DC2" w:rsidP="003133DD">
            <w:pPr>
              <w:jc w:val="both"/>
              <w:rPr>
                <w:rFonts w:asciiTheme="majorHAnsi" w:hAnsiTheme="majorHAnsi"/>
                <w:bCs/>
                <w:sz w:val="19"/>
                <w:szCs w:val="19"/>
              </w:rPr>
            </w:pPr>
            <w:r>
              <w:rPr>
                <w:rFonts w:asciiTheme="majorHAnsi" w:hAnsiTheme="majorHAnsi"/>
                <w:bCs/>
                <w:sz w:val="19"/>
                <w:szCs w:val="19"/>
              </w:rPr>
              <w:t>Articles 5 (humane treatment), 7 (personal liberty), 8 (fair trial), 13 (freedom of thought and expression), 21 (property), 22 (movement and residence), and 25 (judicial protection) of the American Convention</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34F60C05" w:rsidR="00261E08" w:rsidRPr="003A5566" w:rsidRDefault="00CC3DC2" w:rsidP="003133DD">
            <w:pPr>
              <w:rPr>
                <w:rFonts w:asciiTheme="majorHAnsi" w:hAnsiTheme="majorHAnsi"/>
                <w:bCs/>
                <w:sz w:val="19"/>
                <w:szCs w:val="19"/>
              </w:rPr>
            </w:pPr>
            <w:r>
              <w:rPr>
                <w:rFonts w:asciiTheme="majorHAnsi" w:hAnsiTheme="majorHAnsi"/>
                <w:bCs/>
                <w:sz w:val="19"/>
                <w:szCs w:val="19"/>
              </w:rPr>
              <w:t xml:space="preserve">Yes, </w:t>
            </w:r>
            <w:r w:rsidR="00D93872">
              <w:rPr>
                <w:rFonts w:asciiTheme="majorHAnsi" w:hAnsiTheme="majorHAnsi"/>
                <w:bCs/>
                <w:sz w:val="19"/>
                <w:szCs w:val="19"/>
              </w:rPr>
              <w:t xml:space="preserve">the </w:t>
            </w:r>
            <w:r>
              <w:rPr>
                <w:rFonts w:asciiTheme="majorHAnsi" w:hAnsiTheme="majorHAnsi"/>
                <w:bCs/>
                <w:sz w:val="19"/>
                <w:szCs w:val="19"/>
              </w:rPr>
              <w:t xml:space="preserve">exception set forth in Article 46.2.b of the American Convention </w:t>
            </w:r>
            <w:r w:rsidR="00D93872">
              <w:rPr>
                <w:rFonts w:asciiTheme="majorHAnsi" w:hAnsiTheme="majorHAnsi"/>
                <w:bCs/>
                <w:sz w:val="19"/>
                <w:szCs w:val="19"/>
              </w:rPr>
              <w:t xml:space="preserve">is applicable </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3133D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6E62D0FA" w:rsidR="00261E08" w:rsidRPr="003A5566" w:rsidRDefault="00CC3DC2" w:rsidP="003133DD">
            <w:pPr>
              <w:rPr>
                <w:rFonts w:asciiTheme="majorHAnsi" w:hAnsiTheme="majorHAnsi"/>
                <w:bCs/>
                <w:sz w:val="19"/>
                <w:szCs w:val="19"/>
              </w:rPr>
            </w:pPr>
            <w:r>
              <w:rPr>
                <w:rFonts w:asciiTheme="majorHAnsi" w:hAnsiTheme="majorHAnsi"/>
                <w:bCs/>
                <w:sz w:val="19"/>
                <w:szCs w:val="19"/>
              </w:rPr>
              <w:t xml:space="preserve">Yes, </w:t>
            </w:r>
            <w:r w:rsidR="00D93872">
              <w:rPr>
                <w:rFonts w:asciiTheme="majorHAnsi" w:hAnsiTheme="majorHAnsi"/>
                <w:bCs/>
                <w:sz w:val="19"/>
                <w:szCs w:val="19"/>
              </w:rPr>
              <w:t xml:space="preserve">in </w:t>
            </w:r>
            <w:r>
              <w:rPr>
                <w:rFonts w:asciiTheme="majorHAnsi" w:hAnsiTheme="majorHAnsi"/>
                <w:bCs/>
                <w:sz w:val="19"/>
                <w:szCs w:val="19"/>
              </w:rPr>
              <w:t xml:space="preserve">the terms of </w:t>
            </w:r>
            <w:r w:rsidR="00FF05BD">
              <w:rPr>
                <w:rFonts w:asciiTheme="majorHAnsi" w:hAnsiTheme="majorHAnsi"/>
                <w:bCs/>
                <w:sz w:val="19"/>
                <w:szCs w:val="19"/>
              </w:rPr>
              <w:t>S</w:t>
            </w:r>
            <w:r>
              <w:rPr>
                <w:rFonts w:asciiTheme="majorHAnsi" w:hAnsiTheme="majorHAnsi"/>
                <w:bCs/>
                <w:sz w:val="19"/>
                <w:szCs w:val="19"/>
              </w:rPr>
              <w:t>ection VI</w:t>
            </w:r>
          </w:p>
        </w:tc>
      </w:tr>
    </w:tbl>
    <w:p w14:paraId="3FEBD323" w14:textId="212F3F4D"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8C2373" w:rsidRPr="000B6B7A">
        <w:rPr>
          <w:rFonts w:asciiTheme="majorHAnsi" w:hAnsiTheme="majorHAnsi"/>
          <w:b/>
          <w:sz w:val="20"/>
          <w:szCs w:val="20"/>
        </w:rPr>
        <w:t>ALLEGED</w:t>
      </w:r>
      <w:r w:rsidR="00D93872">
        <w:rPr>
          <w:rFonts w:asciiTheme="majorHAnsi" w:hAnsiTheme="majorHAnsi"/>
          <w:b/>
          <w:sz w:val="20"/>
          <w:szCs w:val="20"/>
        </w:rPr>
        <w:t xml:space="preserve"> FACTS</w:t>
      </w:r>
    </w:p>
    <w:p w14:paraId="48E8EBA2" w14:textId="3779230B"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w:t>
      </w:r>
      <w:r>
        <w:rPr>
          <w:rFonts w:asciiTheme="majorHAnsi" w:hAnsiTheme="majorHAnsi"/>
          <w:sz w:val="20"/>
          <w:szCs w:val="20"/>
          <w:lang w:val="en"/>
        </w:rPr>
        <w:tab/>
        <w:t xml:space="preserve">The petitioner </w:t>
      </w:r>
      <w:r w:rsidR="00D93872">
        <w:rPr>
          <w:rFonts w:asciiTheme="majorHAnsi" w:hAnsiTheme="majorHAnsi"/>
          <w:sz w:val="20"/>
          <w:szCs w:val="20"/>
          <w:lang w:val="en"/>
        </w:rPr>
        <w:t xml:space="preserve">invokes </w:t>
      </w:r>
      <w:r>
        <w:rPr>
          <w:rFonts w:asciiTheme="majorHAnsi" w:hAnsiTheme="majorHAnsi"/>
          <w:sz w:val="20"/>
          <w:szCs w:val="20"/>
          <w:lang w:val="en"/>
        </w:rPr>
        <w:t xml:space="preserve">Bolivia’s international responsibility for </w:t>
      </w:r>
      <w:r w:rsidR="00FF05BD">
        <w:rPr>
          <w:rFonts w:asciiTheme="majorHAnsi" w:hAnsiTheme="majorHAnsi"/>
          <w:sz w:val="20"/>
          <w:szCs w:val="20"/>
          <w:lang w:val="en"/>
        </w:rPr>
        <w:t xml:space="preserve">violations of </w:t>
      </w:r>
      <w:r>
        <w:rPr>
          <w:rFonts w:asciiTheme="majorHAnsi" w:hAnsiTheme="majorHAnsi"/>
          <w:sz w:val="20"/>
          <w:szCs w:val="20"/>
          <w:lang w:val="en"/>
        </w:rPr>
        <w:t xml:space="preserve">the rights to </w:t>
      </w:r>
      <w:r w:rsidR="00D93872">
        <w:rPr>
          <w:rFonts w:asciiTheme="majorHAnsi" w:hAnsiTheme="majorHAnsi"/>
          <w:sz w:val="20"/>
          <w:szCs w:val="20"/>
          <w:lang w:val="en"/>
        </w:rPr>
        <w:t xml:space="preserve">personal integrity, </w:t>
      </w:r>
      <w:r>
        <w:rPr>
          <w:rFonts w:asciiTheme="majorHAnsi" w:hAnsiTheme="majorHAnsi"/>
          <w:sz w:val="20"/>
          <w:szCs w:val="20"/>
          <w:lang w:val="en"/>
        </w:rPr>
        <w:t xml:space="preserve">personal liberty, freedom of expression, </w:t>
      </w:r>
      <w:r w:rsidR="00D93872">
        <w:rPr>
          <w:rFonts w:asciiTheme="majorHAnsi" w:hAnsiTheme="majorHAnsi"/>
          <w:sz w:val="20"/>
          <w:szCs w:val="20"/>
          <w:lang w:val="en"/>
        </w:rPr>
        <w:t xml:space="preserve">freedom of movement, </w:t>
      </w:r>
      <w:r>
        <w:rPr>
          <w:rFonts w:asciiTheme="majorHAnsi" w:hAnsiTheme="majorHAnsi"/>
          <w:sz w:val="20"/>
          <w:szCs w:val="20"/>
          <w:lang w:val="en"/>
        </w:rPr>
        <w:t xml:space="preserve">fair trial and judicial protection of indigenous journalist </w:t>
      </w:r>
      <w:proofErr w:type="spellStart"/>
      <w:r>
        <w:rPr>
          <w:rFonts w:asciiTheme="majorHAnsi" w:hAnsiTheme="majorHAnsi"/>
          <w:sz w:val="20"/>
          <w:szCs w:val="20"/>
          <w:lang w:val="en"/>
        </w:rPr>
        <w:t>Tanimbu</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Guiraendy</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Quiroz (hereinafter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or “the alleged victim”). </w:t>
      </w:r>
      <w:r w:rsidR="00D93872">
        <w:rPr>
          <w:rFonts w:asciiTheme="majorHAnsi" w:hAnsiTheme="majorHAnsi"/>
          <w:sz w:val="20"/>
          <w:szCs w:val="20"/>
          <w:lang w:val="en"/>
        </w:rPr>
        <w:t>T</w:t>
      </w:r>
      <w:r>
        <w:rPr>
          <w:rFonts w:asciiTheme="majorHAnsi" w:hAnsiTheme="majorHAnsi"/>
          <w:sz w:val="20"/>
          <w:szCs w:val="20"/>
          <w:lang w:val="en"/>
        </w:rPr>
        <w:t xml:space="preserve">hese violations </w:t>
      </w:r>
      <w:r w:rsidR="00FF05BD">
        <w:rPr>
          <w:rFonts w:asciiTheme="majorHAnsi" w:hAnsiTheme="majorHAnsi"/>
          <w:sz w:val="20"/>
          <w:szCs w:val="20"/>
          <w:lang w:val="en"/>
        </w:rPr>
        <w:t xml:space="preserve">took place </w:t>
      </w:r>
      <w:r>
        <w:rPr>
          <w:rFonts w:asciiTheme="majorHAnsi" w:hAnsiTheme="majorHAnsi"/>
          <w:sz w:val="20"/>
          <w:szCs w:val="20"/>
          <w:lang w:val="en"/>
        </w:rPr>
        <w:t xml:space="preserve">when an angry mob </w:t>
      </w:r>
      <w:r w:rsidR="00FF05BD">
        <w:rPr>
          <w:rFonts w:asciiTheme="majorHAnsi" w:hAnsiTheme="majorHAnsi"/>
          <w:sz w:val="20"/>
          <w:szCs w:val="20"/>
          <w:lang w:val="en"/>
        </w:rPr>
        <w:t>-</w:t>
      </w:r>
      <w:r w:rsidR="00D93872">
        <w:rPr>
          <w:rFonts w:asciiTheme="majorHAnsi" w:hAnsiTheme="majorHAnsi"/>
          <w:sz w:val="20"/>
          <w:szCs w:val="20"/>
          <w:lang w:val="en"/>
        </w:rPr>
        <w:t xml:space="preserve">in which State </w:t>
      </w:r>
      <w:r>
        <w:rPr>
          <w:rFonts w:asciiTheme="majorHAnsi" w:hAnsiTheme="majorHAnsi"/>
          <w:sz w:val="20"/>
          <w:szCs w:val="20"/>
          <w:lang w:val="en"/>
        </w:rPr>
        <w:t>officials</w:t>
      </w:r>
      <w:r w:rsidR="00D93872">
        <w:rPr>
          <w:rFonts w:asciiTheme="majorHAnsi" w:hAnsiTheme="majorHAnsi"/>
          <w:sz w:val="20"/>
          <w:szCs w:val="20"/>
          <w:lang w:val="en"/>
        </w:rPr>
        <w:t xml:space="preserve"> allegedly </w:t>
      </w:r>
      <w:r w:rsidR="00FF05BD">
        <w:rPr>
          <w:rFonts w:asciiTheme="majorHAnsi" w:hAnsiTheme="majorHAnsi"/>
          <w:sz w:val="20"/>
          <w:szCs w:val="20"/>
          <w:lang w:val="en"/>
        </w:rPr>
        <w:t>participated-</w:t>
      </w:r>
      <w:r>
        <w:rPr>
          <w:rFonts w:asciiTheme="majorHAnsi" w:hAnsiTheme="majorHAnsi"/>
          <w:sz w:val="20"/>
          <w:szCs w:val="20"/>
          <w:lang w:val="en"/>
        </w:rPr>
        <w:t xml:space="preserve"> </w:t>
      </w:r>
      <w:r w:rsidR="00D93872">
        <w:rPr>
          <w:rFonts w:asciiTheme="majorHAnsi" w:hAnsiTheme="majorHAnsi"/>
          <w:sz w:val="20"/>
          <w:szCs w:val="20"/>
          <w:lang w:val="en"/>
        </w:rPr>
        <w:t xml:space="preserve">forcibly retained </w:t>
      </w:r>
      <w:r>
        <w:rPr>
          <w:rFonts w:asciiTheme="majorHAnsi" w:hAnsiTheme="majorHAnsi"/>
          <w:sz w:val="20"/>
          <w:szCs w:val="20"/>
          <w:lang w:val="en"/>
        </w:rPr>
        <w:t xml:space="preserve">the alleged victim, </w:t>
      </w:r>
      <w:r w:rsidR="00D93872">
        <w:rPr>
          <w:rFonts w:asciiTheme="majorHAnsi" w:hAnsiTheme="majorHAnsi"/>
          <w:sz w:val="20"/>
          <w:szCs w:val="20"/>
          <w:lang w:val="en"/>
        </w:rPr>
        <w:t xml:space="preserve">took her belongings and mistreated </w:t>
      </w:r>
      <w:r>
        <w:rPr>
          <w:rFonts w:asciiTheme="majorHAnsi" w:hAnsiTheme="majorHAnsi"/>
          <w:sz w:val="20"/>
          <w:szCs w:val="20"/>
          <w:lang w:val="en"/>
        </w:rPr>
        <w:t>her. The</w:t>
      </w:r>
      <w:r w:rsidR="00D93872">
        <w:rPr>
          <w:rFonts w:asciiTheme="majorHAnsi" w:hAnsiTheme="majorHAnsi"/>
          <w:sz w:val="20"/>
          <w:szCs w:val="20"/>
          <w:lang w:val="en"/>
        </w:rPr>
        <w:t>se</w:t>
      </w:r>
      <w:r w:rsidR="002B00FD">
        <w:rPr>
          <w:rFonts w:asciiTheme="majorHAnsi" w:hAnsiTheme="majorHAnsi"/>
          <w:sz w:val="20"/>
          <w:szCs w:val="20"/>
          <w:lang w:val="en"/>
        </w:rPr>
        <w:t xml:space="preserve"> incidents</w:t>
      </w:r>
      <w:r>
        <w:rPr>
          <w:rFonts w:asciiTheme="majorHAnsi" w:hAnsiTheme="majorHAnsi"/>
          <w:sz w:val="20"/>
          <w:szCs w:val="20"/>
          <w:lang w:val="en"/>
        </w:rPr>
        <w:t xml:space="preserve"> allegedly occurred </w:t>
      </w:r>
      <w:r w:rsidR="00D93872">
        <w:rPr>
          <w:rFonts w:asciiTheme="majorHAnsi" w:hAnsiTheme="majorHAnsi"/>
          <w:sz w:val="20"/>
          <w:szCs w:val="20"/>
          <w:lang w:val="en"/>
        </w:rPr>
        <w:t xml:space="preserve">between </w:t>
      </w:r>
      <w:r>
        <w:rPr>
          <w:rFonts w:asciiTheme="majorHAnsi" w:hAnsiTheme="majorHAnsi"/>
          <w:sz w:val="20"/>
          <w:szCs w:val="20"/>
          <w:lang w:val="en"/>
        </w:rPr>
        <w:t>April 13</w:t>
      </w:r>
      <w:r w:rsidR="00D93872">
        <w:rPr>
          <w:rFonts w:asciiTheme="majorHAnsi" w:hAnsiTheme="majorHAnsi"/>
          <w:sz w:val="20"/>
          <w:szCs w:val="20"/>
          <w:lang w:val="en"/>
        </w:rPr>
        <w:t xml:space="preserve"> and </w:t>
      </w:r>
      <w:r>
        <w:rPr>
          <w:rFonts w:asciiTheme="majorHAnsi" w:hAnsiTheme="majorHAnsi"/>
          <w:sz w:val="20"/>
          <w:szCs w:val="20"/>
          <w:lang w:val="en"/>
        </w:rPr>
        <w:t xml:space="preserve">17, 2008. It </w:t>
      </w:r>
      <w:r w:rsidR="00D93872">
        <w:rPr>
          <w:rFonts w:asciiTheme="majorHAnsi" w:hAnsiTheme="majorHAnsi"/>
          <w:sz w:val="20"/>
          <w:szCs w:val="20"/>
          <w:lang w:val="en"/>
        </w:rPr>
        <w:t xml:space="preserve">is </w:t>
      </w:r>
      <w:r>
        <w:rPr>
          <w:rFonts w:asciiTheme="majorHAnsi" w:hAnsiTheme="majorHAnsi"/>
          <w:sz w:val="20"/>
          <w:szCs w:val="20"/>
          <w:lang w:val="en"/>
        </w:rPr>
        <w:t>also claim</w:t>
      </w:r>
      <w:r w:rsidR="00D93872">
        <w:rPr>
          <w:rFonts w:asciiTheme="majorHAnsi" w:hAnsiTheme="majorHAnsi"/>
          <w:sz w:val="20"/>
          <w:szCs w:val="20"/>
          <w:lang w:val="en"/>
        </w:rPr>
        <w:t>ed</w:t>
      </w:r>
      <w:r>
        <w:rPr>
          <w:rFonts w:asciiTheme="majorHAnsi" w:hAnsiTheme="majorHAnsi"/>
          <w:sz w:val="20"/>
          <w:szCs w:val="20"/>
          <w:lang w:val="en"/>
        </w:rPr>
        <w:t xml:space="preserve"> that the State has failed to duly investigate and punish these actions. </w:t>
      </w:r>
    </w:p>
    <w:p w14:paraId="2AA48E9A" w14:textId="4ED92E41"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2. </w:t>
      </w:r>
      <w:r>
        <w:rPr>
          <w:rFonts w:asciiTheme="majorHAnsi" w:hAnsiTheme="majorHAnsi"/>
          <w:sz w:val="20"/>
          <w:szCs w:val="20"/>
          <w:lang w:val="en"/>
        </w:rPr>
        <w:tab/>
      </w:r>
      <w:r w:rsidR="00D93872">
        <w:rPr>
          <w:rFonts w:asciiTheme="majorHAnsi" w:hAnsiTheme="majorHAnsi"/>
          <w:sz w:val="20"/>
          <w:szCs w:val="20"/>
          <w:lang w:val="en"/>
        </w:rPr>
        <w:t>The petition explains that</w:t>
      </w:r>
      <w:r>
        <w:rPr>
          <w:rFonts w:asciiTheme="majorHAnsi" w:hAnsiTheme="majorHAnsi"/>
          <w:sz w:val="20"/>
          <w:szCs w:val="20"/>
          <w:lang w:val="en"/>
        </w:rPr>
        <w:t xml:space="preserve"> </w:t>
      </w:r>
      <w:r w:rsidR="00D93872">
        <w:rPr>
          <w:rFonts w:asciiTheme="majorHAnsi" w:hAnsiTheme="majorHAnsi"/>
          <w:sz w:val="20"/>
          <w:szCs w:val="20"/>
          <w:lang w:val="en"/>
        </w:rPr>
        <w:t xml:space="preserve">during </w:t>
      </w:r>
      <w:r>
        <w:rPr>
          <w:rFonts w:asciiTheme="majorHAnsi" w:hAnsiTheme="majorHAnsi"/>
          <w:sz w:val="20"/>
          <w:szCs w:val="20"/>
          <w:lang w:val="en"/>
        </w:rPr>
        <w:t xml:space="preserve">the process of </w:t>
      </w:r>
      <w:r w:rsidR="00D93872">
        <w:rPr>
          <w:rFonts w:asciiTheme="majorHAnsi" w:hAnsiTheme="majorHAnsi"/>
          <w:sz w:val="20"/>
          <w:szCs w:val="20"/>
          <w:lang w:val="en"/>
        </w:rPr>
        <w:t xml:space="preserve">legalization of the </w:t>
      </w:r>
      <w:r>
        <w:rPr>
          <w:rFonts w:asciiTheme="majorHAnsi" w:hAnsiTheme="majorHAnsi"/>
          <w:sz w:val="20"/>
          <w:szCs w:val="20"/>
          <w:lang w:val="en"/>
        </w:rPr>
        <w:t xml:space="preserve">ancestral </w:t>
      </w:r>
      <w:r w:rsidR="00FF05BD">
        <w:rPr>
          <w:rFonts w:asciiTheme="majorHAnsi" w:hAnsiTheme="majorHAnsi"/>
          <w:sz w:val="20"/>
          <w:szCs w:val="20"/>
          <w:lang w:val="en"/>
        </w:rPr>
        <w:t xml:space="preserve">indigenous </w:t>
      </w:r>
      <w:r w:rsidR="00D93872">
        <w:rPr>
          <w:rFonts w:asciiTheme="majorHAnsi" w:hAnsiTheme="majorHAnsi"/>
          <w:sz w:val="20"/>
          <w:szCs w:val="20"/>
          <w:lang w:val="en"/>
        </w:rPr>
        <w:t xml:space="preserve">territories of </w:t>
      </w:r>
      <w:r w:rsidR="00FF05BD">
        <w:rPr>
          <w:rFonts w:asciiTheme="majorHAnsi" w:hAnsiTheme="majorHAnsi"/>
          <w:sz w:val="20"/>
          <w:szCs w:val="20"/>
          <w:lang w:val="en"/>
        </w:rPr>
        <w:t xml:space="preserve">the </w:t>
      </w:r>
      <w:r>
        <w:rPr>
          <w:rFonts w:asciiTheme="majorHAnsi" w:hAnsiTheme="majorHAnsi"/>
          <w:sz w:val="20"/>
          <w:szCs w:val="20"/>
          <w:lang w:val="en"/>
        </w:rPr>
        <w:t xml:space="preserve">Alto </w:t>
      </w:r>
      <w:proofErr w:type="spellStart"/>
      <w:r>
        <w:rPr>
          <w:rFonts w:asciiTheme="majorHAnsi" w:hAnsiTheme="majorHAnsi"/>
          <w:sz w:val="20"/>
          <w:szCs w:val="20"/>
          <w:lang w:val="en"/>
        </w:rPr>
        <w:t>Parapetí</w:t>
      </w:r>
      <w:proofErr w:type="spellEnd"/>
      <w:r w:rsidR="00FF05BD">
        <w:rPr>
          <w:rFonts w:asciiTheme="majorHAnsi" w:hAnsiTheme="majorHAnsi"/>
          <w:sz w:val="20"/>
          <w:szCs w:val="20"/>
          <w:lang w:val="en"/>
        </w:rPr>
        <w:t xml:space="preserve"> region</w:t>
      </w:r>
      <w:r>
        <w:rPr>
          <w:rFonts w:asciiTheme="majorHAnsi" w:hAnsiTheme="majorHAnsi"/>
          <w:sz w:val="20"/>
          <w:szCs w:val="20"/>
          <w:lang w:val="en"/>
        </w:rPr>
        <w:t xml:space="preserve">, </w:t>
      </w:r>
      <w:r w:rsidR="00D93872">
        <w:rPr>
          <w:rFonts w:asciiTheme="majorHAnsi" w:hAnsiTheme="majorHAnsi"/>
          <w:sz w:val="20"/>
          <w:szCs w:val="20"/>
          <w:lang w:val="en"/>
        </w:rPr>
        <w:t xml:space="preserve">on April 13, 2008, </w:t>
      </w:r>
      <w:r>
        <w:rPr>
          <w:rFonts w:asciiTheme="majorHAnsi" w:hAnsiTheme="majorHAnsi"/>
          <w:sz w:val="20"/>
          <w:szCs w:val="20"/>
          <w:lang w:val="en"/>
        </w:rPr>
        <w:t xml:space="preserve">a brigade of government officials and a team of journalists, including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traveled to the </w:t>
      </w:r>
      <w:proofErr w:type="spellStart"/>
      <w:r>
        <w:rPr>
          <w:rFonts w:asciiTheme="majorHAnsi" w:hAnsiTheme="majorHAnsi"/>
          <w:sz w:val="20"/>
          <w:szCs w:val="20"/>
          <w:lang w:val="en"/>
        </w:rPr>
        <w:t>Itacutía</w:t>
      </w:r>
      <w:proofErr w:type="spellEnd"/>
      <w:r w:rsidR="00D93872">
        <w:rPr>
          <w:rFonts w:asciiTheme="majorHAnsi" w:hAnsiTheme="majorHAnsi"/>
          <w:sz w:val="20"/>
          <w:szCs w:val="20"/>
          <w:lang w:val="en"/>
        </w:rPr>
        <w:t xml:space="preserve"> community</w:t>
      </w:r>
      <w:r>
        <w:rPr>
          <w:rFonts w:asciiTheme="majorHAnsi" w:hAnsiTheme="majorHAnsi"/>
          <w:sz w:val="20"/>
          <w:szCs w:val="20"/>
          <w:lang w:val="en"/>
        </w:rPr>
        <w:t xml:space="preserve">, in the department of Santa Cruz, to </w:t>
      </w:r>
      <w:r w:rsidR="00D93872">
        <w:rPr>
          <w:rFonts w:asciiTheme="majorHAnsi" w:hAnsiTheme="majorHAnsi"/>
          <w:sz w:val="20"/>
          <w:szCs w:val="20"/>
          <w:lang w:val="en"/>
        </w:rPr>
        <w:t xml:space="preserve">carry out </w:t>
      </w:r>
      <w:r>
        <w:rPr>
          <w:rFonts w:asciiTheme="majorHAnsi" w:hAnsiTheme="majorHAnsi"/>
          <w:sz w:val="20"/>
          <w:szCs w:val="20"/>
          <w:lang w:val="en"/>
        </w:rPr>
        <w:t xml:space="preserve">research and </w:t>
      </w:r>
      <w:r w:rsidR="00D93872">
        <w:rPr>
          <w:rFonts w:asciiTheme="majorHAnsi" w:hAnsiTheme="majorHAnsi"/>
          <w:sz w:val="20"/>
          <w:szCs w:val="20"/>
          <w:lang w:val="en"/>
        </w:rPr>
        <w:t xml:space="preserve">socialization </w:t>
      </w:r>
      <w:r>
        <w:rPr>
          <w:rFonts w:asciiTheme="majorHAnsi" w:hAnsiTheme="majorHAnsi"/>
          <w:sz w:val="20"/>
          <w:szCs w:val="20"/>
          <w:lang w:val="en"/>
        </w:rPr>
        <w:t xml:space="preserve">work on the </w:t>
      </w:r>
      <w:r w:rsidR="00D93872">
        <w:rPr>
          <w:rFonts w:asciiTheme="majorHAnsi" w:hAnsiTheme="majorHAnsi"/>
          <w:sz w:val="20"/>
          <w:szCs w:val="20"/>
          <w:lang w:val="en"/>
        </w:rPr>
        <w:t xml:space="preserve">territorial legalization </w:t>
      </w:r>
      <w:r>
        <w:rPr>
          <w:rFonts w:asciiTheme="majorHAnsi" w:hAnsiTheme="majorHAnsi"/>
          <w:sz w:val="20"/>
          <w:szCs w:val="20"/>
          <w:lang w:val="en"/>
        </w:rPr>
        <w:t xml:space="preserve">process. </w:t>
      </w:r>
      <w:r w:rsidR="00D93872">
        <w:rPr>
          <w:rFonts w:asciiTheme="majorHAnsi" w:hAnsiTheme="majorHAnsi"/>
          <w:sz w:val="20"/>
          <w:szCs w:val="20"/>
          <w:lang w:val="en"/>
        </w:rPr>
        <w:t>A</w:t>
      </w:r>
      <w:r>
        <w:rPr>
          <w:rFonts w:asciiTheme="majorHAnsi" w:hAnsiTheme="majorHAnsi"/>
          <w:sz w:val="20"/>
          <w:szCs w:val="20"/>
          <w:lang w:val="en"/>
        </w:rPr>
        <w:t xml:space="preserve">round 6:30 p.m. </w:t>
      </w:r>
      <w:r w:rsidR="00D93872">
        <w:rPr>
          <w:rFonts w:asciiTheme="majorHAnsi" w:hAnsiTheme="majorHAnsi"/>
          <w:sz w:val="20"/>
          <w:szCs w:val="20"/>
          <w:lang w:val="en"/>
        </w:rPr>
        <w:t xml:space="preserve">on </w:t>
      </w:r>
      <w:r>
        <w:rPr>
          <w:rFonts w:asciiTheme="majorHAnsi" w:hAnsiTheme="majorHAnsi"/>
          <w:sz w:val="20"/>
          <w:szCs w:val="20"/>
          <w:lang w:val="en"/>
        </w:rPr>
        <w:t>that April 13</w:t>
      </w:r>
      <w:r w:rsidR="00D93872" w:rsidRPr="00D93872">
        <w:rPr>
          <w:rFonts w:asciiTheme="majorHAnsi" w:hAnsiTheme="majorHAnsi"/>
          <w:sz w:val="20"/>
          <w:szCs w:val="20"/>
          <w:vertAlign w:val="superscript"/>
          <w:lang w:val="en"/>
        </w:rPr>
        <w:t>th</w:t>
      </w:r>
      <w:r>
        <w:rPr>
          <w:rFonts w:asciiTheme="majorHAnsi" w:hAnsiTheme="majorHAnsi"/>
          <w:sz w:val="20"/>
          <w:szCs w:val="20"/>
          <w:lang w:val="en"/>
        </w:rPr>
        <w:t>, in the town</w:t>
      </w:r>
      <w:r w:rsidR="00D93872">
        <w:rPr>
          <w:rFonts w:asciiTheme="majorHAnsi" w:hAnsiTheme="majorHAnsi"/>
          <w:sz w:val="20"/>
          <w:szCs w:val="20"/>
          <w:lang w:val="en"/>
        </w:rPr>
        <w:t>ship</w:t>
      </w:r>
      <w:r>
        <w:rPr>
          <w:rFonts w:asciiTheme="majorHAnsi" w:hAnsiTheme="majorHAnsi"/>
          <w:sz w:val="20"/>
          <w:szCs w:val="20"/>
          <w:lang w:val="en"/>
        </w:rPr>
        <w:t xml:space="preserve"> of </w:t>
      </w:r>
      <w:proofErr w:type="spellStart"/>
      <w:r>
        <w:rPr>
          <w:rFonts w:asciiTheme="majorHAnsi" w:hAnsiTheme="majorHAnsi"/>
          <w:sz w:val="20"/>
          <w:szCs w:val="20"/>
          <w:lang w:val="en"/>
        </w:rPr>
        <w:t>Cuevo</w:t>
      </w:r>
      <w:proofErr w:type="spellEnd"/>
      <w:r>
        <w:rPr>
          <w:rFonts w:asciiTheme="majorHAnsi" w:hAnsiTheme="majorHAnsi"/>
          <w:sz w:val="20"/>
          <w:szCs w:val="20"/>
          <w:lang w:val="en"/>
        </w:rPr>
        <w:t xml:space="preserve">, an angry mob </w:t>
      </w:r>
      <w:r w:rsidR="00D93872">
        <w:rPr>
          <w:rFonts w:asciiTheme="majorHAnsi" w:hAnsiTheme="majorHAnsi"/>
          <w:sz w:val="20"/>
          <w:szCs w:val="20"/>
          <w:lang w:val="en"/>
        </w:rPr>
        <w:t xml:space="preserve">attacked </w:t>
      </w:r>
      <w:r>
        <w:rPr>
          <w:rFonts w:asciiTheme="majorHAnsi" w:hAnsiTheme="majorHAnsi"/>
          <w:sz w:val="20"/>
          <w:szCs w:val="20"/>
          <w:lang w:val="en"/>
        </w:rPr>
        <w:t xml:space="preserve">the vehicles </w:t>
      </w:r>
      <w:r w:rsidR="00D93872">
        <w:rPr>
          <w:rFonts w:asciiTheme="majorHAnsi" w:hAnsiTheme="majorHAnsi"/>
          <w:sz w:val="20"/>
          <w:szCs w:val="20"/>
          <w:lang w:val="en"/>
        </w:rPr>
        <w:t xml:space="preserve">that were </w:t>
      </w:r>
      <w:r>
        <w:rPr>
          <w:rFonts w:asciiTheme="majorHAnsi" w:hAnsiTheme="majorHAnsi"/>
          <w:sz w:val="20"/>
          <w:szCs w:val="20"/>
          <w:lang w:val="en"/>
        </w:rPr>
        <w:t>transporting the delegation. Some of these were able to escape</w:t>
      </w:r>
      <w:r w:rsidR="00032498">
        <w:rPr>
          <w:rFonts w:asciiTheme="majorHAnsi" w:hAnsiTheme="majorHAnsi"/>
          <w:sz w:val="20"/>
          <w:szCs w:val="20"/>
          <w:lang w:val="en"/>
        </w:rPr>
        <w:t>,</w:t>
      </w:r>
      <w:r>
        <w:rPr>
          <w:rFonts w:asciiTheme="majorHAnsi" w:hAnsiTheme="majorHAnsi"/>
          <w:sz w:val="20"/>
          <w:szCs w:val="20"/>
          <w:lang w:val="en"/>
        </w:rPr>
        <w:t xml:space="preserve"> but the vehicle where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was traveling </w:t>
      </w:r>
      <w:r w:rsidR="00FF05BD">
        <w:rPr>
          <w:rFonts w:asciiTheme="majorHAnsi" w:hAnsiTheme="majorHAnsi"/>
          <w:sz w:val="20"/>
          <w:szCs w:val="20"/>
          <w:lang w:val="en"/>
        </w:rPr>
        <w:t xml:space="preserve">in </w:t>
      </w:r>
      <w:r w:rsidR="00D93872">
        <w:rPr>
          <w:rFonts w:asciiTheme="majorHAnsi" w:hAnsiTheme="majorHAnsi"/>
          <w:sz w:val="20"/>
          <w:szCs w:val="20"/>
          <w:lang w:val="en"/>
        </w:rPr>
        <w:t xml:space="preserve">did not manage to flee and </w:t>
      </w:r>
      <w:r>
        <w:rPr>
          <w:rFonts w:asciiTheme="majorHAnsi" w:hAnsiTheme="majorHAnsi"/>
          <w:sz w:val="20"/>
          <w:szCs w:val="20"/>
          <w:lang w:val="en"/>
        </w:rPr>
        <w:t>was captured by a group of people</w:t>
      </w:r>
      <w:r w:rsidR="00D93872">
        <w:rPr>
          <w:rFonts w:asciiTheme="majorHAnsi" w:hAnsiTheme="majorHAnsi"/>
          <w:sz w:val="20"/>
          <w:szCs w:val="20"/>
          <w:lang w:val="en"/>
        </w:rPr>
        <w:t>,</w:t>
      </w:r>
      <w:r>
        <w:rPr>
          <w:rFonts w:asciiTheme="majorHAnsi" w:hAnsiTheme="majorHAnsi"/>
          <w:sz w:val="20"/>
          <w:szCs w:val="20"/>
          <w:lang w:val="en"/>
        </w:rPr>
        <w:t xml:space="preserve"> </w:t>
      </w:r>
      <w:r w:rsidR="00D93872">
        <w:rPr>
          <w:rFonts w:asciiTheme="majorHAnsi" w:hAnsiTheme="majorHAnsi"/>
          <w:sz w:val="20"/>
          <w:szCs w:val="20"/>
          <w:lang w:val="en"/>
        </w:rPr>
        <w:t xml:space="preserve">which </w:t>
      </w:r>
      <w:r>
        <w:rPr>
          <w:rFonts w:asciiTheme="majorHAnsi" w:hAnsiTheme="majorHAnsi"/>
          <w:sz w:val="20"/>
          <w:szCs w:val="20"/>
          <w:lang w:val="en"/>
        </w:rPr>
        <w:t>allegedly includ</w:t>
      </w:r>
      <w:r w:rsidR="00D93872">
        <w:rPr>
          <w:rFonts w:asciiTheme="majorHAnsi" w:hAnsiTheme="majorHAnsi"/>
          <w:sz w:val="20"/>
          <w:szCs w:val="20"/>
          <w:lang w:val="en"/>
        </w:rPr>
        <w:t>ed</w:t>
      </w:r>
      <w:r>
        <w:rPr>
          <w:rFonts w:asciiTheme="majorHAnsi" w:hAnsiTheme="majorHAnsi"/>
          <w:sz w:val="20"/>
          <w:szCs w:val="20"/>
          <w:lang w:val="en"/>
        </w:rPr>
        <w:t xml:space="preserve"> officials</w:t>
      </w:r>
      <w:r w:rsidR="00D93872">
        <w:rPr>
          <w:rFonts w:asciiTheme="majorHAnsi" w:hAnsiTheme="majorHAnsi"/>
          <w:sz w:val="20"/>
          <w:szCs w:val="20"/>
          <w:lang w:val="en"/>
        </w:rPr>
        <w:t xml:space="preserve"> of the </w:t>
      </w:r>
      <w:proofErr w:type="spellStart"/>
      <w:r w:rsidR="00D93872">
        <w:rPr>
          <w:rFonts w:asciiTheme="majorHAnsi" w:hAnsiTheme="majorHAnsi"/>
          <w:sz w:val="20"/>
          <w:szCs w:val="20"/>
          <w:lang w:val="en"/>
        </w:rPr>
        <w:t>Cuevo</w:t>
      </w:r>
      <w:proofErr w:type="spellEnd"/>
      <w:r w:rsidR="00D93872">
        <w:rPr>
          <w:rFonts w:asciiTheme="majorHAnsi" w:hAnsiTheme="majorHAnsi"/>
          <w:sz w:val="20"/>
          <w:szCs w:val="20"/>
          <w:lang w:val="en"/>
        </w:rPr>
        <w:t xml:space="preserve"> mayoralty</w:t>
      </w:r>
      <w:r>
        <w:rPr>
          <w:rFonts w:asciiTheme="majorHAnsi" w:hAnsiTheme="majorHAnsi"/>
          <w:sz w:val="20"/>
          <w:szCs w:val="20"/>
          <w:lang w:val="en"/>
        </w:rPr>
        <w:t xml:space="preserve">, </w:t>
      </w:r>
      <w:r w:rsidR="00D93872">
        <w:rPr>
          <w:rFonts w:asciiTheme="majorHAnsi" w:hAnsiTheme="majorHAnsi"/>
          <w:sz w:val="20"/>
          <w:szCs w:val="20"/>
          <w:lang w:val="en"/>
        </w:rPr>
        <w:t xml:space="preserve">headed by </w:t>
      </w:r>
      <w:r>
        <w:rPr>
          <w:rFonts w:asciiTheme="majorHAnsi" w:hAnsiTheme="majorHAnsi"/>
          <w:sz w:val="20"/>
          <w:szCs w:val="20"/>
          <w:lang w:val="en"/>
        </w:rPr>
        <w:t xml:space="preserve">the mayor and the president of the local civic committee. Stones were thrown at Ms. </w:t>
      </w:r>
      <w:proofErr w:type="spellStart"/>
      <w:r>
        <w:rPr>
          <w:rFonts w:asciiTheme="majorHAnsi" w:hAnsiTheme="majorHAnsi"/>
          <w:sz w:val="20"/>
          <w:szCs w:val="20"/>
          <w:lang w:val="en"/>
        </w:rPr>
        <w:t>Estremadoiro’s</w:t>
      </w:r>
      <w:proofErr w:type="spellEnd"/>
      <w:r>
        <w:rPr>
          <w:rFonts w:asciiTheme="majorHAnsi" w:hAnsiTheme="majorHAnsi"/>
          <w:sz w:val="20"/>
          <w:szCs w:val="20"/>
          <w:lang w:val="en"/>
        </w:rPr>
        <w:t xml:space="preserve"> vehicle, </w:t>
      </w:r>
      <w:r>
        <w:rPr>
          <w:rFonts w:asciiTheme="majorHAnsi" w:hAnsiTheme="majorHAnsi"/>
          <w:sz w:val="20"/>
          <w:szCs w:val="20"/>
          <w:lang w:val="en"/>
        </w:rPr>
        <w:lastRenderedPageBreak/>
        <w:t xml:space="preserve">and she herself </w:t>
      </w:r>
      <w:r w:rsidR="00D93872">
        <w:rPr>
          <w:rFonts w:asciiTheme="majorHAnsi" w:hAnsiTheme="majorHAnsi"/>
          <w:sz w:val="20"/>
          <w:szCs w:val="20"/>
          <w:lang w:val="en"/>
        </w:rPr>
        <w:t xml:space="preserve">received some of the blows upon </w:t>
      </w:r>
      <w:r>
        <w:rPr>
          <w:rFonts w:asciiTheme="majorHAnsi" w:hAnsiTheme="majorHAnsi"/>
          <w:sz w:val="20"/>
          <w:szCs w:val="20"/>
          <w:lang w:val="en"/>
        </w:rPr>
        <w:t xml:space="preserve">her body. She was </w:t>
      </w:r>
      <w:r w:rsidR="00D93872">
        <w:rPr>
          <w:rFonts w:asciiTheme="majorHAnsi" w:hAnsiTheme="majorHAnsi"/>
          <w:sz w:val="20"/>
          <w:szCs w:val="20"/>
          <w:lang w:val="en"/>
        </w:rPr>
        <w:t>then violently retained</w:t>
      </w:r>
      <w:r>
        <w:rPr>
          <w:rFonts w:asciiTheme="majorHAnsi" w:hAnsiTheme="majorHAnsi"/>
          <w:sz w:val="20"/>
          <w:szCs w:val="20"/>
          <w:lang w:val="en"/>
        </w:rPr>
        <w:t xml:space="preserve">, insulted, threatened with </w:t>
      </w:r>
      <w:r w:rsidR="00A33098">
        <w:rPr>
          <w:rFonts w:asciiTheme="majorHAnsi" w:hAnsiTheme="majorHAnsi"/>
          <w:sz w:val="20"/>
          <w:szCs w:val="20"/>
          <w:lang w:val="en"/>
        </w:rPr>
        <w:t xml:space="preserve">being </w:t>
      </w:r>
      <w:r>
        <w:rPr>
          <w:rFonts w:asciiTheme="majorHAnsi" w:hAnsiTheme="majorHAnsi"/>
          <w:sz w:val="20"/>
          <w:szCs w:val="20"/>
          <w:lang w:val="en"/>
        </w:rPr>
        <w:t>rape</w:t>
      </w:r>
      <w:r w:rsidR="00A33098">
        <w:rPr>
          <w:rFonts w:asciiTheme="majorHAnsi" w:hAnsiTheme="majorHAnsi"/>
          <w:sz w:val="20"/>
          <w:szCs w:val="20"/>
          <w:lang w:val="en"/>
        </w:rPr>
        <w:t>d</w:t>
      </w:r>
      <w:r>
        <w:rPr>
          <w:rFonts w:asciiTheme="majorHAnsi" w:hAnsiTheme="majorHAnsi"/>
          <w:sz w:val="20"/>
          <w:szCs w:val="20"/>
          <w:lang w:val="en"/>
        </w:rPr>
        <w:t xml:space="preserve"> and burn</w:t>
      </w:r>
      <w:r w:rsidR="00A33098">
        <w:rPr>
          <w:rFonts w:asciiTheme="majorHAnsi" w:hAnsiTheme="majorHAnsi"/>
          <w:sz w:val="20"/>
          <w:szCs w:val="20"/>
          <w:lang w:val="en"/>
        </w:rPr>
        <w:t>ed</w:t>
      </w:r>
      <w:r w:rsidR="00D93872">
        <w:rPr>
          <w:rFonts w:asciiTheme="majorHAnsi" w:hAnsiTheme="majorHAnsi"/>
          <w:sz w:val="20"/>
          <w:szCs w:val="20"/>
          <w:lang w:val="en"/>
        </w:rPr>
        <w:t xml:space="preserve"> alive</w:t>
      </w:r>
      <w:r>
        <w:rPr>
          <w:rFonts w:asciiTheme="majorHAnsi" w:hAnsiTheme="majorHAnsi"/>
          <w:sz w:val="20"/>
          <w:szCs w:val="20"/>
          <w:lang w:val="en"/>
        </w:rPr>
        <w:t xml:space="preserve">, and pulled by her hair to </w:t>
      </w:r>
      <w:r w:rsidR="00032498">
        <w:rPr>
          <w:rFonts w:asciiTheme="majorHAnsi" w:hAnsiTheme="majorHAnsi"/>
          <w:sz w:val="20"/>
          <w:szCs w:val="20"/>
          <w:lang w:val="en"/>
        </w:rPr>
        <w:t>the</w:t>
      </w:r>
      <w:r>
        <w:rPr>
          <w:rFonts w:asciiTheme="majorHAnsi" w:hAnsiTheme="majorHAnsi"/>
          <w:sz w:val="20"/>
          <w:szCs w:val="20"/>
          <w:lang w:val="en"/>
        </w:rPr>
        <w:t xml:space="preserve"> main road. Next, </w:t>
      </w:r>
      <w:r w:rsidR="00FF05BD">
        <w:rPr>
          <w:rFonts w:asciiTheme="majorHAnsi" w:hAnsiTheme="majorHAnsi"/>
          <w:sz w:val="20"/>
          <w:szCs w:val="20"/>
          <w:lang w:val="en"/>
        </w:rPr>
        <w:t xml:space="preserve">she </w:t>
      </w:r>
      <w:r>
        <w:rPr>
          <w:rFonts w:asciiTheme="majorHAnsi" w:hAnsiTheme="majorHAnsi"/>
          <w:sz w:val="20"/>
          <w:szCs w:val="20"/>
          <w:lang w:val="en"/>
        </w:rPr>
        <w:t>was tied hand and foot</w:t>
      </w:r>
      <w:r w:rsidR="008C2053">
        <w:rPr>
          <w:rFonts w:asciiTheme="majorHAnsi" w:hAnsiTheme="majorHAnsi"/>
          <w:sz w:val="20"/>
          <w:szCs w:val="20"/>
          <w:lang w:val="en"/>
        </w:rPr>
        <w:t xml:space="preserve"> to a post</w:t>
      </w:r>
      <w:r>
        <w:rPr>
          <w:rFonts w:asciiTheme="majorHAnsi" w:hAnsiTheme="majorHAnsi"/>
          <w:sz w:val="20"/>
          <w:szCs w:val="20"/>
          <w:lang w:val="en"/>
        </w:rPr>
        <w:t xml:space="preserve"> and </w:t>
      </w:r>
      <w:r w:rsidR="004C6C56">
        <w:rPr>
          <w:rFonts w:asciiTheme="majorHAnsi" w:hAnsiTheme="majorHAnsi"/>
          <w:sz w:val="20"/>
          <w:szCs w:val="20"/>
          <w:lang w:val="en"/>
        </w:rPr>
        <w:t xml:space="preserve">savagely </w:t>
      </w:r>
      <w:r>
        <w:rPr>
          <w:rFonts w:asciiTheme="majorHAnsi" w:hAnsiTheme="majorHAnsi"/>
          <w:sz w:val="20"/>
          <w:szCs w:val="20"/>
          <w:lang w:val="en"/>
        </w:rPr>
        <w:t xml:space="preserve">beaten for “betraying her people.” Allegedly, the assailants </w:t>
      </w:r>
      <w:r w:rsidR="004C6C56">
        <w:rPr>
          <w:rFonts w:asciiTheme="majorHAnsi" w:hAnsiTheme="majorHAnsi"/>
          <w:sz w:val="20"/>
          <w:szCs w:val="20"/>
          <w:lang w:val="en"/>
        </w:rPr>
        <w:t xml:space="preserve">took </w:t>
      </w:r>
      <w:r>
        <w:rPr>
          <w:rFonts w:asciiTheme="majorHAnsi" w:hAnsiTheme="majorHAnsi"/>
          <w:sz w:val="20"/>
          <w:szCs w:val="20"/>
          <w:lang w:val="en"/>
        </w:rPr>
        <w:t xml:space="preserve">Ms. </w:t>
      </w:r>
      <w:proofErr w:type="spellStart"/>
      <w:r>
        <w:rPr>
          <w:rFonts w:asciiTheme="majorHAnsi" w:hAnsiTheme="majorHAnsi"/>
          <w:sz w:val="20"/>
          <w:szCs w:val="20"/>
          <w:lang w:val="en"/>
        </w:rPr>
        <w:t>Estremadoiro’s</w:t>
      </w:r>
      <w:proofErr w:type="spellEnd"/>
      <w:r>
        <w:rPr>
          <w:rFonts w:asciiTheme="majorHAnsi" w:hAnsiTheme="majorHAnsi"/>
          <w:sz w:val="20"/>
          <w:szCs w:val="20"/>
          <w:lang w:val="en"/>
        </w:rPr>
        <w:t xml:space="preserve"> belongings, including her identity card, personal items, working </w:t>
      </w:r>
      <w:r w:rsidR="004C6C56">
        <w:rPr>
          <w:rFonts w:asciiTheme="majorHAnsi" w:hAnsiTheme="majorHAnsi"/>
          <w:sz w:val="20"/>
          <w:szCs w:val="20"/>
          <w:lang w:val="en"/>
        </w:rPr>
        <w:t>equipment</w:t>
      </w:r>
      <w:r>
        <w:rPr>
          <w:rFonts w:asciiTheme="majorHAnsi" w:hAnsiTheme="majorHAnsi"/>
          <w:sz w:val="20"/>
          <w:szCs w:val="20"/>
          <w:lang w:val="en"/>
        </w:rPr>
        <w:t xml:space="preserve"> and clothes</w:t>
      </w:r>
      <w:r w:rsidR="007714ED">
        <w:rPr>
          <w:rFonts w:asciiTheme="majorHAnsi" w:hAnsiTheme="majorHAnsi"/>
          <w:sz w:val="20"/>
          <w:szCs w:val="20"/>
          <w:lang w:val="en"/>
        </w:rPr>
        <w:t>,</w:t>
      </w:r>
      <w:r>
        <w:rPr>
          <w:rFonts w:asciiTheme="majorHAnsi" w:hAnsiTheme="majorHAnsi"/>
          <w:sz w:val="20"/>
          <w:szCs w:val="20"/>
          <w:lang w:val="en"/>
        </w:rPr>
        <w:t xml:space="preserve"> and</w:t>
      </w:r>
      <w:r w:rsidR="007714ED">
        <w:rPr>
          <w:rFonts w:asciiTheme="majorHAnsi" w:hAnsiTheme="majorHAnsi"/>
          <w:sz w:val="20"/>
          <w:szCs w:val="20"/>
          <w:lang w:val="en"/>
        </w:rPr>
        <w:t xml:space="preserve"> </w:t>
      </w:r>
      <w:r>
        <w:rPr>
          <w:rFonts w:asciiTheme="majorHAnsi" w:hAnsiTheme="majorHAnsi"/>
          <w:sz w:val="20"/>
          <w:szCs w:val="20"/>
          <w:lang w:val="en"/>
        </w:rPr>
        <w:t>distributed these among themselves.</w:t>
      </w:r>
      <w:r w:rsidR="007714ED">
        <w:rPr>
          <w:rFonts w:asciiTheme="majorHAnsi" w:hAnsiTheme="majorHAnsi"/>
          <w:sz w:val="20"/>
          <w:szCs w:val="20"/>
          <w:lang w:val="en"/>
        </w:rPr>
        <w:t xml:space="preserve"> </w:t>
      </w:r>
    </w:p>
    <w:p w14:paraId="05FF813E" w14:textId="0C90A598" w:rsidR="00400C55" w:rsidRPr="00AC2704"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n"/>
        </w:rPr>
      </w:pPr>
      <w:r>
        <w:rPr>
          <w:rFonts w:asciiTheme="majorHAnsi" w:hAnsiTheme="majorHAnsi"/>
          <w:sz w:val="20"/>
          <w:szCs w:val="20"/>
          <w:lang w:val="en"/>
        </w:rPr>
        <w:t>3.</w:t>
      </w:r>
      <w:r>
        <w:rPr>
          <w:rFonts w:asciiTheme="majorHAnsi" w:hAnsiTheme="majorHAnsi"/>
          <w:sz w:val="20"/>
          <w:szCs w:val="20"/>
          <w:lang w:val="en"/>
        </w:rPr>
        <w:tab/>
        <w:t>That night</w:t>
      </w:r>
      <w:r w:rsidR="00FE1DE3">
        <w:rPr>
          <w:rFonts w:asciiTheme="majorHAnsi" w:hAnsiTheme="majorHAnsi"/>
          <w:sz w:val="20"/>
          <w:szCs w:val="20"/>
          <w:lang w:val="en"/>
        </w:rPr>
        <w:t>,</w:t>
      </w:r>
      <w:r>
        <w:rPr>
          <w:rFonts w:asciiTheme="majorHAnsi" w:hAnsiTheme="majorHAnsi"/>
          <w:sz w:val="20"/>
          <w:szCs w:val="20"/>
          <w:lang w:val="en"/>
        </w:rPr>
        <w:t xml:space="preserve"> the alleged victim was driven in a van </w:t>
      </w:r>
      <w:r w:rsidR="008E40FA">
        <w:rPr>
          <w:rFonts w:asciiTheme="majorHAnsi" w:hAnsiTheme="majorHAnsi"/>
          <w:sz w:val="20"/>
          <w:szCs w:val="20"/>
          <w:lang w:val="en"/>
        </w:rPr>
        <w:t xml:space="preserve">around </w:t>
      </w:r>
      <w:r>
        <w:rPr>
          <w:rFonts w:asciiTheme="majorHAnsi" w:hAnsiTheme="majorHAnsi"/>
          <w:sz w:val="20"/>
          <w:szCs w:val="20"/>
          <w:lang w:val="en"/>
        </w:rPr>
        <w:t xml:space="preserve">private </w:t>
      </w:r>
      <w:r w:rsidR="008E40FA">
        <w:rPr>
          <w:rFonts w:asciiTheme="majorHAnsi" w:hAnsiTheme="majorHAnsi"/>
          <w:sz w:val="20"/>
          <w:szCs w:val="20"/>
          <w:lang w:val="en"/>
        </w:rPr>
        <w:t>homes</w:t>
      </w:r>
      <w:r>
        <w:rPr>
          <w:rFonts w:asciiTheme="majorHAnsi" w:hAnsiTheme="majorHAnsi"/>
          <w:sz w:val="20"/>
          <w:szCs w:val="20"/>
          <w:lang w:val="en"/>
        </w:rPr>
        <w:t>,</w:t>
      </w:r>
      <w:r w:rsidR="00FE1DE3">
        <w:rPr>
          <w:rFonts w:asciiTheme="majorHAnsi" w:hAnsiTheme="majorHAnsi"/>
          <w:sz w:val="20"/>
          <w:szCs w:val="20"/>
          <w:lang w:val="en"/>
        </w:rPr>
        <w:t xml:space="preserve"> </w:t>
      </w:r>
      <w:proofErr w:type="spellStart"/>
      <w:r>
        <w:rPr>
          <w:rFonts w:asciiTheme="majorHAnsi" w:hAnsiTheme="majorHAnsi"/>
          <w:sz w:val="20"/>
          <w:szCs w:val="20"/>
          <w:lang w:val="en"/>
        </w:rPr>
        <w:t>Cuevo’s</w:t>
      </w:r>
      <w:proofErr w:type="spellEnd"/>
      <w:r>
        <w:rPr>
          <w:rFonts w:asciiTheme="majorHAnsi" w:hAnsiTheme="majorHAnsi"/>
          <w:sz w:val="20"/>
          <w:szCs w:val="20"/>
          <w:lang w:val="en"/>
        </w:rPr>
        <w:t xml:space="preserve"> city hall, and the </w:t>
      </w:r>
      <w:proofErr w:type="spellStart"/>
      <w:r>
        <w:rPr>
          <w:rFonts w:asciiTheme="majorHAnsi" w:hAnsiTheme="majorHAnsi"/>
          <w:sz w:val="20"/>
          <w:szCs w:val="20"/>
          <w:lang w:val="en"/>
        </w:rPr>
        <w:t>Cuevo</w:t>
      </w:r>
      <w:proofErr w:type="spellEnd"/>
      <w:r w:rsidR="008E40FA">
        <w:rPr>
          <w:rFonts w:asciiTheme="majorHAnsi" w:hAnsiTheme="majorHAnsi"/>
          <w:sz w:val="20"/>
          <w:szCs w:val="20"/>
          <w:lang w:val="en"/>
        </w:rPr>
        <w:t xml:space="preserve"> Hospital</w:t>
      </w:r>
      <w:r w:rsidR="004C6C56">
        <w:rPr>
          <w:rFonts w:asciiTheme="majorHAnsi" w:hAnsiTheme="majorHAnsi"/>
          <w:sz w:val="20"/>
          <w:szCs w:val="20"/>
          <w:lang w:val="en"/>
        </w:rPr>
        <w:t>.</w:t>
      </w:r>
      <w:r>
        <w:rPr>
          <w:rFonts w:asciiTheme="majorHAnsi" w:hAnsiTheme="majorHAnsi"/>
          <w:sz w:val="20"/>
          <w:szCs w:val="20"/>
          <w:lang w:val="en"/>
        </w:rPr>
        <w:t xml:space="preserve"> </w:t>
      </w:r>
      <w:r w:rsidR="008E40FA">
        <w:rPr>
          <w:rFonts w:asciiTheme="majorHAnsi" w:hAnsiTheme="majorHAnsi"/>
          <w:sz w:val="20"/>
          <w:szCs w:val="20"/>
          <w:lang w:val="en"/>
        </w:rPr>
        <w:t>S</w:t>
      </w:r>
      <w:r>
        <w:rPr>
          <w:rFonts w:asciiTheme="majorHAnsi" w:hAnsiTheme="majorHAnsi"/>
          <w:sz w:val="20"/>
          <w:szCs w:val="20"/>
          <w:lang w:val="en"/>
        </w:rPr>
        <w:t xml:space="preserve">he was </w:t>
      </w:r>
      <w:r w:rsidR="008E40FA">
        <w:rPr>
          <w:rFonts w:asciiTheme="majorHAnsi" w:hAnsiTheme="majorHAnsi"/>
          <w:sz w:val="20"/>
          <w:szCs w:val="20"/>
          <w:lang w:val="en"/>
        </w:rPr>
        <w:t xml:space="preserve">allegedly subjected to </w:t>
      </w:r>
      <w:r w:rsidR="00FF05BD">
        <w:rPr>
          <w:rFonts w:asciiTheme="majorHAnsi" w:hAnsiTheme="majorHAnsi"/>
          <w:sz w:val="20"/>
          <w:szCs w:val="20"/>
          <w:lang w:val="en"/>
        </w:rPr>
        <w:t xml:space="preserve">constant </w:t>
      </w:r>
      <w:r w:rsidR="008E40FA">
        <w:rPr>
          <w:rFonts w:asciiTheme="majorHAnsi" w:hAnsiTheme="majorHAnsi"/>
          <w:sz w:val="20"/>
          <w:szCs w:val="20"/>
          <w:lang w:val="en"/>
        </w:rPr>
        <w:t xml:space="preserve">threats of </w:t>
      </w:r>
      <w:r>
        <w:rPr>
          <w:rFonts w:asciiTheme="majorHAnsi" w:hAnsiTheme="majorHAnsi"/>
          <w:sz w:val="20"/>
          <w:szCs w:val="20"/>
          <w:lang w:val="en"/>
        </w:rPr>
        <w:t>death</w:t>
      </w:r>
      <w:r w:rsidR="008E40FA">
        <w:rPr>
          <w:rFonts w:asciiTheme="majorHAnsi" w:hAnsiTheme="majorHAnsi"/>
          <w:sz w:val="20"/>
          <w:szCs w:val="20"/>
          <w:lang w:val="en"/>
        </w:rPr>
        <w:t xml:space="preserve"> and </w:t>
      </w:r>
      <w:r>
        <w:rPr>
          <w:rFonts w:asciiTheme="majorHAnsi" w:hAnsiTheme="majorHAnsi"/>
          <w:sz w:val="20"/>
          <w:szCs w:val="20"/>
          <w:lang w:val="en"/>
        </w:rPr>
        <w:t xml:space="preserve">bodily injury, </w:t>
      </w:r>
      <w:r w:rsidR="008E40FA">
        <w:rPr>
          <w:rFonts w:asciiTheme="majorHAnsi" w:hAnsiTheme="majorHAnsi"/>
          <w:sz w:val="20"/>
          <w:szCs w:val="20"/>
          <w:lang w:val="en"/>
        </w:rPr>
        <w:t xml:space="preserve">attempted </w:t>
      </w:r>
      <w:r>
        <w:rPr>
          <w:rFonts w:asciiTheme="majorHAnsi" w:hAnsiTheme="majorHAnsi"/>
          <w:sz w:val="20"/>
          <w:szCs w:val="20"/>
          <w:lang w:val="en"/>
        </w:rPr>
        <w:t>sexual assault</w:t>
      </w:r>
      <w:r w:rsidR="008E40FA">
        <w:rPr>
          <w:rFonts w:asciiTheme="majorHAnsi" w:hAnsiTheme="majorHAnsi"/>
          <w:sz w:val="20"/>
          <w:szCs w:val="20"/>
          <w:lang w:val="en"/>
        </w:rPr>
        <w:t>,</w:t>
      </w:r>
      <w:r>
        <w:rPr>
          <w:rFonts w:asciiTheme="majorHAnsi" w:hAnsiTheme="majorHAnsi"/>
          <w:sz w:val="20"/>
          <w:szCs w:val="20"/>
          <w:lang w:val="en"/>
        </w:rPr>
        <w:t xml:space="preserve"> and interrogat</w:t>
      </w:r>
      <w:r w:rsidR="008E40FA">
        <w:rPr>
          <w:rFonts w:asciiTheme="majorHAnsi" w:hAnsiTheme="majorHAnsi"/>
          <w:sz w:val="20"/>
          <w:szCs w:val="20"/>
          <w:lang w:val="en"/>
        </w:rPr>
        <w:t>ions</w:t>
      </w:r>
      <w:r>
        <w:rPr>
          <w:rFonts w:asciiTheme="majorHAnsi" w:hAnsiTheme="majorHAnsi"/>
          <w:sz w:val="20"/>
          <w:szCs w:val="20"/>
          <w:lang w:val="en"/>
        </w:rPr>
        <w:t xml:space="preserve"> about the delegation that had come with her and the </w:t>
      </w:r>
      <w:r w:rsidR="00FF05BD">
        <w:rPr>
          <w:rFonts w:asciiTheme="majorHAnsi" w:hAnsiTheme="majorHAnsi"/>
          <w:sz w:val="20"/>
          <w:szCs w:val="20"/>
          <w:lang w:val="en"/>
        </w:rPr>
        <w:t xml:space="preserve">purposes </w:t>
      </w:r>
      <w:r>
        <w:rPr>
          <w:rFonts w:asciiTheme="majorHAnsi" w:hAnsiTheme="majorHAnsi"/>
          <w:sz w:val="20"/>
          <w:szCs w:val="20"/>
          <w:lang w:val="en"/>
        </w:rPr>
        <w:t>of their work in th</w:t>
      </w:r>
      <w:r w:rsidR="008E40FA">
        <w:rPr>
          <w:rFonts w:asciiTheme="majorHAnsi" w:hAnsiTheme="majorHAnsi"/>
          <w:sz w:val="20"/>
          <w:szCs w:val="20"/>
          <w:lang w:val="en"/>
        </w:rPr>
        <w:t>e</w:t>
      </w:r>
      <w:r>
        <w:rPr>
          <w:rFonts w:asciiTheme="majorHAnsi" w:hAnsiTheme="majorHAnsi"/>
          <w:sz w:val="20"/>
          <w:szCs w:val="20"/>
          <w:lang w:val="en"/>
        </w:rPr>
        <w:t xml:space="preserve"> </w:t>
      </w:r>
      <w:r w:rsidR="008E40FA">
        <w:rPr>
          <w:rFonts w:asciiTheme="majorHAnsi" w:hAnsiTheme="majorHAnsi"/>
          <w:sz w:val="20"/>
          <w:szCs w:val="20"/>
          <w:lang w:val="en"/>
        </w:rPr>
        <w:t>area</w:t>
      </w:r>
      <w:r>
        <w:rPr>
          <w:rFonts w:asciiTheme="majorHAnsi" w:hAnsiTheme="majorHAnsi"/>
          <w:sz w:val="20"/>
          <w:szCs w:val="20"/>
          <w:lang w:val="en"/>
        </w:rPr>
        <w:t xml:space="preserve">. </w:t>
      </w:r>
      <w:r w:rsidR="008E40FA">
        <w:rPr>
          <w:rFonts w:asciiTheme="majorHAnsi" w:hAnsiTheme="majorHAnsi"/>
          <w:sz w:val="20"/>
          <w:szCs w:val="20"/>
          <w:lang w:val="en"/>
        </w:rPr>
        <w:t xml:space="preserve">Next </w:t>
      </w:r>
      <w:r>
        <w:rPr>
          <w:rFonts w:asciiTheme="majorHAnsi" w:hAnsiTheme="majorHAnsi"/>
          <w:sz w:val="20"/>
          <w:szCs w:val="20"/>
          <w:lang w:val="en"/>
        </w:rPr>
        <w:t xml:space="preserve">day, around midday,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was rescued by officers of the </w:t>
      </w:r>
      <w:r w:rsidR="008E40FA">
        <w:rPr>
          <w:rFonts w:asciiTheme="majorHAnsi" w:hAnsiTheme="majorHAnsi"/>
          <w:sz w:val="20"/>
          <w:szCs w:val="20"/>
          <w:lang w:val="en"/>
        </w:rPr>
        <w:t>“</w:t>
      </w:r>
      <w:proofErr w:type="spellStart"/>
      <w:r w:rsidRPr="008E40FA">
        <w:rPr>
          <w:rFonts w:asciiTheme="majorHAnsi" w:hAnsiTheme="majorHAnsi"/>
          <w:sz w:val="20"/>
          <w:szCs w:val="20"/>
          <w:lang w:val="en"/>
        </w:rPr>
        <w:t>Bullaín</w:t>
      </w:r>
      <w:proofErr w:type="spellEnd"/>
      <w:r w:rsidR="008E40FA">
        <w:rPr>
          <w:rFonts w:asciiTheme="majorHAnsi" w:hAnsiTheme="majorHAnsi"/>
          <w:sz w:val="20"/>
          <w:szCs w:val="20"/>
          <w:lang w:val="en"/>
        </w:rPr>
        <w:t>”</w:t>
      </w:r>
      <w:r>
        <w:rPr>
          <w:rFonts w:asciiTheme="majorHAnsi" w:hAnsiTheme="majorHAnsi"/>
          <w:sz w:val="20"/>
          <w:szCs w:val="20"/>
          <w:lang w:val="en"/>
        </w:rPr>
        <w:t xml:space="preserve"> Military Bat</w:t>
      </w:r>
      <w:r w:rsidR="008E40FA">
        <w:rPr>
          <w:rFonts w:asciiTheme="majorHAnsi" w:hAnsiTheme="majorHAnsi"/>
          <w:sz w:val="20"/>
          <w:szCs w:val="20"/>
          <w:lang w:val="en"/>
        </w:rPr>
        <w:t>t</w:t>
      </w:r>
      <w:r>
        <w:rPr>
          <w:rFonts w:asciiTheme="majorHAnsi" w:hAnsiTheme="majorHAnsi"/>
          <w:sz w:val="20"/>
          <w:szCs w:val="20"/>
          <w:lang w:val="en"/>
        </w:rPr>
        <w:t>a</w:t>
      </w:r>
      <w:r w:rsidR="008E40FA">
        <w:rPr>
          <w:rFonts w:asciiTheme="majorHAnsi" w:hAnsiTheme="majorHAnsi"/>
          <w:sz w:val="20"/>
          <w:szCs w:val="20"/>
          <w:lang w:val="en"/>
        </w:rPr>
        <w:t>l</w:t>
      </w:r>
      <w:r>
        <w:rPr>
          <w:rFonts w:asciiTheme="majorHAnsi" w:hAnsiTheme="majorHAnsi"/>
          <w:sz w:val="20"/>
          <w:szCs w:val="20"/>
          <w:lang w:val="en"/>
        </w:rPr>
        <w:t xml:space="preserve">ion in </w:t>
      </w:r>
      <w:proofErr w:type="spellStart"/>
      <w:r>
        <w:rPr>
          <w:rFonts w:asciiTheme="majorHAnsi" w:hAnsiTheme="majorHAnsi"/>
          <w:sz w:val="20"/>
          <w:szCs w:val="20"/>
          <w:lang w:val="en"/>
        </w:rPr>
        <w:t>Cuevo</w:t>
      </w:r>
      <w:proofErr w:type="spellEnd"/>
      <w:r>
        <w:rPr>
          <w:rFonts w:asciiTheme="majorHAnsi" w:hAnsiTheme="majorHAnsi"/>
          <w:sz w:val="20"/>
          <w:szCs w:val="20"/>
          <w:lang w:val="en"/>
        </w:rPr>
        <w:t xml:space="preserve">, military base </w:t>
      </w:r>
      <w:r w:rsidR="008E40FA">
        <w:rPr>
          <w:rFonts w:asciiTheme="majorHAnsi" w:hAnsiTheme="majorHAnsi"/>
          <w:sz w:val="20"/>
          <w:szCs w:val="20"/>
          <w:lang w:val="en"/>
        </w:rPr>
        <w:t xml:space="preserve">where she was taken, </w:t>
      </w:r>
      <w:r>
        <w:rPr>
          <w:rFonts w:asciiTheme="majorHAnsi" w:hAnsiTheme="majorHAnsi"/>
          <w:sz w:val="20"/>
          <w:szCs w:val="20"/>
          <w:lang w:val="en"/>
        </w:rPr>
        <w:t xml:space="preserve">and </w:t>
      </w:r>
      <w:r w:rsidR="008E40FA">
        <w:rPr>
          <w:rFonts w:asciiTheme="majorHAnsi" w:hAnsiTheme="majorHAnsi"/>
          <w:sz w:val="20"/>
          <w:szCs w:val="20"/>
          <w:lang w:val="en"/>
        </w:rPr>
        <w:t xml:space="preserve">where she received medical </w:t>
      </w:r>
      <w:r>
        <w:rPr>
          <w:rFonts w:asciiTheme="majorHAnsi" w:hAnsiTheme="majorHAnsi"/>
          <w:sz w:val="20"/>
          <w:szCs w:val="20"/>
          <w:lang w:val="en"/>
        </w:rPr>
        <w:t xml:space="preserve">first aid. </w:t>
      </w:r>
      <w:r w:rsidR="008E40FA">
        <w:rPr>
          <w:rFonts w:asciiTheme="majorHAnsi" w:hAnsiTheme="majorHAnsi"/>
          <w:sz w:val="20"/>
          <w:szCs w:val="20"/>
          <w:lang w:val="en"/>
        </w:rPr>
        <w:t xml:space="preserve">However, </w:t>
      </w:r>
      <w:r w:rsidR="00ED01CF">
        <w:rPr>
          <w:rFonts w:asciiTheme="majorHAnsi" w:hAnsiTheme="majorHAnsi"/>
          <w:sz w:val="20"/>
          <w:szCs w:val="20"/>
          <w:lang w:val="en"/>
        </w:rPr>
        <w:t>t</w:t>
      </w:r>
      <w:r>
        <w:rPr>
          <w:rFonts w:asciiTheme="majorHAnsi" w:hAnsiTheme="majorHAnsi"/>
          <w:sz w:val="20"/>
          <w:szCs w:val="20"/>
          <w:lang w:val="en"/>
        </w:rPr>
        <w:t>h</w:t>
      </w:r>
      <w:r w:rsidR="008E40FA">
        <w:rPr>
          <w:rFonts w:asciiTheme="majorHAnsi" w:hAnsiTheme="majorHAnsi"/>
          <w:sz w:val="20"/>
          <w:szCs w:val="20"/>
          <w:lang w:val="en"/>
        </w:rPr>
        <w:t>at</w:t>
      </w:r>
      <w:r>
        <w:rPr>
          <w:rFonts w:asciiTheme="majorHAnsi" w:hAnsiTheme="majorHAnsi"/>
          <w:sz w:val="20"/>
          <w:szCs w:val="20"/>
          <w:lang w:val="en"/>
        </w:rPr>
        <w:t xml:space="preserve"> military base was </w:t>
      </w:r>
      <w:r w:rsidR="008E40FA">
        <w:rPr>
          <w:rFonts w:asciiTheme="majorHAnsi" w:hAnsiTheme="majorHAnsi"/>
          <w:sz w:val="20"/>
          <w:szCs w:val="20"/>
          <w:lang w:val="en"/>
        </w:rPr>
        <w:t xml:space="preserve">soon </w:t>
      </w:r>
      <w:r>
        <w:rPr>
          <w:rFonts w:asciiTheme="majorHAnsi" w:hAnsiTheme="majorHAnsi"/>
          <w:sz w:val="20"/>
          <w:szCs w:val="20"/>
          <w:lang w:val="en"/>
        </w:rPr>
        <w:t xml:space="preserve">surrounded by the same </w:t>
      </w:r>
      <w:r w:rsidR="008E40FA">
        <w:rPr>
          <w:rFonts w:asciiTheme="majorHAnsi" w:hAnsiTheme="majorHAnsi"/>
          <w:sz w:val="20"/>
          <w:szCs w:val="20"/>
          <w:lang w:val="en"/>
        </w:rPr>
        <w:t xml:space="preserve">persons who had attacked her </w:t>
      </w:r>
      <w:r>
        <w:rPr>
          <w:rFonts w:asciiTheme="majorHAnsi" w:hAnsiTheme="majorHAnsi"/>
          <w:sz w:val="20"/>
          <w:szCs w:val="20"/>
          <w:lang w:val="en"/>
        </w:rPr>
        <w:t>the day before</w:t>
      </w:r>
      <w:r w:rsidR="008E40FA">
        <w:rPr>
          <w:rFonts w:asciiTheme="majorHAnsi" w:hAnsiTheme="majorHAnsi"/>
          <w:sz w:val="20"/>
          <w:szCs w:val="20"/>
          <w:lang w:val="en"/>
        </w:rPr>
        <w:t>,</w:t>
      </w:r>
      <w:r>
        <w:rPr>
          <w:rFonts w:asciiTheme="majorHAnsi" w:hAnsiTheme="majorHAnsi"/>
          <w:sz w:val="20"/>
          <w:szCs w:val="20"/>
          <w:lang w:val="en"/>
        </w:rPr>
        <w:t xml:space="preserve"> </w:t>
      </w:r>
      <w:r w:rsidR="008E40FA">
        <w:rPr>
          <w:rFonts w:asciiTheme="majorHAnsi" w:hAnsiTheme="majorHAnsi"/>
          <w:sz w:val="20"/>
          <w:szCs w:val="20"/>
          <w:lang w:val="en"/>
        </w:rPr>
        <w:t xml:space="preserve">who </w:t>
      </w:r>
      <w:r w:rsidR="00ED01CF">
        <w:rPr>
          <w:rFonts w:asciiTheme="majorHAnsi" w:hAnsiTheme="majorHAnsi"/>
          <w:sz w:val="20"/>
          <w:szCs w:val="20"/>
          <w:lang w:val="en"/>
        </w:rPr>
        <w:t>prevented an</w:t>
      </w:r>
      <w:r>
        <w:rPr>
          <w:rFonts w:asciiTheme="majorHAnsi" w:hAnsiTheme="majorHAnsi"/>
          <w:sz w:val="20"/>
          <w:szCs w:val="20"/>
          <w:lang w:val="en"/>
        </w:rPr>
        <w:t xml:space="preserve"> ambulance </w:t>
      </w:r>
      <w:r w:rsidR="00ED01CF">
        <w:rPr>
          <w:rFonts w:asciiTheme="majorHAnsi" w:hAnsiTheme="majorHAnsi"/>
          <w:sz w:val="20"/>
          <w:szCs w:val="20"/>
          <w:lang w:val="en"/>
        </w:rPr>
        <w:t xml:space="preserve">from entering the base, </w:t>
      </w:r>
      <w:r w:rsidR="00FF05BD">
        <w:rPr>
          <w:rFonts w:asciiTheme="majorHAnsi" w:hAnsiTheme="majorHAnsi"/>
          <w:sz w:val="20"/>
          <w:szCs w:val="20"/>
          <w:lang w:val="en"/>
        </w:rPr>
        <w:t xml:space="preserve">ambulance that </w:t>
      </w:r>
      <w:r>
        <w:rPr>
          <w:rFonts w:asciiTheme="majorHAnsi" w:hAnsiTheme="majorHAnsi"/>
          <w:sz w:val="20"/>
          <w:szCs w:val="20"/>
          <w:lang w:val="en"/>
        </w:rPr>
        <w:t xml:space="preserve">was to take her to the town of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w:t>
      </w:r>
      <w:r w:rsidR="008E40FA">
        <w:rPr>
          <w:rFonts w:asciiTheme="majorHAnsi" w:hAnsiTheme="majorHAnsi"/>
          <w:sz w:val="20"/>
          <w:szCs w:val="20"/>
          <w:lang w:val="en"/>
        </w:rPr>
        <w:t xml:space="preserve">to receive </w:t>
      </w:r>
      <w:r>
        <w:rPr>
          <w:rFonts w:asciiTheme="majorHAnsi" w:hAnsiTheme="majorHAnsi"/>
          <w:sz w:val="20"/>
          <w:szCs w:val="20"/>
          <w:lang w:val="en"/>
        </w:rPr>
        <w:t xml:space="preserve">adequate medical assistance. Given this blockade, it was not until April 16, around midday, that the alleged victim </w:t>
      </w:r>
      <w:r w:rsidR="008E40FA">
        <w:rPr>
          <w:rFonts w:asciiTheme="majorHAnsi" w:hAnsiTheme="majorHAnsi"/>
          <w:sz w:val="20"/>
          <w:szCs w:val="20"/>
          <w:lang w:val="en"/>
        </w:rPr>
        <w:t xml:space="preserve">was able </w:t>
      </w:r>
      <w:r>
        <w:rPr>
          <w:rFonts w:asciiTheme="majorHAnsi" w:hAnsiTheme="majorHAnsi"/>
          <w:sz w:val="20"/>
          <w:szCs w:val="20"/>
          <w:lang w:val="en"/>
        </w:rPr>
        <w:t xml:space="preserve">to leave the </w:t>
      </w:r>
      <w:r w:rsidR="006C18FA">
        <w:rPr>
          <w:rFonts w:asciiTheme="majorHAnsi" w:hAnsiTheme="majorHAnsi"/>
          <w:sz w:val="20"/>
          <w:szCs w:val="20"/>
          <w:lang w:val="en"/>
        </w:rPr>
        <w:t xml:space="preserve">military </w:t>
      </w:r>
      <w:r>
        <w:rPr>
          <w:rFonts w:asciiTheme="majorHAnsi" w:hAnsiTheme="majorHAnsi"/>
          <w:sz w:val="20"/>
          <w:szCs w:val="20"/>
          <w:lang w:val="en"/>
        </w:rPr>
        <w:t xml:space="preserve">base, disguised in military clothing, along with other people </w:t>
      </w:r>
      <w:r w:rsidR="008E40FA">
        <w:rPr>
          <w:rFonts w:asciiTheme="majorHAnsi" w:hAnsiTheme="majorHAnsi"/>
          <w:sz w:val="20"/>
          <w:szCs w:val="20"/>
          <w:lang w:val="en"/>
        </w:rPr>
        <w:t xml:space="preserve">who </w:t>
      </w:r>
      <w:r>
        <w:rPr>
          <w:rFonts w:asciiTheme="majorHAnsi" w:hAnsiTheme="majorHAnsi"/>
          <w:sz w:val="20"/>
          <w:szCs w:val="20"/>
          <w:lang w:val="en"/>
        </w:rPr>
        <w:t xml:space="preserve">were part of the convoy attacked three days before. Finally, they were transported to </w:t>
      </w:r>
      <w:r w:rsidR="008E40FA">
        <w:rPr>
          <w:rFonts w:asciiTheme="majorHAnsi" w:hAnsiTheme="majorHAnsi"/>
          <w:sz w:val="20"/>
          <w:szCs w:val="20"/>
          <w:lang w:val="en"/>
        </w:rPr>
        <w:t xml:space="preserve">the town of </w:t>
      </w:r>
      <w:proofErr w:type="spellStart"/>
      <w:r>
        <w:rPr>
          <w:rFonts w:asciiTheme="majorHAnsi" w:hAnsiTheme="majorHAnsi"/>
          <w:sz w:val="20"/>
          <w:szCs w:val="20"/>
          <w:lang w:val="en"/>
        </w:rPr>
        <w:t>Camiri</w:t>
      </w:r>
      <w:proofErr w:type="spellEnd"/>
      <w:r w:rsidR="008E40FA">
        <w:rPr>
          <w:rFonts w:asciiTheme="majorHAnsi" w:hAnsiTheme="majorHAnsi"/>
          <w:sz w:val="20"/>
          <w:szCs w:val="20"/>
          <w:lang w:val="en"/>
        </w:rPr>
        <w:t>, where they were received at a military barrack</w:t>
      </w:r>
      <w:r w:rsidR="00FF05BD">
        <w:rPr>
          <w:rFonts w:asciiTheme="majorHAnsi" w:hAnsiTheme="majorHAnsi"/>
          <w:sz w:val="20"/>
          <w:szCs w:val="20"/>
          <w:lang w:val="en"/>
        </w:rPr>
        <w:t>s</w:t>
      </w:r>
      <w:r w:rsidR="008E40FA">
        <w:rPr>
          <w:rFonts w:asciiTheme="majorHAnsi" w:hAnsiTheme="majorHAnsi"/>
          <w:sz w:val="20"/>
          <w:szCs w:val="20"/>
          <w:lang w:val="en"/>
        </w:rPr>
        <w:t>, remaining there f</w:t>
      </w:r>
      <w:r>
        <w:rPr>
          <w:rFonts w:asciiTheme="majorHAnsi" w:hAnsiTheme="majorHAnsi"/>
          <w:sz w:val="20"/>
          <w:szCs w:val="20"/>
          <w:lang w:val="en"/>
        </w:rPr>
        <w:t>or safety reasons</w:t>
      </w:r>
      <w:r w:rsidR="008E40FA">
        <w:rPr>
          <w:rFonts w:asciiTheme="majorHAnsi" w:hAnsiTheme="majorHAnsi"/>
          <w:sz w:val="20"/>
          <w:szCs w:val="20"/>
          <w:lang w:val="en"/>
        </w:rPr>
        <w:t xml:space="preserve"> until the next day, when the </w:t>
      </w:r>
      <w:r>
        <w:rPr>
          <w:rFonts w:asciiTheme="majorHAnsi" w:hAnsiTheme="majorHAnsi"/>
          <w:sz w:val="20"/>
          <w:szCs w:val="20"/>
          <w:lang w:val="en"/>
        </w:rPr>
        <w:t xml:space="preserve">authorities thought it </w:t>
      </w:r>
      <w:r w:rsidR="008E40FA">
        <w:rPr>
          <w:rFonts w:asciiTheme="majorHAnsi" w:hAnsiTheme="majorHAnsi"/>
          <w:sz w:val="20"/>
          <w:szCs w:val="20"/>
          <w:lang w:val="en"/>
        </w:rPr>
        <w:t xml:space="preserve">prudent </w:t>
      </w:r>
      <w:r>
        <w:rPr>
          <w:rFonts w:asciiTheme="majorHAnsi" w:hAnsiTheme="majorHAnsi"/>
          <w:sz w:val="20"/>
          <w:szCs w:val="20"/>
          <w:lang w:val="en"/>
        </w:rPr>
        <w:t xml:space="preserve">to </w:t>
      </w:r>
      <w:r w:rsidR="008E40FA">
        <w:rPr>
          <w:rFonts w:asciiTheme="majorHAnsi" w:hAnsiTheme="majorHAnsi"/>
          <w:sz w:val="20"/>
          <w:szCs w:val="20"/>
          <w:lang w:val="en"/>
        </w:rPr>
        <w:t xml:space="preserve">transport </w:t>
      </w:r>
      <w:r>
        <w:rPr>
          <w:rFonts w:asciiTheme="majorHAnsi" w:hAnsiTheme="majorHAnsi"/>
          <w:sz w:val="20"/>
          <w:szCs w:val="20"/>
          <w:lang w:val="en"/>
        </w:rPr>
        <w:t xml:space="preserve">them to the city of Santa Cruz </w:t>
      </w:r>
      <w:r w:rsidR="008E40FA">
        <w:rPr>
          <w:rFonts w:asciiTheme="majorHAnsi" w:hAnsiTheme="majorHAnsi"/>
          <w:sz w:val="20"/>
          <w:szCs w:val="20"/>
          <w:lang w:val="en"/>
        </w:rPr>
        <w:t xml:space="preserve">in order for them to </w:t>
      </w:r>
      <w:r w:rsidR="006C18FA">
        <w:rPr>
          <w:rFonts w:asciiTheme="majorHAnsi" w:hAnsiTheme="majorHAnsi"/>
          <w:sz w:val="20"/>
          <w:szCs w:val="20"/>
          <w:lang w:val="en"/>
        </w:rPr>
        <w:t>receive</w:t>
      </w:r>
      <w:r>
        <w:rPr>
          <w:rFonts w:asciiTheme="majorHAnsi" w:hAnsiTheme="majorHAnsi"/>
          <w:sz w:val="20"/>
          <w:szCs w:val="20"/>
          <w:lang w:val="en"/>
        </w:rPr>
        <w:t xml:space="preserve"> adequate medical assistance. </w:t>
      </w:r>
    </w:p>
    <w:p w14:paraId="360DCC17" w14:textId="4B327BB5"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4. </w:t>
      </w:r>
      <w:r>
        <w:rPr>
          <w:rFonts w:asciiTheme="majorHAnsi" w:hAnsiTheme="majorHAnsi"/>
          <w:sz w:val="20"/>
          <w:szCs w:val="20"/>
          <w:lang w:val="en"/>
        </w:rPr>
        <w:tab/>
        <w:t>The petitioner indicates that given the</w:t>
      </w:r>
      <w:r w:rsidR="008E40FA">
        <w:rPr>
          <w:rFonts w:asciiTheme="majorHAnsi" w:hAnsiTheme="majorHAnsi"/>
          <w:sz w:val="20"/>
          <w:szCs w:val="20"/>
          <w:lang w:val="en"/>
        </w:rPr>
        <w:t>se</w:t>
      </w:r>
      <w:r>
        <w:rPr>
          <w:rFonts w:asciiTheme="majorHAnsi" w:hAnsiTheme="majorHAnsi"/>
          <w:sz w:val="20"/>
          <w:szCs w:val="20"/>
          <w:lang w:val="en"/>
        </w:rPr>
        <w:t xml:space="preserve"> incidents,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filed a criminal complaint with </w:t>
      </w:r>
      <w:r w:rsidR="008E40FA">
        <w:rPr>
          <w:rFonts w:asciiTheme="majorHAnsi" w:hAnsiTheme="majorHAnsi"/>
          <w:sz w:val="20"/>
          <w:szCs w:val="20"/>
          <w:lang w:val="en"/>
        </w:rPr>
        <w:t xml:space="preserve">the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Public Prosecutor’s Office on April 29, 2008. </w:t>
      </w:r>
      <w:r w:rsidR="008E40FA">
        <w:rPr>
          <w:rFonts w:asciiTheme="majorHAnsi" w:hAnsiTheme="majorHAnsi"/>
          <w:sz w:val="20"/>
          <w:szCs w:val="20"/>
          <w:lang w:val="en"/>
        </w:rPr>
        <w:t>However, o</w:t>
      </w:r>
      <w:r>
        <w:rPr>
          <w:rFonts w:asciiTheme="majorHAnsi" w:hAnsiTheme="majorHAnsi"/>
          <w:sz w:val="20"/>
          <w:szCs w:val="20"/>
          <w:lang w:val="en"/>
        </w:rPr>
        <w:t xml:space="preserve">n October 9, 2008, the prosecutor in charge of the case </w:t>
      </w:r>
      <w:r w:rsidR="008E40FA">
        <w:rPr>
          <w:rFonts w:asciiTheme="majorHAnsi" w:hAnsiTheme="majorHAnsi"/>
          <w:sz w:val="20"/>
          <w:szCs w:val="20"/>
          <w:lang w:val="en"/>
        </w:rPr>
        <w:t xml:space="preserve">rejected </w:t>
      </w:r>
      <w:r>
        <w:rPr>
          <w:rFonts w:asciiTheme="majorHAnsi" w:hAnsiTheme="majorHAnsi"/>
          <w:sz w:val="20"/>
          <w:szCs w:val="20"/>
          <w:lang w:val="en"/>
        </w:rPr>
        <w:t xml:space="preserve">her complaint, </w:t>
      </w:r>
      <w:r w:rsidR="008E40FA">
        <w:rPr>
          <w:rFonts w:asciiTheme="majorHAnsi" w:hAnsiTheme="majorHAnsi"/>
          <w:sz w:val="20"/>
          <w:szCs w:val="20"/>
          <w:lang w:val="en"/>
        </w:rPr>
        <w:t xml:space="preserve">in the petitioner’s view </w:t>
      </w:r>
      <w:r>
        <w:rPr>
          <w:rFonts w:asciiTheme="majorHAnsi" w:hAnsiTheme="majorHAnsi"/>
          <w:sz w:val="20"/>
          <w:szCs w:val="20"/>
          <w:lang w:val="en"/>
        </w:rPr>
        <w:t xml:space="preserve">without providing </w:t>
      </w:r>
      <w:r w:rsidR="0083092E">
        <w:rPr>
          <w:rFonts w:asciiTheme="majorHAnsi" w:hAnsiTheme="majorHAnsi"/>
          <w:sz w:val="20"/>
          <w:szCs w:val="20"/>
          <w:lang w:val="en"/>
        </w:rPr>
        <w:t xml:space="preserve">a </w:t>
      </w:r>
      <w:r w:rsidR="008E40FA">
        <w:rPr>
          <w:rFonts w:asciiTheme="majorHAnsi" w:hAnsiTheme="majorHAnsi"/>
          <w:sz w:val="20"/>
          <w:szCs w:val="20"/>
          <w:lang w:val="en"/>
        </w:rPr>
        <w:t>legal justification for that resolution</w:t>
      </w:r>
      <w:r>
        <w:rPr>
          <w:rFonts w:asciiTheme="majorHAnsi" w:hAnsiTheme="majorHAnsi"/>
          <w:sz w:val="20"/>
          <w:szCs w:val="20"/>
          <w:lang w:val="en"/>
        </w:rPr>
        <w:t xml:space="preserve">. On December 3, this decision was referred to </w:t>
      </w:r>
      <w:r w:rsidR="00FF05BD">
        <w:rPr>
          <w:rFonts w:asciiTheme="majorHAnsi" w:hAnsiTheme="majorHAnsi"/>
          <w:sz w:val="20"/>
          <w:szCs w:val="20"/>
          <w:lang w:val="en"/>
        </w:rPr>
        <w:t xml:space="preserve">the </w:t>
      </w:r>
      <w:r>
        <w:rPr>
          <w:rFonts w:asciiTheme="majorHAnsi" w:hAnsiTheme="majorHAnsi"/>
          <w:sz w:val="20"/>
          <w:szCs w:val="20"/>
          <w:lang w:val="en"/>
        </w:rPr>
        <w:t xml:space="preserve">Santa Cruz District Prosecutor for review; at the same time, it was appealed by the petitioner. On December 24, 2008, the </w:t>
      </w:r>
      <w:r w:rsidR="00FF05BD">
        <w:rPr>
          <w:rFonts w:asciiTheme="majorHAnsi" w:hAnsiTheme="majorHAnsi"/>
          <w:sz w:val="20"/>
          <w:szCs w:val="20"/>
          <w:lang w:val="en"/>
        </w:rPr>
        <w:t xml:space="preserve">Santa Cruz </w:t>
      </w:r>
      <w:r w:rsidR="00774E18">
        <w:rPr>
          <w:rFonts w:asciiTheme="majorHAnsi" w:hAnsiTheme="majorHAnsi"/>
          <w:sz w:val="20"/>
          <w:szCs w:val="20"/>
          <w:lang w:val="en"/>
        </w:rPr>
        <w:t>D</w:t>
      </w:r>
      <w:r>
        <w:rPr>
          <w:rFonts w:asciiTheme="majorHAnsi" w:hAnsiTheme="majorHAnsi"/>
          <w:sz w:val="20"/>
          <w:szCs w:val="20"/>
          <w:lang w:val="en"/>
        </w:rPr>
        <w:t xml:space="preserve">istrict </w:t>
      </w:r>
      <w:r w:rsidR="00774E18">
        <w:rPr>
          <w:rFonts w:asciiTheme="majorHAnsi" w:hAnsiTheme="majorHAnsi"/>
          <w:sz w:val="20"/>
          <w:szCs w:val="20"/>
          <w:lang w:val="en"/>
        </w:rPr>
        <w:t>Public P</w:t>
      </w:r>
      <w:r>
        <w:rPr>
          <w:rFonts w:asciiTheme="majorHAnsi" w:hAnsiTheme="majorHAnsi"/>
          <w:sz w:val="20"/>
          <w:szCs w:val="20"/>
          <w:lang w:val="en"/>
        </w:rPr>
        <w:t xml:space="preserve">rosecutor confirmed the </w:t>
      </w:r>
      <w:r w:rsidR="00774E18">
        <w:rPr>
          <w:rFonts w:asciiTheme="majorHAnsi" w:hAnsiTheme="majorHAnsi"/>
          <w:sz w:val="20"/>
          <w:szCs w:val="20"/>
          <w:lang w:val="en"/>
        </w:rPr>
        <w:t>dismissal</w:t>
      </w:r>
      <w:r>
        <w:rPr>
          <w:rFonts w:asciiTheme="majorHAnsi" w:hAnsiTheme="majorHAnsi"/>
          <w:sz w:val="20"/>
          <w:szCs w:val="20"/>
          <w:lang w:val="en"/>
        </w:rPr>
        <w:t xml:space="preserve">. </w:t>
      </w:r>
      <w:r w:rsidR="008E40FA">
        <w:rPr>
          <w:rFonts w:asciiTheme="majorHAnsi" w:hAnsiTheme="majorHAnsi"/>
          <w:sz w:val="20"/>
          <w:szCs w:val="20"/>
          <w:lang w:val="en"/>
        </w:rPr>
        <w:t>P</w:t>
      </w:r>
      <w:r>
        <w:rPr>
          <w:rFonts w:asciiTheme="majorHAnsi" w:hAnsiTheme="majorHAnsi"/>
          <w:sz w:val="20"/>
          <w:szCs w:val="20"/>
          <w:lang w:val="en"/>
        </w:rPr>
        <w:t xml:space="preserve">etitioner </w:t>
      </w:r>
      <w:r w:rsidR="008E40FA">
        <w:rPr>
          <w:rFonts w:asciiTheme="majorHAnsi" w:hAnsiTheme="majorHAnsi"/>
          <w:sz w:val="20"/>
          <w:szCs w:val="20"/>
          <w:lang w:val="en"/>
        </w:rPr>
        <w:t xml:space="preserve">claims </w:t>
      </w:r>
      <w:r>
        <w:rPr>
          <w:rFonts w:asciiTheme="majorHAnsi" w:hAnsiTheme="majorHAnsi"/>
          <w:sz w:val="20"/>
          <w:szCs w:val="20"/>
          <w:lang w:val="en"/>
        </w:rPr>
        <w:t>that</w:t>
      </w:r>
      <w:r w:rsidR="00774E18">
        <w:rPr>
          <w:rFonts w:asciiTheme="majorHAnsi" w:hAnsiTheme="majorHAnsi"/>
          <w:sz w:val="20"/>
          <w:szCs w:val="20"/>
          <w:lang w:val="en"/>
        </w:rPr>
        <w:t>,</w:t>
      </w:r>
      <w:r>
        <w:rPr>
          <w:rFonts w:asciiTheme="majorHAnsi" w:hAnsiTheme="majorHAnsi"/>
          <w:sz w:val="20"/>
          <w:szCs w:val="20"/>
          <w:lang w:val="en"/>
        </w:rPr>
        <w:t xml:space="preserve"> by a </w:t>
      </w:r>
      <w:r w:rsidR="00774E18">
        <w:rPr>
          <w:rFonts w:asciiTheme="majorHAnsi" w:hAnsiTheme="majorHAnsi"/>
          <w:sz w:val="20"/>
          <w:szCs w:val="20"/>
          <w:lang w:val="en"/>
        </w:rPr>
        <w:t>memorandum</w:t>
      </w:r>
      <w:r>
        <w:rPr>
          <w:rFonts w:asciiTheme="majorHAnsi" w:hAnsiTheme="majorHAnsi"/>
          <w:sz w:val="20"/>
          <w:szCs w:val="20"/>
          <w:lang w:val="en"/>
        </w:rPr>
        <w:t xml:space="preserve"> dated May 5, 2009, the District </w:t>
      </w:r>
      <w:r w:rsidR="00774E18">
        <w:rPr>
          <w:rFonts w:asciiTheme="majorHAnsi" w:hAnsiTheme="majorHAnsi"/>
          <w:sz w:val="20"/>
          <w:szCs w:val="20"/>
          <w:lang w:val="en"/>
        </w:rPr>
        <w:t xml:space="preserve">Public </w:t>
      </w:r>
      <w:r>
        <w:rPr>
          <w:rFonts w:asciiTheme="majorHAnsi" w:hAnsiTheme="majorHAnsi"/>
          <w:sz w:val="20"/>
          <w:szCs w:val="20"/>
          <w:lang w:val="en"/>
        </w:rPr>
        <w:t xml:space="preserve">Prosecutor </w:t>
      </w:r>
      <w:r w:rsidR="008E40FA">
        <w:rPr>
          <w:rFonts w:asciiTheme="majorHAnsi" w:hAnsiTheme="majorHAnsi"/>
          <w:sz w:val="20"/>
          <w:szCs w:val="20"/>
          <w:lang w:val="en"/>
        </w:rPr>
        <w:t>instructed the</w:t>
      </w:r>
      <w:r>
        <w:rPr>
          <w:rFonts w:asciiTheme="majorHAnsi" w:hAnsiTheme="majorHAnsi"/>
          <w:sz w:val="20"/>
          <w:szCs w:val="20"/>
          <w:lang w:val="en"/>
        </w:rPr>
        <w:t xml:space="preserve">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w:t>
      </w:r>
      <w:r w:rsidR="00774E18">
        <w:rPr>
          <w:rFonts w:asciiTheme="majorHAnsi" w:hAnsiTheme="majorHAnsi"/>
          <w:sz w:val="20"/>
          <w:szCs w:val="20"/>
          <w:lang w:val="en"/>
        </w:rPr>
        <w:t xml:space="preserve">Public </w:t>
      </w:r>
      <w:r>
        <w:rPr>
          <w:rFonts w:asciiTheme="majorHAnsi" w:hAnsiTheme="majorHAnsi"/>
          <w:sz w:val="20"/>
          <w:szCs w:val="20"/>
          <w:lang w:val="en"/>
        </w:rPr>
        <w:t xml:space="preserve">Prosecutor to reopen the investigation. On October 8, 2009,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submitted a request for information on the </w:t>
      </w:r>
      <w:r w:rsidR="00FF05BD">
        <w:rPr>
          <w:rFonts w:asciiTheme="majorHAnsi" w:hAnsiTheme="majorHAnsi"/>
          <w:sz w:val="20"/>
          <w:szCs w:val="20"/>
          <w:lang w:val="en"/>
        </w:rPr>
        <w:t xml:space="preserve">status of the </w:t>
      </w:r>
      <w:r w:rsidR="008E40FA">
        <w:rPr>
          <w:rFonts w:asciiTheme="majorHAnsi" w:hAnsiTheme="majorHAnsi"/>
          <w:sz w:val="20"/>
          <w:szCs w:val="20"/>
          <w:lang w:val="en"/>
        </w:rPr>
        <w:t>procedure</w:t>
      </w:r>
      <w:r w:rsidR="00FF05BD">
        <w:rPr>
          <w:rFonts w:asciiTheme="majorHAnsi" w:hAnsiTheme="majorHAnsi"/>
          <w:sz w:val="20"/>
          <w:szCs w:val="20"/>
          <w:lang w:val="en"/>
        </w:rPr>
        <w:t>,</w:t>
      </w:r>
      <w:r w:rsidR="008E40FA">
        <w:rPr>
          <w:rFonts w:asciiTheme="majorHAnsi" w:hAnsiTheme="majorHAnsi"/>
          <w:sz w:val="20"/>
          <w:szCs w:val="20"/>
          <w:lang w:val="en"/>
        </w:rPr>
        <w:t xml:space="preserve"> </w:t>
      </w:r>
      <w:r w:rsidR="00E741D8">
        <w:rPr>
          <w:rFonts w:asciiTheme="majorHAnsi" w:hAnsiTheme="majorHAnsi"/>
          <w:sz w:val="20"/>
          <w:szCs w:val="20"/>
          <w:lang w:val="en"/>
        </w:rPr>
        <w:t>in which she</w:t>
      </w:r>
      <w:r>
        <w:rPr>
          <w:rFonts w:asciiTheme="majorHAnsi" w:hAnsiTheme="majorHAnsi"/>
          <w:sz w:val="20"/>
          <w:szCs w:val="20"/>
          <w:lang w:val="en"/>
        </w:rPr>
        <w:t xml:space="preserve"> invok</w:t>
      </w:r>
      <w:r w:rsidR="00E741D8">
        <w:rPr>
          <w:rFonts w:asciiTheme="majorHAnsi" w:hAnsiTheme="majorHAnsi"/>
          <w:sz w:val="20"/>
          <w:szCs w:val="20"/>
          <w:lang w:val="en"/>
        </w:rPr>
        <w:t>ed</w:t>
      </w:r>
      <w:r>
        <w:rPr>
          <w:rFonts w:asciiTheme="majorHAnsi" w:hAnsiTheme="majorHAnsi"/>
          <w:sz w:val="20"/>
          <w:szCs w:val="20"/>
          <w:lang w:val="en"/>
        </w:rPr>
        <w:t xml:space="preserve"> th</w:t>
      </w:r>
      <w:r w:rsidR="00774E18">
        <w:rPr>
          <w:rFonts w:asciiTheme="majorHAnsi" w:hAnsiTheme="majorHAnsi"/>
          <w:sz w:val="20"/>
          <w:szCs w:val="20"/>
          <w:lang w:val="en"/>
        </w:rPr>
        <w:t>at</w:t>
      </w:r>
      <w:r>
        <w:rPr>
          <w:rFonts w:asciiTheme="majorHAnsi" w:hAnsiTheme="majorHAnsi"/>
          <w:sz w:val="20"/>
          <w:szCs w:val="20"/>
          <w:lang w:val="en"/>
        </w:rPr>
        <w:t xml:space="preserve"> memorandum and requested </w:t>
      </w:r>
      <w:r w:rsidR="00FF05BD">
        <w:rPr>
          <w:rFonts w:asciiTheme="majorHAnsi" w:hAnsiTheme="majorHAnsi"/>
          <w:sz w:val="20"/>
          <w:szCs w:val="20"/>
          <w:lang w:val="en"/>
        </w:rPr>
        <w:t xml:space="preserve">a </w:t>
      </w:r>
      <w:r>
        <w:rPr>
          <w:rFonts w:asciiTheme="majorHAnsi" w:hAnsiTheme="majorHAnsi"/>
          <w:sz w:val="20"/>
          <w:szCs w:val="20"/>
          <w:lang w:val="en"/>
        </w:rPr>
        <w:t>reopen</w:t>
      </w:r>
      <w:r w:rsidR="00FF05BD">
        <w:rPr>
          <w:rFonts w:asciiTheme="majorHAnsi" w:hAnsiTheme="majorHAnsi"/>
          <w:sz w:val="20"/>
          <w:szCs w:val="20"/>
          <w:lang w:val="en"/>
        </w:rPr>
        <w:t>ing of</w:t>
      </w:r>
      <w:r>
        <w:rPr>
          <w:rFonts w:asciiTheme="majorHAnsi" w:hAnsiTheme="majorHAnsi"/>
          <w:sz w:val="20"/>
          <w:szCs w:val="20"/>
          <w:lang w:val="en"/>
        </w:rPr>
        <w:t xml:space="preserve"> the investigation. </w:t>
      </w:r>
      <w:r w:rsidR="00774E18">
        <w:rPr>
          <w:rFonts w:asciiTheme="majorHAnsi" w:hAnsiTheme="majorHAnsi"/>
          <w:sz w:val="20"/>
          <w:szCs w:val="20"/>
          <w:lang w:val="en"/>
        </w:rPr>
        <w:t>However, b</w:t>
      </w:r>
      <w:r>
        <w:rPr>
          <w:rFonts w:asciiTheme="majorHAnsi" w:hAnsiTheme="majorHAnsi"/>
          <w:sz w:val="20"/>
          <w:szCs w:val="20"/>
          <w:lang w:val="en"/>
        </w:rPr>
        <w:t xml:space="preserve">y an official letter dated October 12, 2009, </w:t>
      </w:r>
      <w:r w:rsidR="008E40FA">
        <w:rPr>
          <w:rFonts w:asciiTheme="majorHAnsi" w:hAnsiTheme="majorHAnsi"/>
          <w:sz w:val="20"/>
          <w:szCs w:val="20"/>
          <w:lang w:val="en"/>
        </w:rPr>
        <w:t xml:space="preserve">the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Public Prosecutor’s Office denied her request on the grounds that</w:t>
      </w:r>
      <w:r w:rsidR="00FF05BD">
        <w:rPr>
          <w:rFonts w:asciiTheme="majorHAnsi" w:hAnsiTheme="majorHAnsi"/>
          <w:sz w:val="20"/>
          <w:szCs w:val="20"/>
          <w:lang w:val="en"/>
        </w:rPr>
        <w:t>,</w:t>
      </w:r>
      <w:r>
        <w:rPr>
          <w:rFonts w:asciiTheme="majorHAnsi" w:hAnsiTheme="majorHAnsi"/>
          <w:sz w:val="20"/>
          <w:szCs w:val="20"/>
          <w:lang w:val="en"/>
        </w:rPr>
        <w:t xml:space="preserve"> </w:t>
      </w:r>
      <w:r w:rsidR="00774E18">
        <w:rPr>
          <w:rFonts w:asciiTheme="majorHAnsi" w:hAnsiTheme="majorHAnsi"/>
          <w:sz w:val="20"/>
          <w:szCs w:val="20"/>
          <w:lang w:val="en"/>
        </w:rPr>
        <w:t xml:space="preserve">since </w:t>
      </w:r>
      <w:r>
        <w:rPr>
          <w:rFonts w:asciiTheme="majorHAnsi" w:hAnsiTheme="majorHAnsi"/>
          <w:sz w:val="20"/>
          <w:szCs w:val="20"/>
          <w:lang w:val="en"/>
        </w:rPr>
        <w:t>the instruction in th</w:t>
      </w:r>
      <w:r w:rsidR="00774E18">
        <w:rPr>
          <w:rFonts w:asciiTheme="majorHAnsi" w:hAnsiTheme="majorHAnsi"/>
          <w:sz w:val="20"/>
          <w:szCs w:val="20"/>
          <w:lang w:val="en"/>
        </w:rPr>
        <w:t>e</w:t>
      </w:r>
      <w:r>
        <w:rPr>
          <w:rFonts w:asciiTheme="majorHAnsi" w:hAnsiTheme="majorHAnsi"/>
          <w:sz w:val="20"/>
          <w:szCs w:val="20"/>
          <w:lang w:val="en"/>
        </w:rPr>
        <w:t xml:space="preserve"> memorandum </w:t>
      </w:r>
      <w:r w:rsidR="00774E18">
        <w:rPr>
          <w:rFonts w:asciiTheme="majorHAnsi" w:hAnsiTheme="majorHAnsi"/>
          <w:sz w:val="20"/>
          <w:szCs w:val="20"/>
          <w:lang w:val="en"/>
        </w:rPr>
        <w:t xml:space="preserve">had been </w:t>
      </w:r>
      <w:r w:rsidR="008E40FA">
        <w:rPr>
          <w:rFonts w:asciiTheme="majorHAnsi" w:hAnsiTheme="majorHAnsi"/>
          <w:sz w:val="20"/>
          <w:szCs w:val="20"/>
          <w:lang w:val="en"/>
        </w:rPr>
        <w:t xml:space="preserve">addressed </w:t>
      </w:r>
      <w:r>
        <w:rPr>
          <w:rFonts w:asciiTheme="majorHAnsi" w:hAnsiTheme="majorHAnsi"/>
          <w:sz w:val="20"/>
          <w:szCs w:val="20"/>
          <w:lang w:val="en"/>
        </w:rPr>
        <w:t xml:space="preserve">to the previous prosecutor, </w:t>
      </w:r>
      <w:r w:rsidR="001B3FBC">
        <w:rPr>
          <w:rFonts w:asciiTheme="majorHAnsi" w:hAnsiTheme="majorHAnsi"/>
          <w:sz w:val="20"/>
          <w:szCs w:val="20"/>
          <w:lang w:val="en"/>
        </w:rPr>
        <w:t xml:space="preserve">a decision to </w:t>
      </w:r>
      <w:r>
        <w:rPr>
          <w:rFonts w:asciiTheme="majorHAnsi" w:hAnsiTheme="majorHAnsi"/>
          <w:sz w:val="20"/>
          <w:szCs w:val="20"/>
          <w:lang w:val="en"/>
        </w:rPr>
        <w:t xml:space="preserve">reopen the case </w:t>
      </w:r>
      <w:r w:rsidR="00156BBA">
        <w:rPr>
          <w:rFonts w:asciiTheme="majorHAnsi" w:hAnsiTheme="majorHAnsi"/>
          <w:sz w:val="20"/>
          <w:szCs w:val="20"/>
          <w:lang w:val="en"/>
        </w:rPr>
        <w:t>was not in line</w:t>
      </w:r>
      <w:r>
        <w:rPr>
          <w:rFonts w:asciiTheme="majorHAnsi" w:hAnsiTheme="majorHAnsi"/>
          <w:sz w:val="20"/>
          <w:szCs w:val="20"/>
          <w:lang w:val="en"/>
        </w:rPr>
        <w:t>.</w:t>
      </w:r>
      <w:r w:rsidR="00774E18">
        <w:rPr>
          <w:rFonts w:asciiTheme="majorHAnsi" w:hAnsiTheme="majorHAnsi"/>
          <w:sz w:val="20"/>
          <w:szCs w:val="20"/>
          <w:lang w:val="en"/>
        </w:rPr>
        <w:t xml:space="preserve"> </w:t>
      </w:r>
    </w:p>
    <w:p w14:paraId="4A5B5A68" w14:textId="5FCCFB5D"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5.</w:t>
      </w:r>
      <w:r>
        <w:rPr>
          <w:rFonts w:asciiTheme="majorHAnsi" w:hAnsiTheme="majorHAnsi"/>
          <w:sz w:val="20"/>
          <w:szCs w:val="20"/>
          <w:lang w:val="en"/>
        </w:rPr>
        <w:tab/>
      </w:r>
      <w:r w:rsidR="00156BBA">
        <w:rPr>
          <w:rFonts w:asciiTheme="majorHAnsi" w:hAnsiTheme="majorHAnsi"/>
          <w:sz w:val="20"/>
          <w:szCs w:val="20"/>
          <w:lang w:val="en"/>
        </w:rPr>
        <w:t>T</w:t>
      </w:r>
      <w:r>
        <w:rPr>
          <w:rFonts w:asciiTheme="majorHAnsi" w:hAnsiTheme="majorHAnsi"/>
          <w:sz w:val="20"/>
          <w:szCs w:val="20"/>
          <w:lang w:val="en"/>
        </w:rPr>
        <w:t xml:space="preserve">he petitioner </w:t>
      </w:r>
      <w:r w:rsidR="00156BBA">
        <w:rPr>
          <w:rFonts w:asciiTheme="majorHAnsi" w:hAnsiTheme="majorHAnsi"/>
          <w:sz w:val="20"/>
          <w:szCs w:val="20"/>
          <w:lang w:val="en"/>
        </w:rPr>
        <w:t xml:space="preserve">claims, </w:t>
      </w:r>
      <w:r w:rsidR="00156BBA" w:rsidRPr="00156BBA">
        <w:rPr>
          <w:rFonts w:asciiTheme="majorHAnsi" w:hAnsiTheme="majorHAnsi"/>
          <w:i/>
          <w:iCs/>
          <w:sz w:val="20"/>
          <w:szCs w:val="20"/>
          <w:lang w:val="en"/>
        </w:rPr>
        <w:t>inter alia</w:t>
      </w:r>
      <w:r w:rsidR="00156BBA">
        <w:rPr>
          <w:rFonts w:asciiTheme="majorHAnsi" w:hAnsiTheme="majorHAnsi"/>
          <w:sz w:val="20"/>
          <w:szCs w:val="20"/>
          <w:lang w:val="en"/>
        </w:rPr>
        <w:t xml:space="preserve">, that </w:t>
      </w:r>
      <w:r>
        <w:rPr>
          <w:rFonts w:asciiTheme="majorHAnsi" w:hAnsiTheme="majorHAnsi"/>
          <w:sz w:val="20"/>
          <w:szCs w:val="20"/>
          <w:lang w:val="en"/>
        </w:rPr>
        <w:t>(</w:t>
      </w:r>
      <w:proofErr w:type="spellStart"/>
      <w:r>
        <w:rPr>
          <w:rFonts w:asciiTheme="majorHAnsi" w:hAnsiTheme="majorHAnsi"/>
          <w:sz w:val="20"/>
          <w:szCs w:val="20"/>
          <w:lang w:val="en"/>
        </w:rPr>
        <w:t>i</w:t>
      </w:r>
      <w:proofErr w:type="spellEnd"/>
      <w:r>
        <w:rPr>
          <w:rFonts w:asciiTheme="majorHAnsi" w:hAnsiTheme="majorHAnsi"/>
          <w:sz w:val="20"/>
          <w:szCs w:val="20"/>
          <w:lang w:val="en"/>
        </w:rPr>
        <w:t xml:space="preserve">) during that criminal investigation, the witnesses </w:t>
      </w:r>
      <w:r w:rsidR="00FF05BD">
        <w:rPr>
          <w:rFonts w:asciiTheme="majorHAnsi" w:hAnsiTheme="majorHAnsi"/>
          <w:sz w:val="20"/>
          <w:szCs w:val="20"/>
          <w:lang w:val="en"/>
        </w:rPr>
        <w:t xml:space="preserve">whose testimony was </w:t>
      </w:r>
      <w:r>
        <w:rPr>
          <w:rFonts w:asciiTheme="majorHAnsi" w:hAnsiTheme="majorHAnsi"/>
          <w:sz w:val="20"/>
          <w:szCs w:val="20"/>
          <w:lang w:val="en"/>
        </w:rPr>
        <w:t>requested in the complaint were not summoned</w:t>
      </w:r>
      <w:r w:rsidR="00156BBA">
        <w:rPr>
          <w:rFonts w:asciiTheme="majorHAnsi" w:hAnsiTheme="majorHAnsi"/>
          <w:sz w:val="20"/>
          <w:szCs w:val="20"/>
          <w:lang w:val="en"/>
        </w:rPr>
        <w:t xml:space="preserve"> to declare, even though</w:t>
      </w:r>
      <w:r>
        <w:rPr>
          <w:rFonts w:asciiTheme="majorHAnsi" w:hAnsiTheme="majorHAnsi"/>
          <w:sz w:val="20"/>
          <w:szCs w:val="20"/>
          <w:lang w:val="en"/>
        </w:rPr>
        <w:t xml:space="preserve"> their statements were of critical </w:t>
      </w:r>
      <w:r w:rsidR="00156BBA">
        <w:rPr>
          <w:rFonts w:asciiTheme="majorHAnsi" w:hAnsiTheme="majorHAnsi"/>
          <w:sz w:val="20"/>
          <w:szCs w:val="20"/>
          <w:lang w:val="en"/>
        </w:rPr>
        <w:t>importance</w:t>
      </w:r>
      <w:r>
        <w:rPr>
          <w:rFonts w:asciiTheme="majorHAnsi" w:hAnsiTheme="majorHAnsi"/>
          <w:sz w:val="20"/>
          <w:szCs w:val="20"/>
          <w:lang w:val="en"/>
        </w:rPr>
        <w:t xml:space="preserve">; (ii) </w:t>
      </w:r>
      <w:r w:rsidR="00156BBA">
        <w:rPr>
          <w:rFonts w:asciiTheme="majorHAnsi" w:hAnsiTheme="majorHAnsi"/>
          <w:sz w:val="20"/>
          <w:szCs w:val="20"/>
          <w:lang w:val="en"/>
        </w:rPr>
        <w:t xml:space="preserve">between the initiation and closure of </w:t>
      </w:r>
      <w:r>
        <w:rPr>
          <w:rFonts w:asciiTheme="majorHAnsi" w:hAnsiTheme="majorHAnsi"/>
          <w:sz w:val="20"/>
          <w:szCs w:val="20"/>
          <w:lang w:val="en"/>
        </w:rPr>
        <w:t xml:space="preserve">the investigation, the prosecutor in charge was replaced seven times for various reasons, </w:t>
      </w:r>
      <w:r w:rsidR="00156BBA">
        <w:rPr>
          <w:rFonts w:asciiTheme="majorHAnsi" w:hAnsiTheme="majorHAnsi"/>
          <w:sz w:val="20"/>
          <w:szCs w:val="20"/>
          <w:lang w:val="en"/>
        </w:rPr>
        <w:t xml:space="preserve">including </w:t>
      </w:r>
      <w:r>
        <w:rPr>
          <w:rFonts w:asciiTheme="majorHAnsi" w:hAnsiTheme="majorHAnsi"/>
          <w:sz w:val="20"/>
          <w:szCs w:val="20"/>
          <w:lang w:val="en"/>
        </w:rPr>
        <w:t>conflict</w:t>
      </w:r>
      <w:r w:rsidR="00156BBA">
        <w:rPr>
          <w:rFonts w:asciiTheme="majorHAnsi" w:hAnsiTheme="majorHAnsi"/>
          <w:sz w:val="20"/>
          <w:szCs w:val="20"/>
          <w:lang w:val="en"/>
        </w:rPr>
        <w:t>s</w:t>
      </w:r>
      <w:r>
        <w:rPr>
          <w:rFonts w:asciiTheme="majorHAnsi" w:hAnsiTheme="majorHAnsi"/>
          <w:sz w:val="20"/>
          <w:szCs w:val="20"/>
          <w:lang w:val="en"/>
        </w:rPr>
        <w:t xml:space="preserve"> of interest because of family relations with the defendants, removal from office, absenteeism, or dismissal from the investigation </w:t>
      </w:r>
      <w:r w:rsidR="00156BBA">
        <w:rPr>
          <w:rFonts w:asciiTheme="majorHAnsi" w:hAnsiTheme="majorHAnsi"/>
          <w:sz w:val="20"/>
          <w:szCs w:val="20"/>
          <w:lang w:val="en"/>
        </w:rPr>
        <w:t xml:space="preserve">for </w:t>
      </w:r>
      <w:r>
        <w:rPr>
          <w:rFonts w:asciiTheme="majorHAnsi" w:hAnsiTheme="majorHAnsi"/>
          <w:sz w:val="20"/>
          <w:szCs w:val="20"/>
          <w:lang w:val="en"/>
        </w:rPr>
        <w:t xml:space="preserve">undisclosed </w:t>
      </w:r>
      <w:r w:rsidR="00FF05BD">
        <w:rPr>
          <w:rFonts w:asciiTheme="majorHAnsi" w:hAnsiTheme="majorHAnsi"/>
          <w:sz w:val="20"/>
          <w:szCs w:val="20"/>
          <w:lang w:val="en"/>
        </w:rPr>
        <w:t>motives</w:t>
      </w:r>
      <w:r>
        <w:rPr>
          <w:rFonts w:asciiTheme="majorHAnsi" w:hAnsiTheme="majorHAnsi"/>
          <w:sz w:val="20"/>
          <w:szCs w:val="20"/>
          <w:lang w:val="en"/>
        </w:rPr>
        <w:t xml:space="preserve">; </w:t>
      </w:r>
      <w:r w:rsidR="00156BBA">
        <w:rPr>
          <w:rFonts w:asciiTheme="majorHAnsi" w:hAnsiTheme="majorHAnsi"/>
          <w:sz w:val="20"/>
          <w:szCs w:val="20"/>
          <w:lang w:val="en"/>
        </w:rPr>
        <w:t xml:space="preserve">and </w:t>
      </w:r>
      <w:r>
        <w:rPr>
          <w:rFonts w:asciiTheme="majorHAnsi" w:hAnsiTheme="majorHAnsi"/>
          <w:sz w:val="20"/>
          <w:szCs w:val="20"/>
          <w:lang w:val="en"/>
        </w:rPr>
        <w:t xml:space="preserve">(iii) the investigation was closed solely </w:t>
      </w:r>
      <w:r w:rsidR="00156BBA">
        <w:rPr>
          <w:rFonts w:asciiTheme="majorHAnsi" w:hAnsiTheme="majorHAnsi"/>
          <w:sz w:val="20"/>
          <w:szCs w:val="20"/>
          <w:lang w:val="en"/>
        </w:rPr>
        <w:t xml:space="preserve">based on </w:t>
      </w:r>
      <w:r>
        <w:rPr>
          <w:rFonts w:asciiTheme="majorHAnsi" w:hAnsiTheme="majorHAnsi"/>
          <w:sz w:val="20"/>
          <w:szCs w:val="20"/>
          <w:lang w:val="en"/>
        </w:rPr>
        <w:t xml:space="preserve">a police report claiming that a lack of coordination with the defense counsel had prevented some notifications from being </w:t>
      </w:r>
      <w:r w:rsidR="004E7ACE">
        <w:rPr>
          <w:rFonts w:asciiTheme="majorHAnsi" w:hAnsiTheme="majorHAnsi"/>
          <w:sz w:val="20"/>
          <w:szCs w:val="20"/>
          <w:lang w:val="en"/>
        </w:rPr>
        <w:t>served</w:t>
      </w:r>
      <w:r>
        <w:rPr>
          <w:rFonts w:asciiTheme="majorHAnsi" w:hAnsiTheme="majorHAnsi"/>
          <w:sz w:val="20"/>
          <w:szCs w:val="20"/>
          <w:lang w:val="en"/>
        </w:rPr>
        <w:t>.</w:t>
      </w:r>
      <w:r w:rsidR="004E7ACE">
        <w:rPr>
          <w:rFonts w:asciiTheme="majorHAnsi" w:hAnsiTheme="majorHAnsi"/>
          <w:sz w:val="20"/>
          <w:szCs w:val="20"/>
          <w:lang w:val="en"/>
        </w:rPr>
        <w:t xml:space="preserve"> </w:t>
      </w:r>
    </w:p>
    <w:p w14:paraId="2DA82FA2" w14:textId="6271B831"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6. </w:t>
      </w:r>
      <w:r>
        <w:rPr>
          <w:rFonts w:asciiTheme="majorHAnsi" w:hAnsiTheme="majorHAnsi"/>
          <w:sz w:val="20"/>
          <w:szCs w:val="20"/>
          <w:lang w:val="en"/>
        </w:rPr>
        <w:tab/>
      </w:r>
      <w:r w:rsidR="00156BBA">
        <w:rPr>
          <w:rFonts w:asciiTheme="majorHAnsi" w:hAnsiTheme="majorHAnsi"/>
          <w:sz w:val="20"/>
          <w:szCs w:val="20"/>
          <w:lang w:val="en"/>
        </w:rPr>
        <w:t>In sum</w:t>
      </w:r>
      <w:r>
        <w:rPr>
          <w:rFonts w:asciiTheme="majorHAnsi" w:hAnsiTheme="majorHAnsi"/>
          <w:sz w:val="20"/>
          <w:szCs w:val="20"/>
          <w:lang w:val="en"/>
        </w:rPr>
        <w:t xml:space="preserve">, the petitioner claims </w:t>
      </w:r>
      <w:r w:rsidR="00156BBA">
        <w:rPr>
          <w:rFonts w:asciiTheme="majorHAnsi" w:hAnsiTheme="majorHAnsi"/>
          <w:sz w:val="20"/>
          <w:szCs w:val="20"/>
          <w:lang w:val="en"/>
        </w:rPr>
        <w:t>that</w:t>
      </w:r>
      <w:r>
        <w:rPr>
          <w:rFonts w:asciiTheme="majorHAnsi" w:hAnsiTheme="majorHAnsi"/>
          <w:sz w:val="20"/>
          <w:szCs w:val="20"/>
          <w:lang w:val="en"/>
        </w:rPr>
        <w:t xml:space="preserve"> (a) Ms. </w:t>
      </w:r>
      <w:proofErr w:type="spellStart"/>
      <w:r>
        <w:rPr>
          <w:rFonts w:asciiTheme="majorHAnsi" w:hAnsiTheme="majorHAnsi"/>
          <w:sz w:val="20"/>
          <w:szCs w:val="20"/>
          <w:lang w:val="en"/>
        </w:rPr>
        <w:t>Estremadoiro</w:t>
      </w:r>
      <w:proofErr w:type="spellEnd"/>
      <w:r w:rsidR="00156BBA">
        <w:rPr>
          <w:rFonts w:asciiTheme="majorHAnsi" w:hAnsiTheme="majorHAnsi"/>
          <w:sz w:val="20"/>
          <w:szCs w:val="20"/>
          <w:lang w:val="en"/>
        </w:rPr>
        <w:t xml:space="preserve"> was a victim of</w:t>
      </w:r>
      <w:r>
        <w:rPr>
          <w:rFonts w:asciiTheme="majorHAnsi" w:hAnsiTheme="majorHAnsi"/>
          <w:sz w:val="20"/>
          <w:szCs w:val="20"/>
          <w:lang w:val="en"/>
        </w:rPr>
        <w:t xml:space="preserve"> torture</w:t>
      </w:r>
      <w:r w:rsidR="00156BBA">
        <w:rPr>
          <w:rFonts w:asciiTheme="majorHAnsi" w:hAnsiTheme="majorHAnsi"/>
          <w:sz w:val="20"/>
          <w:szCs w:val="20"/>
          <w:lang w:val="en"/>
        </w:rPr>
        <w:t>,</w:t>
      </w:r>
      <w:r>
        <w:rPr>
          <w:rFonts w:asciiTheme="majorHAnsi" w:hAnsiTheme="majorHAnsi"/>
          <w:sz w:val="20"/>
          <w:szCs w:val="20"/>
          <w:lang w:val="en"/>
        </w:rPr>
        <w:t xml:space="preserve"> because </w:t>
      </w:r>
      <w:r w:rsidR="00156BBA">
        <w:rPr>
          <w:rFonts w:asciiTheme="majorHAnsi" w:hAnsiTheme="majorHAnsi"/>
          <w:sz w:val="20"/>
          <w:szCs w:val="20"/>
          <w:lang w:val="en"/>
        </w:rPr>
        <w:t xml:space="preserve">the physical and psychological attacks she </w:t>
      </w:r>
      <w:proofErr w:type="spellStart"/>
      <w:r w:rsidR="00156BBA">
        <w:rPr>
          <w:rFonts w:asciiTheme="majorHAnsi" w:hAnsiTheme="majorHAnsi"/>
          <w:sz w:val="20"/>
          <w:szCs w:val="20"/>
          <w:lang w:val="en"/>
        </w:rPr>
        <w:t>sufffered</w:t>
      </w:r>
      <w:proofErr w:type="spellEnd"/>
      <w:r w:rsidR="00156BBA">
        <w:rPr>
          <w:rFonts w:asciiTheme="majorHAnsi" w:hAnsiTheme="majorHAnsi"/>
          <w:sz w:val="20"/>
          <w:szCs w:val="20"/>
          <w:lang w:val="en"/>
        </w:rPr>
        <w:t xml:space="preserve"> were </w:t>
      </w:r>
      <w:r>
        <w:rPr>
          <w:rFonts w:asciiTheme="majorHAnsi" w:hAnsiTheme="majorHAnsi"/>
          <w:sz w:val="20"/>
          <w:szCs w:val="20"/>
          <w:lang w:val="en"/>
        </w:rPr>
        <w:t>deliberately inflicted</w:t>
      </w:r>
      <w:r w:rsidR="00FF05BD">
        <w:rPr>
          <w:rFonts w:asciiTheme="majorHAnsi" w:hAnsiTheme="majorHAnsi"/>
          <w:sz w:val="20"/>
          <w:szCs w:val="20"/>
          <w:lang w:val="en"/>
        </w:rPr>
        <w:t xml:space="preserve"> upon her</w:t>
      </w:r>
      <w:r>
        <w:rPr>
          <w:rFonts w:asciiTheme="majorHAnsi" w:hAnsiTheme="majorHAnsi"/>
          <w:sz w:val="20"/>
          <w:szCs w:val="20"/>
          <w:lang w:val="en"/>
        </w:rPr>
        <w:t xml:space="preserve"> </w:t>
      </w:r>
      <w:r w:rsidR="00156BBA">
        <w:rPr>
          <w:rFonts w:asciiTheme="majorHAnsi" w:hAnsiTheme="majorHAnsi"/>
          <w:sz w:val="20"/>
          <w:szCs w:val="20"/>
          <w:lang w:val="en"/>
        </w:rPr>
        <w:t xml:space="preserve">for the purpose of making </w:t>
      </w:r>
      <w:r>
        <w:rPr>
          <w:rFonts w:asciiTheme="majorHAnsi" w:hAnsiTheme="majorHAnsi"/>
          <w:sz w:val="20"/>
          <w:szCs w:val="20"/>
          <w:lang w:val="en"/>
        </w:rPr>
        <w:t xml:space="preserve">her suffer; (b) her right to personal liberty </w:t>
      </w:r>
      <w:r w:rsidR="00156BBA">
        <w:rPr>
          <w:rFonts w:asciiTheme="majorHAnsi" w:hAnsiTheme="majorHAnsi"/>
          <w:sz w:val="20"/>
          <w:szCs w:val="20"/>
          <w:lang w:val="en"/>
        </w:rPr>
        <w:t xml:space="preserve">was violated, </w:t>
      </w:r>
      <w:r>
        <w:rPr>
          <w:rFonts w:asciiTheme="majorHAnsi" w:hAnsiTheme="majorHAnsi"/>
          <w:sz w:val="20"/>
          <w:szCs w:val="20"/>
          <w:lang w:val="en"/>
        </w:rPr>
        <w:t xml:space="preserve">because for several days she </w:t>
      </w:r>
      <w:r w:rsidR="00156BBA">
        <w:rPr>
          <w:rFonts w:asciiTheme="majorHAnsi" w:hAnsiTheme="majorHAnsi"/>
          <w:sz w:val="20"/>
          <w:szCs w:val="20"/>
          <w:lang w:val="en"/>
        </w:rPr>
        <w:t xml:space="preserve">was </w:t>
      </w:r>
      <w:r w:rsidR="00156BBA" w:rsidRPr="00156BBA">
        <w:rPr>
          <w:rFonts w:asciiTheme="majorHAnsi" w:hAnsiTheme="majorHAnsi"/>
          <w:i/>
          <w:iCs/>
          <w:sz w:val="20"/>
          <w:szCs w:val="20"/>
          <w:lang w:val="en"/>
        </w:rPr>
        <w:t>de facto</w:t>
      </w:r>
      <w:r w:rsidR="00156BBA">
        <w:rPr>
          <w:rFonts w:asciiTheme="majorHAnsi" w:hAnsiTheme="majorHAnsi"/>
          <w:sz w:val="20"/>
          <w:szCs w:val="20"/>
          <w:lang w:val="en"/>
        </w:rPr>
        <w:t xml:space="preserve"> retained in an illegal and  </w:t>
      </w:r>
      <w:r>
        <w:rPr>
          <w:rFonts w:asciiTheme="majorHAnsi" w:hAnsiTheme="majorHAnsi"/>
          <w:sz w:val="20"/>
          <w:szCs w:val="20"/>
          <w:lang w:val="en"/>
        </w:rPr>
        <w:t>arbitrary</w:t>
      </w:r>
      <w:r w:rsidR="00156BBA">
        <w:rPr>
          <w:rFonts w:asciiTheme="majorHAnsi" w:hAnsiTheme="majorHAnsi"/>
          <w:sz w:val="20"/>
          <w:szCs w:val="20"/>
          <w:lang w:val="en"/>
        </w:rPr>
        <w:t xml:space="preserve"> manner</w:t>
      </w:r>
      <w:r>
        <w:rPr>
          <w:rFonts w:asciiTheme="majorHAnsi" w:hAnsiTheme="majorHAnsi"/>
          <w:sz w:val="20"/>
          <w:szCs w:val="20"/>
          <w:lang w:val="en"/>
        </w:rPr>
        <w:t xml:space="preserve">; (c) her freedom of movement </w:t>
      </w:r>
      <w:r w:rsidR="00156BBA">
        <w:rPr>
          <w:rFonts w:asciiTheme="majorHAnsi" w:hAnsiTheme="majorHAnsi"/>
          <w:sz w:val="20"/>
          <w:szCs w:val="20"/>
          <w:lang w:val="en"/>
        </w:rPr>
        <w:t xml:space="preserve">was violated </w:t>
      </w:r>
      <w:r>
        <w:rPr>
          <w:rFonts w:asciiTheme="majorHAnsi" w:hAnsiTheme="majorHAnsi"/>
          <w:sz w:val="20"/>
          <w:szCs w:val="20"/>
          <w:lang w:val="en"/>
        </w:rPr>
        <w:t xml:space="preserve">because she was violently ambushed and </w:t>
      </w:r>
      <w:r w:rsidR="00156BBA">
        <w:rPr>
          <w:rFonts w:asciiTheme="majorHAnsi" w:hAnsiTheme="majorHAnsi"/>
          <w:sz w:val="20"/>
          <w:szCs w:val="20"/>
          <w:lang w:val="en"/>
        </w:rPr>
        <w:t xml:space="preserve">retained on the road she was traveling, as well as her right to private property, </w:t>
      </w:r>
      <w:r>
        <w:rPr>
          <w:rFonts w:asciiTheme="majorHAnsi" w:hAnsiTheme="majorHAnsi"/>
          <w:sz w:val="20"/>
          <w:szCs w:val="20"/>
          <w:lang w:val="en"/>
        </w:rPr>
        <w:t xml:space="preserve">since her belongings were </w:t>
      </w:r>
      <w:r w:rsidR="00156BBA">
        <w:rPr>
          <w:rFonts w:asciiTheme="majorHAnsi" w:hAnsiTheme="majorHAnsi"/>
          <w:sz w:val="20"/>
          <w:szCs w:val="20"/>
          <w:lang w:val="en"/>
        </w:rPr>
        <w:t xml:space="preserve">unjustifiably </w:t>
      </w:r>
      <w:r>
        <w:rPr>
          <w:rFonts w:asciiTheme="majorHAnsi" w:hAnsiTheme="majorHAnsi"/>
          <w:sz w:val="20"/>
          <w:szCs w:val="20"/>
          <w:lang w:val="en"/>
        </w:rPr>
        <w:t xml:space="preserve">taken by </w:t>
      </w:r>
      <w:r w:rsidR="00156BBA">
        <w:rPr>
          <w:rFonts w:asciiTheme="majorHAnsi" w:hAnsiTheme="majorHAnsi"/>
          <w:sz w:val="20"/>
          <w:szCs w:val="20"/>
          <w:lang w:val="en"/>
        </w:rPr>
        <w:t xml:space="preserve">the persons </w:t>
      </w:r>
      <w:r>
        <w:rPr>
          <w:rFonts w:asciiTheme="majorHAnsi" w:hAnsiTheme="majorHAnsi"/>
          <w:sz w:val="20"/>
          <w:szCs w:val="20"/>
          <w:lang w:val="en"/>
        </w:rPr>
        <w:t xml:space="preserve">who </w:t>
      </w:r>
      <w:r w:rsidR="00156BBA">
        <w:rPr>
          <w:rFonts w:asciiTheme="majorHAnsi" w:hAnsiTheme="majorHAnsi"/>
          <w:sz w:val="20"/>
          <w:szCs w:val="20"/>
          <w:lang w:val="en"/>
        </w:rPr>
        <w:t xml:space="preserve">retained and assaulted </w:t>
      </w:r>
      <w:r>
        <w:rPr>
          <w:rFonts w:asciiTheme="majorHAnsi" w:hAnsiTheme="majorHAnsi"/>
          <w:sz w:val="20"/>
          <w:szCs w:val="20"/>
          <w:lang w:val="en"/>
        </w:rPr>
        <w:t xml:space="preserve">the caravan; (d) </w:t>
      </w:r>
      <w:r w:rsidR="00156BBA">
        <w:rPr>
          <w:rFonts w:asciiTheme="majorHAnsi" w:hAnsiTheme="majorHAnsi"/>
          <w:sz w:val="20"/>
          <w:szCs w:val="20"/>
          <w:lang w:val="en"/>
        </w:rPr>
        <w:t xml:space="preserve">her </w:t>
      </w:r>
      <w:r>
        <w:rPr>
          <w:rFonts w:asciiTheme="majorHAnsi" w:hAnsiTheme="majorHAnsi"/>
          <w:sz w:val="20"/>
          <w:szCs w:val="20"/>
          <w:lang w:val="en"/>
        </w:rPr>
        <w:t xml:space="preserve">rights to a fair trial and to judicial protection </w:t>
      </w:r>
      <w:r w:rsidR="00156BBA">
        <w:rPr>
          <w:rFonts w:asciiTheme="majorHAnsi" w:hAnsiTheme="majorHAnsi"/>
          <w:sz w:val="20"/>
          <w:szCs w:val="20"/>
          <w:lang w:val="en"/>
        </w:rPr>
        <w:t xml:space="preserve">were also violated, </w:t>
      </w:r>
      <w:r>
        <w:rPr>
          <w:rFonts w:asciiTheme="majorHAnsi" w:hAnsiTheme="majorHAnsi"/>
          <w:sz w:val="20"/>
          <w:szCs w:val="20"/>
          <w:lang w:val="en"/>
        </w:rPr>
        <w:t>because of the above</w:t>
      </w:r>
      <w:r w:rsidR="00FF05BD">
        <w:rPr>
          <w:rFonts w:asciiTheme="majorHAnsi" w:hAnsiTheme="majorHAnsi"/>
          <w:sz w:val="20"/>
          <w:szCs w:val="20"/>
          <w:lang w:val="en"/>
        </w:rPr>
        <w:t>-</w:t>
      </w:r>
      <w:r>
        <w:rPr>
          <w:rFonts w:asciiTheme="majorHAnsi" w:hAnsiTheme="majorHAnsi"/>
          <w:sz w:val="20"/>
          <w:szCs w:val="20"/>
          <w:lang w:val="en"/>
        </w:rPr>
        <w:t xml:space="preserve">mentioned irregularities in the criminal investigation </w:t>
      </w:r>
      <w:r w:rsidR="00FF05BD">
        <w:rPr>
          <w:rFonts w:asciiTheme="majorHAnsi" w:hAnsiTheme="majorHAnsi"/>
          <w:sz w:val="20"/>
          <w:szCs w:val="20"/>
          <w:lang w:val="en"/>
        </w:rPr>
        <w:t xml:space="preserve">that was </w:t>
      </w:r>
      <w:r w:rsidR="00156BBA">
        <w:rPr>
          <w:rFonts w:asciiTheme="majorHAnsi" w:hAnsiTheme="majorHAnsi"/>
          <w:sz w:val="20"/>
          <w:szCs w:val="20"/>
          <w:lang w:val="en"/>
        </w:rPr>
        <w:t xml:space="preserve">initiated </w:t>
      </w:r>
      <w:r>
        <w:rPr>
          <w:rFonts w:asciiTheme="majorHAnsi" w:hAnsiTheme="majorHAnsi"/>
          <w:sz w:val="20"/>
          <w:szCs w:val="20"/>
          <w:lang w:val="en"/>
        </w:rPr>
        <w:t>following the alleged victim’s complaint</w:t>
      </w:r>
      <w:r w:rsidR="00156BBA">
        <w:rPr>
          <w:rFonts w:asciiTheme="majorHAnsi" w:hAnsiTheme="majorHAnsi"/>
          <w:sz w:val="20"/>
          <w:szCs w:val="20"/>
          <w:lang w:val="en"/>
        </w:rPr>
        <w:t xml:space="preserve">, and </w:t>
      </w:r>
      <w:r>
        <w:rPr>
          <w:rFonts w:asciiTheme="majorHAnsi" w:hAnsiTheme="majorHAnsi"/>
          <w:sz w:val="20"/>
          <w:szCs w:val="20"/>
          <w:lang w:val="en"/>
        </w:rPr>
        <w:t>ultimately</w:t>
      </w:r>
      <w:r w:rsidR="00156BBA">
        <w:rPr>
          <w:rFonts w:asciiTheme="majorHAnsi" w:hAnsiTheme="majorHAnsi"/>
          <w:sz w:val="20"/>
          <w:szCs w:val="20"/>
          <w:lang w:val="en"/>
        </w:rPr>
        <w:t xml:space="preserve"> </w:t>
      </w:r>
      <w:r>
        <w:rPr>
          <w:rFonts w:asciiTheme="majorHAnsi" w:hAnsiTheme="majorHAnsi"/>
          <w:sz w:val="20"/>
          <w:szCs w:val="20"/>
          <w:lang w:val="en"/>
        </w:rPr>
        <w:t xml:space="preserve">because of the alleged </w:t>
      </w:r>
      <w:r w:rsidR="00156BBA">
        <w:rPr>
          <w:rFonts w:asciiTheme="majorHAnsi" w:hAnsiTheme="majorHAnsi"/>
          <w:sz w:val="20"/>
          <w:szCs w:val="20"/>
          <w:lang w:val="en"/>
        </w:rPr>
        <w:t xml:space="preserve">impunity in which these </w:t>
      </w:r>
      <w:r>
        <w:rPr>
          <w:rFonts w:asciiTheme="majorHAnsi" w:hAnsiTheme="majorHAnsi"/>
          <w:sz w:val="20"/>
          <w:szCs w:val="20"/>
          <w:lang w:val="en"/>
        </w:rPr>
        <w:t>incidents</w:t>
      </w:r>
      <w:r w:rsidR="00156BBA">
        <w:rPr>
          <w:rFonts w:asciiTheme="majorHAnsi" w:hAnsiTheme="majorHAnsi"/>
          <w:sz w:val="20"/>
          <w:szCs w:val="20"/>
          <w:lang w:val="en"/>
        </w:rPr>
        <w:t xml:space="preserve"> remain</w:t>
      </w:r>
      <w:r>
        <w:rPr>
          <w:rFonts w:asciiTheme="majorHAnsi" w:hAnsiTheme="majorHAnsi"/>
          <w:sz w:val="20"/>
          <w:szCs w:val="20"/>
          <w:lang w:val="en"/>
        </w:rPr>
        <w:t>;</w:t>
      </w:r>
      <w:r w:rsidR="00156BBA">
        <w:rPr>
          <w:rFonts w:asciiTheme="majorHAnsi" w:hAnsiTheme="majorHAnsi"/>
          <w:sz w:val="20"/>
          <w:szCs w:val="20"/>
          <w:lang w:val="en"/>
        </w:rPr>
        <w:t xml:space="preserve"> and</w:t>
      </w:r>
      <w:r>
        <w:rPr>
          <w:rFonts w:asciiTheme="majorHAnsi" w:hAnsiTheme="majorHAnsi"/>
          <w:sz w:val="20"/>
          <w:szCs w:val="20"/>
          <w:lang w:val="en"/>
        </w:rPr>
        <w:t xml:space="preserve"> (e) her </w:t>
      </w:r>
      <w:r w:rsidR="00156BBA">
        <w:rPr>
          <w:rFonts w:asciiTheme="majorHAnsi" w:hAnsiTheme="majorHAnsi"/>
          <w:sz w:val="20"/>
          <w:szCs w:val="20"/>
          <w:lang w:val="en"/>
        </w:rPr>
        <w:t xml:space="preserve">right to </w:t>
      </w:r>
      <w:r>
        <w:rPr>
          <w:rFonts w:asciiTheme="majorHAnsi" w:hAnsiTheme="majorHAnsi"/>
          <w:sz w:val="20"/>
          <w:szCs w:val="20"/>
          <w:lang w:val="en"/>
        </w:rPr>
        <w:t xml:space="preserve">freedom of expression </w:t>
      </w:r>
      <w:r w:rsidR="00156BBA">
        <w:rPr>
          <w:rFonts w:asciiTheme="majorHAnsi" w:hAnsiTheme="majorHAnsi"/>
          <w:sz w:val="20"/>
          <w:szCs w:val="20"/>
          <w:lang w:val="en"/>
        </w:rPr>
        <w:t xml:space="preserve">was curtailed, </w:t>
      </w:r>
      <w:r>
        <w:rPr>
          <w:rFonts w:asciiTheme="majorHAnsi" w:hAnsiTheme="majorHAnsi"/>
          <w:sz w:val="20"/>
          <w:szCs w:val="20"/>
          <w:lang w:val="en"/>
        </w:rPr>
        <w:t xml:space="preserve">because </w:t>
      </w:r>
      <w:r w:rsidR="00156BBA">
        <w:rPr>
          <w:rFonts w:asciiTheme="majorHAnsi" w:hAnsiTheme="majorHAnsi"/>
          <w:sz w:val="20"/>
          <w:szCs w:val="20"/>
          <w:lang w:val="en"/>
        </w:rPr>
        <w:t xml:space="preserve">in her capacity as a journalist she had been heading to </w:t>
      </w:r>
      <w:r>
        <w:rPr>
          <w:rFonts w:asciiTheme="majorHAnsi" w:hAnsiTheme="majorHAnsi"/>
          <w:sz w:val="20"/>
          <w:szCs w:val="20"/>
          <w:lang w:val="en"/>
        </w:rPr>
        <w:t xml:space="preserve">the indigenous ancestral territory of Alto </w:t>
      </w:r>
      <w:proofErr w:type="spellStart"/>
      <w:r>
        <w:rPr>
          <w:rFonts w:asciiTheme="majorHAnsi" w:hAnsiTheme="majorHAnsi"/>
          <w:sz w:val="20"/>
          <w:szCs w:val="20"/>
          <w:lang w:val="en"/>
        </w:rPr>
        <w:t>Parapetí</w:t>
      </w:r>
      <w:proofErr w:type="spellEnd"/>
      <w:r>
        <w:rPr>
          <w:rFonts w:asciiTheme="majorHAnsi" w:hAnsiTheme="majorHAnsi"/>
          <w:sz w:val="20"/>
          <w:szCs w:val="20"/>
          <w:lang w:val="en"/>
        </w:rPr>
        <w:t xml:space="preserve"> to make a documentary about the </w:t>
      </w:r>
      <w:r w:rsidR="00156BBA">
        <w:rPr>
          <w:rFonts w:asciiTheme="majorHAnsi" w:hAnsiTheme="majorHAnsi"/>
          <w:sz w:val="20"/>
          <w:szCs w:val="20"/>
          <w:lang w:val="en"/>
        </w:rPr>
        <w:t xml:space="preserve">situation of </w:t>
      </w:r>
      <w:r>
        <w:rPr>
          <w:rFonts w:asciiTheme="majorHAnsi" w:hAnsiTheme="majorHAnsi"/>
          <w:sz w:val="20"/>
          <w:szCs w:val="20"/>
          <w:lang w:val="en"/>
        </w:rPr>
        <w:t xml:space="preserve">slavery of </w:t>
      </w:r>
      <w:r w:rsidR="00156BBA">
        <w:rPr>
          <w:rFonts w:asciiTheme="majorHAnsi" w:hAnsiTheme="majorHAnsi"/>
          <w:sz w:val="20"/>
          <w:szCs w:val="20"/>
          <w:lang w:val="en"/>
        </w:rPr>
        <w:t xml:space="preserve">the captive </w:t>
      </w:r>
      <w:r>
        <w:rPr>
          <w:rFonts w:asciiTheme="majorHAnsi" w:hAnsiTheme="majorHAnsi"/>
          <w:sz w:val="20"/>
          <w:szCs w:val="20"/>
          <w:lang w:val="en"/>
        </w:rPr>
        <w:t xml:space="preserve">Guaraní families </w:t>
      </w:r>
      <w:r w:rsidR="00156BBA">
        <w:rPr>
          <w:rFonts w:asciiTheme="majorHAnsi" w:hAnsiTheme="majorHAnsi"/>
          <w:sz w:val="20"/>
          <w:szCs w:val="20"/>
          <w:lang w:val="en"/>
        </w:rPr>
        <w:t xml:space="preserve">of </w:t>
      </w:r>
      <w:r>
        <w:rPr>
          <w:rFonts w:asciiTheme="majorHAnsi" w:hAnsiTheme="majorHAnsi"/>
          <w:sz w:val="20"/>
          <w:szCs w:val="20"/>
          <w:lang w:val="en"/>
        </w:rPr>
        <w:t xml:space="preserve">that region. </w:t>
      </w:r>
      <w:r w:rsidR="00156BBA">
        <w:rPr>
          <w:rFonts w:asciiTheme="majorHAnsi" w:hAnsiTheme="majorHAnsi"/>
          <w:sz w:val="20"/>
          <w:szCs w:val="20"/>
          <w:lang w:val="en"/>
        </w:rPr>
        <w:t xml:space="preserve">In the </w:t>
      </w:r>
      <w:r>
        <w:rPr>
          <w:rFonts w:asciiTheme="majorHAnsi" w:hAnsiTheme="majorHAnsi"/>
          <w:sz w:val="20"/>
          <w:szCs w:val="20"/>
          <w:lang w:val="en"/>
        </w:rPr>
        <w:t>petitioner</w:t>
      </w:r>
      <w:r w:rsidR="00156BBA">
        <w:rPr>
          <w:rFonts w:asciiTheme="majorHAnsi" w:hAnsiTheme="majorHAnsi"/>
          <w:sz w:val="20"/>
          <w:szCs w:val="20"/>
          <w:lang w:val="en"/>
        </w:rPr>
        <w:t>’s view</w:t>
      </w:r>
      <w:r>
        <w:rPr>
          <w:rFonts w:asciiTheme="majorHAnsi" w:hAnsiTheme="majorHAnsi"/>
          <w:sz w:val="20"/>
          <w:szCs w:val="20"/>
          <w:lang w:val="en"/>
        </w:rPr>
        <w:t xml:space="preserve">, these </w:t>
      </w:r>
      <w:r w:rsidR="00156BBA">
        <w:rPr>
          <w:rFonts w:asciiTheme="majorHAnsi" w:hAnsiTheme="majorHAnsi"/>
          <w:sz w:val="20"/>
          <w:szCs w:val="20"/>
          <w:lang w:val="en"/>
        </w:rPr>
        <w:t xml:space="preserve">rights </w:t>
      </w:r>
      <w:r>
        <w:rPr>
          <w:rFonts w:asciiTheme="majorHAnsi" w:hAnsiTheme="majorHAnsi"/>
          <w:sz w:val="20"/>
          <w:szCs w:val="20"/>
          <w:lang w:val="en"/>
        </w:rPr>
        <w:t>violations are attributable to the State of Bolivia</w:t>
      </w:r>
      <w:r w:rsidR="00156BBA">
        <w:rPr>
          <w:rFonts w:asciiTheme="majorHAnsi" w:hAnsiTheme="majorHAnsi"/>
          <w:sz w:val="20"/>
          <w:szCs w:val="20"/>
          <w:lang w:val="en"/>
        </w:rPr>
        <w:t>,</w:t>
      </w:r>
      <w:r>
        <w:rPr>
          <w:rFonts w:asciiTheme="majorHAnsi" w:hAnsiTheme="majorHAnsi"/>
          <w:sz w:val="20"/>
          <w:szCs w:val="20"/>
          <w:lang w:val="en"/>
        </w:rPr>
        <w:t xml:space="preserve"> </w:t>
      </w:r>
      <w:r w:rsidR="00156BBA">
        <w:rPr>
          <w:rFonts w:asciiTheme="majorHAnsi" w:hAnsiTheme="majorHAnsi"/>
          <w:sz w:val="20"/>
          <w:szCs w:val="20"/>
          <w:lang w:val="en"/>
        </w:rPr>
        <w:t xml:space="preserve">insofar </w:t>
      </w:r>
      <w:r>
        <w:rPr>
          <w:rFonts w:asciiTheme="majorHAnsi" w:hAnsiTheme="majorHAnsi"/>
          <w:sz w:val="20"/>
          <w:szCs w:val="20"/>
          <w:lang w:val="en"/>
        </w:rPr>
        <w:t xml:space="preserve">as they were allegedly </w:t>
      </w:r>
      <w:r w:rsidR="00156BBA">
        <w:rPr>
          <w:rFonts w:asciiTheme="majorHAnsi" w:hAnsiTheme="majorHAnsi"/>
          <w:sz w:val="20"/>
          <w:szCs w:val="20"/>
          <w:lang w:val="en"/>
        </w:rPr>
        <w:t xml:space="preserve">perpetrated </w:t>
      </w:r>
      <w:r>
        <w:rPr>
          <w:rFonts w:asciiTheme="majorHAnsi" w:hAnsiTheme="majorHAnsi"/>
          <w:sz w:val="20"/>
          <w:szCs w:val="20"/>
          <w:lang w:val="en"/>
        </w:rPr>
        <w:t xml:space="preserve">by </w:t>
      </w:r>
      <w:r w:rsidR="00156BBA">
        <w:rPr>
          <w:rFonts w:asciiTheme="majorHAnsi" w:hAnsiTheme="majorHAnsi"/>
          <w:sz w:val="20"/>
          <w:szCs w:val="20"/>
          <w:lang w:val="en"/>
        </w:rPr>
        <w:t>its agents</w:t>
      </w:r>
      <w:r>
        <w:rPr>
          <w:rFonts w:asciiTheme="majorHAnsi" w:hAnsiTheme="majorHAnsi"/>
          <w:sz w:val="20"/>
          <w:szCs w:val="20"/>
          <w:lang w:val="en"/>
        </w:rPr>
        <w:t>: “</w:t>
      </w:r>
      <w:r>
        <w:rPr>
          <w:rFonts w:asciiTheme="majorHAnsi" w:hAnsiTheme="majorHAnsi"/>
          <w:i/>
          <w:iCs/>
          <w:sz w:val="20"/>
          <w:szCs w:val="20"/>
          <w:lang w:val="en"/>
        </w:rPr>
        <w:t xml:space="preserve">municipal </w:t>
      </w:r>
      <w:r w:rsidR="00156BBA">
        <w:rPr>
          <w:rFonts w:asciiTheme="majorHAnsi" w:hAnsiTheme="majorHAnsi"/>
          <w:i/>
          <w:iCs/>
          <w:sz w:val="20"/>
          <w:szCs w:val="20"/>
          <w:lang w:val="en"/>
        </w:rPr>
        <w:t>officers</w:t>
      </w:r>
      <w:r>
        <w:rPr>
          <w:rFonts w:asciiTheme="majorHAnsi" w:hAnsiTheme="majorHAnsi"/>
          <w:i/>
          <w:iCs/>
          <w:sz w:val="20"/>
          <w:szCs w:val="20"/>
          <w:lang w:val="en"/>
        </w:rPr>
        <w:t xml:space="preserve">, </w:t>
      </w:r>
      <w:r w:rsidR="005C29D6">
        <w:rPr>
          <w:rFonts w:asciiTheme="majorHAnsi" w:hAnsiTheme="majorHAnsi"/>
          <w:i/>
          <w:iCs/>
          <w:sz w:val="20"/>
          <w:szCs w:val="20"/>
          <w:lang w:val="en"/>
        </w:rPr>
        <w:t xml:space="preserve">military </w:t>
      </w:r>
      <w:r>
        <w:rPr>
          <w:rFonts w:asciiTheme="majorHAnsi" w:hAnsiTheme="majorHAnsi"/>
          <w:i/>
          <w:iCs/>
          <w:sz w:val="20"/>
          <w:szCs w:val="20"/>
          <w:lang w:val="en"/>
        </w:rPr>
        <w:t>offic</w:t>
      </w:r>
      <w:r w:rsidR="005C29D6">
        <w:rPr>
          <w:rFonts w:asciiTheme="majorHAnsi" w:hAnsiTheme="majorHAnsi"/>
          <w:i/>
          <w:iCs/>
          <w:sz w:val="20"/>
          <w:szCs w:val="20"/>
          <w:lang w:val="en"/>
        </w:rPr>
        <w:t xml:space="preserve">ials </w:t>
      </w:r>
      <w:r>
        <w:rPr>
          <w:rFonts w:asciiTheme="majorHAnsi" w:hAnsiTheme="majorHAnsi"/>
          <w:i/>
          <w:iCs/>
          <w:sz w:val="20"/>
          <w:szCs w:val="20"/>
          <w:lang w:val="en"/>
        </w:rPr>
        <w:t xml:space="preserve">and </w:t>
      </w:r>
      <w:r w:rsidR="00FF05BD">
        <w:rPr>
          <w:rFonts w:asciiTheme="majorHAnsi" w:hAnsiTheme="majorHAnsi"/>
          <w:i/>
          <w:iCs/>
          <w:sz w:val="20"/>
          <w:szCs w:val="20"/>
          <w:lang w:val="en"/>
        </w:rPr>
        <w:t xml:space="preserve">public </w:t>
      </w:r>
      <w:r>
        <w:rPr>
          <w:rFonts w:asciiTheme="majorHAnsi" w:hAnsiTheme="majorHAnsi"/>
          <w:i/>
          <w:iCs/>
          <w:sz w:val="20"/>
          <w:szCs w:val="20"/>
          <w:lang w:val="en"/>
        </w:rPr>
        <w:t xml:space="preserve">prosecutors, </w:t>
      </w:r>
      <w:r w:rsidR="005C29D6">
        <w:rPr>
          <w:rFonts w:asciiTheme="majorHAnsi" w:hAnsiTheme="majorHAnsi"/>
          <w:i/>
          <w:iCs/>
          <w:sz w:val="20"/>
          <w:szCs w:val="20"/>
          <w:lang w:val="en"/>
        </w:rPr>
        <w:t xml:space="preserve">as intellectual </w:t>
      </w:r>
      <w:r w:rsidR="005C29D6">
        <w:rPr>
          <w:rFonts w:asciiTheme="majorHAnsi" w:hAnsiTheme="majorHAnsi"/>
          <w:i/>
          <w:iCs/>
          <w:sz w:val="20"/>
          <w:szCs w:val="20"/>
          <w:lang w:val="en"/>
        </w:rPr>
        <w:lastRenderedPageBreak/>
        <w:t xml:space="preserve">and material authors, instigators, accomplices and </w:t>
      </w:r>
      <w:r>
        <w:rPr>
          <w:rFonts w:asciiTheme="majorHAnsi" w:hAnsiTheme="majorHAnsi"/>
          <w:i/>
          <w:iCs/>
          <w:sz w:val="20"/>
          <w:szCs w:val="20"/>
          <w:lang w:val="en"/>
        </w:rPr>
        <w:t>acces</w:t>
      </w:r>
      <w:r w:rsidR="00D3233D">
        <w:rPr>
          <w:rFonts w:asciiTheme="majorHAnsi" w:hAnsiTheme="majorHAnsi"/>
          <w:i/>
          <w:iCs/>
          <w:sz w:val="20"/>
          <w:szCs w:val="20"/>
          <w:lang w:val="en"/>
        </w:rPr>
        <w:t>s</w:t>
      </w:r>
      <w:r>
        <w:rPr>
          <w:rFonts w:asciiTheme="majorHAnsi" w:hAnsiTheme="majorHAnsi"/>
          <w:i/>
          <w:iCs/>
          <w:sz w:val="20"/>
          <w:szCs w:val="20"/>
          <w:lang w:val="en"/>
        </w:rPr>
        <w:t>ories</w:t>
      </w:r>
      <w:r w:rsidR="00E741D8">
        <w:rPr>
          <w:rFonts w:asciiTheme="majorHAnsi" w:hAnsiTheme="majorHAnsi"/>
          <w:i/>
          <w:iCs/>
          <w:sz w:val="20"/>
          <w:szCs w:val="20"/>
          <w:lang w:val="en"/>
        </w:rPr>
        <w:t>,</w:t>
      </w:r>
      <w:r>
        <w:rPr>
          <w:rFonts w:asciiTheme="majorHAnsi" w:hAnsiTheme="majorHAnsi"/>
          <w:i/>
          <w:iCs/>
          <w:sz w:val="20"/>
          <w:szCs w:val="20"/>
          <w:lang w:val="en"/>
        </w:rPr>
        <w:t xml:space="preserve"> were responsible for the </w:t>
      </w:r>
      <w:r w:rsidR="005C29D6">
        <w:rPr>
          <w:rFonts w:asciiTheme="majorHAnsi" w:hAnsiTheme="majorHAnsi"/>
          <w:i/>
          <w:iCs/>
          <w:sz w:val="20"/>
          <w:szCs w:val="20"/>
          <w:lang w:val="en"/>
        </w:rPr>
        <w:t xml:space="preserve">illegal </w:t>
      </w:r>
      <w:r>
        <w:rPr>
          <w:rFonts w:asciiTheme="majorHAnsi" w:hAnsiTheme="majorHAnsi"/>
          <w:i/>
          <w:iCs/>
          <w:sz w:val="20"/>
          <w:szCs w:val="20"/>
          <w:lang w:val="en"/>
        </w:rPr>
        <w:t xml:space="preserve">detention and </w:t>
      </w:r>
      <w:r w:rsidR="005C29D6">
        <w:rPr>
          <w:rFonts w:asciiTheme="majorHAnsi" w:hAnsiTheme="majorHAnsi"/>
          <w:i/>
          <w:iCs/>
          <w:sz w:val="20"/>
          <w:szCs w:val="20"/>
          <w:lang w:val="en"/>
        </w:rPr>
        <w:t xml:space="preserve">subjection to </w:t>
      </w:r>
      <w:r>
        <w:rPr>
          <w:rFonts w:asciiTheme="majorHAnsi" w:hAnsiTheme="majorHAnsi"/>
          <w:i/>
          <w:iCs/>
          <w:sz w:val="20"/>
          <w:szCs w:val="20"/>
          <w:lang w:val="en"/>
        </w:rPr>
        <w:t xml:space="preserve">torture of </w:t>
      </w:r>
      <w:proofErr w:type="spellStart"/>
      <w:r>
        <w:rPr>
          <w:rFonts w:asciiTheme="majorHAnsi" w:hAnsiTheme="majorHAnsi"/>
          <w:i/>
          <w:iCs/>
          <w:sz w:val="20"/>
          <w:szCs w:val="20"/>
          <w:lang w:val="en"/>
        </w:rPr>
        <w:t>Tanimbu</w:t>
      </w:r>
      <w:proofErr w:type="spellEnd"/>
      <w:r>
        <w:rPr>
          <w:rFonts w:asciiTheme="majorHAnsi" w:hAnsiTheme="majorHAnsi"/>
          <w:i/>
          <w:iCs/>
          <w:sz w:val="20"/>
          <w:szCs w:val="20"/>
          <w:lang w:val="en"/>
        </w:rPr>
        <w:t xml:space="preserve"> </w:t>
      </w:r>
      <w:proofErr w:type="spellStart"/>
      <w:r>
        <w:rPr>
          <w:rFonts w:asciiTheme="majorHAnsi" w:hAnsiTheme="majorHAnsi"/>
          <w:i/>
          <w:iCs/>
          <w:sz w:val="20"/>
          <w:szCs w:val="20"/>
          <w:lang w:val="en"/>
        </w:rPr>
        <w:t>Guiraendy</w:t>
      </w:r>
      <w:proofErr w:type="spellEnd"/>
      <w:r>
        <w:rPr>
          <w:rFonts w:asciiTheme="majorHAnsi" w:hAnsiTheme="majorHAnsi"/>
          <w:i/>
          <w:iCs/>
          <w:sz w:val="20"/>
          <w:szCs w:val="20"/>
          <w:lang w:val="en"/>
        </w:rPr>
        <w:t xml:space="preserve"> </w:t>
      </w:r>
      <w:proofErr w:type="spellStart"/>
      <w:r>
        <w:rPr>
          <w:rFonts w:asciiTheme="majorHAnsi" w:hAnsiTheme="majorHAnsi"/>
          <w:i/>
          <w:iCs/>
          <w:sz w:val="20"/>
          <w:szCs w:val="20"/>
          <w:lang w:val="en"/>
        </w:rPr>
        <w:t>Estremadoiro</w:t>
      </w:r>
      <w:proofErr w:type="spellEnd"/>
      <w:r>
        <w:rPr>
          <w:rFonts w:asciiTheme="majorHAnsi" w:hAnsiTheme="majorHAnsi"/>
          <w:i/>
          <w:iCs/>
          <w:sz w:val="20"/>
          <w:szCs w:val="20"/>
          <w:lang w:val="en"/>
        </w:rPr>
        <w:t xml:space="preserve"> Quiroz</w:t>
      </w:r>
      <w:r>
        <w:rPr>
          <w:rFonts w:asciiTheme="majorHAnsi" w:hAnsiTheme="majorHAnsi"/>
          <w:sz w:val="20"/>
          <w:szCs w:val="20"/>
          <w:lang w:val="en"/>
        </w:rPr>
        <w:t>.”</w:t>
      </w:r>
      <w:r>
        <w:rPr>
          <w:rFonts w:asciiTheme="majorHAnsi" w:hAnsiTheme="majorHAnsi"/>
          <w:i/>
          <w:iCs/>
          <w:sz w:val="20"/>
          <w:szCs w:val="20"/>
          <w:lang w:val="en"/>
        </w:rPr>
        <w:t xml:space="preserve"> </w:t>
      </w:r>
    </w:p>
    <w:p w14:paraId="28382A40" w14:textId="21A57F0D"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7. </w:t>
      </w:r>
      <w:r>
        <w:rPr>
          <w:rFonts w:asciiTheme="majorHAnsi" w:hAnsiTheme="majorHAnsi"/>
          <w:sz w:val="20"/>
          <w:szCs w:val="20"/>
          <w:lang w:val="en"/>
        </w:rPr>
        <w:tab/>
        <w:t>The Stat</w:t>
      </w:r>
      <w:r w:rsidR="005C29D6">
        <w:rPr>
          <w:rFonts w:asciiTheme="majorHAnsi" w:hAnsiTheme="majorHAnsi"/>
          <w:sz w:val="20"/>
          <w:szCs w:val="20"/>
          <w:lang w:val="en"/>
        </w:rPr>
        <w:t>e, in its response,</w:t>
      </w:r>
      <w:r>
        <w:rPr>
          <w:rFonts w:asciiTheme="majorHAnsi" w:hAnsiTheme="majorHAnsi"/>
          <w:sz w:val="20"/>
          <w:szCs w:val="20"/>
          <w:lang w:val="en"/>
        </w:rPr>
        <w:t xml:space="preserve"> </w:t>
      </w:r>
      <w:r w:rsidR="005C29D6">
        <w:rPr>
          <w:rFonts w:asciiTheme="majorHAnsi" w:hAnsiTheme="majorHAnsi"/>
          <w:sz w:val="20"/>
          <w:szCs w:val="20"/>
          <w:lang w:val="en"/>
        </w:rPr>
        <w:t xml:space="preserve">begins by contesting the claim of state </w:t>
      </w:r>
      <w:r>
        <w:rPr>
          <w:rFonts w:asciiTheme="majorHAnsi" w:hAnsiTheme="majorHAnsi"/>
          <w:sz w:val="20"/>
          <w:szCs w:val="20"/>
          <w:lang w:val="en"/>
        </w:rPr>
        <w:t>officials</w:t>
      </w:r>
      <w:r w:rsidR="00E40241">
        <w:rPr>
          <w:rFonts w:asciiTheme="majorHAnsi" w:hAnsiTheme="majorHAnsi"/>
          <w:sz w:val="20"/>
          <w:szCs w:val="20"/>
          <w:lang w:val="en"/>
        </w:rPr>
        <w:t xml:space="preserve">’ </w:t>
      </w:r>
      <w:r w:rsidR="005C29D6">
        <w:rPr>
          <w:rFonts w:asciiTheme="majorHAnsi" w:hAnsiTheme="majorHAnsi"/>
          <w:sz w:val="20"/>
          <w:szCs w:val="20"/>
          <w:lang w:val="en"/>
        </w:rPr>
        <w:t xml:space="preserve">alleged </w:t>
      </w:r>
      <w:r>
        <w:rPr>
          <w:rFonts w:asciiTheme="majorHAnsi" w:hAnsiTheme="majorHAnsi"/>
          <w:sz w:val="20"/>
          <w:szCs w:val="20"/>
          <w:lang w:val="en"/>
        </w:rPr>
        <w:t>participat</w:t>
      </w:r>
      <w:r w:rsidR="00E40241">
        <w:rPr>
          <w:rFonts w:asciiTheme="majorHAnsi" w:hAnsiTheme="majorHAnsi"/>
          <w:sz w:val="20"/>
          <w:szCs w:val="20"/>
          <w:lang w:val="en"/>
        </w:rPr>
        <w:t>ion</w:t>
      </w:r>
      <w:r>
        <w:rPr>
          <w:rFonts w:asciiTheme="majorHAnsi" w:hAnsiTheme="majorHAnsi"/>
          <w:sz w:val="20"/>
          <w:szCs w:val="20"/>
          <w:lang w:val="en"/>
        </w:rPr>
        <w:t xml:space="preserve"> in the </w:t>
      </w:r>
      <w:r w:rsidR="005C29D6">
        <w:rPr>
          <w:rFonts w:asciiTheme="majorHAnsi" w:hAnsiTheme="majorHAnsi"/>
          <w:sz w:val="20"/>
          <w:szCs w:val="20"/>
          <w:lang w:val="en"/>
        </w:rPr>
        <w:t>r</w:t>
      </w:r>
      <w:r>
        <w:rPr>
          <w:rFonts w:asciiTheme="majorHAnsi" w:hAnsiTheme="majorHAnsi"/>
          <w:sz w:val="20"/>
          <w:szCs w:val="20"/>
          <w:lang w:val="en"/>
        </w:rPr>
        <w:t xml:space="preserve">etention and </w:t>
      </w:r>
      <w:r w:rsidR="005C29D6">
        <w:rPr>
          <w:rFonts w:asciiTheme="majorHAnsi" w:hAnsiTheme="majorHAnsi"/>
          <w:sz w:val="20"/>
          <w:szCs w:val="20"/>
          <w:lang w:val="en"/>
        </w:rPr>
        <w:t xml:space="preserve">mistreatment </w:t>
      </w:r>
      <w:r>
        <w:rPr>
          <w:rFonts w:asciiTheme="majorHAnsi" w:hAnsiTheme="majorHAnsi"/>
          <w:sz w:val="20"/>
          <w:szCs w:val="20"/>
          <w:lang w:val="en"/>
        </w:rPr>
        <w:t xml:space="preserve">of 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arguing that th</w:t>
      </w:r>
      <w:r w:rsidR="005C29D6">
        <w:rPr>
          <w:rFonts w:asciiTheme="majorHAnsi" w:hAnsiTheme="majorHAnsi"/>
          <w:sz w:val="20"/>
          <w:szCs w:val="20"/>
          <w:lang w:val="en"/>
        </w:rPr>
        <w:t>ese</w:t>
      </w:r>
      <w:r>
        <w:rPr>
          <w:rFonts w:asciiTheme="majorHAnsi" w:hAnsiTheme="majorHAnsi"/>
          <w:sz w:val="20"/>
          <w:szCs w:val="20"/>
          <w:lang w:val="en"/>
        </w:rPr>
        <w:t xml:space="preserve"> </w:t>
      </w:r>
      <w:r w:rsidR="00FF05BD">
        <w:rPr>
          <w:rFonts w:asciiTheme="majorHAnsi" w:hAnsiTheme="majorHAnsi"/>
          <w:sz w:val="20"/>
          <w:szCs w:val="20"/>
          <w:lang w:val="en"/>
        </w:rPr>
        <w:t xml:space="preserve">acts </w:t>
      </w:r>
      <w:r>
        <w:rPr>
          <w:rFonts w:asciiTheme="majorHAnsi" w:hAnsiTheme="majorHAnsi"/>
          <w:sz w:val="20"/>
          <w:szCs w:val="20"/>
          <w:lang w:val="en"/>
        </w:rPr>
        <w:t>w</w:t>
      </w:r>
      <w:r w:rsidR="005C29D6">
        <w:rPr>
          <w:rFonts w:asciiTheme="majorHAnsi" w:hAnsiTheme="majorHAnsi"/>
          <w:sz w:val="20"/>
          <w:szCs w:val="20"/>
          <w:lang w:val="en"/>
        </w:rPr>
        <w:t>ere</w:t>
      </w:r>
      <w:r>
        <w:rPr>
          <w:rFonts w:asciiTheme="majorHAnsi" w:hAnsiTheme="majorHAnsi"/>
          <w:sz w:val="20"/>
          <w:szCs w:val="20"/>
          <w:lang w:val="en"/>
        </w:rPr>
        <w:t xml:space="preserve"> committed </w:t>
      </w:r>
      <w:r w:rsidR="005C29D6">
        <w:rPr>
          <w:rFonts w:asciiTheme="majorHAnsi" w:hAnsiTheme="majorHAnsi"/>
          <w:sz w:val="20"/>
          <w:szCs w:val="20"/>
          <w:lang w:val="en"/>
        </w:rPr>
        <w:t xml:space="preserve">solely </w:t>
      </w:r>
      <w:r>
        <w:rPr>
          <w:rFonts w:asciiTheme="majorHAnsi" w:hAnsiTheme="majorHAnsi"/>
          <w:sz w:val="20"/>
          <w:szCs w:val="20"/>
          <w:lang w:val="en"/>
        </w:rPr>
        <w:t xml:space="preserve">by private individuals. </w:t>
      </w:r>
      <w:r w:rsidR="005C29D6">
        <w:rPr>
          <w:rFonts w:asciiTheme="majorHAnsi" w:hAnsiTheme="majorHAnsi"/>
          <w:sz w:val="20"/>
          <w:szCs w:val="20"/>
          <w:lang w:val="en"/>
        </w:rPr>
        <w:t>The events would therefore be criminal offences committed by private parties</w:t>
      </w:r>
      <w:r>
        <w:rPr>
          <w:rFonts w:asciiTheme="majorHAnsi" w:hAnsiTheme="majorHAnsi"/>
          <w:sz w:val="20"/>
          <w:szCs w:val="20"/>
          <w:lang w:val="en"/>
        </w:rPr>
        <w:t>,</w:t>
      </w:r>
      <w:r w:rsidR="005C29D6">
        <w:rPr>
          <w:rFonts w:asciiTheme="majorHAnsi" w:hAnsiTheme="majorHAnsi"/>
          <w:sz w:val="20"/>
          <w:szCs w:val="20"/>
          <w:lang w:val="en"/>
        </w:rPr>
        <w:t xml:space="preserve"> which may have taken place, but do not </w:t>
      </w:r>
      <w:r>
        <w:rPr>
          <w:rFonts w:asciiTheme="majorHAnsi" w:hAnsiTheme="majorHAnsi"/>
          <w:sz w:val="20"/>
          <w:szCs w:val="20"/>
          <w:lang w:val="en"/>
        </w:rPr>
        <w:t>give rise to international responsibility</w:t>
      </w:r>
      <w:r w:rsidR="005C29D6">
        <w:rPr>
          <w:rFonts w:asciiTheme="majorHAnsi" w:hAnsiTheme="majorHAnsi"/>
          <w:sz w:val="20"/>
          <w:szCs w:val="20"/>
          <w:lang w:val="en"/>
        </w:rPr>
        <w:t xml:space="preserve"> for Bolivia</w:t>
      </w:r>
      <w:r>
        <w:rPr>
          <w:rFonts w:asciiTheme="majorHAnsi" w:hAnsiTheme="majorHAnsi"/>
          <w:sz w:val="20"/>
          <w:szCs w:val="20"/>
          <w:lang w:val="en"/>
        </w:rPr>
        <w:t xml:space="preserve">. </w:t>
      </w:r>
      <w:r w:rsidR="005C29D6">
        <w:rPr>
          <w:rFonts w:asciiTheme="majorHAnsi" w:hAnsiTheme="majorHAnsi"/>
          <w:sz w:val="20"/>
          <w:szCs w:val="20"/>
          <w:lang w:val="en"/>
        </w:rPr>
        <w:t>For this reason</w:t>
      </w:r>
      <w:r>
        <w:rPr>
          <w:rFonts w:asciiTheme="majorHAnsi" w:hAnsiTheme="majorHAnsi"/>
          <w:sz w:val="20"/>
          <w:szCs w:val="20"/>
          <w:lang w:val="en"/>
        </w:rPr>
        <w:t xml:space="preserve">, the State </w:t>
      </w:r>
      <w:r w:rsidR="005C29D6">
        <w:rPr>
          <w:rFonts w:asciiTheme="majorHAnsi" w:hAnsiTheme="majorHAnsi"/>
          <w:sz w:val="20"/>
          <w:szCs w:val="20"/>
          <w:lang w:val="en"/>
        </w:rPr>
        <w:t xml:space="preserve">argues that </w:t>
      </w:r>
      <w:r>
        <w:rPr>
          <w:rFonts w:asciiTheme="majorHAnsi" w:hAnsiTheme="majorHAnsi"/>
          <w:sz w:val="20"/>
          <w:szCs w:val="20"/>
          <w:lang w:val="en"/>
        </w:rPr>
        <w:t>th</w:t>
      </w:r>
      <w:r w:rsidR="005F524C">
        <w:rPr>
          <w:rFonts w:asciiTheme="majorHAnsi" w:hAnsiTheme="majorHAnsi"/>
          <w:sz w:val="20"/>
          <w:szCs w:val="20"/>
          <w:lang w:val="en"/>
        </w:rPr>
        <w:t xml:space="preserve">e </w:t>
      </w:r>
      <w:r w:rsidR="005C29D6">
        <w:rPr>
          <w:rFonts w:asciiTheme="majorHAnsi" w:hAnsiTheme="majorHAnsi"/>
          <w:sz w:val="20"/>
          <w:szCs w:val="20"/>
          <w:lang w:val="en"/>
        </w:rPr>
        <w:t xml:space="preserve">crime </w:t>
      </w:r>
      <w:r w:rsidR="005F524C">
        <w:rPr>
          <w:rFonts w:asciiTheme="majorHAnsi" w:hAnsiTheme="majorHAnsi"/>
          <w:sz w:val="20"/>
          <w:szCs w:val="20"/>
          <w:lang w:val="en"/>
        </w:rPr>
        <w:t>of</w:t>
      </w:r>
      <w:r>
        <w:rPr>
          <w:rFonts w:asciiTheme="majorHAnsi" w:hAnsiTheme="majorHAnsi"/>
          <w:sz w:val="20"/>
          <w:szCs w:val="20"/>
          <w:lang w:val="en"/>
        </w:rPr>
        <w:t xml:space="preserve"> torture </w:t>
      </w:r>
      <w:r w:rsidR="005C29D6">
        <w:rPr>
          <w:rFonts w:asciiTheme="majorHAnsi" w:hAnsiTheme="majorHAnsi"/>
          <w:sz w:val="20"/>
          <w:szCs w:val="20"/>
          <w:lang w:val="en"/>
        </w:rPr>
        <w:t xml:space="preserve">was not configured, </w:t>
      </w:r>
      <w:r>
        <w:rPr>
          <w:rFonts w:asciiTheme="majorHAnsi" w:hAnsiTheme="majorHAnsi"/>
          <w:sz w:val="20"/>
          <w:szCs w:val="20"/>
          <w:lang w:val="en"/>
        </w:rPr>
        <w:t>because this</w:t>
      </w:r>
      <w:r w:rsidR="005C29D6">
        <w:rPr>
          <w:rFonts w:asciiTheme="majorHAnsi" w:hAnsiTheme="majorHAnsi"/>
          <w:sz w:val="20"/>
          <w:szCs w:val="20"/>
          <w:lang w:val="en"/>
        </w:rPr>
        <w:t xml:space="preserve"> criminal description </w:t>
      </w:r>
      <w:r w:rsidR="00FF05BD">
        <w:rPr>
          <w:rFonts w:asciiTheme="majorHAnsi" w:hAnsiTheme="majorHAnsi"/>
          <w:sz w:val="20"/>
          <w:szCs w:val="20"/>
          <w:lang w:val="en"/>
        </w:rPr>
        <w:t xml:space="preserve">requires </w:t>
      </w:r>
      <w:r w:rsidR="005C29D6">
        <w:rPr>
          <w:rFonts w:asciiTheme="majorHAnsi" w:hAnsiTheme="majorHAnsi"/>
          <w:sz w:val="20"/>
          <w:szCs w:val="20"/>
          <w:lang w:val="en"/>
        </w:rPr>
        <w:t xml:space="preserve">a qualified </w:t>
      </w:r>
      <w:r w:rsidR="00B85BA3">
        <w:rPr>
          <w:rFonts w:asciiTheme="majorHAnsi" w:hAnsiTheme="majorHAnsi"/>
          <w:sz w:val="20"/>
          <w:szCs w:val="20"/>
          <w:lang w:val="en"/>
        </w:rPr>
        <w:t xml:space="preserve">perpetrator </w:t>
      </w:r>
      <w:r w:rsidR="005C29D6">
        <w:rPr>
          <w:rFonts w:asciiTheme="majorHAnsi" w:hAnsiTheme="majorHAnsi"/>
          <w:sz w:val="20"/>
          <w:szCs w:val="20"/>
          <w:lang w:val="en"/>
        </w:rPr>
        <w:t>(a public official) and therefore</w:t>
      </w:r>
      <w:r>
        <w:rPr>
          <w:rFonts w:asciiTheme="majorHAnsi" w:hAnsiTheme="majorHAnsi"/>
          <w:sz w:val="20"/>
          <w:szCs w:val="20"/>
          <w:lang w:val="en"/>
        </w:rPr>
        <w:t xml:space="preserve"> </w:t>
      </w:r>
      <w:r w:rsidR="00B85BA3">
        <w:rPr>
          <w:rFonts w:asciiTheme="majorHAnsi" w:hAnsiTheme="majorHAnsi"/>
          <w:sz w:val="20"/>
          <w:szCs w:val="20"/>
          <w:lang w:val="en"/>
        </w:rPr>
        <w:t xml:space="preserve">that crime </w:t>
      </w:r>
      <w:r>
        <w:rPr>
          <w:rFonts w:asciiTheme="majorHAnsi" w:hAnsiTheme="majorHAnsi"/>
          <w:sz w:val="20"/>
          <w:szCs w:val="20"/>
          <w:lang w:val="en"/>
        </w:rPr>
        <w:t xml:space="preserve">cannot be </w:t>
      </w:r>
      <w:r w:rsidR="005C29D6">
        <w:rPr>
          <w:rFonts w:asciiTheme="majorHAnsi" w:hAnsiTheme="majorHAnsi"/>
          <w:sz w:val="20"/>
          <w:szCs w:val="20"/>
          <w:lang w:val="en"/>
        </w:rPr>
        <w:t xml:space="preserve">committed by </w:t>
      </w:r>
      <w:r>
        <w:rPr>
          <w:rFonts w:asciiTheme="majorHAnsi" w:hAnsiTheme="majorHAnsi"/>
          <w:sz w:val="20"/>
          <w:szCs w:val="20"/>
          <w:lang w:val="en"/>
        </w:rPr>
        <w:t xml:space="preserve">private individuals. </w:t>
      </w:r>
      <w:r w:rsidR="005F524C">
        <w:rPr>
          <w:rFonts w:asciiTheme="majorHAnsi" w:hAnsiTheme="majorHAnsi"/>
          <w:sz w:val="20"/>
          <w:szCs w:val="20"/>
          <w:lang w:val="en"/>
        </w:rPr>
        <w:t>The State</w:t>
      </w:r>
      <w:r>
        <w:rPr>
          <w:rFonts w:asciiTheme="majorHAnsi" w:hAnsiTheme="majorHAnsi"/>
          <w:sz w:val="20"/>
          <w:szCs w:val="20"/>
          <w:lang w:val="en"/>
        </w:rPr>
        <w:t xml:space="preserve"> also claim</w:t>
      </w:r>
      <w:r w:rsidR="005C29D6">
        <w:rPr>
          <w:rFonts w:asciiTheme="majorHAnsi" w:hAnsiTheme="majorHAnsi"/>
          <w:sz w:val="20"/>
          <w:szCs w:val="20"/>
          <w:lang w:val="en"/>
        </w:rPr>
        <w:t>s</w:t>
      </w:r>
      <w:r>
        <w:rPr>
          <w:rFonts w:asciiTheme="majorHAnsi" w:hAnsiTheme="majorHAnsi"/>
          <w:sz w:val="20"/>
          <w:szCs w:val="20"/>
          <w:lang w:val="en"/>
        </w:rPr>
        <w:t xml:space="preserve"> that freedom of expression</w:t>
      </w:r>
      <w:r w:rsidR="005C29D6">
        <w:rPr>
          <w:rFonts w:asciiTheme="majorHAnsi" w:hAnsiTheme="majorHAnsi"/>
          <w:sz w:val="20"/>
          <w:szCs w:val="20"/>
          <w:lang w:val="en"/>
        </w:rPr>
        <w:t xml:space="preserve"> was not violated</w:t>
      </w:r>
      <w:r>
        <w:rPr>
          <w:rFonts w:asciiTheme="majorHAnsi" w:hAnsiTheme="majorHAnsi"/>
          <w:sz w:val="20"/>
          <w:szCs w:val="20"/>
          <w:lang w:val="en"/>
        </w:rPr>
        <w:t xml:space="preserve">, </w:t>
      </w:r>
      <w:r w:rsidR="005C29D6">
        <w:rPr>
          <w:rFonts w:asciiTheme="majorHAnsi" w:hAnsiTheme="majorHAnsi"/>
          <w:sz w:val="20"/>
          <w:szCs w:val="20"/>
          <w:lang w:val="en"/>
        </w:rPr>
        <w:t xml:space="preserve">because </w:t>
      </w:r>
      <w:r>
        <w:rPr>
          <w:rFonts w:asciiTheme="majorHAnsi" w:hAnsiTheme="majorHAnsi"/>
          <w:sz w:val="20"/>
          <w:szCs w:val="20"/>
          <w:lang w:val="en"/>
        </w:rPr>
        <w:t xml:space="preserve">those </w:t>
      </w:r>
      <w:r w:rsidR="00B85BA3">
        <w:rPr>
          <w:rFonts w:asciiTheme="majorHAnsi" w:hAnsiTheme="majorHAnsi"/>
          <w:sz w:val="20"/>
          <w:szCs w:val="20"/>
          <w:lang w:val="en"/>
        </w:rPr>
        <w:t xml:space="preserve">who </w:t>
      </w:r>
      <w:r w:rsidR="005C29D6">
        <w:rPr>
          <w:rFonts w:asciiTheme="majorHAnsi" w:hAnsiTheme="majorHAnsi"/>
          <w:sz w:val="20"/>
          <w:szCs w:val="20"/>
          <w:lang w:val="en"/>
        </w:rPr>
        <w:t xml:space="preserve">hampered </w:t>
      </w:r>
      <w:r>
        <w:rPr>
          <w:rFonts w:asciiTheme="majorHAnsi" w:hAnsiTheme="majorHAnsi"/>
          <w:sz w:val="20"/>
          <w:szCs w:val="20"/>
          <w:lang w:val="en"/>
        </w:rPr>
        <w:t xml:space="preserve">Ms. </w:t>
      </w:r>
      <w:proofErr w:type="spellStart"/>
      <w:r>
        <w:rPr>
          <w:rFonts w:asciiTheme="majorHAnsi" w:hAnsiTheme="majorHAnsi"/>
          <w:sz w:val="20"/>
          <w:szCs w:val="20"/>
          <w:lang w:val="en"/>
        </w:rPr>
        <w:t>Estremadoiro</w:t>
      </w:r>
      <w:r w:rsidR="005C29D6">
        <w:rPr>
          <w:rFonts w:asciiTheme="majorHAnsi" w:hAnsiTheme="majorHAnsi"/>
          <w:sz w:val="20"/>
          <w:szCs w:val="20"/>
          <w:lang w:val="en"/>
        </w:rPr>
        <w:t>’s</w:t>
      </w:r>
      <w:proofErr w:type="spellEnd"/>
      <w:r w:rsidR="005C29D6">
        <w:rPr>
          <w:rFonts w:asciiTheme="majorHAnsi" w:hAnsiTheme="majorHAnsi"/>
          <w:sz w:val="20"/>
          <w:szCs w:val="20"/>
          <w:lang w:val="en"/>
        </w:rPr>
        <w:t xml:space="preserve"> journalistic work </w:t>
      </w:r>
      <w:r>
        <w:rPr>
          <w:rFonts w:asciiTheme="majorHAnsi" w:hAnsiTheme="majorHAnsi"/>
          <w:sz w:val="20"/>
          <w:szCs w:val="20"/>
          <w:lang w:val="en"/>
        </w:rPr>
        <w:t>were private individuals</w:t>
      </w:r>
      <w:r w:rsidR="005C29D6">
        <w:rPr>
          <w:rFonts w:asciiTheme="majorHAnsi" w:hAnsiTheme="majorHAnsi"/>
          <w:sz w:val="20"/>
          <w:szCs w:val="20"/>
          <w:lang w:val="en"/>
        </w:rPr>
        <w:t>,</w:t>
      </w:r>
      <w:r>
        <w:rPr>
          <w:rFonts w:asciiTheme="majorHAnsi" w:hAnsiTheme="majorHAnsi"/>
          <w:sz w:val="20"/>
          <w:szCs w:val="20"/>
          <w:lang w:val="en"/>
        </w:rPr>
        <w:t xml:space="preserve"> and the State </w:t>
      </w:r>
      <w:r w:rsidR="005C29D6">
        <w:rPr>
          <w:rFonts w:asciiTheme="majorHAnsi" w:hAnsiTheme="majorHAnsi"/>
          <w:sz w:val="20"/>
          <w:szCs w:val="20"/>
          <w:lang w:val="en"/>
        </w:rPr>
        <w:t xml:space="preserve">in fact </w:t>
      </w:r>
      <w:r>
        <w:rPr>
          <w:rFonts w:asciiTheme="majorHAnsi" w:hAnsiTheme="majorHAnsi"/>
          <w:sz w:val="20"/>
          <w:szCs w:val="20"/>
          <w:lang w:val="en"/>
        </w:rPr>
        <w:t xml:space="preserve">intervened </w:t>
      </w:r>
      <w:r w:rsidR="005C29D6">
        <w:rPr>
          <w:rFonts w:asciiTheme="majorHAnsi" w:hAnsiTheme="majorHAnsi"/>
          <w:sz w:val="20"/>
          <w:szCs w:val="20"/>
          <w:lang w:val="en"/>
        </w:rPr>
        <w:t xml:space="preserve">to rescue </w:t>
      </w:r>
      <w:r>
        <w:rPr>
          <w:rFonts w:asciiTheme="majorHAnsi" w:hAnsiTheme="majorHAnsi"/>
          <w:sz w:val="20"/>
          <w:szCs w:val="20"/>
          <w:lang w:val="en"/>
        </w:rPr>
        <w:t xml:space="preserve">her and allow </w:t>
      </w:r>
      <w:r w:rsidR="005C29D6">
        <w:rPr>
          <w:rFonts w:asciiTheme="majorHAnsi" w:hAnsiTheme="majorHAnsi"/>
          <w:sz w:val="20"/>
          <w:szCs w:val="20"/>
          <w:lang w:val="en"/>
        </w:rPr>
        <w:t xml:space="preserve">the free exercise of her </w:t>
      </w:r>
      <w:r>
        <w:rPr>
          <w:rFonts w:asciiTheme="majorHAnsi" w:hAnsiTheme="majorHAnsi"/>
          <w:sz w:val="20"/>
          <w:szCs w:val="20"/>
          <w:lang w:val="en"/>
        </w:rPr>
        <w:t>work as a journalist</w:t>
      </w:r>
      <w:r w:rsidR="005C29D6">
        <w:rPr>
          <w:rFonts w:asciiTheme="majorHAnsi" w:hAnsiTheme="majorHAnsi"/>
          <w:sz w:val="20"/>
          <w:szCs w:val="20"/>
          <w:lang w:val="en"/>
        </w:rPr>
        <w:t xml:space="preserve"> –</w:t>
      </w:r>
      <w:r>
        <w:rPr>
          <w:rFonts w:asciiTheme="majorHAnsi" w:hAnsiTheme="majorHAnsi"/>
          <w:sz w:val="20"/>
          <w:szCs w:val="20"/>
          <w:lang w:val="en"/>
        </w:rPr>
        <w:t xml:space="preserve"> a</w:t>
      </w:r>
      <w:r w:rsidR="005C29D6">
        <w:rPr>
          <w:rFonts w:asciiTheme="majorHAnsi" w:hAnsiTheme="majorHAnsi"/>
          <w:sz w:val="20"/>
          <w:szCs w:val="20"/>
          <w:lang w:val="en"/>
        </w:rPr>
        <w:t xml:space="preserve"> </w:t>
      </w:r>
      <w:r>
        <w:rPr>
          <w:rFonts w:asciiTheme="majorHAnsi" w:hAnsiTheme="majorHAnsi"/>
          <w:sz w:val="20"/>
          <w:szCs w:val="20"/>
          <w:lang w:val="en"/>
        </w:rPr>
        <w:t>right which the State ha</w:t>
      </w:r>
      <w:r w:rsidR="005F524C">
        <w:rPr>
          <w:rFonts w:asciiTheme="majorHAnsi" w:hAnsiTheme="majorHAnsi"/>
          <w:sz w:val="20"/>
          <w:szCs w:val="20"/>
          <w:lang w:val="en"/>
        </w:rPr>
        <w:t>d</w:t>
      </w:r>
      <w:r>
        <w:rPr>
          <w:rFonts w:asciiTheme="majorHAnsi" w:hAnsiTheme="majorHAnsi"/>
          <w:sz w:val="20"/>
          <w:szCs w:val="20"/>
          <w:lang w:val="en"/>
        </w:rPr>
        <w:t xml:space="preserve"> </w:t>
      </w:r>
      <w:r w:rsidR="005C29D6">
        <w:rPr>
          <w:rFonts w:asciiTheme="majorHAnsi" w:hAnsiTheme="majorHAnsi"/>
          <w:sz w:val="20"/>
          <w:szCs w:val="20"/>
          <w:lang w:val="en"/>
        </w:rPr>
        <w:t xml:space="preserve">moreover </w:t>
      </w:r>
      <w:r>
        <w:rPr>
          <w:rFonts w:asciiTheme="majorHAnsi" w:hAnsiTheme="majorHAnsi"/>
          <w:sz w:val="20"/>
          <w:szCs w:val="20"/>
          <w:lang w:val="en"/>
        </w:rPr>
        <w:t>promoted by including her in an official brigade</w:t>
      </w:r>
      <w:r w:rsidR="00B85BA3">
        <w:rPr>
          <w:rFonts w:asciiTheme="majorHAnsi" w:hAnsiTheme="majorHAnsi"/>
          <w:sz w:val="20"/>
          <w:szCs w:val="20"/>
          <w:lang w:val="en"/>
        </w:rPr>
        <w:t xml:space="preserve"> in the first place</w:t>
      </w:r>
      <w:r>
        <w:rPr>
          <w:rFonts w:asciiTheme="majorHAnsi" w:hAnsiTheme="majorHAnsi"/>
          <w:sz w:val="20"/>
          <w:szCs w:val="20"/>
          <w:lang w:val="en"/>
        </w:rPr>
        <w:t xml:space="preserve">. </w:t>
      </w:r>
      <w:r w:rsidR="005C29D6">
        <w:rPr>
          <w:rFonts w:asciiTheme="majorHAnsi" w:hAnsiTheme="majorHAnsi"/>
          <w:sz w:val="20"/>
          <w:szCs w:val="20"/>
          <w:lang w:val="en"/>
        </w:rPr>
        <w:t xml:space="preserve">The State further </w:t>
      </w:r>
      <w:r>
        <w:rPr>
          <w:rFonts w:asciiTheme="majorHAnsi" w:hAnsiTheme="majorHAnsi"/>
          <w:sz w:val="20"/>
          <w:szCs w:val="20"/>
          <w:lang w:val="en"/>
        </w:rPr>
        <w:t xml:space="preserve">contends that </w:t>
      </w:r>
      <w:r w:rsidR="005C29D6">
        <w:rPr>
          <w:rFonts w:asciiTheme="majorHAnsi" w:hAnsiTheme="majorHAnsi"/>
          <w:sz w:val="20"/>
          <w:szCs w:val="20"/>
          <w:lang w:val="en"/>
        </w:rPr>
        <w:t>for th</w:t>
      </w:r>
      <w:r w:rsidR="00B85BA3">
        <w:rPr>
          <w:rFonts w:asciiTheme="majorHAnsi" w:hAnsiTheme="majorHAnsi"/>
          <w:sz w:val="20"/>
          <w:szCs w:val="20"/>
          <w:lang w:val="en"/>
        </w:rPr>
        <w:t>ese</w:t>
      </w:r>
      <w:r w:rsidR="005C29D6">
        <w:rPr>
          <w:rFonts w:asciiTheme="majorHAnsi" w:hAnsiTheme="majorHAnsi"/>
          <w:sz w:val="20"/>
          <w:szCs w:val="20"/>
          <w:lang w:val="en"/>
        </w:rPr>
        <w:t xml:space="preserve"> same reason</w:t>
      </w:r>
      <w:r w:rsidR="00B85BA3">
        <w:rPr>
          <w:rFonts w:asciiTheme="majorHAnsi" w:hAnsiTheme="majorHAnsi"/>
          <w:sz w:val="20"/>
          <w:szCs w:val="20"/>
          <w:lang w:val="en"/>
        </w:rPr>
        <w:t>s</w:t>
      </w:r>
      <w:r w:rsidR="005C29D6">
        <w:rPr>
          <w:rFonts w:asciiTheme="majorHAnsi" w:hAnsiTheme="majorHAnsi"/>
          <w:sz w:val="20"/>
          <w:szCs w:val="20"/>
          <w:lang w:val="en"/>
        </w:rPr>
        <w:t xml:space="preserve">, </w:t>
      </w:r>
      <w:r>
        <w:rPr>
          <w:rFonts w:asciiTheme="majorHAnsi" w:hAnsiTheme="majorHAnsi"/>
          <w:sz w:val="20"/>
          <w:szCs w:val="20"/>
          <w:lang w:val="en"/>
        </w:rPr>
        <w:t xml:space="preserve">it did not violate her freedom of movement or her right to </w:t>
      </w:r>
      <w:r w:rsidR="005C29D6">
        <w:rPr>
          <w:rFonts w:asciiTheme="majorHAnsi" w:hAnsiTheme="majorHAnsi"/>
          <w:sz w:val="20"/>
          <w:szCs w:val="20"/>
          <w:lang w:val="en"/>
        </w:rPr>
        <w:t xml:space="preserve">private </w:t>
      </w:r>
      <w:r w:rsidR="000E6DE2">
        <w:rPr>
          <w:rFonts w:asciiTheme="majorHAnsi" w:hAnsiTheme="majorHAnsi"/>
          <w:sz w:val="20"/>
          <w:szCs w:val="20"/>
          <w:lang w:val="en"/>
        </w:rPr>
        <w:t>property</w:t>
      </w:r>
      <w:r w:rsidR="005C29D6">
        <w:rPr>
          <w:rFonts w:asciiTheme="majorHAnsi" w:hAnsiTheme="majorHAnsi"/>
          <w:sz w:val="20"/>
          <w:szCs w:val="20"/>
          <w:lang w:val="en"/>
        </w:rPr>
        <w:t>, as claimed in the petition</w:t>
      </w:r>
      <w:r>
        <w:rPr>
          <w:rFonts w:asciiTheme="majorHAnsi" w:hAnsiTheme="majorHAnsi"/>
          <w:sz w:val="20"/>
          <w:szCs w:val="20"/>
          <w:lang w:val="en"/>
        </w:rPr>
        <w:t xml:space="preserve">. The State also asserts that it fulfilled its duty to </w:t>
      </w:r>
      <w:r w:rsidR="005C29D6">
        <w:rPr>
          <w:rFonts w:asciiTheme="majorHAnsi" w:hAnsiTheme="majorHAnsi"/>
          <w:sz w:val="20"/>
          <w:szCs w:val="20"/>
          <w:lang w:val="en"/>
        </w:rPr>
        <w:t xml:space="preserve">guarantee </w:t>
      </w:r>
      <w:r>
        <w:rPr>
          <w:rFonts w:asciiTheme="majorHAnsi" w:hAnsiTheme="majorHAnsi"/>
          <w:sz w:val="20"/>
          <w:szCs w:val="20"/>
          <w:lang w:val="en"/>
        </w:rPr>
        <w:t xml:space="preserve">Ms. </w:t>
      </w:r>
      <w:proofErr w:type="spellStart"/>
      <w:r>
        <w:rPr>
          <w:rFonts w:asciiTheme="majorHAnsi" w:hAnsiTheme="majorHAnsi"/>
          <w:sz w:val="20"/>
          <w:szCs w:val="20"/>
          <w:lang w:val="en"/>
        </w:rPr>
        <w:t>Estremadoiro’s</w:t>
      </w:r>
      <w:proofErr w:type="spellEnd"/>
      <w:r>
        <w:rPr>
          <w:rFonts w:asciiTheme="majorHAnsi" w:hAnsiTheme="majorHAnsi"/>
          <w:sz w:val="20"/>
          <w:szCs w:val="20"/>
          <w:lang w:val="en"/>
        </w:rPr>
        <w:t xml:space="preserve"> rights</w:t>
      </w:r>
      <w:r w:rsidR="005C29D6">
        <w:rPr>
          <w:rFonts w:asciiTheme="majorHAnsi" w:hAnsiTheme="majorHAnsi"/>
          <w:sz w:val="20"/>
          <w:szCs w:val="20"/>
          <w:lang w:val="en"/>
        </w:rPr>
        <w:t>,</w:t>
      </w:r>
      <w:r>
        <w:rPr>
          <w:rFonts w:asciiTheme="majorHAnsi" w:hAnsiTheme="majorHAnsi"/>
          <w:sz w:val="20"/>
          <w:szCs w:val="20"/>
          <w:lang w:val="en"/>
        </w:rPr>
        <w:t xml:space="preserve"> because it was </w:t>
      </w:r>
      <w:r w:rsidR="005C29D6">
        <w:rPr>
          <w:rFonts w:asciiTheme="majorHAnsi" w:hAnsiTheme="majorHAnsi"/>
          <w:sz w:val="20"/>
          <w:szCs w:val="20"/>
          <w:lang w:val="en"/>
        </w:rPr>
        <w:t xml:space="preserve">military agents who in fact </w:t>
      </w:r>
      <w:r>
        <w:rPr>
          <w:rFonts w:asciiTheme="majorHAnsi" w:hAnsiTheme="majorHAnsi"/>
          <w:sz w:val="20"/>
          <w:szCs w:val="20"/>
          <w:lang w:val="en"/>
        </w:rPr>
        <w:t xml:space="preserve">rescued her from </w:t>
      </w:r>
      <w:r w:rsidR="005C29D6">
        <w:rPr>
          <w:rFonts w:asciiTheme="majorHAnsi" w:hAnsiTheme="majorHAnsi"/>
          <w:sz w:val="20"/>
          <w:szCs w:val="20"/>
          <w:lang w:val="en"/>
        </w:rPr>
        <w:t xml:space="preserve">her </w:t>
      </w:r>
      <w:r>
        <w:rPr>
          <w:rFonts w:asciiTheme="majorHAnsi" w:hAnsiTheme="majorHAnsi"/>
          <w:sz w:val="20"/>
          <w:szCs w:val="20"/>
          <w:lang w:val="en"/>
        </w:rPr>
        <w:t xml:space="preserve">private captors, transported her to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and </w:t>
      </w:r>
      <w:r w:rsidR="005C29D6">
        <w:rPr>
          <w:rFonts w:asciiTheme="majorHAnsi" w:hAnsiTheme="majorHAnsi"/>
          <w:sz w:val="20"/>
          <w:szCs w:val="20"/>
          <w:lang w:val="en"/>
        </w:rPr>
        <w:t xml:space="preserve">safeguarded </w:t>
      </w:r>
      <w:r>
        <w:rPr>
          <w:rFonts w:asciiTheme="majorHAnsi" w:hAnsiTheme="majorHAnsi"/>
          <w:sz w:val="20"/>
          <w:szCs w:val="20"/>
          <w:lang w:val="en"/>
        </w:rPr>
        <w:t xml:space="preserve">her </w:t>
      </w:r>
      <w:r w:rsidR="005C29D6">
        <w:rPr>
          <w:rFonts w:asciiTheme="majorHAnsi" w:hAnsiTheme="majorHAnsi"/>
          <w:sz w:val="20"/>
          <w:szCs w:val="20"/>
          <w:lang w:val="en"/>
        </w:rPr>
        <w:t xml:space="preserve">there </w:t>
      </w:r>
      <w:r>
        <w:rPr>
          <w:rFonts w:asciiTheme="majorHAnsi" w:hAnsiTheme="majorHAnsi"/>
          <w:sz w:val="20"/>
          <w:szCs w:val="20"/>
          <w:lang w:val="en"/>
        </w:rPr>
        <w:t xml:space="preserve">at a military base until she </w:t>
      </w:r>
      <w:r w:rsidR="005C29D6">
        <w:rPr>
          <w:rFonts w:asciiTheme="majorHAnsi" w:hAnsiTheme="majorHAnsi"/>
          <w:sz w:val="20"/>
          <w:szCs w:val="20"/>
          <w:lang w:val="en"/>
        </w:rPr>
        <w:t xml:space="preserve">could </w:t>
      </w:r>
      <w:r>
        <w:rPr>
          <w:rFonts w:asciiTheme="majorHAnsi" w:hAnsiTheme="majorHAnsi"/>
          <w:sz w:val="20"/>
          <w:szCs w:val="20"/>
          <w:lang w:val="en"/>
        </w:rPr>
        <w:t xml:space="preserve">safely </w:t>
      </w:r>
      <w:r w:rsidR="005C29D6">
        <w:rPr>
          <w:rFonts w:asciiTheme="majorHAnsi" w:hAnsiTheme="majorHAnsi"/>
          <w:sz w:val="20"/>
          <w:szCs w:val="20"/>
          <w:lang w:val="en"/>
        </w:rPr>
        <w:t xml:space="preserve">be </w:t>
      </w:r>
      <w:r w:rsidR="005F524C">
        <w:rPr>
          <w:rFonts w:asciiTheme="majorHAnsi" w:hAnsiTheme="majorHAnsi"/>
          <w:sz w:val="20"/>
          <w:szCs w:val="20"/>
          <w:lang w:val="en"/>
        </w:rPr>
        <w:t>taken</w:t>
      </w:r>
      <w:r>
        <w:rPr>
          <w:rFonts w:asciiTheme="majorHAnsi" w:hAnsiTheme="majorHAnsi"/>
          <w:sz w:val="20"/>
          <w:szCs w:val="20"/>
          <w:lang w:val="en"/>
        </w:rPr>
        <w:t xml:space="preserve"> to Santa Cruz. </w:t>
      </w:r>
    </w:p>
    <w:p w14:paraId="0DB9AF45" w14:textId="134BAFD9"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8. </w:t>
      </w:r>
      <w:r>
        <w:rPr>
          <w:rFonts w:asciiTheme="majorHAnsi" w:hAnsiTheme="majorHAnsi"/>
          <w:sz w:val="20"/>
          <w:szCs w:val="20"/>
          <w:lang w:val="en"/>
        </w:rPr>
        <w:tab/>
      </w:r>
      <w:r w:rsidR="005C29D6">
        <w:rPr>
          <w:rFonts w:asciiTheme="majorHAnsi" w:hAnsiTheme="majorHAnsi"/>
          <w:sz w:val="20"/>
          <w:szCs w:val="20"/>
          <w:lang w:val="en"/>
        </w:rPr>
        <w:t>On the other hand</w:t>
      </w:r>
      <w:r>
        <w:rPr>
          <w:rFonts w:asciiTheme="majorHAnsi" w:hAnsiTheme="majorHAnsi"/>
          <w:sz w:val="20"/>
          <w:szCs w:val="20"/>
          <w:lang w:val="en"/>
        </w:rPr>
        <w:t xml:space="preserve">, the State </w:t>
      </w:r>
      <w:r w:rsidR="005C29D6">
        <w:rPr>
          <w:rFonts w:asciiTheme="majorHAnsi" w:hAnsiTheme="majorHAnsi"/>
          <w:sz w:val="20"/>
          <w:szCs w:val="20"/>
          <w:lang w:val="en"/>
        </w:rPr>
        <w:t xml:space="preserve">holds </w:t>
      </w:r>
      <w:r>
        <w:rPr>
          <w:rFonts w:asciiTheme="majorHAnsi" w:hAnsiTheme="majorHAnsi"/>
          <w:sz w:val="20"/>
          <w:szCs w:val="20"/>
          <w:lang w:val="en"/>
        </w:rPr>
        <w:t xml:space="preserve">that </w:t>
      </w:r>
      <w:r w:rsidR="005C29D6">
        <w:rPr>
          <w:rFonts w:asciiTheme="majorHAnsi" w:hAnsiTheme="majorHAnsi"/>
          <w:sz w:val="20"/>
          <w:szCs w:val="20"/>
          <w:lang w:val="en"/>
        </w:rPr>
        <w:t xml:space="preserve">in the course of </w:t>
      </w:r>
      <w:r>
        <w:rPr>
          <w:rFonts w:asciiTheme="majorHAnsi" w:hAnsiTheme="majorHAnsi"/>
          <w:sz w:val="20"/>
          <w:szCs w:val="20"/>
          <w:lang w:val="en"/>
        </w:rPr>
        <w:t xml:space="preserve">the criminal investigation </w:t>
      </w:r>
      <w:r w:rsidR="005C29D6">
        <w:rPr>
          <w:rFonts w:asciiTheme="majorHAnsi" w:hAnsiTheme="majorHAnsi"/>
          <w:sz w:val="20"/>
          <w:szCs w:val="20"/>
          <w:lang w:val="en"/>
        </w:rPr>
        <w:t xml:space="preserve">initiated about </w:t>
      </w:r>
      <w:r>
        <w:rPr>
          <w:rFonts w:asciiTheme="majorHAnsi" w:hAnsiTheme="majorHAnsi"/>
          <w:sz w:val="20"/>
          <w:szCs w:val="20"/>
          <w:lang w:val="en"/>
        </w:rPr>
        <w:t>those incidents</w:t>
      </w:r>
      <w:r w:rsidR="00B1516A">
        <w:rPr>
          <w:rFonts w:asciiTheme="majorHAnsi" w:hAnsiTheme="majorHAnsi"/>
          <w:sz w:val="20"/>
          <w:szCs w:val="20"/>
          <w:lang w:val="en"/>
        </w:rPr>
        <w:t xml:space="preserve">, all of the petitioner’s procedural rights were respected. </w:t>
      </w:r>
      <w:r>
        <w:rPr>
          <w:rFonts w:asciiTheme="majorHAnsi" w:hAnsiTheme="majorHAnsi"/>
          <w:sz w:val="20"/>
          <w:szCs w:val="20"/>
          <w:lang w:val="en"/>
        </w:rPr>
        <w:t xml:space="preserve">As for the reasons that </w:t>
      </w:r>
      <w:r w:rsidR="00B1516A">
        <w:rPr>
          <w:rFonts w:asciiTheme="majorHAnsi" w:hAnsiTheme="majorHAnsi"/>
          <w:sz w:val="20"/>
          <w:szCs w:val="20"/>
          <w:lang w:val="en"/>
        </w:rPr>
        <w:t xml:space="preserve">led to the closure of </w:t>
      </w:r>
      <w:r>
        <w:rPr>
          <w:rFonts w:asciiTheme="majorHAnsi" w:hAnsiTheme="majorHAnsi"/>
          <w:sz w:val="20"/>
          <w:szCs w:val="20"/>
          <w:lang w:val="en"/>
        </w:rPr>
        <w:t xml:space="preserve">the investigation on October 9, 2008, the State </w:t>
      </w:r>
      <w:r w:rsidR="00B1516A">
        <w:rPr>
          <w:rFonts w:asciiTheme="majorHAnsi" w:hAnsiTheme="majorHAnsi"/>
          <w:sz w:val="20"/>
          <w:szCs w:val="20"/>
          <w:lang w:val="en"/>
        </w:rPr>
        <w:t xml:space="preserve">points out </w:t>
      </w:r>
      <w:r w:rsidR="00B85BA3">
        <w:rPr>
          <w:rFonts w:asciiTheme="majorHAnsi" w:hAnsiTheme="majorHAnsi"/>
          <w:sz w:val="20"/>
          <w:szCs w:val="20"/>
          <w:lang w:val="en"/>
        </w:rPr>
        <w:t xml:space="preserve">said closure was decided </w:t>
      </w:r>
      <w:r>
        <w:rPr>
          <w:rFonts w:asciiTheme="majorHAnsi" w:hAnsiTheme="majorHAnsi"/>
          <w:sz w:val="20"/>
          <w:szCs w:val="20"/>
          <w:lang w:val="en"/>
        </w:rPr>
        <w:t>“</w:t>
      </w:r>
      <w:r>
        <w:rPr>
          <w:rFonts w:asciiTheme="majorHAnsi" w:hAnsiTheme="majorHAnsi"/>
          <w:i/>
          <w:iCs/>
          <w:sz w:val="20"/>
          <w:szCs w:val="20"/>
          <w:lang w:val="en"/>
        </w:rPr>
        <w:t xml:space="preserve">due to the lapse of the six-month period established for the preliminary stage (...) [and] the </w:t>
      </w:r>
      <w:r w:rsidR="00B1516A">
        <w:rPr>
          <w:rFonts w:asciiTheme="majorHAnsi" w:hAnsiTheme="majorHAnsi"/>
          <w:i/>
          <w:iCs/>
          <w:sz w:val="20"/>
          <w:szCs w:val="20"/>
          <w:lang w:val="en"/>
        </w:rPr>
        <w:t xml:space="preserve">insufficiency </w:t>
      </w:r>
      <w:r>
        <w:rPr>
          <w:rFonts w:asciiTheme="majorHAnsi" w:hAnsiTheme="majorHAnsi"/>
          <w:i/>
          <w:iCs/>
          <w:sz w:val="20"/>
          <w:szCs w:val="20"/>
          <w:lang w:val="en"/>
        </w:rPr>
        <w:t xml:space="preserve">of </w:t>
      </w:r>
      <w:r w:rsidR="00B85BA3">
        <w:rPr>
          <w:rFonts w:asciiTheme="majorHAnsi" w:hAnsiTheme="majorHAnsi"/>
          <w:i/>
          <w:iCs/>
          <w:sz w:val="20"/>
          <w:szCs w:val="20"/>
          <w:lang w:val="en"/>
        </w:rPr>
        <w:t xml:space="preserve">the </w:t>
      </w:r>
      <w:r>
        <w:rPr>
          <w:rFonts w:asciiTheme="majorHAnsi" w:hAnsiTheme="majorHAnsi"/>
          <w:i/>
          <w:iCs/>
          <w:sz w:val="20"/>
          <w:szCs w:val="20"/>
          <w:lang w:val="en"/>
        </w:rPr>
        <w:t xml:space="preserve">evidence </w:t>
      </w:r>
      <w:r w:rsidR="00B1516A">
        <w:rPr>
          <w:rFonts w:asciiTheme="majorHAnsi" w:hAnsiTheme="majorHAnsi"/>
          <w:i/>
          <w:iCs/>
          <w:sz w:val="20"/>
          <w:szCs w:val="20"/>
          <w:lang w:val="en"/>
        </w:rPr>
        <w:t xml:space="preserve">to support </w:t>
      </w:r>
      <w:r>
        <w:rPr>
          <w:rFonts w:asciiTheme="majorHAnsi" w:hAnsiTheme="majorHAnsi"/>
          <w:i/>
          <w:iCs/>
          <w:sz w:val="20"/>
          <w:szCs w:val="20"/>
          <w:lang w:val="en"/>
        </w:rPr>
        <w:t>an accusation</w:t>
      </w:r>
      <w:r w:rsidR="00B1516A">
        <w:rPr>
          <w:rFonts w:asciiTheme="majorHAnsi" w:hAnsiTheme="majorHAnsi"/>
          <w:i/>
          <w:iCs/>
          <w:sz w:val="20"/>
          <w:szCs w:val="20"/>
          <w:lang w:val="en"/>
        </w:rPr>
        <w:t xml:space="preserve">, in strict application of </w:t>
      </w:r>
      <w:r>
        <w:rPr>
          <w:rFonts w:asciiTheme="majorHAnsi" w:hAnsiTheme="majorHAnsi"/>
          <w:i/>
          <w:iCs/>
          <w:sz w:val="20"/>
          <w:szCs w:val="20"/>
          <w:lang w:val="en"/>
        </w:rPr>
        <w:t>the principle</w:t>
      </w:r>
      <w:r w:rsidR="00B1516A">
        <w:rPr>
          <w:rFonts w:asciiTheme="majorHAnsi" w:hAnsiTheme="majorHAnsi"/>
          <w:i/>
          <w:iCs/>
          <w:sz w:val="20"/>
          <w:szCs w:val="20"/>
          <w:lang w:val="en"/>
        </w:rPr>
        <w:t>s</w:t>
      </w:r>
      <w:r>
        <w:rPr>
          <w:rFonts w:asciiTheme="majorHAnsi" w:hAnsiTheme="majorHAnsi"/>
          <w:i/>
          <w:iCs/>
          <w:sz w:val="20"/>
          <w:szCs w:val="20"/>
          <w:lang w:val="en"/>
        </w:rPr>
        <w:t xml:space="preserve"> of </w:t>
      </w:r>
      <w:r w:rsidR="00B1516A">
        <w:rPr>
          <w:rFonts w:asciiTheme="majorHAnsi" w:hAnsiTheme="majorHAnsi"/>
          <w:i/>
          <w:iCs/>
          <w:sz w:val="20"/>
          <w:szCs w:val="20"/>
          <w:lang w:val="en"/>
        </w:rPr>
        <w:t xml:space="preserve">objectivity </w:t>
      </w:r>
      <w:r>
        <w:rPr>
          <w:rFonts w:asciiTheme="majorHAnsi" w:hAnsiTheme="majorHAnsi"/>
          <w:i/>
          <w:iCs/>
          <w:sz w:val="20"/>
          <w:szCs w:val="20"/>
          <w:lang w:val="en"/>
        </w:rPr>
        <w:t xml:space="preserve">and </w:t>
      </w:r>
      <w:r w:rsidR="00B1516A">
        <w:rPr>
          <w:rFonts w:asciiTheme="majorHAnsi" w:hAnsiTheme="majorHAnsi"/>
          <w:i/>
          <w:iCs/>
          <w:sz w:val="20"/>
          <w:szCs w:val="20"/>
          <w:lang w:val="en"/>
        </w:rPr>
        <w:t xml:space="preserve">favorability </w:t>
      </w:r>
      <w:r>
        <w:rPr>
          <w:rFonts w:asciiTheme="majorHAnsi" w:hAnsiTheme="majorHAnsi"/>
          <w:i/>
          <w:iCs/>
          <w:sz w:val="20"/>
          <w:szCs w:val="20"/>
          <w:lang w:val="en"/>
        </w:rPr>
        <w:t xml:space="preserve">that </w:t>
      </w:r>
      <w:r w:rsidR="00B1516A">
        <w:rPr>
          <w:rFonts w:asciiTheme="majorHAnsi" w:hAnsiTheme="majorHAnsi"/>
          <w:i/>
          <w:iCs/>
          <w:sz w:val="20"/>
          <w:szCs w:val="20"/>
          <w:lang w:val="en"/>
        </w:rPr>
        <w:t xml:space="preserve">limit </w:t>
      </w:r>
      <w:r>
        <w:rPr>
          <w:rFonts w:asciiTheme="majorHAnsi" w:hAnsiTheme="majorHAnsi"/>
          <w:i/>
          <w:iCs/>
          <w:sz w:val="20"/>
          <w:szCs w:val="20"/>
          <w:lang w:val="en"/>
        </w:rPr>
        <w:t>the actions of the Public Prosecutor’s Office</w:t>
      </w:r>
      <w:r>
        <w:rPr>
          <w:rFonts w:asciiTheme="majorHAnsi" w:hAnsiTheme="majorHAnsi"/>
          <w:sz w:val="20"/>
          <w:szCs w:val="20"/>
          <w:lang w:val="en"/>
        </w:rPr>
        <w:t>”</w:t>
      </w:r>
      <w:r w:rsidR="00B1516A">
        <w:rPr>
          <w:rFonts w:asciiTheme="majorHAnsi" w:hAnsiTheme="majorHAnsi"/>
          <w:sz w:val="20"/>
          <w:szCs w:val="20"/>
          <w:lang w:val="en"/>
        </w:rPr>
        <w:t xml:space="preserve">, as well as in application of the </w:t>
      </w:r>
      <w:r>
        <w:rPr>
          <w:rFonts w:asciiTheme="majorHAnsi" w:hAnsiTheme="majorHAnsi"/>
          <w:sz w:val="20"/>
          <w:szCs w:val="20"/>
          <w:lang w:val="en"/>
        </w:rPr>
        <w:t xml:space="preserve">principle of presumption of innocence </w:t>
      </w:r>
      <w:r w:rsidR="00B1516A">
        <w:rPr>
          <w:rFonts w:asciiTheme="majorHAnsi" w:hAnsiTheme="majorHAnsi"/>
          <w:sz w:val="20"/>
          <w:szCs w:val="20"/>
          <w:lang w:val="en"/>
        </w:rPr>
        <w:t xml:space="preserve">to </w:t>
      </w:r>
      <w:r>
        <w:rPr>
          <w:rFonts w:asciiTheme="majorHAnsi" w:hAnsiTheme="majorHAnsi"/>
          <w:sz w:val="20"/>
          <w:szCs w:val="20"/>
          <w:lang w:val="en"/>
        </w:rPr>
        <w:t xml:space="preserve">those being investigated. </w:t>
      </w:r>
      <w:r w:rsidR="00B1516A">
        <w:rPr>
          <w:rFonts w:asciiTheme="majorHAnsi" w:hAnsiTheme="majorHAnsi"/>
          <w:sz w:val="20"/>
          <w:szCs w:val="20"/>
          <w:lang w:val="en"/>
        </w:rPr>
        <w:t>T</w:t>
      </w:r>
      <w:r>
        <w:rPr>
          <w:rFonts w:asciiTheme="majorHAnsi" w:hAnsiTheme="majorHAnsi"/>
          <w:sz w:val="20"/>
          <w:szCs w:val="20"/>
          <w:lang w:val="en"/>
        </w:rPr>
        <w:t xml:space="preserve">his resolution was duly notified to the parties and </w:t>
      </w:r>
      <w:r w:rsidR="00B1516A">
        <w:rPr>
          <w:rFonts w:asciiTheme="majorHAnsi" w:hAnsiTheme="majorHAnsi"/>
          <w:sz w:val="20"/>
          <w:szCs w:val="20"/>
          <w:lang w:val="en"/>
        </w:rPr>
        <w:t>presented to the Due Process Guarantees Controlling Judge</w:t>
      </w:r>
      <w:r>
        <w:rPr>
          <w:rFonts w:asciiTheme="majorHAnsi" w:hAnsiTheme="majorHAnsi"/>
          <w:sz w:val="20"/>
          <w:szCs w:val="20"/>
          <w:lang w:val="en"/>
        </w:rPr>
        <w:t xml:space="preserve">. Following an objection filed by the petitioner on December 3, </w:t>
      </w:r>
      <w:r w:rsidR="00B85BA3">
        <w:rPr>
          <w:rFonts w:asciiTheme="majorHAnsi" w:hAnsiTheme="majorHAnsi"/>
          <w:sz w:val="20"/>
          <w:szCs w:val="20"/>
          <w:lang w:val="en"/>
        </w:rPr>
        <w:t xml:space="preserve">and in application of the relevant </w:t>
      </w:r>
      <w:r>
        <w:rPr>
          <w:rFonts w:asciiTheme="majorHAnsi" w:hAnsiTheme="majorHAnsi"/>
          <w:sz w:val="20"/>
          <w:szCs w:val="20"/>
          <w:lang w:val="en"/>
        </w:rPr>
        <w:t>rules of criminal procedure</w:t>
      </w:r>
      <w:r w:rsidR="00B1516A">
        <w:rPr>
          <w:rFonts w:asciiTheme="majorHAnsi" w:hAnsiTheme="majorHAnsi"/>
          <w:sz w:val="20"/>
          <w:szCs w:val="20"/>
          <w:lang w:val="en"/>
        </w:rPr>
        <w:t xml:space="preserve">, after its communication to said Controlling Judge, the </w:t>
      </w:r>
      <w:r>
        <w:rPr>
          <w:rFonts w:asciiTheme="majorHAnsi" w:hAnsiTheme="majorHAnsi"/>
          <w:sz w:val="20"/>
          <w:szCs w:val="20"/>
          <w:lang w:val="en"/>
        </w:rPr>
        <w:t xml:space="preserve">Santa Cruz District Public Prosecutor </w:t>
      </w:r>
      <w:r w:rsidR="00B1516A">
        <w:rPr>
          <w:rFonts w:asciiTheme="majorHAnsi" w:hAnsiTheme="majorHAnsi"/>
          <w:sz w:val="20"/>
          <w:szCs w:val="20"/>
          <w:lang w:val="en"/>
        </w:rPr>
        <w:t xml:space="preserve">ratified </w:t>
      </w:r>
      <w:r>
        <w:rPr>
          <w:rFonts w:asciiTheme="majorHAnsi" w:hAnsiTheme="majorHAnsi"/>
          <w:sz w:val="20"/>
          <w:szCs w:val="20"/>
          <w:lang w:val="en"/>
        </w:rPr>
        <w:t xml:space="preserve">the </w:t>
      </w:r>
      <w:r w:rsidR="00B1516A">
        <w:rPr>
          <w:rFonts w:asciiTheme="majorHAnsi" w:hAnsiTheme="majorHAnsi"/>
          <w:sz w:val="20"/>
          <w:szCs w:val="20"/>
          <w:lang w:val="en"/>
        </w:rPr>
        <w:t xml:space="preserve">decision </w:t>
      </w:r>
      <w:r>
        <w:rPr>
          <w:rFonts w:asciiTheme="majorHAnsi" w:hAnsiTheme="majorHAnsi"/>
          <w:sz w:val="20"/>
          <w:szCs w:val="20"/>
          <w:lang w:val="en"/>
        </w:rPr>
        <w:t xml:space="preserve">to </w:t>
      </w:r>
      <w:r w:rsidR="00EC71A0">
        <w:rPr>
          <w:rFonts w:asciiTheme="majorHAnsi" w:hAnsiTheme="majorHAnsi"/>
          <w:sz w:val="20"/>
          <w:szCs w:val="20"/>
          <w:lang w:val="en"/>
        </w:rPr>
        <w:t>close the investigation</w:t>
      </w:r>
      <w:r>
        <w:rPr>
          <w:rFonts w:asciiTheme="majorHAnsi" w:hAnsiTheme="majorHAnsi"/>
          <w:sz w:val="20"/>
          <w:szCs w:val="20"/>
          <w:lang w:val="en"/>
        </w:rPr>
        <w:t xml:space="preserve"> on December 24, 2008. </w:t>
      </w:r>
      <w:r w:rsidR="00B1516A">
        <w:rPr>
          <w:rFonts w:asciiTheme="majorHAnsi" w:hAnsiTheme="majorHAnsi"/>
          <w:sz w:val="20"/>
          <w:szCs w:val="20"/>
          <w:lang w:val="en"/>
        </w:rPr>
        <w:t xml:space="preserve">Starting on that moment, </w:t>
      </w:r>
      <w:r>
        <w:rPr>
          <w:rFonts w:asciiTheme="majorHAnsi" w:hAnsiTheme="majorHAnsi"/>
          <w:sz w:val="20"/>
          <w:szCs w:val="20"/>
          <w:lang w:val="en"/>
        </w:rPr>
        <w:t>the six-month period for submitting a constitutional appeal against the District Public Prosecutor’s decision</w:t>
      </w:r>
      <w:r w:rsidR="00B1516A">
        <w:rPr>
          <w:rFonts w:asciiTheme="majorHAnsi" w:hAnsiTheme="majorHAnsi"/>
          <w:sz w:val="20"/>
          <w:szCs w:val="20"/>
          <w:lang w:val="en"/>
        </w:rPr>
        <w:t>,</w:t>
      </w:r>
      <w:r>
        <w:rPr>
          <w:rFonts w:asciiTheme="majorHAnsi" w:hAnsiTheme="majorHAnsi"/>
          <w:sz w:val="20"/>
          <w:szCs w:val="20"/>
          <w:lang w:val="en"/>
        </w:rPr>
        <w:t xml:space="preserve"> or the one-year period for requesting the reopening of the criminal proceeding </w:t>
      </w:r>
      <w:r w:rsidR="00B85BA3">
        <w:rPr>
          <w:rFonts w:asciiTheme="majorHAnsi" w:hAnsiTheme="majorHAnsi"/>
          <w:sz w:val="20"/>
          <w:szCs w:val="20"/>
          <w:lang w:val="en"/>
        </w:rPr>
        <w:t xml:space="preserve">upon provision of </w:t>
      </w:r>
      <w:r>
        <w:rPr>
          <w:rFonts w:asciiTheme="majorHAnsi" w:hAnsiTheme="majorHAnsi"/>
          <w:sz w:val="20"/>
          <w:szCs w:val="20"/>
          <w:lang w:val="en"/>
        </w:rPr>
        <w:t>new evidence</w:t>
      </w:r>
      <w:r w:rsidR="00B1516A">
        <w:rPr>
          <w:rFonts w:asciiTheme="majorHAnsi" w:hAnsiTheme="majorHAnsi"/>
          <w:sz w:val="20"/>
          <w:szCs w:val="20"/>
          <w:lang w:val="en"/>
        </w:rPr>
        <w:t>, began to run</w:t>
      </w:r>
      <w:r>
        <w:rPr>
          <w:rFonts w:asciiTheme="majorHAnsi" w:hAnsiTheme="majorHAnsi"/>
          <w:sz w:val="20"/>
          <w:szCs w:val="20"/>
          <w:lang w:val="en"/>
        </w:rPr>
        <w:t xml:space="preserve">. The State claims that the petitioner did not </w:t>
      </w:r>
      <w:r w:rsidR="00B1516A">
        <w:rPr>
          <w:rFonts w:asciiTheme="majorHAnsi" w:hAnsiTheme="majorHAnsi"/>
          <w:sz w:val="20"/>
          <w:szCs w:val="20"/>
          <w:lang w:val="en"/>
        </w:rPr>
        <w:t>make use of either of these legal alternatives that were available to her</w:t>
      </w:r>
      <w:r>
        <w:rPr>
          <w:rFonts w:asciiTheme="majorHAnsi" w:hAnsiTheme="majorHAnsi"/>
          <w:sz w:val="20"/>
          <w:szCs w:val="20"/>
          <w:lang w:val="en"/>
        </w:rPr>
        <w:t xml:space="preserve">. </w:t>
      </w:r>
    </w:p>
    <w:p w14:paraId="2785B1A0" w14:textId="44AD19C1"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9.</w:t>
      </w:r>
      <w:r>
        <w:rPr>
          <w:rFonts w:asciiTheme="majorHAnsi" w:hAnsiTheme="majorHAnsi"/>
          <w:sz w:val="20"/>
          <w:szCs w:val="20"/>
          <w:lang w:val="en"/>
        </w:rPr>
        <w:tab/>
        <w:t xml:space="preserve">The State </w:t>
      </w:r>
      <w:r w:rsidR="00B1516A">
        <w:rPr>
          <w:rFonts w:asciiTheme="majorHAnsi" w:hAnsiTheme="majorHAnsi"/>
          <w:sz w:val="20"/>
          <w:szCs w:val="20"/>
          <w:lang w:val="en"/>
        </w:rPr>
        <w:t xml:space="preserve">indicates </w:t>
      </w:r>
      <w:r>
        <w:rPr>
          <w:rFonts w:asciiTheme="majorHAnsi" w:hAnsiTheme="majorHAnsi"/>
          <w:sz w:val="20"/>
          <w:szCs w:val="20"/>
          <w:lang w:val="en"/>
        </w:rPr>
        <w:t xml:space="preserve">that on March 9, 2010, the prosecutor attached to this case sent </w:t>
      </w:r>
      <w:r w:rsidR="00B1516A">
        <w:rPr>
          <w:rFonts w:asciiTheme="majorHAnsi" w:hAnsiTheme="majorHAnsi"/>
          <w:sz w:val="20"/>
          <w:szCs w:val="20"/>
          <w:lang w:val="en"/>
        </w:rPr>
        <w:t xml:space="preserve">the district prosecutor’s decision confirming the closure of the investigation to </w:t>
      </w:r>
      <w:r>
        <w:rPr>
          <w:rFonts w:asciiTheme="majorHAnsi" w:hAnsiTheme="majorHAnsi"/>
          <w:sz w:val="20"/>
          <w:szCs w:val="20"/>
          <w:lang w:val="en"/>
        </w:rPr>
        <w:t xml:space="preserve">the </w:t>
      </w:r>
      <w:r w:rsidR="00B1516A">
        <w:rPr>
          <w:rFonts w:asciiTheme="majorHAnsi" w:hAnsiTheme="majorHAnsi"/>
          <w:sz w:val="20"/>
          <w:szCs w:val="20"/>
          <w:lang w:val="en"/>
        </w:rPr>
        <w:t>Due Process Guarantees Controlling Judge; and that</w:t>
      </w:r>
      <w:r>
        <w:rPr>
          <w:rFonts w:asciiTheme="majorHAnsi" w:hAnsiTheme="majorHAnsi"/>
          <w:sz w:val="20"/>
          <w:szCs w:val="20"/>
          <w:lang w:val="en"/>
        </w:rPr>
        <w:t xml:space="preserve"> </w:t>
      </w:r>
      <w:r w:rsidR="00B1516A">
        <w:rPr>
          <w:rFonts w:asciiTheme="majorHAnsi" w:hAnsiTheme="majorHAnsi"/>
          <w:sz w:val="20"/>
          <w:szCs w:val="20"/>
          <w:lang w:val="en"/>
        </w:rPr>
        <w:t xml:space="preserve">taking </w:t>
      </w:r>
      <w:r>
        <w:rPr>
          <w:rFonts w:asciiTheme="majorHAnsi" w:hAnsiTheme="majorHAnsi"/>
          <w:sz w:val="20"/>
          <w:szCs w:val="20"/>
          <w:lang w:val="en"/>
        </w:rPr>
        <w:t xml:space="preserve">this </w:t>
      </w:r>
      <w:r w:rsidR="00B1516A">
        <w:rPr>
          <w:rFonts w:asciiTheme="majorHAnsi" w:hAnsiTheme="majorHAnsi"/>
          <w:sz w:val="20"/>
          <w:szCs w:val="20"/>
          <w:lang w:val="en"/>
        </w:rPr>
        <w:t>closure resolution into account</w:t>
      </w:r>
      <w:r>
        <w:rPr>
          <w:rFonts w:asciiTheme="majorHAnsi" w:hAnsiTheme="majorHAnsi"/>
          <w:sz w:val="20"/>
          <w:szCs w:val="20"/>
          <w:lang w:val="en"/>
        </w:rPr>
        <w:t xml:space="preserve">, </w:t>
      </w:r>
      <w:r w:rsidR="00B1516A">
        <w:rPr>
          <w:rFonts w:asciiTheme="majorHAnsi" w:hAnsiTheme="majorHAnsi"/>
          <w:sz w:val="20"/>
          <w:szCs w:val="20"/>
          <w:lang w:val="en"/>
        </w:rPr>
        <w:t xml:space="preserve">the </w:t>
      </w:r>
      <w:r>
        <w:rPr>
          <w:rFonts w:asciiTheme="majorHAnsi" w:hAnsiTheme="majorHAnsi"/>
          <w:sz w:val="20"/>
          <w:szCs w:val="20"/>
          <w:lang w:val="en"/>
        </w:rPr>
        <w:t xml:space="preserve">Second </w:t>
      </w:r>
      <w:r w:rsidR="00B1516A">
        <w:rPr>
          <w:rFonts w:asciiTheme="majorHAnsi" w:hAnsiTheme="majorHAnsi"/>
          <w:sz w:val="20"/>
          <w:szCs w:val="20"/>
          <w:lang w:val="en"/>
        </w:rPr>
        <w:t xml:space="preserve">Investigating Judge of </w:t>
      </w:r>
      <w:proofErr w:type="spellStart"/>
      <w:r w:rsidR="00B1516A">
        <w:rPr>
          <w:rFonts w:asciiTheme="majorHAnsi" w:hAnsiTheme="majorHAnsi"/>
          <w:sz w:val="20"/>
          <w:szCs w:val="20"/>
          <w:lang w:val="en"/>
        </w:rPr>
        <w:t>Camiri</w:t>
      </w:r>
      <w:proofErr w:type="spellEnd"/>
      <w:r w:rsidR="00B1516A">
        <w:rPr>
          <w:rFonts w:asciiTheme="majorHAnsi" w:hAnsiTheme="majorHAnsi"/>
          <w:sz w:val="20"/>
          <w:szCs w:val="20"/>
          <w:lang w:val="en"/>
        </w:rPr>
        <w:t xml:space="preserve"> ordered the closure of </w:t>
      </w:r>
      <w:r>
        <w:rPr>
          <w:rFonts w:asciiTheme="majorHAnsi" w:hAnsiTheme="majorHAnsi"/>
          <w:sz w:val="20"/>
          <w:szCs w:val="20"/>
          <w:lang w:val="en"/>
        </w:rPr>
        <w:t xml:space="preserve">the case </w:t>
      </w:r>
      <w:r w:rsidR="00B1516A">
        <w:rPr>
          <w:rFonts w:asciiTheme="majorHAnsi" w:hAnsiTheme="majorHAnsi"/>
          <w:sz w:val="20"/>
          <w:szCs w:val="20"/>
          <w:lang w:val="en"/>
        </w:rPr>
        <w:t xml:space="preserve">and sent it to </w:t>
      </w:r>
      <w:r>
        <w:rPr>
          <w:rFonts w:asciiTheme="majorHAnsi" w:hAnsiTheme="majorHAnsi"/>
          <w:sz w:val="20"/>
          <w:szCs w:val="20"/>
          <w:lang w:val="en"/>
        </w:rPr>
        <w:t xml:space="preserve">the archive. </w:t>
      </w:r>
      <w:r w:rsidR="00B1516A">
        <w:rPr>
          <w:rFonts w:asciiTheme="majorHAnsi" w:hAnsiTheme="majorHAnsi"/>
          <w:sz w:val="20"/>
          <w:szCs w:val="20"/>
          <w:lang w:val="en"/>
        </w:rPr>
        <w:t xml:space="preserve">In this line, the </w:t>
      </w:r>
      <w:r>
        <w:rPr>
          <w:rFonts w:asciiTheme="majorHAnsi" w:hAnsiTheme="majorHAnsi"/>
          <w:sz w:val="20"/>
          <w:szCs w:val="20"/>
          <w:lang w:val="en"/>
        </w:rPr>
        <w:t xml:space="preserve">State further holds that </w:t>
      </w:r>
      <w:r w:rsidR="009C43BE">
        <w:rPr>
          <w:rFonts w:asciiTheme="majorHAnsi" w:hAnsiTheme="majorHAnsi"/>
          <w:sz w:val="20"/>
          <w:szCs w:val="20"/>
          <w:lang w:val="en"/>
        </w:rPr>
        <w:t xml:space="preserve">the alleged </w:t>
      </w:r>
      <w:r>
        <w:rPr>
          <w:rFonts w:asciiTheme="majorHAnsi" w:hAnsiTheme="majorHAnsi"/>
          <w:sz w:val="20"/>
          <w:szCs w:val="20"/>
          <w:lang w:val="en"/>
        </w:rPr>
        <w:t xml:space="preserve">memorandum </w:t>
      </w:r>
      <w:r w:rsidR="009C43BE">
        <w:rPr>
          <w:rFonts w:asciiTheme="majorHAnsi" w:hAnsiTheme="majorHAnsi"/>
          <w:sz w:val="20"/>
          <w:szCs w:val="20"/>
          <w:lang w:val="en"/>
        </w:rPr>
        <w:t xml:space="preserve">of </w:t>
      </w:r>
      <w:r w:rsidR="00B1516A">
        <w:rPr>
          <w:rFonts w:asciiTheme="majorHAnsi" w:hAnsiTheme="majorHAnsi"/>
          <w:sz w:val="20"/>
          <w:szCs w:val="20"/>
          <w:lang w:val="en"/>
        </w:rPr>
        <w:t xml:space="preserve">the </w:t>
      </w:r>
      <w:r>
        <w:rPr>
          <w:rFonts w:asciiTheme="majorHAnsi" w:hAnsiTheme="majorHAnsi"/>
          <w:sz w:val="20"/>
          <w:szCs w:val="20"/>
          <w:lang w:val="en"/>
        </w:rPr>
        <w:t xml:space="preserve">Santa Cruz District Prosecutor </w:t>
      </w:r>
      <w:r w:rsidR="00B1516A">
        <w:rPr>
          <w:rFonts w:asciiTheme="majorHAnsi" w:hAnsiTheme="majorHAnsi"/>
          <w:sz w:val="20"/>
          <w:szCs w:val="20"/>
          <w:lang w:val="en"/>
        </w:rPr>
        <w:t>o</w:t>
      </w:r>
      <w:r w:rsidR="009C43BE">
        <w:rPr>
          <w:rFonts w:asciiTheme="majorHAnsi" w:hAnsiTheme="majorHAnsi"/>
          <w:sz w:val="20"/>
          <w:szCs w:val="20"/>
          <w:lang w:val="en"/>
        </w:rPr>
        <w:t>f</w:t>
      </w:r>
      <w:r w:rsidR="00B1516A">
        <w:rPr>
          <w:rFonts w:asciiTheme="majorHAnsi" w:hAnsiTheme="majorHAnsi"/>
          <w:sz w:val="20"/>
          <w:szCs w:val="20"/>
          <w:lang w:val="en"/>
        </w:rPr>
        <w:t xml:space="preserve"> </w:t>
      </w:r>
      <w:r>
        <w:rPr>
          <w:rFonts w:asciiTheme="majorHAnsi" w:hAnsiTheme="majorHAnsi"/>
          <w:sz w:val="20"/>
          <w:szCs w:val="20"/>
          <w:lang w:val="en"/>
        </w:rPr>
        <w:t>May 5, 2009</w:t>
      </w:r>
      <w:r w:rsidR="009C43BE">
        <w:rPr>
          <w:rFonts w:asciiTheme="majorHAnsi" w:hAnsiTheme="majorHAnsi"/>
          <w:sz w:val="20"/>
          <w:szCs w:val="20"/>
          <w:lang w:val="en"/>
        </w:rPr>
        <w:t>, does not exist</w:t>
      </w:r>
      <w:r>
        <w:rPr>
          <w:rFonts w:asciiTheme="majorHAnsi" w:hAnsiTheme="majorHAnsi"/>
          <w:sz w:val="20"/>
          <w:szCs w:val="20"/>
          <w:lang w:val="en"/>
        </w:rPr>
        <w:t xml:space="preserve">; </w:t>
      </w:r>
      <w:r w:rsidR="009C43BE">
        <w:rPr>
          <w:rFonts w:asciiTheme="majorHAnsi" w:hAnsiTheme="majorHAnsi"/>
          <w:sz w:val="20"/>
          <w:szCs w:val="20"/>
          <w:lang w:val="en"/>
        </w:rPr>
        <w:t xml:space="preserve">and </w:t>
      </w:r>
      <w:r>
        <w:rPr>
          <w:rFonts w:asciiTheme="majorHAnsi" w:hAnsiTheme="majorHAnsi"/>
          <w:sz w:val="20"/>
          <w:szCs w:val="20"/>
          <w:lang w:val="en"/>
        </w:rPr>
        <w:t xml:space="preserve">that, in any case, such </w:t>
      </w:r>
      <w:r w:rsidR="009C43BE">
        <w:rPr>
          <w:rFonts w:asciiTheme="majorHAnsi" w:hAnsiTheme="majorHAnsi"/>
          <w:sz w:val="20"/>
          <w:szCs w:val="20"/>
          <w:lang w:val="en"/>
        </w:rPr>
        <w:t xml:space="preserve">a </w:t>
      </w:r>
      <w:r>
        <w:rPr>
          <w:rFonts w:asciiTheme="majorHAnsi" w:hAnsiTheme="majorHAnsi"/>
          <w:sz w:val="20"/>
          <w:szCs w:val="20"/>
          <w:lang w:val="en"/>
        </w:rPr>
        <w:t xml:space="preserve">memorandum </w:t>
      </w:r>
      <w:r w:rsidR="009C43BE">
        <w:rPr>
          <w:rFonts w:asciiTheme="majorHAnsi" w:hAnsiTheme="majorHAnsi"/>
          <w:sz w:val="20"/>
          <w:szCs w:val="20"/>
          <w:lang w:val="en"/>
        </w:rPr>
        <w:t xml:space="preserve">would not affect the fact that the </w:t>
      </w:r>
      <w:r>
        <w:rPr>
          <w:rFonts w:asciiTheme="majorHAnsi" w:hAnsiTheme="majorHAnsi"/>
          <w:sz w:val="20"/>
          <w:szCs w:val="20"/>
          <w:lang w:val="en"/>
        </w:rPr>
        <w:t xml:space="preserve">resolution to close the investigation </w:t>
      </w:r>
      <w:r w:rsidR="009C43BE">
        <w:rPr>
          <w:rFonts w:asciiTheme="majorHAnsi" w:hAnsiTheme="majorHAnsi"/>
          <w:sz w:val="20"/>
          <w:szCs w:val="20"/>
          <w:lang w:val="en"/>
        </w:rPr>
        <w:t xml:space="preserve">became </w:t>
      </w:r>
      <w:r>
        <w:rPr>
          <w:rFonts w:asciiTheme="majorHAnsi" w:hAnsiTheme="majorHAnsi"/>
          <w:sz w:val="20"/>
          <w:szCs w:val="20"/>
          <w:lang w:val="en"/>
        </w:rPr>
        <w:t>final on December 24, 2008</w:t>
      </w:r>
      <w:r w:rsidR="009C43BE">
        <w:rPr>
          <w:rFonts w:asciiTheme="majorHAnsi" w:hAnsiTheme="majorHAnsi"/>
          <w:sz w:val="20"/>
          <w:szCs w:val="20"/>
          <w:lang w:val="en"/>
        </w:rPr>
        <w:t>, for which reason the</w:t>
      </w:r>
      <w:r w:rsidR="00B85BA3">
        <w:rPr>
          <w:rFonts w:asciiTheme="majorHAnsi" w:hAnsiTheme="majorHAnsi"/>
          <w:sz w:val="20"/>
          <w:szCs w:val="20"/>
          <w:lang w:val="en"/>
        </w:rPr>
        <w:t xml:space="preserve"> State considers that the</w:t>
      </w:r>
      <w:r w:rsidR="009C43BE">
        <w:rPr>
          <w:rFonts w:asciiTheme="majorHAnsi" w:hAnsiTheme="majorHAnsi"/>
          <w:sz w:val="20"/>
          <w:szCs w:val="20"/>
          <w:lang w:val="en"/>
        </w:rPr>
        <w:t xml:space="preserve"> petition was not presented to the </w:t>
      </w:r>
      <w:r>
        <w:rPr>
          <w:rFonts w:asciiTheme="majorHAnsi" w:hAnsiTheme="majorHAnsi"/>
          <w:sz w:val="20"/>
          <w:szCs w:val="20"/>
          <w:lang w:val="en"/>
        </w:rPr>
        <w:t xml:space="preserve">IACHR </w:t>
      </w:r>
      <w:r w:rsidR="009C43BE">
        <w:rPr>
          <w:rFonts w:asciiTheme="majorHAnsi" w:hAnsiTheme="majorHAnsi"/>
          <w:sz w:val="20"/>
          <w:szCs w:val="20"/>
          <w:lang w:val="en"/>
        </w:rPr>
        <w:t>in a timely manner</w:t>
      </w:r>
      <w:r>
        <w:rPr>
          <w:rFonts w:asciiTheme="majorHAnsi" w:hAnsiTheme="majorHAnsi"/>
          <w:sz w:val="20"/>
          <w:szCs w:val="20"/>
          <w:lang w:val="en"/>
        </w:rPr>
        <w:t xml:space="preserve">. The State also </w:t>
      </w:r>
      <w:r w:rsidR="009C43BE">
        <w:rPr>
          <w:rFonts w:asciiTheme="majorHAnsi" w:hAnsiTheme="majorHAnsi"/>
          <w:sz w:val="20"/>
          <w:szCs w:val="20"/>
          <w:lang w:val="en"/>
        </w:rPr>
        <w:t xml:space="preserve">asserts </w:t>
      </w:r>
      <w:r>
        <w:rPr>
          <w:rFonts w:asciiTheme="majorHAnsi" w:hAnsiTheme="majorHAnsi"/>
          <w:sz w:val="20"/>
          <w:szCs w:val="20"/>
          <w:lang w:val="en"/>
        </w:rPr>
        <w:t xml:space="preserve">that the decisions to replace the prosecutors responsible for the investigation were </w:t>
      </w:r>
      <w:r w:rsidR="00B85BA3">
        <w:rPr>
          <w:rFonts w:asciiTheme="majorHAnsi" w:hAnsiTheme="majorHAnsi"/>
          <w:sz w:val="20"/>
          <w:szCs w:val="20"/>
          <w:lang w:val="en"/>
        </w:rPr>
        <w:t xml:space="preserve">all based on </w:t>
      </w:r>
      <w:r>
        <w:rPr>
          <w:rFonts w:asciiTheme="majorHAnsi" w:hAnsiTheme="majorHAnsi"/>
          <w:sz w:val="20"/>
          <w:szCs w:val="20"/>
          <w:lang w:val="en"/>
        </w:rPr>
        <w:t xml:space="preserve">the </w:t>
      </w:r>
      <w:r w:rsidR="00B85BA3">
        <w:rPr>
          <w:rFonts w:asciiTheme="majorHAnsi" w:hAnsiTheme="majorHAnsi"/>
          <w:sz w:val="20"/>
          <w:szCs w:val="20"/>
          <w:lang w:val="en"/>
        </w:rPr>
        <w:t>requirements</w:t>
      </w:r>
      <w:r w:rsidR="009C43BE">
        <w:rPr>
          <w:rFonts w:asciiTheme="majorHAnsi" w:hAnsiTheme="majorHAnsi"/>
          <w:sz w:val="20"/>
          <w:szCs w:val="20"/>
          <w:lang w:val="en"/>
        </w:rPr>
        <w:t xml:space="preserve"> of public service </w:t>
      </w:r>
      <w:r>
        <w:rPr>
          <w:rFonts w:asciiTheme="majorHAnsi" w:hAnsiTheme="majorHAnsi"/>
          <w:sz w:val="20"/>
          <w:szCs w:val="20"/>
          <w:lang w:val="en"/>
        </w:rPr>
        <w:t>“</w:t>
      </w:r>
      <w:r>
        <w:rPr>
          <w:rFonts w:asciiTheme="majorHAnsi" w:hAnsiTheme="majorHAnsi"/>
          <w:i/>
          <w:iCs/>
          <w:sz w:val="20"/>
          <w:szCs w:val="20"/>
          <w:lang w:val="en"/>
        </w:rPr>
        <w:t>and in accordance with the principle of unity that governs the Public Prosecutor’s Office; this means that prosecutors fully represent it so that no investigation will be suspended when a prosecutor is absent</w:t>
      </w:r>
      <w:r>
        <w:rPr>
          <w:rFonts w:asciiTheme="majorHAnsi" w:hAnsiTheme="majorHAnsi"/>
          <w:sz w:val="20"/>
          <w:szCs w:val="20"/>
          <w:lang w:val="en"/>
        </w:rPr>
        <w:t>.”</w:t>
      </w:r>
      <w:r w:rsidR="00EC71A0">
        <w:rPr>
          <w:rFonts w:asciiTheme="majorHAnsi" w:hAnsiTheme="majorHAnsi"/>
          <w:sz w:val="20"/>
          <w:szCs w:val="20"/>
          <w:lang w:val="en"/>
        </w:rPr>
        <w:t xml:space="preserve"> </w:t>
      </w:r>
    </w:p>
    <w:p w14:paraId="4EFC0C82" w14:textId="6B6DA2E3"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10. </w:t>
      </w:r>
      <w:r>
        <w:rPr>
          <w:rFonts w:asciiTheme="majorHAnsi" w:hAnsiTheme="majorHAnsi"/>
          <w:sz w:val="20"/>
          <w:szCs w:val="20"/>
          <w:lang w:val="en"/>
        </w:rPr>
        <w:tab/>
        <w:t xml:space="preserve">In </w:t>
      </w:r>
      <w:r w:rsidR="009C43BE">
        <w:rPr>
          <w:rFonts w:asciiTheme="majorHAnsi" w:hAnsiTheme="majorHAnsi"/>
          <w:sz w:val="20"/>
          <w:szCs w:val="20"/>
          <w:lang w:val="en"/>
        </w:rPr>
        <w:t xml:space="preserve">its response </w:t>
      </w:r>
      <w:r>
        <w:rPr>
          <w:rFonts w:asciiTheme="majorHAnsi" w:hAnsiTheme="majorHAnsi"/>
          <w:sz w:val="20"/>
          <w:szCs w:val="20"/>
          <w:lang w:val="en"/>
        </w:rPr>
        <w:t xml:space="preserve">to the </w:t>
      </w:r>
      <w:r w:rsidR="00EC71A0">
        <w:rPr>
          <w:rFonts w:asciiTheme="majorHAnsi" w:hAnsiTheme="majorHAnsi"/>
          <w:sz w:val="20"/>
          <w:szCs w:val="20"/>
          <w:lang w:val="en"/>
        </w:rPr>
        <w:t xml:space="preserve">petitioner’s </w:t>
      </w:r>
      <w:r>
        <w:rPr>
          <w:rFonts w:asciiTheme="majorHAnsi" w:hAnsiTheme="majorHAnsi"/>
          <w:sz w:val="20"/>
          <w:szCs w:val="20"/>
          <w:lang w:val="en"/>
        </w:rPr>
        <w:t xml:space="preserve">additional observations, the State </w:t>
      </w:r>
      <w:r w:rsidR="009C43BE">
        <w:rPr>
          <w:rFonts w:asciiTheme="majorHAnsi" w:hAnsiTheme="majorHAnsi"/>
          <w:sz w:val="20"/>
          <w:szCs w:val="20"/>
          <w:lang w:val="en"/>
        </w:rPr>
        <w:t xml:space="preserve">argues </w:t>
      </w:r>
      <w:r>
        <w:rPr>
          <w:rFonts w:asciiTheme="majorHAnsi" w:hAnsiTheme="majorHAnsi"/>
          <w:sz w:val="20"/>
          <w:szCs w:val="20"/>
          <w:lang w:val="en"/>
        </w:rPr>
        <w:t xml:space="preserve">that domestic remedies have not been exhausted </w:t>
      </w:r>
      <w:r w:rsidR="009C43BE">
        <w:rPr>
          <w:rFonts w:asciiTheme="majorHAnsi" w:hAnsiTheme="majorHAnsi"/>
          <w:sz w:val="20"/>
          <w:szCs w:val="20"/>
          <w:lang w:val="en"/>
        </w:rPr>
        <w:t xml:space="preserve">with regard to </w:t>
      </w:r>
      <w:r>
        <w:rPr>
          <w:rFonts w:asciiTheme="majorHAnsi" w:hAnsiTheme="majorHAnsi"/>
          <w:sz w:val="20"/>
          <w:szCs w:val="20"/>
          <w:lang w:val="en"/>
        </w:rPr>
        <w:t xml:space="preserve">Ms. </w:t>
      </w:r>
      <w:proofErr w:type="spellStart"/>
      <w:r>
        <w:rPr>
          <w:rFonts w:asciiTheme="majorHAnsi" w:hAnsiTheme="majorHAnsi"/>
          <w:sz w:val="20"/>
          <w:szCs w:val="20"/>
          <w:lang w:val="en"/>
        </w:rPr>
        <w:t>Estremadoiro’s</w:t>
      </w:r>
      <w:proofErr w:type="spellEnd"/>
      <w:r>
        <w:rPr>
          <w:rFonts w:asciiTheme="majorHAnsi" w:hAnsiTheme="majorHAnsi"/>
          <w:sz w:val="20"/>
          <w:szCs w:val="20"/>
          <w:lang w:val="en"/>
        </w:rPr>
        <w:t xml:space="preserve"> freedom of expression</w:t>
      </w:r>
      <w:r w:rsidR="009C43BE">
        <w:rPr>
          <w:rFonts w:asciiTheme="majorHAnsi" w:hAnsiTheme="majorHAnsi"/>
          <w:sz w:val="20"/>
          <w:szCs w:val="20"/>
          <w:lang w:val="en"/>
        </w:rPr>
        <w:t>,</w:t>
      </w:r>
      <w:r>
        <w:rPr>
          <w:rFonts w:asciiTheme="majorHAnsi" w:hAnsiTheme="majorHAnsi"/>
          <w:sz w:val="20"/>
          <w:szCs w:val="20"/>
          <w:lang w:val="en"/>
        </w:rPr>
        <w:t xml:space="preserve"> </w:t>
      </w:r>
      <w:r w:rsidR="009C43BE">
        <w:rPr>
          <w:rFonts w:asciiTheme="majorHAnsi" w:hAnsiTheme="majorHAnsi"/>
          <w:sz w:val="20"/>
          <w:szCs w:val="20"/>
          <w:lang w:val="en"/>
        </w:rPr>
        <w:t xml:space="preserve">insofar </w:t>
      </w:r>
      <w:r>
        <w:rPr>
          <w:rFonts w:asciiTheme="majorHAnsi" w:hAnsiTheme="majorHAnsi"/>
          <w:sz w:val="20"/>
          <w:szCs w:val="20"/>
          <w:lang w:val="en"/>
        </w:rPr>
        <w:t xml:space="preserve">as she has not filed any criminal complaint </w:t>
      </w:r>
      <w:r w:rsidR="000E6DE2">
        <w:rPr>
          <w:rFonts w:asciiTheme="majorHAnsi" w:hAnsiTheme="majorHAnsi"/>
          <w:sz w:val="20"/>
          <w:szCs w:val="20"/>
          <w:lang w:val="en"/>
        </w:rPr>
        <w:t>alleging</w:t>
      </w:r>
      <w:r>
        <w:rPr>
          <w:rFonts w:asciiTheme="majorHAnsi" w:hAnsiTheme="majorHAnsi"/>
          <w:sz w:val="20"/>
          <w:szCs w:val="20"/>
          <w:lang w:val="en"/>
        </w:rPr>
        <w:t xml:space="preserve"> </w:t>
      </w:r>
      <w:r w:rsidR="000E6DE2">
        <w:rPr>
          <w:rFonts w:asciiTheme="majorHAnsi" w:hAnsiTheme="majorHAnsi"/>
          <w:sz w:val="20"/>
          <w:szCs w:val="20"/>
          <w:lang w:val="en"/>
        </w:rPr>
        <w:t xml:space="preserve">the </w:t>
      </w:r>
      <w:r>
        <w:rPr>
          <w:rFonts w:asciiTheme="majorHAnsi" w:hAnsiTheme="majorHAnsi"/>
          <w:sz w:val="20"/>
          <w:szCs w:val="20"/>
          <w:lang w:val="en"/>
        </w:rPr>
        <w:t xml:space="preserve">crime of attack against her freedom to work, which may </w:t>
      </w:r>
      <w:r w:rsidR="009C43BE">
        <w:rPr>
          <w:rFonts w:asciiTheme="majorHAnsi" w:hAnsiTheme="majorHAnsi"/>
          <w:sz w:val="20"/>
          <w:szCs w:val="20"/>
          <w:lang w:val="en"/>
        </w:rPr>
        <w:t xml:space="preserve">also </w:t>
      </w:r>
      <w:r>
        <w:rPr>
          <w:rFonts w:asciiTheme="majorHAnsi" w:hAnsiTheme="majorHAnsi"/>
          <w:sz w:val="20"/>
          <w:szCs w:val="20"/>
          <w:lang w:val="en"/>
        </w:rPr>
        <w:t xml:space="preserve">encompass the restriction on her journalistic work on the situation of the Guaraní people. </w:t>
      </w:r>
      <w:r w:rsidR="00B85BA3">
        <w:rPr>
          <w:rFonts w:asciiTheme="majorHAnsi" w:hAnsiTheme="majorHAnsi"/>
          <w:sz w:val="20"/>
          <w:szCs w:val="20"/>
          <w:lang w:val="en"/>
        </w:rPr>
        <w:t xml:space="preserve">The State </w:t>
      </w:r>
      <w:r>
        <w:rPr>
          <w:rFonts w:asciiTheme="majorHAnsi" w:hAnsiTheme="majorHAnsi"/>
          <w:sz w:val="20"/>
          <w:szCs w:val="20"/>
          <w:lang w:val="en"/>
        </w:rPr>
        <w:t xml:space="preserve">also claims, </w:t>
      </w:r>
      <w:r w:rsidR="009C43BE">
        <w:rPr>
          <w:rFonts w:asciiTheme="majorHAnsi" w:hAnsiTheme="majorHAnsi"/>
          <w:sz w:val="20"/>
          <w:szCs w:val="20"/>
          <w:lang w:val="en"/>
        </w:rPr>
        <w:t xml:space="preserve">with regard to her </w:t>
      </w:r>
      <w:r>
        <w:rPr>
          <w:rFonts w:asciiTheme="majorHAnsi" w:hAnsiTheme="majorHAnsi"/>
          <w:sz w:val="20"/>
          <w:szCs w:val="20"/>
          <w:lang w:val="en"/>
        </w:rPr>
        <w:t xml:space="preserve">right to </w:t>
      </w:r>
      <w:r w:rsidR="000E6DE2">
        <w:rPr>
          <w:rFonts w:asciiTheme="majorHAnsi" w:hAnsiTheme="majorHAnsi"/>
          <w:sz w:val="20"/>
          <w:szCs w:val="20"/>
          <w:lang w:val="en"/>
        </w:rPr>
        <w:t>property</w:t>
      </w:r>
      <w:r>
        <w:rPr>
          <w:rFonts w:asciiTheme="majorHAnsi" w:hAnsiTheme="majorHAnsi"/>
          <w:sz w:val="20"/>
          <w:szCs w:val="20"/>
          <w:lang w:val="en"/>
        </w:rPr>
        <w:t xml:space="preserve">, </w:t>
      </w:r>
      <w:r w:rsidR="009C43BE">
        <w:rPr>
          <w:rFonts w:asciiTheme="majorHAnsi" w:hAnsiTheme="majorHAnsi"/>
          <w:sz w:val="20"/>
          <w:szCs w:val="20"/>
          <w:lang w:val="en"/>
        </w:rPr>
        <w:t xml:space="preserve">that </w:t>
      </w:r>
      <w:r>
        <w:rPr>
          <w:rFonts w:asciiTheme="majorHAnsi" w:hAnsiTheme="majorHAnsi"/>
          <w:sz w:val="20"/>
          <w:szCs w:val="20"/>
          <w:lang w:val="en"/>
        </w:rPr>
        <w:t>the petitioner did not compl</w:t>
      </w:r>
      <w:r w:rsidR="00EC71A0">
        <w:rPr>
          <w:rFonts w:asciiTheme="majorHAnsi" w:hAnsiTheme="majorHAnsi"/>
          <w:sz w:val="20"/>
          <w:szCs w:val="20"/>
          <w:lang w:val="en"/>
        </w:rPr>
        <w:t>y</w:t>
      </w:r>
      <w:r>
        <w:rPr>
          <w:rFonts w:asciiTheme="majorHAnsi" w:hAnsiTheme="majorHAnsi"/>
          <w:sz w:val="20"/>
          <w:szCs w:val="20"/>
          <w:lang w:val="en"/>
        </w:rPr>
        <w:t xml:space="preserve"> with the burden of </w:t>
      </w:r>
      <w:r w:rsidR="009C43BE">
        <w:rPr>
          <w:rFonts w:asciiTheme="majorHAnsi" w:hAnsiTheme="majorHAnsi"/>
          <w:sz w:val="20"/>
          <w:szCs w:val="20"/>
          <w:lang w:val="en"/>
        </w:rPr>
        <w:t xml:space="preserve">identifying </w:t>
      </w:r>
      <w:r>
        <w:rPr>
          <w:rFonts w:asciiTheme="majorHAnsi" w:hAnsiTheme="majorHAnsi"/>
          <w:sz w:val="20"/>
          <w:szCs w:val="20"/>
          <w:lang w:val="en"/>
        </w:rPr>
        <w:t>the items</w:t>
      </w:r>
      <w:r w:rsidR="00EC71A0">
        <w:rPr>
          <w:rFonts w:asciiTheme="majorHAnsi" w:hAnsiTheme="majorHAnsi"/>
          <w:sz w:val="20"/>
          <w:szCs w:val="20"/>
          <w:lang w:val="en"/>
        </w:rPr>
        <w:t xml:space="preserve"> stolen</w:t>
      </w:r>
      <w:r>
        <w:rPr>
          <w:rFonts w:asciiTheme="majorHAnsi" w:hAnsiTheme="majorHAnsi"/>
          <w:sz w:val="20"/>
          <w:szCs w:val="20"/>
          <w:lang w:val="en"/>
        </w:rPr>
        <w:t xml:space="preserve"> </w:t>
      </w:r>
      <w:r w:rsidR="009C43BE">
        <w:rPr>
          <w:rFonts w:asciiTheme="majorHAnsi" w:hAnsiTheme="majorHAnsi"/>
          <w:sz w:val="20"/>
          <w:szCs w:val="20"/>
          <w:lang w:val="en"/>
        </w:rPr>
        <w:t xml:space="preserve">in detail, </w:t>
      </w:r>
      <w:r>
        <w:rPr>
          <w:rFonts w:asciiTheme="majorHAnsi" w:hAnsiTheme="majorHAnsi"/>
          <w:sz w:val="20"/>
          <w:szCs w:val="20"/>
          <w:lang w:val="en"/>
        </w:rPr>
        <w:t xml:space="preserve">and proving both their existence and </w:t>
      </w:r>
      <w:r w:rsidR="009C43BE">
        <w:rPr>
          <w:rFonts w:asciiTheme="majorHAnsi" w:hAnsiTheme="majorHAnsi"/>
          <w:sz w:val="20"/>
          <w:szCs w:val="20"/>
          <w:lang w:val="en"/>
        </w:rPr>
        <w:t xml:space="preserve">her </w:t>
      </w:r>
      <w:r>
        <w:rPr>
          <w:rFonts w:asciiTheme="majorHAnsi" w:hAnsiTheme="majorHAnsi"/>
          <w:sz w:val="20"/>
          <w:szCs w:val="20"/>
          <w:lang w:val="en"/>
        </w:rPr>
        <w:t>ownership</w:t>
      </w:r>
      <w:r w:rsidR="009C43BE">
        <w:rPr>
          <w:rFonts w:asciiTheme="majorHAnsi" w:hAnsiTheme="majorHAnsi"/>
          <w:sz w:val="20"/>
          <w:szCs w:val="20"/>
          <w:lang w:val="en"/>
        </w:rPr>
        <w:t xml:space="preserve"> of them; at the same time</w:t>
      </w:r>
      <w:r w:rsidR="00B85BA3">
        <w:rPr>
          <w:rFonts w:asciiTheme="majorHAnsi" w:hAnsiTheme="majorHAnsi"/>
          <w:sz w:val="20"/>
          <w:szCs w:val="20"/>
          <w:lang w:val="en"/>
        </w:rPr>
        <w:t>, the State</w:t>
      </w:r>
      <w:r w:rsidR="009C43BE">
        <w:rPr>
          <w:rFonts w:asciiTheme="majorHAnsi" w:hAnsiTheme="majorHAnsi"/>
          <w:sz w:val="20"/>
          <w:szCs w:val="20"/>
          <w:lang w:val="en"/>
        </w:rPr>
        <w:t xml:space="preserve"> </w:t>
      </w:r>
      <w:r w:rsidR="00B85BA3">
        <w:rPr>
          <w:rFonts w:asciiTheme="majorHAnsi" w:hAnsiTheme="majorHAnsi"/>
          <w:sz w:val="20"/>
          <w:szCs w:val="20"/>
          <w:lang w:val="en"/>
        </w:rPr>
        <w:t xml:space="preserve">argues </w:t>
      </w:r>
      <w:r w:rsidR="009C43BE">
        <w:rPr>
          <w:rFonts w:asciiTheme="majorHAnsi" w:hAnsiTheme="majorHAnsi"/>
          <w:sz w:val="20"/>
          <w:szCs w:val="20"/>
          <w:lang w:val="en"/>
        </w:rPr>
        <w:t xml:space="preserve">that she abstained from properly exhausting the </w:t>
      </w:r>
      <w:r>
        <w:rPr>
          <w:rFonts w:asciiTheme="majorHAnsi" w:hAnsiTheme="majorHAnsi"/>
          <w:sz w:val="20"/>
          <w:szCs w:val="20"/>
          <w:lang w:val="en"/>
        </w:rPr>
        <w:t>remedies in the domestic criminal jurisdiction regarding the purported theft, for she did not submit enough evidence when she filed the complaint or during the investigation.</w:t>
      </w:r>
      <w:r w:rsidR="00A651D4">
        <w:rPr>
          <w:rFonts w:asciiTheme="majorHAnsi" w:hAnsiTheme="majorHAnsi"/>
          <w:sz w:val="20"/>
          <w:szCs w:val="20"/>
          <w:lang w:val="en"/>
        </w:rPr>
        <w:t xml:space="preserve"> </w:t>
      </w:r>
    </w:p>
    <w:p w14:paraId="3678B8B6" w14:textId="26B85943"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rPr>
      </w:pPr>
      <w:r>
        <w:rPr>
          <w:rFonts w:asciiTheme="majorHAnsi" w:hAnsiTheme="majorHAnsi"/>
          <w:sz w:val="20"/>
          <w:szCs w:val="20"/>
          <w:lang w:val="en"/>
        </w:rPr>
        <w:lastRenderedPageBreak/>
        <w:t xml:space="preserve">11. </w:t>
      </w:r>
      <w:r>
        <w:rPr>
          <w:rFonts w:asciiTheme="majorHAnsi" w:hAnsiTheme="majorHAnsi"/>
          <w:sz w:val="20"/>
          <w:szCs w:val="20"/>
          <w:lang w:val="en"/>
        </w:rPr>
        <w:tab/>
        <w:t xml:space="preserve">Finally, the State claims that the petitioner has appealed to the IACHR as </w:t>
      </w:r>
      <w:r w:rsidR="009C43BE">
        <w:rPr>
          <w:rFonts w:asciiTheme="majorHAnsi" w:hAnsiTheme="majorHAnsi"/>
          <w:sz w:val="20"/>
          <w:szCs w:val="20"/>
          <w:lang w:val="en"/>
        </w:rPr>
        <w:t xml:space="preserve">a court of </w:t>
      </w:r>
      <w:r>
        <w:rPr>
          <w:rFonts w:asciiTheme="majorHAnsi" w:hAnsiTheme="majorHAnsi"/>
          <w:sz w:val="20"/>
          <w:szCs w:val="20"/>
          <w:lang w:val="en"/>
        </w:rPr>
        <w:t xml:space="preserve">fourth instance, </w:t>
      </w:r>
      <w:r w:rsidR="009C43BE">
        <w:rPr>
          <w:rFonts w:asciiTheme="majorHAnsi" w:hAnsiTheme="majorHAnsi"/>
          <w:sz w:val="20"/>
          <w:szCs w:val="20"/>
          <w:lang w:val="en"/>
        </w:rPr>
        <w:t xml:space="preserve">given that she </w:t>
      </w:r>
      <w:r w:rsidR="00B85BA3">
        <w:rPr>
          <w:rFonts w:asciiTheme="majorHAnsi" w:hAnsiTheme="majorHAnsi"/>
          <w:sz w:val="20"/>
          <w:szCs w:val="20"/>
          <w:lang w:val="en"/>
        </w:rPr>
        <w:t xml:space="preserve">has </w:t>
      </w:r>
      <w:r w:rsidR="009C43BE">
        <w:rPr>
          <w:rFonts w:asciiTheme="majorHAnsi" w:hAnsiTheme="majorHAnsi"/>
          <w:sz w:val="20"/>
          <w:szCs w:val="20"/>
          <w:lang w:val="en"/>
        </w:rPr>
        <w:t>request</w:t>
      </w:r>
      <w:r w:rsidR="00B85BA3">
        <w:rPr>
          <w:rFonts w:asciiTheme="majorHAnsi" w:hAnsiTheme="majorHAnsi"/>
          <w:sz w:val="20"/>
          <w:szCs w:val="20"/>
          <w:lang w:val="en"/>
        </w:rPr>
        <w:t>ed</w:t>
      </w:r>
      <w:r w:rsidR="009C43BE">
        <w:rPr>
          <w:rFonts w:asciiTheme="majorHAnsi" w:hAnsiTheme="majorHAnsi"/>
          <w:sz w:val="20"/>
          <w:szCs w:val="20"/>
          <w:lang w:val="en"/>
        </w:rPr>
        <w:t xml:space="preserve"> </w:t>
      </w:r>
      <w:r>
        <w:rPr>
          <w:rFonts w:asciiTheme="majorHAnsi" w:hAnsiTheme="majorHAnsi"/>
          <w:sz w:val="20"/>
          <w:szCs w:val="20"/>
          <w:lang w:val="en"/>
        </w:rPr>
        <w:t>the Commission</w:t>
      </w:r>
      <w:r w:rsidR="009C43BE">
        <w:rPr>
          <w:rFonts w:asciiTheme="majorHAnsi" w:hAnsiTheme="majorHAnsi"/>
          <w:sz w:val="20"/>
          <w:szCs w:val="20"/>
          <w:lang w:val="en"/>
        </w:rPr>
        <w:t xml:space="preserve"> </w:t>
      </w:r>
      <w:r w:rsidR="00B85BA3">
        <w:rPr>
          <w:rFonts w:asciiTheme="majorHAnsi" w:hAnsiTheme="majorHAnsi"/>
          <w:sz w:val="20"/>
          <w:szCs w:val="20"/>
          <w:lang w:val="en"/>
        </w:rPr>
        <w:t xml:space="preserve">to </w:t>
      </w:r>
      <w:r>
        <w:rPr>
          <w:rFonts w:asciiTheme="majorHAnsi" w:hAnsiTheme="majorHAnsi"/>
          <w:sz w:val="20"/>
          <w:szCs w:val="20"/>
          <w:lang w:val="en"/>
        </w:rPr>
        <w:t>recommend the State t</w:t>
      </w:r>
      <w:r w:rsidR="009C43BE">
        <w:rPr>
          <w:rFonts w:asciiTheme="majorHAnsi" w:hAnsiTheme="majorHAnsi"/>
          <w:sz w:val="20"/>
          <w:szCs w:val="20"/>
          <w:lang w:val="en"/>
        </w:rPr>
        <w:t>hat it</w:t>
      </w:r>
      <w:r>
        <w:rPr>
          <w:rFonts w:asciiTheme="majorHAnsi" w:hAnsiTheme="majorHAnsi"/>
          <w:sz w:val="20"/>
          <w:szCs w:val="20"/>
          <w:lang w:val="en"/>
        </w:rPr>
        <w:t xml:space="preserve"> investigate, identify, and punish the perpetrators of these </w:t>
      </w:r>
      <w:r w:rsidR="009C43BE">
        <w:rPr>
          <w:rFonts w:asciiTheme="majorHAnsi" w:hAnsiTheme="majorHAnsi"/>
          <w:sz w:val="20"/>
          <w:szCs w:val="20"/>
          <w:lang w:val="en"/>
        </w:rPr>
        <w:t xml:space="preserve">supposed criminal </w:t>
      </w:r>
      <w:r>
        <w:rPr>
          <w:rFonts w:asciiTheme="majorHAnsi" w:hAnsiTheme="majorHAnsi"/>
          <w:sz w:val="20"/>
          <w:szCs w:val="20"/>
          <w:lang w:val="en"/>
        </w:rPr>
        <w:t>actions</w:t>
      </w:r>
      <w:r w:rsidR="009C43BE">
        <w:rPr>
          <w:rFonts w:asciiTheme="majorHAnsi" w:hAnsiTheme="majorHAnsi"/>
          <w:sz w:val="20"/>
          <w:szCs w:val="20"/>
          <w:lang w:val="en"/>
        </w:rPr>
        <w:t xml:space="preserve"> -</w:t>
      </w:r>
      <w:r>
        <w:rPr>
          <w:rFonts w:asciiTheme="majorHAnsi" w:hAnsiTheme="majorHAnsi"/>
          <w:sz w:val="20"/>
          <w:szCs w:val="20"/>
          <w:lang w:val="en"/>
        </w:rPr>
        <w:t xml:space="preserve"> that is</w:t>
      </w:r>
      <w:r w:rsidR="009C43BE">
        <w:rPr>
          <w:rFonts w:asciiTheme="majorHAnsi" w:hAnsiTheme="majorHAnsi"/>
          <w:sz w:val="20"/>
          <w:szCs w:val="20"/>
          <w:lang w:val="en"/>
        </w:rPr>
        <w:t xml:space="preserve"> to say</w:t>
      </w:r>
      <w:r>
        <w:rPr>
          <w:rFonts w:asciiTheme="majorHAnsi" w:hAnsiTheme="majorHAnsi"/>
          <w:sz w:val="20"/>
          <w:szCs w:val="20"/>
          <w:lang w:val="en"/>
        </w:rPr>
        <w:t xml:space="preserve">, </w:t>
      </w:r>
      <w:r w:rsidR="009C43BE">
        <w:rPr>
          <w:rFonts w:asciiTheme="majorHAnsi" w:hAnsiTheme="majorHAnsi"/>
          <w:sz w:val="20"/>
          <w:szCs w:val="20"/>
          <w:lang w:val="en"/>
        </w:rPr>
        <w:t xml:space="preserve">she requests the Commission to </w:t>
      </w:r>
      <w:r>
        <w:rPr>
          <w:rFonts w:asciiTheme="majorHAnsi" w:hAnsiTheme="majorHAnsi"/>
          <w:sz w:val="20"/>
          <w:szCs w:val="20"/>
          <w:lang w:val="en"/>
        </w:rPr>
        <w:t xml:space="preserve">review the </w:t>
      </w:r>
      <w:r w:rsidR="009C43BE">
        <w:rPr>
          <w:rFonts w:asciiTheme="majorHAnsi" w:hAnsiTheme="majorHAnsi"/>
          <w:sz w:val="20"/>
          <w:szCs w:val="20"/>
          <w:lang w:val="en"/>
        </w:rPr>
        <w:t xml:space="preserve">domestic </w:t>
      </w:r>
      <w:r>
        <w:rPr>
          <w:rFonts w:asciiTheme="majorHAnsi" w:hAnsiTheme="majorHAnsi"/>
          <w:sz w:val="20"/>
          <w:szCs w:val="20"/>
          <w:lang w:val="en"/>
        </w:rPr>
        <w:t xml:space="preserve">criminal process and the analysis of the evidence </w:t>
      </w:r>
      <w:r w:rsidR="009C43BE">
        <w:rPr>
          <w:rFonts w:asciiTheme="majorHAnsi" w:hAnsiTheme="majorHAnsi"/>
          <w:sz w:val="20"/>
          <w:szCs w:val="20"/>
          <w:lang w:val="en"/>
        </w:rPr>
        <w:t xml:space="preserve">that </w:t>
      </w:r>
      <w:r w:rsidR="00B85BA3">
        <w:rPr>
          <w:rFonts w:asciiTheme="majorHAnsi" w:hAnsiTheme="majorHAnsi"/>
          <w:sz w:val="20"/>
          <w:szCs w:val="20"/>
          <w:lang w:val="en"/>
        </w:rPr>
        <w:t xml:space="preserve">has </w:t>
      </w:r>
      <w:r w:rsidR="009C43BE">
        <w:rPr>
          <w:rFonts w:asciiTheme="majorHAnsi" w:hAnsiTheme="majorHAnsi"/>
          <w:sz w:val="20"/>
          <w:szCs w:val="20"/>
          <w:lang w:val="en"/>
        </w:rPr>
        <w:t xml:space="preserve">already </w:t>
      </w:r>
      <w:r w:rsidR="00B85BA3">
        <w:rPr>
          <w:rFonts w:asciiTheme="majorHAnsi" w:hAnsiTheme="majorHAnsi"/>
          <w:sz w:val="20"/>
          <w:szCs w:val="20"/>
          <w:lang w:val="en"/>
        </w:rPr>
        <w:t xml:space="preserve">been </w:t>
      </w:r>
      <w:r w:rsidR="009C43BE">
        <w:rPr>
          <w:rFonts w:asciiTheme="majorHAnsi" w:hAnsiTheme="majorHAnsi"/>
          <w:sz w:val="20"/>
          <w:szCs w:val="20"/>
          <w:lang w:val="en"/>
        </w:rPr>
        <w:t xml:space="preserve">made at the </w:t>
      </w:r>
      <w:r w:rsidR="00EE696A">
        <w:rPr>
          <w:rFonts w:asciiTheme="majorHAnsi" w:hAnsiTheme="majorHAnsi"/>
          <w:sz w:val="20"/>
          <w:szCs w:val="20"/>
          <w:lang w:val="en"/>
        </w:rPr>
        <w:t xml:space="preserve">internal </w:t>
      </w:r>
      <w:r w:rsidR="009C43BE">
        <w:rPr>
          <w:rFonts w:asciiTheme="majorHAnsi" w:hAnsiTheme="majorHAnsi"/>
          <w:sz w:val="20"/>
          <w:szCs w:val="20"/>
          <w:lang w:val="en"/>
        </w:rPr>
        <w:t>level</w:t>
      </w:r>
      <w:r>
        <w:rPr>
          <w:rFonts w:asciiTheme="majorHAnsi" w:hAnsiTheme="majorHAnsi"/>
          <w:sz w:val="20"/>
          <w:szCs w:val="20"/>
          <w:lang w:val="en"/>
        </w:rPr>
        <w:t xml:space="preserve">. The criminal investigation into the reported incidents concluded with a dismissal of the complaint, which became final without being appealed through a request to reopen the case or </w:t>
      </w:r>
      <w:r w:rsidR="00EE696A">
        <w:rPr>
          <w:rFonts w:asciiTheme="majorHAnsi" w:hAnsiTheme="majorHAnsi"/>
          <w:sz w:val="20"/>
          <w:szCs w:val="20"/>
          <w:lang w:val="en"/>
        </w:rPr>
        <w:t xml:space="preserve">through </w:t>
      </w:r>
      <w:r>
        <w:rPr>
          <w:rFonts w:asciiTheme="majorHAnsi" w:hAnsiTheme="majorHAnsi"/>
          <w:sz w:val="20"/>
          <w:szCs w:val="20"/>
          <w:lang w:val="en"/>
        </w:rPr>
        <w:t>a constitutional appeal</w:t>
      </w:r>
      <w:r w:rsidR="00EE696A">
        <w:rPr>
          <w:rFonts w:asciiTheme="majorHAnsi" w:hAnsiTheme="majorHAnsi"/>
          <w:sz w:val="20"/>
          <w:szCs w:val="20"/>
          <w:lang w:val="en"/>
        </w:rPr>
        <w:t xml:space="preserve"> (</w:t>
      </w:r>
      <w:r w:rsidR="00EE696A" w:rsidRPr="00EE696A">
        <w:rPr>
          <w:rFonts w:asciiTheme="majorHAnsi" w:hAnsiTheme="majorHAnsi"/>
          <w:i/>
          <w:iCs/>
          <w:sz w:val="20"/>
          <w:szCs w:val="20"/>
          <w:lang w:val="en"/>
        </w:rPr>
        <w:t>amparo</w:t>
      </w:r>
      <w:r w:rsidR="00EE696A">
        <w:rPr>
          <w:rFonts w:asciiTheme="majorHAnsi" w:hAnsiTheme="majorHAnsi"/>
          <w:sz w:val="20"/>
          <w:szCs w:val="20"/>
          <w:lang w:val="en"/>
        </w:rPr>
        <w:t>)</w:t>
      </w:r>
      <w:r>
        <w:rPr>
          <w:rFonts w:asciiTheme="majorHAnsi" w:hAnsiTheme="majorHAnsi"/>
          <w:sz w:val="20"/>
          <w:szCs w:val="20"/>
          <w:lang w:val="en"/>
        </w:rPr>
        <w:t xml:space="preserve">. </w:t>
      </w:r>
    </w:p>
    <w:p w14:paraId="5052DDA8" w14:textId="6685C934" w:rsidR="00400C55" w:rsidRPr="00332EB8" w:rsidRDefault="00400C55" w:rsidP="00400C55">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sidR="00EE696A">
        <w:rPr>
          <w:rFonts w:asciiTheme="majorHAnsi" w:hAnsiTheme="majorHAnsi"/>
          <w:b/>
          <w:bCs/>
          <w:color w:val="000000"/>
          <w:sz w:val="20"/>
          <w:szCs w:val="20"/>
          <w:u w:color="000000"/>
          <w:lang w:val="en"/>
        </w:rPr>
        <w:t xml:space="preserve">ANALYSIS OF </w:t>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14:paraId="68734AAD" w14:textId="5B089ABF" w:rsidR="00EA16DD" w:rsidRDefault="00400C55" w:rsidP="00400C55">
      <w:pPr>
        <w:ind w:firstLine="720"/>
        <w:jc w:val="both"/>
        <w:rPr>
          <w:rFonts w:asciiTheme="majorHAnsi" w:hAnsiTheme="majorHAnsi"/>
          <w:sz w:val="20"/>
          <w:szCs w:val="20"/>
          <w:lang w:val="en"/>
        </w:rPr>
      </w:pPr>
      <w:r>
        <w:rPr>
          <w:rFonts w:asciiTheme="majorHAnsi" w:hAnsiTheme="majorHAnsi"/>
          <w:sz w:val="20"/>
          <w:szCs w:val="20"/>
          <w:lang w:val="en"/>
        </w:rPr>
        <w:t xml:space="preserve">12. </w:t>
      </w:r>
      <w:r>
        <w:rPr>
          <w:rFonts w:asciiTheme="majorHAnsi" w:hAnsiTheme="majorHAnsi"/>
          <w:sz w:val="20"/>
          <w:szCs w:val="20"/>
          <w:lang w:val="en"/>
        </w:rPr>
        <w:tab/>
        <w:t xml:space="preserve">The </w:t>
      </w:r>
      <w:r w:rsidR="00385C66">
        <w:rPr>
          <w:rFonts w:asciiTheme="majorHAnsi" w:hAnsiTheme="majorHAnsi"/>
          <w:sz w:val="20"/>
          <w:szCs w:val="20"/>
          <w:lang w:val="en"/>
        </w:rPr>
        <w:t xml:space="preserve">uniform </w:t>
      </w:r>
      <w:r>
        <w:rPr>
          <w:rFonts w:asciiTheme="majorHAnsi" w:hAnsiTheme="majorHAnsi"/>
          <w:sz w:val="20"/>
          <w:szCs w:val="20"/>
          <w:lang w:val="en"/>
        </w:rPr>
        <w:t>precedent</w:t>
      </w:r>
      <w:r w:rsidR="00385C66">
        <w:rPr>
          <w:rFonts w:asciiTheme="majorHAnsi" w:hAnsiTheme="majorHAnsi"/>
          <w:sz w:val="20"/>
          <w:szCs w:val="20"/>
          <w:lang w:val="en"/>
        </w:rPr>
        <w:t xml:space="preserve"> established </w:t>
      </w:r>
      <w:r>
        <w:rPr>
          <w:rFonts w:asciiTheme="majorHAnsi" w:hAnsiTheme="majorHAnsi"/>
          <w:sz w:val="20"/>
          <w:szCs w:val="20"/>
          <w:lang w:val="en"/>
        </w:rPr>
        <w:t xml:space="preserve">by the </w:t>
      </w:r>
      <w:r w:rsidR="00385C66">
        <w:rPr>
          <w:rFonts w:asciiTheme="majorHAnsi" w:hAnsiTheme="majorHAnsi"/>
          <w:sz w:val="20"/>
          <w:szCs w:val="20"/>
          <w:lang w:val="en"/>
        </w:rPr>
        <w:t xml:space="preserve">Inter-American </w:t>
      </w:r>
      <w:r>
        <w:rPr>
          <w:rFonts w:asciiTheme="majorHAnsi" w:hAnsiTheme="majorHAnsi"/>
          <w:sz w:val="20"/>
          <w:szCs w:val="20"/>
          <w:lang w:val="en"/>
        </w:rPr>
        <w:t>Commission indicate</w:t>
      </w:r>
      <w:r w:rsidR="00B85BA3">
        <w:rPr>
          <w:rFonts w:asciiTheme="majorHAnsi" w:hAnsiTheme="majorHAnsi"/>
          <w:sz w:val="20"/>
          <w:szCs w:val="20"/>
          <w:lang w:val="en"/>
        </w:rPr>
        <w:t>s</w:t>
      </w:r>
      <w:r>
        <w:rPr>
          <w:rFonts w:asciiTheme="majorHAnsi" w:hAnsiTheme="majorHAnsi"/>
          <w:sz w:val="20"/>
          <w:szCs w:val="20"/>
          <w:lang w:val="en"/>
        </w:rPr>
        <w:t xml:space="preserve"> that whenever a crime against personal </w:t>
      </w:r>
      <w:r w:rsidR="00385C66">
        <w:rPr>
          <w:rFonts w:asciiTheme="majorHAnsi" w:hAnsiTheme="majorHAnsi"/>
          <w:sz w:val="20"/>
          <w:szCs w:val="20"/>
          <w:lang w:val="en"/>
        </w:rPr>
        <w:t xml:space="preserve">integrity </w:t>
      </w:r>
      <w:r>
        <w:rPr>
          <w:rFonts w:asciiTheme="majorHAnsi" w:hAnsiTheme="majorHAnsi"/>
          <w:sz w:val="20"/>
          <w:szCs w:val="20"/>
          <w:lang w:val="en"/>
        </w:rPr>
        <w:t xml:space="preserve">is committed </w:t>
      </w:r>
      <w:r w:rsidR="00385C66">
        <w:rPr>
          <w:rFonts w:asciiTheme="majorHAnsi" w:hAnsiTheme="majorHAnsi"/>
          <w:sz w:val="20"/>
          <w:szCs w:val="20"/>
          <w:lang w:val="en"/>
        </w:rPr>
        <w:t>-</w:t>
      </w:r>
      <w:r>
        <w:rPr>
          <w:rFonts w:asciiTheme="majorHAnsi" w:hAnsiTheme="majorHAnsi"/>
          <w:sz w:val="20"/>
          <w:szCs w:val="20"/>
          <w:lang w:val="en"/>
        </w:rPr>
        <w:t>such as</w:t>
      </w:r>
      <w:r w:rsidR="00385C66">
        <w:rPr>
          <w:rFonts w:asciiTheme="majorHAnsi" w:hAnsiTheme="majorHAnsi"/>
          <w:sz w:val="20"/>
          <w:szCs w:val="20"/>
          <w:lang w:val="en"/>
        </w:rPr>
        <w:t>, for example,</w:t>
      </w:r>
      <w:r>
        <w:rPr>
          <w:rFonts w:asciiTheme="majorHAnsi" w:hAnsiTheme="majorHAnsi"/>
          <w:sz w:val="20"/>
          <w:szCs w:val="20"/>
          <w:lang w:val="en"/>
        </w:rPr>
        <w:t xml:space="preserve"> torture, personal injury or sexual </w:t>
      </w:r>
      <w:r w:rsidR="00385C66">
        <w:rPr>
          <w:rFonts w:asciiTheme="majorHAnsi" w:hAnsiTheme="majorHAnsi"/>
          <w:sz w:val="20"/>
          <w:szCs w:val="20"/>
          <w:lang w:val="en"/>
        </w:rPr>
        <w:t>violence-</w:t>
      </w:r>
      <w:r>
        <w:rPr>
          <w:rFonts w:asciiTheme="majorHAnsi" w:hAnsiTheme="majorHAnsi"/>
          <w:sz w:val="20"/>
          <w:szCs w:val="20"/>
          <w:lang w:val="en"/>
        </w:rPr>
        <w:t xml:space="preserve">, the State is </w:t>
      </w:r>
      <w:r w:rsidR="00385C66">
        <w:rPr>
          <w:rFonts w:asciiTheme="majorHAnsi" w:hAnsiTheme="majorHAnsi"/>
          <w:sz w:val="20"/>
          <w:szCs w:val="20"/>
          <w:lang w:val="en"/>
        </w:rPr>
        <w:t xml:space="preserve">in the obligation of </w:t>
      </w:r>
      <w:r w:rsidR="00385C66" w:rsidRPr="00B85BA3">
        <w:rPr>
          <w:rFonts w:asciiTheme="majorHAnsi" w:hAnsiTheme="majorHAnsi"/>
          <w:i/>
          <w:iCs/>
          <w:sz w:val="20"/>
          <w:szCs w:val="20"/>
          <w:lang w:val="en"/>
        </w:rPr>
        <w:t>ex officio</w:t>
      </w:r>
      <w:r w:rsidR="00385C66">
        <w:rPr>
          <w:rFonts w:asciiTheme="majorHAnsi" w:hAnsiTheme="majorHAnsi"/>
          <w:sz w:val="20"/>
          <w:szCs w:val="20"/>
          <w:lang w:val="en"/>
        </w:rPr>
        <w:t xml:space="preserve"> initiating and conducting the corresponding criminal procedures, </w:t>
      </w:r>
      <w:r>
        <w:rPr>
          <w:rFonts w:asciiTheme="majorHAnsi" w:hAnsiTheme="majorHAnsi"/>
          <w:sz w:val="20"/>
          <w:szCs w:val="20"/>
          <w:lang w:val="en"/>
        </w:rPr>
        <w:t xml:space="preserve">and that, in such cases, this is the </w:t>
      </w:r>
      <w:r w:rsidR="00385C66">
        <w:rPr>
          <w:rFonts w:asciiTheme="majorHAnsi" w:hAnsiTheme="majorHAnsi"/>
          <w:sz w:val="20"/>
          <w:szCs w:val="20"/>
          <w:lang w:val="en"/>
        </w:rPr>
        <w:t xml:space="preserve">adequate remedy </w:t>
      </w:r>
      <w:r w:rsidR="00B85BA3">
        <w:rPr>
          <w:rFonts w:asciiTheme="majorHAnsi" w:hAnsiTheme="majorHAnsi"/>
          <w:sz w:val="20"/>
          <w:szCs w:val="20"/>
          <w:lang w:val="en"/>
        </w:rPr>
        <w:t xml:space="preserve">to be pursued in order </w:t>
      </w:r>
      <w:r>
        <w:rPr>
          <w:rFonts w:asciiTheme="majorHAnsi" w:hAnsiTheme="majorHAnsi"/>
          <w:sz w:val="20"/>
          <w:szCs w:val="20"/>
          <w:lang w:val="en"/>
        </w:rPr>
        <w:t>to clarify the facts, prosecute those responsible, establish appropriate criminal punishments, and make possible other means of reparation, in accordance with the guarantees embodied in the American Convention.</w:t>
      </w:r>
      <w:r>
        <w:rPr>
          <w:rStyle w:val="FootnoteReference"/>
          <w:rFonts w:asciiTheme="majorHAnsi" w:hAnsiTheme="majorHAnsi"/>
          <w:sz w:val="20"/>
          <w:szCs w:val="20"/>
          <w:lang w:val="en"/>
        </w:rPr>
        <w:footnoteReference w:id="4"/>
      </w:r>
      <w:r>
        <w:rPr>
          <w:rFonts w:asciiTheme="majorHAnsi" w:hAnsiTheme="majorHAnsi"/>
          <w:sz w:val="20"/>
          <w:szCs w:val="20"/>
          <w:lang w:val="en"/>
        </w:rPr>
        <w:t xml:space="preserve"> </w:t>
      </w:r>
      <w:r w:rsidR="00385C66">
        <w:rPr>
          <w:rFonts w:asciiTheme="majorHAnsi" w:hAnsiTheme="majorHAnsi"/>
          <w:sz w:val="20"/>
          <w:szCs w:val="20"/>
          <w:lang w:val="en"/>
        </w:rPr>
        <w:t>In this sense, t</w:t>
      </w:r>
      <w:r>
        <w:rPr>
          <w:rFonts w:asciiTheme="majorHAnsi" w:hAnsiTheme="majorHAnsi"/>
          <w:sz w:val="20"/>
          <w:szCs w:val="20"/>
          <w:lang w:val="en"/>
        </w:rPr>
        <w:t xml:space="preserve">he IACHR </w:t>
      </w:r>
      <w:r w:rsidR="00385C66">
        <w:rPr>
          <w:rFonts w:asciiTheme="majorHAnsi" w:hAnsiTheme="majorHAnsi"/>
          <w:sz w:val="20"/>
          <w:szCs w:val="20"/>
          <w:lang w:val="en"/>
        </w:rPr>
        <w:t xml:space="preserve">notes </w:t>
      </w:r>
      <w:r>
        <w:rPr>
          <w:rFonts w:asciiTheme="majorHAnsi" w:hAnsiTheme="majorHAnsi"/>
          <w:sz w:val="20"/>
          <w:szCs w:val="20"/>
          <w:lang w:val="en"/>
        </w:rPr>
        <w:t xml:space="preserve">that the alleged victim filed a criminal complaint against </w:t>
      </w:r>
      <w:r w:rsidR="00B85BA3">
        <w:rPr>
          <w:rFonts w:asciiTheme="majorHAnsi" w:hAnsiTheme="majorHAnsi"/>
          <w:sz w:val="20"/>
          <w:szCs w:val="20"/>
          <w:lang w:val="en"/>
        </w:rPr>
        <w:t xml:space="preserve">those people </w:t>
      </w:r>
      <w:r w:rsidR="00385C66">
        <w:rPr>
          <w:rFonts w:asciiTheme="majorHAnsi" w:hAnsiTheme="majorHAnsi"/>
          <w:sz w:val="20"/>
          <w:szCs w:val="20"/>
          <w:lang w:val="en"/>
        </w:rPr>
        <w:t>who</w:t>
      </w:r>
      <w:r w:rsidR="00B85BA3">
        <w:rPr>
          <w:rFonts w:asciiTheme="majorHAnsi" w:hAnsiTheme="majorHAnsi"/>
          <w:sz w:val="20"/>
          <w:szCs w:val="20"/>
          <w:lang w:val="en"/>
        </w:rPr>
        <w:t>m</w:t>
      </w:r>
      <w:r w:rsidR="00385C66">
        <w:rPr>
          <w:rFonts w:asciiTheme="majorHAnsi" w:hAnsiTheme="majorHAnsi"/>
          <w:sz w:val="20"/>
          <w:szCs w:val="20"/>
          <w:lang w:val="en"/>
        </w:rPr>
        <w:t xml:space="preserve"> </w:t>
      </w:r>
      <w:r>
        <w:rPr>
          <w:rFonts w:asciiTheme="majorHAnsi" w:hAnsiTheme="majorHAnsi"/>
          <w:sz w:val="20"/>
          <w:szCs w:val="20"/>
          <w:lang w:val="en"/>
        </w:rPr>
        <w:t xml:space="preserve">she thought had </w:t>
      </w:r>
      <w:r w:rsidR="00385C66">
        <w:rPr>
          <w:rFonts w:asciiTheme="majorHAnsi" w:hAnsiTheme="majorHAnsi"/>
          <w:sz w:val="20"/>
          <w:szCs w:val="20"/>
          <w:lang w:val="en"/>
        </w:rPr>
        <w:t xml:space="preserve">taken </w:t>
      </w:r>
      <w:r>
        <w:rPr>
          <w:rFonts w:asciiTheme="majorHAnsi" w:hAnsiTheme="majorHAnsi"/>
          <w:sz w:val="20"/>
          <w:szCs w:val="20"/>
          <w:lang w:val="en"/>
        </w:rPr>
        <w:t xml:space="preserve">part </w:t>
      </w:r>
      <w:r w:rsidR="00385C66">
        <w:rPr>
          <w:rFonts w:asciiTheme="majorHAnsi" w:hAnsiTheme="majorHAnsi"/>
          <w:sz w:val="20"/>
          <w:szCs w:val="20"/>
          <w:lang w:val="en"/>
        </w:rPr>
        <w:t xml:space="preserve">in </w:t>
      </w:r>
      <w:r>
        <w:rPr>
          <w:rFonts w:asciiTheme="majorHAnsi" w:hAnsiTheme="majorHAnsi"/>
          <w:sz w:val="20"/>
          <w:szCs w:val="20"/>
          <w:lang w:val="en"/>
        </w:rPr>
        <w:t xml:space="preserve">the assault and </w:t>
      </w:r>
      <w:r w:rsidR="00385C66">
        <w:rPr>
          <w:rFonts w:asciiTheme="majorHAnsi" w:hAnsiTheme="majorHAnsi"/>
          <w:sz w:val="20"/>
          <w:szCs w:val="20"/>
          <w:lang w:val="en"/>
        </w:rPr>
        <w:t xml:space="preserve">mistreatment </w:t>
      </w:r>
      <w:r w:rsidR="00B85BA3">
        <w:rPr>
          <w:rFonts w:asciiTheme="majorHAnsi" w:hAnsiTheme="majorHAnsi"/>
          <w:sz w:val="20"/>
          <w:szCs w:val="20"/>
          <w:lang w:val="en"/>
        </w:rPr>
        <w:t xml:space="preserve">that </w:t>
      </w:r>
      <w:r>
        <w:rPr>
          <w:rFonts w:asciiTheme="majorHAnsi" w:hAnsiTheme="majorHAnsi"/>
          <w:sz w:val="20"/>
          <w:szCs w:val="20"/>
          <w:lang w:val="en"/>
        </w:rPr>
        <w:t>she suffered. Th</w:t>
      </w:r>
      <w:r w:rsidR="00385C66">
        <w:rPr>
          <w:rFonts w:asciiTheme="majorHAnsi" w:hAnsiTheme="majorHAnsi"/>
          <w:sz w:val="20"/>
          <w:szCs w:val="20"/>
          <w:lang w:val="en"/>
        </w:rPr>
        <w:t>at</w:t>
      </w:r>
      <w:r>
        <w:rPr>
          <w:rFonts w:asciiTheme="majorHAnsi" w:hAnsiTheme="majorHAnsi"/>
          <w:sz w:val="20"/>
          <w:szCs w:val="20"/>
          <w:lang w:val="en"/>
        </w:rPr>
        <w:t xml:space="preserve"> complaint was rejected on October 9, 2008, by the prosecutor in charge of the investigation. The alleged victim filed a</w:t>
      </w:r>
      <w:r w:rsidR="00385C66">
        <w:rPr>
          <w:rFonts w:asciiTheme="majorHAnsi" w:hAnsiTheme="majorHAnsi"/>
          <w:sz w:val="20"/>
          <w:szCs w:val="20"/>
          <w:lang w:val="en"/>
        </w:rPr>
        <w:t>n</w:t>
      </w:r>
      <w:r>
        <w:rPr>
          <w:rFonts w:asciiTheme="majorHAnsi" w:hAnsiTheme="majorHAnsi"/>
          <w:sz w:val="20"/>
          <w:szCs w:val="20"/>
          <w:lang w:val="en"/>
        </w:rPr>
        <w:t xml:space="preserve"> </w:t>
      </w:r>
      <w:r w:rsidR="00385C66">
        <w:rPr>
          <w:rFonts w:asciiTheme="majorHAnsi" w:hAnsiTheme="majorHAnsi"/>
          <w:sz w:val="20"/>
          <w:szCs w:val="20"/>
          <w:lang w:val="en"/>
        </w:rPr>
        <w:t xml:space="preserve">appeal </w:t>
      </w:r>
      <w:r>
        <w:rPr>
          <w:rFonts w:asciiTheme="majorHAnsi" w:hAnsiTheme="majorHAnsi"/>
          <w:sz w:val="20"/>
          <w:szCs w:val="20"/>
          <w:lang w:val="en"/>
        </w:rPr>
        <w:t xml:space="preserve">(an objection) against this </w:t>
      </w:r>
      <w:r w:rsidR="00214041">
        <w:rPr>
          <w:rFonts w:asciiTheme="majorHAnsi" w:hAnsiTheme="majorHAnsi"/>
          <w:sz w:val="20"/>
          <w:szCs w:val="20"/>
          <w:lang w:val="en"/>
        </w:rPr>
        <w:t>dismissal</w:t>
      </w:r>
      <w:r w:rsidR="00385C66">
        <w:rPr>
          <w:rFonts w:asciiTheme="majorHAnsi" w:hAnsiTheme="majorHAnsi"/>
          <w:sz w:val="20"/>
          <w:szCs w:val="20"/>
          <w:lang w:val="en"/>
        </w:rPr>
        <w:t>, and o</w:t>
      </w:r>
      <w:r>
        <w:rPr>
          <w:rFonts w:asciiTheme="majorHAnsi" w:hAnsiTheme="majorHAnsi"/>
          <w:sz w:val="20"/>
          <w:szCs w:val="20"/>
          <w:lang w:val="en"/>
        </w:rPr>
        <w:t xml:space="preserve">n December 24, 2008, </w:t>
      </w:r>
      <w:r w:rsidR="00665F15">
        <w:rPr>
          <w:rFonts w:asciiTheme="majorHAnsi" w:hAnsiTheme="majorHAnsi"/>
          <w:sz w:val="20"/>
          <w:szCs w:val="20"/>
          <w:lang w:val="en"/>
        </w:rPr>
        <w:t xml:space="preserve">the </w:t>
      </w:r>
      <w:r>
        <w:rPr>
          <w:rFonts w:asciiTheme="majorHAnsi" w:hAnsiTheme="majorHAnsi"/>
          <w:sz w:val="20"/>
          <w:szCs w:val="20"/>
          <w:lang w:val="en"/>
        </w:rPr>
        <w:t xml:space="preserve">Santa Cruz District Prosecutor confirmed </w:t>
      </w:r>
      <w:r w:rsidR="00385C66">
        <w:rPr>
          <w:rFonts w:asciiTheme="majorHAnsi" w:hAnsiTheme="majorHAnsi"/>
          <w:sz w:val="20"/>
          <w:szCs w:val="20"/>
          <w:lang w:val="en"/>
        </w:rPr>
        <w:t>the dismissal</w:t>
      </w:r>
      <w:r>
        <w:rPr>
          <w:rFonts w:asciiTheme="majorHAnsi" w:hAnsiTheme="majorHAnsi"/>
          <w:sz w:val="20"/>
          <w:szCs w:val="20"/>
          <w:lang w:val="en"/>
        </w:rPr>
        <w:t xml:space="preserve">. </w:t>
      </w:r>
      <w:r w:rsidR="00385C66">
        <w:rPr>
          <w:rFonts w:asciiTheme="majorHAnsi" w:hAnsiTheme="majorHAnsi"/>
          <w:sz w:val="20"/>
          <w:szCs w:val="20"/>
          <w:lang w:val="en"/>
        </w:rPr>
        <w:t xml:space="preserve">Furthermore, the alleged victim filed </w:t>
      </w:r>
      <w:r>
        <w:rPr>
          <w:rFonts w:asciiTheme="majorHAnsi" w:hAnsiTheme="majorHAnsi"/>
          <w:sz w:val="20"/>
          <w:szCs w:val="20"/>
          <w:lang w:val="en"/>
        </w:rPr>
        <w:t xml:space="preserve">a request for information on the </w:t>
      </w:r>
      <w:r w:rsidR="00665F15">
        <w:rPr>
          <w:rFonts w:asciiTheme="majorHAnsi" w:hAnsiTheme="majorHAnsi"/>
          <w:sz w:val="20"/>
          <w:szCs w:val="20"/>
          <w:lang w:val="en"/>
        </w:rPr>
        <w:t xml:space="preserve">status of the </w:t>
      </w:r>
      <w:r>
        <w:rPr>
          <w:rFonts w:asciiTheme="majorHAnsi" w:hAnsiTheme="majorHAnsi"/>
          <w:sz w:val="20"/>
          <w:szCs w:val="20"/>
          <w:lang w:val="en"/>
        </w:rPr>
        <w:t>investigation and demanded that it be reopen</w:t>
      </w:r>
      <w:r w:rsidR="000B4EAE">
        <w:rPr>
          <w:rFonts w:asciiTheme="majorHAnsi" w:hAnsiTheme="majorHAnsi"/>
          <w:sz w:val="20"/>
          <w:szCs w:val="20"/>
          <w:lang w:val="en"/>
        </w:rPr>
        <w:t>ed</w:t>
      </w:r>
      <w:r w:rsidR="00385C66">
        <w:rPr>
          <w:rFonts w:asciiTheme="majorHAnsi" w:hAnsiTheme="majorHAnsi"/>
          <w:sz w:val="20"/>
          <w:szCs w:val="20"/>
          <w:lang w:val="en"/>
        </w:rPr>
        <w:t>, on October 8, 2009</w:t>
      </w:r>
      <w:r>
        <w:rPr>
          <w:rFonts w:asciiTheme="majorHAnsi" w:hAnsiTheme="majorHAnsi"/>
          <w:sz w:val="20"/>
          <w:szCs w:val="20"/>
          <w:lang w:val="en"/>
        </w:rPr>
        <w:t xml:space="preserve">. </w:t>
      </w:r>
      <w:r w:rsidR="00385C66">
        <w:rPr>
          <w:rFonts w:asciiTheme="majorHAnsi" w:hAnsiTheme="majorHAnsi"/>
          <w:sz w:val="20"/>
          <w:szCs w:val="20"/>
          <w:lang w:val="en"/>
        </w:rPr>
        <w:t>This petition was responded o</w:t>
      </w:r>
      <w:r>
        <w:rPr>
          <w:rFonts w:asciiTheme="majorHAnsi" w:hAnsiTheme="majorHAnsi"/>
          <w:sz w:val="20"/>
          <w:szCs w:val="20"/>
          <w:lang w:val="en"/>
        </w:rPr>
        <w:t>n October 12, 2009</w:t>
      </w:r>
      <w:r w:rsidR="00385C66">
        <w:rPr>
          <w:rFonts w:asciiTheme="majorHAnsi" w:hAnsiTheme="majorHAnsi"/>
          <w:sz w:val="20"/>
          <w:szCs w:val="20"/>
          <w:lang w:val="en"/>
        </w:rPr>
        <w:t xml:space="preserve"> by the </w:t>
      </w:r>
      <w:proofErr w:type="spellStart"/>
      <w:r>
        <w:rPr>
          <w:rFonts w:asciiTheme="majorHAnsi" w:hAnsiTheme="majorHAnsi"/>
          <w:sz w:val="20"/>
          <w:szCs w:val="20"/>
          <w:lang w:val="en"/>
        </w:rPr>
        <w:t>Camiri</w:t>
      </w:r>
      <w:proofErr w:type="spellEnd"/>
      <w:r>
        <w:rPr>
          <w:rFonts w:asciiTheme="majorHAnsi" w:hAnsiTheme="majorHAnsi"/>
          <w:sz w:val="20"/>
          <w:szCs w:val="20"/>
          <w:lang w:val="en"/>
        </w:rPr>
        <w:t xml:space="preserve"> Public Prosecutor</w:t>
      </w:r>
      <w:r w:rsidR="00385C66">
        <w:rPr>
          <w:rFonts w:asciiTheme="majorHAnsi" w:hAnsiTheme="majorHAnsi"/>
          <w:sz w:val="20"/>
          <w:szCs w:val="20"/>
          <w:lang w:val="en"/>
        </w:rPr>
        <w:t>’s Office,</w:t>
      </w:r>
      <w:r>
        <w:rPr>
          <w:rFonts w:asciiTheme="majorHAnsi" w:hAnsiTheme="majorHAnsi"/>
          <w:sz w:val="20"/>
          <w:szCs w:val="20"/>
          <w:lang w:val="en"/>
        </w:rPr>
        <w:t xml:space="preserve"> </w:t>
      </w:r>
      <w:r w:rsidR="00385C66">
        <w:rPr>
          <w:rFonts w:asciiTheme="majorHAnsi" w:hAnsiTheme="majorHAnsi"/>
          <w:sz w:val="20"/>
          <w:szCs w:val="20"/>
          <w:lang w:val="en"/>
        </w:rPr>
        <w:t xml:space="preserve">in the sense </w:t>
      </w:r>
      <w:r>
        <w:rPr>
          <w:rFonts w:asciiTheme="majorHAnsi" w:hAnsiTheme="majorHAnsi"/>
          <w:sz w:val="20"/>
          <w:szCs w:val="20"/>
          <w:lang w:val="en"/>
        </w:rPr>
        <w:t>that the case</w:t>
      </w:r>
      <w:r w:rsidR="00214041">
        <w:rPr>
          <w:rFonts w:asciiTheme="majorHAnsi" w:hAnsiTheme="majorHAnsi"/>
          <w:sz w:val="20"/>
          <w:szCs w:val="20"/>
          <w:lang w:val="en"/>
        </w:rPr>
        <w:t xml:space="preserve"> would </w:t>
      </w:r>
      <w:r w:rsidR="00385C66">
        <w:rPr>
          <w:rFonts w:asciiTheme="majorHAnsi" w:hAnsiTheme="majorHAnsi"/>
          <w:sz w:val="20"/>
          <w:szCs w:val="20"/>
          <w:lang w:val="en"/>
        </w:rPr>
        <w:t>not be reopened</w:t>
      </w:r>
      <w:r>
        <w:rPr>
          <w:rFonts w:asciiTheme="majorHAnsi" w:hAnsiTheme="majorHAnsi"/>
          <w:sz w:val="20"/>
          <w:szCs w:val="20"/>
          <w:lang w:val="en"/>
        </w:rPr>
        <w:t xml:space="preserve">. </w:t>
      </w:r>
      <w:r w:rsidR="00385C66">
        <w:rPr>
          <w:rFonts w:asciiTheme="majorHAnsi" w:hAnsiTheme="majorHAnsi"/>
          <w:sz w:val="20"/>
          <w:szCs w:val="20"/>
          <w:lang w:val="en"/>
        </w:rPr>
        <w:t>Consequently</w:t>
      </w:r>
      <w:r>
        <w:rPr>
          <w:rFonts w:asciiTheme="majorHAnsi" w:hAnsiTheme="majorHAnsi"/>
          <w:sz w:val="20"/>
          <w:szCs w:val="20"/>
          <w:lang w:val="en"/>
        </w:rPr>
        <w:t xml:space="preserve">, the Commission concludes that the alleged victim did </w:t>
      </w:r>
      <w:r w:rsidR="00385C66">
        <w:rPr>
          <w:rFonts w:asciiTheme="majorHAnsi" w:hAnsiTheme="majorHAnsi"/>
          <w:sz w:val="20"/>
          <w:szCs w:val="20"/>
          <w:lang w:val="en"/>
        </w:rPr>
        <w:t xml:space="preserve">activate the </w:t>
      </w:r>
      <w:r>
        <w:rPr>
          <w:rFonts w:asciiTheme="majorHAnsi" w:hAnsiTheme="majorHAnsi"/>
          <w:sz w:val="20"/>
          <w:szCs w:val="20"/>
          <w:lang w:val="en"/>
        </w:rPr>
        <w:t xml:space="preserve">adequate and </w:t>
      </w:r>
      <w:r w:rsidR="00385C66">
        <w:rPr>
          <w:rFonts w:asciiTheme="majorHAnsi" w:hAnsiTheme="majorHAnsi"/>
          <w:sz w:val="20"/>
          <w:szCs w:val="20"/>
          <w:lang w:val="en"/>
        </w:rPr>
        <w:t xml:space="preserve">suitable </w:t>
      </w:r>
      <w:r>
        <w:rPr>
          <w:rFonts w:asciiTheme="majorHAnsi" w:hAnsiTheme="majorHAnsi"/>
          <w:sz w:val="20"/>
          <w:szCs w:val="20"/>
          <w:lang w:val="en"/>
        </w:rPr>
        <w:t xml:space="preserve">domestic remedy </w:t>
      </w:r>
      <w:r w:rsidR="00385C66">
        <w:rPr>
          <w:rFonts w:asciiTheme="majorHAnsi" w:hAnsiTheme="majorHAnsi"/>
          <w:sz w:val="20"/>
          <w:szCs w:val="20"/>
          <w:lang w:val="en"/>
        </w:rPr>
        <w:t xml:space="preserve">that was </w:t>
      </w:r>
      <w:r>
        <w:rPr>
          <w:rFonts w:asciiTheme="majorHAnsi" w:hAnsiTheme="majorHAnsi"/>
          <w:sz w:val="20"/>
          <w:szCs w:val="20"/>
          <w:lang w:val="en"/>
        </w:rPr>
        <w:t xml:space="preserve">available </w:t>
      </w:r>
      <w:r w:rsidR="00385C66">
        <w:rPr>
          <w:rFonts w:asciiTheme="majorHAnsi" w:hAnsiTheme="majorHAnsi"/>
          <w:sz w:val="20"/>
          <w:szCs w:val="20"/>
          <w:lang w:val="en"/>
        </w:rPr>
        <w:t xml:space="preserve">to her </w:t>
      </w:r>
      <w:r w:rsidR="00F842E5">
        <w:rPr>
          <w:rFonts w:asciiTheme="majorHAnsi" w:hAnsiTheme="majorHAnsi"/>
          <w:sz w:val="20"/>
          <w:szCs w:val="20"/>
          <w:lang w:val="en"/>
        </w:rPr>
        <w:t xml:space="preserve">in order </w:t>
      </w:r>
      <w:r w:rsidR="00385C66">
        <w:rPr>
          <w:rFonts w:asciiTheme="majorHAnsi" w:hAnsiTheme="majorHAnsi"/>
          <w:sz w:val="20"/>
          <w:szCs w:val="20"/>
          <w:lang w:val="en"/>
        </w:rPr>
        <w:t xml:space="preserve">to establish </w:t>
      </w:r>
      <w:r>
        <w:rPr>
          <w:rFonts w:asciiTheme="majorHAnsi" w:hAnsiTheme="majorHAnsi"/>
          <w:sz w:val="20"/>
          <w:szCs w:val="20"/>
          <w:lang w:val="en"/>
        </w:rPr>
        <w:t>the criminal responsibility of those who violated her human rights.</w:t>
      </w:r>
      <w:r w:rsidR="00F842E5">
        <w:rPr>
          <w:rFonts w:asciiTheme="majorHAnsi" w:hAnsiTheme="majorHAnsi"/>
          <w:sz w:val="20"/>
          <w:szCs w:val="20"/>
          <w:lang w:val="en"/>
        </w:rPr>
        <w:t xml:space="preserve"> </w:t>
      </w:r>
    </w:p>
    <w:p w14:paraId="523B127B" w14:textId="2371B376" w:rsidR="00EA16DD" w:rsidRDefault="00400C55" w:rsidP="00EA16DD">
      <w:pPr>
        <w:spacing w:before="240"/>
        <w:ind w:firstLine="720"/>
        <w:jc w:val="both"/>
        <w:rPr>
          <w:rFonts w:asciiTheme="majorHAnsi" w:hAnsiTheme="majorHAnsi"/>
          <w:sz w:val="20"/>
          <w:szCs w:val="20"/>
          <w:lang w:val="en"/>
        </w:rPr>
      </w:pPr>
      <w:r>
        <w:rPr>
          <w:rFonts w:asciiTheme="majorHAnsi" w:hAnsiTheme="majorHAnsi"/>
          <w:sz w:val="20"/>
          <w:szCs w:val="20"/>
          <w:lang w:val="en"/>
        </w:rPr>
        <w:t xml:space="preserve">13. </w:t>
      </w:r>
      <w:r>
        <w:rPr>
          <w:rFonts w:asciiTheme="majorHAnsi" w:hAnsiTheme="majorHAnsi"/>
          <w:sz w:val="20"/>
          <w:szCs w:val="20"/>
          <w:lang w:val="en"/>
        </w:rPr>
        <w:tab/>
      </w:r>
      <w:r w:rsidR="004C23ED">
        <w:rPr>
          <w:rFonts w:asciiTheme="majorHAnsi" w:hAnsiTheme="majorHAnsi"/>
          <w:sz w:val="20"/>
          <w:szCs w:val="20"/>
          <w:lang w:val="en"/>
        </w:rPr>
        <w:t>T</w:t>
      </w:r>
      <w:r>
        <w:rPr>
          <w:rFonts w:asciiTheme="majorHAnsi" w:hAnsiTheme="majorHAnsi"/>
          <w:sz w:val="20"/>
          <w:szCs w:val="20"/>
          <w:lang w:val="en"/>
        </w:rPr>
        <w:t xml:space="preserve">he State argues that </w:t>
      </w:r>
      <w:r w:rsidR="004C23ED">
        <w:rPr>
          <w:rFonts w:asciiTheme="majorHAnsi" w:hAnsiTheme="majorHAnsi"/>
          <w:sz w:val="20"/>
          <w:szCs w:val="20"/>
          <w:lang w:val="en"/>
        </w:rPr>
        <w:t xml:space="preserve">the petitioner had </w:t>
      </w:r>
      <w:r>
        <w:rPr>
          <w:rFonts w:asciiTheme="majorHAnsi" w:hAnsiTheme="majorHAnsi"/>
          <w:sz w:val="20"/>
          <w:szCs w:val="20"/>
          <w:lang w:val="en"/>
        </w:rPr>
        <w:t>two adequate remedies available</w:t>
      </w:r>
      <w:r w:rsidR="004C23ED">
        <w:rPr>
          <w:rFonts w:asciiTheme="majorHAnsi" w:hAnsiTheme="majorHAnsi"/>
          <w:sz w:val="20"/>
          <w:szCs w:val="20"/>
          <w:lang w:val="en"/>
        </w:rPr>
        <w:t>,</w:t>
      </w:r>
      <w:r>
        <w:rPr>
          <w:rFonts w:asciiTheme="majorHAnsi" w:hAnsiTheme="majorHAnsi"/>
          <w:sz w:val="20"/>
          <w:szCs w:val="20"/>
          <w:lang w:val="en"/>
        </w:rPr>
        <w:t xml:space="preserve"> </w:t>
      </w:r>
      <w:r w:rsidR="004C23ED">
        <w:rPr>
          <w:rFonts w:asciiTheme="majorHAnsi" w:hAnsiTheme="majorHAnsi"/>
          <w:sz w:val="20"/>
          <w:szCs w:val="20"/>
          <w:lang w:val="en"/>
        </w:rPr>
        <w:t>which she did not exhaust</w:t>
      </w:r>
      <w:r>
        <w:rPr>
          <w:rFonts w:asciiTheme="majorHAnsi" w:hAnsiTheme="majorHAnsi"/>
          <w:sz w:val="20"/>
          <w:szCs w:val="20"/>
          <w:lang w:val="en"/>
        </w:rPr>
        <w:t xml:space="preserve">: </w:t>
      </w:r>
      <w:r w:rsidR="004C23ED">
        <w:rPr>
          <w:rFonts w:asciiTheme="majorHAnsi" w:hAnsiTheme="majorHAnsi"/>
          <w:sz w:val="20"/>
          <w:szCs w:val="20"/>
          <w:lang w:val="en"/>
        </w:rPr>
        <w:t xml:space="preserve">a </w:t>
      </w:r>
      <w:r>
        <w:rPr>
          <w:rFonts w:asciiTheme="majorHAnsi" w:hAnsiTheme="majorHAnsi"/>
          <w:sz w:val="20"/>
          <w:szCs w:val="20"/>
          <w:lang w:val="en"/>
        </w:rPr>
        <w:t>request to reopen the criminal investigation</w:t>
      </w:r>
      <w:r w:rsidR="004C23ED">
        <w:rPr>
          <w:rFonts w:asciiTheme="majorHAnsi" w:hAnsiTheme="majorHAnsi"/>
          <w:sz w:val="20"/>
          <w:szCs w:val="20"/>
          <w:lang w:val="en"/>
        </w:rPr>
        <w:t>,</w:t>
      </w:r>
      <w:r>
        <w:rPr>
          <w:rFonts w:asciiTheme="majorHAnsi" w:hAnsiTheme="majorHAnsi"/>
          <w:sz w:val="20"/>
          <w:szCs w:val="20"/>
          <w:lang w:val="en"/>
        </w:rPr>
        <w:t xml:space="preserve"> and </w:t>
      </w:r>
      <w:r w:rsidR="004C23ED">
        <w:rPr>
          <w:rFonts w:asciiTheme="majorHAnsi" w:hAnsiTheme="majorHAnsi"/>
          <w:sz w:val="20"/>
          <w:szCs w:val="20"/>
          <w:lang w:val="en"/>
        </w:rPr>
        <w:t xml:space="preserve">a </w:t>
      </w:r>
      <w:r>
        <w:rPr>
          <w:rFonts w:asciiTheme="majorHAnsi" w:hAnsiTheme="majorHAnsi"/>
          <w:sz w:val="20"/>
          <w:szCs w:val="20"/>
          <w:lang w:val="en"/>
        </w:rPr>
        <w:t>constitutional appeal</w:t>
      </w:r>
      <w:r w:rsidR="004C23ED">
        <w:rPr>
          <w:rFonts w:asciiTheme="majorHAnsi" w:hAnsiTheme="majorHAnsi"/>
          <w:sz w:val="20"/>
          <w:szCs w:val="20"/>
          <w:lang w:val="en"/>
        </w:rPr>
        <w:t xml:space="preserve"> (</w:t>
      </w:r>
      <w:r w:rsidR="004C23ED" w:rsidRPr="004C23ED">
        <w:rPr>
          <w:rFonts w:asciiTheme="majorHAnsi" w:hAnsiTheme="majorHAnsi"/>
          <w:i/>
          <w:iCs/>
          <w:sz w:val="20"/>
          <w:szCs w:val="20"/>
          <w:lang w:val="en"/>
        </w:rPr>
        <w:t>amparo</w:t>
      </w:r>
      <w:r w:rsidR="004C23ED">
        <w:rPr>
          <w:rFonts w:asciiTheme="majorHAnsi" w:hAnsiTheme="majorHAnsi"/>
          <w:sz w:val="20"/>
          <w:szCs w:val="20"/>
          <w:lang w:val="en"/>
        </w:rPr>
        <w:t>)</w:t>
      </w:r>
      <w:r>
        <w:rPr>
          <w:rFonts w:asciiTheme="majorHAnsi" w:hAnsiTheme="majorHAnsi"/>
          <w:sz w:val="20"/>
          <w:szCs w:val="20"/>
          <w:lang w:val="en"/>
        </w:rPr>
        <w:t xml:space="preserve">. </w:t>
      </w:r>
      <w:r w:rsidR="004C23ED">
        <w:rPr>
          <w:rFonts w:asciiTheme="majorHAnsi" w:hAnsiTheme="majorHAnsi"/>
          <w:sz w:val="20"/>
          <w:szCs w:val="20"/>
          <w:lang w:val="en"/>
        </w:rPr>
        <w:t>Nonetheless</w:t>
      </w:r>
      <w:r>
        <w:rPr>
          <w:rFonts w:asciiTheme="majorHAnsi" w:hAnsiTheme="majorHAnsi"/>
          <w:sz w:val="20"/>
          <w:szCs w:val="20"/>
          <w:lang w:val="en"/>
        </w:rPr>
        <w:t>, the Commission</w:t>
      </w:r>
      <w:r w:rsidR="004C23ED">
        <w:rPr>
          <w:rFonts w:asciiTheme="majorHAnsi" w:hAnsiTheme="majorHAnsi"/>
          <w:sz w:val="20"/>
          <w:szCs w:val="20"/>
          <w:lang w:val="en"/>
        </w:rPr>
        <w:t xml:space="preserve">’s precedents are </w:t>
      </w:r>
      <w:r>
        <w:rPr>
          <w:rFonts w:asciiTheme="majorHAnsi" w:hAnsiTheme="majorHAnsi"/>
          <w:sz w:val="20"/>
          <w:szCs w:val="20"/>
          <w:lang w:val="en"/>
        </w:rPr>
        <w:t>consis</w:t>
      </w:r>
      <w:r w:rsidR="004C23ED">
        <w:rPr>
          <w:rFonts w:asciiTheme="majorHAnsi" w:hAnsiTheme="majorHAnsi"/>
          <w:sz w:val="20"/>
          <w:szCs w:val="20"/>
          <w:lang w:val="en"/>
        </w:rPr>
        <w:t>tent</w:t>
      </w:r>
      <w:r>
        <w:rPr>
          <w:rFonts w:asciiTheme="majorHAnsi" w:hAnsiTheme="majorHAnsi"/>
          <w:sz w:val="20"/>
          <w:szCs w:val="20"/>
          <w:lang w:val="en"/>
        </w:rPr>
        <w:t xml:space="preserve"> </w:t>
      </w:r>
      <w:r w:rsidR="004C23ED">
        <w:rPr>
          <w:rFonts w:asciiTheme="majorHAnsi" w:hAnsiTheme="majorHAnsi"/>
          <w:sz w:val="20"/>
          <w:szCs w:val="20"/>
          <w:lang w:val="en"/>
        </w:rPr>
        <w:t xml:space="preserve">in the sense that it is not necessary for the victims or petitioners to exhaust absolutely every remedy that might be available to them in the domestic legal system; if they have </w:t>
      </w:r>
      <w:r>
        <w:rPr>
          <w:rFonts w:asciiTheme="majorHAnsi" w:hAnsiTheme="majorHAnsi"/>
          <w:sz w:val="20"/>
          <w:szCs w:val="20"/>
          <w:lang w:val="en"/>
        </w:rPr>
        <w:t xml:space="preserve">brought the matter to the State’s attention through </w:t>
      </w:r>
      <w:r w:rsidR="004C23ED">
        <w:rPr>
          <w:rFonts w:asciiTheme="majorHAnsi" w:hAnsiTheme="majorHAnsi"/>
          <w:sz w:val="20"/>
          <w:szCs w:val="20"/>
          <w:lang w:val="en"/>
        </w:rPr>
        <w:t>the activation of one</w:t>
      </w:r>
      <w:r>
        <w:rPr>
          <w:rFonts w:asciiTheme="majorHAnsi" w:hAnsiTheme="majorHAnsi"/>
          <w:sz w:val="20"/>
          <w:szCs w:val="20"/>
          <w:lang w:val="en"/>
        </w:rPr>
        <w:t xml:space="preserve"> of the adequate remedies, </w:t>
      </w:r>
      <w:r w:rsidR="004C23ED">
        <w:rPr>
          <w:rFonts w:asciiTheme="majorHAnsi" w:hAnsiTheme="majorHAnsi"/>
          <w:sz w:val="20"/>
          <w:szCs w:val="20"/>
          <w:lang w:val="en"/>
        </w:rPr>
        <w:t xml:space="preserve">in such a way that the State has been made aware of the situation and it </w:t>
      </w:r>
      <w:r>
        <w:rPr>
          <w:rFonts w:asciiTheme="majorHAnsi" w:hAnsiTheme="majorHAnsi"/>
          <w:sz w:val="20"/>
          <w:szCs w:val="20"/>
          <w:lang w:val="en"/>
        </w:rPr>
        <w:t xml:space="preserve">has had the opportunity to address and remedy the </w:t>
      </w:r>
      <w:r w:rsidR="004C23ED">
        <w:rPr>
          <w:rFonts w:asciiTheme="majorHAnsi" w:hAnsiTheme="majorHAnsi"/>
          <w:sz w:val="20"/>
          <w:szCs w:val="20"/>
          <w:lang w:val="en"/>
        </w:rPr>
        <w:t xml:space="preserve">possible </w:t>
      </w:r>
      <w:r>
        <w:rPr>
          <w:rFonts w:asciiTheme="majorHAnsi" w:hAnsiTheme="majorHAnsi"/>
          <w:sz w:val="20"/>
          <w:szCs w:val="20"/>
          <w:lang w:val="en"/>
        </w:rPr>
        <w:t>violation</w:t>
      </w:r>
      <w:r w:rsidR="004C23ED">
        <w:rPr>
          <w:rFonts w:asciiTheme="majorHAnsi" w:hAnsiTheme="majorHAnsi"/>
          <w:sz w:val="20"/>
          <w:szCs w:val="20"/>
          <w:lang w:val="en"/>
        </w:rPr>
        <w:t>s of human rights in its own domestic jurisdiction</w:t>
      </w:r>
      <w:r>
        <w:rPr>
          <w:rFonts w:asciiTheme="majorHAnsi" w:hAnsiTheme="majorHAnsi"/>
          <w:sz w:val="20"/>
          <w:szCs w:val="20"/>
          <w:lang w:val="en"/>
        </w:rPr>
        <w:t xml:space="preserve">, then the </w:t>
      </w:r>
      <w:r w:rsidR="004C23ED">
        <w:rPr>
          <w:rFonts w:asciiTheme="majorHAnsi" w:hAnsiTheme="majorHAnsi"/>
          <w:sz w:val="20"/>
          <w:szCs w:val="20"/>
          <w:lang w:val="en"/>
        </w:rPr>
        <w:t xml:space="preserve">purpose </w:t>
      </w:r>
      <w:r>
        <w:rPr>
          <w:rFonts w:asciiTheme="majorHAnsi" w:hAnsiTheme="majorHAnsi"/>
          <w:sz w:val="20"/>
          <w:szCs w:val="20"/>
          <w:lang w:val="en"/>
        </w:rPr>
        <w:t xml:space="preserve">of </w:t>
      </w:r>
      <w:r w:rsidR="004C23ED">
        <w:rPr>
          <w:rFonts w:asciiTheme="majorHAnsi" w:hAnsiTheme="majorHAnsi"/>
          <w:sz w:val="20"/>
          <w:szCs w:val="20"/>
          <w:lang w:val="en"/>
        </w:rPr>
        <w:t xml:space="preserve">the international rule </w:t>
      </w:r>
      <w:r>
        <w:rPr>
          <w:rFonts w:asciiTheme="majorHAnsi" w:hAnsiTheme="majorHAnsi"/>
          <w:sz w:val="20"/>
          <w:szCs w:val="20"/>
          <w:lang w:val="en"/>
        </w:rPr>
        <w:t xml:space="preserve">has been fulfilled, and domestic remedies are deemed exhausted. </w:t>
      </w:r>
      <w:r w:rsidR="004C23ED">
        <w:rPr>
          <w:rFonts w:asciiTheme="majorHAnsi" w:hAnsiTheme="majorHAnsi"/>
          <w:sz w:val="20"/>
          <w:szCs w:val="20"/>
          <w:lang w:val="en"/>
        </w:rPr>
        <w:t>Thus, i</w:t>
      </w:r>
      <w:r>
        <w:rPr>
          <w:rFonts w:asciiTheme="majorHAnsi" w:hAnsiTheme="majorHAnsi"/>
          <w:sz w:val="20"/>
          <w:szCs w:val="20"/>
          <w:lang w:val="en"/>
        </w:rPr>
        <w:t xml:space="preserve">n a recent case where it was </w:t>
      </w:r>
      <w:r w:rsidR="004C23ED">
        <w:rPr>
          <w:rFonts w:asciiTheme="majorHAnsi" w:hAnsiTheme="majorHAnsi"/>
          <w:sz w:val="20"/>
          <w:szCs w:val="20"/>
          <w:lang w:val="en"/>
        </w:rPr>
        <w:t xml:space="preserve">argued </w:t>
      </w:r>
      <w:r>
        <w:rPr>
          <w:rFonts w:asciiTheme="majorHAnsi" w:hAnsiTheme="majorHAnsi"/>
          <w:sz w:val="20"/>
          <w:szCs w:val="20"/>
          <w:lang w:val="en"/>
        </w:rPr>
        <w:t>that the victim of a violation of the rights to life and personal security should have filed</w:t>
      </w:r>
      <w:r w:rsidR="004C23ED">
        <w:rPr>
          <w:rFonts w:asciiTheme="majorHAnsi" w:hAnsiTheme="majorHAnsi"/>
          <w:sz w:val="20"/>
          <w:szCs w:val="20"/>
          <w:lang w:val="en"/>
        </w:rPr>
        <w:t>, in addition to an existing criminal complaint,</w:t>
      </w:r>
      <w:r>
        <w:rPr>
          <w:rFonts w:asciiTheme="majorHAnsi" w:hAnsiTheme="majorHAnsi"/>
          <w:sz w:val="20"/>
          <w:szCs w:val="20"/>
          <w:lang w:val="en"/>
        </w:rPr>
        <w:t xml:space="preserve"> an </w:t>
      </w:r>
      <w:r w:rsidRPr="004C23ED">
        <w:rPr>
          <w:rFonts w:asciiTheme="majorHAnsi" w:hAnsiTheme="majorHAnsi"/>
          <w:i/>
          <w:iCs/>
          <w:sz w:val="20"/>
          <w:szCs w:val="20"/>
          <w:lang w:val="en"/>
        </w:rPr>
        <w:t>amparo</w:t>
      </w:r>
      <w:r>
        <w:rPr>
          <w:rFonts w:asciiTheme="majorHAnsi" w:hAnsiTheme="majorHAnsi"/>
          <w:sz w:val="20"/>
          <w:szCs w:val="20"/>
          <w:lang w:val="en"/>
        </w:rPr>
        <w:t xml:space="preserve"> action and other </w:t>
      </w:r>
      <w:r w:rsidR="004C23ED">
        <w:rPr>
          <w:rFonts w:asciiTheme="majorHAnsi" w:hAnsiTheme="majorHAnsi"/>
          <w:sz w:val="20"/>
          <w:szCs w:val="20"/>
          <w:lang w:val="en"/>
        </w:rPr>
        <w:t xml:space="preserve">domestic </w:t>
      </w:r>
      <w:r>
        <w:rPr>
          <w:rFonts w:asciiTheme="majorHAnsi" w:hAnsiTheme="majorHAnsi"/>
          <w:sz w:val="20"/>
          <w:szCs w:val="20"/>
          <w:lang w:val="en"/>
        </w:rPr>
        <w:t xml:space="preserve">remedies, the IACHR found that </w:t>
      </w:r>
      <w:r w:rsidR="004C23ED">
        <w:rPr>
          <w:rFonts w:asciiTheme="majorHAnsi" w:hAnsiTheme="majorHAnsi"/>
          <w:sz w:val="20"/>
          <w:szCs w:val="20"/>
          <w:lang w:val="en"/>
        </w:rPr>
        <w:t xml:space="preserve">it was not necessary to initiate an additional </w:t>
      </w:r>
      <w:r w:rsidRPr="004C23ED">
        <w:rPr>
          <w:rFonts w:asciiTheme="majorHAnsi" w:hAnsiTheme="majorHAnsi"/>
          <w:i/>
          <w:iCs/>
          <w:sz w:val="20"/>
          <w:szCs w:val="20"/>
          <w:lang w:val="en"/>
        </w:rPr>
        <w:t>amparo</w:t>
      </w:r>
      <w:r>
        <w:rPr>
          <w:rFonts w:asciiTheme="majorHAnsi" w:hAnsiTheme="majorHAnsi"/>
          <w:sz w:val="20"/>
          <w:szCs w:val="20"/>
          <w:lang w:val="en"/>
        </w:rPr>
        <w:t xml:space="preserve"> action</w:t>
      </w:r>
      <w:r w:rsidR="004C23ED">
        <w:rPr>
          <w:rFonts w:asciiTheme="majorHAnsi" w:hAnsiTheme="majorHAnsi"/>
          <w:sz w:val="20"/>
          <w:szCs w:val="20"/>
          <w:lang w:val="en"/>
        </w:rPr>
        <w:t xml:space="preserve">, because the activation of the criminal course of action was sufficient to </w:t>
      </w:r>
      <w:r>
        <w:rPr>
          <w:rFonts w:asciiTheme="majorHAnsi" w:hAnsiTheme="majorHAnsi"/>
          <w:sz w:val="20"/>
          <w:szCs w:val="20"/>
          <w:lang w:val="en"/>
        </w:rPr>
        <w:t>meet the requirement set out in Article 46.1 of the American Convention.</w:t>
      </w:r>
      <w:r>
        <w:rPr>
          <w:rStyle w:val="FootnoteReference"/>
          <w:rFonts w:asciiTheme="majorHAnsi" w:hAnsiTheme="majorHAnsi"/>
          <w:sz w:val="20"/>
          <w:szCs w:val="20"/>
          <w:lang w:val="en"/>
        </w:rPr>
        <w:footnoteReference w:id="5"/>
      </w:r>
      <w:r>
        <w:rPr>
          <w:rFonts w:asciiTheme="majorHAnsi" w:hAnsiTheme="majorHAnsi"/>
          <w:sz w:val="20"/>
          <w:szCs w:val="20"/>
          <w:lang w:val="en"/>
        </w:rPr>
        <w:t xml:space="preserve"> Also, it is </w:t>
      </w:r>
      <w:r w:rsidR="004C23ED">
        <w:rPr>
          <w:rFonts w:asciiTheme="majorHAnsi" w:hAnsiTheme="majorHAnsi"/>
          <w:sz w:val="20"/>
          <w:szCs w:val="20"/>
          <w:lang w:val="en"/>
        </w:rPr>
        <w:t>pertinent to note</w:t>
      </w:r>
      <w:r>
        <w:rPr>
          <w:rFonts w:asciiTheme="majorHAnsi" w:hAnsiTheme="majorHAnsi"/>
          <w:sz w:val="20"/>
          <w:szCs w:val="20"/>
          <w:lang w:val="en"/>
        </w:rPr>
        <w:t xml:space="preserve">, as </w:t>
      </w:r>
      <w:r w:rsidR="004C23ED">
        <w:rPr>
          <w:rFonts w:asciiTheme="majorHAnsi" w:hAnsiTheme="majorHAnsi"/>
          <w:sz w:val="20"/>
          <w:szCs w:val="20"/>
          <w:lang w:val="en"/>
        </w:rPr>
        <w:t xml:space="preserve">pointed out by the </w:t>
      </w:r>
      <w:r>
        <w:rPr>
          <w:rFonts w:asciiTheme="majorHAnsi" w:hAnsiTheme="majorHAnsi"/>
          <w:sz w:val="20"/>
          <w:szCs w:val="20"/>
          <w:lang w:val="en"/>
        </w:rPr>
        <w:t xml:space="preserve">State, </w:t>
      </w:r>
      <w:r w:rsidR="004C23ED">
        <w:rPr>
          <w:rFonts w:asciiTheme="majorHAnsi" w:hAnsiTheme="majorHAnsi"/>
          <w:sz w:val="20"/>
          <w:szCs w:val="20"/>
          <w:lang w:val="en"/>
        </w:rPr>
        <w:t xml:space="preserve">that </w:t>
      </w:r>
      <w:r>
        <w:rPr>
          <w:rFonts w:asciiTheme="majorHAnsi" w:hAnsiTheme="majorHAnsi"/>
          <w:sz w:val="20"/>
          <w:szCs w:val="20"/>
          <w:lang w:val="en"/>
        </w:rPr>
        <w:t>the reopen</w:t>
      </w:r>
      <w:r w:rsidR="004C23ED">
        <w:rPr>
          <w:rFonts w:asciiTheme="majorHAnsi" w:hAnsiTheme="majorHAnsi"/>
          <w:sz w:val="20"/>
          <w:szCs w:val="20"/>
          <w:lang w:val="en"/>
        </w:rPr>
        <w:t>ing of</w:t>
      </w:r>
      <w:r>
        <w:rPr>
          <w:rFonts w:asciiTheme="majorHAnsi" w:hAnsiTheme="majorHAnsi"/>
          <w:sz w:val="20"/>
          <w:szCs w:val="20"/>
          <w:lang w:val="en"/>
        </w:rPr>
        <w:t xml:space="preserve"> the investigation was contingent on the submission of new evidence.</w:t>
      </w:r>
      <w:r w:rsidR="00EA16DD">
        <w:rPr>
          <w:rFonts w:asciiTheme="majorHAnsi" w:hAnsiTheme="majorHAnsi"/>
          <w:sz w:val="20"/>
          <w:szCs w:val="20"/>
          <w:lang w:val="en"/>
        </w:rPr>
        <w:t xml:space="preserve"> </w:t>
      </w:r>
    </w:p>
    <w:p w14:paraId="09C97FA4" w14:textId="6510CCF0" w:rsidR="00EA16DD" w:rsidRDefault="00400C55" w:rsidP="00EA16DD">
      <w:pPr>
        <w:spacing w:before="240"/>
        <w:ind w:firstLine="720"/>
        <w:jc w:val="both"/>
        <w:rPr>
          <w:rFonts w:asciiTheme="majorHAnsi" w:hAnsiTheme="majorHAnsi"/>
          <w:sz w:val="20"/>
          <w:szCs w:val="20"/>
          <w:lang w:val="en"/>
        </w:rPr>
      </w:pPr>
      <w:r>
        <w:rPr>
          <w:rFonts w:asciiTheme="majorHAnsi" w:hAnsiTheme="majorHAnsi"/>
          <w:sz w:val="20"/>
          <w:szCs w:val="20"/>
          <w:lang w:val="en"/>
        </w:rPr>
        <w:t>14.</w:t>
      </w:r>
      <w:r>
        <w:rPr>
          <w:rFonts w:asciiTheme="majorHAnsi" w:hAnsiTheme="majorHAnsi"/>
          <w:sz w:val="20"/>
          <w:szCs w:val="20"/>
          <w:lang w:val="en"/>
        </w:rPr>
        <w:tab/>
        <w:t xml:space="preserve">In this </w:t>
      </w:r>
      <w:r w:rsidR="004C23ED">
        <w:rPr>
          <w:rFonts w:asciiTheme="majorHAnsi" w:hAnsiTheme="majorHAnsi"/>
          <w:sz w:val="20"/>
          <w:szCs w:val="20"/>
          <w:lang w:val="en"/>
        </w:rPr>
        <w:t>sense</w:t>
      </w:r>
      <w:r>
        <w:rPr>
          <w:rFonts w:asciiTheme="majorHAnsi" w:hAnsiTheme="majorHAnsi"/>
          <w:sz w:val="20"/>
          <w:szCs w:val="20"/>
          <w:lang w:val="en"/>
        </w:rPr>
        <w:t xml:space="preserve">, the Commission deems that for the purpose of </w:t>
      </w:r>
      <w:r w:rsidR="004C23ED">
        <w:rPr>
          <w:rFonts w:asciiTheme="majorHAnsi" w:hAnsiTheme="majorHAnsi"/>
          <w:sz w:val="20"/>
          <w:szCs w:val="20"/>
          <w:lang w:val="en"/>
        </w:rPr>
        <w:t xml:space="preserve">having </w:t>
      </w:r>
      <w:r>
        <w:rPr>
          <w:rFonts w:asciiTheme="majorHAnsi" w:hAnsiTheme="majorHAnsi"/>
          <w:sz w:val="20"/>
          <w:szCs w:val="20"/>
          <w:lang w:val="en"/>
        </w:rPr>
        <w:t>exhaust</w:t>
      </w:r>
      <w:r w:rsidR="004C23ED">
        <w:rPr>
          <w:rFonts w:asciiTheme="majorHAnsi" w:hAnsiTheme="majorHAnsi"/>
          <w:sz w:val="20"/>
          <w:szCs w:val="20"/>
          <w:lang w:val="en"/>
        </w:rPr>
        <w:t>ed</w:t>
      </w:r>
      <w:r>
        <w:rPr>
          <w:rFonts w:asciiTheme="majorHAnsi" w:hAnsiTheme="majorHAnsi"/>
          <w:sz w:val="20"/>
          <w:szCs w:val="20"/>
          <w:lang w:val="en"/>
        </w:rPr>
        <w:t xml:space="preserve"> domestic remedies, </w:t>
      </w:r>
      <w:r w:rsidR="004C23ED">
        <w:rPr>
          <w:rFonts w:asciiTheme="majorHAnsi" w:hAnsiTheme="majorHAnsi"/>
          <w:sz w:val="20"/>
          <w:szCs w:val="20"/>
          <w:lang w:val="en"/>
        </w:rPr>
        <w:t xml:space="preserve">it was not necessary for </w:t>
      </w:r>
      <w:r>
        <w:rPr>
          <w:rFonts w:asciiTheme="majorHAnsi" w:hAnsiTheme="majorHAnsi"/>
          <w:sz w:val="20"/>
          <w:szCs w:val="20"/>
          <w:lang w:val="en"/>
        </w:rPr>
        <w:t xml:space="preserve">Ms.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to </w:t>
      </w:r>
      <w:r w:rsidR="00665F15">
        <w:rPr>
          <w:rFonts w:asciiTheme="majorHAnsi" w:hAnsiTheme="majorHAnsi"/>
          <w:sz w:val="20"/>
          <w:szCs w:val="20"/>
          <w:lang w:val="en"/>
        </w:rPr>
        <w:t xml:space="preserve">have </w:t>
      </w:r>
      <w:r>
        <w:rPr>
          <w:rFonts w:asciiTheme="majorHAnsi" w:hAnsiTheme="majorHAnsi"/>
          <w:sz w:val="20"/>
          <w:szCs w:val="20"/>
          <w:lang w:val="en"/>
        </w:rPr>
        <w:t>file</w:t>
      </w:r>
      <w:r w:rsidR="00665F15">
        <w:rPr>
          <w:rFonts w:asciiTheme="majorHAnsi" w:hAnsiTheme="majorHAnsi"/>
          <w:sz w:val="20"/>
          <w:szCs w:val="20"/>
          <w:lang w:val="en"/>
        </w:rPr>
        <w:t>d</w:t>
      </w:r>
      <w:r>
        <w:rPr>
          <w:rFonts w:asciiTheme="majorHAnsi" w:hAnsiTheme="majorHAnsi"/>
          <w:sz w:val="20"/>
          <w:szCs w:val="20"/>
          <w:lang w:val="en"/>
        </w:rPr>
        <w:t xml:space="preserve"> an </w:t>
      </w:r>
      <w:r w:rsidRPr="00665F15">
        <w:rPr>
          <w:rFonts w:asciiTheme="majorHAnsi" w:hAnsiTheme="majorHAnsi"/>
          <w:i/>
          <w:iCs/>
          <w:sz w:val="20"/>
          <w:szCs w:val="20"/>
          <w:lang w:val="en"/>
        </w:rPr>
        <w:t>amparo</w:t>
      </w:r>
      <w:r>
        <w:rPr>
          <w:rFonts w:asciiTheme="majorHAnsi" w:hAnsiTheme="majorHAnsi"/>
          <w:sz w:val="20"/>
          <w:szCs w:val="20"/>
          <w:lang w:val="en"/>
        </w:rPr>
        <w:t xml:space="preserve"> action or a request to reopen the investigation, on top of the existing criminal complaint, the objection to the dismissal of her complaint, and the additional request for information on the </w:t>
      </w:r>
      <w:r w:rsidR="003133DD">
        <w:rPr>
          <w:rFonts w:asciiTheme="majorHAnsi" w:hAnsiTheme="majorHAnsi"/>
          <w:sz w:val="20"/>
          <w:szCs w:val="20"/>
          <w:lang w:val="en"/>
        </w:rPr>
        <w:t xml:space="preserve">status of the </w:t>
      </w:r>
      <w:r>
        <w:rPr>
          <w:rFonts w:asciiTheme="majorHAnsi" w:hAnsiTheme="majorHAnsi"/>
          <w:sz w:val="20"/>
          <w:szCs w:val="20"/>
          <w:lang w:val="en"/>
        </w:rPr>
        <w:t>proce</w:t>
      </w:r>
      <w:r w:rsidR="003133DD">
        <w:rPr>
          <w:rFonts w:asciiTheme="majorHAnsi" w:hAnsiTheme="majorHAnsi"/>
          <w:sz w:val="20"/>
          <w:szCs w:val="20"/>
          <w:lang w:val="en"/>
        </w:rPr>
        <w:t>dures</w:t>
      </w:r>
      <w:r>
        <w:rPr>
          <w:rFonts w:asciiTheme="majorHAnsi" w:hAnsiTheme="majorHAnsi"/>
          <w:sz w:val="20"/>
          <w:szCs w:val="20"/>
          <w:lang w:val="en"/>
        </w:rPr>
        <w:t xml:space="preserve">. </w:t>
      </w:r>
    </w:p>
    <w:p w14:paraId="0E780C75" w14:textId="06988850" w:rsidR="00EA16DD" w:rsidRDefault="00400C55" w:rsidP="00EA16DD">
      <w:pPr>
        <w:spacing w:before="240"/>
        <w:ind w:firstLine="720"/>
        <w:jc w:val="both"/>
        <w:rPr>
          <w:rFonts w:asciiTheme="majorHAnsi" w:hAnsiTheme="majorHAnsi"/>
          <w:sz w:val="20"/>
          <w:szCs w:val="20"/>
          <w:lang w:val="en"/>
        </w:rPr>
      </w:pPr>
      <w:r>
        <w:rPr>
          <w:rFonts w:asciiTheme="majorHAnsi" w:hAnsiTheme="majorHAnsi"/>
          <w:sz w:val="20"/>
          <w:szCs w:val="20"/>
          <w:lang w:val="en"/>
        </w:rPr>
        <w:lastRenderedPageBreak/>
        <w:t xml:space="preserve">15. </w:t>
      </w:r>
      <w:r>
        <w:rPr>
          <w:rFonts w:asciiTheme="majorHAnsi" w:hAnsiTheme="majorHAnsi"/>
          <w:sz w:val="20"/>
          <w:szCs w:val="20"/>
          <w:lang w:val="en"/>
        </w:rPr>
        <w:tab/>
      </w:r>
      <w:r w:rsidR="003133DD">
        <w:rPr>
          <w:rFonts w:asciiTheme="majorHAnsi" w:hAnsiTheme="majorHAnsi"/>
          <w:sz w:val="20"/>
          <w:szCs w:val="20"/>
          <w:lang w:val="en"/>
        </w:rPr>
        <w:t xml:space="preserve">Regardless of </w:t>
      </w:r>
      <w:r>
        <w:rPr>
          <w:rFonts w:asciiTheme="majorHAnsi" w:hAnsiTheme="majorHAnsi"/>
          <w:sz w:val="20"/>
          <w:szCs w:val="20"/>
          <w:lang w:val="en"/>
        </w:rPr>
        <w:t xml:space="preserve">the foregoing, the IACHR </w:t>
      </w:r>
      <w:r w:rsidR="003133DD">
        <w:rPr>
          <w:rFonts w:asciiTheme="majorHAnsi" w:hAnsiTheme="majorHAnsi"/>
          <w:sz w:val="20"/>
          <w:szCs w:val="20"/>
          <w:lang w:val="en"/>
        </w:rPr>
        <w:t>notes that in the present case</w:t>
      </w:r>
      <w:r w:rsidR="00665F15">
        <w:rPr>
          <w:rFonts w:asciiTheme="majorHAnsi" w:hAnsiTheme="majorHAnsi"/>
          <w:sz w:val="20"/>
          <w:szCs w:val="20"/>
          <w:lang w:val="en"/>
        </w:rPr>
        <w:t>,</w:t>
      </w:r>
      <w:r w:rsidR="003133DD">
        <w:rPr>
          <w:rFonts w:asciiTheme="majorHAnsi" w:hAnsiTheme="majorHAnsi"/>
          <w:sz w:val="20"/>
          <w:szCs w:val="20"/>
          <w:lang w:val="en"/>
        </w:rPr>
        <w:t xml:space="preserve"> </w:t>
      </w:r>
      <w:r w:rsidR="00665F15">
        <w:rPr>
          <w:rFonts w:asciiTheme="majorHAnsi" w:hAnsiTheme="majorHAnsi"/>
          <w:sz w:val="20"/>
          <w:szCs w:val="20"/>
          <w:lang w:val="en"/>
        </w:rPr>
        <w:t xml:space="preserve">the </w:t>
      </w:r>
      <w:r w:rsidR="003133DD">
        <w:rPr>
          <w:rFonts w:asciiTheme="majorHAnsi" w:hAnsiTheme="majorHAnsi"/>
          <w:sz w:val="20"/>
          <w:szCs w:val="20"/>
          <w:lang w:val="en"/>
        </w:rPr>
        <w:t xml:space="preserve">unilateral closure of a criminal investigation by the public prosecutor took place, before the case got to the trial stage, by means of a decision to dismiss the criminal complaint, which was confirmed on appeal. In </w:t>
      </w:r>
      <w:r w:rsidR="00665F15">
        <w:rPr>
          <w:rFonts w:asciiTheme="majorHAnsi" w:hAnsiTheme="majorHAnsi"/>
          <w:sz w:val="20"/>
          <w:szCs w:val="20"/>
          <w:lang w:val="en"/>
        </w:rPr>
        <w:t xml:space="preserve">prior </w:t>
      </w:r>
      <w:r>
        <w:rPr>
          <w:rFonts w:asciiTheme="majorHAnsi" w:hAnsiTheme="majorHAnsi"/>
          <w:sz w:val="20"/>
          <w:szCs w:val="20"/>
          <w:lang w:val="en"/>
        </w:rPr>
        <w:t xml:space="preserve">cases involving </w:t>
      </w:r>
      <w:r w:rsidR="003133DD">
        <w:rPr>
          <w:rFonts w:asciiTheme="majorHAnsi" w:hAnsiTheme="majorHAnsi"/>
          <w:sz w:val="20"/>
          <w:szCs w:val="20"/>
          <w:lang w:val="en"/>
        </w:rPr>
        <w:t xml:space="preserve">such a situation of unilateral closure of a criminal investigation by the prosecuting authority prior to the trial stage, the IACHR has considered that the exception to the duty of exhausting domestic remedies set forth in Article </w:t>
      </w:r>
      <w:r>
        <w:rPr>
          <w:rFonts w:asciiTheme="majorHAnsi" w:hAnsiTheme="majorHAnsi"/>
          <w:sz w:val="20"/>
          <w:szCs w:val="20"/>
          <w:lang w:val="en"/>
        </w:rPr>
        <w:t>46.2.b of the Convention</w:t>
      </w:r>
      <w:r w:rsidR="00FC5343">
        <w:rPr>
          <w:rFonts w:asciiTheme="majorHAnsi" w:hAnsiTheme="majorHAnsi"/>
          <w:sz w:val="20"/>
          <w:szCs w:val="20"/>
          <w:lang w:val="en"/>
        </w:rPr>
        <w:t xml:space="preserve"> </w:t>
      </w:r>
      <w:r w:rsidR="003133DD">
        <w:rPr>
          <w:rFonts w:asciiTheme="majorHAnsi" w:hAnsiTheme="majorHAnsi"/>
          <w:sz w:val="20"/>
          <w:szCs w:val="20"/>
          <w:lang w:val="en"/>
        </w:rPr>
        <w:t>applies, insofar as the possible victim is in fact prevented, through such a unilateral decision to dismiss, from exhausting the domestic remedies available to her.</w:t>
      </w:r>
      <w:r>
        <w:rPr>
          <w:rStyle w:val="FootnoteReference"/>
          <w:rFonts w:asciiTheme="majorHAnsi" w:hAnsiTheme="majorHAnsi"/>
          <w:sz w:val="20"/>
          <w:szCs w:val="20"/>
          <w:lang w:val="en"/>
        </w:rPr>
        <w:footnoteReference w:id="6"/>
      </w:r>
      <w:r>
        <w:rPr>
          <w:rFonts w:asciiTheme="majorHAnsi" w:hAnsiTheme="majorHAnsi"/>
          <w:sz w:val="20"/>
          <w:szCs w:val="20"/>
          <w:lang w:val="en"/>
        </w:rPr>
        <w:t xml:space="preserve"> </w:t>
      </w:r>
      <w:r w:rsidR="003133DD">
        <w:rPr>
          <w:rFonts w:asciiTheme="majorHAnsi" w:hAnsiTheme="majorHAnsi"/>
          <w:sz w:val="20"/>
          <w:szCs w:val="20"/>
          <w:lang w:val="en"/>
        </w:rPr>
        <w:t>In addition to this</w:t>
      </w:r>
      <w:r>
        <w:rPr>
          <w:rFonts w:asciiTheme="majorHAnsi" w:hAnsiTheme="majorHAnsi"/>
          <w:sz w:val="20"/>
          <w:szCs w:val="20"/>
          <w:lang w:val="en"/>
        </w:rPr>
        <w:t xml:space="preserve">, there are specific claims </w:t>
      </w:r>
      <w:r w:rsidR="003133DD">
        <w:rPr>
          <w:rFonts w:asciiTheme="majorHAnsi" w:hAnsiTheme="majorHAnsi"/>
          <w:sz w:val="20"/>
          <w:szCs w:val="20"/>
          <w:lang w:val="en"/>
        </w:rPr>
        <w:t xml:space="preserve">made by </w:t>
      </w:r>
      <w:r>
        <w:rPr>
          <w:rFonts w:asciiTheme="majorHAnsi" w:hAnsiTheme="majorHAnsi"/>
          <w:sz w:val="20"/>
          <w:szCs w:val="20"/>
          <w:lang w:val="en"/>
        </w:rPr>
        <w:t xml:space="preserve">the petitioner </w:t>
      </w:r>
      <w:r w:rsidR="003133DD">
        <w:rPr>
          <w:rFonts w:asciiTheme="majorHAnsi" w:hAnsiTheme="majorHAnsi"/>
          <w:sz w:val="20"/>
          <w:szCs w:val="20"/>
          <w:lang w:val="en"/>
        </w:rPr>
        <w:t>-</w:t>
      </w:r>
      <w:r>
        <w:rPr>
          <w:rFonts w:asciiTheme="majorHAnsi" w:hAnsiTheme="majorHAnsi"/>
          <w:sz w:val="20"/>
          <w:szCs w:val="20"/>
          <w:lang w:val="en"/>
        </w:rPr>
        <w:t>to be analyzed at the merits stage</w:t>
      </w:r>
      <w:r w:rsidR="003133DD">
        <w:rPr>
          <w:rFonts w:asciiTheme="majorHAnsi" w:hAnsiTheme="majorHAnsi"/>
          <w:sz w:val="20"/>
          <w:szCs w:val="20"/>
          <w:lang w:val="en"/>
        </w:rPr>
        <w:t>-</w:t>
      </w:r>
      <w:r>
        <w:rPr>
          <w:rFonts w:asciiTheme="majorHAnsi" w:hAnsiTheme="majorHAnsi"/>
          <w:sz w:val="20"/>
          <w:szCs w:val="20"/>
          <w:lang w:val="en"/>
        </w:rPr>
        <w:t xml:space="preserve"> about purported irregularities and obstacles to the alleged victim’s participation in said criminal investigation.</w:t>
      </w:r>
      <w:r w:rsidR="00FC5343">
        <w:rPr>
          <w:rFonts w:asciiTheme="majorHAnsi" w:hAnsiTheme="majorHAnsi"/>
          <w:sz w:val="20"/>
          <w:szCs w:val="20"/>
          <w:lang w:val="en"/>
        </w:rPr>
        <w:t xml:space="preserve"> </w:t>
      </w:r>
    </w:p>
    <w:p w14:paraId="6AEE75E9" w14:textId="2D8E91EF" w:rsidR="005C0B13" w:rsidRDefault="00400C55" w:rsidP="005C0B13">
      <w:pPr>
        <w:spacing w:before="240"/>
        <w:ind w:firstLine="720"/>
        <w:jc w:val="both"/>
        <w:rPr>
          <w:rFonts w:asciiTheme="majorHAnsi" w:hAnsiTheme="majorHAnsi"/>
          <w:sz w:val="20"/>
          <w:szCs w:val="20"/>
          <w:lang w:val="en"/>
        </w:rPr>
      </w:pPr>
      <w:r>
        <w:rPr>
          <w:rFonts w:asciiTheme="majorHAnsi" w:hAnsiTheme="majorHAnsi"/>
          <w:sz w:val="20"/>
          <w:szCs w:val="20"/>
          <w:lang w:val="en"/>
        </w:rPr>
        <w:t>16.</w:t>
      </w:r>
      <w:r>
        <w:rPr>
          <w:rFonts w:asciiTheme="majorHAnsi" w:hAnsiTheme="majorHAnsi"/>
          <w:sz w:val="20"/>
          <w:szCs w:val="20"/>
          <w:lang w:val="en"/>
        </w:rPr>
        <w:tab/>
        <w:t>Accordingly, the Inter-American Commission finds that, in th</w:t>
      </w:r>
      <w:r w:rsidR="003133DD">
        <w:rPr>
          <w:rFonts w:asciiTheme="majorHAnsi" w:hAnsiTheme="majorHAnsi"/>
          <w:sz w:val="20"/>
          <w:szCs w:val="20"/>
          <w:lang w:val="en"/>
        </w:rPr>
        <w:t>e instant</w:t>
      </w:r>
      <w:r>
        <w:rPr>
          <w:rFonts w:asciiTheme="majorHAnsi" w:hAnsiTheme="majorHAnsi"/>
          <w:sz w:val="20"/>
          <w:szCs w:val="20"/>
          <w:lang w:val="en"/>
        </w:rPr>
        <w:t xml:space="preserve"> case, the exception to</w:t>
      </w:r>
      <w:r w:rsidR="00587825">
        <w:rPr>
          <w:rFonts w:asciiTheme="majorHAnsi" w:hAnsiTheme="majorHAnsi"/>
          <w:sz w:val="20"/>
          <w:szCs w:val="20"/>
          <w:lang w:val="en"/>
        </w:rPr>
        <w:t xml:space="preserve"> the</w:t>
      </w:r>
      <w:r>
        <w:rPr>
          <w:rFonts w:asciiTheme="majorHAnsi" w:hAnsiTheme="majorHAnsi"/>
          <w:sz w:val="20"/>
          <w:szCs w:val="20"/>
          <w:lang w:val="en"/>
        </w:rPr>
        <w:t xml:space="preserve"> requirement of exhaustion of domestic remedies set forth in Article 46.</w:t>
      </w:r>
      <w:r w:rsidR="003133DD">
        <w:rPr>
          <w:rFonts w:asciiTheme="majorHAnsi" w:hAnsiTheme="majorHAnsi"/>
          <w:sz w:val="20"/>
          <w:szCs w:val="20"/>
          <w:lang w:val="en"/>
        </w:rPr>
        <w:t>2</w:t>
      </w:r>
      <w:r>
        <w:rPr>
          <w:rFonts w:asciiTheme="majorHAnsi" w:hAnsiTheme="majorHAnsi"/>
          <w:sz w:val="20"/>
          <w:szCs w:val="20"/>
          <w:lang w:val="en"/>
        </w:rPr>
        <w:t>.b of the Convention</w:t>
      </w:r>
      <w:r w:rsidR="003133DD">
        <w:rPr>
          <w:rFonts w:asciiTheme="majorHAnsi" w:hAnsiTheme="majorHAnsi"/>
          <w:sz w:val="20"/>
          <w:szCs w:val="20"/>
          <w:lang w:val="en"/>
        </w:rPr>
        <w:t xml:space="preserve"> is applicable</w:t>
      </w:r>
      <w:r>
        <w:rPr>
          <w:rFonts w:asciiTheme="majorHAnsi" w:hAnsiTheme="majorHAnsi"/>
          <w:sz w:val="20"/>
          <w:szCs w:val="20"/>
          <w:lang w:val="en"/>
        </w:rPr>
        <w:t>.</w:t>
      </w:r>
      <w:r w:rsidR="00FC5343">
        <w:rPr>
          <w:rFonts w:asciiTheme="majorHAnsi" w:hAnsiTheme="majorHAnsi"/>
          <w:sz w:val="20"/>
          <w:szCs w:val="20"/>
          <w:lang w:val="en"/>
        </w:rPr>
        <w:t xml:space="preserve"> </w:t>
      </w:r>
    </w:p>
    <w:p w14:paraId="6C13B542" w14:textId="1F11BABD" w:rsidR="005C0B13" w:rsidRDefault="00400C55" w:rsidP="005C0B13">
      <w:pPr>
        <w:spacing w:before="240"/>
        <w:ind w:firstLine="720"/>
        <w:jc w:val="both"/>
        <w:rPr>
          <w:rFonts w:asciiTheme="majorHAnsi" w:hAnsiTheme="majorHAnsi"/>
          <w:sz w:val="20"/>
          <w:szCs w:val="20"/>
          <w:lang w:val="en"/>
        </w:rPr>
      </w:pPr>
      <w:r>
        <w:rPr>
          <w:rFonts w:asciiTheme="majorHAnsi" w:hAnsiTheme="majorHAnsi"/>
          <w:sz w:val="20"/>
          <w:szCs w:val="20"/>
          <w:lang w:val="en"/>
        </w:rPr>
        <w:t xml:space="preserve">17. </w:t>
      </w:r>
      <w:r>
        <w:rPr>
          <w:rFonts w:asciiTheme="majorHAnsi" w:hAnsiTheme="majorHAnsi"/>
          <w:sz w:val="20"/>
          <w:szCs w:val="20"/>
          <w:lang w:val="en"/>
        </w:rPr>
        <w:tab/>
        <w:t xml:space="preserve">In </w:t>
      </w:r>
      <w:r w:rsidR="003133DD">
        <w:rPr>
          <w:rFonts w:asciiTheme="majorHAnsi" w:hAnsiTheme="majorHAnsi"/>
          <w:sz w:val="20"/>
          <w:szCs w:val="20"/>
          <w:lang w:val="en"/>
        </w:rPr>
        <w:t xml:space="preserve">accordance </w:t>
      </w:r>
      <w:r>
        <w:rPr>
          <w:rFonts w:asciiTheme="majorHAnsi" w:hAnsiTheme="majorHAnsi"/>
          <w:sz w:val="20"/>
          <w:szCs w:val="20"/>
          <w:lang w:val="en"/>
        </w:rPr>
        <w:t>with the above</w:t>
      </w:r>
      <w:r w:rsidR="003133DD">
        <w:rPr>
          <w:rFonts w:asciiTheme="majorHAnsi" w:hAnsiTheme="majorHAnsi"/>
          <w:sz w:val="20"/>
          <w:szCs w:val="20"/>
          <w:lang w:val="en"/>
        </w:rPr>
        <w:t xml:space="preserve">, </w:t>
      </w:r>
      <w:r>
        <w:rPr>
          <w:rFonts w:asciiTheme="majorHAnsi" w:hAnsiTheme="majorHAnsi"/>
          <w:sz w:val="20"/>
          <w:szCs w:val="20"/>
          <w:lang w:val="en"/>
        </w:rPr>
        <w:t xml:space="preserve">and considering that the incidents occurred on April 13-17, 2008; that the criminal complaint was filed on April 29, 2008; that the final decision to close the investigation </w:t>
      </w:r>
      <w:r w:rsidR="003133DD">
        <w:rPr>
          <w:rFonts w:asciiTheme="majorHAnsi" w:hAnsiTheme="majorHAnsi"/>
          <w:sz w:val="20"/>
          <w:szCs w:val="20"/>
          <w:lang w:val="en"/>
        </w:rPr>
        <w:t xml:space="preserve">was adopted on </w:t>
      </w:r>
      <w:r>
        <w:rPr>
          <w:rFonts w:asciiTheme="majorHAnsi" w:hAnsiTheme="majorHAnsi"/>
          <w:sz w:val="20"/>
          <w:szCs w:val="20"/>
          <w:lang w:val="en"/>
        </w:rPr>
        <w:t xml:space="preserve">December 24, 2008; that </w:t>
      </w:r>
      <w:r w:rsidR="003133DD">
        <w:rPr>
          <w:rFonts w:asciiTheme="majorHAnsi" w:hAnsiTheme="majorHAnsi"/>
          <w:sz w:val="20"/>
          <w:szCs w:val="20"/>
          <w:lang w:val="en"/>
        </w:rPr>
        <w:t xml:space="preserve">on October 8, 2009, a new </w:t>
      </w:r>
      <w:r>
        <w:rPr>
          <w:rFonts w:asciiTheme="majorHAnsi" w:hAnsiTheme="majorHAnsi"/>
          <w:sz w:val="20"/>
          <w:szCs w:val="20"/>
          <w:lang w:val="en"/>
        </w:rPr>
        <w:t xml:space="preserve">request </w:t>
      </w:r>
      <w:r w:rsidR="003133DD">
        <w:rPr>
          <w:rFonts w:asciiTheme="majorHAnsi" w:hAnsiTheme="majorHAnsi"/>
          <w:sz w:val="20"/>
          <w:szCs w:val="20"/>
          <w:lang w:val="en"/>
        </w:rPr>
        <w:t xml:space="preserve">for information </w:t>
      </w:r>
      <w:r>
        <w:rPr>
          <w:rFonts w:asciiTheme="majorHAnsi" w:hAnsiTheme="majorHAnsi"/>
          <w:sz w:val="20"/>
          <w:szCs w:val="20"/>
          <w:lang w:val="en"/>
        </w:rPr>
        <w:t xml:space="preserve">was submitted </w:t>
      </w:r>
      <w:r w:rsidR="003133DD">
        <w:rPr>
          <w:rFonts w:asciiTheme="majorHAnsi" w:hAnsiTheme="majorHAnsi"/>
          <w:sz w:val="20"/>
          <w:szCs w:val="20"/>
          <w:lang w:val="en"/>
        </w:rPr>
        <w:t xml:space="preserve">regarding </w:t>
      </w:r>
      <w:r>
        <w:rPr>
          <w:rFonts w:asciiTheme="majorHAnsi" w:hAnsiTheme="majorHAnsi"/>
          <w:sz w:val="20"/>
          <w:szCs w:val="20"/>
          <w:lang w:val="en"/>
        </w:rPr>
        <w:t>the investigation</w:t>
      </w:r>
      <w:r w:rsidR="003133DD">
        <w:rPr>
          <w:rFonts w:asciiTheme="majorHAnsi" w:hAnsiTheme="majorHAnsi"/>
          <w:sz w:val="20"/>
          <w:szCs w:val="20"/>
          <w:lang w:val="en"/>
        </w:rPr>
        <w:t>,</w:t>
      </w:r>
      <w:r>
        <w:rPr>
          <w:rFonts w:asciiTheme="majorHAnsi" w:hAnsiTheme="majorHAnsi"/>
          <w:sz w:val="20"/>
          <w:szCs w:val="20"/>
          <w:lang w:val="en"/>
        </w:rPr>
        <w:t xml:space="preserve"> and </w:t>
      </w:r>
      <w:r w:rsidR="003133DD">
        <w:rPr>
          <w:rFonts w:asciiTheme="majorHAnsi" w:hAnsiTheme="majorHAnsi"/>
          <w:sz w:val="20"/>
          <w:szCs w:val="20"/>
          <w:lang w:val="en"/>
        </w:rPr>
        <w:t xml:space="preserve">asking </w:t>
      </w:r>
      <w:r>
        <w:rPr>
          <w:rFonts w:asciiTheme="majorHAnsi" w:hAnsiTheme="majorHAnsi"/>
          <w:sz w:val="20"/>
          <w:szCs w:val="20"/>
          <w:lang w:val="en"/>
        </w:rPr>
        <w:t xml:space="preserve">to reopen it; that the IACHR received the petition on April 12, 2010; and that the effects of the </w:t>
      </w:r>
      <w:r w:rsidR="003133DD">
        <w:rPr>
          <w:rFonts w:asciiTheme="majorHAnsi" w:hAnsiTheme="majorHAnsi"/>
          <w:sz w:val="20"/>
          <w:szCs w:val="20"/>
          <w:lang w:val="en"/>
        </w:rPr>
        <w:t xml:space="preserve">impunity </w:t>
      </w:r>
      <w:r>
        <w:rPr>
          <w:rFonts w:asciiTheme="majorHAnsi" w:hAnsiTheme="majorHAnsi"/>
          <w:sz w:val="20"/>
          <w:szCs w:val="20"/>
          <w:lang w:val="en"/>
        </w:rPr>
        <w:t xml:space="preserve">of the </w:t>
      </w:r>
      <w:r w:rsidR="005C0B13">
        <w:rPr>
          <w:rFonts w:asciiTheme="majorHAnsi" w:hAnsiTheme="majorHAnsi"/>
          <w:sz w:val="20"/>
          <w:szCs w:val="20"/>
          <w:lang w:val="en"/>
        </w:rPr>
        <w:t xml:space="preserve">reported </w:t>
      </w:r>
      <w:r>
        <w:rPr>
          <w:rFonts w:asciiTheme="majorHAnsi" w:hAnsiTheme="majorHAnsi"/>
          <w:sz w:val="20"/>
          <w:szCs w:val="20"/>
          <w:lang w:val="en"/>
        </w:rPr>
        <w:t xml:space="preserve">facts persist to date, the Commission concludes that the petition was </w:t>
      </w:r>
      <w:r w:rsidR="009812BF">
        <w:rPr>
          <w:rFonts w:asciiTheme="majorHAnsi" w:hAnsiTheme="majorHAnsi"/>
          <w:sz w:val="20"/>
          <w:szCs w:val="20"/>
          <w:lang w:val="en"/>
        </w:rPr>
        <w:t xml:space="preserve">presented </w:t>
      </w:r>
      <w:r>
        <w:rPr>
          <w:rFonts w:asciiTheme="majorHAnsi" w:hAnsiTheme="majorHAnsi"/>
          <w:sz w:val="20"/>
          <w:szCs w:val="20"/>
          <w:lang w:val="en"/>
        </w:rPr>
        <w:t xml:space="preserve">within a reasonable time, </w:t>
      </w:r>
      <w:r w:rsidR="009812BF">
        <w:rPr>
          <w:rFonts w:asciiTheme="majorHAnsi" w:hAnsiTheme="majorHAnsi"/>
          <w:sz w:val="20"/>
          <w:szCs w:val="20"/>
          <w:lang w:val="en"/>
        </w:rPr>
        <w:t xml:space="preserve">in the </w:t>
      </w:r>
      <w:r>
        <w:rPr>
          <w:rFonts w:asciiTheme="majorHAnsi" w:hAnsiTheme="majorHAnsi"/>
          <w:sz w:val="20"/>
          <w:szCs w:val="20"/>
          <w:lang w:val="en"/>
        </w:rPr>
        <w:t xml:space="preserve">terms of Article 32.2 of its Rules of Procedure. </w:t>
      </w:r>
    </w:p>
    <w:p w14:paraId="3D928F7C" w14:textId="61DC9B5A" w:rsidR="00400C55" w:rsidRPr="00332EB8" w:rsidRDefault="00400C55" w:rsidP="005C0B13">
      <w:pPr>
        <w:spacing w:before="240"/>
        <w:ind w:firstLine="720"/>
        <w:jc w:val="both"/>
        <w:rPr>
          <w:rFonts w:asciiTheme="majorHAnsi" w:hAnsiTheme="majorHAnsi"/>
          <w:sz w:val="20"/>
          <w:szCs w:val="20"/>
        </w:rPr>
      </w:pPr>
      <w:r>
        <w:rPr>
          <w:rFonts w:asciiTheme="majorHAnsi" w:hAnsiTheme="majorHAnsi"/>
          <w:sz w:val="20"/>
          <w:szCs w:val="20"/>
          <w:lang w:val="en"/>
        </w:rPr>
        <w:t xml:space="preserve">18. </w:t>
      </w:r>
      <w:r>
        <w:rPr>
          <w:rFonts w:asciiTheme="majorHAnsi" w:hAnsiTheme="majorHAnsi"/>
          <w:sz w:val="20"/>
          <w:szCs w:val="20"/>
          <w:lang w:val="en"/>
        </w:rPr>
        <w:tab/>
      </w:r>
      <w:r w:rsidR="009812BF">
        <w:rPr>
          <w:rFonts w:asciiTheme="majorHAnsi" w:hAnsiTheme="majorHAnsi"/>
          <w:sz w:val="20"/>
          <w:szCs w:val="20"/>
          <w:lang w:val="en"/>
        </w:rPr>
        <w:t>On the other hand</w:t>
      </w:r>
      <w:r>
        <w:rPr>
          <w:rFonts w:asciiTheme="majorHAnsi" w:hAnsiTheme="majorHAnsi"/>
          <w:sz w:val="20"/>
          <w:szCs w:val="20"/>
          <w:lang w:val="en"/>
        </w:rPr>
        <w:t>, as for the State’s allegation that domestic remedies have not been exhausted regarding the purported violation of the alleged victim’s right</w:t>
      </w:r>
      <w:r w:rsidR="009812BF">
        <w:rPr>
          <w:rFonts w:asciiTheme="majorHAnsi" w:hAnsiTheme="majorHAnsi"/>
          <w:sz w:val="20"/>
          <w:szCs w:val="20"/>
          <w:lang w:val="en"/>
        </w:rPr>
        <w:t>s</w:t>
      </w:r>
      <w:r>
        <w:rPr>
          <w:rFonts w:asciiTheme="majorHAnsi" w:hAnsiTheme="majorHAnsi"/>
          <w:sz w:val="20"/>
          <w:szCs w:val="20"/>
          <w:lang w:val="en"/>
        </w:rPr>
        <w:t xml:space="preserve"> to </w:t>
      </w:r>
      <w:r w:rsidR="009812BF">
        <w:rPr>
          <w:rFonts w:asciiTheme="majorHAnsi" w:hAnsiTheme="majorHAnsi"/>
          <w:sz w:val="20"/>
          <w:szCs w:val="20"/>
          <w:lang w:val="en"/>
        </w:rPr>
        <w:t xml:space="preserve">private </w:t>
      </w:r>
      <w:r w:rsidR="000E6DE2">
        <w:rPr>
          <w:rFonts w:asciiTheme="majorHAnsi" w:hAnsiTheme="majorHAnsi"/>
          <w:sz w:val="20"/>
          <w:szCs w:val="20"/>
          <w:lang w:val="en"/>
        </w:rPr>
        <w:t>property</w:t>
      </w:r>
      <w:r>
        <w:rPr>
          <w:rFonts w:asciiTheme="majorHAnsi" w:hAnsiTheme="majorHAnsi"/>
          <w:sz w:val="20"/>
          <w:szCs w:val="20"/>
          <w:lang w:val="en"/>
        </w:rPr>
        <w:t xml:space="preserve"> and freedom of expression, the Commission deems that those violations are subsumed under</w:t>
      </w:r>
      <w:r w:rsidR="00665F15">
        <w:rPr>
          <w:rFonts w:asciiTheme="majorHAnsi" w:hAnsiTheme="majorHAnsi"/>
          <w:sz w:val="20"/>
          <w:szCs w:val="20"/>
          <w:lang w:val="en"/>
        </w:rPr>
        <w:t>,</w:t>
      </w:r>
      <w:r>
        <w:rPr>
          <w:rFonts w:asciiTheme="majorHAnsi" w:hAnsiTheme="majorHAnsi"/>
          <w:sz w:val="20"/>
          <w:szCs w:val="20"/>
          <w:lang w:val="en"/>
        </w:rPr>
        <w:t xml:space="preserve"> and result from</w:t>
      </w:r>
      <w:r w:rsidR="00665F15">
        <w:rPr>
          <w:rFonts w:asciiTheme="majorHAnsi" w:hAnsiTheme="majorHAnsi"/>
          <w:sz w:val="20"/>
          <w:szCs w:val="20"/>
          <w:lang w:val="en"/>
        </w:rPr>
        <w:t>,</w:t>
      </w:r>
      <w:r>
        <w:rPr>
          <w:rFonts w:asciiTheme="majorHAnsi" w:hAnsiTheme="majorHAnsi"/>
          <w:sz w:val="20"/>
          <w:szCs w:val="20"/>
          <w:lang w:val="en"/>
        </w:rPr>
        <w:t xml:space="preserve"> the main </w:t>
      </w:r>
      <w:r w:rsidR="009812BF">
        <w:rPr>
          <w:rFonts w:asciiTheme="majorHAnsi" w:hAnsiTheme="majorHAnsi"/>
          <w:sz w:val="20"/>
          <w:szCs w:val="20"/>
          <w:lang w:val="en"/>
        </w:rPr>
        <w:t xml:space="preserve">facts set forth </w:t>
      </w:r>
      <w:r>
        <w:rPr>
          <w:rFonts w:asciiTheme="majorHAnsi" w:hAnsiTheme="majorHAnsi"/>
          <w:sz w:val="20"/>
          <w:szCs w:val="20"/>
          <w:lang w:val="en"/>
        </w:rPr>
        <w:t xml:space="preserve">by the petitioner in the criminal </w:t>
      </w:r>
      <w:r w:rsidR="009812BF">
        <w:rPr>
          <w:rFonts w:asciiTheme="majorHAnsi" w:hAnsiTheme="majorHAnsi"/>
          <w:sz w:val="20"/>
          <w:szCs w:val="20"/>
          <w:lang w:val="en"/>
        </w:rPr>
        <w:t xml:space="preserve">complaint that </w:t>
      </w:r>
      <w:r>
        <w:rPr>
          <w:rFonts w:asciiTheme="majorHAnsi" w:hAnsiTheme="majorHAnsi"/>
          <w:sz w:val="20"/>
          <w:szCs w:val="20"/>
          <w:lang w:val="en"/>
        </w:rPr>
        <w:t xml:space="preserve">she </w:t>
      </w:r>
      <w:r w:rsidR="009812BF">
        <w:rPr>
          <w:rFonts w:asciiTheme="majorHAnsi" w:hAnsiTheme="majorHAnsi"/>
          <w:sz w:val="20"/>
          <w:szCs w:val="20"/>
          <w:lang w:val="en"/>
        </w:rPr>
        <w:t>filed</w:t>
      </w:r>
      <w:r>
        <w:rPr>
          <w:rFonts w:asciiTheme="majorHAnsi" w:hAnsiTheme="majorHAnsi"/>
          <w:sz w:val="20"/>
          <w:szCs w:val="20"/>
          <w:lang w:val="en"/>
        </w:rPr>
        <w:t xml:space="preserve">. </w:t>
      </w:r>
    </w:p>
    <w:p w14:paraId="3A974C4F" w14:textId="1CFB2A55" w:rsidR="00400C55" w:rsidRPr="00332EB8" w:rsidRDefault="00400C55" w:rsidP="00400C55">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r>
      <w:r w:rsidR="009812BF">
        <w:rPr>
          <w:rFonts w:asciiTheme="majorHAnsi" w:hAnsiTheme="majorHAnsi"/>
          <w:b/>
          <w:bCs/>
          <w:sz w:val="20"/>
          <w:szCs w:val="20"/>
          <w:lang w:val="en"/>
        </w:rPr>
        <w:t xml:space="preserve">ANALYSIS OF </w:t>
      </w:r>
      <w:r>
        <w:rPr>
          <w:rFonts w:asciiTheme="majorHAnsi" w:hAnsiTheme="majorHAnsi"/>
          <w:b/>
          <w:bCs/>
          <w:sz w:val="20"/>
          <w:szCs w:val="20"/>
          <w:lang w:val="en"/>
        </w:rPr>
        <w:t>COLORABLE CLAIM</w:t>
      </w:r>
    </w:p>
    <w:p w14:paraId="59573862" w14:textId="763E98C0"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cs="Calibri"/>
          <w:sz w:val="20"/>
          <w:szCs w:val="20"/>
          <w:lang w:val="en"/>
        </w:rPr>
        <w:t>19.</w:t>
      </w:r>
      <w:r>
        <w:rPr>
          <w:rFonts w:asciiTheme="majorHAnsi" w:hAnsiTheme="majorHAnsi" w:cs="Calibri"/>
          <w:sz w:val="20"/>
          <w:szCs w:val="20"/>
          <w:lang w:val="en"/>
        </w:rPr>
        <w:tab/>
        <w:t>The criteri</w:t>
      </w:r>
      <w:r w:rsidR="009812BF">
        <w:rPr>
          <w:rFonts w:asciiTheme="majorHAnsi" w:hAnsiTheme="majorHAnsi" w:cs="Calibri"/>
          <w:sz w:val="20"/>
          <w:szCs w:val="20"/>
          <w:lang w:val="en"/>
        </w:rPr>
        <w:t>a</w:t>
      </w:r>
      <w:r>
        <w:rPr>
          <w:rFonts w:asciiTheme="majorHAnsi" w:hAnsiTheme="majorHAnsi" w:cs="Calibri"/>
          <w:sz w:val="20"/>
          <w:szCs w:val="20"/>
          <w:lang w:val="en"/>
        </w:rPr>
        <w:t xml:space="preserve"> </w:t>
      </w:r>
      <w:r w:rsidR="009812BF">
        <w:rPr>
          <w:rFonts w:asciiTheme="majorHAnsi" w:hAnsiTheme="majorHAnsi" w:cs="Calibri"/>
          <w:sz w:val="20"/>
          <w:szCs w:val="20"/>
          <w:lang w:val="en"/>
        </w:rPr>
        <w:t xml:space="preserve">applied </w:t>
      </w:r>
      <w:r>
        <w:rPr>
          <w:rFonts w:asciiTheme="majorHAnsi" w:hAnsiTheme="majorHAnsi" w:cs="Calibri"/>
          <w:sz w:val="20"/>
          <w:szCs w:val="20"/>
          <w:lang w:val="en"/>
        </w:rPr>
        <w:t xml:space="preserve">for evaluating the admissibility </w:t>
      </w:r>
      <w:r w:rsidR="009812BF">
        <w:rPr>
          <w:rFonts w:asciiTheme="majorHAnsi" w:hAnsiTheme="majorHAnsi" w:cs="Calibri"/>
          <w:sz w:val="20"/>
          <w:szCs w:val="20"/>
          <w:lang w:val="en"/>
        </w:rPr>
        <w:t xml:space="preserve">of a petition </w:t>
      </w:r>
      <w:r>
        <w:rPr>
          <w:rFonts w:asciiTheme="majorHAnsi" w:hAnsiTheme="majorHAnsi" w:cs="Calibri"/>
          <w:sz w:val="20"/>
          <w:szCs w:val="20"/>
          <w:lang w:val="en"/>
        </w:rPr>
        <w:t xml:space="preserve">differ from </w:t>
      </w:r>
      <w:r w:rsidR="009812BF">
        <w:rPr>
          <w:rFonts w:asciiTheme="majorHAnsi" w:hAnsiTheme="majorHAnsi" w:cs="Calibri"/>
          <w:sz w:val="20"/>
          <w:szCs w:val="20"/>
          <w:lang w:val="en"/>
        </w:rPr>
        <w:t xml:space="preserve">those </w:t>
      </w:r>
      <w:r>
        <w:rPr>
          <w:rFonts w:asciiTheme="majorHAnsi" w:hAnsiTheme="majorHAnsi" w:cs="Calibri"/>
          <w:sz w:val="20"/>
          <w:szCs w:val="20"/>
          <w:lang w:val="en"/>
        </w:rPr>
        <w:t xml:space="preserve">used for ruling on the merits of a petition. At the admissibility stage, the Commission </w:t>
      </w:r>
      <w:r w:rsidR="009812BF">
        <w:rPr>
          <w:rFonts w:asciiTheme="majorHAnsi" w:hAnsiTheme="majorHAnsi" w:cs="Calibri"/>
          <w:sz w:val="20"/>
          <w:szCs w:val="20"/>
          <w:lang w:val="en"/>
        </w:rPr>
        <w:t xml:space="preserve">must carry out </w:t>
      </w:r>
      <w:r>
        <w:rPr>
          <w:rFonts w:asciiTheme="majorHAnsi" w:hAnsiTheme="majorHAnsi" w:cs="Calibri"/>
          <w:sz w:val="20"/>
          <w:szCs w:val="20"/>
          <w:lang w:val="en"/>
        </w:rPr>
        <w:t xml:space="preserve">a </w:t>
      </w:r>
      <w:r w:rsidRPr="00665F15">
        <w:rPr>
          <w:rFonts w:asciiTheme="majorHAnsi" w:hAnsiTheme="majorHAnsi" w:cs="Calibri"/>
          <w:i/>
          <w:iCs/>
          <w:sz w:val="20"/>
          <w:szCs w:val="20"/>
          <w:lang w:val="en"/>
        </w:rPr>
        <w:t>prima facie</w:t>
      </w:r>
      <w:r>
        <w:rPr>
          <w:rFonts w:asciiTheme="majorHAnsi" w:hAnsiTheme="majorHAnsi" w:cs="Calibri"/>
          <w:sz w:val="20"/>
          <w:szCs w:val="20"/>
          <w:lang w:val="en"/>
        </w:rPr>
        <w:t xml:space="preserve"> evaluation </w:t>
      </w:r>
      <w:r w:rsidR="009812BF">
        <w:rPr>
          <w:rFonts w:asciiTheme="majorHAnsi" w:hAnsiTheme="majorHAnsi" w:cs="Calibri"/>
          <w:sz w:val="20"/>
          <w:szCs w:val="20"/>
          <w:lang w:val="en"/>
        </w:rPr>
        <w:t xml:space="preserve">in order </w:t>
      </w:r>
      <w:r>
        <w:rPr>
          <w:rFonts w:asciiTheme="majorHAnsi" w:hAnsiTheme="majorHAnsi" w:cs="Calibri"/>
          <w:sz w:val="20"/>
          <w:szCs w:val="20"/>
          <w:lang w:val="en"/>
        </w:rPr>
        <w:t xml:space="preserve">to determine whether a petition establishes the grounds for a possible or potential violation of a right enshrined in the Convention, </w:t>
      </w:r>
      <w:r w:rsidR="009812BF">
        <w:rPr>
          <w:rFonts w:asciiTheme="majorHAnsi" w:hAnsiTheme="majorHAnsi" w:cs="Calibri"/>
          <w:sz w:val="20"/>
          <w:szCs w:val="20"/>
          <w:lang w:val="en"/>
        </w:rPr>
        <w:t xml:space="preserve">and </w:t>
      </w:r>
      <w:r>
        <w:rPr>
          <w:rFonts w:asciiTheme="majorHAnsi" w:hAnsiTheme="majorHAnsi" w:cs="Calibri"/>
          <w:sz w:val="20"/>
          <w:szCs w:val="20"/>
          <w:lang w:val="en"/>
        </w:rPr>
        <w:t xml:space="preserve">not </w:t>
      </w:r>
      <w:r w:rsidR="009812BF">
        <w:rPr>
          <w:rFonts w:asciiTheme="majorHAnsi" w:hAnsiTheme="majorHAnsi" w:cs="Calibri"/>
          <w:sz w:val="20"/>
          <w:szCs w:val="20"/>
          <w:lang w:val="en"/>
        </w:rPr>
        <w:t xml:space="preserve">in order </w:t>
      </w:r>
      <w:r>
        <w:rPr>
          <w:rFonts w:asciiTheme="majorHAnsi" w:hAnsiTheme="majorHAnsi" w:cs="Calibri"/>
          <w:sz w:val="20"/>
          <w:szCs w:val="20"/>
          <w:lang w:val="en"/>
        </w:rPr>
        <w:t xml:space="preserve">to </w:t>
      </w:r>
      <w:r w:rsidR="009812BF">
        <w:rPr>
          <w:rFonts w:asciiTheme="majorHAnsi" w:hAnsiTheme="majorHAnsi" w:cs="Calibri"/>
          <w:sz w:val="20"/>
          <w:szCs w:val="20"/>
          <w:lang w:val="en"/>
        </w:rPr>
        <w:t xml:space="preserve">determine </w:t>
      </w:r>
      <w:r>
        <w:rPr>
          <w:rFonts w:asciiTheme="majorHAnsi" w:hAnsiTheme="majorHAnsi" w:cs="Calibri"/>
          <w:sz w:val="20"/>
          <w:szCs w:val="20"/>
          <w:lang w:val="en"/>
        </w:rPr>
        <w:t>the existence of a</w:t>
      </w:r>
      <w:r w:rsidR="009812BF">
        <w:rPr>
          <w:rFonts w:asciiTheme="majorHAnsi" w:hAnsiTheme="majorHAnsi" w:cs="Calibri"/>
          <w:sz w:val="20"/>
          <w:szCs w:val="20"/>
          <w:lang w:val="en"/>
        </w:rPr>
        <w:t>n actual</w:t>
      </w:r>
      <w:r>
        <w:rPr>
          <w:rFonts w:asciiTheme="majorHAnsi" w:hAnsiTheme="majorHAnsi" w:cs="Calibri"/>
          <w:sz w:val="20"/>
          <w:szCs w:val="20"/>
          <w:lang w:val="en"/>
        </w:rPr>
        <w:t xml:space="preserve"> violation of rights. This determination </w:t>
      </w:r>
      <w:r w:rsidR="00665F15">
        <w:rPr>
          <w:rFonts w:asciiTheme="majorHAnsi" w:hAnsiTheme="majorHAnsi" w:cs="Calibri"/>
          <w:sz w:val="20"/>
          <w:szCs w:val="20"/>
          <w:lang w:val="en"/>
        </w:rPr>
        <w:t xml:space="preserve">on admissibility </w:t>
      </w:r>
      <w:r>
        <w:rPr>
          <w:rFonts w:asciiTheme="majorHAnsi" w:hAnsiTheme="majorHAnsi" w:cs="Calibri"/>
          <w:sz w:val="20"/>
          <w:szCs w:val="20"/>
          <w:lang w:val="en"/>
        </w:rPr>
        <w:t xml:space="preserve">constitutes a </w:t>
      </w:r>
      <w:r w:rsidR="009812BF">
        <w:rPr>
          <w:rFonts w:asciiTheme="majorHAnsi" w:hAnsiTheme="majorHAnsi" w:cs="Calibri"/>
          <w:sz w:val="20"/>
          <w:szCs w:val="20"/>
          <w:lang w:val="en"/>
        </w:rPr>
        <w:t xml:space="preserve">primary </w:t>
      </w:r>
      <w:r>
        <w:rPr>
          <w:rFonts w:asciiTheme="majorHAnsi" w:hAnsiTheme="majorHAnsi" w:cs="Calibri"/>
          <w:sz w:val="20"/>
          <w:szCs w:val="20"/>
          <w:lang w:val="en"/>
        </w:rPr>
        <w:t>analysis</w:t>
      </w:r>
      <w:r w:rsidR="009812BF">
        <w:rPr>
          <w:rFonts w:asciiTheme="majorHAnsi" w:hAnsiTheme="majorHAnsi" w:cs="Calibri"/>
          <w:sz w:val="20"/>
          <w:szCs w:val="20"/>
          <w:lang w:val="en"/>
        </w:rPr>
        <w:t>,</w:t>
      </w:r>
      <w:r>
        <w:rPr>
          <w:rFonts w:asciiTheme="majorHAnsi" w:hAnsiTheme="majorHAnsi" w:cs="Calibri"/>
          <w:sz w:val="20"/>
          <w:szCs w:val="20"/>
          <w:lang w:val="en"/>
        </w:rPr>
        <w:t xml:space="preserve"> that does not imply a prejudgment on the merits of the matter.</w:t>
      </w:r>
      <w:r>
        <w:rPr>
          <w:rStyle w:val="FootnoteReference"/>
          <w:rFonts w:asciiTheme="majorHAnsi" w:hAnsiTheme="majorHAnsi" w:cs="Calibri"/>
          <w:sz w:val="20"/>
          <w:szCs w:val="20"/>
          <w:lang w:val="en"/>
        </w:rPr>
        <w:footnoteReference w:id="7"/>
      </w:r>
      <w:r w:rsidR="00C66BDC">
        <w:rPr>
          <w:rFonts w:asciiTheme="majorHAnsi" w:hAnsiTheme="majorHAnsi" w:cs="Calibri"/>
          <w:sz w:val="20"/>
          <w:szCs w:val="20"/>
          <w:lang w:val="en"/>
        </w:rPr>
        <w:t xml:space="preserve"> </w:t>
      </w:r>
    </w:p>
    <w:p w14:paraId="021ADE99" w14:textId="6DF87D6A"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cs="Calibri"/>
          <w:sz w:val="20"/>
          <w:szCs w:val="20"/>
          <w:lang w:val="en"/>
        </w:rPr>
        <w:t xml:space="preserve">20. </w:t>
      </w:r>
      <w:r>
        <w:rPr>
          <w:rFonts w:asciiTheme="majorHAnsi" w:hAnsiTheme="majorHAnsi" w:cs="Calibri"/>
          <w:sz w:val="20"/>
          <w:szCs w:val="20"/>
          <w:lang w:val="en"/>
        </w:rPr>
        <w:tab/>
        <w:t>Based on the foregoing</w:t>
      </w:r>
      <w:r w:rsidR="009812BF">
        <w:rPr>
          <w:rFonts w:asciiTheme="majorHAnsi" w:hAnsiTheme="majorHAnsi" w:cs="Calibri"/>
          <w:sz w:val="20"/>
          <w:szCs w:val="20"/>
          <w:lang w:val="en"/>
        </w:rPr>
        <w:t xml:space="preserve"> axiom</w:t>
      </w:r>
      <w:r>
        <w:rPr>
          <w:rFonts w:asciiTheme="majorHAnsi" w:hAnsiTheme="majorHAnsi" w:cs="Calibri"/>
          <w:sz w:val="20"/>
          <w:szCs w:val="20"/>
          <w:lang w:val="en"/>
        </w:rPr>
        <w:t>, the IACHR notes that the State</w:t>
      </w:r>
      <w:r w:rsidR="009812BF">
        <w:rPr>
          <w:rFonts w:asciiTheme="majorHAnsi" w:hAnsiTheme="majorHAnsi" w:cs="Calibri"/>
          <w:sz w:val="20"/>
          <w:szCs w:val="20"/>
          <w:lang w:val="en"/>
        </w:rPr>
        <w:t xml:space="preserve">’s argument about an alleged lack of characterization of violations of conventionally protected rights is based on </w:t>
      </w:r>
      <w:r>
        <w:rPr>
          <w:rFonts w:asciiTheme="majorHAnsi" w:hAnsiTheme="majorHAnsi" w:cs="Calibri"/>
          <w:sz w:val="20"/>
          <w:szCs w:val="20"/>
          <w:lang w:val="en"/>
        </w:rPr>
        <w:t xml:space="preserve">a factual circumstance, namely, that </w:t>
      </w:r>
      <w:r w:rsidR="009812BF">
        <w:rPr>
          <w:rFonts w:asciiTheme="majorHAnsi" w:hAnsiTheme="majorHAnsi" w:cs="Calibri"/>
          <w:sz w:val="20"/>
          <w:szCs w:val="20"/>
          <w:lang w:val="en"/>
        </w:rPr>
        <w:t xml:space="preserve">no State agents of any level took part in </w:t>
      </w:r>
      <w:r>
        <w:rPr>
          <w:rFonts w:asciiTheme="majorHAnsi" w:hAnsiTheme="majorHAnsi" w:cs="Calibri"/>
          <w:sz w:val="20"/>
          <w:szCs w:val="20"/>
          <w:lang w:val="en"/>
        </w:rPr>
        <w:t xml:space="preserve">the assault on Ms. </w:t>
      </w:r>
      <w:proofErr w:type="spellStart"/>
      <w:r>
        <w:rPr>
          <w:rFonts w:asciiTheme="majorHAnsi" w:hAnsiTheme="majorHAnsi" w:cs="Calibri"/>
          <w:sz w:val="20"/>
          <w:szCs w:val="20"/>
          <w:lang w:val="en"/>
        </w:rPr>
        <w:t>Estremadoiro</w:t>
      </w:r>
      <w:proofErr w:type="spellEnd"/>
      <w:r w:rsidR="009812BF">
        <w:rPr>
          <w:rFonts w:asciiTheme="majorHAnsi" w:hAnsiTheme="majorHAnsi" w:cs="Calibri"/>
          <w:sz w:val="20"/>
          <w:szCs w:val="20"/>
          <w:lang w:val="en"/>
        </w:rPr>
        <w:t>, and that the State</w:t>
      </w:r>
      <w:r w:rsidR="00665F15">
        <w:rPr>
          <w:rFonts w:asciiTheme="majorHAnsi" w:hAnsiTheme="majorHAnsi" w:cs="Calibri"/>
          <w:sz w:val="20"/>
          <w:szCs w:val="20"/>
          <w:lang w:val="en"/>
        </w:rPr>
        <w:t xml:space="preserve"> complied with its</w:t>
      </w:r>
      <w:r w:rsidR="009812BF">
        <w:rPr>
          <w:rFonts w:asciiTheme="majorHAnsi" w:hAnsiTheme="majorHAnsi" w:cs="Calibri"/>
          <w:sz w:val="20"/>
          <w:szCs w:val="20"/>
          <w:lang w:val="en"/>
        </w:rPr>
        <w:t xml:space="preserve"> duty to guarantee the rights of the alleged victim. </w:t>
      </w:r>
      <w:r>
        <w:rPr>
          <w:rFonts w:asciiTheme="majorHAnsi" w:hAnsiTheme="majorHAnsi" w:cs="Calibri"/>
          <w:sz w:val="20"/>
          <w:szCs w:val="20"/>
          <w:lang w:val="en"/>
        </w:rPr>
        <w:t xml:space="preserve">Given the petitioner’s insistence that </w:t>
      </w:r>
      <w:r w:rsidR="00665F15">
        <w:rPr>
          <w:rFonts w:asciiTheme="majorHAnsi" w:hAnsiTheme="majorHAnsi" w:cs="Calibri"/>
          <w:sz w:val="20"/>
          <w:szCs w:val="20"/>
          <w:lang w:val="en"/>
        </w:rPr>
        <w:t>S</w:t>
      </w:r>
      <w:r>
        <w:rPr>
          <w:rFonts w:asciiTheme="majorHAnsi" w:hAnsiTheme="majorHAnsi" w:cs="Calibri"/>
          <w:sz w:val="20"/>
          <w:szCs w:val="20"/>
          <w:lang w:val="en"/>
        </w:rPr>
        <w:t xml:space="preserve">tate officers did </w:t>
      </w:r>
      <w:r w:rsidR="009812BF">
        <w:rPr>
          <w:rFonts w:asciiTheme="majorHAnsi" w:hAnsiTheme="majorHAnsi" w:cs="Calibri"/>
          <w:sz w:val="20"/>
          <w:szCs w:val="20"/>
          <w:lang w:val="en"/>
        </w:rPr>
        <w:t xml:space="preserve">indeed actively </w:t>
      </w:r>
      <w:r>
        <w:rPr>
          <w:rFonts w:asciiTheme="majorHAnsi" w:hAnsiTheme="majorHAnsi" w:cs="Calibri"/>
          <w:sz w:val="20"/>
          <w:szCs w:val="20"/>
          <w:lang w:val="en"/>
        </w:rPr>
        <w:t>participate in the alleged violation of her rights</w:t>
      </w:r>
      <w:r w:rsidR="009812BF">
        <w:rPr>
          <w:rFonts w:asciiTheme="majorHAnsi" w:hAnsiTheme="majorHAnsi" w:cs="Calibri"/>
          <w:sz w:val="20"/>
          <w:szCs w:val="20"/>
          <w:lang w:val="en"/>
        </w:rPr>
        <w:t>,</w:t>
      </w:r>
      <w:r>
        <w:rPr>
          <w:rFonts w:asciiTheme="majorHAnsi" w:hAnsiTheme="majorHAnsi" w:cs="Calibri"/>
          <w:sz w:val="20"/>
          <w:szCs w:val="20"/>
          <w:lang w:val="en"/>
        </w:rPr>
        <w:t xml:space="preserve"> and that the State did fail to protect her rights, the Commission deems it necessary to conduct, at the merits stage, a detailed analysis of the evidence. Such an analysis cannot be performed </w:t>
      </w:r>
      <w:r w:rsidR="009812BF">
        <w:rPr>
          <w:rFonts w:asciiTheme="majorHAnsi" w:hAnsiTheme="majorHAnsi" w:cs="Calibri"/>
          <w:sz w:val="20"/>
          <w:szCs w:val="20"/>
          <w:lang w:val="en"/>
        </w:rPr>
        <w:t xml:space="preserve">in </w:t>
      </w:r>
      <w:r>
        <w:rPr>
          <w:rFonts w:asciiTheme="majorHAnsi" w:hAnsiTheme="majorHAnsi" w:cs="Calibri"/>
          <w:sz w:val="20"/>
          <w:szCs w:val="20"/>
          <w:lang w:val="en"/>
        </w:rPr>
        <w:t xml:space="preserve">the </w:t>
      </w:r>
      <w:r w:rsidR="009812BF">
        <w:rPr>
          <w:rFonts w:asciiTheme="majorHAnsi" w:hAnsiTheme="majorHAnsi" w:cs="Calibri"/>
          <w:sz w:val="20"/>
          <w:szCs w:val="20"/>
          <w:lang w:val="en"/>
        </w:rPr>
        <w:t xml:space="preserve">current </w:t>
      </w:r>
      <w:r>
        <w:rPr>
          <w:rFonts w:asciiTheme="majorHAnsi" w:hAnsiTheme="majorHAnsi" w:cs="Calibri"/>
          <w:sz w:val="20"/>
          <w:szCs w:val="20"/>
          <w:lang w:val="en"/>
        </w:rPr>
        <w:t>admissibility stage</w:t>
      </w:r>
      <w:r w:rsidR="009812BF">
        <w:rPr>
          <w:rFonts w:asciiTheme="majorHAnsi" w:hAnsiTheme="majorHAnsi" w:cs="Calibri"/>
          <w:sz w:val="20"/>
          <w:szCs w:val="20"/>
          <w:lang w:val="en"/>
        </w:rPr>
        <w:t>,</w:t>
      </w:r>
      <w:r>
        <w:rPr>
          <w:rFonts w:asciiTheme="majorHAnsi" w:hAnsiTheme="majorHAnsi" w:cs="Calibri"/>
          <w:sz w:val="20"/>
          <w:szCs w:val="20"/>
          <w:lang w:val="en"/>
        </w:rPr>
        <w:t xml:space="preserve"> </w:t>
      </w:r>
      <w:r w:rsidR="00E726DC">
        <w:rPr>
          <w:rFonts w:asciiTheme="majorHAnsi" w:hAnsiTheme="majorHAnsi" w:cs="Calibri"/>
          <w:sz w:val="20"/>
          <w:szCs w:val="20"/>
          <w:lang w:val="en"/>
        </w:rPr>
        <w:t xml:space="preserve">during which </w:t>
      </w:r>
      <w:r>
        <w:rPr>
          <w:rFonts w:asciiTheme="majorHAnsi" w:hAnsiTheme="majorHAnsi" w:cs="Calibri"/>
          <w:sz w:val="20"/>
          <w:szCs w:val="20"/>
          <w:lang w:val="en"/>
        </w:rPr>
        <w:t xml:space="preserve">a </w:t>
      </w:r>
      <w:r w:rsidRPr="00E726DC">
        <w:rPr>
          <w:rFonts w:asciiTheme="majorHAnsi" w:hAnsiTheme="majorHAnsi" w:cs="Calibri"/>
          <w:i/>
          <w:iCs/>
          <w:sz w:val="20"/>
          <w:szCs w:val="20"/>
          <w:lang w:val="en"/>
        </w:rPr>
        <w:t>prima facie</w:t>
      </w:r>
      <w:r>
        <w:rPr>
          <w:rFonts w:asciiTheme="majorHAnsi" w:hAnsiTheme="majorHAnsi" w:cs="Calibri"/>
          <w:sz w:val="20"/>
          <w:szCs w:val="20"/>
          <w:lang w:val="en"/>
        </w:rPr>
        <w:t xml:space="preserve"> evaluation </w:t>
      </w:r>
      <w:r w:rsidR="00E726DC">
        <w:rPr>
          <w:rFonts w:asciiTheme="majorHAnsi" w:hAnsiTheme="majorHAnsi" w:cs="Calibri"/>
          <w:sz w:val="20"/>
          <w:szCs w:val="20"/>
          <w:lang w:val="en"/>
        </w:rPr>
        <w:t xml:space="preserve">is called for, and </w:t>
      </w:r>
      <w:r>
        <w:rPr>
          <w:rFonts w:asciiTheme="majorHAnsi" w:hAnsiTheme="majorHAnsi" w:cs="Calibri"/>
          <w:sz w:val="20"/>
          <w:szCs w:val="20"/>
          <w:lang w:val="en"/>
        </w:rPr>
        <w:t xml:space="preserve">where no prejudgments on the factual or legal </w:t>
      </w:r>
      <w:r w:rsidR="00E726DC">
        <w:rPr>
          <w:rFonts w:asciiTheme="majorHAnsi" w:hAnsiTheme="majorHAnsi" w:cs="Calibri"/>
          <w:sz w:val="20"/>
          <w:szCs w:val="20"/>
          <w:lang w:val="en"/>
        </w:rPr>
        <w:t xml:space="preserve">merits </w:t>
      </w:r>
      <w:r>
        <w:rPr>
          <w:rFonts w:asciiTheme="majorHAnsi" w:hAnsiTheme="majorHAnsi" w:cs="Calibri"/>
          <w:sz w:val="20"/>
          <w:szCs w:val="20"/>
          <w:lang w:val="en"/>
        </w:rPr>
        <w:t xml:space="preserve">of the matter </w:t>
      </w:r>
      <w:r w:rsidR="00E726DC">
        <w:rPr>
          <w:rFonts w:asciiTheme="majorHAnsi" w:hAnsiTheme="majorHAnsi" w:cs="Calibri"/>
          <w:sz w:val="20"/>
          <w:szCs w:val="20"/>
          <w:lang w:val="en"/>
        </w:rPr>
        <w:t>are made</w:t>
      </w:r>
      <w:r>
        <w:rPr>
          <w:rFonts w:asciiTheme="majorHAnsi" w:hAnsiTheme="majorHAnsi" w:cs="Calibri"/>
          <w:sz w:val="20"/>
          <w:szCs w:val="20"/>
          <w:lang w:val="en"/>
        </w:rPr>
        <w:t>.</w:t>
      </w:r>
    </w:p>
    <w:p w14:paraId="5BDA42A3" w14:textId="6F3F3076"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cs="Calibri"/>
          <w:sz w:val="20"/>
          <w:szCs w:val="20"/>
          <w:lang w:val="en"/>
        </w:rPr>
        <w:t xml:space="preserve">21. </w:t>
      </w:r>
      <w:r>
        <w:rPr>
          <w:rFonts w:asciiTheme="majorHAnsi" w:hAnsiTheme="majorHAnsi" w:cs="Calibri"/>
          <w:sz w:val="20"/>
          <w:szCs w:val="20"/>
          <w:lang w:val="en"/>
        </w:rPr>
        <w:tab/>
        <w:t xml:space="preserve">As for the State’s </w:t>
      </w:r>
      <w:r w:rsidR="00E726DC">
        <w:rPr>
          <w:rFonts w:asciiTheme="majorHAnsi" w:hAnsiTheme="majorHAnsi" w:cs="Calibri"/>
          <w:sz w:val="20"/>
          <w:szCs w:val="20"/>
          <w:lang w:val="en"/>
        </w:rPr>
        <w:t xml:space="preserve">arguments in reference to </w:t>
      </w:r>
      <w:r>
        <w:rPr>
          <w:rFonts w:asciiTheme="majorHAnsi" w:hAnsiTheme="majorHAnsi" w:cs="Calibri"/>
          <w:sz w:val="20"/>
          <w:szCs w:val="20"/>
          <w:lang w:val="en"/>
        </w:rPr>
        <w:t xml:space="preserve">the “fourth instance formula,” the Commission reiterates that, within its mandate, </w:t>
      </w:r>
      <w:r w:rsidR="00E726DC">
        <w:rPr>
          <w:rFonts w:asciiTheme="majorHAnsi" w:hAnsiTheme="majorHAnsi" w:cs="Calibri"/>
          <w:sz w:val="20"/>
          <w:szCs w:val="20"/>
          <w:lang w:val="en"/>
        </w:rPr>
        <w:t xml:space="preserve">it </w:t>
      </w:r>
      <w:r>
        <w:rPr>
          <w:rFonts w:asciiTheme="majorHAnsi" w:hAnsiTheme="majorHAnsi" w:cs="Calibri"/>
          <w:sz w:val="20"/>
          <w:szCs w:val="20"/>
          <w:lang w:val="en"/>
        </w:rPr>
        <w:t xml:space="preserve">is </w:t>
      </w:r>
      <w:r w:rsidR="00E726DC">
        <w:rPr>
          <w:rFonts w:asciiTheme="majorHAnsi" w:hAnsiTheme="majorHAnsi" w:cs="Calibri"/>
          <w:sz w:val="20"/>
          <w:szCs w:val="20"/>
          <w:lang w:val="en"/>
        </w:rPr>
        <w:t xml:space="preserve">indeed </w:t>
      </w:r>
      <w:r>
        <w:rPr>
          <w:rFonts w:asciiTheme="majorHAnsi" w:hAnsiTheme="majorHAnsi" w:cs="Calibri"/>
          <w:sz w:val="20"/>
          <w:szCs w:val="20"/>
          <w:lang w:val="en"/>
        </w:rPr>
        <w:t xml:space="preserve">competent to declare a petition admissible when it refers to domestic proceedings </w:t>
      </w:r>
      <w:r w:rsidR="00E726DC">
        <w:rPr>
          <w:rFonts w:asciiTheme="majorHAnsi" w:hAnsiTheme="majorHAnsi" w:cs="Calibri"/>
          <w:sz w:val="20"/>
          <w:szCs w:val="20"/>
          <w:lang w:val="en"/>
        </w:rPr>
        <w:t xml:space="preserve">which may </w:t>
      </w:r>
      <w:r>
        <w:rPr>
          <w:rFonts w:asciiTheme="majorHAnsi" w:hAnsiTheme="majorHAnsi" w:cs="Calibri"/>
          <w:sz w:val="20"/>
          <w:szCs w:val="20"/>
          <w:lang w:val="en"/>
        </w:rPr>
        <w:t xml:space="preserve">be in violation of rights protected by the American Convention. </w:t>
      </w:r>
      <w:r w:rsidR="00E726DC">
        <w:rPr>
          <w:rFonts w:asciiTheme="majorHAnsi" w:hAnsiTheme="majorHAnsi" w:cs="Calibri"/>
          <w:sz w:val="20"/>
          <w:szCs w:val="20"/>
          <w:lang w:val="en"/>
        </w:rPr>
        <w:t>Hence f</w:t>
      </w:r>
      <w:r>
        <w:rPr>
          <w:rFonts w:asciiTheme="majorHAnsi" w:hAnsiTheme="majorHAnsi" w:cs="Calibri"/>
          <w:sz w:val="20"/>
          <w:szCs w:val="20"/>
          <w:lang w:val="en"/>
        </w:rPr>
        <w:t xml:space="preserve">or admissibility purposes, the IACHR must decide whether the facts alleged in </w:t>
      </w:r>
      <w:r w:rsidR="00E726DC">
        <w:rPr>
          <w:rFonts w:asciiTheme="majorHAnsi" w:hAnsiTheme="majorHAnsi" w:cs="Calibri"/>
          <w:sz w:val="20"/>
          <w:szCs w:val="20"/>
          <w:lang w:val="en"/>
        </w:rPr>
        <w:t xml:space="preserve">a </w:t>
      </w:r>
      <w:r>
        <w:rPr>
          <w:rFonts w:asciiTheme="majorHAnsi" w:hAnsiTheme="majorHAnsi" w:cs="Calibri"/>
          <w:sz w:val="20"/>
          <w:szCs w:val="20"/>
          <w:lang w:val="en"/>
        </w:rPr>
        <w:t xml:space="preserve">petition may </w:t>
      </w:r>
      <w:r w:rsidR="00E726DC">
        <w:rPr>
          <w:rFonts w:asciiTheme="majorHAnsi" w:hAnsiTheme="majorHAnsi" w:cs="Calibri"/>
          <w:sz w:val="20"/>
          <w:szCs w:val="20"/>
          <w:lang w:val="en"/>
        </w:rPr>
        <w:t xml:space="preserve">characterize </w:t>
      </w:r>
      <w:r>
        <w:rPr>
          <w:rFonts w:asciiTheme="majorHAnsi" w:hAnsiTheme="majorHAnsi" w:cs="Calibri"/>
          <w:sz w:val="20"/>
          <w:szCs w:val="20"/>
          <w:lang w:val="en"/>
        </w:rPr>
        <w:t xml:space="preserve">a violation of rights, according to the provisions of Article 47.b of the American Convention, or </w:t>
      </w:r>
      <w:r w:rsidR="00665F15">
        <w:rPr>
          <w:rFonts w:asciiTheme="majorHAnsi" w:hAnsiTheme="majorHAnsi" w:cs="Calibri"/>
          <w:sz w:val="20"/>
          <w:szCs w:val="20"/>
          <w:lang w:val="en"/>
        </w:rPr>
        <w:t xml:space="preserve">whether </w:t>
      </w:r>
      <w:r>
        <w:rPr>
          <w:rFonts w:asciiTheme="majorHAnsi" w:hAnsiTheme="majorHAnsi" w:cs="Calibri"/>
          <w:sz w:val="20"/>
          <w:szCs w:val="20"/>
          <w:lang w:val="en"/>
        </w:rPr>
        <w:t xml:space="preserve">the petition is “manifestly groundless” or “obviously out of order,” pursuant to subparagraph (c) of the said article. The criterion for evaluating these requirements differs from that used for ruling on the merits of a petition. </w:t>
      </w:r>
      <w:r w:rsidR="00E726DC">
        <w:rPr>
          <w:rFonts w:asciiTheme="majorHAnsi" w:hAnsiTheme="majorHAnsi" w:cs="Calibri"/>
          <w:sz w:val="20"/>
          <w:szCs w:val="20"/>
          <w:lang w:val="en"/>
        </w:rPr>
        <w:t>Likewise, w</w:t>
      </w:r>
      <w:r>
        <w:rPr>
          <w:rFonts w:asciiTheme="majorHAnsi" w:hAnsiTheme="majorHAnsi" w:cs="Calibri"/>
          <w:sz w:val="20"/>
          <w:szCs w:val="20"/>
          <w:lang w:val="en"/>
        </w:rPr>
        <w:t xml:space="preserve">ithin </w:t>
      </w:r>
      <w:r w:rsidR="00E726DC">
        <w:rPr>
          <w:rFonts w:asciiTheme="majorHAnsi" w:hAnsiTheme="majorHAnsi" w:cs="Calibri"/>
          <w:sz w:val="20"/>
          <w:szCs w:val="20"/>
          <w:lang w:val="en"/>
        </w:rPr>
        <w:t xml:space="preserve">the framework of </w:t>
      </w:r>
      <w:r>
        <w:rPr>
          <w:rFonts w:asciiTheme="majorHAnsi" w:hAnsiTheme="majorHAnsi" w:cs="Calibri"/>
          <w:sz w:val="20"/>
          <w:szCs w:val="20"/>
          <w:lang w:val="en"/>
        </w:rPr>
        <w:t xml:space="preserve">its mandate, the Commission is competent to declare a petition admissible </w:t>
      </w:r>
      <w:r>
        <w:rPr>
          <w:rFonts w:asciiTheme="majorHAnsi" w:hAnsiTheme="majorHAnsi" w:cs="Calibri"/>
          <w:sz w:val="20"/>
          <w:szCs w:val="20"/>
          <w:lang w:val="en"/>
        </w:rPr>
        <w:lastRenderedPageBreak/>
        <w:t xml:space="preserve">when it refers to domestic legal proceedings that may be in violation of the rights protected by the American Convention. That is, under the </w:t>
      </w:r>
      <w:r w:rsidR="00E726DC">
        <w:rPr>
          <w:rFonts w:asciiTheme="majorHAnsi" w:hAnsiTheme="majorHAnsi" w:cs="Calibri"/>
          <w:sz w:val="20"/>
          <w:szCs w:val="20"/>
          <w:lang w:val="en"/>
        </w:rPr>
        <w:t xml:space="preserve">above-cited </w:t>
      </w:r>
      <w:r>
        <w:rPr>
          <w:rFonts w:asciiTheme="majorHAnsi" w:hAnsiTheme="majorHAnsi" w:cs="Calibri"/>
          <w:sz w:val="20"/>
          <w:szCs w:val="20"/>
          <w:lang w:val="en"/>
        </w:rPr>
        <w:t xml:space="preserve">conventional </w:t>
      </w:r>
      <w:r w:rsidR="00E726DC">
        <w:rPr>
          <w:rFonts w:asciiTheme="majorHAnsi" w:hAnsiTheme="majorHAnsi" w:cs="Calibri"/>
          <w:sz w:val="20"/>
          <w:szCs w:val="20"/>
          <w:lang w:val="en"/>
        </w:rPr>
        <w:t>norms</w:t>
      </w:r>
      <w:r>
        <w:rPr>
          <w:rFonts w:asciiTheme="majorHAnsi" w:hAnsiTheme="majorHAnsi" w:cs="Calibri"/>
          <w:sz w:val="20"/>
          <w:szCs w:val="20"/>
          <w:lang w:val="en"/>
        </w:rPr>
        <w:t>, in line with Article 34 of the IACHR Rules of Procedure, the admissibility study centers on the verification of those requirements which refer to the existence of elements that may constitute</w:t>
      </w:r>
      <w:r w:rsidR="00E726DC">
        <w:rPr>
          <w:rFonts w:asciiTheme="majorHAnsi" w:hAnsiTheme="majorHAnsi" w:cs="Calibri"/>
          <w:sz w:val="20"/>
          <w:szCs w:val="20"/>
          <w:lang w:val="en"/>
        </w:rPr>
        <w:t>, if corroborated,</w:t>
      </w:r>
      <w:r>
        <w:rPr>
          <w:rFonts w:asciiTheme="majorHAnsi" w:hAnsiTheme="majorHAnsi" w:cs="Calibri"/>
          <w:sz w:val="20"/>
          <w:szCs w:val="20"/>
          <w:lang w:val="en"/>
        </w:rPr>
        <w:t xml:space="preserve"> </w:t>
      </w:r>
      <w:r w:rsidRPr="00E726DC">
        <w:rPr>
          <w:rFonts w:asciiTheme="majorHAnsi" w:hAnsiTheme="majorHAnsi" w:cs="Calibri"/>
          <w:i/>
          <w:iCs/>
          <w:sz w:val="20"/>
          <w:szCs w:val="20"/>
          <w:lang w:val="en"/>
        </w:rPr>
        <w:t>prima facie</w:t>
      </w:r>
      <w:r>
        <w:rPr>
          <w:rFonts w:asciiTheme="majorHAnsi" w:hAnsiTheme="majorHAnsi" w:cs="Calibri"/>
          <w:sz w:val="20"/>
          <w:szCs w:val="20"/>
          <w:lang w:val="en"/>
        </w:rPr>
        <w:t xml:space="preserve"> violations of the American Convention.</w:t>
      </w:r>
      <w:r>
        <w:rPr>
          <w:rStyle w:val="FootnoteReference"/>
          <w:rFonts w:asciiTheme="majorHAnsi" w:hAnsiTheme="majorHAnsi" w:cs="Calibri"/>
          <w:sz w:val="20"/>
          <w:szCs w:val="20"/>
          <w:lang w:val="en"/>
        </w:rPr>
        <w:footnoteReference w:id="8"/>
      </w:r>
      <w:r>
        <w:rPr>
          <w:rFonts w:asciiTheme="majorHAnsi" w:hAnsiTheme="majorHAnsi" w:cs="Calibri"/>
          <w:sz w:val="20"/>
          <w:szCs w:val="20"/>
          <w:lang w:val="en"/>
        </w:rPr>
        <w:t xml:space="preserve"> Based on this evaluation criterion, the IACHR considers that the </w:t>
      </w:r>
      <w:r w:rsidR="00665F15">
        <w:rPr>
          <w:rFonts w:asciiTheme="majorHAnsi" w:hAnsiTheme="majorHAnsi" w:cs="Calibri"/>
          <w:sz w:val="20"/>
          <w:szCs w:val="20"/>
          <w:lang w:val="en"/>
        </w:rPr>
        <w:t xml:space="preserve">instant </w:t>
      </w:r>
      <w:r>
        <w:rPr>
          <w:rFonts w:asciiTheme="majorHAnsi" w:hAnsiTheme="majorHAnsi" w:cs="Calibri"/>
          <w:sz w:val="20"/>
          <w:szCs w:val="20"/>
          <w:lang w:val="en"/>
        </w:rPr>
        <w:t xml:space="preserve">petition has </w:t>
      </w:r>
      <w:r w:rsidR="00E726DC">
        <w:rPr>
          <w:rFonts w:asciiTheme="majorHAnsi" w:hAnsiTheme="majorHAnsi" w:cs="Calibri"/>
          <w:sz w:val="20"/>
          <w:szCs w:val="20"/>
          <w:lang w:val="en"/>
        </w:rPr>
        <w:t xml:space="preserve">described </w:t>
      </w:r>
      <w:r>
        <w:rPr>
          <w:rFonts w:asciiTheme="majorHAnsi" w:hAnsiTheme="majorHAnsi" w:cs="Calibri"/>
          <w:sz w:val="20"/>
          <w:szCs w:val="20"/>
          <w:lang w:val="en"/>
        </w:rPr>
        <w:t xml:space="preserve">several possible reasons </w:t>
      </w:r>
      <w:r w:rsidR="00E726DC">
        <w:rPr>
          <w:rFonts w:asciiTheme="majorHAnsi" w:hAnsiTheme="majorHAnsi" w:cs="Calibri"/>
          <w:sz w:val="20"/>
          <w:szCs w:val="20"/>
          <w:lang w:val="en"/>
        </w:rPr>
        <w:t xml:space="preserve">why Ms. </w:t>
      </w:r>
      <w:proofErr w:type="spellStart"/>
      <w:r w:rsidR="00E726DC">
        <w:rPr>
          <w:rFonts w:asciiTheme="majorHAnsi" w:hAnsiTheme="majorHAnsi" w:cs="Calibri"/>
          <w:sz w:val="20"/>
          <w:szCs w:val="20"/>
          <w:lang w:val="en"/>
        </w:rPr>
        <w:t>Estremadoiro’s</w:t>
      </w:r>
      <w:proofErr w:type="spellEnd"/>
      <w:r w:rsidR="00E726DC">
        <w:rPr>
          <w:rFonts w:asciiTheme="majorHAnsi" w:hAnsiTheme="majorHAnsi" w:cs="Calibri"/>
          <w:sz w:val="20"/>
          <w:szCs w:val="20"/>
          <w:lang w:val="en"/>
        </w:rPr>
        <w:t xml:space="preserve"> </w:t>
      </w:r>
      <w:r>
        <w:rPr>
          <w:rFonts w:asciiTheme="majorHAnsi" w:hAnsiTheme="majorHAnsi" w:cs="Calibri"/>
          <w:sz w:val="20"/>
          <w:szCs w:val="20"/>
          <w:lang w:val="en"/>
        </w:rPr>
        <w:t xml:space="preserve">judicial guarantees and right to judicial protection </w:t>
      </w:r>
      <w:r w:rsidR="00665F15">
        <w:rPr>
          <w:rFonts w:asciiTheme="majorHAnsi" w:hAnsiTheme="majorHAnsi" w:cs="Calibri"/>
          <w:sz w:val="20"/>
          <w:szCs w:val="20"/>
          <w:lang w:val="en"/>
        </w:rPr>
        <w:t xml:space="preserve">may have been </w:t>
      </w:r>
      <w:r>
        <w:rPr>
          <w:rFonts w:asciiTheme="majorHAnsi" w:hAnsiTheme="majorHAnsi" w:cs="Calibri"/>
          <w:sz w:val="20"/>
          <w:szCs w:val="20"/>
          <w:lang w:val="en"/>
        </w:rPr>
        <w:t xml:space="preserve">violated during the criminal investigation </w:t>
      </w:r>
      <w:r w:rsidR="00E726DC">
        <w:rPr>
          <w:rFonts w:asciiTheme="majorHAnsi" w:hAnsiTheme="majorHAnsi" w:cs="Calibri"/>
          <w:sz w:val="20"/>
          <w:szCs w:val="20"/>
          <w:lang w:val="en"/>
        </w:rPr>
        <w:t xml:space="preserve">that was conducted and closed in relation to </w:t>
      </w:r>
      <w:r>
        <w:rPr>
          <w:rFonts w:asciiTheme="majorHAnsi" w:hAnsiTheme="majorHAnsi" w:cs="Calibri"/>
          <w:sz w:val="20"/>
          <w:szCs w:val="20"/>
          <w:lang w:val="en"/>
        </w:rPr>
        <w:t xml:space="preserve">the assault </w:t>
      </w:r>
      <w:r w:rsidR="00E726DC">
        <w:rPr>
          <w:rFonts w:asciiTheme="majorHAnsi" w:hAnsiTheme="majorHAnsi" w:cs="Calibri"/>
          <w:sz w:val="20"/>
          <w:szCs w:val="20"/>
          <w:lang w:val="en"/>
        </w:rPr>
        <w:t xml:space="preserve">she suffered in </w:t>
      </w:r>
      <w:r>
        <w:rPr>
          <w:rFonts w:asciiTheme="majorHAnsi" w:hAnsiTheme="majorHAnsi" w:cs="Calibri"/>
          <w:sz w:val="20"/>
          <w:szCs w:val="20"/>
          <w:lang w:val="en"/>
        </w:rPr>
        <w:t>April</w:t>
      </w:r>
      <w:r w:rsidR="00E726DC">
        <w:rPr>
          <w:rFonts w:asciiTheme="majorHAnsi" w:hAnsiTheme="majorHAnsi" w:cs="Calibri"/>
          <w:sz w:val="20"/>
          <w:szCs w:val="20"/>
          <w:lang w:val="en"/>
        </w:rPr>
        <w:t>,</w:t>
      </w:r>
      <w:r>
        <w:rPr>
          <w:rFonts w:asciiTheme="majorHAnsi" w:hAnsiTheme="majorHAnsi" w:cs="Calibri"/>
          <w:sz w:val="20"/>
          <w:szCs w:val="20"/>
          <w:lang w:val="en"/>
        </w:rPr>
        <w:t xml:space="preserve"> 2008, including the lack of collection and analysis of allegedly critical evidence, </w:t>
      </w:r>
      <w:r w:rsidR="00E726DC">
        <w:rPr>
          <w:rFonts w:asciiTheme="majorHAnsi" w:hAnsiTheme="majorHAnsi" w:cs="Calibri"/>
          <w:sz w:val="20"/>
          <w:szCs w:val="20"/>
          <w:lang w:val="en"/>
        </w:rPr>
        <w:t xml:space="preserve">the </w:t>
      </w:r>
      <w:r>
        <w:rPr>
          <w:rFonts w:asciiTheme="majorHAnsi" w:hAnsiTheme="majorHAnsi" w:cs="Calibri"/>
          <w:sz w:val="20"/>
          <w:szCs w:val="20"/>
          <w:lang w:val="en"/>
        </w:rPr>
        <w:t>non-</w:t>
      </w:r>
      <w:r w:rsidR="00E726DC">
        <w:rPr>
          <w:rFonts w:asciiTheme="majorHAnsi" w:hAnsiTheme="majorHAnsi" w:cs="Calibri"/>
          <w:sz w:val="20"/>
          <w:szCs w:val="20"/>
          <w:lang w:val="en"/>
        </w:rPr>
        <w:t xml:space="preserve">observance of </w:t>
      </w:r>
      <w:r>
        <w:rPr>
          <w:rFonts w:asciiTheme="majorHAnsi" w:hAnsiTheme="majorHAnsi" w:cs="Calibri"/>
          <w:sz w:val="20"/>
          <w:szCs w:val="20"/>
          <w:lang w:val="en"/>
        </w:rPr>
        <w:t>basic requirements</w:t>
      </w:r>
      <w:r w:rsidR="00C66BDC">
        <w:rPr>
          <w:rFonts w:asciiTheme="majorHAnsi" w:hAnsiTheme="majorHAnsi" w:cs="Calibri"/>
          <w:sz w:val="20"/>
          <w:szCs w:val="20"/>
          <w:lang w:val="en"/>
        </w:rPr>
        <w:t xml:space="preserve"> </w:t>
      </w:r>
      <w:r w:rsidR="00E726DC">
        <w:rPr>
          <w:rFonts w:asciiTheme="majorHAnsi" w:hAnsiTheme="majorHAnsi" w:cs="Calibri"/>
          <w:sz w:val="20"/>
          <w:szCs w:val="20"/>
          <w:lang w:val="en"/>
        </w:rPr>
        <w:t xml:space="preserve">established in the applicable </w:t>
      </w:r>
      <w:r w:rsidR="00C66BDC">
        <w:rPr>
          <w:rFonts w:asciiTheme="majorHAnsi" w:hAnsiTheme="majorHAnsi" w:cs="Calibri"/>
          <w:sz w:val="20"/>
          <w:szCs w:val="20"/>
          <w:lang w:val="en"/>
        </w:rPr>
        <w:t xml:space="preserve">procedural </w:t>
      </w:r>
      <w:r w:rsidR="00E726DC">
        <w:rPr>
          <w:rFonts w:asciiTheme="majorHAnsi" w:hAnsiTheme="majorHAnsi" w:cs="Calibri"/>
          <w:sz w:val="20"/>
          <w:szCs w:val="20"/>
          <w:lang w:val="en"/>
        </w:rPr>
        <w:t>legislation</w:t>
      </w:r>
      <w:r>
        <w:rPr>
          <w:rFonts w:asciiTheme="majorHAnsi" w:hAnsiTheme="majorHAnsi" w:cs="Calibri"/>
          <w:sz w:val="20"/>
          <w:szCs w:val="20"/>
          <w:lang w:val="en"/>
        </w:rPr>
        <w:t xml:space="preserve">, the </w:t>
      </w:r>
      <w:r w:rsidR="00E726DC">
        <w:rPr>
          <w:rFonts w:asciiTheme="majorHAnsi" w:hAnsiTheme="majorHAnsi" w:cs="Calibri"/>
          <w:sz w:val="20"/>
          <w:szCs w:val="20"/>
          <w:lang w:val="en"/>
        </w:rPr>
        <w:t xml:space="preserve">inadequate justification of </w:t>
      </w:r>
      <w:r>
        <w:rPr>
          <w:rFonts w:asciiTheme="majorHAnsi" w:hAnsiTheme="majorHAnsi" w:cs="Calibri"/>
          <w:sz w:val="20"/>
          <w:szCs w:val="20"/>
          <w:lang w:val="en"/>
        </w:rPr>
        <w:t xml:space="preserve">decisions, and the Public Prosecutor’s Office’s unilateral decision to close the investigation before </w:t>
      </w:r>
      <w:r w:rsidR="00E726DC">
        <w:rPr>
          <w:rFonts w:asciiTheme="majorHAnsi" w:hAnsiTheme="majorHAnsi" w:cs="Calibri"/>
          <w:sz w:val="20"/>
          <w:szCs w:val="20"/>
          <w:lang w:val="en"/>
        </w:rPr>
        <w:t xml:space="preserve">reaching the </w:t>
      </w:r>
      <w:r>
        <w:rPr>
          <w:rFonts w:asciiTheme="majorHAnsi" w:hAnsiTheme="majorHAnsi" w:cs="Calibri"/>
          <w:sz w:val="20"/>
          <w:szCs w:val="20"/>
          <w:lang w:val="en"/>
        </w:rPr>
        <w:t>trial</w:t>
      </w:r>
      <w:r w:rsidR="00E726DC">
        <w:rPr>
          <w:rFonts w:asciiTheme="majorHAnsi" w:hAnsiTheme="majorHAnsi" w:cs="Calibri"/>
          <w:sz w:val="20"/>
          <w:szCs w:val="20"/>
          <w:lang w:val="en"/>
        </w:rPr>
        <w:t xml:space="preserve"> stage</w:t>
      </w:r>
      <w:r>
        <w:rPr>
          <w:rFonts w:asciiTheme="majorHAnsi" w:hAnsiTheme="majorHAnsi" w:cs="Calibri"/>
          <w:sz w:val="20"/>
          <w:szCs w:val="20"/>
          <w:lang w:val="en"/>
        </w:rPr>
        <w:t xml:space="preserve">. Should these </w:t>
      </w:r>
      <w:r w:rsidR="00E726DC">
        <w:rPr>
          <w:rFonts w:asciiTheme="majorHAnsi" w:hAnsiTheme="majorHAnsi" w:cs="Calibri"/>
          <w:sz w:val="20"/>
          <w:szCs w:val="20"/>
          <w:lang w:val="en"/>
        </w:rPr>
        <w:t xml:space="preserve">allegations </w:t>
      </w:r>
      <w:r>
        <w:rPr>
          <w:rFonts w:asciiTheme="majorHAnsi" w:hAnsiTheme="majorHAnsi" w:cs="Calibri"/>
          <w:sz w:val="20"/>
          <w:szCs w:val="20"/>
          <w:lang w:val="en"/>
        </w:rPr>
        <w:t xml:space="preserve">be </w:t>
      </w:r>
      <w:r w:rsidR="00E726DC">
        <w:rPr>
          <w:rFonts w:asciiTheme="majorHAnsi" w:hAnsiTheme="majorHAnsi" w:cs="Calibri"/>
          <w:sz w:val="20"/>
          <w:szCs w:val="20"/>
          <w:lang w:val="en"/>
        </w:rPr>
        <w:t xml:space="preserve">corroborated </w:t>
      </w:r>
      <w:r>
        <w:rPr>
          <w:rFonts w:asciiTheme="majorHAnsi" w:hAnsiTheme="majorHAnsi" w:cs="Calibri"/>
          <w:sz w:val="20"/>
          <w:szCs w:val="20"/>
          <w:lang w:val="en"/>
        </w:rPr>
        <w:t xml:space="preserve">at the merits stage, they may </w:t>
      </w:r>
      <w:r w:rsidR="00E726DC">
        <w:rPr>
          <w:rFonts w:asciiTheme="majorHAnsi" w:hAnsiTheme="majorHAnsi" w:cs="Calibri"/>
          <w:sz w:val="20"/>
          <w:szCs w:val="20"/>
          <w:lang w:val="en"/>
        </w:rPr>
        <w:t xml:space="preserve">characterize corresponding </w:t>
      </w:r>
      <w:r>
        <w:rPr>
          <w:rFonts w:asciiTheme="majorHAnsi" w:hAnsiTheme="majorHAnsi" w:cs="Calibri"/>
          <w:sz w:val="20"/>
          <w:szCs w:val="20"/>
          <w:lang w:val="en"/>
        </w:rPr>
        <w:t xml:space="preserve">violations of Articles 8 and 25 of the American Convention. </w:t>
      </w:r>
    </w:p>
    <w:p w14:paraId="5F3B43C1" w14:textId="0F9D2E91"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sz w:val="20"/>
          <w:szCs w:val="20"/>
          <w:lang w:val="en"/>
        </w:rPr>
        <w:t xml:space="preserve">22. </w:t>
      </w:r>
      <w:r>
        <w:rPr>
          <w:rFonts w:asciiTheme="majorHAnsi" w:hAnsiTheme="majorHAnsi"/>
          <w:sz w:val="20"/>
          <w:szCs w:val="20"/>
          <w:lang w:val="en"/>
        </w:rPr>
        <w:tab/>
      </w:r>
      <w:r w:rsidR="00E726DC">
        <w:rPr>
          <w:rFonts w:asciiTheme="majorHAnsi" w:hAnsiTheme="majorHAnsi"/>
          <w:sz w:val="20"/>
          <w:szCs w:val="20"/>
          <w:lang w:val="en"/>
        </w:rPr>
        <w:t>Furthermore</w:t>
      </w:r>
      <w:r>
        <w:rPr>
          <w:rFonts w:asciiTheme="majorHAnsi" w:hAnsiTheme="majorHAnsi"/>
          <w:sz w:val="20"/>
          <w:szCs w:val="20"/>
          <w:lang w:val="en"/>
        </w:rPr>
        <w:t xml:space="preserve">, the </w:t>
      </w:r>
      <w:r w:rsidR="00E726DC">
        <w:rPr>
          <w:rFonts w:asciiTheme="majorHAnsi" w:hAnsiTheme="majorHAnsi"/>
          <w:sz w:val="20"/>
          <w:szCs w:val="20"/>
          <w:lang w:val="en"/>
        </w:rPr>
        <w:t xml:space="preserve">petitioner’s </w:t>
      </w:r>
      <w:r>
        <w:rPr>
          <w:rFonts w:asciiTheme="majorHAnsi" w:hAnsiTheme="majorHAnsi"/>
          <w:sz w:val="20"/>
          <w:szCs w:val="20"/>
          <w:lang w:val="en"/>
        </w:rPr>
        <w:t xml:space="preserve">claims </w:t>
      </w:r>
      <w:r w:rsidR="00E726DC">
        <w:rPr>
          <w:rFonts w:asciiTheme="majorHAnsi" w:hAnsiTheme="majorHAnsi"/>
          <w:sz w:val="20"/>
          <w:szCs w:val="20"/>
          <w:lang w:val="en"/>
        </w:rPr>
        <w:t xml:space="preserve">relating to </w:t>
      </w:r>
      <w:r>
        <w:rPr>
          <w:rFonts w:asciiTheme="majorHAnsi" w:hAnsiTheme="majorHAnsi"/>
          <w:sz w:val="20"/>
          <w:szCs w:val="20"/>
          <w:lang w:val="en"/>
        </w:rPr>
        <w:t>possible violations of her right</w:t>
      </w:r>
      <w:r w:rsidR="00E726DC">
        <w:rPr>
          <w:rFonts w:asciiTheme="majorHAnsi" w:hAnsiTheme="majorHAnsi"/>
          <w:sz w:val="20"/>
          <w:szCs w:val="20"/>
          <w:lang w:val="en"/>
        </w:rPr>
        <w:t>s</w:t>
      </w:r>
      <w:r>
        <w:rPr>
          <w:rFonts w:asciiTheme="majorHAnsi" w:hAnsiTheme="majorHAnsi"/>
          <w:sz w:val="20"/>
          <w:szCs w:val="20"/>
          <w:lang w:val="en"/>
        </w:rPr>
        <w:t xml:space="preserve"> to personal </w:t>
      </w:r>
      <w:r w:rsidR="00E726DC">
        <w:rPr>
          <w:rFonts w:asciiTheme="majorHAnsi" w:hAnsiTheme="majorHAnsi"/>
          <w:sz w:val="20"/>
          <w:szCs w:val="20"/>
          <w:lang w:val="en"/>
        </w:rPr>
        <w:t xml:space="preserve">integrity -having </w:t>
      </w:r>
      <w:r w:rsidR="00A943E4">
        <w:rPr>
          <w:rFonts w:asciiTheme="majorHAnsi" w:hAnsiTheme="majorHAnsi"/>
          <w:sz w:val="20"/>
          <w:szCs w:val="20"/>
          <w:lang w:val="en"/>
        </w:rPr>
        <w:t xml:space="preserve">allegedly been the victim of </w:t>
      </w:r>
      <w:r>
        <w:rPr>
          <w:rFonts w:asciiTheme="majorHAnsi" w:hAnsiTheme="majorHAnsi"/>
          <w:sz w:val="20"/>
          <w:szCs w:val="20"/>
          <w:lang w:val="en"/>
        </w:rPr>
        <w:t>torture, personal injuries, m</w:t>
      </w:r>
      <w:r w:rsidR="00A943E4">
        <w:rPr>
          <w:rFonts w:asciiTheme="majorHAnsi" w:hAnsiTheme="majorHAnsi"/>
          <w:sz w:val="20"/>
          <w:szCs w:val="20"/>
          <w:lang w:val="en"/>
        </w:rPr>
        <w:t>is</w:t>
      </w:r>
      <w:r>
        <w:rPr>
          <w:rFonts w:asciiTheme="majorHAnsi" w:hAnsiTheme="majorHAnsi"/>
          <w:sz w:val="20"/>
          <w:szCs w:val="20"/>
          <w:lang w:val="en"/>
        </w:rPr>
        <w:t>treatment and sexual violence</w:t>
      </w:r>
      <w:r w:rsidR="00A943E4">
        <w:rPr>
          <w:rFonts w:asciiTheme="majorHAnsi" w:hAnsiTheme="majorHAnsi"/>
          <w:sz w:val="20"/>
          <w:szCs w:val="20"/>
          <w:lang w:val="en"/>
        </w:rPr>
        <w:t>-</w:t>
      </w:r>
      <w:r>
        <w:rPr>
          <w:rFonts w:asciiTheme="majorHAnsi" w:hAnsiTheme="majorHAnsi"/>
          <w:sz w:val="20"/>
          <w:szCs w:val="20"/>
          <w:lang w:val="en"/>
        </w:rPr>
        <w:t xml:space="preserve">, personal liberty </w:t>
      </w:r>
      <w:r w:rsidR="00A943E4">
        <w:rPr>
          <w:rFonts w:asciiTheme="majorHAnsi" w:hAnsiTheme="majorHAnsi"/>
          <w:sz w:val="20"/>
          <w:szCs w:val="20"/>
          <w:lang w:val="en"/>
        </w:rPr>
        <w:t>-</w:t>
      </w:r>
      <w:r>
        <w:rPr>
          <w:rFonts w:asciiTheme="majorHAnsi" w:hAnsiTheme="majorHAnsi"/>
          <w:sz w:val="20"/>
          <w:szCs w:val="20"/>
          <w:lang w:val="en"/>
        </w:rPr>
        <w:t xml:space="preserve">given her arbitrary </w:t>
      </w:r>
      <w:r w:rsidR="00A943E4">
        <w:rPr>
          <w:rFonts w:asciiTheme="majorHAnsi" w:hAnsiTheme="majorHAnsi"/>
          <w:sz w:val="20"/>
          <w:szCs w:val="20"/>
          <w:lang w:val="en"/>
        </w:rPr>
        <w:t>r</w:t>
      </w:r>
      <w:r>
        <w:rPr>
          <w:rFonts w:asciiTheme="majorHAnsi" w:hAnsiTheme="majorHAnsi"/>
          <w:sz w:val="20"/>
          <w:szCs w:val="20"/>
          <w:lang w:val="en"/>
        </w:rPr>
        <w:t xml:space="preserve">etention by </w:t>
      </w:r>
      <w:r w:rsidR="00A943E4">
        <w:rPr>
          <w:rFonts w:asciiTheme="majorHAnsi" w:hAnsiTheme="majorHAnsi"/>
          <w:sz w:val="20"/>
          <w:szCs w:val="20"/>
          <w:lang w:val="en"/>
        </w:rPr>
        <w:t xml:space="preserve">the </w:t>
      </w:r>
      <w:r>
        <w:rPr>
          <w:rFonts w:asciiTheme="majorHAnsi" w:hAnsiTheme="majorHAnsi"/>
          <w:sz w:val="20"/>
          <w:szCs w:val="20"/>
          <w:lang w:val="en"/>
        </w:rPr>
        <w:t xml:space="preserve">assailants, some of whom she says were state </w:t>
      </w:r>
      <w:r w:rsidR="00A943E4">
        <w:rPr>
          <w:rFonts w:asciiTheme="majorHAnsi" w:hAnsiTheme="majorHAnsi"/>
          <w:sz w:val="20"/>
          <w:szCs w:val="20"/>
          <w:lang w:val="en"/>
        </w:rPr>
        <w:t>agents-</w:t>
      </w:r>
      <w:r>
        <w:rPr>
          <w:rFonts w:asciiTheme="majorHAnsi" w:hAnsiTheme="majorHAnsi"/>
          <w:sz w:val="20"/>
          <w:szCs w:val="20"/>
          <w:lang w:val="en"/>
        </w:rPr>
        <w:t xml:space="preserve">, fair trial </w:t>
      </w:r>
      <w:r w:rsidR="00A943E4">
        <w:rPr>
          <w:rFonts w:asciiTheme="majorHAnsi" w:hAnsiTheme="majorHAnsi"/>
          <w:sz w:val="20"/>
          <w:szCs w:val="20"/>
          <w:lang w:val="en"/>
        </w:rPr>
        <w:t xml:space="preserve">guarantees </w:t>
      </w:r>
      <w:r>
        <w:rPr>
          <w:rFonts w:asciiTheme="majorHAnsi" w:hAnsiTheme="majorHAnsi"/>
          <w:sz w:val="20"/>
          <w:szCs w:val="20"/>
          <w:lang w:val="en"/>
        </w:rPr>
        <w:t xml:space="preserve">and judicial protection, freedom of expression, freedom of movement and </w:t>
      </w:r>
      <w:r w:rsidR="00A943E4">
        <w:rPr>
          <w:rFonts w:asciiTheme="majorHAnsi" w:hAnsiTheme="majorHAnsi"/>
          <w:sz w:val="20"/>
          <w:szCs w:val="20"/>
          <w:lang w:val="en"/>
        </w:rPr>
        <w:t xml:space="preserve">private </w:t>
      </w:r>
      <w:r w:rsidR="000E6DE2">
        <w:rPr>
          <w:rFonts w:asciiTheme="majorHAnsi" w:hAnsiTheme="majorHAnsi"/>
          <w:sz w:val="20"/>
          <w:szCs w:val="20"/>
          <w:lang w:val="en"/>
        </w:rPr>
        <w:t>property</w:t>
      </w:r>
      <w:r w:rsidR="00A943E4">
        <w:rPr>
          <w:rFonts w:asciiTheme="majorHAnsi" w:hAnsiTheme="majorHAnsi"/>
          <w:sz w:val="20"/>
          <w:szCs w:val="20"/>
          <w:lang w:val="en"/>
        </w:rPr>
        <w:t>,</w:t>
      </w:r>
      <w:r>
        <w:rPr>
          <w:rFonts w:asciiTheme="majorHAnsi" w:hAnsiTheme="majorHAnsi"/>
          <w:sz w:val="20"/>
          <w:szCs w:val="20"/>
          <w:lang w:val="en"/>
        </w:rPr>
        <w:t xml:space="preserve"> are not manifestly groundless</w:t>
      </w:r>
      <w:r w:rsidR="00A943E4">
        <w:rPr>
          <w:rFonts w:asciiTheme="majorHAnsi" w:hAnsiTheme="majorHAnsi"/>
          <w:sz w:val="20"/>
          <w:szCs w:val="20"/>
          <w:lang w:val="en"/>
        </w:rPr>
        <w:t>, and s</w:t>
      </w:r>
      <w:r>
        <w:rPr>
          <w:rFonts w:asciiTheme="majorHAnsi" w:hAnsiTheme="majorHAnsi"/>
          <w:sz w:val="20"/>
          <w:szCs w:val="20"/>
          <w:lang w:val="en"/>
        </w:rPr>
        <w:t xml:space="preserve">hould </w:t>
      </w:r>
      <w:r w:rsidR="00A943E4">
        <w:rPr>
          <w:rFonts w:asciiTheme="majorHAnsi" w:hAnsiTheme="majorHAnsi"/>
          <w:sz w:val="20"/>
          <w:szCs w:val="20"/>
          <w:lang w:val="en"/>
        </w:rPr>
        <w:t xml:space="preserve">they be corroborated </w:t>
      </w:r>
      <w:r>
        <w:rPr>
          <w:rFonts w:asciiTheme="majorHAnsi" w:hAnsiTheme="majorHAnsi"/>
          <w:sz w:val="20"/>
          <w:szCs w:val="20"/>
          <w:lang w:val="en"/>
        </w:rPr>
        <w:t xml:space="preserve">at the merits stage, they may </w:t>
      </w:r>
      <w:r w:rsidR="00A943E4">
        <w:rPr>
          <w:rFonts w:asciiTheme="majorHAnsi" w:hAnsiTheme="majorHAnsi"/>
          <w:sz w:val="20"/>
          <w:szCs w:val="20"/>
          <w:lang w:val="en"/>
        </w:rPr>
        <w:t xml:space="preserve">characterize </w:t>
      </w:r>
      <w:r>
        <w:rPr>
          <w:rFonts w:asciiTheme="majorHAnsi" w:hAnsiTheme="majorHAnsi"/>
          <w:sz w:val="20"/>
          <w:szCs w:val="20"/>
          <w:lang w:val="en"/>
        </w:rPr>
        <w:t>violations of Articles 5 (humane treatment), 7 (personal liberty), 8 (fair trial), 13 (freedom of thought and expression), 21 (</w:t>
      </w:r>
      <w:r w:rsidR="000E6DE2">
        <w:rPr>
          <w:rFonts w:asciiTheme="majorHAnsi" w:hAnsiTheme="majorHAnsi"/>
          <w:sz w:val="20"/>
          <w:szCs w:val="20"/>
          <w:lang w:val="en"/>
        </w:rPr>
        <w:t>property</w:t>
      </w:r>
      <w:r>
        <w:rPr>
          <w:rFonts w:asciiTheme="majorHAnsi" w:hAnsiTheme="majorHAnsi"/>
          <w:sz w:val="20"/>
          <w:szCs w:val="20"/>
          <w:lang w:val="en"/>
        </w:rPr>
        <w:t xml:space="preserve">), 22 (movement and residence), and 25 (judicial protection) of the American Convention, in relation to Article 1.1 (obligation to respect rights) thereof, to the detriment of Ms. </w:t>
      </w:r>
      <w:proofErr w:type="spellStart"/>
      <w:r>
        <w:rPr>
          <w:rFonts w:asciiTheme="majorHAnsi" w:hAnsiTheme="majorHAnsi"/>
          <w:sz w:val="20"/>
          <w:szCs w:val="20"/>
          <w:lang w:val="en"/>
        </w:rPr>
        <w:t>Tanimbu</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Guiraendy</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Estremadoiro</w:t>
      </w:r>
      <w:proofErr w:type="spellEnd"/>
      <w:r>
        <w:rPr>
          <w:rFonts w:asciiTheme="majorHAnsi" w:hAnsiTheme="majorHAnsi"/>
          <w:sz w:val="20"/>
          <w:szCs w:val="20"/>
          <w:lang w:val="en"/>
        </w:rPr>
        <w:t xml:space="preserve"> Quiroz. </w:t>
      </w:r>
    </w:p>
    <w:p w14:paraId="7FA31A1A" w14:textId="59B5BD09" w:rsidR="00400C55" w:rsidRPr="00332EB8" w:rsidRDefault="00400C55" w:rsidP="00400C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cs="Calibri"/>
          <w:sz w:val="20"/>
          <w:szCs w:val="20"/>
          <w:lang w:val="en"/>
        </w:rPr>
        <w:t>23.</w:t>
      </w:r>
      <w:r>
        <w:rPr>
          <w:rFonts w:asciiTheme="majorHAnsi" w:hAnsiTheme="majorHAnsi" w:cs="Calibri"/>
          <w:sz w:val="20"/>
          <w:szCs w:val="20"/>
          <w:lang w:val="en"/>
        </w:rPr>
        <w:tab/>
        <w:t xml:space="preserve">Lastly, the Commission </w:t>
      </w:r>
      <w:r w:rsidR="00665F15">
        <w:rPr>
          <w:rFonts w:asciiTheme="majorHAnsi" w:hAnsiTheme="majorHAnsi" w:cs="Calibri"/>
          <w:sz w:val="20"/>
          <w:szCs w:val="20"/>
          <w:lang w:val="en"/>
        </w:rPr>
        <w:t>consider</w:t>
      </w:r>
      <w:r>
        <w:rPr>
          <w:rFonts w:asciiTheme="majorHAnsi" w:hAnsiTheme="majorHAnsi" w:cs="Calibri"/>
          <w:sz w:val="20"/>
          <w:szCs w:val="20"/>
          <w:lang w:val="en"/>
        </w:rPr>
        <w:t xml:space="preserve">s that the petition </w:t>
      </w:r>
      <w:r w:rsidR="00665F15">
        <w:rPr>
          <w:rFonts w:asciiTheme="majorHAnsi" w:hAnsiTheme="majorHAnsi" w:cs="Calibri"/>
          <w:sz w:val="20"/>
          <w:szCs w:val="20"/>
          <w:lang w:val="en"/>
        </w:rPr>
        <w:t xml:space="preserve">presents </w:t>
      </w:r>
      <w:r>
        <w:rPr>
          <w:rFonts w:asciiTheme="majorHAnsi" w:hAnsiTheme="majorHAnsi" w:cs="Calibri"/>
          <w:sz w:val="20"/>
          <w:szCs w:val="20"/>
          <w:lang w:val="en"/>
        </w:rPr>
        <w:t xml:space="preserve">no </w:t>
      </w:r>
      <w:r w:rsidR="00A943E4">
        <w:rPr>
          <w:rFonts w:asciiTheme="majorHAnsi" w:hAnsiTheme="majorHAnsi" w:cs="Calibri"/>
          <w:sz w:val="20"/>
          <w:szCs w:val="20"/>
          <w:lang w:val="en"/>
        </w:rPr>
        <w:t xml:space="preserve">arguments </w:t>
      </w:r>
      <w:r>
        <w:rPr>
          <w:rFonts w:asciiTheme="majorHAnsi" w:hAnsiTheme="majorHAnsi" w:cs="Calibri"/>
          <w:sz w:val="20"/>
          <w:szCs w:val="20"/>
          <w:lang w:val="en"/>
        </w:rPr>
        <w:t xml:space="preserve">or elements to establish a possible violation of the right </w:t>
      </w:r>
      <w:r w:rsidR="00A943E4">
        <w:rPr>
          <w:rFonts w:asciiTheme="majorHAnsi" w:hAnsiTheme="majorHAnsi" w:cs="Calibri"/>
          <w:sz w:val="20"/>
          <w:szCs w:val="20"/>
          <w:lang w:val="en"/>
        </w:rPr>
        <w:t xml:space="preserve">to freedom of </w:t>
      </w:r>
      <w:r>
        <w:rPr>
          <w:rFonts w:asciiTheme="majorHAnsi" w:hAnsiTheme="majorHAnsi" w:cs="Calibri"/>
          <w:sz w:val="20"/>
          <w:szCs w:val="20"/>
          <w:lang w:val="en"/>
        </w:rPr>
        <w:t xml:space="preserve">assembly. </w:t>
      </w:r>
    </w:p>
    <w:p w14:paraId="2F2D533A" w14:textId="77777777" w:rsidR="00400C55" w:rsidRPr="00332EB8" w:rsidRDefault="00400C55" w:rsidP="00400C55">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78DEB49B" w14:textId="77777777" w:rsidR="00400C55" w:rsidRPr="00332EB8" w:rsidRDefault="00400C55" w:rsidP="00400C5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with regard to Articles 5, 7, 8, 13, 21, 22, and 25 of the American Convention in accordance with Article 1.1 thereof; </w:t>
      </w:r>
    </w:p>
    <w:p w14:paraId="12C384AA" w14:textId="77777777" w:rsidR="00400C55" w:rsidRPr="00332EB8" w:rsidRDefault="00400C55" w:rsidP="00400C5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the instant petition inadmissible in relation to Article 15 of the American Convention; and</w:t>
      </w:r>
    </w:p>
    <w:p w14:paraId="29D8CA88" w14:textId="77777777" w:rsidR="003A7F2A" w:rsidRPr="003A7F2A" w:rsidRDefault="00400C55" w:rsidP="00400C55">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p>
    <w:p w14:paraId="06EE6AB3" w14:textId="44D3297E" w:rsidR="003A7F2A" w:rsidRDefault="003A7F2A" w:rsidP="003A7F2A">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w:t>
      </w:r>
      <w:r w:rsidRPr="003A7F2A">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535F5BF9" w14:textId="34B89FD7" w:rsidR="003053BF" w:rsidRPr="003053BF" w:rsidRDefault="003053BF" w:rsidP="003A7F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rPr>
        <w:t xml:space="preserve"> </w:t>
      </w: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FD98" w14:textId="77777777" w:rsidR="004D3558" w:rsidRDefault="004D3558" w:rsidP="00036A8A">
      <w:r>
        <w:separator/>
      </w:r>
    </w:p>
  </w:endnote>
  <w:endnote w:type="continuationSeparator" w:id="0">
    <w:p w14:paraId="7DB7419A" w14:textId="77777777" w:rsidR="004D3558" w:rsidRDefault="004D355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21F4" w14:textId="77777777" w:rsidR="00C05CAF" w:rsidRDefault="00C05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61F87534" w:rsidR="003133DD" w:rsidRPr="006311DA" w:rsidRDefault="003133D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05CAF">
          <w:rPr>
            <w:noProof/>
            <w:sz w:val="16"/>
          </w:rPr>
          <w:t>3</w:t>
        </w:r>
        <w:r w:rsidRPr="006311DA">
          <w:rPr>
            <w:noProof/>
            <w:sz w:val="16"/>
          </w:rPr>
          <w:fldChar w:fldCharType="end"/>
        </w:r>
      </w:p>
    </w:sdtContent>
  </w:sdt>
  <w:p w14:paraId="2D483621" w14:textId="77777777" w:rsidR="003133DD" w:rsidRDefault="00313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3133DD" w:rsidRDefault="003133DD">
    <w:pPr>
      <w:pStyle w:val="Footer"/>
      <w:jc w:val="center"/>
    </w:pPr>
  </w:p>
  <w:p w14:paraId="1AB4180C" w14:textId="77777777" w:rsidR="003133DD" w:rsidRDefault="00313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D48A" w14:textId="77777777" w:rsidR="004D3558" w:rsidRPr="00036A8A" w:rsidRDefault="004D355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ECC7BB7" w14:textId="77777777" w:rsidR="004D3558" w:rsidRPr="00036A8A" w:rsidRDefault="004D3558" w:rsidP="00036A8A">
      <w:pPr>
        <w:rPr>
          <w:rFonts w:asciiTheme="majorHAnsi" w:hAnsiTheme="majorHAnsi"/>
          <w:sz w:val="16"/>
          <w:szCs w:val="16"/>
        </w:rPr>
      </w:pPr>
      <w:r w:rsidRPr="00036A8A">
        <w:rPr>
          <w:rFonts w:asciiTheme="majorHAnsi" w:hAnsiTheme="majorHAnsi"/>
          <w:sz w:val="16"/>
          <w:szCs w:val="16"/>
        </w:rPr>
        <w:separator/>
      </w:r>
    </w:p>
    <w:p w14:paraId="25B2E7E9" w14:textId="77777777" w:rsidR="004D3558" w:rsidRPr="00036A8A" w:rsidRDefault="004D355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566A9D5" w14:textId="77777777" w:rsidR="004D3558" w:rsidRPr="0093441A" w:rsidRDefault="004D355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B0359AC" w14:textId="47B7F305" w:rsidR="003133DD" w:rsidRPr="00EC4C62" w:rsidRDefault="003133DD" w:rsidP="00EC4C62">
      <w:pPr>
        <w:pStyle w:val="FootnoteText"/>
        <w:ind w:firstLine="709"/>
        <w:rPr>
          <w:rFonts w:asciiTheme="majorHAnsi" w:hAnsiTheme="majorHAnsi"/>
          <w:sz w:val="16"/>
          <w:szCs w:val="16"/>
        </w:rPr>
      </w:pPr>
      <w:r w:rsidRPr="00EC4C62">
        <w:rPr>
          <w:rStyle w:val="FootnoteReference"/>
          <w:rFonts w:asciiTheme="majorHAnsi" w:hAnsiTheme="majorHAnsi"/>
          <w:sz w:val="16"/>
          <w:szCs w:val="16"/>
        </w:rPr>
        <w:footnoteRef/>
      </w:r>
      <w:r w:rsidRPr="00EC4C62">
        <w:rPr>
          <w:rFonts w:asciiTheme="majorHAnsi" w:hAnsiTheme="majorHAnsi"/>
          <w:sz w:val="16"/>
          <w:szCs w:val="16"/>
        </w:rPr>
        <w:t xml:space="preserve"> Hereinafter “American Convention” or “Convention.”</w:t>
      </w:r>
    </w:p>
  </w:footnote>
  <w:footnote w:id="3">
    <w:p w14:paraId="55774E34" w14:textId="77777777" w:rsidR="003133DD" w:rsidRPr="00EC4C62" w:rsidRDefault="003133DD" w:rsidP="00EC4C62">
      <w:pPr>
        <w:pStyle w:val="FootnoteText"/>
        <w:ind w:firstLine="709"/>
        <w:jc w:val="both"/>
        <w:rPr>
          <w:rFonts w:asciiTheme="majorHAnsi" w:hAnsiTheme="majorHAnsi"/>
          <w:sz w:val="16"/>
          <w:szCs w:val="16"/>
        </w:rPr>
      </w:pPr>
      <w:r w:rsidRPr="00EC4C62">
        <w:rPr>
          <w:rStyle w:val="FootnoteReference"/>
          <w:rFonts w:asciiTheme="majorHAnsi" w:hAnsiTheme="majorHAnsi"/>
          <w:sz w:val="16"/>
          <w:szCs w:val="16"/>
        </w:rPr>
        <w:footnoteRef/>
      </w:r>
      <w:r w:rsidRPr="00EC4C62">
        <w:rPr>
          <w:rFonts w:asciiTheme="majorHAnsi" w:hAnsiTheme="majorHAnsi"/>
          <w:sz w:val="16"/>
          <w:szCs w:val="16"/>
        </w:rPr>
        <w:t xml:space="preserve"> The observations submitted by each party were duly transmitted to the opposing party.</w:t>
      </w:r>
    </w:p>
  </w:footnote>
  <w:footnote w:id="4">
    <w:p w14:paraId="3350C431" w14:textId="1BE88D79" w:rsidR="003133DD" w:rsidRPr="00EC4C62" w:rsidRDefault="003133DD" w:rsidP="00EC4C62">
      <w:pPr>
        <w:pStyle w:val="FootnoteText"/>
        <w:ind w:firstLine="709"/>
        <w:jc w:val="both"/>
        <w:rPr>
          <w:rFonts w:asciiTheme="majorHAnsi" w:hAnsiTheme="majorHAnsi" w:cstheme="minorHAnsi"/>
          <w:sz w:val="16"/>
          <w:szCs w:val="16"/>
        </w:rPr>
      </w:pPr>
      <w:r w:rsidRPr="00EC4C62">
        <w:rPr>
          <w:rStyle w:val="FootnoteReference"/>
          <w:rFonts w:asciiTheme="majorHAnsi" w:hAnsiTheme="majorHAnsi"/>
          <w:sz w:val="16"/>
          <w:szCs w:val="16"/>
          <w:lang w:val="en"/>
        </w:rPr>
        <w:footnoteRef/>
      </w:r>
      <w:r w:rsidRPr="00EC4C62">
        <w:rPr>
          <w:rFonts w:asciiTheme="majorHAnsi" w:hAnsiTheme="majorHAnsi"/>
          <w:sz w:val="16"/>
          <w:szCs w:val="16"/>
          <w:lang w:val="en"/>
        </w:rPr>
        <w:t xml:space="preserve"> </w:t>
      </w:r>
      <w:r w:rsidRPr="00EC4C62">
        <w:rPr>
          <w:rFonts w:asciiTheme="majorHAnsi" w:hAnsiTheme="majorHAnsi"/>
          <w:i/>
          <w:iCs/>
          <w:sz w:val="16"/>
          <w:szCs w:val="16"/>
          <w:lang w:val="en"/>
        </w:rPr>
        <w:t>Inter alia</w:t>
      </w:r>
      <w:r w:rsidRPr="00EC4C62">
        <w:rPr>
          <w:rFonts w:asciiTheme="majorHAnsi" w:hAnsiTheme="majorHAnsi"/>
          <w:sz w:val="16"/>
          <w:szCs w:val="16"/>
          <w:lang w:val="en"/>
        </w:rPr>
        <w:t xml:space="preserve">, see IACHR, Report No. 3/12, Petition 12.224. </w:t>
      </w:r>
      <w:r w:rsidRPr="00C4379A">
        <w:rPr>
          <w:rFonts w:asciiTheme="majorHAnsi" w:hAnsiTheme="majorHAnsi"/>
          <w:sz w:val="16"/>
          <w:szCs w:val="16"/>
        </w:rPr>
        <w:t xml:space="preserve">Admissibility. Santiago Antezana Cueto </w:t>
      </w:r>
      <w:r w:rsidRPr="00C4379A">
        <w:rPr>
          <w:rFonts w:asciiTheme="majorHAnsi" w:hAnsiTheme="majorHAnsi"/>
          <w:i/>
          <w:iCs/>
          <w:sz w:val="16"/>
          <w:szCs w:val="16"/>
        </w:rPr>
        <w:t>et al.</w:t>
      </w:r>
      <w:r w:rsidRPr="00C4379A">
        <w:rPr>
          <w:rFonts w:asciiTheme="majorHAnsi" w:hAnsiTheme="majorHAnsi"/>
          <w:sz w:val="16"/>
          <w:szCs w:val="16"/>
        </w:rPr>
        <w:t xml:space="preserve"> Peru, January 27, 2012, par. 24; Report No. 124/17. </w:t>
      </w:r>
      <w:r w:rsidRPr="00EC4C62">
        <w:rPr>
          <w:rFonts w:asciiTheme="majorHAnsi" w:hAnsiTheme="majorHAnsi"/>
          <w:sz w:val="16"/>
          <w:szCs w:val="16"/>
          <w:lang w:val="en"/>
        </w:rPr>
        <w:t xml:space="preserve">Petition 21-08. Admissibility. Fernanda López Medina </w:t>
      </w:r>
      <w:r w:rsidRPr="00EC4C62">
        <w:rPr>
          <w:rFonts w:asciiTheme="majorHAnsi" w:hAnsiTheme="majorHAnsi"/>
          <w:i/>
          <w:iCs/>
          <w:sz w:val="16"/>
          <w:szCs w:val="16"/>
          <w:lang w:val="en"/>
        </w:rPr>
        <w:t>et al</w:t>
      </w:r>
      <w:r w:rsidRPr="00EC4C62">
        <w:rPr>
          <w:rFonts w:asciiTheme="majorHAnsi" w:hAnsiTheme="majorHAnsi"/>
          <w:sz w:val="16"/>
          <w:szCs w:val="16"/>
          <w:lang w:val="en"/>
        </w:rPr>
        <w:t>.</w:t>
      </w:r>
      <w:r>
        <w:rPr>
          <w:rFonts w:asciiTheme="majorHAnsi" w:hAnsiTheme="majorHAnsi"/>
          <w:sz w:val="16"/>
          <w:szCs w:val="16"/>
          <w:lang w:val="en"/>
        </w:rPr>
        <w:t xml:space="preserve"> </w:t>
      </w:r>
      <w:r w:rsidRPr="00EC4C62">
        <w:rPr>
          <w:rFonts w:asciiTheme="majorHAnsi" w:hAnsiTheme="majorHAnsi"/>
          <w:sz w:val="16"/>
          <w:szCs w:val="16"/>
          <w:lang w:val="en"/>
        </w:rPr>
        <w:t xml:space="preserve">Peru. September 7, 2017, pars. 3, 9-11; Report No. 72/18, Petition 1131-08. Admissibility. </w:t>
      </w:r>
      <w:proofErr w:type="spellStart"/>
      <w:r w:rsidRPr="00EC4C62">
        <w:rPr>
          <w:rFonts w:asciiTheme="majorHAnsi" w:hAnsiTheme="majorHAnsi"/>
          <w:sz w:val="16"/>
          <w:szCs w:val="16"/>
          <w:lang w:val="en"/>
        </w:rPr>
        <w:t>Moisés</w:t>
      </w:r>
      <w:proofErr w:type="spellEnd"/>
      <w:r w:rsidRPr="00EC4C62">
        <w:rPr>
          <w:rFonts w:asciiTheme="majorHAnsi" w:hAnsiTheme="majorHAnsi"/>
          <w:sz w:val="16"/>
          <w:szCs w:val="16"/>
          <w:lang w:val="en"/>
        </w:rPr>
        <w:t xml:space="preserve"> de </w:t>
      </w:r>
      <w:proofErr w:type="spellStart"/>
      <w:r w:rsidRPr="00EC4C62">
        <w:rPr>
          <w:rFonts w:asciiTheme="majorHAnsi" w:hAnsiTheme="majorHAnsi"/>
          <w:sz w:val="16"/>
          <w:szCs w:val="16"/>
          <w:lang w:val="en"/>
        </w:rPr>
        <w:t>Jesús</w:t>
      </w:r>
      <w:proofErr w:type="spellEnd"/>
      <w:r w:rsidRPr="00EC4C62">
        <w:rPr>
          <w:rFonts w:asciiTheme="majorHAnsi" w:hAnsiTheme="majorHAnsi"/>
          <w:sz w:val="16"/>
          <w:szCs w:val="16"/>
          <w:lang w:val="en"/>
        </w:rPr>
        <w:t xml:space="preserve"> Hernández Pinto and Family. </w:t>
      </w:r>
      <w:r w:rsidRPr="003A7F2A">
        <w:rPr>
          <w:rFonts w:asciiTheme="majorHAnsi" w:hAnsiTheme="majorHAnsi"/>
          <w:sz w:val="16"/>
          <w:szCs w:val="16"/>
          <w:lang w:val="pt-BR"/>
        </w:rPr>
        <w:t xml:space="preserve">Guatemala. June 20, 2018, par. 10; Report No. 70/14, Petition 1453-06. Admissibility. Maicon de Souza Silva, Renato da Silva Paixão </w:t>
      </w:r>
      <w:r w:rsidRPr="003A7F2A">
        <w:rPr>
          <w:rFonts w:asciiTheme="majorHAnsi" w:hAnsiTheme="majorHAnsi"/>
          <w:i/>
          <w:iCs/>
          <w:sz w:val="16"/>
          <w:szCs w:val="16"/>
          <w:lang w:val="pt-BR"/>
        </w:rPr>
        <w:t>et al</w:t>
      </w:r>
      <w:r w:rsidRPr="003A7F2A">
        <w:rPr>
          <w:rFonts w:asciiTheme="majorHAnsi" w:hAnsiTheme="majorHAnsi"/>
          <w:sz w:val="16"/>
          <w:szCs w:val="16"/>
          <w:lang w:val="pt-BR"/>
        </w:rPr>
        <w:t xml:space="preserve">. </w:t>
      </w:r>
      <w:r w:rsidRPr="00C05CAF">
        <w:rPr>
          <w:rFonts w:asciiTheme="majorHAnsi" w:hAnsiTheme="majorHAnsi"/>
          <w:sz w:val="16"/>
          <w:szCs w:val="16"/>
          <w:lang w:val="pt-BR"/>
        </w:rPr>
        <w:t xml:space="preserve">Brazil. July 25, 2014, par. 18; Report No. 156/17, Petition 585-08. </w:t>
      </w:r>
      <w:proofErr w:type="spellStart"/>
      <w:r w:rsidRPr="00EC4C62">
        <w:rPr>
          <w:rFonts w:asciiTheme="majorHAnsi" w:hAnsiTheme="majorHAnsi"/>
          <w:sz w:val="16"/>
          <w:szCs w:val="16"/>
          <w:lang w:val="es-ES"/>
        </w:rPr>
        <w:t>Admissibility</w:t>
      </w:r>
      <w:proofErr w:type="spellEnd"/>
      <w:r w:rsidRPr="00EC4C62">
        <w:rPr>
          <w:rFonts w:asciiTheme="majorHAnsi" w:hAnsiTheme="majorHAnsi"/>
          <w:sz w:val="16"/>
          <w:szCs w:val="16"/>
          <w:lang w:val="es-ES"/>
        </w:rPr>
        <w:t xml:space="preserve">. Carlos Alfonso Fonseca Murillo. Ecuador. </w:t>
      </w:r>
      <w:r w:rsidRPr="00C05CAF">
        <w:rPr>
          <w:rFonts w:asciiTheme="majorHAnsi" w:hAnsiTheme="majorHAnsi"/>
          <w:sz w:val="16"/>
          <w:szCs w:val="16"/>
          <w:lang w:val="es-US"/>
        </w:rPr>
        <w:t xml:space="preserve">November 30, 2017, par. 13; Report No. 75/19, Petition 246-11. </w:t>
      </w:r>
      <w:r w:rsidRPr="00EC4C62">
        <w:rPr>
          <w:rFonts w:asciiTheme="majorHAnsi" w:hAnsiTheme="majorHAnsi"/>
          <w:sz w:val="16"/>
          <w:szCs w:val="16"/>
          <w:lang w:val="en"/>
        </w:rPr>
        <w:t>Admissibility. A.T.V. Argentina. May 21, 2019, par. 9.</w:t>
      </w:r>
    </w:p>
  </w:footnote>
  <w:footnote w:id="5">
    <w:p w14:paraId="3C836A23" w14:textId="77777777" w:rsidR="003133DD" w:rsidRPr="00EC4C62" w:rsidRDefault="003133DD" w:rsidP="00EC4C62">
      <w:pPr>
        <w:pStyle w:val="FootnoteText"/>
        <w:ind w:firstLine="709"/>
        <w:jc w:val="both"/>
        <w:rPr>
          <w:rFonts w:asciiTheme="majorHAnsi" w:hAnsiTheme="majorHAnsi" w:cstheme="minorHAnsi"/>
          <w:sz w:val="16"/>
          <w:szCs w:val="16"/>
        </w:rPr>
      </w:pPr>
      <w:r w:rsidRPr="00EC4C62">
        <w:rPr>
          <w:rStyle w:val="FootnoteReference"/>
          <w:rFonts w:asciiTheme="majorHAnsi" w:hAnsiTheme="majorHAnsi" w:cstheme="minorHAnsi"/>
          <w:sz w:val="16"/>
          <w:szCs w:val="16"/>
          <w:lang w:val="en"/>
        </w:rPr>
        <w:footnoteRef/>
      </w:r>
      <w:r w:rsidRPr="00EC4C62">
        <w:rPr>
          <w:rFonts w:asciiTheme="majorHAnsi" w:hAnsiTheme="majorHAnsi"/>
          <w:sz w:val="16"/>
          <w:szCs w:val="16"/>
          <w:lang w:val="en"/>
        </w:rPr>
        <w:t xml:space="preserve"> IACHR, Report No. 174/17. Petition 831-11. Admissibility. Hester Suzanne Van Nierop and Family. Mexico. December 30, 2017, pars. 7 and 8.</w:t>
      </w:r>
    </w:p>
  </w:footnote>
  <w:footnote w:id="6">
    <w:p w14:paraId="188B8E7E" w14:textId="77777777" w:rsidR="003133DD" w:rsidRPr="00EC4C62" w:rsidRDefault="003133DD" w:rsidP="00EC4C62">
      <w:pPr>
        <w:pStyle w:val="FootnoteText"/>
        <w:ind w:firstLine="709"/>
        <w:jc w:val="both"/>
        <w:rPr>
          <w:rFonts w:asciiTheme="majorHAnsi" w:hAnsiTheme="majorHAnsi" w:cstheme="minorHAnsi"/>
          <w:sz w:val="16"/>
          <w:szCs w:val="16"/>
        </w:rPr>
      </w:pPr>
      <w:r w:rsidRPr="00EC4C62">
        <w:rPr>
          <w:rStyle w:val="FootnoteReference"/>
          <w:rFonts w:asciiTheme="majorHAnsi" w:hAnsiTheme="majorHAnsi" w:cstheme="minorHAnsi"/>
          <w:sz w:val="16"/>
          <w:szCs w:val="16"/>
          <w:lang w:val="en"/>
        </w:rPr>
        <w:footnoteRef/>
      </w:r>
      <w:r w:rsidRPr="00EC4C62">
        <w:rPr>
          <w:rFonts w:asciiTheme="majorHAnsi" w:hAnsiTheme="majorHAnsi"/>
          <w:sz w:val="16"/>
          <w:szCs w:val="16"/>
          <w:lang w:val="en"/>
        </w:rPr>
        <w:t xml:space="preserve"> IACHR, Report 108/19. Petition 81-09. Admissibility. </w:t>
      </w:r>
      <w:proofErr w:type="spellStart"/>
      <w:r w:rsidRPr="00EC4C62">
        <w:rPr>
          <w:rFonts w:asciiTheme="majorHAnsi" w:hAnsiTheme="majorHAnsi"/>
          <w:sz w:val="16"/>
          <w:szCs w:val="16"/>
          <w:lang w:val="en"/>
        </w:rPr>
        <w:t>Anael</w:t>
      </w:r>
      <w:proofErr w:type="spellEnd"/>
      <w:r w:rsidRPr="00EC4C62">
        <w:rPr>
          <w:rFonts w:asciiTheme="majorHAnsi" w:hAnsiTheme="majorHAnsi"/>
          <w:sz w:val="16"/>
          <w:szCs w:val="16"/>
          <w:lang w:val="en"/>
        </w:rPr>
        <w:t xml:space="preserve"> Fidel </w:t>
      </w:r>
      <w:proofErr w:type="spellStart"/>
      <w:r w:rsidRPr="00EC4C62">
        <w:rPr>
          <w:rFonts w:asciiTheme="majorHAnsi" w:hAnsiTheme="majorHAnsi"/>
          <w:sz w:val="16"/>
          <w:szCs w:val="16"/>
          <w:lang w:val="en"/>
        </w:rPr>
        <w:t>Sanjuanelo</w:t>
      </w:r>
      <w:proofErr w:type="spellEnd"/>
      <w:r w:rsidRPr="00EC4C62">
        <w:rPr>
          <w:rFonts w:asciiTheme="majorHAnsi" w:hAnsiTheme="majorHAnsi"/>
          <w:sz w:val="16"/>
          <w:szCs w:val="16"/>
          <w:lang w:val="en"/>
        </w:rPr>
        <w:t xml:space="preserve"> Polo and Family. Colombia. July 28, 2019, pars. 17-19.</w:t>
      </w:r>
    </w:p>
  </w:footnote>
  <w:footnote w:id="7">
    <w:p w14:paraId="3CE64014" w14:textId="77777777" w:rsidR="003133DD" w:rsidRPr="00EC4C62" w:rsidRDefault="003133DD" w:rsidP="00EC4C62">
      <w:pPr>
        <w:pStyle w:val="FootnoteText"/>
        <w:ind w:firstLine="709"/>
        <w:jc w:val="both"/>
        <w:rPr>
          <w:rFonts w:asciiTheme="majorHAnsi" w:hAnsiTheme="majorHAnsi"/>
          <w:sz w:val="16"/>
          <w:szCs w:val="16"/>
          <w:lang w:val="es-ES"/>
        </w:rPr>
      </w:pPr>
      <w:r w:rsidRPr="00EC4C62">
        <w:rPr>
          <w:rStyle w:val="FootnoteReference"/>
          <w:rFonts w:asciiTheme="majorHAnsi" w:hAnsiTheme="majorHAnsi"/>
          <w:sz w:val="16"/>
          <w:szCs w:val="16"/>
          <w:lang w:val="en"/>
        </w:rPr>
        <w:footnoteRef/>
      </w:r>
      <w:r w:rsidRPr="00EC4C62">
        <w:rPr>
          <w:rFonts w:asciiTheme="majorHAnsi" w:hAnsiTheme="majorHAnsi"/>
          <w:sz w:val="16"/>
          <w:szCs w:val="16"/>
          <w:lang w:val="en"/>
        </w:rPr>
        <w:t xml:space="preserve"> IACHR, Report No. 69/08. Petition 681-00. Admissibility. Guillermo Patricio Lynn. </w:t>
      </w:r>
      <w:r w:rsidRPr="00EC4C62">
        <w:rPr>
          <w:rFonts w:asciiTheme="majorHAnsi" w:hAnsiTheme="majorHAnsi"/>
          <w:sz w:val="16"/>
          <w:szCs w:val="16"/>
          <w:lang w:val="es-ES"/>
        </w:rPr>
        <w:t xml:space="preserve">Argentina, </w:t>
      </w:r>
      <w:proofErr w:type="spellStart"/>
      <w:r w:rsidRPr="00EC4C62">
        <w:rPr>
          <w:rFonts w:asciiTheme="majorHAnsi" w:hAnsiTheme="majorHAnsi"/>
          <w:sz w:val="16"/>
          <w:szCs w:val="16"/>
          <w:lang w:val="es-ES"/>
        </w:rPr>
        <w:t>October</w:t>
      </w:r>
      <w:proofErr w:type="spellEnd"/>
      <w:r w:rsidRPr="00EC4C62">
        <w:rPr>
          <w:rFonts w:asciiTheme="majorHAnsi" w:hAnsiTheme="majorHAnsi"/>
          <w:sz w:val="16"/>
          <w:szCs w:val="16"/>
          <w:lang w:val="es-ES"/>
        </w:rPr>
        <w:t xml:space="preserve"> 16, 2008, par. 48.</w:t>
      </w:r>
    </w:p>
  </w:footnote>
  <w:footnote w:id="8">
    <w:p w14:paraId="683523F8" w14:textId="77777777" w:rsidR="003133DD" w:rsidRPr="00EC4C62" w:rsidRDefault="003133DD" w:rsidP="00EC4C62">
      <w:pPr>
        <w:pStyle w:val="FootnoteText"/>
        <w:ind w:firstLine="709"/>
        <w:jc w:val="both"/>
        <w:rPr>
          <w:rFonts w:asciiTheme="majorHAnsi" w:hAnsiTheme="majorHAnsi"/>
          <w:sz w:val="16"/>
          <w:szCs w:val="16"/>
        </w:rPr>
      </w:pPr>
      <w:r w:rsidRPr="00EC4C62">
        <w:rPr>
          <w:rStyle w:val="FootnoteReference"/>
          <w:rFonts w:asciiTheme="majorHAnsi" w:hAnsiTheme="majorHAnsi"/>
          <w:sz w:val="16"/>
          <w:szCs w:val="16"/>
          <w:lang w:val="en"/>
        </w:rPr>
        <w:footnoteRef/>
      </w:r>
      <w:r w:rsidRPr="00EC4C62">
        <w:rPr>
          <w:rFonts w:asciiTheme="majorHAnsi" w:hAnsiTheme="majorHAnsi"/>
          <w:sz w:val="16"/>
          <w:szCs w:val="16"/>
          <w:lang w:val="es-ES"/>
        </w:rPr>
        <w:t xml:space="preserve"> IACHR, </w:t>
      </w:r>
      <w:proofErr w:type="spellStart"/>
      <w:r w:rsidRPr="00EC4C62">
        <w:rPr>
          <w:rFonts w:asciiTheme="majorHAnsi" w:hAnsiTheme="majorHAnsi"/>
          <w:sz w:val="16"/>
          <w:szCs w:val="16"/>
          <w:lang w:val="es-ES"/>
        </w:rPr>
        <w:t>Report</w:t>
      </w:r>
      <w:proofErr w:type="spellEnd"/>
      <w:r w:rsidRPr="00EC4C62">
        <w:rPr>
          <w:rFonts w:asciiTheme="majorHAnsi" w:hAnsiTheme="majorHAnsi"/>
          <w:sz w:val="16"/>
          <w:szCs w:val="16"/>
          <w:lang w:val="es-ES"/>
        </w:rPr>
        <w:t xml:space="preserve"> No. 143/18, </w:t>
      </w:r>
      <w:proofErr w:type="spellStart"/>
      <w:r w:rsidRPr="00EC4C62">
        <w:rPr>
          <w:rFonts w:asciiTheme="majorHAnsi" w:hAnsiTheme="majorHAnsi"/>
          <w:sz w:val="16"/>
          <w:szCs w:val="16"/>
          <w:lang w:val="es-ES"/>
        </w:rPr>
        <w:t>Petition</w:t>
      </w:r>
      <w:proofErr w:type="spellEnd"/>
      <w:r w:rsidRPr="00EC4C62">
        <w:rPr>
          <w:rFonts w:asciiTheme="majorHAnsi" w:hAnsiTheme="majorHAnsi"/>
          <w:sz w:val="16"/>
          <w:szCs w:val="16"/>
          <w:lang w:val="es-ES"/>
        </w:rPr>
        <w:t xml:space="preserve"> 940-08. </w:t>
      </w:r>
      <w:proofErr w:type="spellStart"/>
      <w:r w:rsidRPr="00EC4C62">
        <w:rPr>
          <w:rFonts w:asciiTheme="majorHAnsi" w:hAnsiTheme="majorHAnsi"/>
          <w:sz w:val="16"/>
          <w:szCs w:val="16"/>
          <w:lang w:val="es-ES"/>
        </w:rPr>
        <w:t>Admissibility</w:t>
      </w:r>
      <w:proofErr w:type="spellEnd"/>
      <w:r w:rsidRPr="00EC4C62">
        <w:rPr>
          <w:rFonts w:asciiTheme="majorHAnsi" w:hAnsiTheme="majorHAnsi"/>
          <w:sz w:val="16"/>
          <w:szCs w:val="16"/>
          <w:lang w:val="es-ES"/>
        </w:rPr>
        <w:t xml:space="preserve">. Luis Américo Ayala Gonzáles. </w:t>
      </w:r>
      <w:r w:rsidRPr="00EC4C62">
        <w:rPr>
          <w:rFonts w:asciiTheme="majorHAnsi" w:hAnsiTheme="majorHAnsi"/>
          <w:sz w:val="16"/>
          <w:szCs w:val="16"/>
          <w:lang w:val="en"/>
        </w:rPr>
        <w:t>Peru. December 4, 2018, par.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3133DD" w:rsidRDefault="003133DD" w:rsidP="003133D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3133DD" w:rsidRDefault="00313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3133DD" w:rsidRDefault="003133DD"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3133DD" w:rsidRPr="00EC7D62" w:rsidRDefault="004D3558"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CC77" w14:textId="77777777" w:rsidR="00C05CAF" w:rsidRDefault="00C05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2199"/>
    <w:rsid w:val="0001788C"/>
    <w:rsid w:val="00022CF5"/>
    <w:rsid w:val="00032498"/>
    <w:rsid w:val="00036A8A"/>
    <w:rsid w:val="00040C3A"/>
    <w:rsid w:val="000460CA"/>
    <w:rsid w:val="00063006"/>
    <w:rsid w:val="000639C0"/>
    <w:rsid w:val="00070F3A"/>
    <w:rsid w:val="000716C5"/>
    <w:rsid w:val="00075E23"/>
    <w:rsid w:val="00092F32"/>
    <w:rsid w:val="0009344A"/>
    <w:rsid w:val="000A1FE7"/>
    <w:rsid w:val="000A575F"/>
    <w:rsid w:val="000B4EAE"/>
    <w:rsid w:val="000C4365"/>
    <w:rsid w:val="000D10DB"/>
    <w:rsid w:val="000E6DE2"/>
    <w:rsid w:val="00110F6D"/>
    <w:rsid w:val="00113A4F"/>
    <w:rsid w:val="00115F41"/>
    <w:rsid w:val="00117B2E"/>
    <w:rsid w:val="00124116"/>
    <w:rsid w:val="00126E08"/>
    <w:rsid w:val="0013104F"/>
    <w:rsid w:val="00137EBA"/>
    <w:rsid w:val="00145EDC"/>
    <w:rsid w:val="00153084"/>
    <w:rsid w:val="00156BBA"/>
    <w:rsid w:val="001612CA"/>
    <w:rsid w:val="00167A34"/>
    <w:rsid w:val="001714B4"/>
    <w:rsid w:val="0018037F"/>
    <w:rsid w:val="00193D82"/>
    <w:rsid w:val="001A5F27"/>
    <w:rsid w:val="001A65E4"/>
    <w:rsid w:val="001A7870"/>
    <w:rsid w:val="001B3FBC"/>
    <w:rsid w:val="001C1B41"/>
    <w:rsid w:val="001E366B"/>
    <w:rsid w:val="001F1902"/>
    <w:rsid w:val="002043E0"/>
    <w:rsid w:val="00210E0E"/>
    <w:rsid w:val="00210F4B"/>
    <w:rsid w:val="00214041"/>
    <w:rsid w:val="00230163"/>
    <w:rsid w:val="0023351C"/>
    <w:rsid w:val="002401AD"/>
    <w:rsid w:val="00247403"/>
    <w:rsid w:val="00247542"/>
    <w:rsid w:val="00247D1B"/>
    <w:rsid w:val="00257893"/>
    <w:rsid w:val="00261E08"/>
    <w:rsid w:val="00262ADD"/>
    <w:rsid w:val="00263BF5"/>
    <w:rsid w:val="00266092"/>
    <w:rsid w:val="00266B61"/>
    <w:rsid w:val="0026712A"/>
    <w:rsid w:val="002704DB"/>
    <w:rsid w:val="002760CE"/>
    <w:rsid w:val="002826D3"/>
    <w:rsid w:val="002A6B0C"/>
    <w:rsid w:val="002B00FD"/>
    <w:rsid w:val="002B7A85"/>
    <w:rsid w:val="002C1641"/>
    <w:rsid w:val="002D7EA2"/>
    <w:rsid w:val="002E15DF"/>
    <w:rsid w:val="002E187C"/>
    <w:rsid w:val="002E6E57"/>
    <w:rsid w:val="002F2697"/>
    <w:rsid w:val="00301075"/>
    <w:rsid w:val="00302733"/>
    <w:rsid w:val="003053BF"/>
    <w:rsid w:val="00311A4F"/>
    <w:rsid w:val="003133DD"/>
    <w:rsid w:val="00314078"/>
    <w:rsid w:val="00315387"/>
    <w:rsid w:val="00321AFD"/>
    <w:rsid w:val="00322450"/>
    <w:rsid w:val="003246B5"/>
    <w:rsid w:val="0033169F"/>
    <w:rsid w:val="003414AC"/>
    <w:rsid w:val="0035463F"/>
    <w:rsid w:val="00356185"/>
    <w:rsid w:val="00360380"/>
    <w:rsid w:val="003771A3"/>
    <w:rsid w:val="00385C66"/>
    <w:rsid w:val="00386CF0"/>
    <w:rsid w:val="003A4348"/>
    <w:rsid w:val="003A5566"/>
    <w:rsid w:val="003A7F2A"/>
    <w:rsid w:val="003C32BC"/>
    <w:rsid w:val="003D1E33"/>
    <w:rsid w:val="003D6EE0"/>
    <w:rsid w:val="003E1CF5"/>
    <w:rsid w:val="003E3E03"/>
    <w:rsid w:val="003F1BBF"/>
    <w:rsid w:val="00400C55"/>
    <w:rsid w:val="00411F54"/>
    <w:rsid w:val="004162B1"/>
    <w:rsid w:val="004165C2"/>
    <w:rsid w:val="00433117"/>
    <w:rsid w:val="0043489C"/>
    <w:rsid w:val="004434A5"/>
    <w:rsid w:val="00450A4A"/>
    <w:rsid w:val="004666FB"/>
    <w:rsid w:val="00466D0B"/>
    <w:rsid w:val="00467B7E"/>
    <w:rsid w:val="0049419D"/>
    <w:rsid w:val="004A7BA7"/>
    <w:rsid w:val="004B2762"/>
    <w:rsid w:val="004B7EB6"/>
    <w:rsid w:val="004C23ED"/>
    <w:rsid w:val="004C41DE"/>
    <w:rsid w:val="004C4B62"/>
    <w:rsid w:val="004C6C56"/>
    <w:rsid w:val="004D3558"/>
    <w:rsid w:val="004D6025"/>
    <w:rsid w:val="004D72BC"/>
    <w:rsid w:val="004E7ACE"/>
    <w:rsid w:val="004F6B67"/>
    <w:rsid w:val="00501399"/>
    <w:rsid w:val="00507BC4"/>
    <w:rsid w:val="005128E4"/>
    <w:rsid w:val="005243C2"/>
    <w:rsid w:val="00525560"/>
    <w:rsid w:val="005357A6"/>
    <w:rsid w:val="005400E3"/>
    <w:rsid w:val="00544C49"/>
    <w:rsid w:val="0057402A"/>
    <w:rsid w:val="005771D0"/>
    <w:rsid w:val="005816E5"/>
    <w:rsid w:val="00586076"/>
    <w:rsid w:val="00587825"/>
    <w:rsid w:val="0059191A"/>
    <w:rsid w:val="005921FF"/>
    <w:rsid w:val="00592718"/>
    <w:rsid w:val="005A6D0E"/>
    <w:rsid w:val="005B222D"/>
    <w:rsid w:val="005B52B0"/>
    <w:rsid w:val="005B6806"/>
    <w:rsid w:val="005C00F9"/>
    <w:rsid w:val="005C0B13"/>
    <w:rsid w:val="005C29D6"/>
    <w:rsid w:val="005C4225"/>
    <w:rsid w:val="005D2EF7"/>
    <w:rsid w:val="005F0F33"/>
    <w:rsid w:val="005F3E64"/>
    <w:rsid w:val="005F524C"/>
    <w:rsid w:val="00600DEB"/>
    <w:rsid w:val="00613027"/>
    <w:rsid w:val="00616FFA"/>
    <w:rsid w:val="00627C9F"/>
    <w:rsid w:val="006311DA"/>
    <w:rsid w:val="006311E9"/>
    <w:rsid w:val="006318B2"/>
    <w:rsid w:val="00632354"/>
    <w:rsid w:val="00642810"/>
    <w:rsid w:val="00652333"/>
    <w:rsid w:val="00653EA6"/>
    <w:rsid w:val="00665F15"/>
    <w:rsid w:val="0068009E"/>
    <w:rsid w:val="006A17D2"/>
    <w:rsid w:val="006A73E6"/>
    <w:rsid w:val="006B2D5C"/>
    <w:rsid w:val="006C18FA"/>
    <w:rsid w:val="006C4EB1"/>
    <w:rsid w:val="006D4707"/>
    <w:rsid w:val="006E0166"/>
    <w:rsid w:val="006E0657"/>
    <w:rsid w:val="006E270D"/>
    <w:rsid w:val="006E7B34"/>
    <w:rsid w:val="00701B24"/>
    <w:rsid w:val="00706858"/>
    <w:rsid w:val="00713AED"/>
    <w:rsid w:val="0071495F"/>
    <w:rsid w:val="0073798E"/>
    <w:rsid w:val="00740872"/>
    <w:rsid w:val="00745899"/>
    <w:rsid w:val="00752D34"/>
    <w:rsid w:val="007607C4"/>
    <w:rsid w:val="0076643F"/>
    <w:rsid w:val="007714ED"/>
    <w:rsid w:val="00774E18"/>
    <w:rsid w:val="00781653"/>
    <w:rsid w:val="007A2082"/>
    <w:rsid w:val="007A2F70"/>
    <w:rsid w:val="007C3334"/>
    <w:rsid w:val="007C52BB"/>
    <w:rsid w:val="007D2B98"/>
    <w:rsid w:val="007F6DE9"/>
    <w:rsid w:val="007F7980"/>
    <w:rsid w:val="00803F1C"/>
    <w:rsid w:val="0080600E"/>
    <w:rsid w:val="00817612"/>
    <w:rsid w:val="008258D7"/>
    <w:rsid w:val="0083092E"/>
    <w:rsid w:val="00837C45"/>
    <w:rsid w:val="00853419"/>
    <w:rsid w:val="008546E5"/>
    <w:rsid w:val="008801F8"/>
    <w:rsid w:val="00897E12"/>
    <w:rsid w:val="008C2053"/>
    <w:rsid w:val="008C2373"/>
    <w:rsid w:val="008D43BA"/>
    <w:rsid w:val="008E3759"/>
    <w:rsid w:val="008E40F5"/>
    <w:rsid w:val="008E40FA"/>
    <w:rsid w:val="008E4EEF"/>
    <w:rsid w:val="008F5EA4"/>
    <w:rsid w:val="009041DC"/>
    <w:rsid w:val="009104B4"/>
    <w:rsid w:val="009228DA"/>
    <w:rsid w:val="00925FCD"/>
    <w:rsid w:val="0093441A"/>
    <w:rsid w:val="00936805"/>
    <w:rsid w:val="00954BF7"/>
    <w:rsid w:val="0096706E"/>
    <w:rsid w:val="009812BF"/>
    <w:rsid w:val="00981FBA"/>
    <w:rsid w:val="0098783D"/>
    <w:rsid w:val="00997DFB"/>
    <w:rsid w:val="009B306D"/>
    <w:rsid w:val="009B381B"/>
    <w:rsid w:val="009C43BE"/>
    <w:rsid w:val="009D59D2"/>
    <w:rsid w:val="009D7611"/>
    <w:rsid w:val="009E53DE"/>
    <w:rsid w:val="009E566A"/>
    <w:rsid w:val="00A0523B"/>
    <w:rsid w:val="00A12DBC"/>
    <w:rsid w:val="00A2467F"/>
    <w:rsid w:val="00A33098"/>
    <w:rsid w:val="00A43458"/>
    <w:rsid w:val="00A517D6"/>
    <w:rsid w:val="00A528D1"/>
    <w:rsid w:val="00A63A9E"/>
    <w:rsid w:val="00A651D4"/>
    <w:rsid w:val="00A66BE5"/>
    <w:rsid w:val="00A943E4"/>
    <w:rsid w:val="00AB4FA4"/>
    <w:rsid w:val="00AD37C1"/>
    <w:rsid w:val="00AE2C03"/>
    <w:rsid w:val="00AE66EC"/>
    <w:rsid w:val="00AE6F91"/>
    <w:rsid w:val="00AF5571"/>
    <w:rsid w:val="00AF67B2"/>
    <w:rsid w:val="00B06BB7"/>
    <w:rsid w:val="00B06F3D"/>
    <w:rsid w:val="00B1516A"/>
    <w:rsid w:val="00B167E9"/>
    <w:rsid w:val="00B179ED"/>
    <w:rsid w:val="00B314DB"/>
    <w:rsid w:val="00B31EBE"/>
    <w:rsid w:val="00B3718B"/>
    <w:rsid w:val="00B44B23"/>
    <w:rsid w:val="00B4632A"/>
    <w:rsid w:val="00B775C7"/>
    <w:rsid w:val="00B85BA3"/>
    <w:rsid w:val="00B92E49"/>
    <w:rsid w:val="00BA276C"/>
    <w:rsid w:val="00BA4C56"/>
    <w:rsid w:val="00BB306F"/>
    <w:rsid w:val="00BD232B"/>
    <w:rsid w:val="00BD2E42"/>
    <w:rsid w:val="00BD4B89"/>
    <w:rsid w:val="00BE6657"/>
    <w:rsid w:val="00C02721"/>
    <w:rsid w:val="00C05CAF"/>
    <w:rsid w:val="00C21762"/>
    <w:rsid w:val="00C24543"/>
    <w:rsid w:val="00C256A2"/>
    <w:rsid w:val="00C3492D"/>
    <w:rsid w:val="00C355B4"/>
    <w:rsid w:val="00C4379A"/>
    <w:rsid w:val="00C55560"/>
    <w:rsid w:val="00C66B72"/>
    <w:rsid w:val="00C66BDC"/>
    <w:rsid w:val="00C77713"/>
    <w:rsid w:val="00C87C57"/>
    <w:rsid w:val="00C9567A"/>
    <w:rsid w:val="00C962B2"/>
    <w:rsid w:val="00CA6577"/>
    <w:rsid w:val="00CB2660"/>
    <w:rsid w:val="00CC3DC2"/>
    <w:rsid w:val="00CC5E90"/>
    <w:rsid w:val="00CD046C"/>
    <w:rsid w:val="00CE5199"/>
    <w:rsid w:val="00CE66D5"/>
    <w:rsid w:val="00D018E3"/>
    <w:rsid w:val="00D1343E"/>
    <w:rsid w:val="00D219EA"/>
    <w:rsid w:val="00D3233D"/>
    <w:rsid w:val="00D34786"/>
    <w:rsid w:val="00D40A1E"/>
    <w:rsid w:val="00D533C0"/>
    <w:rsid w:val="00D66D3C"/>
    <w:rsid w:val="00D707F4"/>
    <w:rsid w:val="00D712D3"/>
    <w:rsid w:val="00D71422"/>
    <w:rsid w:val="00D7145E"/>
    <w:rsid w:val="00D75084"/>
    <w:rsid w:val="00D7558D"/>
    <w:rsid w:val="00D81D92"/>
    <w:rsid w:val="00D90AAD"/>
    <w:rsid w:val="00D93446"/>
    <w:rsid w:val="00D93872"/>
    <w:rsid w:val="00DA7B5F"/>
    <w:rsid w:val="00DC7B91"/>
    <w:rsid w:val="00DF078B"/>
    <w:rsid w:val="00DF350D"/>
    <w:rsid w:val="00E227C1"/>
    <w:rsid w:val="00E40241"/>
    <w:rsid w:val="00E43157"/>
    <w:rsid w:val="00E47F3D"/>
    <w:rsid w:val="00E533FF"/>
    <w:rsid w:val="00E709B3"/>
    <w:rsid w:val="00E726DC"/>
    <w:rsid w:val="00E741D8"/>
    <w:rsid w:val="00E7588C"/>
    <w:rsid w:val="00E76E74"/>
    <w:rsid w:val="00E7797F"/>
    <w:rsid w:val="00E850B6"/>
    <w:rsid w:val="00E8789F"/>
    <w:rsid w:val="00E97B71"/>
    <w:rsid w:val="00EA16DD"/>
    <w:rsid w:val="00EB454D"/>
    <w:rsid w:val="00EC4C62"/>
    <w:rsid w:val="00EC71A0"/>
    <w:rsid w:val="00ED01CF"/>
    <w:rsid w:val="00ED0D1B"/>
    <w:rsid w:val="00ED5FB1"/>
    <w:rsid w:val="00EE3522"/>
    <w:rsid w:val="00EE5471"/>
    <w:rsid w:val="00EE696A"/>
    <w:rsid w:val="00EF619B"/>
    <w:rsid w:val="00F00B55"/>
    <w:rsid w:val="00F1380F"/>
    <w:rsid w:val="00F14F0E"/>
    <w:rsid w:val="00F15A3B"/>
    <w:rsid w:val="00F24C29"/>
    <w:rsid w:val="00F253CC"/>
    <w:rsid w:val="00F42B71"/>
    <w:rsid w:val="00F455FB"/>
    <w:rsid w:val="00F56BA5"/>
    <w:rsid w:val="00F621C3"/>
    <w:rsid w:val="00F644E6"/>
    <w:rsid w:val="00F842E5"/>
    <w:rsid w:val="00F862DF"/>
    <w:rsid w:val="00F95360"/>
    <w:rsid w:val="00F9653B"/>
    <w:rsid w:val="00FB2DCE"/>
    <w:rsid w:val="00FB62CF"/>
    <w:rsid w:val="00FC3EB4"/>
    <w:rsid w:val="00FC5343"/>
    <w:rsid w:val="00FC6C58"/>
    <w:rsid w:val="00FE1DE3"/>
    <w:rsid w:val="00FE6B45"/>
    <w:rsid w:val="00FF05B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Char2">
    <w:name w:val="Char2"/>
    <w:basedOn w:val="Normal"/>
    <w:link w:val="FootnoteReference"/>
    <w:rsid w:val="00400C5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3A2A-4813-4BF2-8969-68A03EF7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3750</Words>
  <Characters>21375</Characters>
  <Application>Microsoft Office Word</Application>
  <DocSecurity>0</DocSecurity>
  <Lines>178</Lines>
  <Paragraphs>50</Paragraphs>
  <ScaleCrop>false</ScaleCrop>
  <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160/20</dc:title>
  <dc:creator/>
  <cp:lastModifiedBy/>
  <cp:revision>1</cp:revision>
  <dcterms:created xsi:type="dcterms:W3CDTF">2020-07-22T15:54:00Z</dcterms:created>
  <dcterms:modified xsi:type="dcterms:W3CDTF">2020-07-22T15:54:00Z</dcterms:modified>
</cp:coreProperties>
</file>