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999E156"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rect w14:anchorId="099A2E32"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A9BA8A" w14:textId="4D95D332" w:rsidR="00040C3A" w:rsidRPr="003C32BC" w:rsidRDefault="00E74A85"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CE01126">
                <wp:simplePos x="0" y="0"/>
                <wp:positionH relativeFrom="column">
                  <wp:posOffset>-370114</wp:posOffset>
                </wp:positionH>
                <wp:positionV relativeFrom="paragraph">
                  <wp:posOffset>129086</wp:posOffset>
                </wp:positionV>
                <wp:extent cx="1398814"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8814"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0FDB3AED" w:rsidR="00627C9F" w:rsidRPr="00466D0B" w:rsidRDefault="009E566A"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p>
                          <w:p w14:paraId="4AA08A8C" w14:textId="1E97042D" w:rsidR="00627C9F" w:rsidRPr="00E74A85" w:rsidRDefault="00CA6577" w:rsidP="009E566A">
                            <w:pPr>
                              <w:jc w:val="right"/>
                              <w:rPr>
                                <w:rFonts w:asciiTheme="minorHAnsi" w:hAnsiTheme="minorHAnsi"/>
                                <w:color w:val="FFFFFF" w:themeColor="background1"/>
                                <w:sz w:val="22"/>
                              </w:rPr>
                            </w:pPr>
                            <w:r w:rsidRPr="00E74A85">
                              <w:rPr>
                                <w:rFonts w:asciiTheme="minorHAnsi" w:hAnsiTheme="minorHAnsi"/>
                                <w:color w:val="FFFFFF" w:themeColor="background1"/>
                                <w:sz w:val="22"/>
                              </w:rPr>
                              <w:t xml:space="preserve">Doc. </w:t>
                            </w:r>
                            <w:r w:rsidR="00E74A85">
                              <w:rPr>
                                <w:rFonts w:asciiTheme="minorHAnsi" w:hAnsiTheme="minorHAnsi"/>
                                <w:color w:val="FFFFFF" w:themeColor="background1"/>
                                <w:sz w:val="22"/>
                              </w:rPr>
                              <w:t>141</w:t>
                            </w:r>
                          </w:p>
                          <w:p w14:paraId="0BEFF61A" w14:textId="786CAC15" w:rsidR="00627C9F" w:rsidRPr="00E74A85" w:rsidRDefault="00022CF5" w:rsidP="009E566A">
                            <w:pPr>
                              <w:jc w:val="right"/>
                              <w:rPr>
                                <w:rFonts w:asciiTheme="minorHAnsi" w:hAnsiTheme="minorHAnsi"/>
                                <w:color w:val="FFFFFF" w:themeColor="background1"/>
                                <w:sz w:val="22"/>
                              </w:rPr>
                            </w:pPr>
                            <w:r w:rsidRPr="00E74A85">
                              <w:rPr>
                                <w:rFonts w:asciiTheme="minorHAnsi" w:hAnsiTheme="minorHAnsi"/>
                                <w:color w:val="FFFFFF" w:themeColor="background1"/>
                                <w:sz w:val="22"/>
                              </w:rPr>
                              <w:t xml:space="preserve"> </w:t>
                            </w:r>
                            <w:r w:rsidR="00E74A85">
                              <w:rPr>
                                <w:rFonts w:asciiTheme="minorHAnsi" w:hAnsiTheme="minorHAnsi"/>
                                <w:color w:val="FFFFFF" w:themeColor="background1"/>
                                <w:sz w:val="22"/>
                              </w:rPr>
                              <w:t>12 May</w:t>
                            </w:r>
                            <w:r w:rsidR="000C4365" w:rsidRPr="00E74A85">
                              <w:rPr>
                                <w:rFonts w:asciiTheme="minorHAnsi" w:hAnsiTheme="minorHAnsi"/>
                                <w:color w:val="FFFFFF" w:themeColor="background1"/>
                                <w:sz w:val="22"/>
                              </w:rPr>
                              <w:t xml:space="preserve"> </w:t>
                            </w:r>
                            <w:r w:rsidR="00F42B71" w:rsidRPr="00E74A85">
                              <w:rPr>
                                <w:rFonts w:asciiTheme="minorHAnsi" w:hAnsiTheme="minorHAnsi"/>
                                <w:color w:val="FFFFFF" w:themeColor="background1"/>
                                <w:sz w:val="22"/>
                              </w:rPr>
                              <w:t>20</w:t>
                            </w:r>
                            <w:r w:rsidR="00E74A85">
                              <w:rPr>
                                <w:rFonts w:asciiTheme="minorHAnsi" w:hAnsiTheme="minorHAnsi"/>
                                <w:color w:val="FFFFFF" w:themeColor="background1"/>
                                <w:sz w:val="22"/>
                              </w:rPr>
                              <w:t>20</w:t>
                            </w:r>
                          </w:p>
                          <w:p w14:paraId="0FC103BD" w14:textId="5902782B" w:rsidR="00627C9F" w:rsidRPr="00E74A85" w:rsidRDefault="00627C9F" w:rsidP="009E566A">
                            <w:pPr>
                              <w:jc w:val="right"/>
                              <w:rPr>
                                <w:rFonts w:asciiTheme="minorHAnsi" w:hAnsiTheme="minorHAnsi"/>
                                <w:color w:val="FFFFFF" w:themeColor="background1"/>
                                <w:sz w:val="22"/>
                              </w:rPr>
                            </w:pPr>
                            <w:r w:rsidRPr="00E74A85">
                              <w:rPr>
                                <w:rFonts w:asciiTheme="minorHAnsi" w:hAnsiTheme="minorHAnsi"/>
                                <w:color w:val="FFFFFF" w:themeColor="background1"/>
                                <w:sz w:val="22"/>
                              </w:rPr>
                              <w:t>Original:</w:t>
                            </w:r>
                            <w:r w:rsidR="002C1641" w:rsidRPr="00E74A85">
                              <w:rPr>
                                <w:rFonts w:asciiTheme="minorHAnsi" w:hAnsiTheme="minorHAnsi"/>
                                <w:color w:val="FFFFFF" w:themeColor="background1"/>
                                <w:sz w:val="22"/>
                              </w:rPr>
                              <w:t xml:space="preserve"> </w:t>
                            </w:r>
                            <w:r w:rsidR="00B74719" w:rsidRPr="00E74A85">
                              <w:rPr>
                                <w:rFonts w:asciiTheme="minorHAnsi" w:hAnsiTheme="minorHAnsi"/>
                                <w:color w:val="FFFFFF" w:themeColor="background1"/>
                                <w:sz w:val="22"/>
                              </w:rPr>
                              <w:t>Portuguese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65BFE5E" id="_x0000_t202" coordsize="21600,21600" o:spt="202" path="m,l,21600r21600,l21600,xe">
                <v:stroke joinstyle="miter"/>
                <v:path gradientshapeok="t" o:connecttype="rect"/>
              </v:shapetype>
              <v:shape id="Text Box 8" o:spid="_x0000_s1027" type="#_x0000_t202" style="position:absolute;left:0;text-align:left;margin-left:-29.15pt;margin-top:10.15pt;width:110.1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" filled="f" stroked="f" strokeweight=".5pt">
                <v:textbox>
                  <w:txbxContent>
                    <w:p w14:paraId="65856C81" w14:textId="0FDB3AED" w:rsidR="00627C9F" w:rsidRPr="00466D0B" w:rsidRDefault="009E566A"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p>
                    <w:p w14:paraId="4AA08A8C" w14:textId="1E97042D" w:rsidR="00627C9F" w:rsidRPr="00E74A85" w:rsidRDefault="00CA6577" w:rsidP="009E566A">
                      <w:pPr>
                        <w:jc w:val="right"/>
                        <w:rPr>
                          <w:rFonts w:asciiTheme="minorHAnsi" w:hAnsiTheme="minorHAnsi"/>
                          <w:color w:val="FFFFFF" w:themeColor="background1"/>
                          <w:sz w:val="22"/>
                        </w:rPr>
                      </w:pPr>
                      <w:r w:rsidRPr="00E74A85">
                        <w:rPr>
                          <w:rFonts w:asciiTheme="minorHAnsi" w:hAnsiTheme="minorHAnsi"/>
                          <w:color w:val="FFFFFF" w:themeColor="background1"/>
                          <w:sz w:val="22"/>
                        </w:rPr>
                        <w:t xml:space="preserve">Doc. </w:t>
                      </w:r>
                      <w:r w:rsidR="00E74A85">
                        <w:rPr>
                          <w:rFonts w:asciiTheme="minorHAnsi" w:hAnsiTheme="minorHAnsi"/>
                          <w:color w:val="FFFFFF" w:themeColor="background1"/>
                          <w:sz w:val="22"/>
                        </w:rPr>
                        <w:t>141</w:t>
                      </w:r>
                    </w:p>
                    <w:p w14:paraId="0BEFF61A" w14:textId="786CAC15" w:rsidR="00627C9F" w:rsidRPr="00E74A85" w:rsidRDefault="00022CF5" w:rsidP="009E566A">
                      <w:pPr>
                        <w:jc w:val="right"/>
                        <w:rPr>
                          <w:rFonts w:asciiTheme="minorHAnsi" w:hAnsiTheme="minorHAnsi"/>
                          <w:color w:val="FFFFFF" w:themeColor="background1"/>
                          <w:sz w:val="22"/>
                        </w:rPr>
                      </w:pPr>
                      <w:r w:rsidRPr="00E74A85">
                        <w:rPr>
                          <w:rFonts w:asciiTheme="minorHAnsi" w:hAnsiTheme="minorHAnsi"/>
                          <w:color w:val="FFFFFF" w:themeColor="background1"/>
                          <w:sz w:val="22"/>
                        </w:rPr>
                        <w:t xml:space="preserve"> </w:t>
                      </w:r>
                      <w:r w:rsidR="00E74A85">
                        <w:rPr>
                          <w:rFonts w:asciiTheme="minorHAnsi" w:hAnsiTheme="minorHAnsi"/>
                          <w:color w:val="FFFFFF" w:themeColor="background1"/>
                          <w:sz w:val="22"/>
                        </w:rPr>
                        <w:t>12 May</w:t>
                      </w:r>
                      <w:r w:rsidR="000C4365" w:rsidRPr="00E74A85">
                        <w:rPr>
                          <w:rFonts w:asciiTheme="minorHAnsi" w:hAnsiTheme="minorHAnsi"/>
                          <w:color w:val="FFFFFF" w:themeColor="background1"/>
                          <w:sz w:val="22"/>
                        </w:rPr>
                        <w:t xml:space="preserve"> </w:t>
                      </w:r>
                      <w:r w:rsidR="00F42B71" w:rsidRPr="00E74A85">
                        <w:rPr>
                          <w:rFonts w:asciiTheme="minorHAnsi" w:hAnsiTheme="minorHAnsi"/>
                          <w:color w:val="FFFFFF" w:themeColor="background1"/>
                          <w:sz w:val="22"/>
                        </w:rPr>
                        <w:t>20</w:t>
                      </w:r>
                      <w:r w:rsidR="00E74A85">
                        <w:rPr>
                          <w:rFonts w:asciiTheme="minorHAnsi" w:hAnsiTheme="minorHAnsi"/>
                          <w:color w:val="FFFFFF" w:themeColor="background1"/>
                          <w:sz w:val="22"/>
                        </w:rPr>
                        <w:t>20</w:t>
                      </w:r>
                    </w:p>
                    <w:p w14:paraId="0FC103BD" w14:textId="5902782B" w:rsidR="00627C9F" w:rsidRPr="00E74A85" w:rsidRDefault="00627C9F" w:rsidP="009E566A">
                      <w:pPr>
                        <w:jc w:val="right"/>
                        <w:rPr>
                          <w:rFonts w:asciiTheme="minorHAnsi" w:hAnsiTheme="minorHAnsi"/>
                          <w:color w:val="FFFFFF" w:themeColor="background1"/>
                          <w:sz w:val="22"/>
                        </w:rPr>
                      </w:pPr>
                      <w:r w:rsidRPr="00E74A85">
                        <w:rPr>
                          <w:rFonts w:asciiTheme="minorHAnsi" w:hAnsiTheme="minorHAnsi"/>
                          <w:color w:val="FFFFFF" w:themeColor="background1"/>
                          <w:sz w:val="22"/>
                        </w:rPr>
                        <w:t>Original:</w:t>
                      </w:r>
                      <w:r w:rsidR="002C1641" w:rsidRPr="00E74A85">
                        <w:rPr>
                          <w:rFonts w:asciiTheme="minorHAnsi" w:hAnsiTheme="minorHAnsi"/>
                          <w:color w:val="FFFFFF" w:themeColor="background1"/>
                          <w:sz w:val="22"/>
                        </w:rPr>
                        <w:t xml:space="preserve"> </w:t>
                      </w:r>
                      <w:r w:rsidR="00B74719" w:rsidRPr="00E74A85">
                        <w:rPr>
                          <w:rFonts w:asciiTheme="minorHAnsi" w:hAnsiTheme="minorHAnsi"/>
                          <w:color w:val="FFFFFF" w:themeColor="background1"/>
                          <w:sz w:val="22"/>
                        </w:rPr>
                        <w:t>Portuguese</w:t>
                      </w:r>
                    </w:p>
                  </w:txbxContent>
                </v:textbox>
              </v:shape>
            </w:pict>
          </mc:Fallback>
        </mc:AlternateContent>
      </w:r>
      <w:r w:rsidR="00E533FF"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116E35C6">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0702CC07"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E74A85">
                              <w:rPr>
                                <w:rFonts w:asciiTheme="majorHAnsi" w:hAnsiTheme="majorHAnsi" w:cs="Arial"/>
                                <w:b/>
                                <w:bCs/>
                                <w:color w:val="0D0D0D" w:themeColor="text1" w:themeTint="F2"/>
                                <w:sz w:val="36"/>
                                <w:szCs w:val="40"/>
                              </w:rPr>
                              <w:t>131</w:t>
                            </w:r>
                            <w:r w:rsidR="00322450" w:rsidRPr="004B7EB6">
                              <w:rPr>
                                <w:rFonts w:asciiTheme="majorHAnsi" w:hAnsiTheme="majorHAnsi" w:cs="Arial"/>
                                <w:b/>
                                <w:bCs/>
                                <w:color w:val="0D0D0D" w:themeColor="text1" w:themeTint="F2"/>
                                <w:sz w:val="36"/>
                                <w:szCs w:val="40"/>
                              </w:rPr>
                              <w:t>/</w:t>
                            </w:r>
                            <w:r w:rsidR="00520468">
                              <w:rPr>
                                <w:rFonts w:asciiTheme="majorHAnsi" w:hAnsiTheme="majorHAnsi" w:cs="Arial"/>
                                <w:b/>
                                <w:bCs/>
                                <w:color w:val="0D0D0D" w:themeColor="text1" w:themeTint="F2"/>
                                <w:sz w:val="36"/>
                                <w:szCs w:val="40"/>
                              </w:rPr>
                              <w:t>20</w:t>
                            </w:r>
                          </w:p>
                          <w:p w14:paraId="081F51F3" w14:textId="6BE78E36"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E74A85">
                              <w:rPr>
                                <w:rFonts w:asciiTheme="majorHAnsi" w:hAnsiTheme="majorHAnsi" w:cs="Arial"/>
                                <w:b/>
                                <w:bCs/>
                                <w:color w:val="0D0D0D" w:themeColor="text1" w:themeTint="F2"/>
                                <w:sz w:val="36"/>
                                <w:szCs w:val="40"/>
                              </w:rPr>
                              <w:t>90</w:t>
                            </w:r>
                            <w:r w:rsidR="00F621C3">
                              <w:rPr>
                                <w:rFonts w:asciiTheme="majorHAnsi" w:hAnsiTheme="majorHAnsi" w:cs="Arial"/>
                                <w:b/>
                                <w:bCs/>
                                <w:color w:val="0D0D0D" w:themeColor="text1" w:themeTint="F2"/>
                                <w:sz w:val="36"/>
                                <w:szCs w:val="40"/>
                              </w:rPr>
                              <w:t>-</w:t>
                            </w:r>
                            <w:r w:rsidR="00E74A85">
                              <w:rPr>
                                <w:rFonts w:asciiTheme="majorHAnsi" w:hAnsiTheme="majorHAnsi" w:cs="Arial"/>
                                <w:b/>
                                <w:bCs/>
                                <w:color w:val="0D0D0D" w:themeColor="text1" w:themeTint="F2"/>
                                <w:sz w:val="36"/>
                                <w:szCs w:val="40"/>
                              </w:rPr>
                              <w:t>11</w:t>
                            </w:r>
                          </w:p>
                          <w:p w14:paraId="34978E5A" w14:textId="1D7F1192"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3549AEE0" w14:textId="4880A7DD" w:rsidR="00B74719" w:rsidRPr="00B74719" w:rsidRDefault="00B74719"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rPr>
                            </w:pPr>
                            <w:r w:rsidRPr="00B74719">
                              <w:rPr>
                                <w:rFonts w:asciiTheme="majorHAnsi" w:hAnsiTheme="majorHAnsi"/>
                              </w:rPr>
                              <w:t xml:space="preserve">TRADITIONAL FARMERS’ AND ARTISANAL FISHERMEN’S COMMUNITY OF </w:t>
                            </w:r>
                            <w:r w:rsidRPr="00B74719">
                              <w:rPr>
                                <w:rFonts w:asciiTheme="majorHAnsi" w:hAnsiTheme="majorHAnsi"/>
                                <w:bCs/>
                              </w:rPr>
                              <w:t>AREAIS DA RIBANCEIRA</w:t>
                            </w:r>
                            <w:r w:rsidRPr="00B74719">
                              <w:rPr>
                                <w:rFonts w:ascii="Cambria" w:hAnsi="Cambria" w:cs="Arial"/>
                                <w:color w:val="0D0D0D"/>
                              </w:rPr>
                              <w:t xml:space="preserve"> </w:t>
                            </w:r>
                          </w:p>
                          <w:p w14:paraId="48EBC31A" w14:textId="497C0146" w:rsidR="00F42B71" w:rsidRPr="004B625D" w:rsidRDefault="00B74719"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BRAZIL</w:t>
                            </w:r>
                          </w:p>
                          <w:p w14:paraId="17A89EFB" w14:textId="77777777" w:rsidR="005B52B0" w:rsidRPr="000C4365" w:rsidRDefault="005B52B0"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AB7EE52" id="Text Box 5" o:spid="_x0000_s1028"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6F7C2188" w14:textId="0702CC07"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E74A85">
                        <w:rPr>
                          <w:rFonts w:asciiTheme="majorHAnsi" w:hAnsiTheme="majorHAnsi" w:cs="Arial"/>
                          <w:b/>
                          <w:bCs/>
                          <w:color w:val="0D0D0D" w:themeColor="text1" w:themeTint="F2"/>
                          <w:sz w:val="36"/>
                          <w:szCs w:val="40"/>
                        </w:rPr>
                        <w:t>131</w:t>
                      </w:r>
                      <w:r w:rsidR="00322450" w:rsidRPr="004B7EB6">
                        <w:rPr>
                          <w:rFonts w:asciiTheme="majorHAnsi" w:hAnsiTheme="majorHAnsi" w:cs="Arial"/>
                          <w:b/>
                          <w:bCs/>
                          <w:color w:val="0D0D0D" w:themeColor="text1" w:themeTint="F2"/>
                          <w:sz w:val="36"/>
                          <w:szCs w:val="40"/>
                        </w:rPr>
                        <w:t>/</w:t>
                      </w:r>
                      <w:r w:rsidR="00520468">
                        <w:rPr>
                          <w:rFonts w:asciiTheme="majorHAnsi" w:hAnsiTheme="majorHAnsi" w:cs="Arial"/>
                          <w:b/>
                          <w:bCs/>
                          <w:color w:val="0D0D0D" w:themeColor="text1" w:themeTint="F2"/>
                          <w:sz w:val="36"/>
                          <w:szCs w:val="40"/>
                        </w:rPr>
                        <w:t>20</w:t>
                      </w:r>
                    </w:p>
                    <w:p w14:paraId="081F51F3" w14:textId="6BE78E36"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E74A85">
                        <w:rPr>
                          <w:rFonts w:asciiTheme="majorHAnsi" w:hAnsiTheme="majorHAnsi" w:cs="Arial"/>
                          <w:b/>
                          <w:bCs/>
                          <w:color w:val="0D0D0D" w:themeColor="text1" w:themeTint="F2"/>
                          <w:sz w:val="36"/>
                          <w:szCs w:val="40"/>
                        </w:rPr>
                        <w:t>90</w:t>
                      </w:r>
                      <w:r w:rsidR="00F621C3">
                        <w:rPr>
                          <w:rFonts w:asciiTheme="majorHAnsi" w:hAnsiTheme="majorHAnsi" w:cs="Arial"/>
                          <w:b/>
                          <w:bCs/>
                          <w:color w:val="0D0D0D" w:themeColor="text1" w:themeTint="F2"/>
                          <w:sz w:val="36"/>
                          <w:szCs w:val="40"/>
                        </w:rPr>
                        <w:t>-</w:t>
                      </w:r>
                      <w:r w:rsidR="00E74A85">
                        <w:rPr>
                          <w:rFonts w:asciiTheme="majorHAnsi" w:hAnsiTheme="majorHAnsi" w:cs="Arial"/>
                          <w:b/>
                          <w:bCs/>
                          <w:color w:val="0D0D0D" w:themeColor="text1" w:themeTint="F2"/>
                          <w:sz w:val="36"/>
                          <w:szCs w:val="40"/>
                        </w:rPr>
                        <w:t>11</w:t>
                      </w:r>
                    </w:p>
                    <w:p w14:paraId="34978E5A" w14:textId="1D7F1192"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3549AEE0" w14:textId="4880A7DD" w:rsidR="00B74719" w:rsidRPr="00B74719" w:rsidRDefault="00B74719"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rPr>
                      </w:pPr>
                      <w:r w:rsidRPr="00B74719">
                        <w:rPr>
                          <w:rFonts w:asciiTheme="majorHAnsi" w:hAnsiTheme="majorHAnsi"/>
                        </w:rPr>
                        <w:t xml:space="preserve">TRADITIONAL FARMERS’ AND ARTISANAL FISHERMEN’S COMMUNITY OF </w:t>
                      </w:r>
                      <w:r w:rsidRPr="00B74719">
                        <w:rPr>
                          <w:rFonts w:asciiTheme="majorHAnsi" w:hAnsiTheme="majorHAnsi"/>
                          <w:bCs/>
                        </w:rPr>
                        <w:t>AREAIS DA RIBANCEIRA</w:t>
                      </w:r>
                      <w:r w:rsidRPr="00B74719">
                        <w:rPr>
                          <w:rFonts w:ascii="Cambria" w:hAnsi="Cambria" w:cs="Arial"/>
                          <w:color w:val="0D0D0D"/>
                        </w:rPr>
                        <w:t xml:space="preserve"> </w:t>
                      </w:r>
                    </w:p>
                    <w:p w14:paraId="48EBC31A" w14:textId="497C0146" w:rsidR="00F42B71" w:rsidRPr="004B625D" w:rsidRDefault="00B74719"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BRAZIL</w:t>
                      </w:r>
                    </w:p>
                    <w:p w14:paraId="17A89EFB" w14:textId="77777777" w:rsidR="005B52B0" w:rsidRPr="000C4365" w:rsidRDefault="005B52B0" w:rsidP="00F42B71">
                      <w:pPr>
                        <w:spacing w:line="276" w:lineRule="auto"/>
                        <w:rPr>
                          <w:rFonts w:asciiTheme="majorHAnsi" w:hAnsiTheme="majorHAnsi"/>
                          <w:color w:val="0D0D0D" w:themeColor="text1" w:themeTint="F2"/>
                        </w:rPr>
                      </w:pPr>
                    </w:p>
                  </w:txbxContent>
                </v:textbox>
              </v:shape>
            </w:pict>
          </mc:Fallback>
        </mc:AlternateContent>
      </w:r>
    </w:p>
    <w:p w14:paraId="3765F9F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90BF94"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2A1C9774"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w:t>
                            </w:r>
                            <w:r w:rsidR="009B58F0" w:rsidRPr="003C32BC">
                              <w:rPr>
                                <w:rFonts w:asciiTheme="majorHAnsi" w:hAnsiTheme="majorHAnsi"/>
                                <w:color w:val="0D0D0D" w:themeColor="text1" w:themeTint="F2"/>
                                <w:sz w:val="18"/>
                                <w:szCs w:val="20"/>
                              </w:rPr>
                              <w:t xml:space="preserve"> </w:t>
                            </w:r>
                            <w:r w:rsidR="00E74A85">
                              <w:rPr>
                                <w:rFonts w:asciiTheme="majorHAnsi" w:hAnsiTheme="majorHAnsi"/>
                                <w:color w:val="0D0D0D" w:themeColor="text1" w:themeTint="F2"/>
                                <w:sz w:val="18"/>
                                <w:szCs w:val="20"/>
                              </w:rPr>
                              <w:t xml:space="preserve">electronically </w:t>
                            </w:r>
                            <w:r w:rsidR="009B58F0" w:rsidRPr="003C32BC">
                              <w:rPr>
                                <w:rFonts w:asciiTheme="majorHAnsi" w:hAnsiTheme="majorHAnsi"/>
                                <w:color w:val="0D0D0D" w:themeColor="text1" w:themeTint="F2"/>
                                <w:sz w:val="18"/>
                                <w:szCs w:val="20"/>
                              </w:rPr>
                              <w:t>by the Commission</w:t>
                            </w:r>
                            <w:r w:rsidRPr="003C32BC">
                              <w:rPr>
                                <w:rFonts w:asciiTheme="majorHAnsi" w:hAnsiTheme="majorHAnsi"/>
                                <w:color w:val="0D0D0D" w:themeColor="text1" w:themeTint="F2"/>
                                <w:sz w:val="18"/>
                                <w:szCs w:val="20"/>
                              </w:rPr>
                              <w:t xml:space="preserve"> </w:t>
                            </w:r>
                            <w:r w:rsidR="00E74A85">
                              <w:rPr>
                                <w:rFonts w:asciiTheme="majorHAnsi" w:hAnsiTheme="majorHAnsi"/>
                                <w:color w:val="0D0D0D" w:themeColor="text1" w:themeTint="F2"/>
                                <w:sz w:val="18"/>
                                <w:szCs w:val="20"/>
                              </w:rPr>
                              <w:t>May 12,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C645188"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14:paraId="29BF637A" w14:textId="2A1C9774"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w:t>
                      </w:r>
                      <w:r w:rsidR="009B58F0" w:rsidRPr="003C32BC">
                        <w:rPr>
                          <w:rFonts w:asciiTheme="majorHAnsi" w:hAnsiTheme="majorHAnsi"/>
                          <w:color w:val="0D0D0D" w:themeColor="text1" w:themeTint="F2"/>
                          <w:sz w:val="18"/>
                          <w:szCs w:val="20"/>
                        </w:rPr>
                        <w:t xml:space="preserve"> </w:t>
                      </w:r>
                      <w:r w:rsidR="00E74A85">
                        <w:rPr>
                          <w:rFonts w:asciiTheme="majorHAnsi" w:hAnsiTheme="majorHAnsi"/>
                          <w:color w:val="0D0D0D" w:themeColor="text1" w:themeTint="F2"/>
                          <w:sz w:val="18"/>
                          <w:szCs w:val="20"/>
                        </w:rPr>
                        <w:t xml:space="preserve">electronically </w:t>
                      </w:r>
                      <w:r w:rsidR="009B58F0" w:rsidRPr="003C32BC">
                        <w:rPr>
                          <w:rFonts w:asciiTheme="majorHAnsi" w:hAnsiTheme="majorHAnsi"/>
                          <w:color w:val="0D0D0D" w:themeColor="text1" w:themeTint="F2"/>
                          <w:sz w:val="18"/>
                          <w:szCs w:val="20"/>
                        </w:rPr>
                        <w:t>by the Commission</w:t>
                      </w:r>
                      <w:r w:rsidRPr="003C32BC">
                        <w:rPr>
                          <w:rFonts w:asciiTheme="majorHAnsi" w:hAnsiTheme="majorHAnsi"/>
                          <w:color w:val="0D0D0D" w:themeColor="text1" w:themeTint="F2"/>
                          <w:sz w:val="18"/>
                          <w:szCs w:val="20"/>
                        </w:rPr>
                        <w:t xml:space="preserve"> </w:t>
                      </w:r>
                      <w:r w:rsidR="00E74A85">
                        <w:rPr>
                          <w:rFonts w:asciiTheme="majorHAnsi" w:hAnsiTheme="majorHAnsi"/>
                          <w:color w:val="0D0D0D" w:themeColor="text1" w:themeTint="F2"/>
                          <w:sz w:val="18"/>
                          <w:szCs w:val="20"/>
                        </w:rPr>
                        <w:t>May 12, 2020</w:t>
                      </w:r>
                    </w:p>
                  </w:txbxContent>
                </v:textbox>
              </v:shape>
            </w:pict>
          </mc:Fallback>
        </mc:AlternateContent>
      </w:r>
    </w:p>
    <w:p w14:paraId="76124E4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53D472C0"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E74A85">
                              <w:rPr>
                                <w:rFonts w:asciiTheme="majorHAnsi" w:hAnsiTheme="majorHAnsi"/>
                                <w:color w:val="595959" w:themeColor="text1" w:themeTint="A6"/>
                                <w:sz w:val="18"/>
                              </w:rPr>
                              <w:t>131</w:t>
                            </w:r>
                            <w:r w:rsidR="00022CF5">
                              <w:rPr>
                                <w:rFonts w:asciiTheme="majorHAnsi" w:hAnsiTheme="majorHAnsi"/>
                                <w:color w:val="595959" w:themeColor="text1" w:themeTint="A6"/>
                                <w:sz w:val="18"/>
                              </w:rPr>
                              <w:t>/</w:t>
                            </w:r>
                            <w:r w:rsidR="00E74A85">
                              <w:rPr>
                                <w:rFonts w:asciiTheme="majorHAnsi" w:hAnsiTheme="majorHAnsi"/>
                                <w:color w:val="595959" w:themeColor="text1" w:themeTint="A6"/>
                                <w:sz w:val="18"/>
                              </w:rPr>
                              <w:t>20</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E74A85">
                              <w:rPr>
                                <w:rFonts w:asciiTheme="majorHAnsi" w:hAnsiTheme="majorHAnsi"/>
                                <w:color w:val="595959" w:themeColor="text1" w:themeTint="A6"/>
                                <w:sz w:val="18"/>
                              </w:rPr>
                              <w:t>131</w:t>
                            </w:r>
                            <w:r w:rsidR="00F621C3">
                              <w:rPr>
                                <w:rFonts w:asciiTheme="majorHAnsi" w:hAnsiTheme="majorHAnsi"/>
                                <w:color w:val="595959" w:themeColor="text1" w:themeTint="A6"/>
                                <w:sz w:val="18"/>
                              </w:rPr>
                              <w:t>-</w:t>
                            </w:r>
                            <w:r w:rsidR="00E74A85">
                              <w:rPr>
                                <w:rFonts w:asciiTheme="majorHAnsi" w:hAnsiTheme="majorHAnsi"/>
                                <w:color w:val="595959" w:themeColor="text1" w:themeTint="A6"/>
                                <w:sz w:val="18"/>
                              </w:rPr>
                              <w:t>20</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 xml:space="preserve">. </w:t>
                            </w:r>
                            <w:r w:rsidR="00E74A85">
                              <w:rPr>
                                <w:rFonts w:asciiTheme="majorHAnsi" w:hAnsiTheme="majorHAnsi"/>
                                <w:color w:val="595959" w:themeColor="text1" w:themeTint="A6"/>
                                <w:sz w:val="18"/>
                              </w:rPr>
                              <w:t xml:space="preserve">Traditional farmers’ </w:t>
                            </w:r>
                            <w:proofErr w:type="gramStart"/>
                            <w:r w:rsidR="00E74A85">
                              <w:rPr>
                                <w:rFonts w:asciiTheme="majorHAnsi" w:hAnsiTheme="majorHAnsi"/>
                                <w:color w:val="595959" w:themeColor="text1" w:themeTint="A6"/>
                                <w:sz w:val="18"/>
                              </w:rPr>
                              <w:t>and  artisanal</w:t>
                            </w:r>
                            <w:proofErr w:type="gramEnd"/>
                            <w:r w:rsidR="00E74A85">
                              <w:rPr>
                                <w:rFonts w:asciiTheme="majorHAnsi" w:hAnsiTheme="majorHAnsi"/>
                                <w:color w:val="595959" w:themeColor="text1" w:themeTint="A6"/>
                                <w:sz w:val="18"/>
                              </w:rPr>
                              <w:t xml:space="preserve"> fishermen’</w:t>
                            </w:r>
                            <w:r w:rsidR="009550F9">
                              <w:rPr>
                                <w:rFonts w:asciiTheme="majorHAnsi" w:hAnsiTheme="majorHAnsi"/>
                                <w:color w:val="595959" w:themeColor="text1" w:themeTint="A6"/>
                                <w:sz w:val="18"/>
                              </w:rPr>
                              <w:t xml:space="preserve">s community of </w:t>
                            </w:r>
                            <w:proofErr w:type="spellStart"/>
                            <w:r w:rsidR="009550F9">
                              <w:rPr>
                                <w:rFonts w:asciiTheme="majorHAnsi" w:hAnsiTheme="majorHAnsi"/>
                                <w:color w:val="595959" w:themeColor="text1" w:themeTint="A6"/>
                                <w:sz w:val="18"/>
                              </w:rPr>
                              <w:t>Areais</w:t>
                            </w:r>
                            <w:proofErr w:type="spellEnd"/>
                            <w:r w:rsidR="009550F9">
                              <w:rPr>
                                <w:rFonts w:asciiTheme="majorHAnsi" w:hAnsiTheme="majorHAnsi"/>
                                <w:color w:val="595959" w:themeColor="text1" w:themeTint="A6"/>
                                <w:sz w:val="18"/>
                              </w:rPr>
                              <w:t xml:space="preserve"> da </w:t>
                            </w:r>
                            <w:proofErr w:type="spellStart"/>
                            <w:r w:rsidR="009550F9">
                              <w:rPr>
                                <w:rFonts w:asciiTheme="majorHAnsi" w:hAnsiTheme="majorHAnsi"/>
                                <w:color w:val="595959" w:themeColor="text1" w:themeTint="A6"/>
                                <w:sz w:val="18"/>
                              </w:rPr>
                              <w:t>Ribanceira</w:t>
                            </w:r>
                            <w:proofErr w:type="spellEnd"/>
                            <w:r w:rsidRPr="003C32BC">
                              <w:rPr>
                                <w:rFonts w:asciiTheme="majorHAnsi" w:hAnsiTheme="majorHAnsi"/>
                                <w:color w:val="595959" w:themeColor="text1" w:themeTint="A6"/>
                                <w:sz w:val="18"/>
                              </w:rPr>
                              <w:t xml:space="preserve">. </w:t>
                            </w:r>
                            <w:r w:rsidR="009550F9">
                              <w:rPr>
                                <w:rFonts w:asciiTheme="majorHAnsi" w:hAnsiTheme="majorHAnsi"/>
                                <w:color w:val="595959" w:themeColor="text1" w:themeTint="A6"/>
                                <w:sz w:val="18"/>
                              </w:rPr>
                              <w:t>Brazil</w:t>
                            </w:r>
                            <w:r w:rsidR="00022CF5">
                              <w:rPr>
                                <w:rFonts w:asciiTheme="majorHAnsi" w:hAnsiTheme="majorHAnsi"/>
                                <w:color w:val="595959" w:themeColor="text1" w:themeTint="A6"/>
                                <w:sz w:val="18"/>
                              </w:rPr>
                              <w:t xml:space="preserve">. </w:t>
                            </w:r>
                            <w:r w:rsidR="009550F9">
                              <w:rPr>
                                <w:rFonts w:asciiTheme="majorHAnsi" w:hAnsiTheme="majorHAnsi"/>
                                <w:color w:val="595959" w:themeColor="text1" w:themeTint="A6"/>
                                <w:sz w:val="18"/>
                              </w:rPr>
                              <w:t>May 12, 2020</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26B579" w14:textId="53D472C0"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w:t>
                      </w:r>
                      <w:proofErr w:type="gramStart"/>
                      <w:r w:rsidRPr="003C32BC">
                        <w:rPr>
                          <w:rFonts w:asciiTheme="majorHAnsi" w:hAnsiTheme="majorHAnsi"/>
                          <w:b/>
                          <w:color w:val="595959" w:themeColor="text1" w:themeTint="A6"/>
                          <w:sz w:val="18"/>
                        </w:rPr>
                        <w:t>as:</w:t>
                      </w:r>
                      <w:proofErr w:type="gramEnd"/>
                      <w:r w:rsidRPr="003C32BC">
                        <w:rPr>
                          <w:rFonts w:asciiTheme="majorHAnsi" w:hAnsiTheme="majorHAnsi"/>
                          <w:b/>
                          <w:color w:val="595959" w:themeColor="text1" w:themeTint="A6"/>
                          <w:sz w:val="18"/>
                        </w:rPr>
                        <w:t xml:space="preserve"> </w:t>
                      </w:r>
                      <w:r w:rsidRPr="003C32BC">
                        <w:rPr>
                          <w:rFonts w:asciiTheme="majorHAnsi" w:hAnsiTheme="majorHAnsi"/>
                          <w:color w:val="595959" w:themeColor="text1" w:themeTint="A6"/>
                          <w:sz w:val="18"/>
                        </w:rPr>
                        <w:t xml:space="preserve">IACHR, Report No. </w:t>
                      </w:r>
                      <w:r w:rsidR="00E74A85">
                        <w:rPr>
                          <w:rFonts w:asciiTheme="majorHAnsi" w:hAnsiTheme="majorHAnsi"/>
                          <w:color w:val="595959" w:themeColor="text1" w:themeTint="A6"/>
                          <w:sz w:val="18"/>
                        </w:rPr>
                        <w:t>131</w:t>
                      </w:r>
                      <w:r w:rsidR="00022CF5">
                        <w:rPr>
                          <w:rFonts w:asciiTheme="majorHAnsi" w:hAnsiTheme="majorHAnsi"/>
                          <w:color w:val="595959" w:themeColor="text1" w:themeTint="A6"/>
                          <w:sz w:val="18"/>
                        </w:rPr>
                        <w:t>/</w:t>
                      </w:r>
                      <w:r w:rsidR="00E74A85">
                        <w:rPr>
                          <w:rFonts w:asciiTheme="majorHAnsi" w:hAnsiTheme="majorHAnsi"/>
                          <w:color w:val="595959" w:themeColor="text1" w:themeTint="A6"/>
                          <w:sz w:val="18"/>
                        </w:rPr>
                        <w:t>20</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E74A85">
                        <w:rPr>
                          <w:rFonts w:asciiTheme="majorHAnsi" w:hAnsiTheme="majorHAnsi"/>
                          <w:color w:val="595959" w:themeColor="text1" w:themeTint="A6"/>
                          <w:sz w:val="18"/>
                        </w:rPr>
                        <w:t>131</w:t>
                      </w:r>
                      <w:r w:rsidR="00F621C3">
                        <w:rPr>
                          <w:rFonts w:asciiTheme="majorHAnsi" w:hAnsiTheme="majorHAnsi"/>
                          <w:color w:val="595959" w:themeColor="text1" w:themeTint="A6"/>
                          <w:sz w:val="18"/>
                        </w:rPr>
                        <w:t>-</w:t>
                      </w:r>
                      <w:r w:rsidR="00E74A85">
                        <w:rPr>
                          <w:rFonts w:asciiTheme="majorHAnsi" w:hAnsiTheme="majorHAnsi"/>
                          <w:color w:val="595959" w:themeColor="text1" w:themeTint="A6"/>
                          <w:sz w:val="18"/>
                        </w:rPr>
                        <w:t>20</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 xml:space="preserve">. </w:t>
                      </w:r>
                      <w:r w:rsidR="00E74A85">
                        <w:rPr>
                          <w:rFonts w:asciiTheme="majorHAnsi" w:hAnsiTheme="majorHAnsi"/>
                          <w:color w:val="595959" w:themeColor="text1" w:themeTint="A6"/>
                          <w:sz w:val="18"/>
                        </w:rPr>
                        <w:t xml:space="preserve">Traditional farmers’ </w:t>
                      </w:r>
                      <w:proofErr w:type="gramStart"/>
                      <w:r w:rsidR="00E74A85">
                        <w:rPr>
                          <w:rFonts w:asciiTheme="majorHAnsi" w:hAnsiTheme="majorHAnsi"/>
                          <w:color w:val="595959" w:themeColor="text1" w:themeTint="A6"/>
                          <w:sz w:val="18"/>
                        </w:rPr>
                        <w:t>and  artisanal</w:t>
                      </w:r>
                      <w:proofErr w:type="gramEnd"/>
                      <w:r w:rsidR="00E74A85">
                        <w:rPr>
                          <w:rFonts w:asciiTheme="majorHAnsi" w:hAnsiTheme="majorHAnsi"/>
                          <w:color w:val="595959" w:themeColor="text1" w:themeTint="A6"/>
                          <w:sz w:val="18"/>
                        </w:rPr>
                        <w:t xml:space="preserve"> fishermen’</w:t>
                      </w:r>
                      <w:r w:rsidR="009550F9">
                        <w:rPr>
                          <w:rFonts w:asciiTheme="majorHAnsi" w:hAnsiTheme="majorHAnsi"/>
                          <w:color w:val="595959" w:themeColor="text1" w:themeTint="A6"/>
                          <w:sz w:val="18"/>
                        </w:rPr>
                        <w:t xml:space="preserve">s community of </w:t>
                      </w:r>
                      <w:proofErr w:type="spellStart"/>
                      <w:r w:rsidR="009550F9">
                        <w:rPr>
                          <w:rFonts w:asciiTheme="majorHAnsi" w:hAnsiTheme="majorHAnsi"/>
                          <w:color w:val="595959" w:themeColor="text1" w:themeTint="A6"/>
                          <w:sz w:val="18"/>
                        </w:rPr>
                        <w:t>Areais</w:t>
                      </w:r>
                      <w:proofErr w:type="spellEnd"/>
                      <w:r w:rsidR="009550F9">
                        <w:rPr>
                          <w:rFonts w:asciiTheme="majorHAnsi" w:hAnsiTheme="majorHAnsi"/>
                          <w:color w:val="595959" w:themeColor="text1" w:themeTint="A6"/>
                          <w:sz w:val="18"/>
                        </w:rPr>
                        <w:t xml:space="preserve"> da </w:t>
                      </w:r>
                      <w:proofErr w:type="spellStart"/>
                      <w:r w:rsidR="009550F9">
                        <w:rPr>
                          <w:rFonts w:asciiTheme="majorHAnsi" w:hAnsiTheme="majorHAnsi"/>
                          <w:color w:val="595959" w:themeColor="text1" w:themeTint="A6"/>
                          <w:sz w:val="18"/>
                        </w:rPr>
                        <w:t>Ribanceira</w:t>
                      </w:r>
                      <w:proofErr w:type="spellEnd"/>
                      <w:r w:rsidRPr="003C32BC">
                        <w:rPr>
                          <w:rFonts w:asciiTheme="majorHAnsi" w:hAnsiTheme="majorHAnsi"/>
                          <w:color w:val="595959" w:themeColor="text1" w:themeTint="A6"/>
                          <w:sz w:val="18"/>
                        </w:rPr>
                        <w:t xml:space="preserve">. </w:t>
                      </w:r>
                      <w:r w:rsidR="009550F9">
                        <w:rPr>
                          <w:rFonts w:asciiTheme="majorHAnsi" w:hAnsiTheme="majorHAnsi"/>
                          <w:color w:val="595959" w:themeColor="text1" w:themeTint="A6"/>
                          <w:sz w:val="18"/>
                        </w:rPr>
                        <w:t>Brazil</w:t>
                      </w:r>
                      <w:r w:rsidR="00022CF5">
                        <w:rPr>
                          <w:rFonts w:asciiTheme="majorHAnsi" w:hAnsiTheme="majorHAnsi"/>
                          <w:color w:val="595959" w:themeColor="text1" w:themeTint="A6"/>
                          <w:sz w:val="18"/>
                        </w:rPr>
                        <w:t xml:space="preserve">. </w:t>
                      </w:r>
                      <w:r w:rsidR="009550F9">
                        <w:rPr>
                          <w:rFonts w:asciiTheme="majorHAnsi" w:hAnsiTheme="majorHAnsi"/>
                          <w:color w:val="595959" w:themeColor="text1" w:themeTint="A6"/>
                          <w:sz w:val="18"/>
                        </w:rPr>
                        <w:t>May 12, 2020</w:t>
                      </w:r>
                      <w:r w:rsidRPr="007607C4">
                        <w:rPr>
                          <w:rFonts w:asciiTheme="majorHAnsi" w:hAnsiTheme="majorHAnsi"/>
                          <w:color w:val="595959" w:themeColor="text1" w:themeTint="A6"/>
                          <w:sz w:val="18"/>
                        </w:rPr>
                        <w:t>.</w:t>
                      </w:r>
                    </w:p>
                  </w:txbxContent>
                </v:textbox>
              </v:shape>
            </w:pict>
          </mc:Fallback>
        </mc:AlternateContent>
      </w:r>
    </w:p>
    <w:p w14:paraId="1C0DAF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3C32BC" w:rsidRDefault="003C32BC" w:rsidP="003C32BC">
      <w:pPr>
        <w:tabs>
          <w:tab w:val="center" w:pos="5400"/>
        </w:tabs>
        <w:suppressAutoHyphens/>
        <w:jc w:val="center"/>
        <w:rPr>
          <w:rFonts w:asciiTheme="majorHAnsi" w:hAnsiTheme="majorHAnsi"/>
          <w:sz w:val="18"/>
          <w:szCs w:val="22"/>
        </w:rPr>
      </w:pPr>
    </w:p>
    <w:p w14:paraId="154A4854"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3B0BF783"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9550F9">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3B0BF783"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9550F9">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3980004C">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24F4485" w:rsidR="003C32BC" w:rsidRDefault="00946ACE">
                            <w:r>
                              <w:rPr>
                                <w:noProof/>
                              </w:rPr>
                              <w:drawing>
                                <wp:inline distT="0" distB="0" distL="0" distR="0" wp14:anchorId="6604A7E9" wp14:editId="55C9BEC4">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" fillcolor="white [3201]" stroked="f" strokeweight=".5pt">
                <v:textbox>
                  <w:txbxContent>
                    <w:p w14:paraId="5A8E7A7D" w14:textId="724F4485" w:rsidR="003C32BC" w:rsidRDefault="00946ACE">
                      <w:r>
                        <w:rPr>
                          <w:noProof/>
                        </w:rPr>
                        <w:drawing>
                          <wp:inline distT="0" distB="0" distL="0" distR="0" wp14:anchorId="6604A7E9" wp14:editId="55C9BEC4">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p>
    <w:p w14:paraId="0F6C9F39" w14:textId="237FA7B4"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DC2502" w14:paraId="491E8196" w14:textId="77777777" w:rsidTr="00B06BB7">
        <w:tc>
          <w:tcPr>
            <w:tcW w:w="3690" w:type="dxa"/>
            <w:tcBorders>
              <w:top w:val="single" w:sz="4" w:space="0" w:color="auto"/>
              <w:bottom w:val="single" w:sz="6" w:space="0" w:color="auto"/>
            </w:tcBorders>
            <w:shd w:val="clear" w:color="auto" w:fill="67AE3C"/>
            <w:vAlign w:val="center"/>
          </w:tcPr>
          <w:p w14:paraId="5524F917" w14:textId="2D6C5F0F" w:rsidR="00F621C3" w:rsidRPr="000B6B7A" w:rsidRDefault="003771A3" w:rsidP="009163FC">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00F621C3" w:rsidRPr="000B6B7A">
              <w:rPr>
                <w:rFonts w:ascii="Cambria" w:hAnsi="Cambria"/>
                <w:b/>
                <w:bCs/>
                <w:color w:val="FFFFFF" w:themeColor="background1"/>
                <w:sz w:val="20"/>
                <w:szCs w:val="20"/>
              </w:rPr>
              <w:t>:</w:t>
            </w:r>
          </w:p>
        </w:tc>
        <w:tc>
          <w:tcPr>
            <w:tcW w:w="5670" w:type="dxa"/>
            <w:vAlign w:val="center"/>
          </w:tcPr>
          <w:p w14:paraId="0674C7B8" w14:textId="18064009" w:rsidR="00F621C3" w:rsidRPr="00B74719" w:rsidRDefault="00B74719" w:rsidP="009163FC">
            <w:pPr>
              <w:jc w:val="both"/>
              <w:rPr>
                <w:rFonts w:ascii="Cambria" w:hAnsi="Cambria"/>
                <w:bCs/>
                <w:sz w:val="20"/>
                <w:szCs w:val="20"/>
                <w:lang w:val="pt-BR"/>
              </w:rPr>
            </w:pPr>
            <w:r w:rsidRPr="00A162A0">
              <w:rPr>
                <w:rFonts w:asciiTheme="majorHAnsi" w:hAnsiTheme="majorHAnsi"/>
                <w:bCs/>
                <w:sz w:val="20"/>
                <w:szCs w:val="20"/>
                <w:lang w:val="pt-BR"/>
              </w:rPr>
              <w:t>André Halloys Dallagnol, Daniela Cristina Rabaioli, Larissa Franzoni, Cariny Pereira de Souza, Rodrigo Timm Serafin</w:t>
            </w:r>
          </w:p>
        </w:tc>
      </w:tr>
      <w:tr w:rsidR="00F621C3" w:rsidRPr="000B6B7A" w14:paraId="0F4A57A0" w14:textId="77777777" w:rsidTr="00B06BB7">
        <w:tc>
          <w:tcPr>
            <w:tcW w:w="3690" w:type="dxa"/>
            <w:tcBorders>
              <w:top w:val="single" w:sz="6" w:space="0" w:color="auto"/>
              <w:bottom w:val="single" w:sz="6" w:space="0" w:color="auto"/>
            </w:tcBorders>
            <w:shd w:val="clear" w:color="auto" w:fill="67AE3C"/>
            <w:vAlign w:val="center"/>
          </w:tcPr>
          <w:p w14:paraId="325E239F" w14:textId="5CA6565C" w:rsidR="00F621C3" w:rsidRPr="000B6B7A" w:rsidRDefault="009A3E46"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Pr>
                    <w:rFonts w:ascii="Cambria" w:hAnsi="Cambria"/>
                    <w:b/>
                    <w:bCs/>
                    <w:color w:val="FFFFFF" w:themeColor="background1"/>
                    <w:sz w:val="20"/>
                    <w:szCs w:val="20"/>
                  </w:rPr>
                  <w:t>Alleged victim</w:t>
                </w:r>
              </w:sdtContent>
            </w:sdt>
            <w:r w:rsidR="00F621C3" w:rsidRPr="000C4365">
              <w:rPr>
                <w:rFonts w:ascii="Cambria" w:hAnsi="Cambria"/>
                <w:b/>
                <w:bCs/>
                <w:color w:val="FFFFFF" w:themeColor="background1"/>
                <w:sz w:val="20"/>
                <w:szCs w:val="20"/>
              </w:rPr>
              <w:t>:</w:t>
            </w:r>
          </w:p>
        </w:tc>
        <w:tc>
          <w:tcPr>
            <w:tcW w:w="5670" w:type="dxa"/>
            <w:vAlign w:val="center"/>
          </w:tcPr>
          <w:p w14:paraId="60895337" w14:textId="3D12B465" w:rsidR="00F621C3" w:rsidRPr="000B6B7A" w:rsidRDefault="00B74719" w:rsidP="009163FC">
            <w:pPr>
              <w:jc w:val="both"/>
              <w:rPr>
                <w:rFonts w:ascii="Cambria" w:hAnsi="Cambria"/>
                <w:bCs/>
                <w:sz w:val="20"/>
                <w:szCs w:val="20"/>
              </w:rPr>
            </w:pPr>
            <w:r>
              <w:rPr>
                <w:rFonts w:asciiTheme="majorHAnsi" w:hAnsiTheme="majorHAnsi"/>
                <w:sz w:val="20"/>
                <w:szCs w:val="20"/>
              </w:rPr>
              <w:t xml:space="preserve">Traditional Farmers’ and Artisanal Fishermen’s Community of </w:t>
            </w:r>
            <w:proofErr w:type="spellStart"/>
            <w:r w:rsidRPr="009748AE">
              <w:rPr>
                <w:rFonts w:asciiTheme="majorHAnsi" w:hAnsiTheme="majorHAnsi"/>
                <w:bCs/>
                <w:sz w:val="20"/>
                <w:szCs w:val="20"/>
              </w:rPr>
              <w:t>Areais</w:t>
            </w:r>
            <w:proofErr w:type="spellEnd"/>
            <w:r w:rsidRPr="009748AE">
              <w:rPr>
                <w:rFonts w:asciiTheme="majorHAnsi" w:hAnsiTheme="majorHAnsi"/>
                <w:bCs/>
                <w:sz w:val="20"/>
                <w:szCs w:val="20"/>
              </w:rPr>
              <w:t xml:space="preserve"> da </w:t>
            </w:r>
            <w:proofErr w:type="spellStart"/>
            <w:r w:rsidRPr="009748AE">
              <w:rPr>
                <w:rFonts w:asciiTheme="majorHAnsi" w:hAnsiTheme="majorHAnsi"/>
                <w:bCs/>
                <w:sz w:val="20"/>
                <w:szCs w:val="20"/>
              </w:rPr>
              <w:t>Ribanceira</w:t>
            </w:r>
            <w:proofErr w:type="spellEnd"/>
          </w:p>
        </w:tc>
      </w:tr>
      <w:tr w:rsidR="00F621C3" w:rsidRPr="000B6B7A" w14:paraId="067638D2" w14:textId="77777777" w:rsidTr="00B06BB7">
        <w:tc>
          <w:tcPr>
            <w:tcW w:w="3690" w:type="dxa"/>
            <w:tcBorders>
              <w:top w:val="single" w:sz="6" w:space="0" w:color="auto"/>
              <w:bottom w:val="single" w:sz="6" w:space="0" w:color="auto"/>
            </w:tcBorders>
            <w:shd w:val="clear" w:color="auto" w:fill="67AE3C"/>
            <w:vAlign w:val="center"/>
          </w:tcPr>
          <w:p w14:paraId="32104528" w14:textId="13F57E31" w:rsidR="00F621C3" w:rsidRPr="000B6B7A" w:rsidRDefault="005816E5" w:rsidP="005816E5">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00F621C3" w:rsidRPr="000B6B7A">
              <w:rPr>
                <w:rFonts w:ascii="Cambria" w:hAnsi="Cambria"/>
                <w:b/>
                <w:bCs/>
                <w:color w:val="FFFFFF" w:themeColor="background1"/>
                <w:sz w:val="20"/>
                <w:szCs w:val="20"/>
              </w:rPr>
              <w:t>State:</w:t>
            </w:r>
          </w:p>
        </w:tc>
        <w:tc>
          <w:tcPr>
            <w:tcW w:w="5670" w:type="dxa"/>
            <w:vAlign w:val="center"/>
          </w:tcPr>
          <w:p w14:paraId="3539D391" w14:textId="76DC887A" w:rsidR="00F621C3" w:rsidRPr="000B6B7A" w:rsidRDefault="00B74719" w:rsidP="009163FC">
            <w:pPr>
              <w:jc w:val="both"/>
              <w:rPr>
                <w:rFonts w:ascii="Cambria" w:hAnsi="Cambria"/>
                <w:bCs/>
                <w:sz w:val="20"/>
                <w:szCs w:val="20"/>
              </w:rPr>
            </w:pPr>
            <w:r w:rsidRPr="009748AE">
              <w:rPr>
                <w:rFonts w:asciiTheme="majorHAnsi" w:hAnsiTheme="majorHAnsi"/>
                <w:bCs/>
                <w:sz w:val="20"/>
                <w:szCs w:val="20"/>
              </w:rPr>
              <w:t>Bra</w:t>
            </w:r>
            <w:r>
              <w:rPr>
                <w:rFonts w:asciiTheme="majorHAnsi" w:hAnsiTheme="majorHAnsi"/>
                <w:bCs/>
                <w:sz w:val="20"/>
                <w:szCs w:val="20"/>
              </w:rPr>
              <w:t>z</w:t>
            </w:r>
            <w:r w:rsidRPr="009748AE">
              <w:rPr>
                <w:rFonts w:asciiTheme="majorHAnsi" w:hAnsiTheme="majorHAnsi"/>
                <w:bCs/>
                <w:sz w:val="20"/>
                <w:szCs w:val="20"/>
              </w:rPr>
              <w:t>il</w:t>
            </w:r>
            <w:r w:rsidRPr="009748AE">
              <w:rPr>
                <w:rStyle w:val="FootnoteReference"/>
                <w:rFonts w:asciiTheme="majorHAnsi" w:hAnsiTheme="majorHAnsi"/>
                <w:bCs/>
                <w:sz w:val="20"/>
                <w:szCs w:val="20"/>
              </w:rPr>
              <w:footnoteReference w:id="2"/>
            </w:r>
          </w:p>
        </w:tc>
      </w:tr>
      <w:tr w:rsidR="00E47F3D" w:rsidRPr="000B6B7A" w14:paraId="57F2C481" w14:textId="77777777" w:rsidTr="00B06BB7">
        <w:tc>
          <w:tcPr>
            <w:tcW w:w="3690" w:type="dxa"/>
            <w:tcBorders>
              <w:top w:val="single" w:sz="6" w:space="0" w:color="auto"/>
              <w:bottom w:val="single" w:sz="6" w:space="0" w:color="auto"/>
            </w:tcBorders>
            <w:shd w:val="clear" w:color="auto" w:fill="67AE3C"/>
            <w:vAlign w:val="center"/>
          </w:tcPr>
          <w:p w14:paraId="62BEEF4B" w14:textId="52EAAEA3" w:rsidR="00E47F3D" w:rsidRPr="000B6B7A" w:rsidRDefault="00E47F3D" w:rsidP="00E7588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Rights </w:t>
            </w:r>
            <w:r w:rsidR="00E7588C">
              <w:rPr>
                <w:rFonts w:ascii="Cambria" w:hAnsi="Cambria"/>
                <w:b/>
                <w:bCs/>
                <w:color w:val="FFFFFF" w:themeColor="background1"/>
                <w:sz w:val="20"/>
                <w:szCs w:val="20"/>
              </w:rPr>
              <w:t>invoked:</w:t>
            </w:r>
          </w:p>
        </w:tc>
        <w:tc>
          <w:tcPr>
            <w:tcW w:w="5670" w:type="dxa"/>
            <w:vAlign w:val="center"/>
          </w:tcPr>
          <w:p w14:paraId="51EEF9D2" w14:textId="475BF6F3" w:rsidR="00E47F3D" w:rsidRPr="000B6B7A" w:rsidRDefault="00B74719" w:rsidP="009163FC">
            <w:pPr>
              <w:jc w:val="both"/>
              <w:rPr>
                <w:rFonts w:ascii="Cambria" w:hAnsi="Cambria"/>
                <w:bCs/>
                <w:sz w:val="20"/>
                <w:szCs w:val="20"/>
              </w:rPr>
            </w:pPr>
            <w:r w:rsidRPr="009748AE">
              <w:rPr>
                <w:rFonts w:asciiTheme="majorHAnsi" w:hAnsiTheme="majorHAnsi"/>
                <w:sz w:val="20"/>
                <w:szCs w:val="20"/>
              </w:rPr>
              <w:t>Arti</w:t>
            </w:r>
            <w:r>
              <w:rPr>
                <w:rFonts w:asciiTheme="majorHAnsi" w:hAnsiTheme="majorHAnsi"/>
                <w:sz w:val="20"/>
                <w:szCs w:val="20"/>
              </w:rPr>
              <w:t xml:space="preserve">cles </w:t>
            </w:r>
            <w:r w:rsidRPr="009748AE">
              <w:rPr>
                <w:rFonts w:asciiTheme="majorHAnsi" w:hAnsiTheme="majorHAnsi"/>
                <w:sz w:val="20"/>
                <w:szCs w:val="20"/>
              </w:rPr>
              <w:t>4 (</w:t>
            </w:r>
            <w:r>
              <w:rPr>
                <w:rFonts w:asciiTheme="majorHAnsi" w:hAnsiTheme="majorHAnsi"/>
                <w:sz w:val="20"/>
                <w:szCs w:val="20"/>
              </w:rPr>
              <w:t>life</w:t>
            </w:r>
            <w:r w:rsidRPr="009748AE">
              <w:rPr>
                <w:rFonts w:asciiTheme="majorHAnsi" w:hAnsiTheme="majorHAnsi"/>
                <w:sz w:val="20"/>
                <w:szCs w:val="20"/>
              </w:rPr>
              <w:t>), 8 (</w:t>
            </w:r>
            <w:r>
              <w:rPr>
                <w:rFonts w:asciiTheme="majorHAnsi" w:hAnsiTheme="majorHAnsi"/>
                <w:sz w:val="20"/>
                <w:szCs w:val="20"/>
              </w:rPr>
              <w:t>fair trial</w:t>
            </w:r>
            <w:r w:rsidRPr="009748AE">
              <w:rPr>
                <w:rFonts w:asciiTheme="majorHAnsi" w:hAnsiTheme="majorHAnsi"/>
                <w:sz w:val="20"/>
                <w:szCs w:val="20"/>
              </w:rPr>
              <w:t>), 21 (</w:t>
            </w:r>
            <w:r>
              <w:rPr>
                <w:rFonts w:asciiTheme="majorHAnsi" w:hAnsiTheme="majorHAnsi"/>
                <w:sz w:val="20"/>
                <w:szCs w:val="20"/>
              </w:rPr>
              <w:t>property</w:t>
            </w:r>
            <w:r w:rsidRPr="009748AE">
              <w:rPr>
                <w:rFonts w:asciiTheme="majorHAnsi" w:hAnsiTheme="majorHAnsi"/>
                <w:sz w:val="20"/>
                <w:szCs w:val="20"/>
              </w:rPr>
              <w:t>), 25 (</w:t>
            </w:r>
            <w:r>
              <w:rPr>
                <w:rFonts w:asciiTheme="majorHAnsi" w:hAnsiTheme="majorHAnsi"/>
                <w:sz w:val="20"/>
                <w:szCs w:val="20"/>
              </w:rPr>
              <w:t>judicial protection</w:t>
            </w:r>
            <w:r w:rsidRPr="009748AE">
              <w:rPr>
                <w:rFonts w:asciiTheme="majorHAnsi" w:hAnsiTheme="majorHAnsi"/>
                <w:sz w:val="20"/>
                <w:szCs w:val="20"/>
              </w:rPr>
              <w:t xml:space="preserve">) </w:t>
            </w:r>
            <w:r>
              <w:rPr>
                <w:rFonts w:asciiTheme="majorHAnsi" w:hAnsiTheme="majorHAnsi"/>
                <w:sz w:val="20"/>
                <w:szCs w:val="20"/>
              </w:rPr>
              <w:t>and</w:t>
            </w:r>
            <w:r w:rsidRPr="009748AE">
              <w:rPr>
                <w:rFonts w:asciiTheme="majorHAnsi" w:hAnsiTheme="majorHAnsi"/>
                <w:sz w:val="20"/>
                <w:szCs w:val="20"/>
              </w:rPr>
              <w:t xml:space="preserve"> 26 (</w:t>
            </w:r>
            <w:r>
              <w:rPr>
                <w:rFonts w:asciiTheme="majorHAnsi" w:hAnsiTheme="majorHAnsi"/>
                <w:sz w:val="20"/>
                <w:szCs w:val="20"/>
              </w:rPr>
              <w:t>economic, social and cultural rights</w:t>
            </w:r>
            <w:r w:rsidRPr="009748AE">
              <w:rPr>
                <w:rFonts w:asciiTheme="majorHAnsi" w:hAnsiTheme="majorHAnsi"/>
                <w:sz w:val="20"/>
                <w:szCs w:val="20"/>
              </w:rPr>
              <w:t xml:space="preserve">) </w:t>
            </w:r>
            <w:r>
              <w:rPr>
                <w:rFonts w:asciiTheme="majorHAnsi" w:hAnsiTheme="majorHAnsi"/>
                <w:sz w:val="20"/>
                <w:szCs w:val="20"/>
              </w:rPr>
              <w:t>of the American Convention on Human Rights</w:t>
            </w:r>
            <w:r w:rsidRPr="009748AE">
              <w:rPr>
                <w:rStyle w:val="FootnoteReference"/>
                <w:rFonts w:asciiTheme="majorHAnsi" w:hAnsiTheme="majorHAnsi"/>
                <w:sz w:val="20"/>
                <w:szCs w:val="20"/>
              </w:rPr>
              <w:footnoteReference w:id="3"/>
            </w:r>
            <w:r w:rsidRPr="009748AE">
              <w:rPr>
                <w:rFonts w:asciiTheme="majorHAnsi" w:hAnsiTheme="majorHAnsi"/>
                <w:sz w:val="20"/>
                <w:szCs w:val="20"/>
              </w:rPr>
              <w:t xml:space="preserve"> </w:t>
            </w:r>
            <w:r>
              <w:rPr>
                <w:rFonts w:asciiTheme="majorHAnsi" w:hAnsiTheme="majorHAnsi"/>
                <w:sz w:val="20"/>
                <w:szCs w:val="20"/>
              </w:rPr>
              <w:t xml:space="preserve">in connection with Article </w:t>
            </w:r>
            <w:r w:rsidRPr="009748AE">
              <w:rPr>
                <w:rFonts w:asciiTheme="majorHAnsi" w:hAnsiTheme="majorHAnsi"/>
                <w:sz w:val="20"/>
                <w:szCs w:val="20"/>
              </w:rPr>
              <w:t>1.1 (</w:t>
            </w:r>
            <w:r>
              <w:rPr>
                <w:rFonts w:asciiTheme="majorHAnsi" w:hAnsiTheme="majorHAnsi"/>
                <w:sz w:val="20"/>
                <w:szCs w:val="20"/>
              </w:rPr>
              <w:t>obligation to respect rights</w:t>
            </w:r>
            <w:r w:rsidRPr="009748AE">
              <w:rPr>
                <w:rFonts w:asciiTheme="majorHAnsi" w:hAnsiTheme="majorHAnsi"/>
                <w:sz w:val="20"/>
                <w:szCs w:val="20"/>
              </w:rPr>
              <w:t xml:space="preserve">) </w:t>
            </w:r>
            <w:r>
              <w:rPr>
                <w:rFonts w:asciiTheme="majorHAnsi" w:hAnsiTheme="majorHAnsi"/>
                <w:sz w:val="20"/>
                <w:szCs w:val="20"/>
              </w:rPr>
              <w:t>and Article</w:t>
            </w:r>
            <w:r w:rsidRPr="009748AE">
              <w:rPr>
                <w:rFonts w:asciiTheme="majorHAnsi" w:hAnsiTheme="majorHAnsi"/>
                <w:sz w:val="20"/>
                <w:szCs w:val="20"/>
              </w:rPr>
              <w:t xml:space="preserve"> 2 (</w:t>
            </w:r>
            <w:r>
              <w:rPr>
                <w:rFonts w:asciiTheme="majorHAnsi" w:hAnsiTheme="majorHAnsi"/>
                <w:sz w:val="20"/>
                <w:szCs w:val="20"/>
              </w:rPr>
              <w:t>domestic legal effects</w:t>
            </w:r>
            <w:r w:rsidRPr="009748AE">
              <w:rPr>
                <w:rFonts w:asciiTheme="majorHAnsi" w:hAnsiTheme="majorHAnsi"/>
                <w:sz w:val="20"/>
                <w:szCs w:val="20"/>
              </w:rPr>
              <w:t xml:space="preserve">) </w:t>
            </w:r>
            <w:r>
              <w:rPr>
                <w:rFonts w:asciiTheme="majorHAnsi" w:hAnsiTheme="majorHAnsi"/>
                <w:sz w:val="20"/>
                <w:szCs w:val="20"/>
              </w:rPr>
              <w:t>of the same instrument, and other treaties</w:t>
            </w:r>
            <w:r w:rsidRPr="009748AE">
              <w:rPr>
                <w:rStyle w:val="FootnoteReference"/>
                <w:rFonts w:asciiTheme="majorHAnsi" w:hAnsiTheme="majorHAnsi"/>
                <w:sz w:val="20"/>
                <w:szCs w:val="20"/>
              </w:rPr>
              <w:footnoteReference w:id="4"/>
            </w:r>
          </w:p>
        </w:tc>
      </w:tr>
    </w:tbl>
    <w:p w14:paraId="006E8D49" w14:textId="1C646C41"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w:t>
      </w:r>
      <w:r w:rsidR="00321AFD">
        <w:rPr>
          <w:rFonts w:asciiTheme="majorHAnsi" w:hAnsiTheme="majorHAnsi"/>
          <w:b/>
          <w:bCs/>
          <w:sz w:val="20"/>
          <w:szCs w:val="20"/>
        </w:rPr>
        <w:t>EDINGS</w:t>
      </w:r>
      <w:r w:rsidRPr="000B6B7A">
        <w:rPr>
          <w:rFonts w:asciiTheme="majorHAnsi" w:hAnsiTheme="majorHAnsi"/>
          <w:b/>
          <w:bCs/>
          <w:sz w:val="20"/>
          <w:szCs w:val="20"/>
        </w:rPr>
        <w:t xml:space="preserve"> BEFORE THE IACHR</w:t>
      </w:r>
      <w:r w:rsidR="00653EA6" w:rsidRPr="00653EA6">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B74719" w:rsidRPr="000B6B7A" w14:paraId="1CAEC3AF" w14:textId="77777777" w:rsidTr="00B06BB7">
        <w:tc>
          <w:tcPr>
            <w:tcW w:w="3690" w:type="dxa"/>
            <w:tcBorders>
              <w:top w:val="single" w:sz="6" w:space="0" w:color="auto"/>
              <w:bottom w:val="single" w:sz="6" w:space="0" w:color="auto"/>
            </w:tcBorders>
            <w:shd w:val="clear" w:color="auto" w:fill="67AE3C"/>
            <w:vAlign w:val="center"/>
          </w:tcPr>
          <w:p w14:paraId="2C2ED774" w14:textId="32BB789E" w:rsidR="00B74719" w:rsidRPr="000B6B7A" w:rsidRDefault="00B74719" w:rsidP="00B74719">
            <w:pPr>
              <w:jc w:val="center"/>
              <w:rPr>
                <w:rFonts w:ascii="Cambria" w:hAnsi="Cambria"/>
                <w:b/>
                <w:bCs/>
                <w:color w:val="FFFFFF" w:themeColor="background1"/>
                <w:sz w:val="20"/>
                <w:szCs w:val="20"/>
              </w:rPr>
            </w:pPr>
            <w:r>
              <w:rPr>
                <w:rFonts w:ascii="Cambria" w:hAnsi="Cambria"/>
                <w:b/>
                <w:bCs/>
                <w:color w:val="FFFFFF" w:themeColor="background1"/>
                <w:sz w:val="20"/>
                <w:szCs w:val="20"/>
              </w:rPr>
              <w:t>Filing of the petition</w:t>
            </w:r>
            <w:r w:rsidRPr="000B6B7A">
              <w:rPr>
                <w:rFonts w:ascii="Cambria" w:hAnsi="Cambria"/>
                <w:b/>
                <w:bCs/>
                <w:color w:val="FFFFFF" w:themeColor="background1"/>
                <w:sz w:val="20"/>
                <w:szCs w:val="20"/>
              </w:rPr>
              <w:t>:</w:t>
            </w:r>
          </w:p>
        </w:tc>
        <w:tc>
          <w:tcPr>
            <w:tcW w:w="5670" w:type="dxa"/>
            <w:vAlign w:val="center"/>
          </w:tcPr>
          <w:p w14:paraId="1C0C3DE2" w14:textId="0B2BA743" w:rsidR="00B74719" w:rsidRPr="000B6B7A" w:rsidRDefault="00B74719" w:rsidP="00B74719">
            <w:pPr>
              <w:jc w:val="both"/>
              <w:rPr>
                <w:rFonts w:ascii="Cambria" w:hAnsi="Cambria"/>
                <w:bCs/>
                <w:sz w:val="20"/>
                <w:szCs w:val="20"/>
              </w:rPr>
            </w:pPr>
            <w:r>
              <w:rPr>
                <w:rFonts w:asciiTheme="majorHAnsi" w:hAnsiTheme="majorHAnsi"/>
                <w:bCs/>
                <w:sz w:val="20"/>
                <w:szCs w:val="20"/>
              </w:rPr>
              <w:t xml:space="preserve">January </w:t>
            </w:r>
            <w:r w:rsidRPr="009748AE">
              <w:rPr>
                <w:rFonts w:asciiTheme="majorHAnsi" w:hAnsiTheme="majorHAnsi"/>
                <w:bCs/>
                <w:sz w:val="20"/>
                <w:szCs w:val="20"/>
              </w:rPr>
              <w:t>28</w:t>
            </w:r>
            <w:r>
              <w:rPr>
                <w:rFonts w:asciiTheme="majorHAnsi" w:hAnsiTheme="majorHAnsi"/>
                <w:bCs/>
                <w:sz w:val="20"/>
                <w:szCs w:val="20"/>
              </w:rPr>
              <w:t>,</w:t>
            </w:r>
            <w:r w:rsidRPr="009748AE">
              <w:rPr>
                <w:rFonts w:asciiTheme="majorHAnsi" w:hAnsiTheme="majorHAnsi"/>
                <w:bCs/>
                <w:sz w:val="20"/>
                <w:szCs w:val="20"/>
              </w:rPr>
              <w:t xml:space="preserve"> 2011</w:t>
            </w:r>
          </w:p>
        </w:tc>
      </w:tr>
      <w:tr w:rsidR="00B74719" w:rsidRPr="000B6B7A" w14:paraId="700E913D" w14:textId="77777777" w:rsidTr="00B06BB7">
        <w:tc>
          <w:tcPr>
            <w:tcW w:w="3690" w:type="dxa"/>
            <w:tcBorders>
              <w:top w:val="single" w:sz="6" w:space="0" w:color="auto"/>
              <w:bottom w:val="single" w:sz="6" w:space="0" w:color="auto"/>
            </w:tcBorders>
            <w:shd w:val="clear" w:color="auto" w:fill="67AE3C"/>
            <w:vAlign w:val="center"/>
          </w:tcPr>
          <w:p w14:paraId="7795D1B9" w14:textId="6A0BC5DB" w:rsidR="00B74719" w:rsidRPr="000B6B7A" w:rsidRDefault="00B74719" w:rsidP="00B74719">
            <w:pPr>
              <w:jc w:val="center"/>
              <w:rPr>
                <w:rFonts w:ascii="Cambria" w:hAnsi="Cambria"/>
                <w:b/>
                <w:color w:val="FFFFFF" w:themeColor="background1"/>
                <w:sz w:val="20"/>
                <w:szCs w:val="20"/>
              </w:rPr>
            </w:pPr>
            <w:r w:rsidRPr="000B6B7A">
              <w:rPr>
                <w:rFonts w:ascii="Cambria" w:hAnsi="Cambria"/>
                <w:b/>
                <w:color w:val="FFFFFF" w:themeColor="background1"/>
                <w:sz w:val="20"/>
                <w:szCs w:val="20"/>
              </w:rPr>
              <w:t xml:space="preserve">Additional information received at the </w:t>
            </w:r>
            <w:r>
              <w:rPr>
                <w:rFonts w:ascii="Cambria" w:hAnsi="Cambria"/>
                <w:b/>
                <w:color w:val="FFFFFF" w:themeColor="background1"/>
                <w:sz w:val="20"/>
                <w:szCs w:val="20"/>
              </w:rPr>
              <w:t>s</w:t>
            </w:r>
            <w:r w:rsidRPr="000B6B7A">
              <w:rPr>
                <w:rFonts w:ascii="Cambria" w:hAnsi="Cambria"/>
                <w:b/>
                <w:color w:val="FFFFFF" w:themeColor="background1"/>
                <w:sz w:val="20"/>
                <w:szCs w:val="20"/>
              </w:rPr>
              <w:t>tage</w:t>
            </w:r>
            <w:r>
              <w:rPr>
                <w:rFonts w:ascii="Cambria" w:hAnsi="Cambria"/>
                <w:b/>
                <w:color w:val="FFFFFF" w:themeColor="background1"/>
                <w:sz w:val="20"/>
                <w:szCs w:val="20"/>
              </w:rPr>
              <w:t xml:space="preserve"> of initial review</w:t>
            </w:r>
            <w:r w:rsidRPr="000B6B7A">
              <w:rPr>
                <w:rFonts w:ascii="Cambria" w:hAnsi="Cambria"/>
                <w:b/>
                <w:color w:val="FFFFFF" w:themeColor="background1"/>
                <w:sz w:val="20"/>
                <w:szCs w:val="20"/>
              </w:rPr>
              <w:t>:</w:t>
            </w:r>
          </w:p>
        </w:tc>
        <w:tc>
          <w:tcPr>
            <w:tcW w:w="5670" w:type="dxa"/>
            <w:vAlign w:val="center"/>
          </w:tcPr>
          <w:p w14:paraId="499B90CB" w14:textId="68D4C534" w:rsidR="00B74719" w:rsidRPr="000B6B7A" w:rsidRDefault="00B74719" w:rsidP="00B74719">
            <w:pPr>
              <w:jc w:val="both"/>
              <w:rPr>
                <w:rFonts w:ascii="Cambria" w:hAnsi="Cambria"/>
                <w:bCs/>
                <w:sz w:val="20"/>
                <w:szCs w:val="20"/>
              </w:rPr>
            </w:pPr>
            <w:r>
              <w:rPr>
                <w:rFonts w:asciiTheme="majorHAnsi" w:hAnsiTheme="majorHAnsi"/>
                <w:bCs/>
                <w:sz w:val="20"/>
                <w:szCs w:val="20"/>
              </w:rPr>
              <w:t xml:space="preserve">January </w:t>
            </w:r>
            <w:r w:rsidRPr="009748AE">
              <w:rPr>
                <w:rFonts w:asciiTheme="majorHAnsi" w:hAnsiTheme="majorHAnsi"/>
                <w:bCs/>
                <w:sz w:val="20"/>
                <w:szCs w:val="20"/>
              </w:rPr>
              <w:t>31</w:t>
            </w:r>
            <w:r>
              <w:rPr>
                <w:rFonts w:asciiTheme="majorHAnsi" w:hAnsiTheme="majorHAnsi"/>
                <w:bCs/>
                <w:sz w:val="20"/>
                <w:szCs w:val="20"/>
              </w:rPr>
              <w:t>,</w:t>
            </w:r>
            <w:r w:rsidRPr="009748AE">
              <w:rPr>
                <w:rFonts w:asciiTheme="majorHAnsi" w:hAnsiTheme="majorHAnsi"/>
                <w:bCs/>
                <w:sz w:val="20"/>
                <w:szCs w:val="20"/>
              </w:rPr>
              <w:t xml:space="preserve"> 2011</w:t>
            </w:r>
          </w:p>
        </w:tc>
      </w:tr>
      <w:tr w:rsidR="00B74719" w:rsidRPr="000B6B7A" w14:paraId="7EAB2BD7" w14:textId="77777777" w:rsidTr="00B06BB7">
        <w:tc>
          <w:tcPr>
            <w:tcW w:w="3690" w:type="dxa"/>
            <w:tcBorders>
              <w:top w:val="single" w:sz="6" w:space="0" w:color="auto"/>
              <w:bottom w:val="single" w:sz="6" w:space="0" w:color="auto"/>
            </w:tcBorders>
            <w:shd w:val="clear" w:color="auto" w:fill="67AE3C"/>
            <w:vAlign w:val="center"/>
          </w:tcPr>
          <w:p w14:paraId="79E6B4A9" w14:textId="542A8588" w:rsidR="00B74719" w:rsidRPr="000B6B7A" w:rsidRDefault="00B74719" w:rsidP="00B74719">
            <w:pPr>
              <w:jc w:val="center"/>
              <w:rPr>
                <w:rFonts w:ascii="Cambria" w:hAnsi="Cambria"/>
                <w:b/>
                <w:bCs/>
                <w:color w:val="FFFFFF" w:themeColor="background1"/>
                <w:sz w:val="20"/>
                <w:szCs w:val="20"/>
              </w:rPr>
            </w:pPr>
            <w:r>
              <w:rPr>
                <w:rFonts w:ascii="Cambria" w:hAnsi="Cambria"/>
                <w:b/>
                <w:color w:val="FFFFFF" w:themeColor="background1"/>
                <w:sz w:val="20"/>
                <w:szCs w:val="20"/>
              </w:rPr>
              <w:t>Notification of the petition to</w:t>
            </w:r>
            <w:r w:rsidRPr="000B6B7A">
              <w:rPr>
                <w:rFonts w:ascii="Cambria" w:hAnsi="Cambria"/>
                <w:b/>
                <w:color w:val="FFFFFF" w:themeColor="background1"/>
                <w:sz w:val="20"/>
                <w:szCs w:val="20"/>
              </w:rPr>
              <w:t xml:space="preserve"> the State:</w:t>
            </w:r>
          </w:p>
        </w:tc>
        <w:tc>
          <w:tcPr>
            <w:tcW w:w="5670" w:type="dxa"/>
            <w:vAlign w:val="center"/>
          </w:tcPr>
          <w:p w14:paraId="22ADBFFE" w14:textId="756DFD43" w:rsidR="00B74719" w:rsidRPr="000B6B7A" w:rsidRDefault="00B74719" w:rsidP="00B74719">
            <w:pPr>
              <w:jc w:val="both"/>
              <w:rPr>
                <w:rFonts w:ascii="Cambria" w:hAnsi="Cambria"/>
                <w:bCs/>
                <w:sz w:val="20"/>
                <w:szCs w:val="20"/>
              </w:rPr>
            </w:pPr>
            <w:r>
              <w:rPr>
                <w:rFonts w:asciiTheme="majorHAnsi" w:hAnsiTheme="majorHAnsi"/>
                <w:bCs/>
                <w:sz w:val="20"/>
                <w:szCs w:val="20"/>
              </w:rPr>
              <w:t xml:space="preserve">December </w:t>
            </w:r>
            <w:r w:rsidRPr="009748AE">
              <w:rPr>
                <w:rFonts w:asciiTheme="majorHAnsi" w:hAnsiTheme="majorHAnsi"/>
                <w:bCs/>
                <w:sz w:val="20"/>
                <w:szCs w:val="20"/>
              </w:rPr>
              <w:t>11</w:t>
            </w:r>
            <w:r>
              <w:rPr>
                <w:rFonts w:asciiTheme="majorHAnsi" w:hAnsiTheme="majorHAnsi"/>
                <w:bCs/>
                <w:sz w:val="20"/>
                <w:szCs w:val="20"/>
              </w:rPr>
              <w:t>,</w:t>
            </w:r>
            <w:r w:rsidRPr="009748AE">
              <w:rPr>
                <w:rFonts w:asciiTheme="majorHAnsi" w:hAnsiTheme="majorHAnsi"/>
                <w:bCs/>
                <w:sz w:val="20"/>
                <w:szCs w:val="20"/>
              </w:rPr>
              <w:t xml:space="preserve"> 2015</w:t>
            </w:r>
          </w:p>
        </w:tc>
      </w:tr>
      <w:tr w:rsidR="00B74719" w:rsidRPr="000B6B7A" w14:paraId="56560AE1" w14:textId="77777777" w:rsidTr="00B06BB7">
        <w:trPr>
          <w:trHeight w:val="264"/>
        </w:trPr>
        <w:tc>
          <w:tcPr>
            <w:tcW w:w="3690" w:type="dxa"/>
            <w:tcBorders>
              <w:top w:val="single" w:sz="6" w:space="0" w:color="auto"/>
              <w:bottom w:val="single" w:sz="6" w:space="0" w:color="auto"/>
            </w:tcBorders>
            <w:shd w:val="clear" w:color="auto" w:fill="67AE3C"/>
            <w:vAlign w:val="center"/>
          </w:tcPr>
          <w:p w14:paraId="07BDDCA2" w14:textId="4272A20D" w:rsidR="00B74719" w:rsidRPr="000B6B7A" w:rsidRDefault="00B74719" w:rsidP="00B74719">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State’s first response:</w:t>
            </w:r>
          </w:p>
        </w:tc>
        <w:tc>
          <w:tcPr>
            <w:tcW w:w="5670" w:type="dxa"/>
            <w:vAlign w:val="center"/>
          </w:tcPr>
          <w:p w14:paraId="19C5DA57" w14:textId="0FADF2C6" w:rsidR="00B74719" w:rsidRPr="000B6B7A" w:rsidRDefault="00B74719" w:rsidP="00B74719">
            <w:pPr>
              <w:jc w:val="both"/>
              <w:rPr>
                <w:rFonts w:ascii="Cambria" w:hAnsi="Cambria"/>
                <w:bCs/>
                <w:sz w:val="20"/>
                <w:szCs w:val="20"/>
              </w:rPr>
            </w:pPr>
            <w:r>
              <w:rPr>
                <w:rFonts w:asciiTheme="majorHAnsi" w:hAnsiTheme="majorHAnsi"/>
                <w:bCs/>
                <w:sz w:val="20"/>
                <w:szCs w:val="20"/>
              </w:rPr>
              <w:t xml:space="preserve">February </w:t>
            </w:r>
            <w:r w:rsidRPr="009748AE">
              <w:rPr>
                <w:rFonts w:asciiTheme="majorHAnsi" w:hAnsiTheme="majorHAnsi"/>
                <w:bCs/>
                <w:sz w:val="20"/>
                <w:szCs w:val="20"/>
              </w:rPr>
              <w:t>5</w:t>
            </w:r>
            <w:r>
              <w:rPr>
                <w:rFonts w:asciiTheme="majorHAnsi" w:hAnsiTheme="majorHAnsi"/>
                <w:bCs/>
                <w:sz w:val="20"/>
                <w:szCs w:val="20"/>
              </w:rPr>
              <w:t>,</w:t>
            </w:r>
            <w:r w:rsidRPr="009748AE">
              <w:rPr>
                <w:rFonts w:asciiTheme="majorHAnsi" w:hAnsiTheme="majorHAnsi"/>
                <w:bCs/>
                <w:sz w:val="20"/>
                <w:szCs w:val="20"/>
              </w:rPr>
              <w:t xml:space="preserve"> 2016</w:t>
            </w:r>
          </w:p>
        </w:tc>
      </w:tr>
      <w:tr w:rsidR="00B74719" w:rsidRPr="000B6B7A" w14:paraId="7A8A8A3C" w14:textId="77777777" w:rsidTr="00B06BB7">
        <w:tc>
          <w:tcPr>
            <w:tcW w:w="3690" w:type="dxa"/>
            <w:tcBorders>
              <w:top w:val="single" w:sz="6" w:space="0" w:color="auto"/>
              <w:bottom w:val="single" w:sz="6" w:space="0" w:color="auto"/>
            </w:tcBorders>
            <w:shd w:val="clear" w:color="auto" w:fill="67AE3C"/>
            <w:vAlign w:val="center"/>
          </w:tcPr>
          <w:p w14:paraId="3DEC3A52" w14:textId="4AD4BFB0" w:rsidR="00B74719" w:rsidRPr="000B6B7A" w:rsidRDefault="00B74719" w:rsidP="00B74719">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petition</w:t>
            </w:r>
            <w:r>
              <w:rPr>
                <w:rFonts w:ascii="Cambria" w:hAnsi="Cambria"/>
                <w:b/>
                <w:bCs/>
                <w:color w:val="FFFFFF" w:themeColor="background1"/>
                <w:sz w:val="20"/>
                <w:szCs w:val="20"/>
              </w:rPr>
              <w:t>er</w:t>
            </w:r>
            <w:r w:rsidRPr="000B6B7A">
              <w:rPr>
                <w:rFonts w:ascii="Cambria" w:hAnsi="Cambria"/>
                <w:b/>
                <w:bCs/>
                <w:color w:val="FFFFFF" w:themeColor="background1"/>
                <w:sz w:val="20"/>
                <w:szCs w:val="20"/>
              </w:rPr>
              <w:t>:</w:t>
            </w:r>
          </w:p>
        </w:tc>
        <w:tc>
          <w:tcPr>
            <w:tcW w:w="5670" w:type="dxa"/>
            <w:vAlign w:val="center"/>
          </w:tcPr>
          <w:p w14:paraId="2A863ACD" w14:textId="7EACE536" w:rsidR="00B74719" w:rsidRPr="000B6B7A" w:rsidRDefault="00B74719" w:rsidP="00B74719">
            <w:pPr>
              <w:jc w:val="both"/>
              <w:rPr>
                <w:rFonts w:ascii="Cambria" w:hAnsi="Cambria"/>
                <w:bCs/>
                <w:sz w:val="20"/>
                <w:szCs w:val="20"/>
              </w:rPr>
            </w:pPr>
            <w:r>
              <w:rPr>
                <w:rFonts w:asciiTheme="majorHAnsi" w:hAnsiTheme="majorHAnsi"/>
                <w:bCs/>
                <w:sz w:val="20"/>
                <w:szCs w:val="20"/>
              </w:rPr>
              <w:t xml:space="preserve">November </w:t>
            </w:r>
            <w:r w:rsidRPr="009748AE">
              <w:rPr>
                <w:rFonts w:asciiTheme="majorHAnsi" w:hAnsiTheme="majorHAnsi"/>
                <w:bCs/>
                <w:sz w:val="20"/>
                <w:szCs w:val="20"/>
              </w:rPr>
              <w:t>6</w:t>
            </w:r>
            <w:r>
              <w:rPr>
                <w:rFonts w:asciiTheme="majorHAnsi" w:hAnsiTheme="majorHAnsi"/>
                <w:bCs/>
                <w:sz w:val="20"/>
                <w:szCs w:val="20"/>
              </w:rPr>
              <w:t>,</w:t>
            </w:r>
            <w:r w:rsidRPr="009748AE">
              <w:rPr>
                <w:rFonts w:asciiTheme="majorHAnsi" w:hAnsiTheme="majorHAnsi"/>
                <w:bCs/>
                <w:sz w:val="20"/>
                <w:szCs w:val="20"/>
              </w:rPr>
              <w:t xml:space="preserve"> 2018</w:t>
            </w:r>
          </w:p>
        </w:tc>
      </w:tr>
    </w:tbl>
    <w:p w14:paraId="7F88B361"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49"/>
        <w:gridCol w:w="5593"/>
      </w:tblGrid>
      <w:tr w:rsidR="00F621C3" w:rsidRPr="000B6B7A" w14:paraId="2F81CC8B" w14:textId="77777777" w:rsidTr="001F1902">
        <w:trPr>
          <w:cantSplit/>
        </w:trPr>
        <w:tc>
          <w:tcPr>
            <w:tcW w:w="3690" w:type="dxa"/>
            <w:tcBorders>
              <w:top w:val="single" w:sz="4" w:space="0" w:color="auto"/>
              <w:bottom w:val="single" w:sz="6" w:space="0" w:color="auto"/>
            </w:tcBorders>
            <w:shd w:val="clear" w:color="auto" w:fill="67AE3C"/>
            <w:vAlign w:val="center"/>
          </w:tcPr>
          <w:p w14:paraId="3A568008"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personae:</w:t>
            </w:r>
          </w:p>
        </w:tc>
        <w:tc>
          <w:tcPr>
            <w:tcW w:w="5670" w:type="dxa"/>
            <w:vAlign w:val="center"/>
          </w:tcPr>
          <w:p w14:paraId="237A8D0C" w14:textId="100B5201" w:rsidR="00F621C3" w:rsidRPr="000B6B7A" w:rsidRDefault="00B74719" w:rsidP="009163FC">
            <w:pPr>
              <w:rPr>
                <w:rFonts w:asciiTheme="majorHAnsi" w:hAnsiTheme="majorHAnsi"/>
                <w:bCs/>
                <w:sz w:val="20"/>
                <w:szCs w:val="20"/>
              </w:rPr>
            </w:pPr>
            <w:r>
              <w:rPr>
                <w:rFonts w:asciiTheme="majorHAnsi" w:hAnsiTheme="majorHAnsi"/>
                <w:bCs/>
                <w:sz w:val="20"/>
                <w:szCs w:val="20"/>
              </w:rPr>
              <w:t>Yes</w:t>
            </w:r>
          </w:p>
        </w:tc>
      </w:tr>
      <w:tr w:rsidR="00F621C3" w:rsidRPr="000B6B7A" w14:paraId="5FE56D1B" w14:textId="77777777" w:rsidTr="001F1902">
        <w:trPr>
          <w:cantSplit/>
        </w:trPr>
        <w:tc>
          <w:tcPr>
            <w:tcW w:w="3690" w:type="dxa"/>
            <w:tcBorders>
              <w:top w:val="single" w:sz="6" w:space="0" w:color="auto"/>
              <w:bottom w:val="single" w:sz="6" w:space="0" w:color="auto"/>
            </w:tcBorders>
            <w:shd w:val="clear" w:color="auto" w:fill="67AE3C"/>
            <w:vAlign w:val="center"/>
          </w:tcPr>
          <w:p w14:paraId="2190B96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loci</w:t>
            </w:r>
            <w:r w:rsidRPr="000B6B7A">
              <w:rPr>
                <w:rFonts w:ascii="Cambria" w:hAnsi="Cambria"/>
                <w:b/>
                <w:bCs/>
                <w:color w:val="FFFFFF" w:themeColor="background1"/>
                <w:sz w:val="20"/>
                <w:szCs w:val="20"/>
              </w:rPr>
              <w:t>:</w:t>
            </w:r>
          </w:p>
        </w:tc>
        <w:tc>
          <w:tcPr>
            <w:tcW w:w="5670" w:type="dxa"/>
            <w:vAlign w:val="center"/>
          </w:tcPr>
          <w:p w14:paraId="48257424" w14:textId="0C316DD3" w:rsidR="00F621C3" w:rsidRPr="000B6B7A" w:rsidRDefault="00B74719" w:rsidP="009163FC">
            <w:pPr>
              <w:rPr>
                <w:rFonts w:asciiTheme="majorHAnsi" w:hAnsiTheme="majorHAnsi"/>
                <w:bCs/>
                <w:sz w:val="20"/>
                <w:szCs w:val="20"/>
              </w:rPr>
            </w:pPr>
            <w:r>
              <w:rPr>
                <w:rFonts w:asciiTheme="majorHAnsi" w:hAnsiTheme="majorHAnsi"/>
                <w:bCs/>
                <w:sz w:val="20"/>
                <w:szCs w:val="20"/>
              </w:rPr>
              <w:t>Yes</w:t>
            </w:r>
          </w:p>
        </w:tc>
      </w:tr>
      <w:tr w:rsidR="00F621C3" w:rsidRPr="000B6B7A" w14:paraId="372B5DD8" w14:textId="77777777" w:rsidTr="001F1902">
        <w:trPr>
          <w:cantSplit/>
        </w:trPr>
        <w:tc>
          <w:tcPr>
            <w:tcW w:w="3690" w:type="dxa"/>
            <w:tcBorders>
              <w:top w:val="single" w:sz="6" w:space="0" w:color="auto"/>
              <w:bottom w:val="single" w:sz="6" w:space="0" w:color="auto"/>
            </w:tcBorders>
            <w:shd w:val="clear" w:color="auto" w:fill="67AE3C"/>
            <w:vAlign w:val="center"/>
          </w:tcPr>
          <w:p w14:paraId="7F979173"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temporis</w:t>
            </w:r>
            <w:proofErr w:type="spellEnd"/>
            <w:r w:rsidRPr="000B6B7A">
              <w:rPr>
                <w:rFonts w:ascii="Cambria" w:hAnsi="Cambria"/>
                <w:b/>
                <w:bCs/>
                <w:color w:val="FFFFFF" w:themeColor="background1"/>
                <w:sz w:val="20"/>
                <w:szCs w:val="20"/>
              </w:rPr>
              <w:t>:</w:t>
            </w:r>
          </w:p>
        </w:tc>
        <w:tc>
          <w:tcPr>
            <w:tcW w:w="5670" w:type="dxa"/>
            <w:vAlign w:val="center"/>
          </w:tcPr>
          <w:p w14:paraId="74B3F783" w14:textId="6C17D92D" w:rsidR="00F621C3" w:rsidRPr="000B6B7A" w:rsidRDefault="00B74719" w:rsidP="009163FC">
            <w:pPr>
              <w:rPr>
                <w:rFonts w:asciiTheme="majorHAnsi" w:hAnsiTheme="majorHAnsi"/>
                <w:bCs/>
                <w:sz w:val="20"/>
                <w:szCs w:val="20"/>
              </w:rPr>
            </w:pPr>
            <w:r>
              <w:rPr>
                <w:rFonts w:asciiTheme="majorHAnsi" w:hAnsiTheme="majorHAnsi"/>
                <w:bCs/>
                <w:sz w:val="20"/>
                <w:szCs w:val="20"/>
              </w:rPr>
              <w:t>Yes</w:t>
            </w:r>
          </w:p>
        </w:tc>
      </w:tr>
      <w:tr w:rsidR="00F621C3" w:rsidRPr="000B6B7A" w14:paraId="6648704B" w14:textId="77777777" w:rsidTr="001F1902">
        <w:trPr>
          <w:cantSplit/>
        </w:trPr>
        <w:tc>
          <w:tcPr>
            <w:tcW w:w="3690" w:type="dxa"/>
            <w:tcBorders>
              <w:top w:val="single" w:sz="6" w:space="0" w:color="auto"/>
              <w:bottom w:val="single" w:sz="6" w:space="0" w:color="auto"/>
            </w:tcBorders>
            <w:shd w:val="clear" w:color="auto" w:fill="67AE3C"/>
            <w:vAlign w:val="center"/>
          </w:tcPr>
          <w:p w14:paraId="15BBE7A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materiae</w:t>
            </w:r>
            <w:proofErr w:type="spellEnd"/>
            <w:r w:rsidRPr="000B6B7A">
              <w:rPr>
                <w:rFonts w:ascii="Cambria" w:hAnsi="Cambria"/>
                <w:b/>
                <w:bCs/>
                <w:color w:val="FFFFFF" w:themeColor="background1"/>
                <w:sz w:val="20"/>
                <w:szCs w:val="20"/>
              </w:rPr>
              <w:t>:</w:t>
            </w:r>
          </w:p>
        </w:tc>
        <w:tc>
          <w:tcPr>
            <w:tcW w:w="5670" w:type="dxa"/>
            <w:vAlign w:val="center"/>
          </w:tcPr>
          <w:p w14:paraId="64B3F199" w14:textId="424320C2" w:rsidR="00F621C3" w:rsidRPr="000B6B7A" w:rsidRDefault="00B74719" w:rsidP="009163FC">
            <w:pPr>
              <w:jc w:val="both"/>
              <w:rPr>
                <w:rFonts w:asciiTheme="majorHAnsi" w:hAnsiTheme="majorHAnsi"/>
                <w:bCs/>
                <w:sz w:val="20"/>
                <w:szCs w:val="20"/>
              </w:rPr>
            </w:pPr>
            <w:r>
              <w:rPr>
                <w:rFonts w:asciiTheme="majorHAnsi" w:hAnsiTheme="majorHAnsi"/>
                <w:bCs/>
                <w:sz w:val="20"/>
                <w:szCs w:val="20"/>
              </w:rPr>
              <w:t xml:space="preserve">Yes, American Convention </w:t>
            </w:r>
            <w:r w:rsidRPr="009748AE">
              <w:rPr>
                <w:rFonts w:asciiTheme="majorHAnsi" w:hAnsiTheme="majorHAnsi"/>
                <w:bCs/>
                <w:sz w:val="20"/>
                <w:szCs w:val="20"/>
              </w:rPr>
              <w:t>(</w:t>
            </w:r>
            <w:r>
              <w:rPr>
                <w:rFonts w:asciiTheme="majorHAnsi" w:hAnsiTheme="majorHAnsi"/>
                <w:bCs/>
                <w:sz w:val="20"/>
                <w:szCs w:val="20"/>
              </w:rPr>
              <w:t>instrument adopted on September 25, 1992</w:t>
            </w:r>
            <w:r w:rsidRPr="009748AE">
              <w:rPr>
                <w:rFonts w:asciiTheme="majorHAnsi" w:hAnsiTheme="majorHAnsi"/>
                <w:bCs/>
                <w:sz w:val="20"/>
                <w:szCs w:val="20"/>
              </w:rPr>
              <w:t>)</w:t>
            </w:r>
          </w:p>
        </w:tc>
      </w:tr>
    </w:tbl>
    <w:p w14:paraId="0408D4CD" w14:textId="54A61356"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56"/>
        <w:gridCol w:w="5586"/>
      </w:tblGrid>
      <w:tr w:rsidR="00F621C3" w:rsidRPr="000B6B7A" w14:paraId="4091A423" w14:textId="77777777" w:rsidTr="00B74719">
        <w:trPr>
          <w:cantSplit/>
        </w:trPr>
        <w:tc>
          <w:tcPr>
            <w:tcW w:w="3656" w:type="dxa"/>
            <w:tcBorders>
              <w:top w:val="single" w:sz="4" w:space="0" w:color="auto"/>
              <w:bottom w:val="single" w:sz="6" w:space="0" w:color="auto"/>
            </w:tcBorders>
            <w:shd w:val="clear" w:color="auto" w:fill="67AE3C"/>
            <w:vAlign w:val="center"/>
          </w:tcPr>
          <w:p w14:paraId="61D870F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586" w:type="dxa"/>
            <w:vAlign w:val="center"/>
          </w:tcPr>
          <w:p w14:paraId="4773CD23" w14:textId="15B968F9" w:rsidR="00F621C3" w:rsidRPr="000B6B7A" w:rsidRDefault="00B74719" w:rsidP="009163FC">
            <w:pPr>
              <w:jc w:val="both"/>
              <w:rPr>
                <w:rFonts w:ascii="Cambria" w:hAnsi="Cambria"/>
                <w:bCs/>
                <w:sz w:val="20"/>
                <w:szCs w:val="20"/>
              </w:rPr>
            </w:pPr>
            <w:r>
              <w:rPr>
                <w:rFonts w:ascii="Cambria" w:hAnsi="Cambria"/>
                <w:bCs/>
                <w:sz w:val="20"/>
                <w:szCs w:val="20"/>
              </w:rPr>
              <w:t>No</w:t>
            </w:r>
          </w:p>
        </w:tc>
      </w:tr>
      <w:tr w:rsidR="00F621C3" w:rsidRPr="000B6B7A" w14:paraId="24B3B5A9" w14:textId="77777777" w:rsidTr="00B74719">
        <w:trPr>
          <w:cantSplit/>
        </w:trPr>
        <w:tc>
          <w:tcPr>
            <w:tcW w:w="3656" w:type="dxa"/>
            <w:tcBorders>
              <w:top w:val="single" w:sz="6" w:space="0" w:color="auto"/>
              <w:bottom w:val="single" w:sz="6" w:space="0" w:color="auto"/>
            </w:tcBorders>
            <w:shd w:val="clear" w:color="auto" w:fill="67AE3C"/>
            <w:vAlign w:val="center"/>
          </w:tcPr>
          <w:p w14:paraId="2E52A630"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5586" w:type="dxa"/>
            <w:vAlign w:val="center"/>
          </w:tcPr>
          <w:p w14:paraId="33BE4040" w14:textId="49FD4136" w:rsidR="00F621C3" w:rsidRPr="000B6B7A" w:rsidRDefault="00B74719" w:rsidP="009163FC">
            <w:pPr>
              <w:jc w:val="both"/>
              <w:rPr>
                <w:rFonts w:ascii="Cambria" w:hAnsi="Cambria"/>
                <w:bCs/>
                <w:sz w:val="20"/>
                <w:szCs w:val="20"/>
              </w:rPr>
            </w:pPr>
            <w:r>
              <w:rPr>
                <w:rFonts w:asciiTheme="majorHAnsi" w:hAnsiTheme="majorHAnsi"/>
                <w:sz w:val="20"/>
                <w:szCs w:val="20"/>
              </w:rPr>
              <w:t xml:space="preserve">Articles </w:t>
            </w:r>
            <w:r w:rsidRPr="009748AE">
              <w:rPr>
                <w:rFonts w:asciiTheme="majorHAnsi" w:hAnsiTheme="majorHAnsi"/>
                <w:sz w:val="20"/>
                <w:szCs w:val="20"/>
              </w:rPr>
              <w:t>4 (</w:t>
            </w:r>
            <w:r>
              <w:rPr>
                <w:rFonts w:asciiTheme="majorHAnsi" w:hAnsiTheme="majorHAnsi"/>
                <w:sz w:val="20"/>
                <w:szCs w:val="20"/>
              </w:rPr>
              <w:t>life</w:t>
            </w:r>
            <w:r w:rsidRPr="009748AE">
              <w:rPr>
                <w:rFonts w:asciiTheme="majorHAnsi" w:hAnsiTheme="majorHAnsi"/>
                <w:sz w:val="20"/>
                <w:szCs w:val="20"/>
              </w:rPr>
              <w:t>), 5 (</w:t>
            </w:r>
            <w:r>
              <w:rPr>
                <w:rFonts w:asciiTheme="majorHAnsi" w:hAnsiTheme="majorHAnsi"/>
                <w:sz w:val="20"/>
                <w:szCs w:val="20"/>
              </w:rPr>
              <w:t>humane treatment</w:t>
            </w:r>
            <w:r w:rsidRPr="009748AE">
              <w:rPr>
                <w:rFonts w:asciiTheme="majorHAnsi" w:hAnsiTheme="majorHAnsi"/>
                <w:sz w:val="20"/>
                <w:szCs w:val="20"/>
              </w:rPr>
              <w:t>), 8 (</w:t>
            </w:r>
            <w:r>
              <w:rPr>
                <w:rFonts w:asciiTheme="majorHAnsi" w:hAnsiTheme="majorHAnsi"/>
                <w:sz w:val="20"/>
                <w:szCs w:val="20"/>
              </w:rPr>
              <w:t>fair trial</w:t>
            </w:r>
            <w:r w:rsidRPr="009748AE">
              <w:rPr>
                <w:rFonts w:asciiTheme="majorHAnsi" w:hAnsiTheme="majorHAnsi"/>
                <w:sz w:val="20"/>
                <w:szCs w:val="20"/>
              </w:rPr>
              <w:t>), 19 (</w:t>
            </w:r>
            <w:r>
              <w:rPr>
                <w:rFonts w:asciiTheme="majorHAnsi" w:hAnsiTheme="majorHAnsi"/>
                <w:sz w:val="20"/>
                <w:szCs w:val="20"/>
              </w:rPr>
              <w:t>rights of the child</w:t>
            </w:r>
            <w:r w:rsidRPr="009748AE">
              <w:rPr>
                <w:rFonts w:asciiTheme="majorHAnsi" w:hAnsiTheme="majorHAnsi"/>
                <w:sz w:val="20"/>
                <w:szCs w:val="20"/>
              </w:rPr>
              <w:t>), 21 (</w:t>
            </w:r>
            <w:r>
              <w:rPr>
                <w:rFonts w:asciiTheme="majorHAnsi" w:hAnsiTheme="majorHAnsi"/>
                <w:sz w:val="20"/>
                <w:szCs w:val="20"/>
              </w:rPr>
              <w:t>property</w:t>
            </w:r>
            <w:r w:rsidRPr="009748AE">
              <w:rPr>
                <w:rFonts w:asciiTheme="majorHAnsi" w:hAnsiTheme="majorHAnsi"/>
                <w:sz w:val="20"/>
                <w:szCs w:val="20"/>
              </w:rPr>
              <w:t>), 22 (</w:t>
            </w:r>
            <w:r>
              <w:rPr>
                <w:rFonts w:asciiTheme="majorHAnsi" w:hAnsiTheme="majorHAnsi"/>
                <w:sz w:val="20"/>
                <w:szCs w:val="20"/>
              </w:rPr>
              <w:t>freedom of movement and residence</w:t>
            </w:r>
            <w:r w:rsidRPr="009748AE">
              <w:rPr>
                <w:rFonts w:asciiTheme="majorHAnsi" w:hAnsiTheme="majorHAnsi"/>
                <w:sz w:val="20"/>
                <w:szCs w:val="20"/>
              </w:rPr>
              <w:t>), 25 (</w:t>
            </w:r>
            <w:r>
              <w:rPr>
                <w:rFonts w:asciiTheme="majorHAnsi" w:hAnsiTheme="majorHAnsi"/>
                <w:sz w:val="20"/>
                <w:szCs w:val="20"/>
              </w:rPr>
              <w:t>judicial protection</w:t>
            </w:r>
            <w:r w:rsidRPr="009748AE">
              <w:rPr>
                <w:rFonts w:asciiTheme="majorHAnsi" w:hAnsiTheme="majorHAnsi"/>
                <w:sz w:val="20"/>
                <w:szCs w:val="20"/>
              </w:rPr>
              <w:t>), 26 (</w:t>
            </w:r>
            <w:r>
              <w:rPr>
                <w:rFonts w:asciiTheme="majorHAnsi" w:hAnsiTheme="majorHAnsi"/>
                <w:sz w:val="20"/>
                <w:szCs w:val="20"/>
              </w:rPr>
              <w:t>economic, social and cultural rights</w:t>
            </w:r>
            <w:r w:rsidRPr="009748AE">
              <w:rPr>
                <w:rFonts w:asciiTheme="majorHAnsi" w:hAnsiTheme="majorHAnsi"/>
                <w:sz w:val="20"/>
                <w:szCs w:val="20"/>
              </w:rPr>
              <w:t xml:space="preserve">) </w:t>
            </w:r>
            <w:r>
              <w:rPr>
                <w:rFonts w:asciiTheme="majorHAnsi" w:hAnsiTheme="majorHAnsi"/>
                <w:sz w:val="20"/>
                <w:szCs w:val="20"/>
              </w:rPr>
              <w:t>of the American Convention in connection with Article 1.1</w:t>
            </w:r>
            <w:r w:rsidRPr="009748AE">
              <w:rPr>
                <w:rFonts w:asciiTheme="majorHAnsi" w:hAnsiTheme="majorHAnsi"/>
                <w:sz w:val="20"/>
                <w:szCs w:val="20"/>
              </w:rPr>
              <w:t xml:space="preserve"> (</w:t>
            </w:r>
            <w:r>
              <w:rPr>
                <w:rFonts w:asciiTheme="majorHAnsi" w:hAnsiTheme="majorHAnsi"/>
                <w:sz w:val="20"/>
                <w:szCs w:val="20"/>
              </w:rPr>
              <w:t>obligation to respect rights</w:t>
            </w:r>
            <w:r w:rsidRPr="009748AE">
              <w:rPr>
                <w:rFonts w:asciiTheme="majorHAnsi" w:hAnsiTheme="majorHAnsi"/>
                <w:sz w:val="20"/>
                <w:szCs w:val="20"/>
              </w:rPr>
              <w:t xml:space="preserve">) </w:t>
            </w:r>
            <w:r>
              <w:rPr>
                <w:rFonts w:asciiTheme="majorHAnsi" w:hAnsiTheme="majorHAnsi"/>
                <w:sz w:val="20"/>
                <w:szCs w:val="20"/>
              </w:rPr>
              <w:t xml:space="preserve">and Article </w:t>
            </w:r>
            <w:r w:rsidRPr="009748AE">
              <w:rPr>
                <w:rFonts w:asciiTheme="majorHAnsi" w:hAnsiTheme="majorHAnsi"/>
                <w:sz w:val="20"/>
                <w:szCs w:val="20"/>
              </w:rPr>
              <w:t>2 (</w:t>
            </w:r>
            <w:r>
              <w:rPr>
                <w:rFonts w:asciiTheme="majorHAnsi" w:hAnsiTheme="majorHAnsi"/>
                <w:sz w:val="20"/>
                <w:szCs w:val="20"/>
              </w:rPr>
              <w:t>domestic legal effects</w:t>
            </w:r>
            <w:r w:rsidRPr="009748AE">
              <w:rPr>
                <w:rFonts w:asciiTheme="majorHAnsi" w:hAnsiTheme="majorHAnsi"/>
                <w:sz w:val="20"/>
                <w:szCs w:val="20"/>
              </w:rPr>
              <w:t xml:space="preserve">) </w:t>
            </w:r>
            <w:r>
              <w:rPr>
                <w:rFonts w:asciiTheme="majorHAnsi" w:hAnsiTheme="majorHAnsi"/>
                <w:sz w:val="20"/>
                <w:szCs w:val="20"/>
              </w:rPr>
              <w:t>of the same instrument</w:t>
            </w:r>
          </w:p>
        </w:tc>
      </w:tr>
      <w:tr w:rsidR="00F621C3" w:rsidRPr="000B6B7A" w14:paraId="4DFB74FC" w14:textId="77777777" w:rsidTr="00B74719">
        <w:trPr>
          <w:cantSplit/>
        </w:trPr>
        <w:tc>
          <w:tcPr>
            <w:tcW w:w="3656" w:type="dxa"/>
            <w:tcBorders>
              <w:top w:val="single" w:sz="6" w:space="0" w:color="auto"/>
              <w:bottom w:val="single" w:sz="6" w:space="0" w:color="auto"/>
            </w:tcBorders>
            <w:shd w:val="clear" w:color="auto" w:fill="67AE3C"/>
            <w:vAlign w:val="center"/>
          </w:tcPr>
          <w:p w14:paraId="1D4CE924"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5586" w:type="dxa"/>
            <w:vAlign w:val="center"/>
          </w:tcPr>
          <w:p w14:paraId="2A98CE44" w14:textId="77777777" w:rsidR="00F621C3" w:rsidRPr="000B6B7A" w:rsidRDefault="00F621C3" w:rsidP="009163FC">
            <w:pPr>
              <w:rPr>
                <w:rFonts w:ascii="Cambria" w:hAnsi="Cambria"/>
                <w:bCs/>
                <w:sz w:val="20"/>
                <w:szCs w:val="20"/>
              </w:rPr>
            </w:pPr>
          </w:p>
          <w:p w14:paraId="432DC56B" w14:textId="6A13BDD4" w:rsidR="00F621C3" w:rsidRPr="000B6B7A" w:rsidRDefault="00B74719" w:rsidP="009163FC">
            <w:pPr>
              <w:rPr>
                <w:rFonts w:ascii="Cambria" w:hAnsi="Cambria"/>
                <w:bCs/>
                <w:sz w:val="20"/>
                <w:szCs w:val="20"/>
              </w:rPr>
            </w:pPr>
            <w:r>
              <w:rPr>
                <w:rFonts w:asciiTheme="majorHAnsi" w:hAnsiTheme="majorHAnsi"/>
                <w:bCs/>
                <w:sz w:val="20"/>
                <w:szCs w:val="20"/>
              </w:rPr>
              <w:t xml:space="preserve">Yes, under Section </w:t>
            </w:r>
            <w:r w:rsidRPr="009748AE">
              <w:rPr>
                <w:rFonts w:asciiTheme="majorHAnsi" w:hAnsiTheme="majorHAnsi"/>
                <w:bCs/>
                <w:sz w:val="20"/>
                <w:szCs w:val="20"/>
              </w:rPr>
              <w:t>IV</w:t>
            </w:r>
          </w:p>
        </w:tc>
      </w:tr>
      <w:tr w:rsidR="00F621C3" w:rsidRPr="000B6B7A" w14:paraId="6D900199" w14:textId="77777777" w:rsidTr="00B74719">
        <w:trPr>
          <w:cantSplit/>
        </w:trPr>
        <w:tc>
          <w:tcPr>
            <w:tcW w:w="3656" w:type="dxa"/>
            <w:tcBorders>
              <w:top w:val="single" w:sz="6" w:space="0" w:color="auto"/>
              <w:bottom w:val="single" w:sz="6" w:space="0" w:color="auto"/>
            </w:tcBorders>
            <w:shd w:val="clear" w:color="auto" w:fill="67AE3C"/>
            <w:vAlign w:val="center"/>
          </w:tcPr>
          <w:p w14:paraId="42C3BC9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5586" w:type="dxa"/>
            <w:vAlign w:val="center"/>
          </w:tcPr>
          <w:p w14:paraId="6A26CCE9" w14:textId="732EC1E4" w:rsidR="00F621C3" w:rsidRPr="000B6B7A" w:rsidRDefault="00B74719" w:rsidP="009163FC">
            <w:pPr>
              <w:rPr>
                <w:rFonts w:asciiTheme="majorHAnsi" w:hAnsiTheme="majorHAnsi"/>
                <w:bCs/>
                <w:sz w:val="20"/>
                <w:szCs w:val="20"/>
              </w:rPr>
            </w:pPr>
            <w:r>
              <w:rPr>
                <w:rFonts w:asciiTheme="majorHAnsi" w:hAnsiTheme="majorHAnsi"/>
                <w:bCs/>
                <w:sz w:val="20"/>
                <w:szCs w:val="20"/>
              </w:rPr>
              <w:t xml:space="preserve">Yes, under Section </w:t>
            </w:r>
            <w:r w:rsidRPr="009748AE">
              <w:rPr>
                <w:rFonts w:asciiTheme="majorHAnsi" w:hAnsiTheme="majorHAnsi"/>
                <w:bCs/>
                <w:sz w:val="20"/>
                <w:szCs w:val="20"/>
              </w:rPr>
              <w:t>IV</w:t>
            </w:r>
          </w:p>
        </w:tc>
      </w:tr>
    </w:tbl>
    <w:p w14:paraId="490E3264" w14:textId="577A092A" w:rsidR="00B74719" w:rsidRPr="009748AE" w:rsidRDefault="00B74719" w:rsidP="00B74719">
      <w:pPr>
        <w:spacing w:before="240" w:after="240"/>
        <w:ind w:firstLine="720"/>
        <w:jc w:val="both"/>
        <w:rPr>
          <w:rFonts w:asciiTheme="majorHAnsi" w:hAnsiTheme="majorHAnsi"/>
          <w:b/>
          <w:sz w:val="20"/>
          <w:szCs w:val="20"/>
        </w:rPr>
      </w:pPr>
      <w:r w:rsidRPr="009748AE">
        <w:rPr>
          <w:rFonts w:asciiTheme="majorHAnsi" w:hAnsiTheme="majorHAnsi"/>
          <w:b/>
          <w:sz w:val="20"/>
          <w:szCs w:val="20"/>
        </w:rPr>
        <w:lastRenderedPageBreak/>
        <w:t xml:space="preserve">V. </w:t>
      </w:r>
      <w:r w:rsidRPr="009748AE">
        <w:rPr>
          <w:rFonts w:asciiTheme="majorHAnsi" w:hAnsiTheme="majorHAnsi"/>
          <w:b/>
          <w:sz w:val="20"/>
          <w:szCs w:val="20"/>
        </w:rPr>
        <w:tab/>
      </w:r>
      <w:r w:rsidRPr="000B6B7A">
        <w:rPr>
          <w:rFonts w:asciiTheme="majorHAnsi" w:hAnsiTheme="majorHAnsi"/>
          <w:b/>
          <w:sz w:val="20"/>
          <w:szCs w:val="20"/>
        </w:rPr>
        <w:t>ALLEGED FACTS</w:t>
      </w:r>
    </w:p>
    <w:p w14:paraId="40B011DA" w14:textId="77777777" w:rsidR="00B74719" w:rsidRPr="009748AE" w:rsidRDefault="00B74719" w:rsidP="00B7471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rPr>
        <w:t xml:space="preserve">The petitioners claim that the Brazilian State is responsible for violation of the right to property of the Traditional Farmers’ and Artisanal Fishermen’s Community of </w:t>
      </w:r>
      <w:proofErr w:type="spellStart"/>
      <w:r w:rsidRPr="009748AE">
        <w:rPr>
          <w:rFonts w:asciiTheme="majorHAnsi" w:hAnsiTheme="majorHAnsi"/>
          <w:sz w:val="20"/>
          <w:szCs w:val="20"/>
        </w:rPr>
        <w:t>Areais</w:t>
      </w:r>
      <w:proofErr w:type="spellEnd"/>
      <w:r w:rsidRPr="009748AE">
        <w:rPr>
          <w:rFonts w:asciiTheme="majorHAnsi" w:hAnsiTheme="majorHAnsi"/>
          <w:sz w:val="20"/>
          <w:szCs w:val="20"/>
        </w:rPr>
        <w:t xml:space="preserve"> da </w:t>
      </w:r>
      <w:proofErr w:type="spellStart"/>
      <w:r w:rsidRPr="009748AE">
        <w:rPr>
          <w:rFonts w:asciiTheme="majorHAnsi" w:hAnsiTheme="majorHAnsi"/>
          <w:sz w:val="20"/>
          <w:szCs w:val="20"/>
        </w:rPr>
        <w:t>Ribanceira</w:t>
      </w:r>
      <w:proofErr w:type="spellEnd"/>
      <w:r w:rsidRPr="009748AE">
        <w:rPr>
          <w:rFonts w:asciiTheme="majorHAnsi" w:hAnsiTheme="majorHAnsi"/>
          <w:sz w:val="20"/>
          <w:szCs w:val="20"/>
        </w:rPr>
        <w:t xml:space="preserve"> (</w:t>
      </w:r>
      <w:r>
        <w:rPr>
          <w:rFonts w:asciiTheme="majorHAnsi" w:hAnsiTheme="majorHAnsi"/>
          <w:sz w:val="20"/>
          <w:szCs w:val="20"/>
        </w:rPr>
        <w:t xml:space="preserve">hereinafter </w:t>
      </w:r>
      <w:r w:rsidRPr="009748AE">
        <w:rPr>
          <w:rFonts w:asciiTheme="majorHAnsi" w:hAnsiTheme="majorHAnsi"/>
          <w:sz w:val="20"/>
          <w:szCs w:val="20"/>
        </w:rPr>
        <w:t>“</w:t>
      </w:r>
      <w:r>
        <w:rPr>
          <w:rFonts w:asciiTheme="majorHAnsi" w:hAnsiTheme="majorHAnsi"/>
          <w:sz w:val="20"/>
          <w:szCs w:val="20"/>
        </w:rPr>
        <w:t xml:space="preserve">the alleged victim” or “the Community”), inasmuch as it was unlawfully dispossessed of its traditional territory and the land has not been demarcated. Their contention is that the failure to recognize the Community’s right to property gave rise to violations of the right to life and to the economic, social and cultural rights of the Community, because it became precluded from preserving its traditions, its diet was adversely impacted, its homes were destroyed and it was constantly under threat, thus causing irreparable harm to its way of life.  It further argues that the proceedings for recovery of possession violated the right to a fair trial and to judicial protection, because the alleged victims did not receive proper legal assistance or judicial notice, they were not advised to introduce evidence, there was no preliminary hearing before an investigating magistrate, and the administrative procedures, which were aimed at recognizing the traditional territory as an area of interest of the Union for purposes of agrarian reform, were not followed.  </w:t>
      </w:r>
    </w:p>
    <w:p w14:paraId="3DA9A4C6" w14:textId="77777777" w:rsidR="00B74719" w:rsidRPr="009748AE" w:rsidRDefault="00B74719" w:rsidP="00B7471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rPr>
        <w:t xml:space="preserve">Based on the information and documents introduced, the area of 240.67 hectares, located in the municipality of </w:t>
      </w:r>
      <w:proofErr w:type="spellStart"/>
      <w:r>
        <w:rPr>
          <w:rFonts w:asciiTheme="majorHAnsi" w:hAnsiTheme="majorHAnsi"/>
          <w:sz w:val="20"/>
          <w:szCs w:val="20"/>
        </w:rPr>
        <w:t>Imbituba</w:t>
      </w:r>
      <w:proofErr w:type="spellEnd"/>
      <w:r>
        <w:rPr>
          <w:rFonts w:asciiTheme="majorHAnsi" w:hAnsiTheme="majorHAnsi"/>
          <w:sz w:val="20"/>
          <w:szCs w:val="20"/>
        </w:rPr>
        <w:t>, Santa Catarina, was occupied by around 100 families of small scale farmers and fishermen, who are the descendants of Azorean and indigenous peoples. The occupation of the area by the alleged victims dates back to the 19</w:t>
      </w:r>
      <w:r w:rsidRPr="004E4018">
        <w:rPr>
          <w:rFonts w:asciiTheme="majorHAnsi" w:hAnsiTheme="majorHAnsi"/>
          <w:sz w:val="20"/>
          <w:szCs w:val="20"/>
          <w:vertAlign w:val="superscript"/>
        </w:rPr>
        <w:t>th</w:t>
      </w:r>
      <w:r>
        <w:rPr>
          <w:rFonts w:asciiTheme="majorHAnsi" w:hAnsiTheme="majorHAnsi"/>
          <w:sz w:val="20"/>
          <w:szCs w:val="20"/>
        </w:rPr>
        <w:t xml:space="preserve"> century and so, for more than 200 years, the Community has preserved its way of life and survived in the territory. According to the petitioners, the Community built a traditional way of farming, working and living to ensure its physical, social and cultural survival, combining artisanal fishing, cassava root cultivation, and the extraction of native plants, such as coconut palms and medicinal plants. </w:t>
      </w:r>
      <w:r w:rsidRPr="009748AE">
        <w:rPr>
          <w:rFonts w:asciiTheme="majorHAnsi" w:hAnsiTheme="majorHAnsi"/>
          <w:sz w:val="20"/>
          <w:szCs w:val="20"/>
        </w:rPr>
        <w:t xml:space="preserve"> </w:t>
      </w:r>
      <w:r>
        <w:rPr>
          <w:rFonts w:asciiTheme="majorHAnsi" w:hAnsiTheme="majorHAnsi"/>
          <w:sz w:val="20"/>
          <w:szCs w:val="20"/>
        </w:rPr>
        <w:t xml:space="preserve">Until 2000, when the ENGESUL company purchased the lands, the area had been titled in the name of different public enterprises (such as </w:t>
      </w:r>
      <w:r w:rsidRPr="009748AE">
        <w:rPr>
          <w:rFonts w:asciiTheme="majorHAnsi" w:hAnsiTheme="majorHAnsi"/>
          <w:sz w:val="20"/>
          <w:szCs w:val="20"/>
        </w:rPr>
        <w:t>CODISC, ICC, GASPETRO, BRDE)</w:t>
      </w:r>
      <w:r>
        <w:rPr>
          <w:rFonts w:asciiTheme="majorHAnsi" w:hAnsiTheme="majorHAnsi"/>
          <w:sz w:val="20"/>
          <w:szCs w:val="20"/>
        </w:rPr>
        <w:t>.</w:t>
      </w:r>
      <w:r w:rsidRPr="009748AE">
        <w:rPr>
          <w:rFonts w:asciiTheme="majorHAnsi" w:hAnsiTheme="majorHAnsi"/>
          <w:sz w:val="20"/>
          <w:szCs w:val="20"/>
        </w:rPr>
        <w:t xml:space="preserve"> </w:t>
      </w:r>
    </w:p>
    <w:p w14:paraId="30230BD5" w14:textId="77777777" w:rsidR="00B74719" w:rsidRPr="000638E7" w:rsidRDefault="00B74719" w:rsidP="00B7471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rPr>
        <w:t xml:space="preserve">According to the petitioners, since 2000, the Rural Community Association of </w:t>
      </w:r>
      <w:proofErr w:type="spellStart"/>
      <w:r>
        <w:rPr>
          <w:rFonts w:asciiTheme="majorHAnsi" w:hAnsiTheme="majorHAnsi"/>
          <w:sz w:val="20"/>
          <w:szCs w:val="20"/>
        </w:rPr>
        <w:t>Imbituba</w:t>
      </w:r>
      <w:proofErr w:type="spellEnd"/>
      <w:r>
        <w:rPr>
          <w:rFonts w:asciiTheme="majorHAnsi" w:hAnsiTheme="majorHAnsi"/>
          <w:sz w:val="20"/>
          <w:szCs w:val="20"/>
        </w:rPr>
        <w:t xml:space="preserve"> (hereinafter “ACORDI”), on behalf of the alleged victims, has been endeavoring to stake an agrarian reform claim to the traditional lands and, in 2006, it jointly filed a claim for recognition of territorial rights with IBAMA (</w:t>
      </w:r>
      <w:r w:rsidRPr="00AB6D2C">
        <w:rPr>
          <w:rFonts w:asciiTheme="majorHAnsi" w:hAnsiTheme="majorHAnsi"/>
          <w:sz w:val="20"/>
          <w:szCs w:val="20"/>
        </w:rPr>
        <w:t>Brazilian</w:t>
      </w:r>
      <w:r w:rsidRPr="000638E7">
        <w:rPr>
          <w:rFonts w:asciiTheme="majorHAnsi" w:hAnsiTheme="majorHAnsi"/>
          <w:sz w:val="20"/>
          <w:szCs w:val="20"/>
        </w:rPr>
        <w:t> Institute of Environment and Renewable Natural Resources</w:t>
      </w:r>
      <w:r>
        <w:rPr>
          <w:rFonts w:asciiTheme="majorHAnsi" w:hAnsiTheme="majorHAnsi"/>
          <w:sz w:val="20"/>
          <w:szCs w:val="20"/>
        </w:rPr>
        <w:t>). The first proceeding for agrarian regularization was instituted</w:t>
      </w:r>
      <w:r w:rsidRPr="00C124CA">
        <w:rPr>
          <w:rFonts w:asciiTheme="majorHAnsi" w:hAnsiTheme="majorHAnsi"/>
          <w:sz w:val="20"/>
          <w:szCs w:val="20"/>
        </w:rPr>
        <w:t xml:space="preserve"> </w:t>
      </w:r>
      <w:r>
        <w:rPr>
          <w:rFonts w:asciiTheme="majorHAnsi" w:hAnsiTheme="majorHAnsi"/>
          <w:sz w:val="20"/>
          <w:szCs w:val="20"/>
        </w:rPr>
        <w:t>together with the National Institute of Settlement and Agrarian Reform (hereinafter “INCRA”</w:t>
      </w:r>
      <w:proofErr w:type="gramStart"/>
      <w:r>
        <w:rPr>
          <w:rFonts w:asciiTheme="majorHAnsi" w:hAnsiTheme="majorHAnsi"/>
          <w:sz w:val="20"/>
          <w:szCs w:val="20"/>
        </w:rPr>
        <w:t>)  in</w:t>
      </w:r>
      <w:proofErr w:type="gramEnd"/>
      <w:r>
        <w:rPr>
          <w:rFonts w:asciiTheme="majorHAnsi" w:hAnsiTheme="majorHAnsi"/>
          <w:sz w:val="20"/>
          <w:szCs w:val="20"/>
        </w:rPr>
        <w:t xml:space="preserve"> 2008. They contend that the Community is seeking mechanisms to ensure the protection of the traditional territory and its way of life through a proposal creating conservation units, such as a Reservation for Sustainable Development, Settlement or Agrarian Regularization of the Traditional Community. The State, however, did not adequately respond to those claims.  </w:t>
      </w:r>
    </w:p>
    <w:p w14:paraId="4B89C44B" w14:textId="77777777" w:rsidR="00B74719" w:rsidRPr="009748AE" w:rsidRDefault="00B74719" w:rsidP="00B7471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rPr>
        <w:t>The petitioners assert that, in 2002, ENGESUL filed suit to recover possession after irregularly purchasing the public lands overlapping the traditional territory of the Community. In that suit, only a few farmers, and not the entire traditional population, were cited. The ruling on admissibility of the recovery of possession suit evicting the alleged victims was issued on November 22, 2006; on December 6, 2006, ACORDI filed a motion for clarification and relief from clerical error (</w:t>
      </w:r>
      <w:r w:rsidRPr="00A16C0E">
        <w:rPr>
          <w:rFonts w:asciiTheme="majorHAnsi" w:hAnsiTheme="majorHAnsi"/>
          <w:i/>
          <w:iCs/>
          <w:sz w:val="20"/>
          <w:szCs w:val="20"/>
        </w:rPr>
        <w:t xml:space="preserve">Embargos de </w:t>
      </w:r>
      <w:proofErr w:type="spellStart"/>
      <w:r w:rsidRPr="00A16C0E">
        <w:rPr>
          <w:rFonts w:asciiTheme="majorHAnsi" w:hAnsiTheme="majorHAnsi"/>
          <w:i/>
          <w:iCs/>
          <w:sz w:val="20"/>
          <w:szCs w:val="20"/>
        </w:rPr>
        <w:t>Declara</w:t>
      </w:r>
      <w:r w:rsidRPr="00A16C0E">
        <w:rPr>
          <w:rFonts w:asciiTheme="majorHAnsi" w:hAnsiTheme="majorHAnsi"/>
          <w:bCs/>
          <w:i/>
          <w:iCs/>
          <w:sz w:val="20"/>
          <w:szCs w:val="20"/>
        </w:rPr>
        <w:t>ção</w:t>
      </w:r>
      <w:proofErr w:type="spellEnd"/>
      <w:r>
        <w:rPr>
          <w:rFonts w:asciiTheme="majorHAnsi" w:hAnsiTheme="majorHAnsi"/>
          <w:bCs/>
          <w:sz w:val="20"/>
          <w:szCs w:val="20"/>
        </w:rPr>
        <w:t>), which was denied; on January 12, 2007, it filed an appeal to the Federal Regional Court of the 4</w:t>
      </w:r>
      <w:r w:rsidRPr="002F6E8A">
        <w:rPr>
          <w:rFonts w:asciiTheme="majorHAnsi" w:hAnsiTheme="majorHAnsi"/>
          <w:bCs/>
          <w:sz w:val="20"/>
          <w:szCs w:val="20"/>
          <w:vertAlign w:val="superscript"/>
        </w:rPr>
        <w:t>th</w:t>
      </w:r>
      <w:r>
        <w:rPr>
          <w:rFonts w:asciiTheme="majorHAnsi" w:hAnsiTheme="majorHAnsi"/>
          <w:bCs/>
          <w:sz w:val="20"/>
          <w:szCs w:val="20"/>
        </w:rPr>
        <w:t xml:space="preserve"> Region (hereinafter “the TRF4”), which was denied on March 25, 2009. The decision was challenged by means of a Special Appeal (hereinafter “the RESP”), which was filed on March 16, 2009; however, the TRF4 denied the RESP on June 5, 2009</w:t>
      </w:r>
      <w:r w:rsidRPr="009748AE">
        <w:rPr>
          <w:rFonts w:asciiTheme="majorHAnsi" w:hAnsiTheme="majorHAnsi"/>
          <w:sz w:val="20"/>
          <w:szCs w:val="20"/>
        </w:rPr>
        <w:t xml:space="preserve">, </w:t>
      </w:r>
      <w:r>
        <w:rPr>
          <w:rFonts w:asciiTheme="majorHAnsi" w:hAnsiTheme="majorHAnsi"/>
          <w:sz w:val="20"/>
          <w:szCs w:val="20"/>
        </w:rPr>
        <w:t xml:space="preserve">on the grounds that the Superior Court of Justice (hereinafter “the STJ”) was precluded from examining evidence. The petitioners contend that the case was heard without any preliminary proceedings or a hearing. </w:t>
      </w:r>
    </w:p>
    <w:p w14:paraId="7F3C49E2" w14:textId="77777777" w:rsidR="00B74719" w:rsidRPr="009748AE" w:rsidRDefault="00B74719" w:rsidP="00B7471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rPr>
        <w:t xml:space="preserve">The petitioners allege that, concurrently, the Federal Office of the Public Prosecutor (hereinafter “the MPF”) instituted a civil investigation to assess whether or not the human rights of the alleged victims had possibly been violated as a result of the privatization of the traditional territory. The investigations gave rise to a public interest civil action, which was ruled inadmissible on December 13, 2006. The MPF filed an appeal with the TRF4, which upheld the inadmissibility ruling on March 2, 2009; after a motion for clarification was filed, it was denied on August 9, 2009, and, on that same date, the MPF filed a RESP and an Extraordinary Appeal (hereinafter “RE”) to the Federal Supreme Court.  According to the petitioners, those appeals have still not been examined, as of June 21, 2010, when recovery of possession was granted.  </w:t>
      </w:r>
      <w:r w:rsidRPr="009748AE">
        <w:rPr>
          <w:rFonts w:asciiTheme="majorHAnsi" w:hAnsiTheme="majorHAnsi"/>
          <w:sz w:val="20"/>
          <w:szCs w:val="20"/>
        </w:rPr>
        <w:t xml:space="preserve">   </w:t>
      </w:r>
    </w:p>
    <w:p w14:paraId="46EB5EBC" w14:textId="77777777" w:rsidR="00B74719" w:rsidRPr="009748AE" w:rsidRDefault="00B74719" w:rsidP="00B7471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rPr>
        <w:lastRenderedPageBreak/>
        <w:t>Thus, on July 28, 2010, the order for recovery of possession was executed.  According to the petitioners, the recovery was extremely violent.  They contend that even though the order noted that possession was to be carried out by justice officers and agents of the Federal Police, it was executed by the Military Police (hereinafter “the PM”), who used excessive man and fire power (Tactical Patrol Platoon PPT, cavalry and heavy weaponry). During the execution of recovery of possession, the alleged victims’ homes and other improvements thereto were destroyed and they were not allowed to remove their belongings. They further argue that notice of recovery of possession was not received in advance, execution was not monitored by public institutions, and even though there were children living in the houses</w:t>
      </w:r>
      <w:r w:rsidRPr="0061738F">
        <w:rPr>
          <w:rFonts w:asciiTheme="majorHAnsi" w:hAnsiTheme="majorHAnsi"/>
          <w:sz w:val="20"/>
          <w:szCs w:val="20"/>
        </w:rPr>
        <w:t xml:space="preserve"> </w:t>
      </w:r>
      <w:r>
        <w:rPr>
          <w:rFonts w:asciiTheme="majorHAnsi" w:hAnsiTheme="majorHAnsi"/>
          <w:sz w:val="20"/>
          <w:szCs w:val="20"/>
        </w:rPr>
        <w:t>destroyed, neither the Public Prosecutor, specifically the Office of the Prosecutor for Children and Juveniles (</w:t>
      </w:r>
      <w:proofErr w:type="spellStart"/>
      <w:r w:rsidRPr="00BA3FC1">
        <w:rPr>
          <w:rFonts w:asciiTheme="majorHAnsi" w:hAnsiTheme="majorHAnsi"/>
          <w:i/>
          <w:iCs/>
          <w:color w:val="000000" w:themeColor="text1"/>
          <w:sz w:val="20"/>
          <w:szCs w:val="20"/>
        </w:rPr>
        <w:t>Promotoria</w:t>
      </w:r>
      <w:proofErr w:type="spellEnd"/>
      <w:r w:rsidRPr="00BA3FC1">
        <w:rPr>
          <w:rFonts w:asciiTheme="majorHAnsi" w:hAnsiTheme="majorHAnsi"/>
          <w:i/>
          <w:iCs/>
          <w:color w:val="000000" w:themeColor="text1"/>
          <w:sz w:val="20"/>
          <w:szCs w:val="20"/>
        </w:rPr>
        <w:t xml:space="preserve"> da </w:t>
      </w:r>
      <w:proofErr w:type="spellStart"/>
      <w:r w:rsidRPr="00BA3FC1">
        <w:rPr>
          <w:rFonts w:asciiTheme="majorHAnsi" w:hAnsiTheme="majorHAnsi"/>
          <w:i/>
          <w:iCs/>
          <w:color w:val="000000" w:themeColor="text1"/>
          <w:sz w:val="20"/>
          <w:szCs w:val="20"/>
        </w:rPr>
        <w:t>Infância</w:t>
      </w:r>
      <w:proofErr w:type="spellEnd"/>
      <w:r w:rsidRPr="00BA3FC1">
        <w:rPr>
          <w:rFonts w:asciiTheme="majorHAnsi" w:hAnsiTheme="majorHAnsi"/>
          <w:i/>
          <w:iCs/>
          <w:color w:val="000000" w:themeColor="text1"/>
          <w:sz w:val="20"/>
          <w:szCs w:val="20"/>
        </w:rPr>
        <w:t xml:space="preserve"> e da </w:t>
      </w:r>
      <w:proofErr w:type="spellStart"/>
      <w:r w:rsidRPr="00BA3FC1">
        <w:rPr>
          <w:rFonts w:asciiTheme="majorHAnsi" w:hAnsiTheme="majorHAnsi"/>
          <w:i/>
          <w:iCs/>
          <w:color w:val="000000" w:themeColor="text1"/>
          <w:sz w:val="20"/>
          <w:szCs w:val="20"/>
        </w:rPr>
        <w:t>Juventude</w:t>
      </w:r>
      <w:proofErr w:type="spellEnd"/>
      <w:r>
        <w:rPr>
          <w:rFonts w:asciiTheme="majorHAnsi" w:hAnsiTheme="majorHAnsi"/>
          <w:sz w:val="20"/>
          <w:szCs w:val="20"/>
        </w:rPr>
        <w:t>), nor the Guardianship Council (</w:t>
      </w:r>
      <w:proofErr w:type="spellStart"/>
      <w:r w:rsidRPr="00D54A02">
        <w:rPr>
          <w:rFonts w:asciiTheme="majorHAnsi" w:hAnsiTheme="majorHAnsi"/>
          <w:i/>
          <w:iCs/>
          <w:sz w:val="20"/>
          <w:szCs w:val="20"/>
        </w:rPr>
        <w:t>Conselho</w:t>
      </w:r>
      <w:proofErr w:type="spellEnd"/>
      <w:r w:rsidRPr="00D54A02">
        <w:rPr>
          <w:rFonts w:asciiTheme="majorHAnsi" w:hAnsiTheme="majorHAnsi"/>
          <w:i/>
          <w:iCs/>
          <w:sz w:val="20"/>
          <w:szCs w:val="20"/>
        </w:rPr>
        <w:t xml:space="preserve"> </w:t>
      </w:r>
      <w:proofErr w:type="spellStart"/>
      <w:r w:rsidRPr="00D54A02">
        <w:rPr>
          <w:rFonts w:asciiTheme="majorHAnsi" w:hAnsiTheme="majorHAnsi"/>
          <w:i/>
          <w:iCs/>
          <w:sz w:val="20"/>
          <w:szCs w:val="20"/>
        </w:rPr>
        <w:t>Tutelar</w:t>
      </w:r>
      <w:proofErr w:type="spellEnd"/>
      <w:r>
        <w:rPr>
          <w:rFonts w:asciiTheme="majorHAnsi" w:hAnsiTheme="majorHAnsi"/>
          <w:sz w:val="20"/>
          <w:szCs w:val="20"/>
        </w:rPr>
        <w:t xml:space="preserve">) were present at the scene. The farmers were subjected to intimidation and psychological terrorism, from both the company and the Military Police. They also claim that after the recovery of possession was carried out, with the support of the Military Police, the company tried to occupy other areas of land used by the farmers, such as the site where the ACORDI headquarters is located, the cooperative cassava flour mill, the cassava planting and animal husbandry areas.  </w:t>
      </w:r>
    </w:p>
    <w:p w14:paraId="4E9E210C" w14:textId="77777777" w:rsidR="00B74719" w:rsidRPr="009748AE" w:rsidRDefault="00B74719" w:rsidP="00B7471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rPr>
        <w:t xml:space="preserve">The petitioners maintain that after the eviction, the alleged victims were supposed to be aided by physicians, as a result of the psychological and emotional shock they endured. Mr. Antonio </w:t>
      </w:r>
      <w:proofErr w:type="spellStart"/>
      <w:r>
        <w:rPr>
          <w:rFonts w:asciiTheme="majorHAnsi" w:hAnsiTheme="majorHAnsi"/>
          <w:sz w:val="20"/>
          <w:szCs w:val="20"/>
        </w:rPr>
        <w:t>Valetin</w:t>
      </w:r>
      <w:proofErr w:type="spellEnd"/>
      <w:r>
        <w:rPr>
          <w:rFonts w:asciiTheme="majorHAnsi" w:hAnsiTheme="majorHAnsi"/>
          <w:sz w:val="20"/>
          <w:szCs w:val="20"/>
        </w:rPr>
        <w:t xml:space="preserve">, for example, was admitted to the hospital after his property was destroyed and his cattle, confiscated by ENGESUL; one of the farmers whose house was destroyed and was unable to remove his belongings, went to live at the cassava flour mill of ACORDI. They claim that the alleged victims were unable to travel on public thoroughfares and to the historic sites of the Community. Additionally, with the lack of access to its traditionally occupied lands and natural resources (sites of plant cultivation and medicinal herb harvest, cassava cultivation, fishing areas), the traditional knowledge and know-how of the Community are at-risk of extinction; the alleged victims do not have access to existing natural resources, which prevents them from being able to harvest coconut palm, as they have historically done, and this has an impact on their diet, because they are unable to consume their typical foods.  The petitioners also contend that community leadership has been taken into custody as pretrial detention, with the excuse of “avoiding possible crimes against public order and the right to property,” even though there is no tangible evidence of such a thing happening. The charges leveled against the leaders and farmers included “illegal possession,” “forming of gangs” and “incitement to violence.”  </w:t>
      </w:r>
    </w:p>
    <w:p w14:paraId="23669F87" w14:textId="77777777" w:rsidR="00B74719" w:rsidRPr="009748AE" w:rsidRDefault="00B74719" w:rsidP="00B74719">
      <w:pPr>
        <w:pStyle w:val="ListParagraph"/>
        <w:numPr>
          <w:ilvl w:val="0"/>
          <w:numId w:val="103"/>
        </w:numPr>
        <w:spacing w:before="240" w:after="240"/>
        <w:jc w:val="both"/>
        <w:rPr>
          <w:rFonts w:asciiTheme="majorHAnsi" w:hAnsiTheme="majorHAnsi"/>
          <w:bCs/>
          <w:color w:val="auto"/>
          <w:sz w:val="20"/>
          <w:szCs w:val="20"/>
        </w:rPr>
      </w:pPr>
      <w:r>
        <w:rPr>
          <w:rFonts w:asciiTheme="majorHAnsi" w:hAnsiTheme="majorHAnsi"/>
          <w:bCs/>
          <w:color w:val="auto"/>
          <w:sz w:val="20"/>
          <w:szCs w:val="20"/>
        </w:rPr>
        <w:t xml:space="preserve">The petitioners assert that after the repossession order was issued, the MPF filed a new public interest civil suit on the grounds that the alleged victims were dispossessed of their individual and collective identity, which would contribute to the destruction of Brazil’s cultural heritage. As a consequence of execution of the order of recovery of possession, the community is allegedly suffering a loss of identity. They also argue that the Public Defender’s Office of Santa Catarina is ill-equipped to assist the alleged victims. </w:t>
      </w:r>
    </w:p>
    <w:p w14:paraId="3302D38A" w14:textId="77777777" w:rsidR="00B74719" w:rsidRPr="009748AE" w:rsidRDefault="00B74719" w:rsidP="00B7471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rPr>
        <w:t xml:space="preserve">For its part, the State alleges that, on May 25, 2000, the company ENGESUL purchased five areas of land in the Municipality of </w:t>
      </w:r>
      <w:proofErr w:type="spellStart"/>
      <w:r>
        <w:rPr>
          <w:rFonts w:asciiTheme="majorHAnsi" w:hAnsiTheme="majorHAnsi"/>
          <w:sz w:val="20"/>
          <w:szCs w:val="20"/>
        </w:rPr>
        <w:t>Imbituba</w:t>
      </w:r>
      <w:proofErr w:type="spellEnd"/>
      <w:r w:rsidRPr="00B654B9">
        <w:rPr>
          <w:rFonts w:asciiTheme="majorHAnsi" w:hAnsiTheme="majorHAnsi"/>
          <w:sz w:val="20"/>
          <w:szCs w:val="20"/>
        </w:rPr>
        <w:t xml:space="preserve"> </w:t>
      </w:r>
      <w:r>
        <w:rPr>
          <w:rFonts w:asciiTheme="majorHAnsi" w:hAnsiTheme="majorHAnsi"/>
          <w:sz w:val="20"/>
          <w:szCs w:val="20"/>
        </w:rPr>
        <w:t xml:space="preserve">from the company </w:t>
      </w:r>
      <w:r w:rsidRPr="009748AE">
        <w:rPr>
          <w:rFonts w:asciiTheme="majorHAnsi" w:hAnsiTheme="majorHAnsi"/>
          <w:sz w:val="20"/>
          <w:szCs w:val="20"/>
        </w:rPr>
        <w:t>PETROBRÁS GÁS S/A – GASPETRO</w:t>
      </w:r>
      <w:r>
        <w:rPr>
          <w:rFonts w:asciiTheme="majorHAnsi" w:hAnsiTheme="majorHAnsi"/>
          <w:sz w:val="20"/>
          <w:szCs w:val="20"/>
        </w:rPr>
        <w:t xml:space="preserve">. In the aforementioned purchase, ENGESUL took responsibility for environmental monitoring of the area for a period of 50 years in order to prevent potential ecological disasters from happening.  According to the State, since the time of the purchase of the area, the company began the monitoring and introduced the environmental recovery plan. It claims that, on September 5, 2002, several families of small-scale farmers and fishermen encroached on the land owned by ENGESUL to engage in a special way of farming, working and living, thus giving rise to the creation of the Traditional Farmers’ and Fishermen’s Community of </w:t>
      </w:r>
      <w:proofErr w:type="spellStart"/>
      <w:r>
        <w:rPr>
          <w:rFonts w:asciiTheme="majorHAnsi" w:hAnsiTheme="majorHAnsi"/>
          <w:sz w:val="20"/>
          <w:szCs w:val="20"/>
        </w:rPr>
        <w:t>Areais</w:t>
      </w:r>
      <w:proofErr w:type="spellEnd"/>
      <w:r>
        <w:rPr>
          <w:rFonts w:asciiTheme="majorHAnsi" w:hAnsiTheme="majorHAnsi"/>
          <w:sz w:val="20"/>
          <w:szCs w:val="20"/>
        </w:rPr>
        <w:t xml:space="preserve"> da </w:t>
      </w:r>
      <w:proofErr w:type="spellStart"/>
      <w:r>
        <w:rPr>
          <w:rFonts w:asciiTheme="majorHAnsi" w:hAnsiTheme="majorHAnsi"/>
          <w:sz w:val="20"/>
          <w:szCs w:val="20"/>
        </w:rPr>
        <w:t>Ribanceira</w:t>
      </w:r>
      <w:proofErr w:type="spellEnd"/>
      <w:r>
        <w:rPr>
          <w:rFonts w:asciiTheme="majorHAnsi" w:hAnsiTheme="majorHAnsi"/>
          <w:sz w:val="20"/>
          <w:szCs w:val="20"/>
        </w:rPr>
        <w:t>.  As a result of the encroachment, the company filed a suit to recover possession, wherein it was determined that the property would be returned. After the decision in favor of recovery of possession was upheld on appeal, the alleged victims filed a new appeal (</w:t>
      </w:r>
      <w:proofErr w:type="spellStart"/>
      <w:r w:rsidRPr="00667068">
        <w:rPr>
          <w:rFonts w:asciiTheme="majorHAnsi" w:hAnsiTheme="majorHAnsi"/>
          <w:i/>
          <w:iCs/>
          <w:sz w:val="20"/>
          <w:szCs w:val="20"/>
        </w:rPr>
        <w:t>a</w:t>
      </w:r>
      <w:r w:rsidRPr="00667068">
        <w:rPr>
          <w:rFonts w:asciiTheme="majorHAnsi" w:hAnsiTheme="majorHAnsi"/>
          <w:bCs/>
          <w:i/>
          <w:iCs/>
          <w:sz w:val="20"/>
          <w:szCs w:val="20"/>
        </w:rPr>
        <w:t>ção</w:t>
      </w:r>
      <w:proofErr w:type="spellEnd"/>
      <w:r w:rsidRPr="00667068">
        <w:rPr>
          <w:rFonts w:asciiTheme="majorHAnsi" w:hAnsiTheme="majorHAnsi"/>
          <w:i/>
          <w:iCs/>
          <w:sz w:val="20"/>
          <w:szCs w:val="20"/>
        </w:rPr>
        <w:t xml:space="preserve"> </w:t>
      </w:r>
      <w:proofErr w:type="spellStart"/>
      <w:r w:rsidRPr="00667068">
        <w:rPr>
          <w:rFonts w:asciiTheme="majorHAnsi" w:hAnsiTheme="majorHAnsi"/>
          <w:i/>
          <w:iCs/>
          <w:sz w:val="20"/>
          <w:szCs w:val="20"/>
        </w:rPr>
        <w:t>rescisória</w:t>
      </w:r>
      <w:proofErr w:type="spellEnd"/>
      <w:r>
        <w:rPr>
          <w:rFonts w:asciiTheme="majorHAnsi" w:hAnsiTheme="majorHAnsi"/>
          <w:sz w:val="20"/>
          <w:szCs w:val="20"/>
        </w:rPr>
        <w:t xml:space="preserve">), on May 3, 2010, to vacate the judgment of recovery of possession. The appeal was denied on May 7, 2010, on the grounds that the procedure they chose to follow could not be used as substitute appeal to contest a decision that ran counter to the interests pursued by the party. Additionally, the State contends that the petitioners have not explained how domestic remedies have been exhausted and what right, that is protected in the Inter-American system, has been violated.  It claims that the Commission is not competent to recognize violations of treaties coming from outside the Inter-American system, or to recognize violations of economic, social and cultural rights. It further argues that the petitioners cannot use the Commission to act as a body of the fourth instance to review judgments, inasmuch as all the judicial proceedings respected due process of law. </w:t>
      </w:r>
    </w:p>
    <w:p w14:paraId="0E7A1247" w14:textId="77777777" w:rsidR="00B74719" w:rsidRPr="009748AE" w:rsidRDefault="00B74719" w:rsidP="00B74719">
      <w:pPr>
        <w:spacing w:before="240" w:after="240"/>
        <w:ind w:firstLine="720"/>
        <w:jc w:val="both"/>
        <w:rPr>
          <w:rFonts w:asciiTheme="majorHAnsi" w:hAnsiTheme="majorHAnsi"/>
          <w:sz w:val="20"/>
          <w:szCs w:val="20"/>
        </w:rPr>
      </w:pPr>
      <w:r w:rsidRPr="009748AE">
        <w:rPr>
          <w:rFonts w:asciiTheme="majorHAnsi" w:eastAsia="Cambria" w:hAnsiTheme="majorHAnsi" w:cs="Cambria"/>
          <w:b/>
          <w:bCs/>
          <w:color w:val="000000"/>
          <w:sz w:val="20"/>
          <w:szCs w:val="20"/>
          <w:u w:color="000000"/>
          <w:lang w:eastAsia="es-ES"/>
        </w:rPr>
        <w:lastRenderedPageBreak/>
        <w:t>VI.</w:t>
      </w:r>
      <w:r w:rsidRPr="009748AE">
        <w:rPr>
          <w:rFonts w:asciiTheme="majorHAnsi" w:eastAsia="Cambria" w:hAnsiTheme="majorHAnsi" w:cs="Cambria"/>
          <w:b/>
          <w:bCs/>
          <w:color w:val="000000"/>
          <w:sz w:val="20"/>
          <w:szCs w:val="20"/>
          <w:u w:color="000000"/>
          <w:lang w:eastAsia="es-ES"/>
        </w:rPr>
        <w:tab/>
      </w:r>
      <w:r>
        <w:rPr>
          <w:rFonts w:asciiTheme="majorHAnsi" w:eastAsia="Cambria" w:hAnsiTheme="majorHAnsi" w:cs="Cambria"/>
          <w:b/>
          <w:bCs/>
          <w:color w:val="000000"/>
          <w:sz w:val="20"/>
          <w:szCs w:val="20"/>
          <w:u w:color="000000"/>
          <w:lang w:eastAsia="es-ES"/>
        </w:rPr>
        <w:t xml:space="preserve">ANALYSIS OF EXHAUSTION OF DOMESTIC REMEDIES AND TIMELINESS OF THE PETITION </w:t>
      </w:r>
    </w:p>
    <w:p w14:paraId="7C1BE9A8" w14:textId="77777777" w:rsidR="00B74719" w:rsidRPr="003024F3" w:rsidRDefault="00B74719" w:rsidP="00B7471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FF0000"/>
          <w:sz w:val="20"/>
          <w:szCs w:val="20"/>
        </w:rPr>
      </w:pPr>
      <w:r w:rsidRPr="003024F3">
        <w:rPr>
          <w:rFonts w:asciiTheme="majorHAnsi" w:hAnsiTheme="majorHAnsi"/>
          <w:sz w:val="20"/>
          <w:szCs w:val="20"/>
        </w:rPr>
        <w:t xml:space="preserve">The petitioners claim that Brazilian legislation does not have any instrument to ensure the right to communal property for traditional peoples and communities. The State has asserted that domestic remedies were not exhausted and that Brazilian legislation makes available to the alleged victims several procedural tools, that are adequate and effective, to protect the violated right. It contends that there is no evidence that the petitioners have sought civil reparations in domestic courts. Moreover, it alleges that at the time of the filing of the petition, a motion to vacate the judgment filed by the alleged victims was being heard, which was intended to revisit the object of the recovery of possession and, thus, the petitioners had not exhausted domestic remedies.  </w:t>
      </w:r>
    </w:p>
    <w:p w14:paraId="55DFD741" w14:textId="77777777" w:rsidR="00B74719" w:rsidRPr="003024F3" w:rsidRDefault="00B74719" w:rsidP="00B7471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FF0000"/>
          <w:sz w:val="20"/>
          <w:szCs w:val="20"/>
        </w:rPr>
      </w:pPr>
      <w:r w:rsidRPr="003024F3">
        <w:rPr>
          <w:rFonts w:asciiTheme="majorHAnsi" w:hAnsiTheme="majorHAnsi"/>
          <w:sz w:val="20"/>
          <w:szCs w:val="20"/>
        </w:rPr>
        <w:t>As for the exhaustion requirement, the parties agree that on July 28, 2010, the order for recovery of possession was executed and that, concurrently, a motion to vacate judgment was filed in order to challenge the judgment handed down on November 22, 2006, ruling in favor of the recovery of possession against the alleged victims. Additionally, the Commission notes that the Brazilian State claims that the motion to vacate judgment was not the adequate remedy to challenge the recovery of possession, because “it could not be used as a substitute appeal because of disagreement with the decision that was contrary to the interests pursued by the party.” Also, the decision denying the RESP, on June 5, 2009, in the context of the recovery of possession case, held that the STJ could not reexamine evidence, according to legal Precedent 7 of that Court,</w:t>
      </w:r>
      <w:r w:rsidRPr="009748AE">
        <w:rPr>
          <w:rStyle w:val="FootnoteReference"/>
          <w:rFonts w:asciiTheme="majorHAnsi" w:hAnsiTheme="majorHAnsi"/>
          <w:sz w:val="20"/>
          <w:szCs w:val="20"/>
        </w:rPr>
        <w:footnoteReference w:id="6"/>
      </w:r>
      <w:r w:rsidRPr="003024F3">
        <w:rPr>
          <w:rFonts w:asciiTheme="majorHAnsi" w:hAnsiTheme="majorHAnsi"/>
          <w:sz w:val="20"/>
          <w:szCs w:val="20"/>
        </w:rPr>
        <w:t xml:space="preserve"> which led to the determination to execute the order to recover possession on July 28, 2010. However, based on that information, the Commission understands that there is no remedy available in the Brazilian jurisdiction against the execution of an order to recover possession and, therefore, the exception set forth in Article 46.2.a of the Convention and Article 31.2.a of the Rules of Procedure is applicable. </w:t>
      </w:r>
    </w:p>
    <w:p w14:paraId="0751B0F5" w14:textId="77777777" w:rsidR="00B74719" w:rsidRPr="009748AE" w:rsidRDefault="00B74719" w:rsidP="00B74719">
      <w:pPr>
        <w:pStyle w:val="ListParagraph"/>
        <w:spacing w:before="240" w:after="240"/>
        <w:jc w:val="both"/>
        <w:rPr>
          <w:rFonts w:asciiTheme="majorHAnsi" w:hAnsiTheme="majorHAnsi"/>
          <w:b/>
          <w:color w:val="auto"/>
          <w:sz w:val="20"/>
          <w:szCs w:val="20"/>
        </w:rPr>
      </w:pPr>
      <w:r w:rsidRPr="009748AE">
        <w:rPr>
          <w:rFonts w:asciiTheme="majorHAnsi" w:hAnsiTheme="majorHAnsi"/>
          <w:b/>
          <w:bCs/>
          <w:sz w:val="20"/>
          <w:szCs w:val="20"/>
        </w:rPr>
        <w:t>VII.</w:t>
      </w:r>
      <w:r w:rsidRPr="009748AE">
        <w:rPr>
          <w:rFonts w:asciiTheme="majorHAnsi" w:hAnsiTheme="majorHAnsi"/>
          <w:b/>
          <w:bCs/>
          <w:sz w:val="20"/>
          <w:szCs w:val="20"/>
        </w:rPr>
        <w:tab/>
      </w:r>
      <w:r>
        <w:rPr>
          <w:rFonts w:asciiTheme="majorHAnsi" w:hAnsiTheme="majorHAnsi"/>
          <w:b/>
          <w:bCs/>
          <w:sz w:val="20"/>
          <w:szCs w:val="20"/>
        </w:rPr>
        <w:t xml:space="preserve">ANALYSIS OF COLORABLE CLAIM </w:t>
      </w:r>
    </w:p>
    <w:p w14:paraId="63FE6066" w14:textId="77777777" w:rsidR="00B74719" w:rsidRPr="00A162A0" w:rsidRDefault="00B74719" w:rsidP="00B7471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Style w:val="Emphasis"/>
          <w:rFonts w:asciiTheme="majorHAnsi" w:hAnsiTheme="majorHAnsi"/>
          <w:i w:val="0"/>
          <w:iCs w:val="0"/>
          <w:color w:val="C0504D" w:themeColor="accent2"/>
          <w:sz w:val="20"/>
          <w:szCs w:val="20"/>
        </w:rPr>
      </w:pPr>
      <w:r>
        <w:rPr>
          <w:rFonts w:asciiTheme="majorHAnsi" w:hAnsiTheme="majorHAnsi"/>
          <w:sz w:val="20"/>
          <w:szCs w:val="20"/>
        </w:rPr>
        <w:t xml:space="preserve">The Commission understands the instant petition to include allegations concerning the violation of the right to property of the traditional community of farmers and artisan fishermen of </w:t>
      </w:r>
      <w:proofErr w:type="spellStart"/>
      <w:r>
        <w:rPr>
          <w:rFonts w:asciiTheme="majorHAnsi" w:hAnsiTheme="majorHAnsi"/>
          <w:sz w:val="20"/>
          <w:szCs w:val="20"/>
        </w:rPr>
        <w:t>Areais</w:t>
      </w:r>
      <w:proofErr w:type="spellEnd"/>
      <w:r>
        <w:rPr>
          <w:rFonts w:asciiTheme="majorHAnsi" w:hAnsiTheme="majorHAnsi"/>
          <w:sz w:val="20"/>
          <w:szCs w:val="20"/>
        </w:rPr>
        <w:t xml:space="preserve"> da </w:t>
      </w:r>
      <w:proofErr w:type="spellStart"/>
      <w:r>
        <w:rPr>
          <w:rFonts w:asciiTheme="majorHAnsi" w:hAnsiTheme="majorHAnsi"/>
          <w:sz w:val="20"/>
          <w:szCs w:val="20"/>
        </w:rPr>
        <w:t>Ribanceira</w:t>
      </w:r>
      <w:proofErr w:type="spellEnd"/>
      <w:r>
        <w:rPr>
          <w:rFonts w:asciiTheme="majorHAnsi" w:hAnsiTheme="majorHAnsi"/>
          <w:sz w:val="20"/>
          <w:szCs w:val="20"/>
        </w:rPr>
        <w:t xml:space="preserve">, which for at least two hundred years has been living on the property that is the subject of the recovery of possession, and the consequences thereof on the living conditions of the Community. When the alleged victims were evicted, their homes were destroyed, they were deprived of the right to move on their traditional land and their rights to their traditional dietary and cultural habits were violated.  Additionally, the order to recover possession allegedly did not take into consideration the presence of children on the property and was lacking the involvement of the responsible authority (Office of the Prosecutor for Children and Juveniles) and the Guardianship Council to ensure the rights of those children. Additionally, notice of the recovery of possession was not served in advance and the order was executed with violence and physical and psychological threats against the alleged victims. </w:t>
      </w:r>
      <w:r>
        <w:rPr>
          <w:rStyle w:val="Emphasis"/>
          <w:rFonts w:asciiTheme="majorHAnsi" w:hAnsiTheme="majorHAnsi" w:cs="Arial"/>
          <w:bCs/>
          <w:sz w:val="20"/>
          <w:szCs w:val="20"/>
          <w:shd w:val="clear" w:color="auto" w:fill="FFFFFF"/>
        </w:rPr>
        <w:t xml:space="preserve">The instant petition also includes allegations linked to the consequences of the recovery of possession and the delay of Brazilian authorities in demarcating and recognizing the traditional territory. </w:t>
      </w:r>
    </w:p>
    <w:p w14:paraId="30C50824" w14:textId="77777777" w:rsidR="00B74719" w:rsidRPr="00A162A0" w:rsidRDefault="00B74719" w:rsidP="00B7471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Style w:val="Emphasis"/>
          <w:rFonts w:asciiTheme="majorHAnsi" w:hAnsiTheme="majorHAnsi"/>
          <w:i w:val="0"/>
          <w:iCs w:val="0"/>
          <w:color w:val="000000" w:themeColor="text1"/>
          <w:sz w:val="20"/>
          <w:szCs w:val="20"/>
        </w:rPr>
      </w:pPr>
      <w:r w:rsidRPr="00A162A0">
        <w:rPr>
          <w:rStyle w:val="Emphasis"/>
          <w:rFonts w:asciiTheme="majorHAnsi" w:hAnsiTheme="majorHAnsi"/>
          <w:i w:val="0"/>
          <w:iCs w:val="0"/>
          <w:color w:val="000000" w:themeColor="text1"/>
          <w:sz w:val="20"/>
          <w:szCs w:val="20"/>
        </w:rPr>
        <w:t>Initially, in relation to the argument that the IACHR lacks jurisdiction to analyze violations of Article 26 of the American Convention, the Commission notes that said article establishes the obligation of the States parties to progressively develop the full effectiveness of rights. derived from the economic, social and educational, scientific and cultural norms contained in the Charter of the Organization of American States. In this sense, in light of current jurisprudence, the Commission is empowered to recognize not only the setback and the violation of the progressive development of economic, social, cultural and environmental rights, but also the autonomous violation of those rights enshrined in the OAS Charter.</w:t>
      </w:r>
      <w:r w:rsidRPr="00A162A0">
        <w:rPr>
          <w:rStyle w:val="FootnoteReference"/>
          <w:rFonts w:asciiTheme="majorHAnsi" w:hAnsiTheme="majorHAnsi"/>
          <w:color w:val="000000" w:themeColor="text1"/>
          <w:sz w:val="20"/>
          <w:szCs w:val="20"/>
        </w:rPr>
        <w:footnoteReference w:id="7"/>
      </w:r>
    </w:p>
    <w:p w14:paraId="11D613D0" w14:textId="2937BCA7" w:rsidR="00B74719" w:rsidRDefault="00286578" w:rsidP="00B7471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Style w:val="Emphasis"/>
          <w:rFonts w:asciiTheme="majorHAnsi" w:hAnsiTheme="majorHAnsi"/>
          <w:i w:val="0"/>
          <w:iCs w:val="0"/>
          <w:color w:val="000000" w:themeColor="text1"/>
          <w:sz w:val="20"/>
          <w:szCs w:val="20"/>
        </w:rPr>
      </w:pPr>
      <w:r>
        <w:rPr>
          <w:rStyle w:val="Emphasis"/>
          <w:rFonts w:asciiTheme="majorHAnsi" w:hAnsiTheme="majorHAnsi"/>
          <w:i w:val="0"/>
          <w:iCs w:val="0"/>
          <w:color w:val="000000" w:themeColor="text1"/>
          <w:sz w:val="20"/>
          <w:szCs w:val="20"/>
        </w:rPr>
        <w:lastRenderedPageBreak/>
        <w:t>I</w:t>
      </w:r>
      <w:r w:rsidR="00B74719" w:rsidRPr="00A162A0">
        <w:rPr>
          <w:rStyle w:val="Emphasis"/>
          <w:rFonts w:asciiTheme="majorHAnsi" w:hAnsiTheme="majorHAnsi"/>
          <w:i w:val="0"/>
          <w:iCs w:val="0"/>
          <w:color w:val="000000" w:themeColor="text1"/>
          <w:sz w:val="20"/>
          <w:szCs w:val="20"/>
        </w:rPr>
        <w:t xml:space="preserve">n view of the case involves public and private companies, the Commission </w:t>
      </w:r>
      <w:r w:rsidRPr="00286578">
        <w:rPr>
          <w:rStyle w:val="Emphasis"/>
          <w:rFonts w:asciiTheme="majorHAnsi" w:hAnsiTheme="majorHAnsi"/>
          <w:i w:val="0"/>
          <w:iCs w:val="0"/>
          <w:color w:val="000000" w:themeColor="text1"/>
          <w:sz w:val="20"/>
          <w:szCs w:val="20"/>
        </w:rPr>
        <w:t>must examine the obligations of the States to respect and guarantee the rights provided for in the American Convention in the context of business activities. The IACHR has emphasized that, according to international standards</w:t>
      </w:r>
      <w:r w:rsidR="00B74719" w:rsidRPr="00A162A0">
        <w:rPr>
          <w:rStyle w:val="Emphasis"/>
          <w:rFonts w:asciiTheme="majorHAnsi" w:hAnsiTheme="majorHAnsi"/>
          <w:i w:val="0"/>
          <w:iCs w:val="0"/>
          <w:color w:val="000000" w:themeColor="text1"/>
          <w:sz w:val="20"/>
          <w:szCs w:val="20"/>
        </w:rPr>
        <w:t xml:space="preserve"> </w:t>
      </w:r>
      <w:r>
        <w:rPr>
          <w:rStyle w:val="Emphasis"/>
          <w:rFonts w:asciiTheme="majorHAnsi" w:hAnsiTheme="majorHAnsi"/>
          <w:i w:val="0"/>
          <w:iCs w:val="0"/>
          <w:color w:val="000000" w:themeColor="text1"/>
          <w:sz w:val="20"/>
          <w:szCs w:val="20"/>
        </w:rPr>
        <w:t>“</w:t>
      </w:r>
      <w:r w:rsidR="00B74719" w:rsidRPr="00A162A0">
        <w:rPr>
          <w:rStyle w:val="Emphasis"/>
          <w:rFonts w:asciiTheme="majorHAnsi" w:hAnsiTheme="majorHAnsi"/>
          <w:i w:val="0"/>
          <w:iCs w:val="0"/>
          <w:color w:val="000000" w:themeColor="text1"/>
          <w:sz w:val="20"/>
          <w:szCs w:val="20"/>
        </w:rPr>
        <w:t xml:space="preserve">[...] they identify four state duties [...] in the context of business activities: </w:t>
      </w:r>
      <w:proofErr w:type="spellStart"/>
      <w:r w:rsidR="00B74719" w:rsidRPr="00A162A0">
        <w:rPr>
          <w:rStyle w:val="Emphasis"/>
          <w:rFonts w:asciiTheme="majorHAnsi" w:hAnsiTheme="majorHAnsi"/>
          <w:i w:val="0"/>
          <w:iCs w:val="0"/>
          <w:color w:val="000000" w:themeColor="text1"/>
          <w:sz w:val="20"/>
          <w:szCs w:val="20"/>
        </w:rPr>
        <w:t>i</w:t>
      </w:r>
      <w:proofErr w:type="spellEnd"/>
      <w:r w:rsidR="00B74719" w:rsidRPr="00A162A0">
        <w:rPr>
          <w:rStyle w:val="Emphasis"/>
          <w:rFonts w:asciiTheme="majorHAnsi" w:hAnsiTheme="majorHAnsi"/>
          <w:i w:val="0"/>
          <w:iCs w:val="0"/>
          <w:color w:val="000000" w:themeColor="text1"/>
          <w:sz w:val="20"/>
          <w:szCs w:val="20"/>
        </w:rPr>
        <w:t>) the duty to regulate and adopt provisions of domestic law, ii) duty to prevent human rights violations in the context of business activities, iii) duty to monitor such activities and iv) duty to investigate, punish and ensure access to comprehensive reparations for victims in such contexts.</w:t>
      </w:r>
      <w:r w:rsidR="00B74719" w:rsidRPr="00A162A0">
        <w:rPr>
          <w:rStyle w:val="FootnoteReference"/>
          <w:rFonts w:asciiTheme="majorHAnsi" w:hAnsiTheme="majorHAnsi"/>
          <w:color w:val="000000" w:themeColor="text1"/>
          <w:sz w:val="20"/>
          <w:szCs w:val="20"/>
        </w:rPr>
        <w:footnoteReference w:id="8"/>
      </w:r>
    </w:p>
    <w:p w14:paraId="5CC2D805" w14:textId="77777777" w:rsidR="00B74719" w:rsidRPr="009748AE" w:rsidRDefault="00B74719" w:rsidP="00B7471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bCs/>
          <w:color w:val="FF0000"/>
          <w:sz w:val="20"/>
          <w:szCs w:val="20"/>
        </w:rPr>
      </w:pPr>
      <w:r>
        <w:rPr>
          <w:rFonts w:asciiTheme="majorHAnsi" w:hAnsiTheme="majorHAnsi"/>
          <w:sz w:val="20"/>
          <w:szCs w:val="20"/>
        </w:rPr>
        <w:t xml:space="preserve">In view of the foregoing considerations and after examining the elements of fact and law set forth by the parties, the Commission finds that the petitioners’ allegations are not manifestly groundless and warrant an examination of the merits because, if proven to be true, they may tend to establish violations of the rights protected in Articles 4 </w:t>
      </w:r>
      <w:r w:rsidRPr="009748AE">
        <w:rPr>
          <w:rFonts w:ascii="Cambria" w:hAnsi="Cambria"/>
          <w:color w:val="000000" w:themeColor="text1"/>
          <w:sz w:val="20"/>
          <w:szCs w:val="20"/>
        </w:rPr>
        <w:t>(</w:t>
      </w:r>
      <w:r>
        <w:rPr>
          <w:rFonts w:ascii="Cambria" w:hAnsi="Cambria"/>
          <w:color w:val="000000" w:themeColor="text1"/>
          <w:sz w:val="20"/>
          <w:szCs w:val="20"/>
        </w:rPr>
        <w:t>life</w:t>
      </w:r>
      <w:r w:rsidRPr="009748AE">
        <w:rPr>
          <w:rFonts w:ascii="Cambria" w:hAnsi="Cambria"/>
          <w:color w:val="000000" w:themeColor="text1"/>
          <w:sz w:val="20"/>
          <w:szCs w:val="20"/>
        </w:rPr>
        <w:t>)</w:t>
      </w:r>
      <w:r>
        <w:rPr>
          <w:rFonts w:ascii="Cambria" w:hAnsi="Cambria"/>
          <w:color w:val="000000" w:themeColor="text1"/>
          <w:sz w:val="20"/>
          <w:szCs w:val="20"/>
        </w:rPr>
        <w:t>,</w:t>
      </w:r>
      <w:r w:rsidRPr="009748AE">
        <w:rPr>
          <w:rFonts w:ascii="Cambria" w:hAnsi="Cambria"/>
          <w:color w:val="000000" w:themeColor="text1"/>
          <w:sz w:val="20"/>
          <w:szCs w:val="20"/>
          <w:vertAlign w:val="superscript"/>
        </w:rPr>
        <w:footnoteReference w:id="9"/>
      </w:r>
      <w:r w:rsidRPr="009748AE">
        <w:rPr>
          <w:rFonts w:ascii="Cambria" w:hAnsi="Cambria"/>
          <w:color w:val="000000" w:themeColor="text1"/>
          <w:sz w:val="20"/>
          <w:szCs w:val="20"/>
        </w:rPr>
        <w:t xml:space="preserve"> 5 (</w:t>
      </w:r>
      <w:r>
        <w:rPr>
          <w:rFonts w:ascii="Cambria" w:hAnsi="Cambria"/>
          <w:color w:val="000000" w:themeColor="text1"/>
          <w:sz w:val="20"/>
          <w:szCs w:val="20"/>
        </w:rPr>
        <w:t>humane treatment</w:t>
      </w:r>
      <w:r w:rsidRPr="009748AE">
        <w:rPr>
          <w:rFonts w:ascii="Cambria" w:hAnsi="Cambria"/>
          <w:color w:val="000000" w:themeColor="text1"/>
          <w:sz w:val="20"/>
          <w:szCs w:val="20"/>
        </w:rPr>
        <w:t>), 8 (</w:t>
      </w:r>
      <w:r>
        <w:rPr>
          <w:rFonts w:ascii="Cambria" w:hAnsi="Cambria"/>
          <w:color w:val="000000" w:themeColor="text1"/>
          <w:sz w:val="20"/>
          <w:szCs w:val="20"/>
        </w:rPr>
        <w:t>fair trial</w:t>
      </w:r>
      <w:r w:rsidRPr="009748AE">
        <w:rPr>
          <w:rFonts w:ascii="Cambria" w:hAnsi="Cambria"/>
          <w:color w:val="000000" w:themeColor="text1"/>
          <w:sz w:val="20"/>
          <w:szCs w:val="20"/>
        </w:rPr>
        <w:t>), 19 (</w:t>
      </w:r>
      <w:r>
        <w:rPr>
          <w:rFonts w:ascii="Cambria" w:hAnsi="Cambria"/>
          <w:color w:val="000000" w:themeColor="text1"/>
          <w:sz w:val="20"/>
          <w:szCs w:val="20"/>
        </w:rPr>
        <w:t>rights of the child</w:t>
      </w:r>
      <w:r w:rsidRPr="009748AE">
        <w:rPr>
          <w:rFonts w:ascii="Cambria" w:hAnsi="Cambria"/>
          <w:color w:val="000000" w:themeColor="text1"/>
          <w:sz w:val="20"/>
          <w:szCs w:val="20"/>
        </w:rPr>
        <w:t>), 21 (</w:t>
      </w:r>
      <w:r>
        <w:rPr>
          <w:rFonts w:ascii="Cambria" w:hAnsi="Cambria"/>
          <w:color w:val="000000" w:themeColor="text1"/>
          <w:sz w:val="20"/>
          <w:szCs w:val="20"/>
        </w:rPr>
        <w:t>property</w:t>
      </w:r>
      <w:r w:rsidRPr="009748AE">
        <w:rPr>
          <w:rFonts w:ascii="Cambria" w:hAnsi="Cambria"/>
          <w:color w:val="000000" w:themeColor="text1"/>
          <w:sz w:val="20"/>
          <w:szCs w:val="20"/>
        </w:rPr>
        <w:t>), 22 (</w:t>
      </w:r>
      <w:r>
        <w:rPr>
          <w:rFonts w:ascii="Cambria" w:hAnsi="Cambria"/>
          <w:color w:val="000000" w:themeColor="text1"/>
          <w:sz w:val="20"/>
          <w:szCs w:val="20"/>
        </w:rPr>
        <w:t>movement and residence</w:t>
      </w:r>
      <w:r w:rsidRPr="009748AE">
        <w:rPr>
          <w:rFonts w:ascii="Cambria" w:hAnsi="Cambria"/>
          <w:color w:val="000000" w:themeColor="text1"/>
          <w:sz w:val="20"/>
          <w:szCs w:val="20"/>
        </w:rPr>
        <w:t>), 25 (</w:t>
      </w:r>
      <w:r>
        <w:rPr>
          <w:rFonts w:ascii="Cambria" w:hAnsi="Cambria"/>
          <w:color w:val="000000" w:themeColor="text1"/>
          <w:sz w:val="20"/>
          <w:szCs w:val="20"/>
        </w:rPr>
        <w:t>judicial protection</w:t>
      </w:r>
      <w:r w:rsidRPr="009748AE">
        <w:rPr>
          <w:rFonts w:ascii="Cambria" w:hAnsi="Cambria"/>
          <w:color w:val="000000" w:themeColor="text1"/>
          <w:sz w:val="20"/>
          <w:szCs w:val="20"/>
        </w:rPr>
        <w:t>), 26 (</w:t>
      </w:r>
      <w:r>
        <w:rPr>
          <w:rFonts w:ascii="Cambria" w:hAnsi="Cambria"/>
          <w:color w:val="000000" w:themeColor="text1"/>
          <w:sz w:val="20"/>
          <w:szCs w:val="20"/>
        </w:rPr>
        <w:t>economic, social and cultural rights</w:t>
      </w:r>
      <w:r w:rsidRPr="009748AE">
        <w:rPr>
          <w:rFonts w:ascii="Cambria" w:hAnsi="Cambria"/>
          <w:color w:val="000000" w:themeColor="text1"/>
          <w:sz w:val="20"/>
          <w:szCs w:val="20"/>
        </w:rPr>
        <w:t xml:space="preserve">) </w:t>
      </w:r>
      <w:r>
        <w:rPr>
          <w:rFonts w:ascii="Cambria" w:hAnsi="Cambria"/>
          <w:color w:val="000000" w:themeColor="text1"/>
          <w:sz w:val="20"/>
          <w:szCs w:val="20"/>
        </w:rPr>
        <w:t>of the American Convention in connection with Article 1.1</w:t>
      </w:r>
      <w:r w:rsidRPr="009748AE">
        <w:rPr>
          <w:rFonts w:ascii="Cambria" w:hAnsi="Cambria"/>
          <w:color w:val="000000" w:themeColor="text1"/>
          <w:sz w:val="20"/>
          <w:szCs w:val="20"/>
        </w:rPr>
        <w:t xml:space="preserve"> (</w:t>
      </w:r>
      <w:r>
        <w:rPr>
          <w:rFonts w:ascii="Cambria" w:hAnsi="Cambria"/>
          <w:color w:val="000000" w:themeColor="text1"/>
          <w:sz w:val="20"/>
          <w:szCs w:val="20"/>
        </w:rPr>
        <w:t>obligation to respect rights</w:t>
      </w:r>
      <w:r w:rsidRPr="009748AE">
        <w:rPr>
          <w:rFonts w:ascii="Cambria" w:hAnsi="Cambria"/>
          <w:color w:val="000000" w:themeColor="text1"/>
          <w:sz w:val="20"/>
          <w:szCs w:val="20"/>
        </w:rPr>
        <w:t>)</w:t>
      </w:r>
      <w:r>
        <w:rPr>
          <w:rFonts w:ascii="Cambria" w:hAnsi="Cambria"/>
          <w:color w:val="000000" w:themeColor="text1"/>
          <w:sz w:val="20"/>
          <w:szCs w:val="20"/>
        </w:rPr>
        <w:t xml:space="preserve"> and Article</w:t>
      </w:r>
      <w:r w:rsidRPr="009748AE">
        <w:rPr>
          <w:rFonts w:ascii="Cambria" w:hAnsi="Cambria"/>
          <w:color w:val="000000" w:themeColor="text1"/>
          <w:sz w:val="20"/>
          <w:szCs w:val="20"/>
        </w:rPr>
        <w:t xml:space="preserve"> 2 (</w:t>
      </w:r>
      <w:r>
        <w:rPr>
          <w:rFonts w:ascii="Cambria" w:hAnsi="Cambria"/>
          <w:color w:val="000000" w:themeColor="text1"/>
          <w:sz w:val="20"/>
          <w:szCs w:val="20"/>
        </w:rPr>
        <w:t>domestic legal effects</w:t>
      </w:r>
      <w:r w:rsidRPr="009748AE">
        <w:rPr>
          <w:rFonts w:ascii="Cambria" w:hAnsi="Cambria"/>
          <w:color w:val="000000" w:themeColor="text1"/>
          <w:sz w:val="20"/>
          <w:szCs w:val="20"/>
        </w:rPr>
        <w:t xml:space="preserve">) </w:t>
      </w:r>
      <w:r>
        <w:rPr>
          <w:rFonts w:ascii="Cambria" w:hAnsi="Cambria"/>
          <w:color w:val="000000" w:themeColor="text1"/>
          <w:sz w:val="20"/>
          <w:szCs w:val="20"/>
        </w:rPr>
        <w:t>of the same instrument. As for the right to life, the Commission notes that it encompasses not only the right of every human being to not be arbitrarily deprived of life, but also the State’s duty to take affirmative measures so that conditions are not created to impede or hamper access to a dignified existence</w:t>
      </w:r>
      <w:r w:rsidRPr="009748AE">
        <w:rPr>
          <w:rFonts w:ascii="Cambria" w:hAnsi="Cambria"/>
          <w:color w:val="000000" w:themeColor="text1"/>
          <w:sz w:val="20"/>
          <w:szCs w:val="20"/>
        </w:rPr>
        <w:t>.</w:t>
      </w:r>
      <w:r w:rsidRPr="009748AE">
        <w:rPr>
          <w:rStyle w:val="FootnoteReference"/>
          <w:bCs/>
          <w:color w:val="000000" w:themeColor="text1"/>
          <w:sz w:val="20"/>
          <w:szCs w:val="20"/>
        </w:rPr>
        <w:footnoteReference w:id="10"/>
      </w:r>
    </w:p>
    <w:p w14:paraId="39E62044" w14:textId="77777777" w:rsidR="00B74719" w:rsidRPr="009748AE" w:rsidRDefault="00B74719" w:rsidP="00B7471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rPr>
      </w:pPr>
      <w:r>
        <w:rPr>
          <w:rFonts w:asciiTheme="majorHAnsi" w:hAnsiTheme="majorHAnsi" w:cs="Calibri"/>
          <w:sz w:val="20"/>
          <w:szCs w:val="20"/>
        </w:rPr>
        <w:t xml:space="preserve">As for the other international instruments alleged by the petitioners, the Commission is not competent to establish violations of the provisions of those treaties; however, it will take them into account to interpret the provisions of the American Convention at the stage of the merits of the instant case, as provided for under Article 29 of the American Convention. </w:t>
      </w:r>
    </w:p>
    <w:p w14:paraId="4C70B27C" w14:textId="77777777" w:rsidR="00B74719" w:rsidRPr="009748AE" w:rsidRDefault="00B74719" w:rsidP="00B74719">
      <w:pPr>
        <w:pStyle w:val="ListParagraph"/>
        <w:numPr>
          <w:ilvl w:val="0"/>
          <w:numId w:val="103"/>
        </w:numPr>
        <w:contextualSpacing/>
        <w:jc w:val="both"/>
        <w:rPr>
          <w:rFonts w:asciiTheme="majorHAnsi" w:hAnsiTheme="majorHAnsi" w:cs="Calibri"/>
          <w:sz w:val="20"/>
          <w:szCs w:val="20"/>
        </w:rPr>
      </w:pPr>
      <w:r>
        <w:rPr>
          <w:rFonts w:asciiTheme="majorHAnsi" w:hAnsiTheme="majorHAnsi" w:cs="Calibri"/>
          <w:sz w:val="20"/>
          <w:szCs w:val="20"/>
        </w:rPr>
        <w:t xml:space="preserve">Lastly, with respect to the State’s allegation about the fourth instance, the Commission notes that in admitting this petition, it does not pretend to override the competence of domestic judicial authorities. However, at the stage of the merits of the instant petition it will examine whether the judicial proceedings conformed to all judicial guarantees of access to justice for the alleged victims as provided for under the American Convention. </w:t>
      </w:r>
    </w:p>
    <w:p w14:paraId="1A7C1A76" w14:textId="77777777" w:rsidR="00B74719" w:rsidRPr="009748AE" w:rsidRDefault="00B74719" w:rsidP="00B7471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b/>
          <w:bCs/>
          <w:sz w:val="20"/>
          <w:szCs w:val="20"/>
        </w:rPr>
      </w:pPr>
      <w:r w:rsidRPr="009748AE">
        <w:rPr>
          <w:rFonts w:asciiTheme="majorHAnsi" w:hAnsiTheme="majorHAnsi"/>
          <w:b/>
          <w:bCs/>
          <w:sz w:val="20"/>
          <w:szCs w:val="20"/>
        </w:rPr>
        <w:t xml:space="preserve">VIII. </w:t>
      </w:r>
      <w:r w:rsidRPr="009748AE">
        <w:rPr>
          <w:rFonts w:asciiTheme="majorHAnsi" w:hAnsiTheme="majorHAnsi"/>
          <w:b/>
          <w:bCs/>
          <w:sz w:val="20"/>
          <w:szCs w:val="20"/>
        </w:rPr>
        <w:tab/>
        <w:t>DECIS</w:t>
      </w:r>
      <w:r>
        <w:rPr>
          <w:rFonts w:asciiTheme="majorHAnsi" w:hAnsiTheme="majorHAnsi"/>
          <w:b/>
          <w:bCs/>
          <w:sz w:val="20"/>
          <w:szCs w:val="20"/>
        </w:rPr>
        <w:t xml:space="preserve">ION </w:t>
      </w:r>
    </w:p>
    <w:p w14:paraId="260FEB6C" w14:textId="77777777" w:rsidR="00B74719" w:rsidRPr="009748AE" w:rsidRDefault="00B74719" w:rsidP="00B74719">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rPr>
        <w:t xml:space="preserve">To declare the instant petition admissible in relation to Articles </w:t>
      </w:r>
      <w:r w:rsidRPr="009748AE">
        <w:rPr>
          <w:rFonts w:asciiTheme="majorHAnsi" w:hAnsiTheme="majorHAnsi"/>
          <w:sz w:val="20"/>
          <w:szCs w:val="20"/>
        </w:rPr>
        <w:t>4 (</w:t>
      </w:r>
      <w:r>
        <w:rPr>
          <w:rFonts w:asciiTheme="majorHAnsi" w:hAnsiTheme="majorHAnsi"/>
          <w:sz w:val="20"/>
          <w:szCs w:val="20"/>
        </w:rPr>
        <w:t>life</w:t>
      </w:r>
      <w:r w:rsidRPr="009748AE">
        <w:rPr>
          <w:rFonts w:asciiTheme="majorHAnsi" w:hAnsiTheme="majorHAnsi"/>
          <w:sz w:val="20"/>
          <w:szCs w:val="20"/>
        </w:rPr>
        <w:t>),</w:t>
      </w:r>
      <w:r w:rsidRPr="009748AE">
        <w:rPr>
          <w:rFonts w:asciiTheme="majorHAnsi" w:hAnsiTheme="majorHAnsi"/>
          <w:color w:val="FF0000"/>
          <w:sz w:val="20"/>
          <w:szCs w:val="20"/>
        </w:rPr>
        <w:t xml:space="preserve"> </w:t>
      </w:r>
      <w:r w:rsidRPr="009748AE">
        <w:rPr>
          <w:rFonts w:asciiTheme="majorHAnsi" w:hAnsiTheme="majorHAnsi"/>
          <w:sz w:val="20"/>
          <w:szCs w:val="20"/>
        </w:rPr>
        <w:t>5 (</w:t>
      </w:r>
      <w:r>
        <w:rPr>
          <w:rFonts w:asciiTheme="majorHAnsi" w:hAnsiTheme="majorHAnsi"/>
          <w:sz w:val="20"/>
          <w:szCs w:val="20"/>
        </w:rPr>
        <w:t>humane treatment</w:t>
      </w:r>
      <w:r w:rsidRPr="009748AE">
        <w:rPr>
          <w:rFonts w:asciiTheme="majorHAnsi" w:hAnsiTheme="majorHAnsi"/>
          <w:sz w:val="20"/>
          <w:szCs w:val="20"/>
        </w:rPr>
        <w:t>), 8 (</w:t>
      </w:r>
      <w:r>
        <w:rPr>
          <w:rFonts w:asciiTheme="majorHAnsi" w:hAnsiTheme="majorHAnsi"/>
          <w:sz w:val="20"/>
          <w:szCs w:val="20"/>
        </w:rPr>
        <w:t>fair trial</w:t>
      </w:r>
      <w:r w:rsidRPr="009748AE">
        <w:rPr>
          <w:rFonts w:asciiTheme="majorHAnsi" w:hAnsiTheme="majorHAnsi"/>
          <w:sz w:val="20"/>
          <w:szCs w:val="20"/>
        </w:rPr>
        <w:t>), 19 (</w:t>
      </w:r>
      <w:r>
        <w:rPr>
          <w:rFonts w:asciiTheme="majorHAnsi" w:hAnsiTheme="majorHAnsi"/>
          <w:sz w:val="20"/>
          <w:szCs w:val="20"/>
        </w:rPr>
        <w:t>rights of the child</w:t>
      </w:r>
      <w:r w:rsidRPr="009748AE">
        <w:rPr>
          <w:rFonts w:asciiTheme="majorHAnsi" w:hAnsiTheme="majorHAnsi"/>
          <w:sz w:val="20"/>
          <w:szCs w:val="20"/>
        </w:rPr>
        <w:t>), 21 (</w:t>
      </w:r>
      <w:r>
        <w:rPr>
          <w:rFonts w:asciiTheme="majorHAnsi" w:hAnsiTheme="majorHAnsi"/>
          <w:sz w:val="20"/>
          <w:szCs w:val="20"/>
        </w:rPr>
        <w:t>property</w:t>
      </w:r>
      <w:r w:rsidRPr="009748AE">
        <w:rPr>
          <w:rFonts w:asciiTheme="majorHAnsi" w:hAnsiTheme="majorHAnsi"/>
          <w:sz w:val="20"/>
          <w:szCs w:val="20"/>
        </w:rPr>
        <w:t>), 22 (</w:t>
      </w:r>
      <w:r>
        <w:rPr>
          <w:rFonts w:asciiTheme="majorHAnsi" w:hAnsiTheme="majorHAnsi"/>
          <w:sz w:val="20"/>
          <w:szCs w:val="20"/>
        </w:rPr>
        <w:t>movement and residence</w:t>
      </w:r>
      <w:r w:rsidRPr="009748AE">
        <w:rPr>
          <w:rFonts w:asciiTheme="majorHAnsi" w:hAnsiTheme="majorHAnsi"/>
          <w:sz w:val="20"/>
          <w:szCs w:val="20"/>
        </w:rPr>
        <w:t>), 25 (</w:t>
      </w:r>
      <w:r>
        <w:rPr>
          <w:rFonts w:asciiTheme="majorHAnsi" w:hAnsiTheme="majorHAnsi"/>
          <w:sz w:val="20"/>
          <w:szCs w:val="20"/>
        </w:rPr>
        <w:t>judicial protection</w:t>
      </w:r>
      <w:r w:rsidRPr="009748AE">
        <w:rPr>
          <w:rFonts w:asciiTheme="majorHAnsi" w:hAnsiTheme="majorHAnsi"/>
          <w:sz w:val="20"/>
          <w:szCs w:val="20"/>
        </w:rPr>
        <w:t>), 26 (</w:t>
      </w:r>
      <w:r>
        <w:rPr>
          <w:rFonts w:asciiTheme="majorHAnsi" w:hAnsiTheme="majorHAnsi"/>
          <w:sz w:val="20"/>
          <w:szCs w:val="20"/>
        </w:rPr>
        <w:t>economic, social and cultural rights</w:t>
      </w:r>
      <w:r w:rsidRPr="009748AE">
        <w:rPr>
          <w:rFonts w:asciiTheme="majorHAnsi" w:hAnsiTheme="majorHAnsi"/>
          <w:sz w:val="20"/>
          <w:szCs w:val="20"/>
        </w:rPr>
        <w:t xml:space="preserve">) </w:t>
      </w:r>
      <w:r>
        <w:rPr>
          <w:rFonts w:asciiTheme="majorHAnsi" w:hAnsiTheme="majorHAnsi"/>
          <w:sz w:val="20"/>
          <w:szCs w:val="20"/>
        </w:rPr>
        <w:t>of the American Convention in connection with Article  1.1 (obligation to respect rights) and Article</w:t>
      </w:r>
      <w:r w:rsidRPr="009748AE">
        <w:rPr>
          <w:rFonts w:asciiTheme="majorHAnsi" w:hAnsiTheme="majorHAnsi"/>
          <w:sz w:val="20"/>
          <w:szCs w:val="20"/>
        </w:rPr>
        <w:t xml:space="preserve"> 2 (</w:t>
      </w:r>
      <w:r>
        <w:rPr>
          <w:rFonts w:asciiTheme="majorHAnsi" w:hAnsiTheme="majorHAnsi"/>
          <w:sz w:val="20"/>
          <w:szCs w:val="20"/>
        </w:rPr>
        <w:t>domestic legal effects</w:t>
      </w:r>
      <w:r w:rsidRPr="009748AE">
        <w:rPr>
          <w:rFonts w:asciiTheme="majorHAnsi" w:hAnsiTheme="majorHAnsi"/>
          <w:sz w:val="20"/>
          <w:szCs w:val="20"/>
        </w:rPr>
        <w:t xml:space="preserve">) </w:t>
      </w:r>
      <w:r>
        <w:rPr>
          <w:rFonts w:asciiTheme="majorHAnsi" w:hAnsiTheme="majorHAnsi"/>
          <w:sz w:val="20"/>
          <w:szCs w:val="20"/>
        </w:rPr>
        <w:t>of the same instrument</w:t>
      </w:r>
      <w:r w:rsidRPr="009748AE">
        <w:rPr>
          <w:rFonts w:asciiTheme="majorHAnsi" w:hAnsiTheme="majorHAnsi"/>
          <w:sz w:val="20"/>
          <w:szCs w:val="20"/>
        </w:rPr>
        <w:t>;</w:t>
      </w:r>
      <w:r>
        <w:rPr>
          <w:rFonts w:asciiTheme="majorHAnsi" w:hAnsiTheme="majorHAnsi"/>
          <w:sz w:val="20"/>
          <w:szCs w:val="20"/>
        </w:rPr>
        <w:t xml:space="preserve"> and</w:t>
      </w:r>
    </w:p>
    <w:p w14:paraId="4BC75DCF" w14:textId="77777777" w:rsidR="00B74719" w:rsidRPr="009748AE" w:rsidRDefault="00B74719" w:rsidP="00B74719">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rPr>
        <w:t xml:space="preserve">To notify the parties of this decision; to continue with the examination of merits of the matter; and to publish this decision and include it in its Annual Report to the General Assembly of the Organization of American States. </w:t>
      </w:r>
    </w:p>
    <w:p w14:paraId="2122B46A" w14:textId="42095B8D" w:rsidR="00C55560" w:rsidRPr="00145EDC" w:rsidRDefault="009550F9" w:rsidP="009550F9">
      <w:pPr>
        <w:suppressAutoHyphens/>
        <w:ind w:firstLine="720"/>
        <w:jc w:val="both"/>
        <w:rPr>
          <w:rFonts w:asciiTheme="majorHAnsi" w:hAnsiTheme="majorHAnsi"/>
          <w:sz w:val="20"/>
          <w:szCs w:val="20"/>
        </w:rPr>
      </w:pPr>
      <w:r>
        <w:rPr>
          <w:rFonts w:ascii="Cambria" w:hAnsi="Cambria"/>
          <w:spacing w:val="-2"/>
          <w:sz w:val="20"/>
        </w:rPr>
        <w:lastRenderedPageBreak/>
        <w:t>Approved by the Inter-American Commission on Human Rights</w:t>
      </w:r>
      <w:r w:rsidRPr="00365F2F">
        <w:rPr>
          <w:rFonts w:ascii="Cambria" w:hAnsi="Cambria"/>
          <w:spacing w:val="-2"/>
          <w:sz w:val="20"/>
        </w:rPr>
        <w:t xml:space="preserve"> on the </w:t>
      </w:r>
      <w:r>
        <w:rPr>
          <w:rFonts w:ascii="Cambria" w:hAnsi="Cambria"/>
          <w:spacing w:val="-2"/>
          <w:sz w:val="20"/>
        </w:rPr>
        <w:t xml:space="preserve">12th </w:t>
      </w:r>
      <w:r w:rsidRPr="00365F2F">
        <w:rPr>
          <w:rFonts w:ascii="Cambria" w:hAnsi="Cambria"/>
          <w:spacing w:val="-2"/>
          <w:sz w:val="20"/>
        </w:rPr>
        <w:t xml:space="preserve">day of the month of </w:t>
      </w:r>
      <w:r>
        <w:rPr>
          <w:rFonts w:ascii="Cambria" w:hAnsi="Cambria"/>
          <w:spacing w:val="-2"/>
          <w:sz w:val="20"/>
        </w:rPr>
        <w:t>May,</w:t>
      </w:r>
      <w:r w:rsidRPr="00365F2F">
        <w:rPr>
          <w:rFonts w:ascii="Cambria" w:hAnsi="Cambria"/>
          <w:spacing w:val="-2"/>
          <w:sz w:val="20"/>
        </w:rPr>
        <w:t xml:space="preserve"> </w:t>
      </w:r>
      <w:r>
        <w:rPr>
          <w:rFonts w:ascii="Cambria" w:hAnsi="Cambria"/>
          <w:spacing w:val="-2"/>
          <w:sz w:val="20"/>
        </w:rPr>
        <w:t>2020</w:t>
      </w:r>
      <w:r w:rsidRPr="00365F2F">
        <w:rPr>
          <w:rFonts w:ascii="Cambria" w:hAnsi="Cambria"/>
          <w:spacing w:val="-2"/>
          <w:sz w:val="20"/>
        </w:rPr>
        <w:t xml:space="preserve">. </w:t>
      </w:r>
      <w:r w:rsidRPr="007F3C48">
        <w:rPr>
          <w:rFonts w:ascii="Cambria" w:hAnsi="Cambria"/>
          <w:spacing w:val="-2"/>
          <w:sz w:val="20"/>
        </w:rPr>
        <w:t xml:space="preserve">(Signed):  </w:t>
      </w:r>
      <w:r w:rsidRPr="007F3C48">
        <w:rPr>
          <w:rFonts w:asciiTheme="majorHAnsi" w:hAnsiTheme="majorHAnsi" w:cs="Arial"/>
          <w:noProof/>
          <w:spacing w:val="-2"/>
          <w:sz w:val="20"/>
          <w:szCs w:val="20"/>
        </w:rPr>
        <w:t>Joel H</w:t>
      </w:r>
      <w:r>
        <w:rPr>
          <w:rFonts w:asciiTheme="majorHAnsi" w:hAnsiTheme="majorHAnsi" w:cs="Arial"/>
          <w:noProof/>
          <w:spacing w:val="-2"/>
          <w:sz w:val="20"/>
          <w:szCs w:val="20"/>
        </w:rPr>
        <w:t>ernández, President; Antonia Ur</w:t>
      </w:r>
      <w:r w:rsidRPr="007F3C48">
        <w:rPr>
          <w:rFonts w:asciiTheme="majorHAnsi" w:hAnsiTheme="majorHAnsi" w:cs="Arial"/>
          <w:noProof/>
          <w:spacing w:val="-2"/>
          <w:sz w:val="20"/>
          <w:szCs w:val="20"/>
        </w:rPr>
        <w:t xml:space="preserve">rejola, First Vice President; </w:t>
      </w:r>
      <w:r w:rsidRPr="00DD57A5">
        <w:rPr>
          <w:rFonts w:asciiTheme="majorHAnsi" w:hAnsiTheme="majorHAnsi" w:cs="Arial"/>
          <w:noProof/>
          <w:spacing w:val="-2"/>
          <w:sz w:val="20"/>
          <w:szCs w:val="20"/>
        </w:rPr>
        <w:t>Esmeralda E. Arosemena Bernal de Troitiño,</w:t>
      </w:r>
      <w:r>
        <w:rPr>
          <w:rFonts w:asciiTheme="majorHAnsi" w:hAnsiTheme="majorHAnsi" w:cs="Arial"/>
          <w:noProof/>
          <w:spacing w:val="-2"/>
          <w:sz w:val="20"/>
          <w:szCs w:val="20"/>
        </w:rPr>
        <w:t xml:space="preserve"> and</w:t>
      </w:r>
      <w:r w:rsidRPr="007F3C48">
        <w:rPr>
          <w:rFonts w:asciiTheme="majorHAnsi" w:hAnsiTheme="majorHAnsi" w:cs="Arial"/>
          <w:noProof/>
          <w:spacing w:val="-2"/>
          <w:sz w:val="20"/>
          <w:szCs w:val="20"/>
        </w:rPr>
        <w:t xml:space="preserve"> Julissa Mantilla Falcón</w:t>
      </w:r>
      <w:r>
        <w:rPr>
          <w:rFonts w:asciiTheme="majorHAnsi" w:hAnsiTheme="majorHAnsi" w:cs="Arial"/>
          <w:noProof/>
          <w:spacing w:val="-2"/>
          <w:sz w:val="20"/>
          <w:szCs w:val="20"/>
        </w:rPr>
        <w:t xml:space="preserve">, </w:t>
      </w:r>
      <w:r w:rsidRPr="00365F2F">
        <w:rPr>
          <w:rFonts w:ascii="Cambria" w:hAnsi="Cambria"/>
          <w:spacing w:val="-2"/>
          <w:sz w:val="20"/>
        </w:rPr>
        <w:t>Commissioners.</w:t>
      </w:r>
    </w:p>
    <w:sectPr w:rsidR="00C55560" w:rsidRPr="00145ED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8CB15D" w14:textId="77777777" w:rsidR="009A3E46" w:rsidRDefault="009A3E46" w:rsidP="00036A8A">
      <w:r>
        <w:separator/>
      </w:r>
    </w:p>
  </w:endnote>
  <w:endnote w:type="continuationSeparator" w:id="0">
    <w:p w14:paraId="64C06D7D" w14:textId="77777777" w:rsidR="009A3E46" w:rsidRDefault="009A3E46"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73F18" w14:textId="77777777" w:rsidR="00BA3DC7" w:rsidRDefault="00BA3D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66F8EBC2" w14:textId="71F2D4D1"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BA3DC7">
          <w:rPr>
            <w:noProof/>
            <w:sz w:val="16"/>
          </w:rPr>
          <w:t>1</w:t>
        </w:r>
        <w:r w:rsidRPr="006311DA">
          <w:rPr>
            <w:noProof/>
            <w:sz w:val="16"/>
          </w:rPr>
          <w:fldChar w:fldCharType="end"/>
        </w:r>
      </w:p>
    </w:sdtContent>
  </w:sdt>
  <w:p w14:paraId="767961CB"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4902D7" w14:textId="77777777" w:rsidR="009A3E46" w:rsidRPr="00036A8A" w:rsidRDefault="009A3E46"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637310A6" w14:textId="77777777" w:rsidR="009A3E46" w:rsidRPr="00036A8A" w:rsidRDefault="009A3E46" w:rsidP="00036A8A">
      <w:pPr>
        <w:rPr>
          <w:rFonts w:asciiTheme="majorHAnsi" w:hAnsiTheme="majorHAnsi"/>
          <w:sz w:val="16"/>
          <w:szCs w:val="16"/>
        </w:rPr>
      </w:pPr>
      <w:r w:rsidRPr="00036A8A">
        <w:rPr>
          <w:rFonts w:asciiTheme="majorHAnsi" w:hAnsiTheme="majorHAnsi"/>
          <w:sz w:val="16"/>
          <w:szCs w:val="16"/>
        </w:rPr>
        <w:separator/>
      </w:r>
    </w:p>
    <w:p w14:paraId="5052959B" w14:textId="77777777" w:rsidR="009A3E46" w:rsidRPr="00036A8A" w:rsidRDefault="009A3E46"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09509E33" w14:textId="77777777" w:rsidR="009A3E46" w:rsidRPr="0093441A" w:rsidRDefault="009A3E46"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056C95DA" w14:textId="4D188057" w:rsidR="00B74719" w:rsidRPr="00A162A0" w:rsidRDefault="009550F9" w:rsidP="00B74719">
      <w:pPr>
        <w:pStyle w:val="FootnoteText"/>
        <w:jc w:val="both"/>
        <w:rPr>
          <w:rFonts w:ascii="Cambria" w:hAnsi="Cambria"/>
          <w:sz w:val="16"/>
          <w:szCs w:val="16"/>
        </w:rPr>
      </w:pPr>
      <w:r>
        <w:rPr>
          <w:rFonts w:ascii="Cambria" w:hAnsi="Cambria"/>
          <w:sz w:val="16"/>
          <w:szCs w:val="16"/>
        </w:rPr>
        <w:tab/>
      </w:r>
      <w:r w:rsidR="00B74719" w:rsidRPr="00A162A0">
        <w:rPr>
          <w:rStyle w:val="FootnoteReference"/>
          <w:rFonts w:ascii="Cambria" w:hAnsi="Cambria"/>
          <w:sz w:val="16"/>
          <w:szCs w:val="16"/>
        </w:rPr>
        <w:footnoteRef/>
      </w:r>
      <w:r w:rsidR="00B74719" w:rsidRPr="00A162A0">
        <w:rPr>
          <w:rFonts w:ascii="Cambria" w:hAnsi="Cambria"/>
          <w:sz w:val="16"/>
          <w:szCs w:val="16"/>
        </w:rPr>
        <w:t xml:space="preserve"> Pursuant to Article 17.2.a of the Commission’s Rules of Procedure, Commission member </w:t>
      </w:r>
      <w:proofErr w:type="spellStart"/>
      <w:r w:rsidR="00B74719" w:rsidRPr="00A162A0">
        <w:rPr>
          <w:rFonts w:ascii="Cambria" w:hAnsi="Cambria"/>
          <w:sz w:val="16"/>
          <w:szCs w:val="16"/>
        </w:rPr>
        <w:t>Flávia</w:t>
      </w:r>
      <w:proofErr w:type="spellEnd"/>
      <w:r w:rsidR="00B74719" w:rsidRPr="00A162A0">
        <w:rPr>
          <w:rFonts w:ascii="Cambria" w:hAnsi="Cambria"/>
          <w:sz w:val="16"/>
          <w:szCs w:val="16"/>
        </w:rPr>
        <w:t xml:space="preserve"> </w:t>
      </w:r>
      <w:proofErr w:type="spellStart"/>
      <w:r w:rsidR="00B74719" w:rsidRPr="00A162A0">
        <w:rPr>
          <w:rFonts w:ascii="Cambria" w:hAnsi="Cambria"/>
          <w:sz w:val="16"/>
          <w:szCs w:val="16"/>
        </w:rPr>
        <w:t>Piovesan</w:t>
      </w:r>
      <w:proofErr w:type="spellEnd"/>
      <w:r w:rsidR="00B74719" w:rsidRPr="00A162A0">
        <w:rPr>
          <w:rFonts w:ascii="Cambria" w:hAnsi="Cambria"/>
          <w:sz w:val="16"/>
          <w:szCs w:val="16"/>
        </w:rPr>
        <w:t xml:space="preserve">, a Brazilian national, did not take part in the discussion or the decision-making process on the instant matter. </w:t>
      </w:r>
    </w:p>
  </w:footnote>
  <w:footnote w:id="3">
    <w:p w14:paraId="2E1DA976" w14:textId="3E16B76E" w:rsidR="00B74719" w:rsidRPr="00A162A0" w:rsidRDefault="009550F9" w:rsidP="00B74719">
      <w:pPr>
        <w:pStyle w:val="FootnoteText"/>
        <w:jc w:val="both"/>
        <w:rPr>
          <w:rFonts w:ascii="Cambria" w:hAnsi="Cambria"/>
          <w:sz w:val="16"/>
          <w:szCs w:val="16"/>
        </w:rPr>
      </w:pPr>
      <w:r>
        <w:rPr>
          <w:rFonts w:ascii="Cambria" w:hAnsi="Cambria"/>
          <w:sz w:val="16"/>
          <w:szCs w:val="16"/>
        </w:rPr>
        <w:tab/>
      </w:r>
      <w:r w:rsidR="00B74719" w:rsidRPr="00A162A0">
        <w:rPr>
          <w:rStyle w:val="FootnoteReference"/>
          <w:rFonts w:ascii="Cambria" w:hAnsi="Cambria"/>
          <w:sz w:val="16"/>
          <w:szCs w:val="16"/>
        </w:rPr>
        <w:footnoteRef/>
      </w:r>
      <w:r w:rsidR="00B74719" w:rsidRPr="00A162A0">
        <w:rPr>
          <w:rFonts w:ascii="Cambria" w:hAnsi="Cambria"/>
          <w:sz w:val="16"/>
          <w:szCs w:val="16"/>
        </w:rPr>
        <w:t xml:space="preserve"> Hereinafter “American Convention” or “Convention.”</w:t>
      </w:r>
    </w:p>
  </w:footnote>
  <w:footnote w:id="4">
    <w:p w14:paraId="42FADDE6" w14:textId="20A6E0A0" w:rsidR="00B74719" w:rsidRPr="00A162A0" w:rsidRDefault="009550F9" w:rsidP="00B74719">
      <w:pPr>
        <w:pStyle w:val="FootnoteText"/>
        <w:jc w:val="both"/>
        <w:rPr>
          <w:rFonts w:ascii="Cambria" w:hAnsi="Cambria"/>
          <w:sz w:val="16"/>
          <w:szCs w:val="16"/>
        </w:rPr>
      </w:pPr>
      <w:r>
        <w:rPr>
          <w:rFonts w:ascii="Cambria" w:hAnsi="Cambria"/>
          <w:sz w:val="16"/>
          <w:szCs w:val="16"/>
        </w:rPr>
        <w:tab/>
      </w:r>
      <w:r w:rsidR="00B74719" w:rsidRPr="00A162A0">
        <w:rPr>
          <w:rStyle w:val="FootnoteReference"/>
          <w:rFonts w:ascii="Cambria" w:hAnsi="Cambria"/>
          <w:sz w:val="16"/>
          <w:szCs w:val="16"/>
        </w:rPr>
        <w:footnoteRef/>
      </w:r>
      <w:r w:rsidR="00B74719" w:rsidRPr="00A162A0">
        <w:rPr>
          <w:rFonts w:ascii="Cambria" w:hAnsi="Cambria"/>
          <w:sz w:val="16"/>
          <w:szCs w:val="16"/>
        </w:rPr>
        <w:t xml:space="preserve"> Article 14 of International Labor Organization Convention 169 (hereinafter “ILO Convention 169”).</w:t>
      </w:r>
    </w:p>
  </w:footnote>
  <w:footnote w:id="5">
    <w:p w14:paraId="6F51BDAF" w14:textId="408CAFF9" w:rsidR="00653EA6" w:rsidRPr="000B6B7A" w:rsidRDefault="009550F9" w:rsidP="00B74719">
      <w:pPr>
        <w:pStyle w:val="FootnoteText"/>
        <w:jc w:val="both"/>
        <w:rPr>
          <w:rFonts w:ascii="Cambria" w:hAnsi="Cambria"/>
          <w:sz w:val="16"/>
          <w:szCs w:val="16"/>
        </w:rPr>
      </w:pPr>
      <w:r>
        <w:rPr>
          <w:rFonts w:ascii="Cambria" w:hAnsi="Cambria"/>
          <w:sz w:val="16"/>
          <w:szCs w:val="16"/>
        </w:rPr>
        <w:tab/>
      </w:r>
      <w:r w:rsidR="00653EA6" w:rsidRPr="000B6B7A">
        <w:rPr>
          <w:rStyle w:val="FootnoteReference"/>
          <w:rFonts w:ascii="Cambria" w:hAnsi="Cambria"/>
          <w:sz w:val="16"/>
          <w:szCs w:val="16"/>
        </w:rPr>
        <w:footnoteRef/>
      </w:r>
      <w:r w:rsidR="00653EA6" w:rsidRPr="000B6B7A">
        <w:rPr>
          <w:rFonts w:ascii="Cambria" w:hAnsi="Cambria"/>
          <w:sz w:val="16"/>
          <w:szCs w:val="16"/>
        </w:rPr>
        <w:t xml:space="preserve"> </w:t>
      </w:r>
      <w:r w:rsidR="00653EA6">
        <w:rPr>
          <w:rFonts w:ascii="Cambria" w:hAnsi="Cambria"/>
          <w:sz w:val="16"/>
          <w:szCs w:val="16"/>
        </w:rPr>
        <w:t xml:space="preserve">The observations </w:t>
      </w:r>
      <w:r w:rsidR="00321AFD">
        <w:rPr>
          <w:rFonts w:ascii="Cambria" w:hAnsi="Cambria"/>
          <w:sz w:val="16"/>
          <w:szCs w:val="16"/>
        </w:rPr>
        <w:t>submitted</w:t>
      </w:r>
      <w:r w:rsidR="00653EA6">
        <w:rPr>
          <w:rFonts w:ascii="Cambria" w:hAnsi="Cambria"/>
          <w:sz w:val="16"/>
          <w:szCs w:val="16"/>
        </w:rPr>
        <w:t xml:space="preserve"> by each party were duly transmitted to the opposing party.</w:t>
      </w:r>
    </w:p>
  </w:footnote>
  <w:footnote w:id="6">
    <w:p w14:paraId="3A66A44B" w14:textId="1524DADD" w:rsidR="00B74719" w:rsidRPr="00A162A0" w:rsidRDefault="009550F9" w:rsidP="00B74719">
      <w:pPr>
        <w:pStyle w:val="FootnoteText"/>
        <w:jc w:val="both"/>
        <w:rPr>
          <w:rFonts w:ascii="Cambria" w:hAnsi="Cambria"/>
          <w:sz w:val="16"/>
          <w:szCs w:val="16"/>
        </w:rPr>
      </w:pPr>
      <w:r>
        <w:rPr>
          <w:rFonts w:ascii="Cambria" w:hAnsi="Cambria"/>
          <w:sz w:val="16"/>
          <w:szCs w:val="16"/>
        </w:rPr>
        <w:tab/>
      </w:r>
      <w:r w:rsidR="00B74719" w:rsidRPr="00A162A0">
        <w:rPr>
          <w:rStyle w:val="FootnoteReference"/>
          <w:rFonts w:ascii="Cambria" w:hAnsi="Cambria"/>
          <w:sz w:val="16"/>
          <w:szCs w:val="16"/>
        </w:rPr>
        <w:footnoteRef/>
      </w:r>
      <w:r w:rsidR="00B74719" w:rsidRPr="00A162A0">
        <w:rPr>
          <w:rFonts w:ascii="Cambria" w:hAnsi="Cambria"/>
          <w:sz w:val="16"/>
          <w:szCs w:val="16"/>
        </w:rPr>
        <w:t xml:space="preserve"> Pursuant to Legal Precedent 7 of the SJT, “The pursuit of mere reexamination of evidence is not appealable by special appeal.” </w:t>
      </w:r>
    </w:p>
  </w:footnote>
  <w:footnote w:id="7">
    <w:p w14:paraId="0EB99FC6" w14:textId="20D4312A" w:rsidR="00B74719" w:rsidRPr="00A162A0" w:rsidRDefault="009550F9" w:rsidP="00B74719">
      <w:pPr>
        <w:pStyle w:val="FootnoteText"/>
        <w:jc w:val="both"/>
        <w:rPr>
          <w:rFonts w:ascii="Cambria" w:hAnsi="Cambria"/>
          <w:sz w:val="16"/>
          <w:szCs w:val="16"/>
        </w:rPr>
      </w:pPr>
      <w:r>
        <w:rPr>
          <w:rFonts w:ascii="Cambria" w:hAnsi="Cambria"/>
          <w:sz w:val="16"/>
          <w:szCs w:val="16"/>
        </w:rPr>
        <w:tab/>
      </w:r>
      <w:r w:rsidR="00B74719" w:rsidRPr="00A162A0">
        <w:rPr>
          <w:rStyle w:val="FootnoteReference"/>
          <w:rFonts w:ascii="Cambria" w:hAnsi="Cambria"/>
          <w:sz w:val="16"/>
          <w:szCs w:val="16"/>
        </w:rPr>
        <w:footnoteRef/>
      </w:r>
      <w:r w:rsidR="00B74719" w:rsidRPr="00A162A0">
        <w:rPr>
          <w:rFonts w:ascii="Cambria" w:hAnsi="Cambria"/>
          <w:sz w:val="16"/>
          <w:szCs w:val="16"/>
        </w:rPr>
        <w:t xml:space="preserve"> IACHR, Report No. 70/04, Petition 667/01. Admissibility. Jesús Manuel Naranjo Cárdenas and others (Retirees of the Venezuelan Aviation Company VIASA). Venezuela. October 15, 2004, para. 61. I / A Court H.R. Case of Indigenous Communities Members of the </w:t>
      </w:r>
      <w:proofErr w:type="spellStart"/>
      <w:r w:rsidR="00B74719" w:rsidRPr="00A162A0">
        <w:rPr>
          <w:rFonts w:ascii="Cambria" w:hAnsi="Cambria"/>
          <w:sz w:val="16"/>
          <w:szCs w:val="16"/>
        </w:rPr>
        <w:t>Lhaka</w:t>
      </w:r>
      <w:proofErr w:type="spellEnd"/>
      <w:r w:rsidR="00B74719" w:rsidRPr="00A162A0">
        <w:rPr>
          <w:rFonts w:ascii="Cambria" w:hAnsi="Cambria"/>
          <w:sz w:val="16"/>
          <w:szCs w:val="16"/>
        </w:rPr>
        <w:t xml:space="preserve"> </w:t>
      </w:r>
      <w:proofErr w:type="spellStart"/>
      <w:r w:rsidR="00B74719" w:rsidRPr="00A162A0">
        <w:rPr>
          <w:rFonts w:ascii="Cambria" w:hAnsi="Cambria"/>
          <w:sz w:val="16"/>
          <w:szCs w:val="16"/>
        </w:rPr>
        <w:t>Honhat</w:t>
      </w:r>
      <w:proofErr w:type="spellEnd"/>
      <w:r w:rsidR="00B74719" w:rsidRPr="00A162A0">
        <w:rPr>
          <w:rFonts w:ascii="Cambria" w:hAnsi="Cambria"/>
          <w:sz w:val="16"/>
          <w:szCs w:val="16"/>
        </w:rPr>
        <w:t xml:space="preserve"> Association (Our Land) v. Argentina. Merits, Reparations and Costs. Judgment of February 6, 2020. Series C No. 400; I / A Court H.R. Case of Lagos del Campo v. Peru. Preliminary Exceptions, Merits, Reparations and Costs. Judgment of August 31, 2017. Series C No. 340; I / A Court H.R. Case of </w:t>
      </w:r>
      <w:proofErr w:type="spellStart"/>
      <w:r w:rsidR="00B74719" w:rsidRPr="00A162A0">
        <w:rPr>
          <w:rFonts w:ascii="Cambria" w:hAnsi="Cambria"/>
          <w:sz w:val="16"/>
          <w:szCs w:val="16"/>
        </w:rPr>
        <w:t>Cuscul</w:t>
      </w:r>
      <w:proofErr w:type="spellEnd"/>
      <w:r w:rsidR="00B74719" w:rsidRPr="00A162A0">
        <w:rPr>
          <w:rFonts w:ascii="Cambria" w:hAnsi="Cambria"/>
          <w:sz w:val="16"/>
          <w:szCs w:val="16"/>
        </w:rPr>
        <w:t xml:space="preserve"> </w:t>
      </w:r>
      <w:proofErr w:type="spellStart"/>
      <w:r w:rsidR="00B74719" w:rsidRPr="00A162A0">
        <w:rPr>
          <w:rFonts w:ascii="Cambria" w:hAnsi="Cambria"/>
          <w:sz w:val="16"/>
          <w:szCs w:val="16"/>
        </w:rPr>
        <w:t>Pivaral</w:t>
      </w:r>
      <w:proofErr w:type="spellEnd"/>
      <w:r w:rsidR="00B74719" w:rsidRPr="00A162A0">
        <w:rPr>
          <w:rFonts w:ascii="Cambria" w:hAnsi="Cambria"/>
          <w:sz w:val="16"/>
          <w:szCs w:val="16"/>
        </w:rPr>
        <w:t xml:space="preserve"> et al. V. Guatemala. Preliminary Exception, Merits, Reparations and Costs. Judgment of August 23, 2018. Series C No. 359.</w:t>
      </w:r>
    </w:p>
  </w:footnote>
  <w:footnote w:id="8">
    <w:p w14:paraId="02333032" w14:textId="0970F826" w:rsidR="00B74719" w:rsidRPr="00A162A0" w:rsidRDefault="009550F9" w:rsidP="00B74719">
      <w:pPr>
        <w:pStyle w:val="FootnoteText"/>
        <w:jc w:val="both"/>
        <w:rPr>
          <w:rFonts w:ascii="Cambria" w:hAnsi="Cambria"/>
          <w:sz w:val="16"/>
          <w:szCs w:val="16"/>
        </w:rPr>
      </w:pPr>
      <w:r>
        <w:rPr>
          <w:rFonts w:ascii="Cambria" w:hAnsi="Cambria"/>
          <w:sz w:val="16"/>
          <w:szCs w:val="16"/>
        </w:rPr>
        <w:tab/>
      </w:r>
      <w:r w:rsidR="00B74719" w:rsidRPr="00A162A0">
        <w:rPr>
          <w:rStyle w:val="FootnoteReference"/>
          <w:rFonts w:ascii="Cambria" w:hAnsi="Cambria"/>
          <w:sz w:val="16"/>
          <w:szCs w:val="16"/>
        </w:rPr>
        <w:footnoteRef/>
      </w:r>
      <w:r w:rsidR="00B74719" w:rsidRPr="00A162A0">
        <w:rPr>
          <w:rFonts w:ascii="Cambria" w:hAnsi="Cambria"/>
          <w:sz w:val="16"/>
          <w:szCs w:val="16"/>
        </w:rPr>
        <w:t xml:space="preserve"> IACHR. Business and Human Rights Report: Inter-American Standards. Approved by the Inter-American Commission on Human Rights on November 1, 2019, para. 69, para. 86</w:t>
      </w:r>
    </w:p>
  </w:footnote>
  <w:footnote w:id="9">
    <w:p w14:paraId="00CCA9A9" w14:textId="167B6F21" w:rsidR="00B74719" w:rsidRPr="00A162A0" w:rsidRDefault="009550F9" w:rsidP="00B74719">
      <w:pPr>
        <w:pStyle w:val="FootnoteText"/>
        <w:jc w:val="both"/>
        <w:rPr>
          <w:rFonts w:ascii="Cambria" w:hAnsi="Cambria"/>
          <w:color w:val="FF0000"/>
          <w:sz w:val="16"/>
          <w:szCs w:val="16"/>
        </w:rPr>
      </w:pPr>
      <w:r>
        <w:rPr>
          <w:rFonts w:ascii="Cambria" w:hAnsi="Cambria"/>
          <w:color w:val="auto"/>
          <w:sz w:val="16"/>
          <w:szCs w:val="16"/>
        </w:rPr>
        <w:tab/>
      </w:r>
      <w:r w:rsidR="00B74719" w:rsidRPr="00A162A0">
        <w:rPr>
          <w:rStyle w:val="FootnoteReference"/>
          <w:rFonts w:ascii="Cambria" w:hAnsi="Cambria"/>
          <w:color w:val="auto"/>
          <w:sz w:val="16"/>
          <w:szCs w:val="16"/>
        </w:rPr>
        <w:footnoteRef/>
      </w:r>
      <w:r w:rsidR="00B74719" w:rsidRPr="00A162A0">
        <w:rPr>
          <w:rFonts w:ascii="Cambria" w:hAnsi="Cambria"/>
          <w:color w:val="auto"/>
          <w:sz w:val="16"/>
          <w:szCs w:val="16"/>
        </w:rPr>
        <w:t xml:space="preserve"> With respect to the guarantee of the right to a dignified life, as provided for in Article 4 of the American Convention, and the relationship thereof to traditional territories and peoples, as well as to States’ heightened positive obligations, regarding the protection of the lives of vulnerable individuals and groups and those living in an at-risk situation, see IACHR, Report No. 2/02, Petition 12.313. Admissibility. </w:t>
      </w:r>
      <w:proofErr w:type="spellStart"/>
      <w:r w:rsidR="00B74719" w:rsidRPr="00A162A0">
        <w:rPr>
          <w:rFonts w:ascii="Cambria" w:hAnsi="Cambria"/>
          <w:color w:val="auto"/>
          <w:sz w:val="16"/>
          <w:szCs w:val="16"/>
        </w:rPr>
        <w:t>Yaxye</w:t>
      </w:r>
      <w:proofErr w:type="spellEnd"/>
      <w:r w:rsidR="00B74719" w:rsidRPr="00A162A0">
        <w:rPr>
          <w:rFonts w:ascii="Cambria" w:hAnsi="Cambria"/>
          <w:color w:val="auto"/>
          <w:sz w:val="16"/>
          <w:szCs w:val="16"/>
        </w:rPr>
        <w:t xml:space="preserve"> </w:t>
      </w:r>
      <w:proofErr w:type="spellStart"/>
      <w:r w:rsidR="00B74719" w:rsidRPr="00A162A0">
        <w:rPr>
          <w:rFonts w:ascii="Cambria" w:hAnsi="Cambria"/>
          <w:color w:val="auto"/>
          <w:sz w:val="16"/>
          <w:szCs w:val="16"/>
        </w:rPr>
        <w:t>Axa</w:t>
      </w:r>
      <w:proofErr w:type="spellEnd"/>
      <w:r w:rsidR="00B74719" w:rsidRPr="00A162A0">
        <w:rPr>
          <w:rFonts w:ascii="Cambria" w:hAnsi="Cambria"/>
          <w:color w:val="auto"/>
          <w:sz w:val="16"/>
          <w:szCs w:val="16"/>
        </w:rPr>
        <w:t xml:space="preserve"> Indigenous Community of the </w:t>
      </w:r>
      <w:proofErr w:type="spellStart"/>
      <w:r w:rsidR="00B74719" w:rsidRPr="00A162A0">
        <w:rPr>
          <w:rFonts w:ascii="Cambria" w:hAnsi="Cambria"/>
          <w:color w:val="auto"/>
          <w:sz w:val="16"/>
          <w:szCs w:val="16"/>
        </w:rPr>
        <w:t>Enxet</w:t>
      </w:r>
      <w:proofErr w:type="spellEnd"/>
      <w:r w:rsidR="00B74719" w:rsidRPr="00A162A0">
        <w:rPr>
          <w:rFonts w:ascii="Cambria" w:hAnsi="Cambria"/>
          <w:color w:val="auto"/>
          <w:sz w:val="16"/>
          <w:szCs w:val="16"/>
        </w:rPr>
        <w:t>-Lengua People. Paraguay, February 27, 2002; IACHR. Situation of the Human Rights of the Indigenous and Tribal Peoples of the Pan-Amazon Regions. OAS/</w:t>
      </w:r>
      <w:proofErr w:type="spellStart"/>
      <w:r w:rsidR="00B74719" w:rsidRPr="00A162A0">
        <w:rPr>
          <w:rFonts w:ascii="Cambria" w:hAnsi="Cambria"/>
          <w:color w:val="auto"/>
          <w:sz w:val="16"/>
          <w:szCs w:val="16"/>
        </w:rPr>
        <w:t>Ser.L</w:t>
      </w:r>
      <w:proofErr w:type="spellEnd"/>
      <w:r w:rsidR="00B74719" w:rsidRPr="00A162A0">
        <w:rPr>
          <w:rFonts w:ascii="Cambria" w:hAnsi="Cambria"/>
          <w:color w:val="auto"/>
          <w:sz w:val="16"/>
          <w:szCs w:val="16"/>
        </w:rPr>
        <w:t xml:space="preserve">/V/II. Doc. 176, September 29, 2019, pars. 41 and 42. IA Court of HR. </w:t>
      </w:r>
      <w:r w:rsidR="00B74719" w:rsidRPr="00A162A0">
        <w:rPr>
          <w:rFonts w:ascii="Cambria" w:hAnsi="Cambria"/>
          <w:i/>
          <w:iCs/>
          <w:color w:val="auto"/>
          <w:sz w:val="16"/>
          <w:szCs w:val="16"/>
        </w:rPr>
        <w:t xml:space="preserve">Case of the </w:t>
      </w:r>
      <w:proofErr w:type="spellStart"/>
      <w:r w:rsidR="00B74719" w:rsidRPr="00A162A0">
        <w:rPr>
          <w:rFonts w:ascii="Cambria" w:hAnsi="Cambria"/>
          <w:i/>
          <w:iCs/>
          <w:color w:val="auto"/>
          <w:sz w:val="16"/>
          <w:szCs w:val="16"/>
        </w:rPr>
        <w:t>Yakye</w:t>
      </w:r>
      <w:proofErr w:type="spellEnd"/>
      <w:r w:rsidR="00B74719" w:rsidRPr="00A162A0">
        <w:rPr>
          <w:rFonts w:ascii="Cambria" w:hAnsi="Cambria"/>
          <w:i/>
          <w:iCs/>
          <w:color w:val="auto"/>
          <w:sz w:val="16"/>
          <w:szCs w:val="16"/>
        </w:rPr>
        <w:t xml:space="preserve"> </w:t>
      </w:r>
      <w:proofErr w:type="spellStart"/>
      <w:r w:rsidR="00B74719" w:rsidRPr="00A162A0">
        <w:rPr>
          <w:rFonts w:ascii="Cambria" w:hAnsi="Cambria"/>
          <w:i/>
          <w:iCs/>
          <w:color w:val="auto"/>
          <w:sz w:val="16"/>
          <w:szCs w:val="16"/>
        </w:rPr>
        <w:t>Axa</w:t>
      </w:r>
      <w:proofErr w:type="spellEnd"/>
      <w:r w:rsidR="00B74719" w:rsidRPr="00A162A0">
        <w:rPr>
          <w:rFonts w:ascii="Cambria" w:hAnsi="Cambria"/>
          <w:i/>
          <w:iCs/>
          <w:color w:val="auto"/>
          <w:sz w:val="16"/>
          <w:szCs w:val="16"/>
        </w:rPr>
        <w:t xml:space="preserve"> Indigenous Community vs. Paraguay</w:t>
      </w:r>
      <w:r w:rsidR="00B74719" w:rsidRPr="00A162A0">
        <w:rPr>
          <w:rFonts w:ascii="Cambria" w:hAnsi="Cambria"/>
          <w:i/>
          <w:color w:val="auto"/>
          <w:sz w:val="16"/>
          <w:szCs w:val="16"/>
        </w:rPr>
        <w:t xml:space="preserve">. </w:t>
      </w:r>
      <w:r w:rsidR="00B74719" w:rsidRPr="00A162A0">
        <w:rPr>
          <w:rFonts w:ascii="Cambria" w:hAnsi="Cambria"/>
          <w:color w:val="auto"/>
          <w:sz w:val="16"/>
          <w:szCs w:val="16"/>
        </w:rPr>
        <w:t>Merits, Reparations and Costs. Judgment June 17, 2005. Series C No. 125, pars. 158, 162 and 168; IA Court of HR, Case of the</w:t>
      </w:r>
      <w:r w:rsidR="00B74719" w:rsidRPr="00A162A0">
        <w:rPr>
          <w:rFonts w:ascii="Cambria" w:hAnsi="Cambria"/>
          <w:i/>
          <w:color w:val="auto"/>
          <w:sz w:val="16"/>
          <w:szCs w:val="16"/>
        </w:rPr>
        <w:t xml:space="preserve"> </w:t>
      </w:r>
      <w:proofErr w:type="spellStart"/>
      <w:r w:rsidR="00B74719" w:rsidRPr="00A162A0">
        <w:rPr>
          <w:rFonts w:ascii="Cambria" w:hAnsi="Cambria"/>
          <w:i/>
          <w:color w:val="auto"/>
          <w:sz w:val="16"/>
          <w:szCs w:val="16"/>
        </w:rPr>
        <w:t>Sawhoyamaxa</w:t>
      </w:r>
      <w:proofErr w:type="spellEnd"/>
      <w:r w:rsidR="00B74719" w:rsidRPr="00A162A0">
        <w:rPr>
          <w:rFonts w:ascii="Cambria" w:hAnsi="Cambria"/>
          <w:i/>
          <w:color w:val="auto"/>
          <w:sz w:val="16"/>
          <w:szCs w:val="16"/>
        </w:rPr>
        <w:t xml:space="preserve"> Indigenous Community vs. Paraguay</w:t>
      </w:r>
      <w:r w:rsidR="00B74719" w:rsidRPr="00A162A0">
        <w:rPr>
          <w:rFonts w:ascii="Cambria" w:hAnsi="Cambria"/>
          <w:color w:val="auto"/>
          <w:sz w:val="16"/>
          <w:szCs w:val="16"/>
        </w:rPr>
        <w:t xml:space="preserve">. Merits, Reparations and Costs. Judgment of March 29, 2006. Series C No. 146, par. 153; and IA Court of HR. </w:t>
      </w:r>
      <w:proofErr w:type="spellStart"/>
      <w:r w:rsidR="00B74719" w:rsidRPr="00A162A0">
        <w:rPr>
          <w:rFonts w:ascii="Cambria" w:hAnsi="Cambria"/>
          <w:i/>
          <w:color w:val="auto"/>
          <w:sz w:val="16"/>
          <w:szCs w:val="16"/>
        </w:rPr>
        <w:t>Xákmok</w:t>
      </w:r>
      <w:proofErr w:type="spellEnd"/>
      <w:r w:rsidR="00B74719" w:rsidRPr="00A162A0">
        <w:rPr>
          <w:rFonts w:ascii="Cambria" w:hAnsi="Cambria"/>
          <w:i/>
          <w:color w:val="auto"/>
          <w:sz w:val="16"/>
          <w:szCs w:val="16"/>
        </w:rPr>
        <w:t xml:space="preserve"> </w:t>
      </w:r>
      <w:proofErr w:type="spellStart"/>
      <w:r w:rsidR="00B74719" w:rsidRPr="00A162A0">
        <w:rPr>
          <w:rFonts w:ascii="Cambria" w:hAnsi="Cambria"/>
          <w:i/>
          <w:color w:val="auto"/>
          <w:sz w:val="16"/>
          <w:szCs w:val="16"/>
        </w:rPr>
        <w:t>Kásek</w:t>
      </w:r>
      <w:proofErr w:type="spellEnd"/>
      <w:r w:rsidR="00B74719" w:rsidRPr="00A162A0">
        <w:rPr>
          <w:rFonts w:ascii="Cambria" w:hAnsi="Cambria"/>
          <w:i/>
          <w:color w:val="auto"/>
          <w:sz w:val="16"/>
          <w:szCs w:val="16"/>
        </w:rPr>
        <w:t xml:space="preserve"> Indigenous Community vs. Paraguay,</w:t>
      </w:r>
      <w:r w:rsidR="00B74719" w:rsidRPr="00A162A0">
        <w:rPr>
          <w:rFonts w:ascii="Cambria" w:hAnsi="Cambria"/>
          <w:color w:val="auto"/>
          <w:sz w:val="16"/>
          <w:szCs w:val="16"/>
        </w:rPr>
        <w:t xml:space="preserve"> Merits, Reparations and Costs. Judgment of August 24, 2010. Series C No. 214, pars. 215 and 217. </w:t>
      </w:r>
    </w:p>
  </w:footnote>
  <w:footnote w:id="10">
    <w:p w14:paraId="4695746A" w14:textId="09AA22BF" w:rsidR="00B74719" w:rsidRPr="00A162A0" w:rsidRDefault="009550F9" w:rsidP="00B74719">
      <w:pPr>
        <w:pStyle w:val="FootnoteText"/>
        <w:jc w:val="both"/>
        <w:rPr>
          <w:rFonts w:ascii="Cambria" w:hAnsi="Cambria"/>
          <w:sz w:val="16"/>
          <w:szCs w:val="16"/>
        </w:rPr>
      </w:pPr>
      <w:r>
        <w:rPr>
          <w:rFonts w:ascii="Cambria" w:hAnsi="Cambria"/>
          <w:sz w:val="16"/>
          <w:szCs w:val="16"/>
        </w:rPr>
        <w:tab/>
      </w:r>
      <w:r w:rsidR="00B74719" w:rsidRPr="00A162A0">
        <w:rPr>
          <w:rStyle w:val="FootnoteReference"/>
          <w:rFonts w:ascii="Cambria" w:hAnsi="Cambria"/>
          <w:sz w:val="16"/>
          <w:szCs w:val="16"/>
        </w:rPr>
        <w:footnoteRef/>
      </w:r>
      <w:r w:rsidR="00B74719" w:rsidRPr="00A162A0">
        <w:rPr>
          <w:rFonts w:ascii="Cambria" w:hAnsi="Cambria"/>
          <w:sz w:val="16"/>
          <w:szCs w:val="16"/>
        </w:rPr>
        <w:t xml:space="preserve"> IACHR, Report No. 67/02 (Merits), Petition 12.313, </w:t>
      </w:r>
      <w:proofErr w:type="spellStart"/>
      <w:r w:rsidR="00B74719" w:rsidRPr="00A162A0">
        <w:rPr>
          <w:rFonts w:ascii="Cambria" w:hAnsi="Cambria"/>
          <w:sz w:val="16"/>
          <w:szCs w:val="16"/>
        </w:rPr>
        <w:t>Yakye</w:t>
      </w:r>
      <w:proofErr w:type="spellEnd"/>
      <w:r w:rsidR="00B74719" w:rsidRPr="00A162A0">
        <w:rPr>
          <w:rFonts w:ascii="Cambria" w:hAnsi="Cambria"/>
          <w:sz w:val="16"/>
          <w:szCs w:val="16"/>
        </w:rPr>
        <w:t xml:space="preserve"> </w:t>
      </w:r>
      <w:proofErr w:type="spellStart"/>
      <w:r w:rsidR="00B74719" w:rsidRPr="00A162A0">
        <w:rPr>
          <w:rFonts w:ascii="Cambria" w:hAnsi="Cambria"/>
          <w:sz w:val="16"/>
          <w:szCs w:val="16"/>
        </w:rPr>
        <w:t>Axa</w:t>
      </w:r>
      <w:proofErr w:type="spellEnd"/>
      <w:r w:rsidR="00B74719" w:rsidRPr="00A162A0">
        <w:rPr>
          <w:rFonts w:ascii="Cambria" w:hAnsi="Cambria"/>
          <w:sz w:val="16"/>
          <w:szCs w:val="16"/>
        </w:rPr>
        <w:t xml:space="preserve"> Indigenous Community, Paraguay, October 24, 2002, pars. 161 and 167.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9A3E46" w:rsidP="002C1641">
    <w:pPr>
      <w:pStyle w:val="Header"/>
      <w:tabs>
        <w:tab w:val="clear" w:pos="4320"/>
        <w:tab w:val="clear" w:pos="8640"/>
      </w:tabs>
      <w:jc w:val="center"/>
      <w:rPr>
        <w:sz w:val="22"/>
        <w:szCs w:val="22"/>
      </w:rPr>
    </w:pPr>
    <w:r>
      <w:rPr>
        <w:noProof/>
        <w:sz w:val="22"/>
        <w:szCs w:val="22"/>
        <w:bdr w:val="nil"/>
      </w:rPr>
      <w:pict w14:anchorId="490F4606">
        <v:rect id="_x0000_i1025" alt="" style="width:425.2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1E386" w14:textId="77777777" w:rsidR="00BA3DC7" w:rsidRDefault="00BA3D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70D7"/>
    <w:rsid w:val="000111A8"/>
    <w:rsid w:val="0001788C"/>
    <w:rsid w:val="00022CF5"/>
    <w:rsid w:val="00036A8A"/>
    <w:rsid w:val="00040C3A"/>
    <w:rsid w:val="000639C0"/>
    <w:rsid w:val="00070F3A"/>
    <w:rsid w:val="000716C5"/>
    <w:rsid w:val="00075E23"/>
    <w:rsid w:val="00092F32"/>
    <w:rsid w:val="0009344A"/>
    <w:rsid w:val="000A575F"/>
    <w:rsid w:val="000B2F51"/>
    <w:rsid w:val="000C4365"/>
    <w:rsid w:val="000D10DB"/>
    <w:rsid w:val="000E2D46"/>
    <w:rsid w:val="00124116"/>
    <w:rsid w:val="0013104F"/>
    <w:rsid w:val="00137EBA"/>
    <w:rsid w:val="00145EDC"/>
    <w:rsid w:val="00153084"/>
    <w:rsid w:val="00167A34"/>
    <w:rsid w:val="001714B4"/>
    <w:rsid w:val="0018037F"/>
    <w:rsid w:val="001A5F27"/>
    <w:rsid w:val="001A65E4"/>
    <w:rsid w:val="001A7870"/>
    <w:rsid w:val="001B27CC"/>
    <w:rsid w:val="001C1B41"/>
    <w:rsid w:val="001E366B"/>
    <w:rsid w:val="001F1902"/>
    <w:rsid w:val="00210E0E"/>
    <w:rsid w:val="00210F4B"/>
    <w:rsid w:val="00230163"/>
    <w:rsid w:val="0023351C"/>
    <w:rsid w:val="00247403"/>
    <w:rsid w:val="00247542"/>
    <w:rsid w:val="00257893"/>
    <w:rsid w:val="00266092"/>
    <w:rsid w:val="00266B61"/>
    <w:rsid w:val="0026712A"/>
    <w:rsid w:val="002704DB"/>
    <w:rsid w:val="002760CE"/>
    <w:rsid w:val="00286578"/>
    <w:rsid w:val="00292C0B"/>
    <w:rsid w:val="002B7A85"/>
    <w:rsid w:val="002C1641"/>
    <w:rsid w:val="002D7EA2"/>
    <w:rsid w:val="002E15DF"/>
    <w:rsid w:val="002E187C"/>
    <w:rsid w:val="002E6E57"/>
    <w:rsid w:val="00301075"/>
    <w:rsid w:val="00302733"/>
    <w:rsid w:val="00311A4F"/>
    <w:rsid w:val="00314078"/>
    <w:rsid w:val="00321AFD"/>
    <w:rsid w:val="00322450"/>
    <w:rsid w:val="003246B5"/>
    <w:rsid w:val="0033169F"/>
    <w:rsid w:val="003414AC"/>
    <w:rsid w:val="00356185"/>
    <w:rsid w:val="00360380"/>
    <w:rsid w:val="003771A3"/>
    <w:rsid w:val="00386CF0"/>
    <w:rsid w:val="003A4348"/>
    <w:rsid w:val="003C32BC"/>
    <w:rsid w:val="003D102A"/>
    <w:rsid w:val="003E3E03"/>
    <w:rsid w:val="003F1BBF"/>
    <w:rsid w:val="004162B1"/>
    <w:rsid w:val="004165C2"/>
    <w:rsid w:val="00450A4A"/>
    <w:rsid w:val="004666FB"/>
    <w:rsid w:val="00466D0B"/>
    <w:rsid w:val="00467B7E"/>
    <w:rsid w:val="0049419D"/>
    <w:rsid w:val="00497778"/>
    <w:rsid w:val="004B2762"/>
    <w:rsid w:val="004B7EB6"/>
    <w:rsid w:val="004C41DE"/>
    <w:rsid w:val="004C4B62"/>
    <w:rsid w:val="004D0405"/>
    <w:rsid w:val="004D6025"/>
    <w:rsid w:val="004D72BC"/>
    <w:rsid w:val="004F6B67"/>
    <w:rsid w:val="00501399"/>
    <w:rsid w:val="00507BC4"/>
    <w:rsid w:val="005128E4"/>
    <w:rsid w:val="00520468"/>
    <w:rsid w:val="00525560"/>
    <w:rsid w:val="005357A6"/>
    <w:rsid w:val="00544C49"/>
    <w:rsid w:val="0057402A"/>
    <w:rsid w:val="005771D0"/>
    <w:rsid w:val="005816E5"/>
    <w:rsid w:val="0059191A"/>
    <w:rsid w:val="005921FF"/>
    <w:rsid w:val="00592718"/>
    <w:rsid w:val="005A6D0E"/>
    <w:rsid w:val="005B222D"/>
    <w:rsid w:val="005B52B0"/>
    <w:rsid w:val="005B6806"/>
    <w:rsid w:val="005C00F9"/>
    <w:rsid w:val="005C4225"/>
    <w:rsid w:val="005F0F33"/>
    <w:rsid w:val="00600DEB"/>
    <w:rsid w:val="00613027"/>
    <w:rsid w:val="00627C9F"/>
    <w:rsid w:val="006311DA"/>
    <w:rsid w:val="006311E9"/>
    <w:rsid w:val="006318B2"/>
    <w:rsid w:val="00632354"/>
    <w:rsid w:val="00642810"/>
    <w:rsid w:val="00652333"/>
    <w:rsid w:val="00653EA6"/>
    <w:rsid w:val="0068009E"/>
    <w:rsid w:val="006A17D2"/>
    <w:rsid w:val="006A73E6"/>
    <w:rsid w:val="006B2D5C"/>
    <w:rsid w:val="006C4EB1"/>
    <w:rsid w:val="006D4707"/>
    <w:rsid w:val="006E0166"/>
    <w:rsid w:val="006E7B34"/>
    <w:rsid w:val="006F1022"/>
    <w:rsid w:val="006F4458"/>
    <w:rsid w:val="00701B24"/>
    <w:rsid w:val="0070430B"/>
    <w:rsid w:val="00706858"/>
    <w:rsid w:val="0071495F"/>
    <w:rsid w:val="0073798E"/>
    <w:rsid w:val="00745899"/>
    <w:rsid w:val="007607C4"/>
    <w:rsid w:val="0076643F"/>
    <w:rsid w:val="00781653"/>
    <w:rsid w:val="00792CC2"/>
    <w:rsid w:val="007A2F70"/>
    <w:rsid w:val="007A4E36"/>
    <w:rsid w:val="007C3334"/>
    <w:rsid w:val="007C52BB"/>
    <w:rsid w:val="007D2048"/>
    <w:rsid w:val="007D2B98"/>
    <w:rsid w:val="007F4853"/>
    <w:rsid w:val="00803F1C"/>
    <w:rsid w:val="0080600E"/>
    <w:rsid w:val="00814711"/>
    <w:rsid w:val="00817612"/>
    <w:rsid w:val="00837C45"/>
    <w:rsid w:val="00853419"/>
    <w:rsid w:val="00897E12"/>
    <w:rsid w:val="008D43BA"/>
    <w:rsid w:val="008E3759"/>
    <w:rsid w:val="008E40F5"/>
    <w:rsid w:val="009041DC"/>
    <w:rsid w:val="009104B4"/>
    <w:rsid w:val="009228DA"/>
    <w:rsid w:val="00925FCD"/>
    <w:rsid w:val="0093441A"/>
    <w:rsid w:val="00946ACE"/>
    <w:rsid w:val="00954BF7"/>
    <w:rsid w:val="009550F9"/>
    <w:rsid w:val="0096706E"/>
    <w:rsid w:val="00981FBA"/>
    <w:rsid w:val="0098783D"/>
    <w:rsid w:val="009A3E46"/>
    <w:rsid w:val="009B381B"/>
    <w:rsid w:val="009B58F0"/>
    <w:rsid w:val="009D7611"/>
    <w:rsid w:val="009E53DE"/>
    <w:rsid w:val="009E566A"/>
    <w:rsid w:val="00A12DBC"/>
    <w:rsid w:val="00A43458"/>
    <w:rsid w:val="00A528D1"/>
    <w:rsid w:val="00A5614D"/>
    <w:rsid w:val="00A66BE5"/>
    <w:rsid w:val="00AD37C1"/>
    <w:rsid w:val="00AE66EC"/>
    <w:rsid w:val="00AE6F91"/>
    <w:rsid w:val="00AF5571"/>
    <w:rsid w:val="00B06BB7"/>
    <w:rsid w:val="00B167E9"/>
    <w:rsid w:val="00B179ED"/>
    <w:rsid w:val="00B314DB"/>
    <w:rsid w:val="00B31EBE"/>
    <w:rsid w:val="00B3718B"/>
    <w:rsid w:val="00B44B23"/>
    <w:rsid w:val="00B4632A"/>
    <w:rsid w:val="00B74719"/>
    <w:rsid w:val="00B92E49"/>
    <w:rsid w:val="00BA276C"/>
    <w:rsid w:val="00BA3DC7"/>
    <w:rsid w:val="00BB306F"/>
    <w:rsid w:val="00BD232B"/>
    <w:rsid w:val="00BD2E42"/>
    <w:rsid w:val="00BD4B89"/>
    <w:rsid w:val="00C21762"/>
    <w:rsid w:val="00C24543"/>
    <w:rsid w:val="00C256A2"/>
    <w:rsid w:val="00C3492D"/>
    <w:rsid w:val="00C55560"/>
    <w:rsid w:val="00C66B72"/>
    <w:rsid w:val="00C84D0A"/>
    <w:rsid w:val="00C9567A"/>
    <w:rsid w:val="00CA6577"/>
    <w:rsid w:val="00CB2660"/>
    <w:rsid w:val="00CC5E90"/>
    <w:rsid w:val="00CD046C"/>
    <w:rsid w:val="00CE5199"/>
    <w:rsid w:val="00CE66D5"/>
    <w:rsid w:val="00D34786"/>
    <w:rsid w:val="00D40A1E"/>
    <w:rsid w:val="00D533C0"/>
    <w:rsid w:val="00D712D3"/>
    <w:rsid w:val="00D71422"/>
    <w:rsid w:val="00D7145E"/>
    <w:rsid w:val="00D75084"/>
    <w:rsid w:val="00D7558D"/>
    <w:rsid w:val="00D81D92"/>
    <w:rsid w:val="00D93446"/>
    <w:rsid w:val="00DA7B5F"/>
    <w:rsid w:val="00DC2502"/>
    <w:rsid w:val="00DF078B"/>
    <w:rsid w:val="00DF350D"/>
    <w:rsid w:val="00E227C1"/>
    <w:rsid w:val="00E43157"/>
    <w:rsid w:val="00E47F3D"/>
    <w:rsid w:val="00E533FF"/>
    <w:rsid w:val="00E709B3"/>
    <w:rsid w:val="00E74A85"/>
    <w:rsid w:val="00E7588C"/>
    <w:rsid w:val="00E7797F"/>
    <w:rsid w:val="00E850B6"/>
    <w:rsid w:val="00E8789F"/>
    <w:rsid w:val="00E97B71"/>
    <w:rsid w:val="00EB454D"/>
    <w:rsid w:val="00EB786F"/>
    <w:rsid w:val="00ED0D1B"/>
    <w:rsid w:val="00EE3522"/>
    <w:rsid w:val="00EF619B"/>
    <w:rsid w:val="00F00B55"/>
    <w:rsid w:val="00F1380F"/>
    <w:rsid w:val="00F14F0E"/>
    <w:rsid w:val="00F15A3B"/>
    <w:rsid w:val="00F24C29"/>
    <w:rsid w:val="00F253CC"/>
    <w:rsid w:val="00F42B71"/>
    <w:rsid w:val="00F56BA5"/>
    <w:rsid w:val="00F621C3"/>
    <w:rsid w:val="00F644E6"/>
    <w:rsid w:val="00F9653B"/>
    <w:rsid w:val="00FB62CF"/>
    <w:rsid w:val="00FC3EB4"/>
    <w:rsid w:val="00FC6C58"/>
    <w:rsid w:val="00FE6B45"/>
    <w:rsid w:val="00FF46BA"/>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uiPriority w:val="99"/>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character" w:styleId="Emphasis">
    <w:name w:val="Emphasis"/>
    <w:basedOn w:val="DefaultParagraphFont"/>
    <w:uiPriority w:val="20"/>
    <w:qFormat/>
    <w:rsid w:val="00B747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574224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1B3C1F"/>
    <w:rsid w:val="00250E47"/>
    <w:rsid w:val="002F1DDB"/>
    <w:rsid w:val="003748EB"/>
    <w:rsid w:val="0037569C"/>
    <w:rsid w:val="004108B1"/>
    <w:rsid w:val="005852E3"/>
    <w:rsid w:val="006A3012"/>
    <w:rsid w:val="00AB44F1"/>
    <w:rsid w:val="00AE54E1"/>
    <w:rsid w:val="00C54953"/>
    <w:rsid w:val="00C74229"/>
    <w:rsid w:val="00C94EE0"/>
    <w:rsid w:val="00E715BD"/>
    <w:rsid w:val="00EA0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4953"/>
    <w:rPr>
      <w:color w:val="808080"/>
    </w:rPr>
  </w:style>
  <w:style w:type="paragraph" w:customStyle="1" w:styleId="4DBB5F3FC358F64B9E5EFB773263C7D2">
    <w:name w:val="4DBB5F3FC358F64B9E5EFB773263C7D2"/>
    <w:rsid w:val="00AB44F1"/>
  </w:style>
  <w:style w:type="paragraph" w:customStyle="1" w:styleId="B54861371F16734B8E74B8AF859E3E24">
    <w:name w:val="B54861371F16734B8E74B8AF859E3E24"/>
    <w:rsid w:val="00C54953"/>
    <w:rPr>
      <w:lang w:val="pt-BR" w:eastAsia="pt-BR"/>
    </w:rPr>
  </w:style>
  <w:style w:type="paragraph" w:customStyle="1" w:styleId="15BCB98F3ED27346A0FA116FDD738DE5">
    <w:name w:val="15BCB98F3ED27346A0FA116FDD738DE5"/>
    <w:rsid w:val="00C54953"/>
    <w:rPr>
      <w:lang w:val="pt-BR" w:eastAsia="pt-B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262C3-B58A-4736-B3E5-5ED721D12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3076</Words>
  <Characters>17014</Characters>
  <Application>Microsoft Office Word</Application>
  <DocSecurity>0</DocSecurity>
  <Lines>347</Lines>
  <Paragraphs>95</Paragraphs>
  <ScaleCrop>false</ScaleCrop>
  <Company/>
  <LinksUpToDate>false</LinksUpToDate>
  <CharactersWithSpaces>19995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131/20</dc:title>
  <dc:creator/>
  <cp:lastModifiedBy/>
  <cp:revision>1</cp:revision>
  <dcterms:created xsi:type="dcterms:W3CDTF">2020-07-13T14:21:00Z</dcterms:created>
  <dcterms:modified xsi:type="dcterms:W3CDTF">2020-07-13T14:22:00Z</dcterms:modified>
</cp:coreProperties>
</file>