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F7ECD" w:rsidRPr="003C32BC" w:rsidRDefault="00B53113" w:rsidP="009F7ECD">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A312A8D" id="Rectangle 1" o:spid="_x0000_s1026" style="position:absolute;margin-left:-32.75pt;margin-top:-28.1pt;width:111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Default="00997940" w:rsidP="009F7ECD">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997940" w:rsidRDefault="00997940" w:rsidP="009F7ECD">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9F7ECD" w:rsidRPr="003C32BC" w:rsidRDefault="009F7ECD" w:rsidP="009F7ECD">
      <w:pPr>
        <w:tabs>
          <w:tab w:val="center" w:pos="5400"/>
        </w:tabs>
        <w:suppressAutoHyphens/>
        <w:jc w:val="both"/>
        <w:rPr>
          <w:rFonts w:asciiTheme="majorHAnsi" w:hAnsiTheme="majorHAnsi"/>
          <w:sz w:val="22"/>
          <w:szCs w:val="22"/>
          <w:lang w:val="es-ES"/>
        </w:rPr>
      </w:pPr>
    </w:p>
    <w:p w:rsidR="009F7ECD" w:rsidRPr="003C32BC" w:rsidRDefault="009F7ECD" w:rsidP="009F7ECD">
      <w:pPr>
        <w:tabs>
          <w:tab w:val="center" w:pos="5400"/>
        </w:tabs>
        <w:suppressAutoHyphens/>
        <w:jc w:val="both"/>
        <w:rPr>
          <w:rFonts w:asciiTheme="majorHAnsi" w:hAnsiTheme="majorHAnsi"/>
          <w:sz w:val="22"/>
          <w:szCs w:val="22"/>
          <w:lang w:val="es-ES"/>
        </w:rPr>
      </w:pPr>
    </w:p>
    <w:p w:rsidR="009F7ECD" w:rsidRPr="003C32BC" w:rsidRDefault="009F7ECD" w:rsidP="009F7ECD">
      <w:pPr>
        <w:tabs>
          <w:tab w:val="center" w:pos="5400"/>
        </w:tabs>
        <w:suppressAutoHyphens/>
        <w:rPr>
          <w:rFonts w:asciiTheme="majorHAnsi" w:hAnsiTheme="majorHAnsi"/>
          <w:sz w:val="22"/>
          <w:szCs w:val="22"/>
          <w:lang w:val="es-ES_tradnl"/>
        </w:rPr>
      </w:pPr>
    </w:p>
    <w:p w:rsidR="009F7ECD" w:rsidRPr="003C32BC" w:rsidRDefault="009F7ECD" w:rsidP="009F7ECD">
      <w:pPr>
        <w:tabs>
          <w:tab w:val="center" w:pos="5400"/>
        </w:tabs>
        <w:suppressAutoHyphens/>
        <w:rPr>
          <w:rFonts w:asciiTheme="majorHAnsi" w:hAnsiTheme="majorHAnsi"/>
          <w:sz w:val="22"/>
          <w:szCs w:val="22"/>
          <w:lang w:val="es-ES_tradnl"/>
        </w:rPr>
      </w:pPr>
    </w:p>
    <w:p w:rsidR="009F7ECD" w:rsidRPr="003C32BC" w:rsidRDefault="009F7ECD" w:rsidP="009F7ECD">
      <w:pPr>
        <w:tabs>
          <w:tab w:val="center" w:pos="5400"/>
        </w:tabs>
        <w:suppressAutoHyphens/>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B53113" w:rsidP="009F7ECD">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Pr="004B7EB6" w:rsidRDefault="00997940" w:rsidP="009F7EC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A439A">
                              <w:rPr>
                                <w:rFonts w:asciiTheme="majorHAnsi" w:hAnsiTheme="majorHAnsi" w:cs="Arial"/>
                                <w:b/>
                                <w:bCs/>
                                <w:color w:val="0D0D0D" w:themeColor="text1" w:themeTint="F2"/>
                                <w:sz w:val="36"/>
                                <w:szCs w:val="40"/>
                              </w:rPr>
                              <w:t>163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997940" w:rsidRPr="004B7EB6" w:rsidRDefault="00997940" w:rsidP="009F7EC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1275-12</w:t>
                            </w:r>
                          </w:p>
                          <w:p w:rsidR="00997940" w:rsidRPr="004B7EB6" w:rsidRDefault="00997940" w:rsidP="009F7EC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997940" w:rsidRPr="004B7EB6" w:rsidRDefault="00997940" w:rsidP="009F7ECD">
                            <w:pPr>
                              <w:spacing w:line="276" w:lineRule="auto"/>
                              <w:rPr>
                                <w:rFonts w:asciiTheme="majorHAnsi" w:hAnsiTheme="majorHAnsi" w:cs="Arial"/>
                                <w:color w:val="0D0D0D" w:themeColor="text1" w:themeTint="F2"/>
                                <w:szCs w:val="22"/>
                              </w:rPr>
                            </w:pPr>
                          </w:p>
                          <w:p w:rsidR="00997940" w:rsidRPr="00507CC5" w:rsidRDefault="00997940" w:rsidP="009F7E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EDUVIGIS DEL CARMEN ALARCÓN GÓMEZ AND OTHERS</w:t>
                            </w:r>
                          </w:p>
                          <w:p w:rsidR="00997940" w:rsidRPr="004B625D" w:rsidRDefault="00997940" w:rsidP="009F7E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997940" w:rsidRPr="000C4365" w:rsidRDefault="00997940" w:rsidP="009F7ECD">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997940" w:rsidRPr="004B7EB6" w:rsidRDefault="00997940" w:rsidP="009F7EC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A439A">
                        <w:rPr>
                          <w:rFonts w:asciiTheme="majorHAnsi" w:hAnsiTheme="majorHAnsi" w:cs="Arial"/>
                          <w:b/>
                          <w:bCs/>
                          <w:color w:val="0D0D0D" w:themeColor="text1" w:themeTint="F2"/>
                          <w:sz w:val="36"/>
                          <w:szCs w:val="40"/>
                        </w:rPr>
                        <w:t>163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997940" w:rsidRPr="004B7EB6" w:rsidRDefault="00997940" w:rsidP="009F7EC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1275-12</w:t>
                      </w:r>
                    </w:p>
                    <w:p w:rsidR="00997940" w:rsidRPr="004B7EB6" w:rsidRDefault="00997940" w:rsidP="009F7EC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997940" w:rsidRPr="004B7EB6" w:rsidRDefault="00997940" w:rsidP="009F7ECD">
                      <w:pPr>
                        <w:spacing w:line="276" w:lineRule="auto"/>
                        <w:rPr>
                          <w:rFonts w:asciiTheme="majorHAnsi" w:hAnsiTheme="majorHAnsi" w:cs="Arial"/>
                          <w:color w:val="0D0D0D" w:themeColor="text1" w:themeTint="F2"/>
                          <w:szCs w:val="22"/>
                        </w:rPr>
                      </w:pPr>
                    </w:p>
                    <w:p w:rsidR="00997940" w:rsidRPr="00507CC5" w:rsidRDefault="00997940" w:rsidP="009F7E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EDUVIGIS DEL CARMEN ALARCÓN GÓMEZ AND OTHERS</w:t>
                      </w:r>
                    </w:p>
                    <w:p w:rsidR="00997940" w:rsidRPr="004B625D" w:rsidRDefault="00997940" w:rsidP="009F7E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997940" w:rsidRPr="000C4365" w:rsidRDefault="00997940" w:rsidP="009F7ECD">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Pr="00466D0B" w:rsidRDefault="00997940" w:rsidP="009F7EC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997940" w:rsidRPr="00466D0B" w:rsidRDefault="00997940" w:rsidP="009F7EC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BA439A">
                              <w:rPr>
                                <w:rFonts w:asciiTheme="minorHAnsi" w:hAnsiTheme="minorHAnsi"/>
                                <w:color w:val="FFFFFF" w:themeColor="background1"/>
                                <w:sz w:val="22"/>
                                <w:lang w:val="pt-BR"/>
                              </w:rPr>
                              <w:t xml:space="preserve"> 173</w:t>
                            </w:r>
                          </w:p>
                          <w:p w:rsidR="00997940" w:rsidRPr="004B7EB6" w:rsidRDefault="00936B23" w:rsidP="009F7ECD">
                            <w:pPr>
                              <w:jc w:val="right"/>
                              <w:rPr>
                                <w:rFonts w:asciiTheme="minorHAnsi" w:hAnsiTheme="minorHAnsi"/>
                                <w:color w:val="FFFFFF" w:themeColor="background1"/>
                                <w:sz w:val="22"/>
                              </w:rPr>
                            </w:pPr>
                            <w:r>
                              <w:rPr>
                                <w:rFonts w:asciiTheme="minorHAnsi" w:hAnsiTheme="minorHAnsi"/>
                                <w:color w:val="FFFFFF" w:themeColor="background1"/>
                                <w:sz w:val="22"/>
                              </w:rPr>
                              <w:t>17 June</w:t>
                            </w:r>
                            <w:r w:rsidR="00997940">
                              <w:rPr>
                                <w:rFonts w:asciiTheme="minorHAnsi" w:hAnsiTheme="minorHAnsi"/>
                                <w:color w:val="FFFFFF" w:themeColor="background1"/>
                                <w:sz w:val="22"/>
                              </w:rPr>
                              <w:t xml:space="preserve"> 2020</w:t>
                            </w:r>
                          </w:p>
                          <w:p w:rsidR="00997940" w:rsidRPr="004B7EB6" w:rsidRDefault="00997940" w:rsidP="009F7ECD">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36B23">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997940" w:rsidRPr="00466D0B" w:rsidRDefault="00997940" w:rsidP="009F7EC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997940" w:rsidRPr="00466D0B" w:rsidRDefault="00997940" w:rsidP="009F7EC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BA439A">
                        <w:rPr>
                          <w:rFonts w:asciiTheme="minorHAnsi" w:hAnsiTheme="minorHAnsi"/>
                          <w:color w:val="FFFFFF" w:themeColor="background1"/>
                          <w:sz w:val="22"/>
                          <w:lang w:val="pt-BR"/>
                        </w:rPr>
                        <w:t xml:space="preserve"> </w:t>
                      </w:r>
                      <w:r w:rsidR="00BA439A">
                        <w:rPr>
                          <w:rFonts w:asciiTheme="minorHAnsi" w:hAnsiTheme="minorHAnsi"/>
                          <w:color w:val="FFFFFF" w:themeColor="background1"/>
                          <w:sz w:val="22"/>
                          <w:lang w:val="pt-BR"/>
                        </w:rPr>
                        <w:t>173</w:t>
                      </w:r>
                    </w:p>
                    <w:p w:rsidR="00997940" w:rsidRPr="004B7EB6" w:rsidRDefault="00936B23" w:rsidP="009F7ECD">
                      <w:pPr>
                        <w:jc w:val="right"/>
                        <w:rPr>
                          <w:rFonts w:asciiTheme="minorHAnsi" w:hAnsiTheme="minorHAnsi"/>
                          <w:color w:val="FFFFFF" w:themeColor="background1"/>
                          <w:sz w:val="22"/>
                        </w:rPr>
                      </w:pPr>
                      <w:r>
                        <w:rPr>
                          <w:rFonts w:asciiTheme="minorHAnsi" w:hAnsiTheme="minorHAnsi"/>
                          <w:color w:val="FFFFFF" w:themeColor="background1"/>
                          <w:sz w:val="22"/>
                        </w:rPr>
                        <w:t>17 June</w:t>
                      </w:r>
                      <w:r w:rsidR="00997940">
                        <w:rPr>
                          <w:rFonts w:asciiTheme="minorHAnsi" w:hAnsiTheme="minorHAnsi"/>
                          <w:color w:val="FFFFFF" w:themeColor="background1"/>
                          <w:sz w:val="22"/>
                        </w:rPr>
                        <w:t xml:space="preserve"> 2020</w:t>
                      </w:r>
                    </w:p>
                    <w:p w:rsidR="00997940" w:rsidRPr="004B7EB6" w:rsidRDefault="00997940" w:rsidP="009F7ECD">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36B23">
                        <w:rPr>
                          <w:rFonts w:asciiTheme="minorHAnsi" w:hAnsiTheme="minorHAnsi"/>
                          <w:color w:val="FFFFFF" w:themeColor="background1"/>
                          <w:sz w:val="22"/>
                        </w:rPr>
                        <w:t xml:space="preserve"> Spanish</w:t>
                      </w:r>
                    </w:p>
                  </w:txbxContent>
                </v:textbox>
              </v:shape>
            </w:pict>
          </mc:Fallback>
        </mc:AlternateContent>
      </w: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cs="Arial"/>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22"/>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B53113" w:rsidP="009F7ECD">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1207135</wp:posOffset>
                </wp:positionH>
                <wp:positionV relativeFrom="paragraph">
                  <wp:posOffset>19685</wp:posOffset>
                </wp:positionV>
                <wp:extent cx="4595495" cy="12230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1223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Pr="003C32BC" w:rsidRDefault="00997940" w:rsidP="009F7EC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36B23">
                              <w:rPr>
                                <w:rFonts w:asciiTheme="majorHAnsi" w:hAnsiTheme="majorHAnsi"/>
                                <w:color w:val="0D0D0D" w:themeColor="text1" w:themeTint="F2"/>
                                <w:sz w:val="18"/>
                                <w:szCs w:val="20"/>
                              </w:rPr>
                              <w:t>electronically</w:t>
                            </w:r>
                            <w:r w:rsidR="00936B23"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936B23">
                              <w:rPr>
                                <w:rFonts w:asciiTheme="majorHAnsi" w:hAnsiTheme="majorHAnsi"/>
                                <w:color w:val="0D0D0D" w:themeColor="text1" w:themeTint="F2"/>
                                <w:sz w:val="18"/>
                                <w:szCs w:val="20"/>
                              </w:rPr>
                              <w:t>June 17</w:t>
                            </w:r>
                            <w:r>
                              <w:rPr>
                                <w:rFonts w:asciiTheme="majorHAnsi" w:hAnsiTheme="majorHAnsi"/>
                                <w:color w:val="0D0D0D" w:themeColor="text1" w:themeTint="F2"/>
                                <w:sz w:val="18"/>
                                <w:szCs w:val="20"/>
                              </w:rPr>
                              <w:t>, 2020</w:t>
                            </w:r>
                            <w:r w:rsidR="006006F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1.55pt;width:361.85pt;height:9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RZjgIAAIM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" filled="f" stroked="f" strokeweight=".5pt">
                <v:path arrowok="t"/>
                <v:textbox>
                  <w:txbxContent>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Default="00997940" w:rsidP="009F7ECD">
                      <w:pPr>
                        <w:tabs>
                          <w:tab w:val="center" w:pos="5400"/>
                        </w:tabs>
                        <w:suppressAutoHyphens/>
                        <w:spacing w:before="60"/>
                        <w:rPr>
                          <w:rFonts w:asciiTheme="majorHAnsi" w:hAnsiTheme="majorHAnsi"/>
                          <w:color w:val="0D0D0D" w:themeColor="text1" w:themeTint="F2"/>
                          <w:sz w:val="18"/>
                          <w:szCs w:val="20"/>
                        </w:rPr>
                      </w:pPr>
                    </w:p>
                    <w:p w:rsidR="00997940" w:rsidRPr="003C32BC" w:rsidRDefault="00997940" w:rsidP="009F7EC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36B23">
                        <w:rPr>
                          <w:rFonts w:asciiTheme="majorHAnsi" w:hAnsiTheme="majorHAnsi"/>
                          <w:color w:val="0D0D0D" w:themeColor="text1" w:themeTint="F2"/>
                          <w:sz w:val="18"/>
                          <w:szCs w:val="20"/>
                        </w:rPr>
                        <w:t>electronically</w:t>
                      </w:r>
                      <w:r w:rsidR="00936B23"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936B23">
                        <w:rPr>
                          <w:rFonts w:asciiTheme="majorHAnsi" w:hAnsiTheme="majorHAnsi"/>
                          <w:color w:val="0D0D0D" w:themeColor="text1" w:themeTint="F2"/>
                          <w:sz w:val="18"/>
                          <w:szCs w:val="20"/>
                        </w:rPr>
                        <w:t>June 17</w:t>
                      </w:r>
                      <w:r>
                        <w:rPr>
                          <w:rFonts w:asciiTheme="majorHAnsi" w:hAnsiTheme="majorHAnsi"/>
                          <w:color w:val="0D0D0D" w:themeColor="text1" w:themeTint="F2"/>
                          <w:sz w:val="18"/>
                          <w:szCs w:val="20"/>
                        </w:rPr>
                        <w:t>, 2020</w:t>
                      </w:r>
                      <w:r w:rsidR="006006F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B53113" w:rsidP="009F7ECD">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Pr="003C32BC" w:rsidRDefault="00997940" w:rsidP="009F7ECD">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A439A">
                              <w:rPr>
                                <w:rFonts w:asciiTheme="majorHAnsi" w:hAnsiTheme="majorHAnsi"/>
                                <w:color w:val="595959" w:themeColor="text1" w:themeTint="A6"/>
                                <w:sz w:val="18"/>
                              </w:rPr>
                              <w:t>163</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36B23">
                              <w:rPr>
                                <w:rFonts w:asciiTheme="majorHAnsi" w:hAnsiTheme="majorHAnsi"/>
                                <w:color w:val="595959" w:themeColor="text1" w:themeTint="A6"/>
                                <w:sz w:val="18"/>
                              </w:rPr>
                              <w:t>1275</w:t>
                            </w:r>
                            <w:r>
                              <w:rPr>
                                <w:rFonts w:asciiTheme="majorHAnsi" w:hAnsiTheme="majorHAnsi"/>
                                <w:color w:val="595959" w:themeColor="text1" w:themeTint="A6"/>
                                <w:sz w:val="18"/>
                              </w:rPr>
                              <w:t>-</w:t>
                            </w:r>
                            <w:r w:rsidR="00936B23">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E</w:t>
                            </w:r>
                            <w:r w:rsidR="00936B23">
                              <w:rPr>
                                <w:rFonts w:asciiTheme="majorHAnsi" w:hAnsiTheme="majorHAnsi"/>
                                <w:color w:val="595959" w:themeColor="text1" w:themeTint="A6"/>
                                <w:sz w:val="18"/>
                              </w:rPr>
                              <w:t>duvigis</w:t>
                            </w:r>
                            <w:proofErr w:type="spellEnd"/>
                            <w:r w:rsidR="00936B23">
                              <w:rPr>
                                <w:rFonts w:asciiTheme="majorHAnsi" w:hAnsiTheme="majorHAnsi"/>
                                <w:color w:val="595959" w:themeColor="text1" w:themeTint="A6"/>
                                <w:sz w:val="18"/>
                              </w:rPr>
                              <w:t xml:space="preserve"> </w:t>
                            </w:r>
                            <w:proofErr w:type="gramStart"/>
                            <w:r w:rsidR="00936B23">
                              <w:rPr>
                                <w:rFonts w:asciiTheme="majorHAnsi" w:hAnsiTheme="majorHAnsi"/>
                                <w:color w:val="595959" w:themeColor="text1" w:themeTint="A6"/>
                                <w:sz w:val="18"/>
                              </w:rPr>
                              <w:t>del</w:t>
                            </w:r>
                            <w:proofErr w:type="gramEnd"/>
                            <w:r w:rsidR="00936B23">
                              <w:rPr>
                                <w:rFonts w:asciiTheme="majorHAnsi" w:hAnsiTheme="majorHAnsi"/>
                                <w:color w:val="595959" w:themeColor="text1" w:themeTint="A6"/>
                                <w:sz w:val="18"/>
                              </w:rPr>
                              <w:t xml:space="preserve"> Carmen </w:t>
                            </w:r>
                            <w:proofErr w:type="spellStart"/>
                            <w:r w:rsidR="00936B23">
                              <w:rPr>
                                <w:rFonts w:asciiTheme="majorHAnsi" w:hAnsiTheme="majorHAnsi"/>
                                <w:color w:val="595959" w:themeColor="text1" w:themeTint="A6"/>
                                <w:sz w:val="18"/>
                              </w:rPr>
                              <w:t>Alarcón</w:t>
                            </w:r>
                            <w:proofErr w:type="spellEnd"/>
                            <w:r w:rsidR="00936B23">
                              <w:rPr>
                                <w:rFonts w:asciiTheme="majorHAnsi" w:hAnsiTheme="majorHAnsi"/>
                                <w:color w:val="595959" w:themeColor="text1" w:themeTint="A6"/>
                                <w:sz w:val="18"/>
                              </w:rPr>
                              <w:t xml:space="preserve"> and o</w:t>
                            </w:r>
                            <w:r>
                              <w:rPr>
                                <w:rFonts w:asciiTheme="majorHAnsi" w:hAnsiTheme="majorHAnsi"/>
                                <w:color w:val="595959" w:themeColor="text1" w:themeTint="A6"/>
                                <w:sz w:val="18"/>
                              </w:rPr>
                              <w:t xml:space="preserve">thers. Chile. </w:t>
                            </w:r>
                            <w:r w:rsidR="00936B23">
                              <w:rPr>
                                <w:rFonts w:asciiTheme="majorHAnsi" w:hAnsiTheme="majorHAnsi"/>
                                <w:color w:val="595959" w:themeColor="text1" w:themeTint="A6"/>
                                <w:sz w:val="18"/>
                              </w:rPr>
                              <w:t>June 17, 2020</w:t>
                            </w:r>
                            <w:proofErr w:type="gramStart"/>
                            <w:r w:rsidR="00936B23">
                              <w:rPr>
                                <w:rFonts w:asciiTheme="majorHAnsi" w:hAnsiTheme="majorHAnsi"/>
                                <w:color w:val="595959" w:themeColor="text1" w:themeTint="A6"/>
                                <w:sz w:val="18"/>
                              </w:rPr>
                              <w:t>.</w:t>
                            </w:r>
                            <w:r>
                              <w:rPr>
                                <w:rFonts w:asciiTheme="majorHAnsi" w:hAnsiTheme="majorHAnsi"/>
                                <w:color w:val="595959" w:themeColor="text1" w:themeTint="A6"/>
                                <w:sz w:val="1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997940" w:rsidRPr="003C32BC" w:rsidRDefault="00997940" w:rsidP="009F7ECD">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BA439A">
                        <w:rPr>
                          <w:rFonts w:asciiTheme="majorHAnsi" w:hAnsiTheme="majorHAnsi"/>
                          <w:color w:val="595959" w:themeColor="text1" w:themeTint="A6"/>
                          <w:sz w:val="18"/>
                        </w:rPr>
                        <w:t>163</w:t>
                      </w:r>
                      <w:bookmarkStart w:id="1" w:name="_GoBack"/>
                      <w:bookmarkEnd w:id="1"/>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36B23">
                        <w:rPr>
                          <w:rFonts w:asciiTheme="majorHAnsi" w:hAnsiTheme="majorHAnsi"/>
                          <w:color w:val="595959" w:themeColor="text1" w:themeTint="A6"/>
                          <w:sz w:val="18"/>
                        </w:rPr>
                        <w:t>1275</w:t>
                      </w:r>
                      <w:r>
                        <w:rPr>
                          <w:rFonts w:asciiTheme="majorHAnsi" w:hAnsiTheme="majorHAnsi"/>
                          <w:color w:val="595959" w:themeColor="text1" w:themeTint="A6"/>
                          <w:sz w:val="18"/>
                        </w:rPr>
                        <w:t>-</w:t>
                      </w:r>
                      <w:r w:rsidR="00936B23">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E</w:t>
                      </w:r>
                      <w:r w:rsidR="00936B23">
                        <w:rPr>
                          <w:rFonts w:asciiTheme="majorHAnsi" w:hAnsiTheme="majorHAnsi"/>
                          <w:color w:val="595959" w:themeColor="text1" w:themeTint="A6"/>
                          <w:sz w:val="18"/>
                        </w:rPr>
                        <w:t xml:space="preserve">duvigis </w:t>
                      </w:r>
                      <w:proofErr w:type="gramStart"/>
                      <w:r w:rsidR="00936B23">
                        <w:rPr>
                          <w:rFonts w:asciiTheme="majorHAnsi" w:hAnsiTheme="majorHAnsi"/>
                          <w:color w:val="595959" w:themeColor="text1" w:themeTint="A6"/>
                          <w:sz w:val="18"/>
                        </w:rPr>
                        <w:t>del</w:t>
                      </w:r>
                      <w:proofErr w:type="gramEnd"/>
                      <w:r w:rsidR="00936B23">
                        <w:rPr>
                          <w:rFonts w:asciiTheme="majorHAnsi" w:hAnsiTheme="majorHAnsi"/>
                          <w:color w:val="595959" w:themeColor="text1" w:themeTint="A6"/>
                          <w:sz w:val="18"/>
                        </w:rPr>
                        <w:t xml:space="preserve"> Carmen Alarcón and o</w:t>
                      </w:r>
                      <w:r>
                        <w:rPr>
                          <w:rFonts w:asciiTheme="majorHAnsi" w:hAnsiTheme="majorHAnsi"/>
                          <w:color w:val="595959" w:themeColor="text1" w:themeTint="A6"/>
                          <w:sz w:val="18"/>
                        </w:rPr>
                        <w:t xml:space="preserve">thers. Chile. </w:t>
                      </w:r>
                      <w:r w:rsidR="00936B23">
                        <w:rPr>
                          <w:rFonts w:asciiTheme="majorHAnsi" w:hAnsiTheme="majorHAnsi"/>
                          <w:color w:val="595959" w:themeColor="text1" w:themeTint="A6"/>
                          <w:sz w:val="18"/>
                        </w:rPr>
                        <w:t>June 17, 2020</w:t>
                      </w:r>
                      <w:proofErr w:type="gramStart"/>
                      <w:r w:rsidR="00936B23">
                        <w:rPr>
                          <w:rFonts w:asciiTheme="majorHAnsi" w:hAnsiTheme="majorHAnsi"/>
                          <w:color w:val="595959" w:themeColor="text1" w:themeTint="A6"/>
                          <w:sz w:val="18"/>
                        </w:rPr>
                        <w:t>.</w:t>
                      </w:r>
                      <w:r>
                        <w:rPr>
                          <w:rFonts w:asciiTheme="majorHAnsi" w:hAnsiTheme="majorHAnsi"/>
                          <w:color w:val="595959" w:themeColor="text1" w:themeTint="A6"/>
                          <w:sz w:val="18"/>
                        </w:rPr>
                        <w:t>.</w:t>
                      </w:r>
                      <w:proofErr w:type="gramEnd"/>
                    </w:p>
                  </w:txbxContent>
                </v:textbox>
              </v:shape>
            </w:pict>
          </mc:Fallback>
        </mc:AlternateContent>
      </w: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lang w:val="es-ES_tradnl"/>
        </w:rPr>
      </w:pPr>
    </w:p>
    <w:p w:rsidR="009F7ECD" w:rsidRPr="003C32BC" w:rsidRDefault="009F7ECD" w:rsidP="009F7ECD">
      <w:pPr>
        <w:tabs>
          <w:tab w:val="center" w:pos="5400"/>
        </w:tabs>
        <w:suppressAutoHyphens/>
        <w:jc w:val="center"/>
        <w:rPr>
          <w:rFonts w:asciiTheme="majorHAnsi" w:hAnsiTheme="majorHAnsi"/>
          <w:sz w:val="18"/>
          <w:szCs w:val="22"/>
        </w:rPr>
      </w:pPr>
    </w:p>
    <w:p w:rsidR="009F7ECD" w:rsidRPr="003C32BC" w:rsidRDefault="00B53113" w:rsidP="009F7ECD">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Pr="004B7EB6" w:rsidRDefault="00997940" w:rsidP="009F7EC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997940" w:rsidRPr="004B7EB6" w:rsidRDefault="00997940" w:rsidP="009F7EC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940" w:rsidRDefault="00997940" w:rsidP="009F7ECD">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997940" w:rsidRDefault="00997940" w:rsidP="009F7ECD">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9F7ECD" w:rsidRDefault="009F7ECD" w:rsidP="009F7ECD">
      <w:pPr>
        <w:tabs>
          <w:tab w:val="center" w:pos="5400"/>
        </w:tabs>
        <w:suppressAutoHyphens/>
        <w:jc w:val="center"/>
        <w:rPr>
          <w:rFonts w:asciiTheme="majorHAnsi" w:hAnsiTheme="majorHAnsi"/>
          <w:sz w:val="18"/>
          <w:szCs w:val="22"/>
        </w:rPr>
        <w:sectPr w:rsidR="009F7ECD" w:rsidSect="009F7EC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rsidR="009F7ECD" w:rsidRPr="00466D0B" w:rsidRDefault="009F7ECD" w:rsidP="009F7ECD">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F7ECD" w:rsidRPr="000B6B7A" w:rsidTr="008D2750">
        <w:tc>
          <w:tcPr>
            <w:tcW w:w="3690" w:type="dxa"/>
            <w:tcBorders>
              <w:top w:val="single" w:sz="4"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Petitioner</w:t>
            </w:r>
            <w:proofErr w:type="spellEnd"/>
            <w:r w:rsidRPr="000B6B7A">
              <w:rPr>
                <w:rFonts w:ascii="Cambria" w:hAnsi="Cambria"/>
                <w:b/>
                <w:bCs/>
                <w:color w:val="FFFFFF" w:themeColor="background1"/>
                <w:sz w:val="20"/>
                <w:szCs w:val="20"/>
              </w:rPr>
              <w:t>:</w:t>
            </w:r>
          </w:p>
        </w:tc>
        <w:tc>
          <w:tcPr>
            <w:tcW w:w="5670" w:type="dxa"/>
            <w:vAlign w:val="center"/>
          </w:tcPr>
          <w:p w:rsidR="009F7ECD" w:rsidRPr="00936B23" w:rsidRDefault="00507CC5" w:rsidP="008D2750">
            <w:pPr>
              <w:jc w:val="both"/>
              <w:rPr>
                <w:rFonts w:ascii="Cambria" w:hAnsi="Cambria"/>
                <w:bCs/>
                <w:sz w:val="19"/>
                <w:szCs w:val="19"/>
                <w:lang w:val="en-US"/>
              </w:rPr>
            </w:pPr>
            <w:proofErr w:type="spellStart"/>
            <w:r w:rsidRPr="00936B23">
              <w:rPr>
                <w:rFonts w:ascii="Cambria" w:hAnsi="Cambria"/>
                <w:bCs/>
                <w:sz w:val="19"/>
                <w:szCs w:val="19"/>
                <w:lang w:val="en-US"/>
              </w:rPr>
              <w:t>Eduvigis</w:t>
            </w:r>
            <w:proofErr w:type="spellEnd"/>
            <w:r w:rsidRPr="00936B23">
              <w:rPr>
                <w:rFonts w:ascii="Cambria" w:hAnsi="Cambria"/>
                <w:bCs/>
                <w:sz w:val="19"/>
                <w:szCs w:val="19"/>
                <w:lang w:val="en-US"/>
              </w:rPr>
              <w:t xml:space="preserve"> del Carmen </w:t>
            </w:r>
            <w:proofErr w:type="spellStart"/>
            <w:r w:rsidRPr="00936B23">
              <w:rPr>
                <w:rFonts w:ascii="Cambria" w:hAnsi="Cambria"/>
                <w:bCs/>
                <w:sz w:val="19"/>
                <w:szCs w:val="19"/>
                <w:lang w:val="en-US"/>
              </w:rPr>
              <w:t>Alarcón</w:t>
            </w:r>
            <w:proofErr w:type="spellEnd"/>
            <w:r w:rsidRPr="00936B23">
              <w:rPr>
                <w:rFonts w:ascii="Cambria" w:hAnsi="Cambria"/>
                <w:bCs/>
                <w:sz w:val="19"/>
                <w:szCs w:val="19"/>
                <w:lang w:val="en-US"/>
              </w:rPr>
              <w:t xml:space="preserve"> Gómez and others</w:t>
            </w:r>
          </w:p>
        </w:tc>
      </w:tr>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0B6B7A" w:rsidRDefault="003C391E" w:rsidP="008D275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D183428374046BCB6E9F9DD5D28BA4D"/>
                </w:placeholder>
                <w:dropDownList>
                  <w:listItem w:value="Choose an item."/>
                  <w:listItem w:displayText="Alleged victim" w:value="Alleged victim"/>
                  <w:listItem w:displayText="Alleged victims" w:value="Alleged victims"/>
                </w:dropDownList>
              </w:sdtPr>
              <w:sdtEndPr/>
              <w:sdtContent>
                <w:r w:rsidR="009F7ECD">
                  <w:rPr>
                    <w:rFonts w:ascii="Cambria" w:hAnsi="Cambria"/>
                    <w:b/>
                    <w:bCs/>
                    <w:color w:val="FFFFFF" w:themeColor="background1"/>
                    <w:sz w:val="20"/>
                    <w:szCs w:val="20"/>
                  </w:rPr>
                  <w:t>Alleged victim</w:t>
                </w:r>
              </w:sdtContent>
            </w:sdt>
            <w:r w:rsidR="009F7ECD" w:rsidRPr="000C4365">
              <w:rPr>
                <w:rFonts w:ascii="Cambria" w:hAnsi="Cambria"/>
                <w:b/>
                <w:bCs/>
                <w:color w:val="FFFFFF" w:themeColor="background1"/>
                <w:sz w:val="20"/>
                <w:szCs w:val="20"/>
              </w:rPr>
              <w:t>:</w:t>
            </w:r>
          </w:p>
        </w:tc>
        <w:tc>
          <w:tcPr>
            <w:tcW w:w="5670" w:type="dxa"/>
            <w:vAlign w:val="center"/>
          </w:tcPr>
          <w:p w:rsidR="009F7ECD" w:rsidRPr="00936B23" w:rsidRDefault="00507CC5" w:rsidP="008D2750">
            <w:pPr>
              <w:jc w:val="both"/>
              <w:rPr>
                <w:rFonts w:ascii="Cambria" w:hAnsi="Cambria"/>
                <w:bCs/>
                <w:sz w:val="19"/>
                <w:szCs w:val="19"/>
                <w:lang w:val="en-US"/>
              </w:rPr>
            </w:pPr>
            <w:proofErr w:type="spellStart"/>
            <w:r w:rsidRPr="00936B23">
              <w:rPr>
                <w:rFonts w:ascii="Cambria" w:hAnsi="Cambria"/>
                <w:bCs/>
                <w:sz w:val="19"/>
                <w:szCs w:val="19"/>
                <w:lang w:val="en-US"/>
              </w:rPr>
              <w:t>Eduvigis</w:t>
            </w:r>
            <w:proofErr w:type="spellEnd"/>
            <w:r w:rsidRPr="00936B23">
              <w:rPr>
                <w:rFonts w:ascii="Cambria" w:hAnsi="Cambria"/>
                <w:bCs/>
                <w:sz w:val="19"/>
                <w:szCs w:val="19"/>
                <w:lang w:val="en-US"/>
              </w:rPr>
              <w:t xml:space="preserve"> del Carmen </w:t>
            </w:r>
            <w:proofErr w:type="spellStart"/>
            <w:r w:rsidRPr="00936B23">
              <w:rPr>
                <w:rFonts w:ascii="Cambria" w:hAnsi="Cambria"/>
                <w:bCs/>
                <w:sz w:val="19"/>
                <w:szCs w:val="19"/>
                <w:lang w:val="en-US"/>
              </w:rPr>
              <w:t>Alarcón</w:t>
            </w:r>
            <w:proofErr w:type="spellEnd"/>
            <w:r w:rsidRPr="00936B23">
              <w:rPr>
                <w:rFonts w:ascii="Cambria" w:hAnsi="Cambria"/>
                <w:bCs/>
                <w:sz w:val="19"/>
                <w:szCs w:val="19"/>
                <w:lang w:val="en-US"/>
              </w:rPr>
              <w:t xml:space="preserve"> Gómez and others</w:t>
            </w:r>
            <w:r w:rsidRPr="00507CC5">
              <w:rPr>
                <w:rStyle w:val="FootnoteReference"/>
                <w:rFonts w:ascii="Cambria" w:hAnsi="Cambria"/>
                <w:bCs/>
                <w:sz w:val="19"/>
                <w:szCs w:val="19"/>
              </w:rPr>
              <w:footnoteReference w:id="1"/>
            </w:r>
          </w:p>
        </w:tc>
      </w:tr>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Respondent</w:t>
            </w:r>
            <w:proofErr w:type="spellEnd"/>
            <w:r>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State</w:t>
            </w:r>
            <w:proofErr w:type="spellEnd"/>
            <w:r w:rsidRPr="000B6B7A">
              <w:rPr>
                <w:rFonts w:ascii="Cambria" w:hAnsi="Cambria"/>
                <w:b/>
                <w:bCs/>
                <w:color w:val="FFFFFF" w:themeColor="background1"/>
                <w:sz w:val="20"/>
                <w:szCs w:val="20"/>
              </w:rPr>
              <w:t>:</w:t>
            </w:r>
          </w:p>
        </w:tc>
        <w:tc>
          <w:tcPr>
            <w:tcW w:w="5670" w:type="dxa"/>
            <w:vAlign w:val="center"/>
          </w:tcPr>
          <w:p w:rsidR="009F7ECD" w:rsidRPr="001B5124" w:rsidRDefault="00507CC5" w:rsidP="008D2750">
            <w:pPr>
              <w:jc w:val="both"/>
              <w:rPr>
                <w:rFonts w:asciiTheme="majorHAnsi" w:hAnsiTheme="majorHAnsi"/>
                <w:bCs/>
                <w:sz w:val="19"/>
                <w:szCs w:val="19"/>
                <w:vertAlign w:val="superscript"/>
              </w:rPr>
            </w:pPr>
            <w:r w:rsidRPr="001B5124">
              <w:rPr>
                <w:rFonts w:asciiTheme="majorHAnsi" w:hAnsiTheme="majorHAnsi"/>
                <w:bCs/>
                <w:sz w:val="19"/>
                <w:szCs w:val="19"/>
              </w:rPr>
              <w:t>Chile</w:t>
            </w:r>
            <w:r w:rsidRPr="001B5124">
              <w:rPr>
                <w:rFonts w:asciiTheme="majorHAnsi" w:hAnsiTheme="majorHAnsi"/>
                <w:bCs/>
                <w:sz w:val="19"/>
                <w:szCs w:val="19"/>
                <w:vertAlign w:val="superscript"/>
              </w:rPr>
              <w:t>2</w:t>
            </w:r>
          </w:p>
        </w:tc>
      </w:tr>
      <w:tr w:rsidR="009F7ECD" w:rsidRPr="00507CC5" w:rsidTr="008D2750">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Rights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invoked</w:t>
            </w:r>
            <w:proofErr w:type="spellEnd"/>
            <w:r>
              <w:rPr>
                <w:rFonts w:ascii="Cambria" w:hAnsi="Cambria"/>
                <w:b/>
                <w:bCs/>
                <w:color w:val="FFFFFF" w:themeColor="background1"/>
                <w:sz w:val="20"/>
                <w:szCs w:val="20"/>
              </w:rPr>
              <w:t>:</w:t>
            </w:r>
          </w:p>
        </w:tc>
        <w:tc>
          <w:tcPr>
            <w:tcW w:w="5670" w:type="dxa"/>
            <w:vAlign w:val="center"/>
          </w:tcPr>
          <w:p w:rsidR="009F7ECD" w:rsidRPr="001B5124" w:rsidRDefault="00507CC5" w:rsidP="00507CC5">
            <w:pPr>
              <w:jc w:val="both"/>
              <w:rPr>
                <w:rFonts w:asciiTheme="majorHAnsi" w:hAnsiTheme="majorHAnsi"/>
                <w:bCs/>
                <w:sz w:val="19"/>
                <w:szCs w:val="19"/>
                <w:lang w:val="en-US"/>
              </w:rPr>
            </w:pPr>
            <w:r w:rsidRPr="001B5124">
              <w:rPr>
                <w:rFonts w:asciiTheme="majorHAnsi" w:hAnsiTheme="majorHAnsi"/>
                <w:bCs/>
                <w:sz w:val="19"/>
                <w:szCs w:val="19"/>
                <w:lang w:val="en-US"/>
              </w:rPr>
              <w:t>Articles 21 (private property), 24 (equality before the law) y 25 (judicial protection) of the American Convention on Human Rights</w:t>
            </w:r>
            <w:r w:rsidRPr="001B5124">
              <w:rPr>
                <w:rFonts w:asciiTheme="majorHAnsi" w:hAnsiTheme="majorHAnsi"/>
                <w:bCs/>
                <w:sz w:val="19"/>
                <w:szCs w:val="19"/>
                <w:vertAlign w:val="superscript"/>
                <w:lang w:val="en-US"/>
              </w:rPr>
              <w:t>3</w:t>
            </w:r>
            <w:r w:rsidRPr="001B5124">
              <w:rPr>
                <w:rFonts w:asciiTheme="majorHAnsi" w:hAnsiTheme="majorHAnsi"/>
                <w:bCs/>
                <w:sz w:val="19"/>
                <w:szCs w:val="19"/>
                <w:lang w:val="en-US"/>
              </w:rPr>
              <w:t xml:space="preserve"> </w:t>
            </w:r>
            <w:r w:rsidRPr="001B5124">
              <w:rPr>
                <w:rFonts w:asciiTheme="majorHAnsi" w:hAnsiTheme="majorHAnsi"/>
                <w:sz w:val="19"/>
                <w:szCs w:val="19"/>
                <w:lang w:val="en-US"/>
              </w:rPr>
              <w:t>in relation to its article 1.1 (obligation to respect rights); and article</w:t>
            </w:r>
            <w:r w:rsidRPr="001B5124">
              <w:rPr>
                <w:rFonts w:asciiTheme="majorHAnsi" w:hAnsiTheme="majorHAnsi"/>
                <w:bCs/>
                <w:sz w:val="19"/>
                <w:szCs w:val="19"/>
                <w:lang w:val="en-US"/>
              </w:rPr>
              <w:t xml:space="preserve"> XVI (social security) of the American Declaration of</w:t>
            </w:r>
            <w:r w:rsidRPr="001B5124">
              <w:rPr>
                <w:rFonts w:asciiTheme="majorHAnsi" w:hAnsiTheme="majorHAnsi" w:cstheme="minorHAnsi"/>
                <w:sz w:val="19"/>
                <w:szCs w:val="19"/>
                <w:shd w:val="clear" w:color="auto" w:fill="FFFFFF"/>
                <w:lang w:val="en-US"/>
              </w:rPr>
              <w:t xml:space="preserve"> the Rights and Duties of Man</w:t>
            </w:r>
            <w:r w:rsidRPr="001B5124">
              <w:rPr>
                <w:rFonts w:asciiTheme="majorHAnsi" w:hAnsiTheme="majorHAnsi" w:cstheme="minorHAnsi"/>
                <w:sz w:val="19"/>
                <w:szCs w:val="19"/>
                <w:shd w:val="clear" w:color="auto" w:fill="FFFFFF"/>
                <w:vertAlign w:val="superscript"/>
                <w:lang w:val="en-US"/>
              </w:rPr>
              <w:t>4</w:t>
            </w:r>
          </w:p>
        </w:tc>
      </w:tr>
    </w:tbl>
    <w:p w:rsidR="009F7ECD" w:rsidRPr="000B6B7A" w:rsidRDefault="009F7ECD" w:rsidP="009F7ECD">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8D2750">
        <w:rPr>
          <w:rFonts w:asciiTheme="majorHAnsi" w:hAnsiTheme="majorHAnsi"/>
          <w:b/>
          <w:bCs/>
          <w:sz w:val="20"/>
          <w:szCs w:val="20"/>
          <w:vertAlign w:val="superscript"/>
        </w:rPr>
        <w:t>5</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Filing</w:t>
            </w:r>
            <w:proofErr w:type="spellEnd"/>
            <w:r>
              <w:rPr>
                <w:rFonts w:ascii="Cambria" w:hAnsi="Cambria"/>
                <w:b/>
                <w:bCs/>
                <w:color w:val="FFFFFF" w:themeColor="background1"/>
                <w:sz w:val="20"/>
                <w:szCs w:val="20"/>
              </w:rPr>
              <w:t xml:space="preserve"> of </w:t>
            </w:r>
            <w:proofErr w:type="spellStart"/>
            <w:r>
              <w:rPr>
                <w:rFonts w:ascii="Cambria" w:hAnsi="Cambria"/>
                <w:b/>
                <w:bCs/>
                <w:color w:val="FFFFFF" w:themeColor="background1"/>
                <w:sz w:val="20"/>
                <w:szCs w:val="20"/>
              </w:rPr>
              <w:t>the</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petition</w:t>
            </w:r>
            <w:proofErr w:type="spellEnd"/>
            <w:r w:rsidRPr="000B6B7A">
              <w:rPr>
                <w:rFonts w:ascii="Cambria" w:hAnsi="Cambria"/>
                <w:b/>
                <w:bCs/>
                <w:color w:val="FFFFFF" w:themeColor="background1"/>
                <w:sz w:val="20"/>
                <w:szCs w:val="20"/>
              </w:rPr>
              <w:t>:</w:t>
            </w:r>
          </w:p>
        </w:tc>
        <w:tc>
          <w:tcPr>
            <w:tcW w:w="5670" w:type="dxa"/>
            <w:vAlign w:val="center"/>
          </w:tcPr>
          <w:p w:rsidR="009F7ECD" w:rsidRPr="001B5124" w:rsidRDefault="00507CC5" w:rsidP="008D2750">
            <w:pPr>
              <w:jc w:val="both"/>
              <w:rPr>
                <w:rFonts w:ascii="Cambria" w:hAnsi="Cambria"/>
                <w:bCs/>
                <w:sz w:val="19"/>
                <w:szCs w:val="19"/>
              </w:rPr>
            </w:pPr>
            <w:proofErr w:type="spellStart"/>
            <w:r w:rsidRPr="001B5124">
              <w:rPr>
                <w:rFonts w:ascii="Cambria" w:hAnsi="Cambria"/>
                <w:bCs/>
                <w:sz w:val="19"/>
                <w:szCs w:val="19"/>
              </w:rPr>
              <w:t>July</w:t>
            </w:r>
            <w:proofErr w:type="spellEnd"/>
            <w:r w:rsidRPr="001B5124">
              <w:rPr>
                <w:rFonts w:ascii="Cambria" w:hAnsi="Cambria"/>
                <w:bCs/>
                <w:sz w:val="19"/>
                <w:szCs w:val="19"/>
              </w:rPr>
              <w:t xml:space="preserve"> 4, 2012</w:t>
            </w:r>
          </w:p>
        </w:tc>
      </w:tr>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9F7ECD" w:rsidRDefault="009F7ECD" w:rsidP="008D2750">
            <w:pPr>
              <w:jc w:val="center"/>
              <w:rPr>
                <w:rFonts w:ascii="Cambria" w:hAnsi="Cambria"/>
                <w:b/>
                <w:color w:val="FFFFFF" w:themeColor="background1"/>
                <w:sz w:val="20"/>
                <w:szCs w:val="20"/>
                <w:lang w:val="en-US"/>
              </w:rPr>
            </w:pPr>
            <w:r w:rsidRPr="009F7ECD">
              <w:rPr>
                <w:rFonts w:ascii="Cambria" w:hAnsi="Cambria"/>
                <w:b/>
                <w:color w:val="FFFFFF" w:themeColor="background1"/>
                <w:sz w:val="20"/>
                <w:szCs w:val="20"/>
                <w:lang w:val="en-US"/>
              </w:rPr>
              <w:t>Additional information received at the stage of initial review:</w:t>
            </w:r>
          </w:p>
        </w:tc>
        <w:tc>
          <w:tcPr>
            <w:tcW w:w="5670" w:type="dxa"/>
            <w:vAlign w:val="center"/>
          </w:tcPr>
          <w:p w:rsidR="009F7ECD" w:rsidRPr="001B5124" w:rsidRDefault="00507CC5" w:rsidP="008D2750">
            <w:pPr>
              <w:jc w:val="both"/>
              <w:rPr>
                <w:rFonts w:ascii="Cambria" w:hAnsi="Cambria"/>
                <w:bCs/>
                <w:sz w:val="19"/>
                <w:szCs w:val="19"/>
                <w:lang w:val="en-US"/>
              </w:rPr>
            </w:pPr>
            <w:r w:rsidRPr="001B5124">
              <w:rPr>
                <w:rFonts w:ascii="Cambria" w:hAnsi="Cambria"/>
                <w:bCs/>
                <w:sz w:val="19"/>
                <w:szCs w:val="19"/>
                <w:lang w:val="en-US"/>
              </w:rPr>
              <w:t>September 9, 2013, November 13, 2013, November 11, 2014 and May 25, 2017.</w:t>
            </w:r>
          </w:p>
        </w:tc>
      </w:tr>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9F7ECD" w:rsidRDefault="009F7ECD" w:rsidP="008D2750">
            <w:pPr>
              <w:jc w:val="center"/>
              <w:rPr>
                <w:rFonts w:ascii="Cambria" w:hAnsi="Cambria"/>
                <w:b/>
                <w:bCs/>
                <w:color w:val="FFFFFF" w:themeColor="background1"/>
                <w:sz w:val="20"/>
                <w:szCs w:val="20"/>
                <w:lang w:val="en-US"/>
              </w:rPr>
            </w:pPr>
            <w:r w:rsidRPr="009F7ECD">
              <w:rPr>
                <w:rFonts w:ascii="Cambria" w:hAnsi="Cambria"/>
                <w:b/>
                <w:color w:val="FFFFFF" w:themeColor="background1"/>
                <w:sz w:val="20"/>
                <w:szCs w:val="20"/>
                <w:lang w:val="en-US"/>
              </w:rPr>
              <w:t>Notification of the petition to the State:</w:t>
            </w:r>
          </w:p>
        </w:tc>
        <w:tc>
          <w:tcPr>
            <w:tcW w:w="5670" w:type="dxa"/>
            <w:vAlign w:val="center"/>
          </w:tcPr>
          <w:p w:rsidR="009F7ECD" w:rsidRPr="001B5124" w:rsidRDefault="001B5124" w:rsidP="008D2750">
            <w:pPr>
              <w:jc w:val="both"/>
              <w:rPr>
                <w:rFonts w:ascii="Cambria" w:hAnsi="Cambria"/>
                <w:bCs/>
                <w:sz w:val="19"/>
                <w:szCs w:val="19"/>
                <w:lang w:val="en-US"/>
              </w:rPr>
            </w:pPr>
            <w:r w:rsidRPr="001B5124">
              <w:rPr>
                <w:rFonts w:ascii="Cambria" w:hAnsi="Cambria"/>
                <w:bCs/>
                <w:sz w:val="19"/>
                <w:szCs w:val="19"/>
                <w:lang w:val="en-US"/>
              </w:rPr>
              <w:t>June 28, 2017</w:t>
            </w:r>
          </w:p>
        </w:tc>
      </w:tr>
      <w:tr w:rsidR="009F7ECD" w:rsidRPr="000B6B7A" w:rsidTr="008D2750">
        <w:trPr>
          <w:trHeight w:val="264"/>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sidRPr="000B6B7A">
              <w:rPr>
                <w:rFonts w:ascii="Cambria" w:hAnsi="Cambria"/>
                <w:b/>
                <w:color w:val="FFFFFF" w:themeColor="background1"/>
                <w:sz w:val="20"/>
                <w:szCs w:val="20"/>
              </w:rPr>
              <w:t>State’s</w:t>
            </w:r>
            <w:proofErr w:type="spellEnd"/>
            <w:r w:rsidRPr="000B6B7A">
              <w:rPr>
                <w:rFonts w:ascii="Cambria" w:hAnsi="Cambria"/>
                <w:b/>
                <w:color w:val="FFFFFF" w:themeColor="background1"/>
                <w:sz w:val="20"/>
                <w:szCs w:val="20"/>
              </w:rPr>
              <w:t xml:space="preserve"> </w:t>
            </w:r>
            <w:proofErr w:type="spellStart"/>
            <w:r w:rsidRPr="000B6B7A">
              <w:rPr>
                <w:rFonts w:ascii="Cambria" w:hAnsi="Cambria"/>
                <w:b/>
                <w:color w:val="FFFFFF" w:themeColor="background1"/>
                <w:sz w:val="20"/>
                <w:szCs w:val="20"/>
              </w:rPr>
              <w:t>first</w:t>
            </w:r>
            <w:proofErr w:type="spellEnd"/>
            <w:r w:rsidRPr="000B6B7A">
              <w:rPr>
                <w:rFonts w:ascii="Cambria" w:hAnsi="Cambria"/>
                <w:b/>
                <w:color w:val="FFFFFF" w:themeColor="background1"/>
                <w:sz w:val="20"/>
                <w:szCs w:val="20"/>
              </w:rPr>
              <w:t xml:space="preserve"> response:</w:t>
            </w:r>
          </w:p>
        </w:tc>
        <w:tc>
          <w:tcPr>
            <w:tcW w:w="5670" w:type="dxa"/>
            <w:vAlign w:val="center"/>
          </w:tcPr>
          <w:p w:rsidR="009F7ECD" w:rsidRPr="001B5124" w:rsidRDefault="001B5124" w:rsidP="008D2750">
            <w:pPr>
              <w:jc w:val="both"/>
              <w:rPr>
                <w:rFonts w:ascii="Cambria" w:hAnsi="Cambria"/>
                <w:bCs/>
                <w:sz w:val="19"/>
                <w:szCs w:val="19"/>
              </w:rPr>
            </w:pPr>
            <w:proofErr w:type="spellStart"/>
            <w:r w:rsidRPr="001B5124">
              <w:rPr>
                <w:rFonts w:ascii="Cambria" w:hAnsi="Cambria"/>
                <w:bCs/>
                <w:sz w:val="19"/>
                <w:szCs w:val="19"/>
              </w:rPr>
              <w:t>December</w:t>
            </w:r>
            <w:proofErr w:type="spellEnd"/>
            <w:r w:rsidRPr="001B5124">
              <w:rPr>
                <w:rFonts w:ascii="Cambria" w:hAnsi="Cambria"/>
                <w:bCs/>
                <w:sz w:val="19"/>
                <w:szCs w:val="19"/>
              </w:rPr>
              <w:t xml:space="preserve"> 1, 2017</w:t>
            </w:r>
          </w:p>
        </w:tc>
      </w:tr>
      <w:tr w:rsidR="009F7ECD" w:rsidRPr="000B6B7A" w:rsidTr="008D2750">
        <w:tc>
          <w:tcPr>
            <w:tcW w:w="3690" w:type="dxa"/>
            <w:tcBorders>
              <w:top w:val="single" w:sz="6" w:space="0" w:color="auto"/>
              <w:bottom w:val="single" w:sz="6" w:space="0" w:color="auto"/>
            </w:tcBorders>
            <w:shd w:val="clear" w:color="auto" w:fill="67AE3C"/>
            <w:vAlign w:val="center"/>
          </w:tcPr>
          <w:p w:rsidR="009F7ECD" w:rsidRPr="009F7ECD" w:rsidRDefault="009F7ECD" w:rsidP="008D2750">
            <w:pPr>
              <w:jc w:val="center"/>
              <w:rPr>
                <w:rFonts w:ascii="Cambria" w:hAnsi="Cambria"/>
                <w:b/>
                <w:bCs/>
                <w:color w:val="FFFFFF" w:themeColor="background1"/>
                <w:sz w:val="20"/>
                <w:szCs w:val="20"/>
                <w:lang w:val="en-US"/>
              </w:rPr>
            </w:pPr>
            <w:r w:rsidRPr="009F7ECD">
              <w:rPr>
                <w:rFonts w:ascii="Cambria" w:hAnsi="Cambria"/>
                <w:b/>
                <w:bCs/>
                <w:color w:val="FFFFFF" w:themeColor="background1"/>
                <w:sz w:val="20"/>
                <w:szCs w:val="20"/>
                <w:lang w:val="en-US"/>
              </w:rPr>
              <w:t>Additional observations from the petitioner:</w:t>
            </w:r>
          </w:p>
        </w:tc>
        <w:tc>
          <w:tcPr>
            <w:tcW w:w="5670" w:type="dxa"/>
            <w:vAlign w:val="center"/>
          </w:tcPr>
          <w:p w:rsidR="009F7ECD" w:rsidRPr="001B5124" w:rsidRDefault="001B5124" w:rsidP="008D2750">
            <w:pPr>
              <w:jc w:val="both"/>
              <w:rPr>
                <w:rFonts w:ascii="Cambria" w:hAnsi="Cambria"/>
                <w:bCs/>
                <w:sz w:val="19"/>
                <w:szCs w:val="19"/>
                <w:lang w:val="en-US"/>
              </w:rPr>
            </w:pPr>
            <w:r w:rsidRPr="001B5124">
              <w:rPr>
                <w:rFonts w:ascii="Cambria" w:hAnsi="Cambria"/>
                <w:bCs/>
                <w:sz w:val="19"/>
                <w:szCs w:val="19"/>
                <w:lang w:val="en-US"/>
              </w:rPr>
              <w:t>July 7, 2018 and August 17, 2018</w:t>
            </w:r>
          </w:p>
        </w:tc>
      </w:tr>
    </w:tbl>
    <w:p w:rsidR="009F7ECD" w:rsidRPr="000B6B7A" w:rsidRDefault="009F7ECD" w:rsidP="009F7ECD">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9F7ECD" w:rsidRPr="000B6B7A" w:rsidTr="008D2750">
        <w:trPr>
          <w:cantSplit/>
        </w:trPr>
        <w:tc>
          <w:tcPr>
            <w:tcW w:w="3690" w:type="dxa"/>
            <w:tcBorders>
              <w:top w:val="single" w:sz="4" w:space="0" w:color="auto"/>
              <w:bottom w:val="single" w:sz="6" w:space="0" w:color="auto"/>
            </w:tcBorders>
            <w:shd w:val="clear" w:color="auto" w:fill="67AE3C"/>
            <w:vAlign w:val="center"/>
          </w:tcPr>
          <w:p w:rsidR="009F7ECD" w:rsidRPr="000B6B7A" w:rsidRDefault="009F7ECD" w:rsidP="008D2750">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personae</w:t>
            </w:r>
            <w:proofErr w:type="spellEnd"/>
            <w:r w:rsidRPr="000B6B7A">
              <w:rPr>
                <w:rFonts w:ascii="Cambria" w:hAnsi="Cambria"/>
                <w:b/>
                <w:bCs/>
                <w:i/>
                <w:color w:val="FFFFFF" w:themeColor="background1"/>
                <w:sz w:val="20"/>
                <w:szCs w:val="20"/>
              </w:rPr>
              <w:t>:</w:t>
            </w:r>
          </w:p>
        </w:tc>
        <w:tc>
          <w:tcPr>
            <w:tcW w:w="5670" w:type="dxa"/>
            <w:vAlign w:val="center"/>
          </w:tcPr>
          <w:p w:rsidR="009F7ECD" w:rsidRPr="001B5124" w:rsidRDefault="001B5124" w:rsidP="008D2750">
            <w:pPr>
              <w:rPr>
                <w:rFonts w:asciiTheme="majorHAnsi" w:hAnsiTheme="majorHAnsi"/>
                <w:bCs/>
                <w:sz w:val="19"/>
                <w:szCs w:val="19"/>
              </w:rPr>
            </w:pPr>
            <w:r w:rsidRPr="001B5124">
              <w:rPr>
                <w:rFonts w:asciiTheme="majorHAnsi" w:hAnsiTheme="majorHAnsi"/>
                <w:bCs/>
                <w:sz w:val="19"/>
                <w:szCs w:val="19"/>
              </w:rPr>
              <w:t>Yes</w:t>
            </w:r>
          </w:p>
        </w:tc>
      </w:tr>
      <w:tr w:rsidR="009F7ECD" w:rsidRPr="000B6B7A" w:rsidTr="008D2750">
        <w:trPr>
          <w:cantSplit/>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loci</w:t>
            </w:r>
            <w:proofErr w:type="spellEnd"/>
            <w:r w:rsidRPr="000B6B7A">
              <w:rPr>
                <w:rFonts w:ascii="Cambria" w:hAnsi="Cambria"/>
                <w:b/>
                <w:bCs/>
                <w:color w:val="FFFFFF" w:themeColor="background1"/>
                <w:sz w:val="20"/>
                <w:szCs w:val="20"/>
              </w:rPr>
              <w:t>:</w:t>
            </w:r>
          </w:p>
        </w:tc>
        <w:tc>
          <w:tcPr>
            <w:tcW w:w="5670" w:type="dxa"/>
            <w:vAlign w:val="center"/>
          </w:tcPr>
          <w:p w:rsidR="009F7ECD" w:rsidRPr="001B5124" w:rsidRDefault="001B5124" w:rsidP="008D2750">
            <w:pPr>
              <w:rPr>
                <w:rFonts w:asciiTheme="majorHAnsi" w:hAnsiTheme="majorHAnsi"/>
                <w:bCs/>
                <w:sz w:val="19"/>
                <w:szCs w:val="19"/>
              </w:rPr>
            </w:pPr>
            <w:r w:rsidRPr="001B5124">
              <w:rPr>
                <w:rFonts w:asciiTheme="majorHAnsi" w:hAnsiTheme="majorHAnsi"/>
                <w:bCs/>
                <w:sz w:val="19"/>
                <w:szCs w:val="19"/>
              </w:rPr>
              <w:t>Yes</w:t>
            </w:r>
          </w:p>
        </w:tc>
      </w:tr>
      <w:tr w:rsidR="009F7ECD" w:rsidRPr="000B6B7A" w:rsidTr="008D2750">
        <w:trPr>
          <w:cantSplit/>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9F7ECD" w:rsidRPr="001B5124" w:rsidRDefault="001B5124" w:rsidP="008D2750">
            <w:pPr>
              <w:rPr>
                <w:rFonts w:asciiTheme="majorHAnsi" w:hAnsiTheme="majorHAnsi"/>
                <w:bCs/>
                <w:sz w:val="19"/>
                <w:szCs w:val="19"/>
              </w:rPr>
            </w:pPr>
            <w:r w:rsidRPr="001B5124">
              <w:rPr>
                <w:rFonts w:asciiTheme="majorHAnsi" w:hAnsiTheme="majorHAnsi"/>
                <w:bCs/>
                <w:sz w:val="19"/>
                <w:szCs w:val="19"/>
              </w:rPr>
              <w:t>Yes</w:t>
            </w:r>
          </w:p>
        </w:tc>
      </w:tr>
      <w:tr w:rsidR="009F7ECD" w:rsidRPr="000B6B7A" w:rsidTr="008D2750">
        <w:trPr>
          <w:cantSplit/>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9F7ECD" w:rsidRPr="001B5124" w:rsidRDefault="001B5124" w:rsidP="001B5124">
            <w:pPr>
              <w:jc w:val="both"/>
              <w:rPr>
                <w:rFonts w:asciiTheme="majorHAnsi" w:hAnsiTheme="majorHAnsi"/>
                <w:bCs/>
                <w:sz w:val="19"/>
                <w:szCs w:val="19"/>
                <w:lang w:val="en-US"/>
              </w:rPr>
            </w:pPr>
            <w:r w:rsidRPr="001B5124">
              <w:rPr>
                <w:rFonts w:asciiTheme="majorHAnsi" w:hAnsiTheme="majorHAnsi"/>
                <w:bCs/>
                <w:sz w:val="19"/>
                <w:szCs w:val="19"/>
                <w:lang w:val="en-US"/>
              </w:rPr>
              <w:t>Yes, American Convention (</w:t>
            </w:r>
            <w:r w:rsidRPr="001B5124">
              <w:rPr>
                <w:rFonts w:asciiTheme="majorHAnsi" w:hAnsiTheme="majorHAnsi"/>
                <w:sz w:val="19"/>
                <w:szCs w:val="19"/>
                <w:lang w:val="en-US"/>
              </w:rPr>
              <w:t xml:space="preserve">deposit of instrument of ratification done </w:t>
            </w:r>
            <w:r w:rsidRPr="001B5124">
              <w:rPr>
                <w:rFonts w:asciiTheme="majorHAnsi" w:hAnsiTheme="majorHAnsi"/>
                <w:bCs/>
                <w:sz w:val="19"/>
                <w:szCs w:val="19"/>
                <w:lang w:val="en-US"/>
              </w:rPr>
              <w:t xml:space="preserve">on </w:t>
            </w:r>
            <w:r>
              <w:rPr>
                <w:rFonts w:asciiTheme="majorHAnsi" w:hAnsiTheme="majorHAnsi"/>
                <w:bCs/>
                <w:sz w:val="19"/>
                <w:szCs w:val="19"/>
                <w:lang w:val="en-US"/>
              </w:rPr>
              <w:t>August 21, 1990</w:t>
            </w:r>
            <w:r w:rsidRPr="001B5124">
              <w:rPr>
                <w:rFonts w:asciiTheme="majorHAnsi" w:hAnsiTheme="majorHAnsi"/>
                <w:bCs/>
                <w:sz w:val="19"/>
                <w:szCs w:val="19"/>
                <w:lang w:val="en-US"/>
              </w:rPr>
              <w:t>)</w:t>
            </w:r>
            <w:r>
              <w:rPr>
                <w:rFonts w:asciiTheme="majorHAnsi" w:hAnsiTheme="majorHAnsi"/>
                <w:bCs/>
                <w:sz w:val="19"/>
                <w:szCs w:val="19"/>
                <w:lang w:val="en-US"/>
              </w:rPr>
              <w:t xml:space="preserve"> and American Declaration (deposit of instrument of ratification of the Charter of OAS done on June 5, 1953)</w:t>
            </w:r>
          </w:p>
        </w:tc>
      </w:tr>
    </w:tbl>
    <w:p w:rsidR="009F7ECD" w:rsidRPr="000B6B7A" w:rsidRDefault="009F7ECD" w:rsidP="009F7ECD">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9F7ECD" w:rsidRPr="000B6B7A" w:rsidTr="008D2750">
        <w:trPr>
          <w:cantSplit/>
        </w:trPr>
        <w:tc>
          <w:tcPr>
            <w:tcW w:w="3690" w:type="dxa"/>
            <w:tcBorders>
              <w:top w:val="single" w:sz="4" w:space="0" w:color="auto"/>
              <w:bottom w:val="single" w:sz="6" w:space="0" w:color="auto"/>
            </w:tcBorders>
            <w:shd w:val="clear" w:color="auto" w:fill="67AE3C"/>
            <w:vAlign w:val="center"/>
          </w:tcPr>
          <w:p w:rsidR="009F7ECD" w:rsidRPr="009F7ECD" w:rsidRDefault="009F7ECD" w:rsidP="008D2750">
            <w:pPr>
              <w:jc w:val="center"/>
              <w:rPr>
                <w:rFonts w:ascii="Cambria" w:hAnsi="Cambria"/>
                <w:b/>
                <w:bCs/>
                <w:color w:val="FFFFFF" w:themeColor="background1"/>
                <w:sz w:val="20"/>
                <w:szCs w:val="20"/>
                <w:lang w:val="en-US"/>
              </w:rPr>
            </w:pPr>
            <w:r w:rsidRPr="009F7ECD">
              <w:rPr>
                <w:rFonts w:ascii="Cambria" w:hAnsi="Cambria"/>
                <w:b/>
                <w:bCs/>
                <w:color w:val="FFFFFF" w:themeColor="background1"/>
                <w:sz w:val="20"/>
                <w:szCs w:val="20"/>
                <w:lang w:val="en-US"/>
              </w:rPr>
              <w:t xml:space="preserve">Duplication of procedures and International </w:t>
            </w:r>
            <w:r w:rsidRPr="009F7ECD">
              <w:rPr>
                <w:rFonts w:ascii="Cambria" w:hAnsi="Cambria"/>
                <w:b/>
                <w:bCs/>
                <w:i/>
                <w:color w:val="FFFFFF" w:themeColor="background1"/>
                <w:sz w:val="20"/>
                <w:szCs w:val="20"/>
                <w:lang w:val="en-US"/>
              </w:rPr>
              <w:t>res judicata</w:t>
            </w:r>
            <w:r w:rsidRPr="009F7ECD">
              <w:rPr>
                <w:rFonts w:ascii="Cambria" w:hAnsi="Cambria"/>
                <w:b/>
                <w:bCs/>
                <w:color w:val="FFFFFF" w:themeColor="background1"/>
                <w:sz w:val="20"/>
                <w:szCs w:val="20"/>
                <w:lang w:val="en-US"/>
              </w:rPr>
              <w:t>:</w:t>
            </w:r>
          </w:p>
        </w:tc>
        <w:tc>
          <w:tcPr>
            <w:tcW w:w="5670" w:type="dxa"/>
            <w:vAlign w:val="center"/>
          </w:tcPr>
          <w:p w:rsidR="009F7ECD" w:rsidRPr="009F7ECD" w:rsidRDefault="001B5124" w:rsidP="008D2750">
            <w:pPr>
              <w:jc w:val="both"/>
              <w:rPr>
                <w:rFonts w:ascii="Cambria" w:hAnsi="Cambria"/>
                <w:bCs/>
                <w:sz w:val="20"/>
                <w:szCs w:val="20"/>
                <w:lang w:val="en-US"/>
              </w:rPr>
            </w:pPr>
            <w:r>
              <w:rPr>
                <w:rFonts w:ascii="Cambria" w:hAnsi="Cambria"/>
                <w:bCs/>
                <w:sz w:val="20"/>
                <w:szCs w:val="20"/>
                <w:lang w:val="en-US"/>
              </w:rPr>
              <w:t>No</w:t>
            </w:r>
          </w:p>
        </w:tc>
      </w:tr>
      <w:tr w:rsidR="009F7ECD" w:rsidRPr="001B5124" w:rsidTr="008D2750">
        <w:trPr>
          <w:cantSplit/>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Rights</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declared</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admissible</w:t>
            </w:r>
            <w:proofErr w:type="spellEnd"/>
          </w:p>
        </w:tc>
        <w:tc>
          <w:tcPr>
            <w:tcW w:w="5670" w:type="dxa"/>
            <w:vAlign w:val="center"/>
          </w:tcPr>
          <w:p w:rsidR="009F7ECD" w:rsidRPr="008D2750" w:rsidRDefault="00507CC5" w:rsidP="001B5124">
            <w:pPr>
              <w:jc w:val="both"/>
              <w:rPr>
                <w:rFonts w:asciiTheme="majorHAnsi" w:hAnsiTheme="majorHAnsi"/>
                <w:bCs/>
                <w:sz w:val="19"/>
                <w:szCs w:val="19"/>
                <w:lang w:val="en-US"/>
              </w:rPr>
            </w:pPr>
            <w:r w:rsidRPr="008D2750">
              <w:rPr>
                <w:rFonts w:asciiTheme="majorHAnsi" w:hAnsiTheme="majorHAnsi"/>
                <w:bCs/>
                <w:sz w:val="19"/>
                <w:szCs w:val="19"/>
                <w:lang w:val="en-US"/>
              </w:rPr>
              <w:t>21 (</w:t>
            </w:r>
            <w:r w:rsidR="008D2750">
              <w:rPr>
                <w:rFonts w:asciiTheme="majorHAnsi" w:hAnsiTheme="majorHAnsi"/>
                <w:bCs/>
                <w:sz w:val="19"/>
                <w:szCs w:val="19"/>
                <w:lang w:val="en-US"/>
              </w:rPr>
              <w:t>pri</w:t>
            </w:r>
            <w:r w:rsidR="001B5124" w:rsidRPr="008D2750">
              <w:rPr>
                <w:rFonts w:asciiTheme="majorHAnsi" w:hAnsiTheme="majorHAnsi"/>
                <w:bCs/>
                <w:sz w:val="19"/>
                <w:szCs w:val="19"/>
                <w:lang w:val="en-US"/>
              </w:rPr>
              <w:t>vate property</w:t>
            </w:r>
            <w:r w:rsidRPr="008D2750">
              <w:rPr>
                <w:rFonts w:asciiTheme="majorHAnsi" w:hAnsiTheme="majorHAnsi"/>
                <w:bCs/>
                <w:sz w:val="19"/>
                <w:szCs w:val="19"/>
                <w:lang w:val="en-US"/>
              </w:rPr>
              <w:t>), 24 (</w:t>
            </w:r>
            <w:r w:rsidR="001B5124" w:rsidRPr="008D2750">
              <w:rPr>
                <w:rFonts w:asciiTheme="majorHAnsi" w:hAnsiTheme="majorHAnsi"/>
                <w:bCs/>
                <w:sz w:val="19"/>
                <w:szCs w:val="19"/>
                <w:lang w:val="en-US"/>
              </w:rPr>
              <w:t>equality before the law</w:t>
            </w:r>
            <w:r w:rsidRPr="008D2750">
              <w:rPr>
                <w:rFonts w:asciiTheme="majorHAnsi" w:hAnsiTheme="majorHAnsi"/>
                <w:bCs/>
                <w:sz w:val="19"/>
                <w:szCs w:val="19"/>
                <w:lang w:val="en-US"/>
              </w:rPr>
              <w:t>)</w:t>
            </w:r>
            <w:r w:rsidR="001B5124" w:rsidRPr="008D2750">
              <w:rPr>
                <w:rFonts w:asciiTheme="majorHAnsi" w:hAnsiTheme="majorHAnsi"/>
                <w:bCs/>
                <w:sz w:val="19"/>
                <w:szCs w:val="19"/>
                <w:lang w:val="en-US"/>
              </w:rPr>
              <w:t>, 25 (</w:t>
            </w:r>
            <w:r w:rsidRPr="008D2750">
              <w:rPr>
                <w:rFonts w:asciiTheme="majorHAnsi" w:hAnsiTheme="majorHAnsi"/>
                <w:bCs/>
                <w:sz w:val="19"/>
                <w:szCs w:val="19"/>
                <w:lang w:val="en-US"/>
              </w:rPr>
              <w:t>judicial</w:t>
            </w:r>
            <w:r w:rsidR="001B5124" w:rsidRPr="008D2750">
              <w:rPr>
                <w:rFonts w:asciiTheme="majorHAnsi" w:hAnsiTheme="majorHAnsi"/>
                <w:bCs/>
                <w:sz w:val="19"/>
                <w:szCs w:val="19"/>
                <w:lang w:val="en-US"/>
              </w:rPr>
              <w:t xml:space="preserve"> protection</w:t>
            </w:r>
            <w:r w:rsidRPr="008D2750">
              <w:rPr>
                <w:rFonts w:asciiTheme="majorHAnsi" w:hAnsiTheme="majorHAnsi"/>
                <w:bCs/>
                <w:sz w:val="19"/>
                <w:szCs w:val="19"/>
                <w:lang w:val="en-US"/>
              </w:rPr>
              <w:t>)</w:t>
            </w:r>
            <w:r w:rsidR="001B5124" w:rsidRPr="008D2750">
              <w:rPr>
                <w:rFonts w:asciiTheme="majorHAnsi" w:hAnsiTheme="majorHAnsi"/>
                <w:bCs/>
                <w:sz w:val="19"/>
                <w:szCs w:val="19"/>
                <w:lang w:val="en-US"/>
              </w:rPr>
              <w:t xml:space="preserve"> and</w:t>
            </w:r>
            <w:r w:rsidRPr="008D2750">
              <w:rPr>
                <w:rFonts w:asciiTheme="majorHAnsi" w:hAnsiTheme="majorHAnsi"/>
                <w:bCs/>
                <w:sz w:val="19"/>
                <w:szCs w:val="19"/>
                <w:lang w:val="en-US"/>
              </w:rPr>
              <w:t xml:space="preserve"> 26 (</w:t>
            </w:r>
            <w:r w:rsidR="001B5124" w:rsidRPr="008D2750">
              <w:rPr>
                <w:rFonts w:asciiTheme="majorHAnsi" w:hAnsiTheme="majorHAnsi"/>
                <w:bCs/>
                <w:sz w:val="19"/>
                <w:szCs w:val="19"/>
                <w:lang w:val="en-US"/>
              </w:rPr>
              <w:t>cultural, social, and economic rights</w:t>
            </w:r>
            <w:r w:rsidRPr="008D2750">
              <w:rPr>
                <w:rFonts w:asciiTheme="majorHAnsi" w:hAnsiTheme="majorHAnsi"/>
                <w:bCs/>
                <w:sz w:val="19"/>
                <w:szCs w:val="19"/>
                <w:lang w:val="en-US"/>
              </w:rPr>
              <w:t>)</w:t>
            </w:r>
            <w:r w:rsidR="001B5124" w:rsidRPr="008D2750">
              <w:rPr>
                <w:rFonts w:asciiTheme="majorHAnsi" w:hAnsiTheme="majorHAnsi"/>
                <w:bCs/>
                <w:sz w:val="19"/>
                <w:szCs w:val="19"/>
                <w:lang w:val="en-US"/>
              </w:rPr>
              <w:t xml:space="preserve"> of the American Convention in relation to its articles 1.1</w:t>
            </w:r>
            <w:r w:rsidRPr="008D2750">
              <w:rPr>
                <w:rFonts w:asciiTheme="majorHAnsi" w:hAnsiTheme="majorHAnsi"/>
                <w:bCs/>
                <w:sz w:val="19"/>
                <w:szCs w:val="19"/>
                <w:lang w:val="en-US"/>
              </w:rPr>
              <w:t xml:space="preserve"> </w:t>
            </w:r>
            <w:r w:rsidR="001B5124" w:rsidRPr="008D2750">
              <w:rPr>
                <w:rFonts w:asciiTheme="majorHAnsi" w:hAnsiTheme="majorHAnsi"/>
                <w:bCs/>
                <w:sz w:val="19"/>
                <w:szCs w:val="19"/>
                <w:lang w:val="en-US"/>
              </w:rPr>
              <w:t>(obligation</w:t>
            </w:r>
            <w:r w:rsidRPr="008D2750">
              <w:rPr>
                <w:rFonts w:asciiTheme="majorHAnsi" w:hAnsiTheme="majorHAnsi"/>
                <w:bCs/>
                <w:sz w:val="19"/>
                <w:szCs w:val="19"/>
                <w:lang w:val="en-US"/>
              </w:rPr>
              <w:t xml:space="preserve"> </w:t>
            </w:r>
            <w:r w:rsidR="001B5124" w:rsidRPr="008D2750">
              <w:rPr>
                <w:rFonts w:asciiTheme="majorHAnsi" w:hAnsiTheme="majorHAnsi"/>
                <w:bCs/>
                <w:sz w:val="19"/>
                <w:szCs w:val="19"/>
                <w:lang w:val="en-US"/>
              </w:rPr>
              <w:t>to respect rights</w:t>
            </w:r>
            <w:r w:rsidRPr="008D2750">
              <w:rPr>
                <w:rFonts w:asciiTheme="majorHAnsi" w:hAnsiTheme="majorHAnsi"/>
                <w:bCs/>
                <w:sz w:val="19"/>
                <w:szCs w:val="19"/>
                <w:lang w:val="en-US"/>
              </w:rPr>
              <w:t xml:space="preserve">) </w:t>
            </w:r>
            <w:r w:rsidR="008D2750" w:rsidRPr="008D2750">
              <w:rPr>
                <w:rFonts w:asciiTheme="majorHAnsi" w:hAnsiTheme="majorHAnsi"/>
                <w:bCs/>
                <w:sz w:val="19"/>
                <w:szCs w:val="19"/>
                <w:lang w:val="en-US"/>
              </w:rPr>
              <w:t xml:space="preserve">and </w:t>
            </w:r>
            <w:r w:rsidR="008D2750" w:rsidRPr="008D2750">
              <w:rPr>
                <w:rFonts w:asciiTheme="majorHAnsi" w:hAnsiTheme="majorHAnsi"/>
                <w:sz w:val="19"/>
                <w:szCs w:val="19"/>
                <w:lang w:val="en-US"/>
              </w:rPr>
              <w:t>2 (obligation to adopt provisions of domestic law)</w:t>
            </w:r>
            <w:r w:rsidRPr="008D2750">
              <w:rPr>
                <w:rFonts w:asciiTheme="majorHAnsi" w:hAnsiTheme="majorHAnsi"/>
                <w:bCs/>
                <w:sz w:val="19"/>
                <w:szCs w:val="19"/>
                <w:lang w:val="en-US"/>
              </w:rPr>
              <w:t>;</w:t>
            </w:r>
            <w:r w:rsidR="001B5124" w:rsidRPr="008D2750">
              <w:rPr>
                <w:rFonts w:asciiTheme="majorHAnsi" w:hAnsiTheme="majorHAnsi"/>
                <w:bCs/>
                <w:sz w:val="19"/>
                <w:szCs w:val="19"/>
                <w:lang w:val="en-US"/>
              </w:rPr>
              <w:t xml:space="preserve"> and article </w:t>
            </w:r>
            <w:r w:rsidRPr="008D2750">
              <w:rPr>
                <w:rFonts w:asciiTheme="majorHAnsi" w:hAnsiTheme="majorHAnsi"/>
                <w:bCs/>
                <w:sz w:val="19"/>
                <w:szCs w:val="19"/>
                <w:lang w:val="en-US"/>
              </w:rPr>
              <w:t>XVI</w:t>
            </w:r>
            <w:r w:rsidR="001B5124" w:rsidRPr="008D2750">
              <w:rPr>
                <w:rFonts w:asciiTheme="majorHAnsi" w:hAnsiTheme="majorHAnsi"/>
                <w:bCs/>
                <w:sz w:val="19"/>
                <w:szCs w:val="19"/>
                <w:lang w:val="en-US"/>
              </w:rPr>
              <w:t xml:space="preserve"> (</w:t>
            </w:r>
            <w:r w:rsidRPr="008D2750">
              <w:rPr>
                <w:rFonts w:asciiTheme="majorHAnsi" w:hAnsiTheme="majorHAnsi"/>
                <w:bCs/>
                <w:sz w:val="19"/>
                <w:szCs w:val="19"/>
                <w:lang w:val="en-US"/>
              </w:rPr>
              <w:t>social</w:t>
            </w:r>
            <w:r w:rsidR="001B5124" w:rsidRPr="008D2750">
              <w:rPr>
                <w:rFonts w:asciiTheme="majorHAnsi" w:hAnsiTheme="majorHAnsi"/>
                <w:bCs/>
                <w:sz w:val="19"/>
                <w:szCs w:val="19"/>
                <w:lang w:val="en-US"/>
              </w:rPr>
              <w:t xml:space="preserve"> security</w:t>
            </w:r>
            <w:r w:rsidRPr="008D2750">
              <w:rPr>
                <w:rFonts w:asciiTheme="majorHAnsi" w:hAnsiTheme="majorHAnsi"/>
                <w:bCs/>
                <w:sz w:val="19"/>
                <w:szCs w:val="19"/>
                <w:lang w:val="en-US"/>
              </w:rPr>
              <w:t xml:space="preserve">) </w:t>
            </w:r>
            <w:r w:rsidR="001B5124" w:rsidRPr="008D2750">
              <w:rPr>
                <w:rFonts w:asciiTheme="majorHAnsi" w:hAnsiTheme="majorHAnsi"/>
                <w:bCs/>
                <w:sz w:val="19"/>
                <w:szCs w:val="19"/>
                <w:lang w:val="en-US"/>
              </w:rPr>
              <w:t>of the American Declaration.</w:t>
            </w:r>
          </w:p>
        </w:tc>
      </w:tr>
      <w:tr w:rsidR="009F7ECD" w:rsidRPr="000B6B7A" w:rsidTr="008D2750">
        <w:trPr>
          <w:cantSplit/>
        </w:trPr>
        <w:tc>
          <w:tcPr>
            <w:tcW w:w="3690" w:type="dxa"/>
            <w:tcBorders>
              <w:top w:val="single" w:sz="6" w:space="0" w:color="auto"/>
              <w:bottom w:val="single" w:sz="6" w:space="0" w:color="auto"/>
            </w:tcBorders>
            <w:shd w:val="clear" w:color="auto" w:fill="67AE3C"/>
            <w:vAlign w:val="center"/>
          </w:tcPr>
          <w:p w:rsidR="009F7ECD" w:rsidRPr="009F7ECD" w:rsidRDefault="009F7ECD" w:rsidP="008D2750">
            <w:pPr>
              <w:jc w:val="center"/>
              <w:rPr>
                <w:rFonts w:ascii="Cambria" w:hAnsi="Cambria"/>
                <w:b/>
                <w:bCs/>
                <w:color w:val="FFFFFF" w:themeColor="background1"/>
                <w:sz w:val="20"/>
                <w:szCs w:val="20"/>
                <w:lang w:val="en-US"/>
              </w:rPr>
            </w:pPr>
            <w:r w:rsidRPr="009F7ECD">
              <w:rPr>
                <w:rFonts w:ascii="Cambria" w:hAnsi="Cambria"/>
                <w:b/>
                <w:bCs/>
                <w:color w:val="FFFFFF" w:themeColor="background1"/>
                <w:sz w:val="20"/>
                <w:szCs w:val="20"/>
                <w:lang w:val="en-US"/>
              </w:rPr>
              <w:t>Exhaustion of domestic remedies or applicability of an exception to the rule:</w:t>
            </w:r>
          </w:p>
        </w:tc>
        <w:tc>
          <w:tcPr>
            <w:tcW w:w="5670" w:type="dxa"/>
            <w:vAlign w:val="center"/>
          </w:tcPr>
          <w:p w:rsidR="009F7ECD" w:rsidRPr="008D2750" w:rsidRDefault="009F7ECD" w:rsidP="008D2750">
            <w:pPr>
              <w:rPr>
                <w:rFonts w:ascii="Cambria" w:hAnsi="Cambria"/>
                <w:bCs/>
                <w:sz w:val="19"/>
                <w:szCs w:val="19"/>
                <w:lang w:val="en-US"/>
              </w:rPr>
            </w:pPr>
          </w:p>
          <w:p w:rsidR="009F7ECD" w:rsidRPr="008D2750" w:rsidRDefault="001B5124" w:rsidP="008D2750">
            <w:pPr>
              <w:rPr>
                <w:rFonts w:ascii="Cambria" w:hAnsi="Cambria"/>
                <w:bCs/>
                <w:sz w:val="19"/>
                <w:szCs w:val="19"/>
                <w:lang w:val="en-US"/>
              </w:rPr>
            </w:pPr>
            <w:r w:rsidRPr="008D2750">
              <w:rPr>
                <w:rFonts w:ascii="Cambria" w:hAnsi="Cambria"/>
                <w:bCs/>
                <w:sz w:val="19"/>
                <w:szCs w:val="19"/>
                <w:lang w:val="en-US"/>
              </w:rPr>
              <w:t>Yes, on January 6, 2012.</w:t>
            </w:r>
          </w:p>
        </w:tc>
      </w:tr>
      <w:tr w:rsidR="009F7ECD" w:rsidRPr="000B6B7A" w:rsidTr="008D2750">
        <w:trPr>
          <w:cantSplit/>
        </w:trPr>
        <w:tc>
          <w:tcPr>
            <w:tcW w:w="3690" w:type="dxa"/>
            <w:tcBorders>
              <w:top w:val="single" w:sz="6" w:space="0" w:color="auto"/>
              <w:bottom w:val="single" w:sz="6" w:space="0" w:color="auto"/>
            </w:tcBorders>
            <w:shd w:val="clear" w:color="auto" w:fill="67AE3C"/>
            <w:vAlign w:val="center"/>
          </w:tcPr>
          <w:p w:rsidR="009F7ECD" w:rsidRPr="000B6B7A" w:rsidRDefault="009F7ECD" w:rsidP="008D2750">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Timeliness</w:t>
            </w:r>
            <w:proofErr w:type="spellEnd"/>
            <w:r w:rsidRPr="000B6B7A">
              <w:rPr>
                <w:rFonts w:ascii="Cambria" w:hAnsi="Cambria"/>
                <w:b/>
                <w:bCs/>
                <w:color w:val="FFFFFF" w:themeColor="background1"/>
                <w:sz w:val="20"/>
                <w:szCs w:val="20"/>
              </w:rPr>
              <w:t xml:space="preserve"> of </w:t>
            </w:r>
            <w:proofErr w:type="spellStart"/>
            <w:r w:rsidRPr="000B6B7A">
              <w:rPr>
                <w:rFonts w:ascii="Cambria" w:hAnsi="Cambria"/>
                <w:b/>
                <w:bCs/>
                <w:color w:val="FFFFFF" w:themeColor="background1"/>
                <w:sz w:val="20"/>
                <w:szCs w:val="20"/>
              </w:rPr>
              <w:t>the</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petition</w:t>
            </w:r>
            <w:proofErr w:type="spellEnd"/>
            <w:r w:rsidRPr="000B6B7A">
              <w:rPr>
                <w:rFonts w:ascii="Cambria" w:hAnsi="Cambria"/>
                <w:b/>
                <w:bCs/>
                <w:color w:val="FFFFFF" w:themeColor="background1"/>
                <w:sz w:val="20"/>
                <w:szCs w:val="20"/>
              </w:rPr>
              <w:t>:</w:t>
            </w:r>
          </w:p>
        </w:tc>
        <w:tc>
          <w:tcPr>
            <w:tcW w:w="5670" w:type="dxa"/>
            <w:vAlign w:val="center"/>
          </w:tcPr>
          <w:p w:rsidR="009F7ECD" w:rsidRPr="008D2750" w:rsidRDefault="001B5124" w:rsidP="008D2750">
            <w:pPr>
              <w:rPr>
                <w:rFonts w:asciiTheme="majorHAnsi" w:hAnsiTheme="majorHAnsi"/>
                <w:bCs/>
                <w:sz w:val="19"/>
                <w:szCs w:val="19"/>
              </w:rPr>
            </w:pPr>
            <w:r w:rsidRPr="008D2750">
              <w:rPr>
                <w:rFonts w:asciiTheme="majorHAnsi" w:hAnsiTheme="majorHAnsi"/>
                <w:bCs/>
                <w:sz w:val="19"/>
                <w:szCs w:val="19"/>
              </w:rPr>
              <w:t>Yes</w:t>
            </w:r>
          </w:p>
        </w:tc>
      </w:tr>
    </w:tbl>
    <w:p w:rsidR="009F7ECD" w:rsidRDefault="009F7ECD" w:rsidP="009F7ECD">
      <w:pPr>
        <w:rPr>
          <w:rFonts w:asciiTheme="majorHAnsi" w:hAnsiTheme="majorHAnsi"/>
          <w:b/>
          <w:sz w:val="20"/>
          <w:szCs w:val="20"/>
        </w:rPr>
      </w:pPr>
      <w:r>
        <w:rPr>
          <w:rFonts w:asciiTheme="majorHAnsi" w:hAnsiTheme="majorHAnsi"/>
          <w:b/>
          <w:sz w:val="20"/>
          <w:szCs w:val="20"/>
        </w:rPr>
        <w:br w:type="page"/>
      </w:r>
    </w:p>
    <w:p w:rsidR="009F7ECD" w:rsidRPr="000B6B7A" w:rsidRDefault="009F7ECD" w:rsidP="009F7ECD">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FACTS ALLEGED</w:t>
      </w:r>
    </w:p>
    <w:p w:rsidR="009F7ECD" w:rsidRDefault="009F7ECD"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C2DA2">
        <w:rPr>
          <w:rFonts w:ascii="Cambria" w:hAnsi="Cambria"/>
          <w:sz w:val="20"/>
          <w:szCs w:val="20"/>
        </w:rPr>
        <w:t>The petitioners, all professors of public education, allege that the Chilean State violated thei</w:t>
      </w:r>
      <w:r w:rsidR="00DC2297">
        <w:rPr>
          <w:rFonts w:ascii="Cambria" w:hAnsi="Cambria"/>
          <w:sz w:val="20"/>
          <w:szCs w:val="20"/>
        </w:rPr>
        <w:t>r rights to private property, equality before the law, and</w:t>
      </w:r>
      <w:r w:rsidR="008C2DA2">
        <w:rPr>
          <w:rFonts w:ascii="Cambria" w:hAnsi="Cambria"/>
          <w:sz w:val="20"/>
          <w:szCs w:val="20"/>
        </w:rPr>
        <w:t xml:space="preserve"> judicial protection by virtue of </w:t>
      </w:r>
      <w:r w:rsidR="00DC2297">
        <w:rPr>
          <w:rFonts w:ascii="Cambria" w:hAnsi="Cambria"/>
          <w:sz w:val="20"/>
          <w:szCs w:val="20"/>
        </w:rPr>
        <w:t xml:space="preserve">the </w:t>
      </w:r>
      <w:r w:rsidR="008C2DA2">
        <w:rPr>
          <w:rFonts w:ascii="Cambria" w:hAnsi="Cambria"/>
          <w:sz w:val="20"/>
          <w:szCs w:val="20"/>
        </w:rPr>
        <w:t>enactment of a new system of retirement for professionals of the education public sector in 2008. This new regime established the obligatory natur</w:t>
      </w:r>
      <w:r w:rsidR="00DC2297">
        <w:rPr>
          <w:rFonts w:ascii="Cambria" w:hAnsi="Cambria"/>
          <w:sz w:val="20"/>
          <w:szCs w:val="20"/>
        </w:rPr>
        <w:t>e for the worker to accept his</w:t>
      </w:r>
      <w:r w:rsidR="008C2DA2">
        <w:rPr>
          <w:rFonts w:ascii="Cambria" w:hAnsi="Cambria"/>
          <w:sz w:val="20"/>
          <w:szCs w:val="20"/>
        </w:rPr>
        <w:t xml:space="preserve"> retirement once the minimum age to retire was reached, what</w:t>
      </w:r>
      <w:r w:rsidR="00DC2297">
        <w:rPr>
          <w:rFonts w:ascii="Cambria" w:hAnsi="Cambria"/>
          <w:sz w:val="20"/>
          <w:szCs w:val="20"/>
        </w:rPr>
        <w:t>,</w:t>
      </w:r>
      <w:r w:rsidR="008C2DA2">
        <w:rPr>
          <w:rFonts w:ascii="Cambria" w:hAnsi="Cambria"/>
          <w:sz w:val="20"/>
          <w:szCs w:val="20"/>
        </w:rPr>
        <w:t xml:space="preserve"> </w:t>
      </w:r>
      <w:r w:rsidR="00044906">
        <w:rPr>
          <w:rFonts w:ascii="Cambria" w:hAnsi="Cambria"/>
          <w:sz w:val="20"/>
          <w:szCs w:val="20"/>
        </w:rPr>
        <w:t>in effect</w:t>
      </w:r>
      <w:r w:rsidR="00DC2297">
        <w:rPr>
          <w:rFonts w:ascii="Cambria" w:hAnsi="Cambria"/>
          <w:sz w:val="20"/>
          <w:szCs w:val="20"/>
        </w:rPr>
        <w:t>,</w:t>
      </w:r>
      <w:r w:rsidR="00044906">
        <w:rPr>
          <w:rFonts w:ascii="Cambria" w:hAnsi="Cambria"/>
          <w:sz w:val="20"/>
          <w:szCs w:val="20"/>
        </w:rPr>
        <w:t xml:space="preserve"> occurred with the petitioners. Moreover, they claim that the system under which they retired is discriminatory for reason of gender due to the fact that the age for retirement is different for men and</w:t>
      </w:r>
      <w:r w:rsidR="00DC2297">
        <w:rPr>
          <w:rFonts w:ascii="Cambria" w:hAnsi="Cambria"/>
          <w:sz w:val="20"/>
          <w:szCs w:val="20"/>
        </w:rPr>
        <w:t xml:space="preserve"> for</w:t>
      </w:r>
      <w:r w:rsidR="00044906">
        <w:rPr>
          <w:rFonts w:ascii="Cambria" w:hAnsi="Cambria"/>
          <w:sz w:val="20"/>
          <w:szCs w:val="20"/>
        </w:rPr>
        <w:t xml:space="preserve"> women; which produces an unequal treatment because there are other professionals of the public sector who have retirement regimes that are more convenient</w:t>
      </w:r>
      <w:r w:rsidR="00DC2297">
        <w:rPr>
          <w:rFonts w:ascii="Cambria" w:hAnsi="Cambria"/>
          <w:sz w:val="20"/>
          <w:szCs w:val="20"/>
        </w:rPr>
        <w:t>;</w:t>
      </w:r>
      <w:r w:rsidR="00044906">
        <w:rPr>
          <w:rFonts w:ascii="Cambria" w:hAnsi="Cambria"/>
          <w:sz w:val="20"/>
          <w:szCs w:val="20"/>
        </w:rPr>
        <w:t xml:space="preserve"> and that their claims were not attended by the courts.</w:t>
      </w:r>
    </w:p>
    <w:p w:rsidR="00044906" w:rsidRPr="00F329F3" w:rsidRDefault="00044906"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context, the petitioners mention that through Executive Order </w:t>
      </w:r>
      <w:r w:rsidRPr="00044906">
        <w:rPr>
          <w:sz w:val="20"/>
          <w:szCs w:val="20"/>
        </w:rPr>
        <w:t>Nº 3.500</w:t>
      </w:r>
      <w:r>
        <w:rPr>
          <w:sz w:val="20"/>
          <w:szCs w:val="20"/>
        </w:rPr>
        <w:t xml:space="preserve"> of November 13, 1980, the State reformed its system of pensions, changing the previous system with defined be</w:t>
      </w:r>
      <w:r w:rsidR="00DC2297">
        <w:rPr>
          <w:sz w:val="20"/>
          <w:szCs w:val="20"/>
        </w:rPr>
        <w:t>nefits and managed by the State,</w:t>
      </w:r>
      <w:r>
        <w:rPr>
          <w:sz w:val="20"/>
          <w:szCs w:val="20"/>
        </w:rPr>
        <w:t xml:space="preserve"> to a financed system and managed by individuals, which activity was </w:t>
      </w:r>
      <w:r w:rsidR="00F329F3">
        <w:rPr>
          <w:sz w:val="20"/>
          <w:szCs w:val="20"/>
        </w:rPr>
        <w:t>merely regulated by the State. On this matter, the petitioners allege that their affiliation to the new pension funds managing company is private, part of the referred new system was motivated by the fake promise that they would receive a higher retirement amount than the one expected with the old system and that besides, they were sold the idea that the “Cashier Departments” to which they were affiliated before were broke and without possibilities to pay their pensions in the future.</w:t>
      </w:r>
    </w:p>
    <w:p w:rsidR="00F329F3" w:rsidRPr="005E5BFD" w:rsidRDefault="00F329F3"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 xml:space="preserve">Thus, </w:t>
      </w:r>
      <w:r w:rsidR="001E23D8">
        <w:rPr>
          <w:sz w:val="20"/>
          <w:szCs w:val="20"/>
        </w:rPr>
        <w:t>the petitioners allege that it was not until 2008 when they saw themselves affected by the new system of pensions due to the fact that on that year Law 20.158 was issued</w:t>
      </w:r>
      <w:r w:rsidR="005E5BFD">
        <w:rPr>
          <w:sz w:val="20"/>
          <w:szCs w:val="20"/>
        </w:rPr>
        <w:t>, this law establishes a retire</w:t>
      </w:r>
      <w:r w:rsidR="00DC2297">
        <w:rPr>
          <w:sz w:val="20"/>
          <w:szCs w:val="20"/>
        </w:rPr>
        <w:t>ment system for professionals of</w:t>
      </w:r>
      <w:r w:rsidR="005E5BFD">
        <w:rPr>
          <w:sz w:val="20"/>
          <w:szCs w:val="20"/>
        </w:rPr>
        <w:t xml:space="preserve"> public education, establishing the obligatory nature of retiring when the minimum age for retirement was reached</w:t>
      </w:r>
      <w:r w:rsidR="009149F8">
        <w:rPr>
          <w:sz w:val="20"/>
          <w:szCs w:val="20"/>
        </w:rPr>
        <w:t xml:space="preserve"> and</w:t>
      </w:r>
      <w:r w:rsidR="005E5BFD">
        <w:rPr>
          <w:sz w:val="20"/>
          <w:szCs w:val="20"/>
        </w:rPr>
        <w:t xml:space="preserve"> without allowing them to continue as active workers in the education public sector and of course, without allowing them to continue receiving remuneration.</w:t>
      </w:r>
    </w:p>
    <w:p w:rsidR="005E5BFD" w:rsidRPr="004F7AA1" w:rsidRDefault="005E5BFD"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 xml:space="preserve">The petitioners claim that besides the system of pensions prevailing </w:t>
      </w:r>
      <w:r w:rsidR="006938A8">
        <w:rPr>
          <w:sz w:val="20"/>
          <w:szCs w:val="20"/>
        </w:rPr>
        <w:t xml:space="preserve">since 1981, it is discriminatory </w:t>
      </w:r>
      <w:r w:rsidR="004F7AA1">
        <w:rPr>
          <w:sz w:val="20"/>
          <w:szCs w:val="20"/>
        </w:rPr>
        <w:t>in terms of gender since the age for retirement for women is sixty years old while the age to retire for men is sixty five years old, wh</w:t>
      </w:r>
      <w:r w:rsidR="009149F8">
        <w:rPr>
          <w:sz w:val="20"/>
          <w:szCs w:val="20"/>
        </w:rPr>
        <w:t>ich harms the people of female sex because</w:t>
      </w:r>
      <w:r w:rsidR="004F7AA1">
        <w:rPr>
          <w:sz w:val="20"/>
          <w:szCs w:val="20"/>
        </w:rPr>
        <w:t xml:space="preserve"> they save less and as a result of this, they receive less funds by the time of retirement. Besides, they allege that said system creates an unequal treatment since the new regime does not apply for the members of the public force, creating a disparity of regimes that harms the professors of the public sector.</w:t>
      </w:r>
    </w:p>
    <w:p w:rsidR="004F7AA1" w:rsidRPr="004214D5" w:rsidRDefault="004F7AA1"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 xml:space="preserve">Thus, through documents written on December 31, 2008 and on January 6 and 21, 2009, the petitioners set out all the mentioned claims to the Superintendence of Pensions requesting it to pronounce over their social security rights. The Superintendence of Pensions, through resolution </w:t>
      </w:r>
      <w:r w:rsidR="000A3FBC">
        <w:rPr>
          <w:sz w:val="20"/>
          <w:szCs w:val="20"/>
        </w:rPr>
        <w:t>from February 27, 2009 communicated them their “lack of standing” –or lack of competence</w:t>
      </w:r>
      <w:r w:rsidR="009149F8">
        <w:rPr>
          <w:sz w:val="20"/>
          <w:szCs w:val="20"/>
        </w:rPr>
        <w:t xml:space="preserve"> or</w:t>
      </w:r>
      <w:r w:rsidR="000A3FBC">
        <w:rPr>
          <w:sz w:val="20"/>
          <w:szCs w:val="20"/>
        </w:rPr>
        <w:t xml:space="preserve"> of faculties</w:t>
      </w:r>
      <w:r w:rsidR="009149F8">
        <w:rPr>
          <w:sz w:val="20"/>
          <w:szCs w:val="20"/>
        </w:rPr>
        <w:t>-</w:t>
      </w:r>
      <w:r w:rsidR="000A3FBC">
        <w:rPr>
          <w:sz w:val="20"/>
          <w:szCs w:val="20"/>
        </w:rPr>
        <w:t xml:space="preserve"> to compensate the plaintiffs or improve the retirement as it might be the case. Before this response, the petitioners filed a claim before the Labor Court of Santiago, requesting the equality of the amounts of the pensions to the replacement rate of 80%. However, through sentence of June 21, 2011, The Seventh Labor Court of Santiago </w:t>
      </w:r>
      <w:r w:rsidR="004214D5">
        <w:rPr>
          <w:sz w:val="20"/>
          <w:szCs w:val="20"/>
        </w:rPr>
        <w:t xml:space="preserve">dismissed their petition in its entirety reiterating the argument of “lack of standing” considering that it is the State the one that has the power according to </w:t>
      </w:r>
      <w:r w:rsidR="004214D5">
        <w:rPr>
          <w:rFonts w:ascii="Cambria" w:hAnsi="Cambria"/>
          <w:sz w:val="20"/>
          <w:szCs w:val="20"/>
        </w:rPr>
        <w:t xml:space="preserve">Executive Order </w:t>
      </w:r>
      <w:r w:rsidR="004214D5" w:rsidRPr="00044906">
        <w:rPr>
          <w:sz w:val="20"/>
          <w:szCs w:val="20"/>
        </w:rPr>
        <w:t>Nº 3.500</w:t>
      </w:r>
      <w:r w:rsidR="004214D5">
        <w:rPr>
          <w:sz w:val="20"/>
          <w:szCs w:val="20"/>
        </w:rPr>
        <w:t xml:space="preserve"> of 1980 refuted</w:t>
      </w:r>
      <w:r w:rsidR="009149F8">
        <w:rPr>
          <w:sz w:val="20"/>
          <w:szCs w:val="20"/>
        </w:rPr>
        <w:t>,</w:t>
      </w:r>
      <w:r w:rsidR="004214D5">
        <w:rPr>
          <w:sz w:val="20"/>
          <w:szCs w:val="20"/>
        </w:rPr>
        <w:t xml:space="preserve"> and not the Superintendence of Pensions.</w:t>
      </w:r>
    </w:p>
    <w:p w:rsidR="004214D5" w:rsidRPr="00186399" w:rsidRDefault="004214D5"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Against the referred sentence</w:t>
      </w:r>
      <w:r w:rsidR="009149F8">
        <w:rPr>
          <w:sz w:val="20"/>
          <w:szCs w:val="20"/>
        </w:rPr>
        <w:t>,</w:t>
      </w:r>
      <w:r>
        <w:rPr>
          <w:sz w:val="20"/>
          <w:szCs w:val="20"/>
        </w:rPr>
        <w:t xml:space="preserve"> the alleged victims filed an appeal on July 22, 2011 before</w:t>
      </w:r>
      <w:r w:rsidR="006A3BCE">
        <w:rPr>
          <w:sz w:val="20"/>
          <w:szCs w:val="20"/>
        </w:rPr>
        <w:t xml:space="preserve"> the</w:t>
      </w:r>
      <w:r>
        <w:rPr>
          <w:sz w:val="20"/>
          <w:szCs w:val="20"/>
        </w:rPr>
        <w:t xml:space="preserve"> Court of Appeals of Santiago, requesting the amendment </w:t>
      </w:r>
      <w:r w:rsidR="00203636">
        <w:rPr>
          <w:sz w:val="20"/>
          <w:szCs w:val="20"/>
        </w:rPr>
        <w:t>regar</w:t>
      </w:r>
      <w:r w:rsidR="006A3BCE">
        <w:rPr>
          <w:sz w:val="20"/>
          <w:szCs w:val="20"/>
        </w:rPr>
        <w:t>ding the lack of standing from</w:t>
      </w:r>
      <w:r w:rsidR="00203636">
        <w:rPr>
          <w:sz w:val="20"/>
          <w:szCs w:val="20"/>
        </w:rPr>
        <w:t xml:space="preserve"> the Superintendence of Pensions arguing that said administrative agency has the capacity </w:t>
      </w:r>
      <w:r w:rsidR="00E66199">
        <w:rPr>
          <w:sz w:val="20"/>
          <w:szCs w:val="20"/>
        </w:rPr>
        <w:t>to interpret and apply the established rules on</w:t>
      </w:r>
      <w:r w:rsidR="00E66199" w:rsidRPr="00E66199">
        <w:rPr>
          <w:rFonts w:ascii="Cambria" w:hAnsi="Cambria"/>
          <w:sz w:val="20"/>
          <w:szCs w:val="20"/>
        </w:rPr>
        <w:t xml:space="preserve"> </w:t>
      </w:r>
      <w:r w:rsidR="00E66199">
        <w:rPr>
          <w:rFonts w:ascii="Cambria" w:hAnsi="Cambria"/>
          <w:sz w:val="20"/>
          <w:szCs w:val="20"/>
        </w:rPr>
        <w:t xml:space="preserve">Executive Order </w:t>
      </w:r>
      <w:r w:rsidR="00E66199" w:rsidRPr="00044906">
        <w:rPr>
          <w:sz w:val="20"/>
          <w:szCs w:val="20"/>
        </w:rPr>
        <w:t>Nº 3.500</w:t>
      </w:r>
      <w:r w:rsidR="00E66199">
        <w:rPr>
          <w:sz w:val="20"/>
          <w:szCs w:val="20"/>
        </w:rPr>
        <w:t xml:space="preserve">. However, on October 18, 2011, the Court of Appeals confirmed the appealed sentence. On November 7, 2011, the alleged victims filed an appeal for reversal before the Supreme Court of Justice insisting that the Superintendence of Pensions has the capacity to pronounce regarding the impugned legislation. Nevertheless, on December 30, 2011, that maximum court resolved that the filed appeal was groundless for being developed on the basis of </w:t>
      </w:r>
      <w:r w:rsidR="006A3BCE">
        <w:rPr>
          <w:sz w:val="20"/>
          <w:szCs w:val="20"/>
        </w:rPr>
        <w:t>facts not established</w:t>
      </w:r>
      <w:r w:rsidR="00E66199">
        <w:rPr>
          <w:sz w:val="20"/>
          <w:szCs w:val="20"/>
        </w:rPr>
        <w:t xml:space="preserve"> by the trial court judges, by not reporting the </w:t>
      </w:r>
      <w:r w:rsidR="00186399">
        <w:rPr>
          <w:sz w:val="20"/>
          <w:szCs w:val="20"/>
        </w:rPr>
        <w:t>violation of laws. Against this sentence, the petitioner filed an appeal for review on January 3, 2012, that was rejected on January 6 of the same year.</w:t>
      </w:r>
    </w:p>
    <w:p w:rsidR="00186399" w:rsidRPr="00186399" w:rsidRDefault="00186399"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Finally, through communication of November 13, 2013, the petitioners informed the Commission that they received the title of debt expressed in money denominated “Bonus of Reco</w:t>
      </w:r>
      <w:r w:rsidR="006A3BCE">
        <w:rPr>
          <w:sz w:val="20"/>
          <w:szCs w:val="20"/>
        </w:rPr>
        <w:t>gnition” when they stu</w:t>
      </w:r>
      <w:r>
        <w:rPr>
          <w:sz w:val="20"/>
          <w:szCs w:val="20"/>
        </w:rPr>
        <w:t xml:space="preserve">ck to the </w:t>
      </w:r>
      <w:r>
        <w:rPr>
          <w:sz w:val="20"/>
          <w:szCs w:val="20"/>
        </w:rPr>
        <w:lastRenderedPageBreak/>
        <w:t>new regime of pensions in 1980. However, they did not provide mor</w:t>
      </w:r>
      <w:r w:rsidR="006A3BCE">
        <w:rPr>
          <w:sz w:val="20"/>
          <w:szCs w:val="20"/>
        </w:rPr>
        <w:t>e necessary information on this;</w:t>
      </w:r>
      <w:r>
        <w:rPr>
          <w:sz w:val="20"/>
          <w:szCs w:val="20"/>
        </w:rPr>
        <w:t xml:space="preserve"> for example, to know the amount that each of the petitioners had received, or how, or when this bonus was given to them.</w:t>
      </w:r>
    </w:p>
    <w:p w:rsidR="00186399" w:rsidRPr="00B47026" w:rsidRDefault="00186399"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 xml:space="preserve">The State, for its part, claims regarding the occurred facts to the petitioners, as a consequence of </w:t>
      </w:r>
      <w:r>
        <w:rPr>
          <w:rFonts w:ascii="Cambria" w:hAnsi="Cambria"/>
          <w:sz w:val="20"/>
          <w:szCs w:val="20"/>
        </w:rPr>
        <w:t xml:space="preserve">Executive Order </w:t>
      </w:r>
      <w:r w:rsidRPr="00044906">
        <w:rPr>
          <w:sz w:val="20"/>
          <w:szCs w:val="20"/>
        </w:rPr>
        <w:t>Nº 3.500</w:t>
      </w:r>
      <w:r w:rsidR="00B47026">
        <w:rPr>
          <w:sz w:val="20"/>
          <w:szCs w:val="20"/>
        </w:rPr>
        <w:t>, that the Commission lack</w:t>
      </w:r>
      <w:r w:rsidR="006A3BCE">
        <w:rPr>
          <w:sz w:val="20"/>
          <w:szCs w:val="20"/>
        </w:rPr>
        <w:t>s the power to pronounce on these</w:t>
      </w:r>
      <w:r w:rsidR="00B47026">
        <w:rPr>
          <w:sz w:val="20"/>
          <w:szCs w:val="20"/>
        </w:rPr>
        <w:t>, due to the fact that Chile deposited the instrument of ratification of the Convention on August 21, 1990.</w:t>
      </w:r>
    </w:p>
    <w:p w:rsidR="00B47026" w:rsidRPr="00697888" w:rsidRDefault="00B47026"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Besides, Chile claims that the IACHR lacks competence on the matter under review regarding the alleged violations to the social security right</w:t>
      </w:r>
      <w:r w:rsidR="00CB1000">
        <w:rPr>
          <w:sz w:val="20"/>
          <w:szCs w:val="20"/>
        </w:rPr>
        <w:t>s, given that the subjects that</w:t>
      </w:r>
      <w:r>
        <w:rPr>
          <w:sz w:val="20"/>
          <w:szCs w:val="20"/>
        </w:rPr>
        <w:t xml:space="preserve"> have to do with pensions are not of its jurisdiction. Regarding the exhaustion of domestic remedies, the State alleges that the peti</w:t>
      </w:r>
      <w:r w:rsidR="00852A8D">
        <w:rPr>
          <w:sz w:val="20"/>
          <w:szCs w:val="20"/>
        </w:rPr>
        <w:t>tioners had at their disposal</w:t>
      </w:r>
      <w:r>
        <w:rPr>
          <w:sz w:val="20"/>
          <w:szCs w:val="20"/>
        </w:rPr>
        <w:t xml:space="preserve"> the appeals that the national legislation foresees, both administrative and jurisdictional</w:t>
      </w:r>
      <w:r w:rsidR="00CB1000">
        <w:rPr>
          <w:sz w:val="20"/>
          <w:szCs w:val="20"/>
        </w:rPr>
        <w:t>,</w:t>
      </w:r>
      <w:r>
        <w:rPr>
          <w:sz w:val="20"/>
          <w:szCs w:val="20"/>
        </w:rPr>
        <w:t xml:space="preserve"> to impugn the dec</w:t>
      </w:r>
      <w:r w:rsidR="00CB1000">
        <w:rPr>
          <w:sz w:val="20"/>
          <w:szCs w:val="20"/>
        </w:rPr>
        <w:t>isions that considered against their</w:t>
      </w:r>
      <w:r>
        <w:rPr>
          <w:sz w:val="20"/>
          <w:szCs w:val="20"/>
        </w:rPr>
        <w:t xml:space="preserve"> interests, such the appeal for annulment.</w:t>
      </w:r>
      <w:r w:rsidR="00697888">
        <w:rPr>
          <w:sz w:val="20"/>
          <w:szCs w:val="20"/>
        </w:rPr>
        <w:t xml:space="preserve"> It indicated that having obtained unfavorable results in these instances doe</w:t>
      </w:r>
      <w:r w:rsidR="00CB1000">
        <w:rPr>
          <w:sz w:val="20"/>
          <w:szCs w:val="20"/>
        </w:rPr>
        <w:t>s not imply the violation to their</w:t>
      </w:r>
      <w:r w:rsidR="00697888">
        <w:rPr>
          <w:sz w:val="20"/>
          <w:szCs w:val="20"/>
        </w:rPr>
        <w:t xml:space="preserve"> rights whatsoever. On the other hand, it indicates that before the alleged violation to right to property, the petitioner </w:t>
      </w:r>
      <w:r w:rsidR="00CB1000">
        <w:rPr>
          <w:sz w:val="20"/>
          <w:szCs w:val="20"/>
        </w:rPr>
        <w:t>could have exerted</w:t>
      </w:r>
      <w:r w:rsidR="00697888">
        <w:rPr>
          <w:sz w:val="20"/>
          <w:szCs w:val="20"/>
        </w:rPr>
        <w:t xml:space="preserve"> the constitutional action of protection before the Court of Appeals concluding that the domestic remedies were not exhausted by the petitioners.</w:t>
      </w:r>
    </w:p>
    <w:p w:rsidR="00697888" w:rsidRPr="006318B2" w:rsidRDefault="00697888"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Finally, the State holds that the Commission would act like a court of fourth instance if decided to analyze the present case</w:t>
      </w:r>
      <w:r w:rsidR="00943313">
        <w:rPr>
          <w:sz w:val="20"/>
          <w:szCs w:val="20"/>
        </w:rPr>
        <w:t xml:space="preserve"> provided that it would evaluate the int</w:t>
      </w:r>
      <w:r w:rsidR="00AA7B22">
        <w:rPr>
          <w:sz w:val="20"/>
          <w:szCs w:val="20"/>
        </w:rPr>
        <w:t>erpretation and execution of</w:t>
      </w:r>
      <w:r w:rsidR="00943313">
        <w:rPr>
          <w:sz w:val="20"/>
          <w:szCs w:val="20"/>
        </w:rPr>
        <w:t xml:space="preserve"> domestic remedy that the Judicial Power of Chile has done within its jurisdiction, it holds that it is not possible that the alleged victims aspire </w:t>
      </w:r>
      <w:r w:rsidR="00AA7B22">
        <w:rPr>
          <w:sz w:val="20"/>
          <w:szCs w:val="20"/>
        </w:rPr>
        <w:t>to the revision and execution of</w:t>
      </w:r>
      <w:r w:rsidR="00943313">
        <w:rPr>
          <w:sz w:val="20"/>
          <w:szCs w:val="20"/>
        </w:rPr>
        <w:t xml:space="preserve"> the judgment given in the national headquarters and dictated under the rules of the due process. </w:t>
      </w:r>
    </w:p>
    <w:p w:rsidR="009F7ECD" w:rsidRPr="000B6B7A" w:rsidRDefault="009F7ECD" w:rsidP="009F7ECD">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9F7ECD" w:rsidRDefault="00943313"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the present case, the Commission observes that the claims presented by the petitioners were equally set out by them in the internal jurisdiction. In this sense, besides the petitions that they sent to the Superintendence of Pensions, they went to all the existing agencies in the labor jurisdiction, exhausting this via through an appeal for reversal dismissed on December 30, 2011, and finally through the exe</w:t>
      </w:r>
      <w:r w:rsidR="00852A8D">
        <w:rPr>
          <w:rFonts w:ascii="Cambria" w:hAnsi="Cambria"/>
          <w:sz w:val="20"/>
          <w:szCs w:val="20"/>
        </w:rPr>
        <w:t xml:space="preserve">rcise of an appeal for review that was rejected on January 6, 2012.  The State, for its part, alleges that the petitioners could have chosen to file other petitions contemplated by the internal legislation, as the one of annulment. Additionally, that the petitioners could </w:t>
      </w:r>
      <w:r w:rsidR="00AA7B22">
        <w:rPr>
          <w:rFonts w:ascii="Cambria" w:hAnsi="Cambria"/>
          <w:sz w:val="20"/>
          <w:szCs w:val="20"/>
        </w:rPr>
        <w:t xml:space="preserve">have </w:t>
      </w:r>
      <w:r w:rsidR="00852A8D">
        <w:rPr>
          <w:rFonts w:ascii="Cambria" w:hAnsi="Cambria"/>
          <w:sz w:val="20"/>
          <w:szCs w:val="20"/>
        </w:rPr>
        <w:t>exert</w:t>
      </w:r>
      <w:r w:rsidR="00AA7B22">
        <w:rPr>
          <w:rFonts w:ascii="Cambria" w:hAnsi="Cambria"/>
          <w:sz w:val="20"/>
          <w:szCs w:val="20"/>
        </w:rPr>
        <w:t>ed</w:t>
      </w:r>
      <w:r w:rsidR="00852A8D">
        <w:rPr>
          <w:rFonts w:ascii="Cambria" w:hAnsi="Cambria"/>
          <w:sz w:val="20"/>
          <w:szCs w:val="20"/>
        </w:rPr>
        <w:t xml:space="preserve"> the constitutional action of protection to repair the violations to the right of property.</w:t>
      </w:r>
    </w:p>
    <w:p w:rsidR="00852A8D" w:rsidRPr="000B6B7A" w:rsidRDefault="00852A8D"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relation to what was set out by the State, the Commission reiterates its continuous position</w:t>
      </w:r>
      <w:r w:rsidR="00AA7B22">
        <w:rPr>
          <w:rFonts w:ascii="Cambria" w:hAnsi="Cambria"/>
          <w:sz w:val="20"/>
          <w:szCs w:val="20"/>
        </w:rPr>
        <w:t>,</w:t>
      </w:r>
      <w:r>
        <w:rPr>
          <w:rFonts w:ascii="Cambria" w:hAnsi="Cambria"/>
          <w:sz w:val="20"/>
          <w:szCs w:val="20"/>
        </w:rPr>
        <w:t xml:space="preserve"> </w:t>
      </w:r>
      <w:r w:rsidR="00AA7B22">
        <w:rPr>
          <w:rFonts w:ascii="Cambria" w:hAnsi="Cambria"/>
          <w:sz w:val="20"/>
          <w:szCs w:val="20"/>
        </w:rPr>
        <w:t>according to which,</w:t>
      </w:r>
      <w:r>
        <w:rPr>
          <w:rFonts w:ascii="Cambria" w:hAnsi="Cambria"/>
          <w:sz w:val="20"/>
          <w:szCs w:val="20"/>
        </w:rPr>
        <w:t xml:space="preserve"> the requirement of exhaustion of the internal remedies does not imply that the alleged victims have the obligation to exhaust all the possible remedies a</w:t>
      </w:r>
      <w:r w:rsidR="00AA7B22">
        <w:rPr>
          <w:rFonts w:ascii="Cambria" w:hAnsi="Cambria"/>
          <w:sz w:val="20"/>
          <w:szCs w:val="20"/>
        </w:rPr>
        <w:t>t their</w:t>
      </w:r>
      <w:r>
        <w:rPr>
          <w:rFonts w:ascii="Cambria" w:hAnsi="Cambria"/>
          <w:sz w:val="20"/>
          <w:szCs w:val="20"/>
        </w:rPr>
        <w:t xml:space="preserve"> disposal. If the alleged victim set out the affair </w:t>
      </w:r>
      <w:r w:rsidR="006D38F3">
        <w:rPr>
          <w:rFonts w:ascii="Cambria" w:hAnsi="Cambria"/>
          <w:sz w:val="20"/>
          <w:szCs w:val="20"/>
        </w:rPr>
        <w:t>because of any of the valid and adequate alternatives according to the internal legal system and the State had the opportunity to remediate the affair in its jurisdiction, the purpose of the international rule was accomplished</w:t>
      </w:r>
      <w:r w:rsidR="006D38F3">
        <w:rPr>
          <w:rFonts w:ascii="Cambria" w:hAnsi="Cambria"/>
          <w:sz w:val="20"/>
          <w:szCs w:val="20"/>
          <w:vertAlign w:val="superscript"/>
        </w:rPr>
        <w:t>6</w:t>
      </w:r>
      <w:r w:rsidR="006D38F3">
        <w:rPr>
          <w:rFonts w:ascii="Cambria" w:hAnsi="Cambria"/>
          <w:sz w:val="20"/>
          <w:szCs w:val="20"/>
        </w:rPr>
        <w:t>. In the present case, the Commission observes, for the purpose of the analyses of admissibility, that the alleged victims went to the administrative agency in charge of verifying that the private funds of pensions fulfill the existing regulations, and then, they followed a route of exhausti</w:t>
      </w:r>
      <w:r w:rsidR="00AA7B22">
        <w:rPr>
          <w:rFonts w:ascii="Cambria" w:hAnsi="Cambria"/>
          <w:sz w:val="20"/>
          <w:szCs w:val="20"/>
        </w:rPr>
        <w:t>on of judicial remedies on which</w:t>
      </w:r>
      <w:r w:rsidR="006D38F3">
        <w:rPr>
          <w:rFonts w:ascii="Cambria" w:hAnsi="Cambria"/>
          <w:sz w:val="20"/>
          <w:szCs w:val="20"/>
        </w:rPr>
        <w:t xml:space="preserve"> their remedies were accepted for processing in all the agencies. On the other hand, regarding the response that the alleged victims received from the different organizations they went to, it is reasonable to think that for having set out their claims for the via of constitutional protection, they were going to receive an equally negative response, similar to the one that the one the labor jurisdiction gave them.</w:t>
      </w:r>
    </w:p>
    <w:p w:rsidR="00C70E3F" w:rsidRDefault="00C70E3F" w:rsidP="00C70E3F">
      <w:pPr>
        <w:spacing w:before="240" w:after="240"/>
        <w:jc w:val="both"/>
        <w:rPr>
          <w:rFonts w:asciiTheme="majorHAnsi" w:hAnsiTheme="majorHAnsi"/>
          <w:b/>
          <w:sz w:val="20"/>
          <w:szCs w:val="20"/>
        </w:rPr>
      </w:pPr>
    </w:p>
    <w:p w:rsidR="00C70E3F" w:rsidRDefault="00C70E3F" w:rsidP="00C70E3F">
      <w:pPr>
        <w:spacing w:before="240" w:after="240"/>
        <w:jc w:val="both"/>
        <w:rPr>
          <w:rFonts w:asciiTheme="majorHAnsi" w:hAnsiTheme="majorHAnsi"/>
          <w:b/>
          <w:sz w:val="20"/>
          <w:szCs w:val="20"/>
        </w:rPr>
      </w:pPr>
      <w:r>
        <w:rPr>
          <w:rFonts w:asciiTheme="majorHAnsi" w:hAnsiTheme="majorHAnsi"/>
          <w:b/>
          <w:sz w:val="20"/>
          <w:szCs w:val="20"/>
        </w:rPr>
        <w:t>________________________________________________</w:t>
      </w:r>
    </w:p>
    <w:p w:rsidR="00C70E3F" w:rsidRDefault="00C70E3F" w:rsidP="00C70E3F">
      <w:pPr>
        <w:spacing w:before="240" w:after="240"/>
        <w:jc w:val="both"/>
        <w:rPr>
          <w:rFonts w:asciiTheme="majorHAnsi" w:hAnsiTheme="majorHAnsi"/>
          <w:sz w:val="16"/>
          <w:szCs w:val="16"/>
        </w:rPr>
      </w:pPr>
      <w:r>
        <w:rPr>
          <w:rFonts w:asciiTheme="majorHAnsi" w:hAnsiTheme="majorHAnsi"/>
          <w:b/>
          <w:sz w:val="20"/>
          <w:szCs w:val="20"/>
        </w:rPr>
        <w:tab/>
      </w:r>
      <w:r>
        <w:rPr>
          <w:rFonts w:asciiTheme="majorHAnsi" w:hAnsiTheme="majorHAnsi"/>
          <w:sz w:val="16"/>
          <w:szCs w:val="16"/>
          <w:vertAlign w:val="superscript"/>
        </w:rPr>
        <w:t>6</w:t>
      </w:r>
      <w:r>
        <w:rPr>
          <w:rFonts w:asciiTheme="majorHAnsi" w:hAnsiTheme="majorHAnsi"/>
          <w:sz w:val="16"/>
          <w:szCs w:val="16"/>
        </w:rPr>
        <w:t xml:space="preserve">IACHR, Report No. 70/04, Petition 667/01, Admissibility, </w:t>
      </w:r>
      <w:proofErr w:type="spellStart"/>
      <w:r>
        <w:rPr>
          <w:rFonts w:asciiTheme="majorHAnsi" w:hAnsiTheme="majorHAnsi"/>
          <w:sz w:val="16"/>
          <w:szCs w:val="16"/>
        </w:rPr>
        <w:t>Jesús</w:t>
      </w:r>
      <w:proofErr w:type="spellEnd"/>
      <w:r>
        <w:rPr>
          <w:rFonts w:asciiTheme="majorHAnsi" w:hAnsiTheme="majorHAnsi"/>
          <w:sz w:val="16"/>
          <w:szCs w:val="16"/>
        </w:rPr>
        <w:t xml:space="preserve"> Manuel Naranjo Cárdenas and others, Retirees from the Venezuelan Aviation Company VIASA. Venezuela, October 15, 2004, paragraph 52.</w:t>
      </w:r>
    </w:p>
    <w:p w:rsidR="009F7ECD" w:rsidRDefault="006D38F3"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With regards to these considerations, the Commission concludes that the present petition fulfills the requirement of exhaustion of judicial domestic remedies, being the final decision issued on January 6, 2012; </w:t>
      </w:r>
      <w:r w:rsidR="00AA7B22">
        <w:rPr>
          <w:rFonts w:ascii="Cambria" w:hAnsi="Cambria"/>
          <w:sz w:val="20"/>
          <w:szCs w:val="20"/>
        </w:rPr>
        <w:t xml:space="preserve">and </w:t>
      </w:r>
      <w:r>
        <w:rPr>
          <w:rFonts w:ascii="Cambria" w:hAnsi="Cambria"/>
          <w:sz w:val="20"/>
          <w:szCs w:val="20"/>
        </w:rPr>
        <w:t>given that it was presented to IACHR on July 4, 2012, it is clear that the same</w:t>
      </w:r>
      <w:r w:rsidR="00C70E3F">
        <w:rPr>
          <w:rFonts w:ascii="Cambria" w:hAnsi="Cambria"/>
          <w:sz w:val="20"/>
          <w:szCs w:val="20"/>
        </w:rPr>
        <w:t xml:space="preserve"> formally</w:t>
      </w:r>
      <w:r>
        <w:rPr>
          <w:rFonts w:ascii="Cambria" w:hAnsi="Cambria"/>
          <w:sz w:val="20"/>
          <w:szCs w:val="20"/>
        </w:rPr>
        <w:t xml:space="preserve"> fulfills </w:t>
      </w:r>
      <w:r w:rsidR="00C70E3F">
        <w:rPr>
          <w:rFonts w:ascii="Cambria" w:hAnsi="Cambria"/>
          <w:sz w:val="20"/>
          <w:szCs w:val="20"/>
        </w:rPr>
        <w:t>the requirements of admissibility established in articles 46.1.a and 46.1.b of the Convention.</w:t>
      </w:r>
    </w:p>
    <w:p w:rsidR="00C70E3F" w:rsidRPr="00C70E3F" w:rsidRDefault="00C70E3F" w:rsidP="00C70E3F">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rsidR="00C70E3F" w:rsidRDefault="00B13FDD"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its temporary competence, the Commission observes that the set of facts alleged by the petitioners passes in a period of time that, broadly encompasses from 1980 to this day. In this sense, the Commission considers that Chile deposited its instrument of ratification of the American Convention on August 21, 1990; therefore, the alleged facts by the petitioners that have been produced after this date or that have continuous effects that prolong after that date, will be analyzed based on the Convention. In turn, those facts that have occurred before August 21, 1990 will be analyzed </w:t>
      </w:r>
      <w:r w:rsidR="00142DBB">
        <w:rPr>
          <w:rFonts w:ascii="Cambria" w:hAnsi="Cambria"/>
          <w:sz w:val="20"/>
          <w:szCs w:val="20"/>
        </w:rPr>
        <w:t xml:space="preserve">as established </w:t>
      </w:r>
      <w:r>
        <w:rPr>
          <w:rFonts w:ascii="Cambria" w:hAnsi="Cambria"/>
          <w:sz w:val="20"/>
          <w:szCs w:val="20"/>
        </w:rPr>
        <w:t xml:space="preserve">by the </w:t>
      </w:r>
      <w:r w:rsidR="00142DBB">
        <w:rPr>
          <w:rFonts w:ascii="Cambria" w:hAnsi="Cambria"/>
          <w:sz w:val="20"/>
          <w:szCs w:val="20"/>
        </w:rPr>
        <w:t>American Declaration.</w:t>
      </w:r>
    </w:p>
    <w:p w:rsidR="00142DBB" w:rsidRDefault="00142DBB"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 the plea from the State referred to the form of fourth instance, the Commission reiterates that within the frame of its commission, it is competent to declare admissible a petition and give a verdict on the affair when this refers to domestic procedures that could violate the rights guaranteed by the American Convention.</w:t>
      </w:r>
    </w:p>
    <w:p w:rsidR="00142DBB" w:rsidRPr="00997940" w:rsidRDefault="00142DBB"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correspondence with the foregoing, IACHR considers that the plea referred to t</w:t>
      </w:r>
      <w:r w:rsidR="00744CEC">
        <w:rPr>
          <w:rFonts w:ascii="Cambria" w:hAnsi="Cambria"/>
          <w:sz w:val="20"/>
          <w:szCs w:val="20"/>
        </w:rPr>
        <w:t>he alleged discrimination for</w:t>
      </w:r>
      <w:r>
        <w:rPr>
          <w:rFonts w:ascii="Cambria" w:hAnsi="Cambria"/>
          <w:sz w:val="20"/>
          <w:szCs w:val="20"/>
        </w:rPr>
        <w:t xml:space="preserve"> gender, as well as the impossibility to continue working once the retirement age is reached, and the lack of a real judicial decision according to the affair of the claims of the petition</w:t>
      </w:r>
      <w:r w:rsidR="00744CEC">
        <w:rPr>
          <w:rFonts w:ascii="Cambria" w:hAnsi="Cambria"/>
          <w:sz w:val="20"/>
          <w:szCs w:val="20"/>
        </w:rPr>
        <w:t>ers, these</w:t>
      </w:r>
      <w:r>
        <w:rPr>
          <w:rFonts w:ascii="Cambria" w:hAnsi="Cambria"/>
          <w:sz w:val="20"/>
          <w:szCs w:val="20"/>
        </w:rPr>
        <w:t xml:space="preserve"> are not manifestly unfounded and const</w:t>
      </w:r>
      <w:r w:rsidR="00997940">
        <w:rPr>
          <w:rFonts w:ascii="Cambria" w:hAnsi="Cambria"/>
          <w:sz w:val="20"/>
          <w:szCs w:val="20"/>
        </w:rPr>
        <w:t>itute affairs that due to their legally complex nature merit an analysis on the merits from the Inter-American Commissio</w:t>
      </w:r>
      <w:r w:rsidR="00744CEC">
        <w:rPr>
          <w:rFonts w:ascii="Cambria" w:hAnsi="Cambria"/>
          <w:sz w:val="20"/>
          <w:szCs w:val="20"/>
        </w:rPr>
        <w:t>n. In this sense, if the facts a</w:t>
      </w:r>
      <w:r w:rsidR="00997940">
        <w:rPr>
          <w:rFonts w:ascii="Cambria" w:hAnsi="Cambria"/>
          <w:sz w:val="20"/>
          <w:szCs w:val="20"/>
        </w:rPr>
        <w:t>re true, they</w:t>
      </w:r>
      <w:r w:rsidR="00744CEC">
        <w:rPr>
          <w:rFonts w:ascii="Cambria" w:hAnsi="Cambria"/>
          <w:sz w:val="20"/>
          <w:szCs w:val="20"/>
        </w:rPr>
        <w:t xml:space="preserve"> could</w:t>
      </w:r>
      <w:r w:rsidR="00997940">
        <w:rPr>
          <w:rFonts w:ascii="Cambria" w:hAnsi="Cambria"/>
          <w:sz w:val="20"/>
          <w:szCs w:val="20"/>
        </w:rPr>
        <w:t xml:space="preserve"> constit</w:t>
      </w:r>
      <w:r w:rsidR="002751F1">
        <w:rPr>
          <w:rFonts w:ascii="Cambria" w:hAnsi="Cambria"/>
          <w:sz w:val="20"/>
          <w:szCs w:val="20"/>
        </w:rPr>
        <w:t xml:space="preserve">ute violations to the </w:t>
      </w:r>
      <w:r w:rsidR="00997940">
        <w:rPr>
          <w:rFonts w:ascii="Cambria" w:hAnsi="Cambria"/>
          <w:sz w:val="20"/>
          <w:szCs w:val="20"/>
        </w:rPr>
        <w:t>rights</w:t>
      </w:r>
      <w:r w:rsidR="002751F1">
        <w:rPr>
          <w:rFonts w:ascii="Cambria" w:hAnsi="Cambria"/>
          <w:sz w:val="20"/>
          <w:szCs w:val="20"/>
        </w:rPr>
        <w:t xml:space="preserve"> protected</w:t>
      </w:r>
      <w:r w:rsidR="00997940">
        <w:rPr>
          <w:rFonts w:ascii="Cambria" w:hAnsi="Cambria"/>
          <w:sz w:val="20"/>
          <w:szCs w:val="20"/>
        </w:rPr>
        <w:t xml:space="preserve"> in articles 21 (property), 24 (equality before the law), 25 (judicial protection), </w:t>
      </w:r>
      <w:r w:rsidR="00997940" w:rsidRPr="00997940">
        <w:rPr>
          <w:rFonts w:asciiTheme="majorHAnsi" w:hAnsiTheme="majorHAnsi"/>
          <w:bCs/>
          <w:sz w:val="20"/>
          <w:szCs w:val="20"/>
        </w:rPr>
        <w:t xml:space="preserve">and 26 (cultural, social, and economic rights) of the American Convention in relation to its articles 1.1 (obligation to respect rights) and </w:t>
      </w:r>
      <w:r w:rsidR="00997940" w:rsidRPr="00997940">
        <w:rPr>
          <w:rFonts w:asciiTheme="majorHAnsi" w:hAnsiTheme="majorHAnsi"/>
          <w:sz w:val="20"/>
          <w:szCs w:val="20"/>
        </w:rPr>
        <w:t>2 (obligation to adopt provisions of domestic law)</w:t>
      </w:r>
      <w:r w:rsidR="00997940">
        <w:rPr>
          <w:rFonts w:asciiTheme="majorHAnsi" w:hAnsiTheme="majorHAnsi"/>
          <w:bCs/>
          <w:sz w:val="20"/>
          <w:szCs w:val="20"/>
        </w:rPr>
        <w:t>, in detriment of the alleged victims.</w:t>
      </w:r>
    </w:p>
    <w:p w:rsidR="00997940" w:rsidRPr="000B6B7A" w:rsidRDefault="00997940" w:rsidP="009F7E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bCs/>
          <w:sz w:val="20"/>
          <w:szCs w:val="20"/>
        </w:rPr>
        <w:t xml:space="preserve">In relation with the claim over the alleged violation of article XVI (social security) of the American Declaration and considering what was said about the temporary competence of the Commission in this case, the Commission reiterates that once the American Convention comes into effect </w:t>
      </w:r>
      <w:r w:rsidR="00D967C4">
        <w:rPr>
          <w:rFonts w:asciiTheme="majorHAnsi" w:hAnsiTheme="majorHAnsi"/>
          <w:bCs/>
          <w:sz w:val="20"/>
          <w:szCs w:val="20"/>
        </w:rPr>
        <w:t>regarding</w:t>
      </w:r>
      <w:r>
        <w:rPr>
          <w:rFonts w:asciiTheme="majorHAnsi" w:hAnsiTheme="majorHAnsi"/>
          <w:bCs/>
          <w:sz w:val="20"/>
          <w:szCs w:val="20"/>
        </w:rPr>
        <w:t xml:space="preserve"> a State, this</w:t>
      </w:r>
      <w:r w:rsidR="00D967C4">
        <w:rPr>
          <w:rFonts w:asciiTheme="majorHAnsi" w:hAnsiTheme="majorHAnsi"/>
          <w:bCs/>
          <w:sz w:val="20"/>
          <w:szCs w:val="20"/>
        </w:rPr>
        <w:t>,</w:t>
      </w:r>
      <w:r>
        <w:rPr>
          <w:rFonts w:asciiTheme="majorHAnsi" w:hAnsiTheme="majorHAnsi"/>
          <w:bCs/>
          <w:sz w:val="20"/>
          <w:szCs w:val="20"/>
        </w:rPr>
        <w:t xml:space="preserve"> and not the Declaration</w:t>
      </w:r>
      <w:r w:rsidR="00D967C4">
        <w:rPr>
          <w:rFonts w:asciiTheme="majorHAnsi" w:hAnsiTheme="majorHAnsi"/>
          <w:bCs/>
          <w:sz w:val="20"/>
          <w:szCs w:val="20"/>
        </w:rPr>
        <w:t>,</w:t>
      </w:r>
      <w:r>
        <w:rPr>
          <w:rFonts w:asciiTheme="majorHAnsi" w:hAnsiTheme="majorHAnsi"/>
          <w:bCs/>
          <w:sz w:val="20"/>
          <w:szCs w:val="20"/>
        </w:rPr>
        <w:t xml:space="preserve"> becomes the pr</w:t>
      </w:r>
      <w:r w:rsidR="002751F1">
        <w:rPr>
          <w:rFonts w:asciiTheme="majorHAnsi" w:hAnsiTheme="majorHAnsi"/>
          <w:bCs/>
          <w:sz w:val="20"/>
          <w:szCs w:val="20"/>
        </w:rPr>
        <w:t>imary source of applicable law</w:t>
      </w:r>
      <w:r>
        <w:rPr>
          <w:rFonts w:asciiTheme="majorHAnsi" w:hAnsiTheme="majorHAnsi"/>
          <w:bCs/>
          <w:sz w:val="20"/>
          <w:szCs w:val="20"/>
        </w:rPr>
        <w:t xml:space="preserve"> by the Commission </w:t>
      </w:r>
      <w:r w:rsidR="00D967C4">
        <w:rPr>
          <w:rFonts w:asciiTheme="majorHAnsi" w:hAnsiTheme="majorHAnsi"/>
          <w:bCs/>
          <w:sz w:val="20"/>
          <w:szCs w:val="20"/>
        </w:rPr>
        <w:t>each time that the violations of</w:t>
      </w:r>
      <w:r>
        <w:rPr>
          <w:rFonts w:asciiTheme="majorHAnsi" w:hAnsiTheme="majorHAnsi"/>
          <w:bCs/>
          <w:sz w:val="20"/>
          <w:szCs w:val="20"/>
        </w:rPr>
        <w:t xml:space="preserve"> substantially identical</w:t>
      </w:r>
      <w:r w:rsidR="00D967C4">
        <w:rPr>
          <w:rFonts w:asciiTheme="majorHAnsi" w:hAnsiTheme="majorHAnsi"/>
          <w:bCs/>
          <w:sz w:val="20"/>
          <w:szCs w:val="20"/>
        </w:rPr>
        <w:t xml:space="preserve"> rights</w:t>
      </w:r>
      <w:r>
        <w:rPr>
          <w:rFonts w:asciiTheme="majorHAnsi" w:hAnsiTheme="majorHAnsi"/>
          <w:bCs/>
          <w:sz w:val="20"/>
          <w:szCs w:val="20"/>
        </w:rPr>
        <w:t xml:space="preserve"> </w:t>
      </w:r>
      <w:r w:rsidR="00100A98">
        <w:rPr>
          <w:rFonts w:asciiTheme="majorHAnsi" w:hAnsiTheme="majorHAnsi"/>
          <w:bCs/>
          <w:sz w:val="20"/>
          <w:szCs w:val="20"/>
        </w:rPr>
        <w:t xml:space="preserve">established </w:t>
      </w:r>
      <w:r w:rsidR="00D967C4">
        <w:rPr>
          <w:rFonts w:asciiTheme="majorHAnsi" w:hAnsiTheme="majorHAnsi"/>
          <w:bCs/>
          <w:sz w:val="20"/>
          <w:szCs w:val="20"/>
        </w:rPr>
        <w:t>o</w:t>
      </w:r>
      <w:r>
        <w:rPr>
          <w:rFonts w:asciiTheme="majorHAnsi" w:hAnsiTheme="majorHAnsi"/>
          <w:bCs/>
          <w:sz w:val="20"/>
          <w:szCs w:val="20"/>
        </w:rPr>
        <w:t>n the two instruments are alleged in the petiti</w:t>
      </w:r>
      <w:r w:rsidR="00D967C4">
        <w:rPr>
          <w:rFonts w:asciiTheme="majorHAnsi" w:hAnsiTheme="majorHAnsi"/>
          <w:bCs/>
          <w:sz w:val="20"/>
          <w:szCs w:val="20"/>
        </w:rPr>
        <w:t>on. Taking into account that</w:t>
      </w:r>
      <w:r>
        <w:rPr>
          <w:rFonts w:asciiTheme="majorHAnsi" w:hAnsiTheme="majorHAnsi"/>
          <w:bCs/>
          <w:sz w:val="20"/>
          <w:szCs w:val="20"/>
        </w:rPr>
        <w:t xml:space="preserve"> article 26 of the Convention makes a general </w:t>
      </w:r>
      <w:r w:rsidR="00100A98">
        <w:rPr>
          <w:rFonts w:asciiTheme="majorHAnsi" w:hAnsiTheme="majorHAnsi"/>
          <w:bCs/>
          <w:sz w:val="20"/>
          <w:szCs w:val="20"/>
        </w:rPr>
        <w:t>reference</w:t>
      </w:r>
      <w:r w:rsidR="00D967C4">
        <w:rPr>
          <w:rFonts w:asciiTheme="majorHAnsi" w:hAnsiTheme="majorHAnsi"/>
          <w:bCs/>
          <w:sz w:val="20"/>
          <w:szCs w:val="20"/>
        </w:rPr>
        <w:t xml:space="preserve"> to the cultural, social, and</w:t>
      </w:r>
      <w:r>
        <w:rPr>
          <w:rFonts w:asciiTheme="majorHAnsi" w:hAnsiTheme="majorHAnsi"/>
          <w:bCs/>
          <w:sz w:val="20"/>
          <w:szCs w:val="20"/>
        </w:rPr>
        <w:t xml:space="preserve"> economic rights and that these have to be determined in </w:t>
      </w:r>
      <w:r w:rsidR="00100A98">
        <w:rPr>
          <w:rFonts w:asciiTheme="majorHAnsi" w:hAnsiTheme="majorHAnsi"/>
          <w:bCs/>
          <w:sz w:val="20"/>
          <w:szCs w:val="20"/>
        </w:rPr>
        <w:t>connection</w:t>
      </w:r>
      <w:r w:rsidR="00D967C4">
        <w:rPr>
          <w:rFonts w:asciiTheme="majorHAnsi" w:hAnsiTheme="majorHAnsi"/>
          <w:bCs/>
          <w:sz w:val="20"/>
          <w:szCs w:val="20"/>
        </w:rPr>
        <w:t xml:space="preserve"> with the Chart</w:t>
      </w:r>
      <w:r>
        <w:rPr>
          <w:rFonts w:asciiTheme="majorHAnsi" w:hAnsiTheme="majorHAnsi"/>
          <w:bCs/>
          <w:sz w:val="20"/>
          <w:szCs w:val="20"/>
        </w:rPr>
        <w:t xml:space="preserve"> of OAS and applicable instruments, the Commissi</w:t>
      </w:r>
      <w:r w:rsidR="002751F1">
        <w:rPr>
          <w:rFonts w:asciiTheme="majorHAnsi" w:hAnsiTheme="majorHAnsi"/>
          <w:bCs/>
          <w:sz w:val="20"/>
          <w:szCs w:val="20"/>
        </w:rPr>
        <w:t>on considers that in cases on which</w:t>
      </w:r>
      <w:r w:rsidR="00C30232">
        <w:rPr>
          <w:rFonts w:asciiTheme="majorHAnsi" w:hAnsiTheme="majorHAnsi"/>
          <w:bCs/>
          <w:sz w:val="20"/>
          <w:szCs w:val="20"/>
        </w:rPr>
        <w:t xml:space="preserve"> it is alleged</w:t>
      </w:r>
      <w:r>
        <w:rPr>
          <w:rFonts w:asciiTheme="majorHAnsi" w:hAnsiTheme="majorHAnsi"/>
          <w:bCs/>
          <w:sz w:val="20"/>
          <w:szCs w:val="20"/>
        </w:rPr>
        <w:t xml:space="preserve"> a specific violation</w:t>
      </w:r>
      <w:r w:rsidR="002751F1">
        <w:rPr>
          <w:rFonts w:asciiTheme="majorHAnsi" w:hAnsiTheme="majorHAnsi"/>
          <w:bCs/>
          <w:sz w:val="20"/>
          <w:szCs w:val="20"/>
        </w:rPr>
        <w:t xml:space="preserve"> of the</w:t>
      </w:r>
      <w:r w:rsidR="00100A98">
        <w:rPr>
          <w:rFonts w:asciiTheme="majorHAnsi" w:hAnsiTheme="majorHAnsi"/>
          <w:bCs/>
          <w:sz w:val="20"/>
          <w:szCs w:val="20"/>
        </w:rPr>
        <w:t xml:space="preserve"> Declaration related to the general contents o</w:t>
      </w:r>
      <w:r w:rsidR="00D967C4">
        <w:rPr>
          <w:rFonts w:asciiTheme="majorHAnsi" w:hAnsiTheme="majorHAnsi"/>
          <w:bCs/>
          <w:sz w:val="20"/>
          <w:szCs w:val="20"/>
        </w:rPr>
        <w:t>f</w:t>
      </w:r>
      <w:r w:rsidR="00100A98">
        <w:rPr>
          <w:rFonts w:asciiTheme="majorHAnsi" w:hAnsiTheme="majorHAnsi"/>
          <w:bCs/>
          <w:sz w:val="20"/>
          <w:szCs w:val="20"/>
        </w:rPr>
        <w:t xml:space="preserve"> article 26, mentioned before, the a</w:t>
      </w:r>
      <w:r w:rsidR="002751F1">
        <w:rPr>
          <w:rFonts w:asciiTheme="majorHAnsi" w:hAnsiTheme="majorHAnsi"/>
          <w:bCs/>
          <w:sz w:val="20"/>
          <w:szCs w:val="20"/>
        </w:rPr>
        <w:t>nalysis of its correspondence and</w:t>
      </w:r>
      <w:r w:rsidR="00100A98">
        <w:rPr>
          <w:rFonts w:asciiTheme="majorHAnsi" w:hAnsiTheme="majorHAnsi"/>
          <w:bCs/>
          <w:sz w:val="20"/>
          <w:szCs w:val="20"/>
        </w:rPr>
        <w:t xml:space="preserve"> identity is part of the stage of merits.</w:t>
      </w:r>
      <w:r>
        <w:rPr>
          <w:rFonts w:asciiTheme="majorHAnsi" w:hAnsiTheme="majorHAnsi"/>
          <w:bCs/>
          <w:sz w:val="20"/>
          <w:szCs w:val="20"/>
        </w:rPr>
        <w:t xml:space="preserve"> </w:t>
      </w:r>
    </w:p>
    <w:p w:rsidR="009F7ECD" w:rsidRPr="000B6B7A" w:rsidRDefault="009F7ECD" w:rsidP="009F7ECD">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9F7ECD" w:rsidRPr="000B6B7A" w:rsidRDefault="009F7ECD" w:rsidP="009F7EC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C70E3F">
        <w:rPr>
          <w:rFonts w:asciiTheme="majorHAnsi" w:hAnsiTheme="majorHAnsi"/>
          <w:sz w:val="20"/>
          <w:szCs w:val="20"/>
        </w:rPr>
        <w:t>ible in relation to Articles 21, 24, 25, and 26 of the American Convention on Human Rights regarding its articles 1.1 and 2</w:t>
      </w:r>
      <w:r w:rsidRPr="000B6B7A">
        <w:rPr>
          <w:rFonts w:asciiTheme="majorHAnsi" w:hAnsiTheme="majorHAnsi"/>
          <w:sz w:val="20"/>
          <w:szCs w:val="20"/>
        </w:rPr>
        <w:t>;</w:t>
      </w:r>
    </w:p>
    <w:p w:rsidR="009F7ECD" w:rsidRPr="000B6B7A" w:rsidRDefault="009F7ECD" w:rsidP="009F7ECD">
      <w:pPr>
        <w:pStyle w:val="ListParagraph"/>
        <w:numPr>
          <w:ilvl w:val="0"/>
          <w:numId w:val="2"/>
        </w:numPr>
        <w:rPr>
          <w:rFonts w:eastAsia="Arial Unicode MS" w:cs="Times New Roman"/>
          <w:color w:val="auto"/>
          <w:sz w:val="20"/>
          <w:szCs w:val="20"/>
          <w:lang w:eastAsia="en-US"/>
        </w:rPr>
      </w:pPr>
      <w:r w:rsidRPr="000B6B7A">
        <w:rPr>
          <w:rFonts w:asciiTheme="majorHAnsi" w:hAnsiTheme="majorHAnsi"/>
          <w:sz w:val="20"/>
          <w:szCs w:val="20"/>
        </w:rPr>
        <w:t>To find the instant petitio</w:t>
      </w:r>
      <w:r w:rsidR="00C70E3F">
        <w:rPr>
          <w:rFonts w:asciiTheme="majorHAnsi" w:hAnsiTheme="majorHAnsi"/>
          <w:sz w:val="20"/>
          <w:szCs w:val="20"/>
        </w:rPr>
        <w:t>n admissible</w:t>
      </w:r>
      <w:r w:rsidRPr="000B6B7A">
        <w:rPr>
          <w:rFonts w:asciiTheme="majorHAnsi" w:hAnsiTheme="majorHAnsi"/>
          <w:color w:val="FF0000"/>
          <w:sz w:val="20"/>
          <w:szCs w:val="20"/>
        </w:rPr>
        <w:t xml:space="preserve"> </w:t>
      </w:r>
      <w:r w:rsidRPr="000B6B7A">
        <w:rPr>
          <w:rFonts w:asciiTheme="majorHAnsi" w:hAnsiTheme="majorHAnsi"/>
          <w:sz w:val="20"/>
          <w:szCs w:val="20"/>
        </w:rPr>
        <w:t>in relation to Article</w:t>
      </w:r>
      <w:r w:rsidR="00B13FDD">
        <w:rPr>
          <w:rFonts w:asciiTheme="majorHAnsi" w:hAnsiTheme="majorHAnsi"/>
          <w:bCs/>
          <w:sz w:val="20"/>
          <w:szCs w:val="20"/>
        </w:rPr>
        <w:t xml:space="preserve"> XVI</w:t>
      </w:r>
      <w:r w:rsidR="00B13FDD" w:rsidRPr="00B13FDD">
        <w:rPr>
          <w:rFonts w:asciiTheme="majorHAnsi" w:hAnsiTheme="majorHAnsi"/>
          <w:bCs/>
          <w:sz w:val="20"/>
          <w:szCs w:val="20"/>
        </w:rPr>
        <w:t xml:space="preserve"> of the American Declaration of</w:t>
      </w:r>
      <w:r w:rsidR="00B13FDD" w:rsidRPr="00B13FDD">
        <w:rPr>
          <w:rFonts w:asciiTheme="majorHAnsi" w:hAnsiTheme="majorHAnsi" w:cstheme="minorHAnsi"/>
          <w:sz w:val="20"/>
          <w:szCs w:val="20"/>
          <w:shd w:val="clear" w:color="auto" w:fill="FFFFFF"/>
        </w:rPr>
        <w:t xml:space="preserve"> the Rights and Duties of Ma</w:t>
      </w:r>
      <w:r w:rsidR="00B13FDD">
        <w:rPr>
          <w:rFonts w:asciiTheme="majorHAnsi" w:hAnsiTheme="majorHAnsi" w:cstheme="minorHAnsi"/>
          <w:sz w:val="20"/>
          <w:szCs w:val="20"/>
          <w:shd w:val="clear" w:color="auto" w:fill="FFFFFF"/>
        </w:rPr>
        <w:t>n; and</w:t>
      </w:r>
    </w:p>
    <w:p w:rsidR="009F7ECD" w:rsidRPr="000B6B7A" w:rsidRDefault="009F7ECD" w:rsidP="009F7ECD">
      <w:pPr>
        <w:pStyle w:val="ListParagraph"/>
        <w:rPr>
          <w:rFonts w:eastAsia="Arial Unicode MS" w:cs="Times New Roman"/>
          <w:color w:val="auto"/>
          <w:sz w:val="20"/>
          <w:szCs w:val="20"/>
          <w:lang w:eastAsia="en-US"/>
        </w:rPr>
      </w:pPr>
    </w:p>
    <w:p w:rsidR="009F7ECD" w:rsidRPr="00936B23" w:rsidRDefault="009F7ECD" w:rsidP="009F7EC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100A98" w:rsidRDefault="00936B23" w:rsidP="00936B23">
      <w:pPr>
        <w:suppressAutoHyphens/>
        <w:ind w:firstLine="720"/>
        <w:jc w:val="both"/>
        <w:rPr>
          <w:rFonts w:ascii="Cambria" w:hAnsi="Cambria" w:cs="Calibri"/>
          <w:b/>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17</w:t>
      </w:r>
      <w:r w:rsidRPr="00936B2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rsidR="00100A98" w:rsidRDefault="00100A98" w:rsidP="00100A98">
      <w:pPr>
        <w:jc w:val="center"/>
        <w:rPr>
          <w:rFonts w:ascii="Cambria" w:hAnsi="Cambria" w:cs="Calibri"/>
          <w:b/>
          <w:sz w:val="20"/>
          <w:szCs w:val="20"/>
        </w:rPr>
      </w:pPr>
    </w:p>
    <w:p w:rsidR="00100A98" w:rsidRPr="00100A98" w:rsidRDefault="00100A98" w:rsidP="00100A98">
      <w:pPr>
        <w:jc w:val="center"/>
        <w:rPr>
          <w:rFonts w:ascii="Cambria" w:hAnsi="Cambria" w:cs="Calibri"/>
          <w:b/>
          <w:sz w:val="20"/>
          <w:szCs w:val="20"/>
        </w:rPr>
      </w:pPr>
      <w:r w:rsidRPr="00100A98">
        <w:rPr>
          <w:rFonts w:ascii="Cambria" w:hAnsi="Cambria" w:cs="Calibri"/>
          <w:b/>
          <w:sz w:val="20"/>
          <w:szCs w:val="20"/>
        </w:rPr>
        <w:lastRenderedPageBreak/>
        <w:t>Appendix</w:t>
      </w:r>
    </w:p>
    <w:p w:rsidR="00100A98" w:rsidRPr="00100A98" w:rsidRDefault="00100A98" w:rsidP="00100A98">
      <w:pPr>
        <w:jc w:val="center"/>
        <w:rPr>
          <w:rFonts w:ascii="Cambria" w:hAnsi="Cambria" w:cs="Calibri"/>
          <w:b/>
          <w:sz w:val="20"/>
          <w:szCs w:val="20"/>
        </w:rPr>
      </w:pPr>
      <w:r w:rsidRPr="00100A98">
        <w:rPr>
          <w:rFonts w:ascii="Cambria" w:hAnsi="Cambria" w:cs="Calibri"/>
          <w:b/>
          <w:sz w:val="20"/>
          <w:szCs w:val="20"/>
        </w:rPr>
        <w:t>List of Alleged Victims</w:t>
      </w:r>
    </w:p>
    <w:p w:rsidR="00100A98" w:rsidRPr="00CD7E6E" w:rsidRDefault="00100A98" w:rsidP="00100A98">
      <w:pPr>
        <w:jc w:val="center"/>
        <w:rPr>
          <w:rFonts w:ascii="Cambria" w:hAnsi="Cambria" w:cs="Calibri"/>
          <w:b/>
          <w:sz w:val="20"/>
          <w:szCs w:val="20"/>
        </w:rPr>
      </w:pPr>
      <w:r>
        <w:rPr>
          <w:rFonts w:ascii="Cambria" w:hAnsi="Cambria" w:cs="Calibri"/>
          <w:b/>
          <w:sz w:val="20"/>
          <w:szCs w:val="20"/>
        </w:rPr>
        <w:t>Retired Professors of Public Education</w:t>
      </w:r>
    </w:p>
    <w:p w:rsidR="00100A98" w:rsidRPr="00CD7E6E" w:rsidRDefault="00100A98" w:rsidP="00100A98">
      <w:pPr>
        <w:jc w:val="center"/>
        <w:rPr>
          <w:rFonts w:ascii="Cambria" w:hAnsi="Cambria" w:cs="Calibri"/>
          <w:b/>
          <w:sz w:val="20"/>
          <w:szCs w:val="20"/>
        </w:rPr>
      </w:pP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Eduvigis Del Carmen Alarcón Gómez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Georgina Aída Andrade Bravo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Juana Agustina </w:t>
      </w:r>
      <w:proofErr w:type="spellStart"/>
      <w:r w:rsidRPr="00CD7E6E">
        <w:rPr>
          <w:rFonts w:cs="Calibri"/>
          <w:sz w:val="20"/>
          <w:szCs w:val="20"/>
          <w:lang w:val="es-ES"/>
        </w:rPr>
        <w:t>Andunce</w:t>
      </w:r>
      <w:proofErr w:type="spellEnd"/>
      <w:r w:rsidRPr="00CD7E6E">
        <w:rPr>
          <w:rFonts w:cs="Calibri"/>
          <w:sz w:val="20"/>
          <w:szCs w:val="20"/>
          <w:lang w:val="es-ES"/>
        </w:rPr>
        <w:t xml:space="preserve"> Riquelme</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Gloria Arancibia Franco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Ana María Arancibia Talavera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Angélica Arcaya Oliva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Rosa Del Carmen Arias González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Isabel Del Carmen Arza Pizarro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Margarita Del Carmen </w:t>
      </w:r>
      <w:proofErr w:type="spellStart"/>
      <w:r w:rsidRPr="00CD7E6E">
        <w:rPr>
          <w:rFonts w:cs="Calibri"/>
          <w:sz w:val="20"/>
          <w:szCs w:val="20"/>
          <w:lang w:val="es-ES"/>
        </w:rPr>
        <w:t>Azagra</w:t>
      </w:r>
      <w:proofErr w:type="spellEnd"/>
      <w:r w:rsidRPr="00CD7E6E">
        <w:rPr>
          <w:rFonts w:cs="Calibri"/>
          <w:sz w:val="20"/>
          <w:szCs w:val="20"/>
          <w:lang w:val="es-ES"/>
        </w:rPr>
        <w:t xml:space="preserve"> Vergara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Alicia Del Carmen </w:t>
      </w:r>
      <w:proofErr w:type="spellStart"/>
      <w:r w:rsidRPr="00CD7E6E">
        <w:rPr>
          <w:rFonts w:cs="Calibri"/>
          <w:sz w:val="20"/>
          <w:szCs w:val="20"/>
          <w:lang w:val="es-ES"/>
        </w:rPr>
        <w:t>Bahamondes</w:t>
      </w:r>
      <w:proofErr w:type="spellEnd"/>
      <w:r w:rsidRPr="00CD7E6E">
        <w:rPr>
          <w:rFonts w:cs="Calibri"/>
          <w:sz w:val="20"/>
          <w:szCs w:val="20"/>
          <w:lang w:val="es-ES"/>
        </w:rPr>
        <w:t xml:space="preserve"> Albornoz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Ivonne Oriana Becerra </w:t>
      </w:r>
      <w:proofErr w:type="spellStart"/>
      <w:r w:rsidRPr="00CD7E6E">
        <w:rPr>
          <w:rFonts w:cs="Calibri"/>
          <w:sz w:val="20"/>
          <w:szCs w:val="20"/>
          <w:lang w:val="es-ES"/>
        </w:rPr>
        <w:t>Thon</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Rosalía De Lourdes Bustos Cárcamo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Julia Mireya </w:t>
      </w:r>
      <w:proofErr w:type="spellStart"/>
      <w:r w:rsidRPr="00CD7E6E">
        <w:rPr>
          <w:rFonts w:cs="Calibri"/>
          <w:sz w:val="20"/>
          <w:szCs w:val="20"/>
          <w:lang w:val="es-ES"/>
        </w:rPr>
        <w:t>Bracelia</w:t>
      </w:r>
      <w:proofErr w:type="spellEnd"/>
      <w:r w:rsidRPr="00CD7E6E">
        <w:rPr>
          <w:rFonts w:cs="Calibri"/>
          <w:sz w:val="20"/>
          <w:szCs w:val="20"/>
          <w:lang w:val="es-ES"/>
        </w:rPr>
        <w:t xml:space="preserve"> Bustos Carmona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Cecilia </w:t>
      </w:r>
      <w:proofErr w:type="spellStart"/>
      <w:r w:rsidRPr="00CD7E6E">
        <w:rPr>
          <w:rFonts w:cs="Calibri"/>
          <w:sz w:val="20"/>
          <w:szCs w:val="20"/>
          <w:lang w:val="es-ES"/>
        </w:rPr>
        <w:t>Gimena</w:t>
      </w:r>
      <w:proofErr w:type="spellEnd"/>
      <w:r w:rsidRPr="00CD7E6E">
        <w:rPr>
          <w:rFonts w:cs="Calibri"/>
          <w:sz w:val="20"/>
          <w:szCs w:val="20"/>
          <w:lang w:val="es-ES"/>
        </w:rPr>
        <w:t xml:space="preserve"> Bustos Farías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Juana María De La Torre </w:t>
      </w:r>
      <w:proofErr w:type="spellStart"/>
      <w:r w:rsidRPr="00CD7E6E">
        <w:rPr>
          <w:rFonts w:cs="Calibri"/>
          <w:sz w:val="20"/>
          <w:szCs w:val="20"/>
          <w:lang w:val="es-ES"/>
        </w:rPr>
        <w:t>Belmar</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Estela Teresa Díaz Rojas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Gustavo Lisandro </w:t>
      </w:r>
      <w:proofErr w:type="spellStart"/>
      <w:r w:rsidRPr="00CD7E6E">
        <w:rPr>
          <w:rFonts w:cs="Calibri"/>
          <w:sz w:val="20"/>
          <w:szCs w:val="20"/>
          <w:lang w:val="es-ES"/>
        </w:rPr>
        <w:t>Falk</w:t>
      </w:r>
      <w:proofErr w:type="spellEnd"/>
      <w:r w:rsidRPr="00CD7E6E">
        <w:rPr>
          <w:rFonts w:cs="Calibri"/>
          <w:sz w:val="20"/>
          <w:szCs w:val="20"/>
          <w:lang w:val="es-ES"/>
        </w:rPr>
        <w:t xml:space="preserve"> Venegas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Gladys Del Carmen </w:t>
      </w:r>
      <w:proofErr w:type="spellStart"/>
      <w:r w:rsidRPr="00CD7E6E">
        <w:rPr>
          <w:rFonts w:cs="Calibri"/>
          <w:sz w:val="20"/>
          <w:szCs w:val="20"/>
          <w:lang w:val="es-ES"/>
        </w:rPr>
        <w:t>Feeley</w:t>
      </w:r>
      <w:proofErr w:type="spellEnd"/>
      <w:r w:rsidRPr="00CD7E6E">
        <w:rPr>
          <w:rFonts w:cs="Calibri"/>
          <w:sz w:val="20"/>
          <w:szCs w:val="20"/>
          <w:lang w:val="es-ES"/>
        </w:rPr>
        <w:t xml:space="preserve"> Clavero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Eugenia Fuentes Molina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Rosa Lidia </w:t>
      </w:r>
      <w:proofErr w:type="spellStart"/>
      <w:r w:rsidRPr="00CD7E6E">
        <w:rPr>
          <w:rFonts w:cs="Calibri"/>
          <w:sz w:val="20"/>
          <w:szCs w:val="20"/>
          <w:lang w:val="es-ES"/>
        </w:rPr>
        <w:t>Gac</w:t>
      </w:r>
      <w:proofErr w:type="spellEnd"/>
      <w:r w:rsidRPr="00CD7E6E">
        <w:rPr>
          <w:rFonts w:cs="Calibri"/>
          <w:sz w:val="20"/>
          <w:szCs w:val="20"/>
          <w:lang w:val="es-ES"/>
        </w:rPr>
        <w:t xml:space="preserve"> Ramírez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Gloria Inés Godoy Romero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Alicia Leonor González Blanchard</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Nelly Del Carmen Gula </w:t>
      </w:r>
      <w:proofErr w:type="spellStart"/>
      <w:r w:rsidRPr="00CD7E6E">
        <w:rPr>
          <w:rFonts w:cs="Calibri"/>
          <w:sz w:val="20"/>
          <w:szCs w:val="20"/>
          <w:lang w:val="es-ES"/>
        </w:rPr>
        <w:t>Grez</w:t>
      </w:r>
      <w:proofErr w:type="spellEnd"/>
    </w:p>
    <w:p w:rsidR="00100A98" w:rsidRPr="00CD7E6E" w:rsidRDefault="00100A98" w:rsidP="00100A98">
      <w:pPr>
        <w:pStyle w:val="ListParagraph"/>
        <w:numPr>
          <w:ilvl w:val="0"/>
          <w:numId w:val="3"/>
        </w:numPr>
        <w:jc w:val="both"/>
        <w:rPr>
          <w:rFonts w:cs="Calibri"/>
          <w:sz w:val="20"/>
          <w:szCs w:val="20"/>
          <w:lang w:val="es-ES"/>
        </w:rPr>
      </w:pPr>
      <w:proofErr w:type="spellStart"/>
      <w:r w:rsidRPr="00CD7E6E">
        <w:rPr>
          <w:rFonts w:cs="Calibri"/>
          <w:sz w:val="20"/>
          <w:szCs w:val="20"/>
          <w:lang w:val="es-ES"/>
        </w:rPr>
        <w:t>Luzmira</w:t>
      </w:r>
      <w:proofErr w:type="spellEnd"/>
      <w:r w:rsidRPr="00CD7E6E">
        <w:rPr>
          <w:rFonts w:cs="Calibri"/>
          <w:sz w:val="20"/>
          <w:szCs w:val="20"/>
          <w:lang w:val="es-ES"/>
        </w:rPr>
        <w:t xml:space="preserve"> Del Carmen Gutiérrez Barahona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Filomena Luengo Sepúlveda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Lidia Beatriz Maldonado Matus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w:t>
      </w:r>
      <w:proofErr w:type="spellStart"/>
      <w:r w:rsidRPr="00CD7E6E">
        <w:rPr>
          <w:rFonts w:cs="Calibri"/>
          <w:sz w:val="20"/>
          <w:szCs w:val="20"/>
          <w:lang w:val="es-ES"/>
        </w:rPr>
        <w:t>Eliána</w:t>
      </w:r>
      <w:proofErr w:type="spellEnd"/>
      <w:r w:rsidRPr="00CD7E6E">
        <w:rPr>
          <w:rFonts w:cs="Calibri"/>
          <w:sz w:val="20"/>
          <w:szCs w:val="20"/>
          <w:lang w:val="es-ES"/>
        </w:rPr>
        <w:t xml:space="preserve"> </w:t>
      </w:r>
      <w:proofErr w:type="spellStart"/>
      <w:r w:rsidRPr="00CD7E6E">
        <w:rPr>
          <w:rFonts w:cs="Calibri"/>
          <w:sz w:val="20"/>
          <w:szCs w:val="20"/>
          <w:lang w:val="es-ES"/>
        </w:rPr>
        <w:t>Marciel</w:t>
      </w:r>
      <w:proofErr w:type="spellEnd"/>
      <w:r w:rsidRPr="00CD7E6E">
        <w:rPr>
          <w:rFonts w:cs="Calibri"/>
          <w:sz w:val="20"/>
          <w:szCs w:val="20"/>
          <w:lang w:val="es-ES"/>
        </w:rPr>
        <w:t xml:space="preserve"> </w:t>
      </w:r>
      <w:proofErr w:type="spellStart"/>
      <w:r w:rsidRPr="00CD7E6E">
        <w:rPr>
          <w:rFonts w:cs="Calibri"/>
          <w:sz w:val="20"/>
          <w:szCs w:val="20"/>
          <w:lang w:val="es-ES"/>
        </w:rPr>
        <w:t>Nanjarí</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Cecilia Florencia Mercado Ruiz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Fernando Rodolfo Miranda Domínguez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Nora Otilia Muñoz Carrasco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Ana María Muñoz </w:t>
      </w:r>
      <w:proofErr w:type="spellStart"/>
      <w:r w:rsidRPr="00CD7E6E">
        <w:rPr>
          <w:rFonts w:cs="Calibri"/>
          <w:sz w:val="20"/>
          <w:szCs w:val="20"/>
          <w:lang w:val="es-ES"/>
        </w:rPr>
        <w:t>Opazo</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Alicia De Las Mercedes Navarro Gómez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Lucía Agustina </w:t>
      </w:r>
      <w:proofErr w:type="spellStart"/>
      <w:r w:rsidRPr="00CD7E6E">
        <w:rPr>
          <w:rFonts w:cs="Calibri"/>
          <w:sz w:val="20"/>
          <w:szCs w:val="20"/>
          <w:lang w:val="es-ES"/>
        </w:rPr>
        <w:t>Norambuena</w:t>
      </w:r>
      <w:proofErr w:type="spellEnd"/>
      <w:r w:rsidRPr="00CD7E6E">
        <w:rPr>
          <w:rFonts w:cs="Calibri"/>
          <w:sz w:val="20"/>
          <w:szCs w:val="20"/>
          <w:lang w:val="es-ES"/>
        </w:rPr>
        <w:t xml:space="preserve"> Mora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Inés Olguín Berríos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Eliana Cristina Olguín Herrera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Eliana </w:t>
      </w:r>
      <w:proofErr w:type="spellStart"/>
      <w:r w:rsidRPr="00CD7E6E">
        <w:rPr>
          <w:rFonts w:cs="Calibri"/>
          <w:sz w:val="20"/>
          <w:szCs w:val="20"/>
          <w:lang w:val="es-ES"/>
        </w:rPr>
        <w:t>Oyarzún</w:t>
      </w:r>
      <w:proofErr w:type="spellEnd"/>
      <w:r w:rsidRPr="00CD7E6E">
        <w:rPr>
          <w:rFonts w:cs="Calibri"/>
          <w:sz w:val="20"/>
          <w:szCs w:val="20"/>
          <w:lang w:val="es-ES"/>
        </w:rPr>
        <w:t xml:space="preserve"> Velloso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Ester Pacheco </w:t>
      </w:r>
      <w:proofErr w:type="spellStart"/>
      <w:r w:rsidRPr="00CD7E6E">
        <w:rPr>
          <w:rFonts w:cs="Calibri"/>
          <w:sz w:val="20"/>
          <w:szCs w:val="20"/>
          <w:lang w:val="es-ES"/>
        </w:rPr>
        <w:t>Pacheco</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Celinda Del Carmen Pizarro Garrido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Lina De Lourdes Ponce Fuentes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Gabriela Teresa Retamal Araya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Aída Rosales Garrido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Sara Del Carmen Rozas </w:t>
      </w:r>
      <w:proofErr w:type="spellStart"/>
      <w:r w:rsidRPr="00CD7E6E">
        <w:rPr>
          <w:rFonts w:cs="Calibri"/>
          <w:sz w:val="20"/>
          <w:szCs w:val="20"/>
          <w:lang w:val="es-ES"/>
        </w:rPr>
        <w:t>Balbontín</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María Eliana Rubio Paredes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Jovita Lucy Rubio Paredes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w:t>
      </w:r>
      <w:proofErr w:type="spellStart"/>
      <w:r w:rsidRPr="00CD7E6E">
        <w:rPr>
          <w:rFonts w:cs="Calibri"/>
          <w:sz w:val="20"/>
          <w:szCs w:val="20"/>
          <w:lang w:val="es-ES"/>
        </w:rPr>
        <w:t>Elcira</w:t>
      </w:r>
      <w:proofErr w:type="spellEnd"/>
      <w:r w:rsidRPr="00CD7E6E">
        <w:rPr>
          <w:rFonts w:cs="Calibri"/>
          <w:sz w:val="20"/>
          <w:szCs w:val="20"/>
          <w:lang w:val="es-ES"/>
        </w:rPr>
        <w:t xml:space="preserve"> Saavedra </w:t>
      </w:r>
      <w:proofErr w:type="spellStart"/>
      <w:r w:rsidRPr="00CD7E6E">
        <w:rPr>
          <w:rFonts w:cs="Calibri"/>
          <w:sz w:val="20"/>
          <w:szCs w:val="20"/>
          <w:lang w:val="es-ES"/>
        </w:rPr>
        <w:t>Montecino</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Gladys Eliana Salas Silva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Ana Rosa Salinas Fierro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Angélica </w:t>
      </w:r>
      <w:proofErr w:type="spellStart"/>
      <w:r w:rsidRPr="00CD7E6E">
        <w:rPr>
          <w:rFonts w:cs="Calibri"/>
          <w:sz w:val="20"/>
          <w:szCs w:val="20"/>
          <w:lang w:val="es-ES"/>
        </w:rPr>
        <w:t>Salse</w:t>
      </w:r>
      <w:proofErr w:type="spellEnd"/>
      <w:r w:rsidRPr="00CD7E6E">
        <w:rPr>
          <w:rFonts w:cs="Calibri"/>
          <w:sz w:val="20"/>
          <w:szCs w:val="20"/>
          <w:lang w:val="es-ES"/>
        </w:rPr>
        <w:t xml:space="preserve"> Lillo</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Elisabeth Del Tránsito Sepúlveda Acuña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Jaime Raúl Silva Hernández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Berta Petronila Suazo Duran</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lastRenderedPageBreak/>
        <w:t xml:space="preserve">Paul Gilberto </w:t>
      </w:r>
      <w:proofErr w:type="spellStart"/>
      <w:r w:rsidRPr="00CD7E6E">
        <w:rPr>
          <w:rFonts w:cs="Calibri"/>
          <w:sz w:val="20"/>
          <w:szCs w:val="20"/>
          <w:lang w:val="es-ES"/>
        </w:rPr>
        <w:t>Tavilo</w:t>
      </w:r>
      <w:proofErr w:type="spellEnd"/>
      <w:r w:rsidRPr="00CD7E6E">
        <w:rPr>
          <w:rFonts w:cs="Calibri"/>
          <w:sz w:val="20"/>
          <w:szCs w:val="20"/>
          <w:lang w:val="es-ES"/>
        </w:rPr>
        <w:t xml:space="preserve"> Cisternas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Blanca Del Carmen Toro Varas</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María Mercedes </w:t>
      </w:r>
      <w:proofErr w:type="spellStart"/>
      <w:r w:rsidRPr="00CD7E6E">
        <w:rPr>
          <w:rFonts w:cs="Calibri"/>
          <w:sz w:val="20"/>
          <w:szCs w:val="20"/>
          <w:lang w:val="es-ES"/>
        </w:rPr>
        <w:t>Ulriksen</w:t>
      </w:r>
      <w:proofErr w:type="spellEnd"/>
      <w:r w:rsidRPr="00CD7E6E">
        <w:rPr>
          <w:rFonts w:cs="Calibri"/>
          <w:sz w:val="20"/>
          <w:szCs w:val="20"/>
          <w:lang w:val="es-ES"/>
        </w:rPr>
        <w:t xml:space="preserve"> Godoy</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Viviana Del Carmen Valencia Álvarez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Luisa Del Carmen Vega </w:t>
      </w:r>
      <w:proofErr w:type="spellStart"/>
      <w:r w:rsidRPr="00CD7E6E">
        <w:rPr>
          <w:rFonts w:cs="Calibri"/>
          <w:sz w:val="20"/>
          <w:szCs w:val="20"/>
          <w:lang w:val="es-ES"/>
        </w:rPr>
        <w:t>Chinel</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Teresa Del Carmen Vera Aguirre</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Gladys Margarita Vilches Arriagada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Ximena Del Carmen Villalobos </w:t>
      </w:r>
      <w:proofErr w:type="spellStart"/>
      <w:r w:rsidRPr="00CD7E6E">
        <w:rPr>
          <w:rFonts w:cs="Calibri"/>
          <w:sz w:val="20"/>
          <w:szCs w:val="20"/>
          <w:lang w:val="es-ES"/>
        </w:rPr>
        <w:t>Alanis</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Hirma Josefina Zenteno Ahumada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Gloria De Las Nieves Zúñiga López</w:t>
      </w:r>
    </w:p>
    <w:p w:rsidR="00100A98" w:rsidRPr="00CD7E6E" w:rsidRDefault="00100A98" w:rsidP="00100A98">
      <w:pPr>
        <w:pStyle w:val="ListParagraph"/>
        <w:numPr>
          <w:ilvl w:val="0"/>
          <w:numId w:val="3"/>
        </w:numPr>
        <w:jc w:val="both"/>
        <w:rPr>
          <w:rFonts w:cs="Calibri"/>
          <w:sz w:val="20"/>
          <w:szCs w:val="20"/>
          <w:lang w:val="es-ES"/>
        </w:rPr>
      </w:pPr>
      <w:proofErr w:type="spellStart"/>
      <w:r w:rsidRPr="00CD7E6E">
        <w:rPr>
          <w:rFonts w:cs="Calibri"/>
          <w:sz w:val="20"/>
          <w:szCs w:val="20"/>
          <w:lang w:val="es-ES"/>
        </w:rPr>
        <w:t>Bery</w:t>
      </w:r>
      <w:proofErr w:type="spellEnd"/>
      <w:r w:rsidRPr="00CD7E6E">
        <w:rPr>
          <w:rFonts w:cs="Calibri"/>
          <w:sz w:val="20"/>
          <w:szCs w:val="20"/>
          <w:lang w:val="es-ES"/>
        </w:rPr>
        <w:t xml:space="preserve"> Del Carmen De La Fuente González</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Mariela Margarita Calderón Sandoval</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Trinidad De Las Mercedes Navarrete Barahona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Cecilia De Las Nieves Navarrete Barahona</w:t>
      </w:r>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Carmen Leontina </w:t>
      </w:r>
      <w:proofErr w:type="spellStart"/>
      <w:r w:rsidRPr="00CD7E6E">
        <w:rPr>
          <w:rFonts w:cs="Calibri"/>
          <w:sz w:val="20"/>
          <w:szCs w:val="20"/>
          <w:lang w:val="es-ES"/>
        </w:rPr>
        <w:t>Seguel</w:t>
      </w:r>
      <w:proofErr w:type="spellEnd"/>
      <w:r w:rsidRPr="00CD7E6E">
        <w:rPr>
          <w:rFonts w:cs="Calibri"/>
          <w:sz w:val="20"/>
          <w:szCs w:val="20"/>
          <w:lang w:val="es-ES"/>
        </w:rPr>
        <w:t xml:space="preserve"> </w:t>
      </w:r>
      <w:proofErr w:type="spellStart"/>
      <w:r w:rsidRPr="00CD7E6E">
        <w:rPr>
          <w:rFonts w:cs="Calibri"/>
          <w:sz w:val="20"/>
          <w:szCs w:val="20"/>
          <w:lang w:val="es-ES"/>
        </w:rPr>
        <w:t>Monsalves</w:t>
      </w:r>
      <w:proofErr w:type="spellEnd"/>
    </w:p>
    <w:p w:rsidR="00100A98" w:rsidRPr="00CD7E6E" w:rsidRDefault="00100A98" w:rsidP="00100A98">
      <w:pPr>
        <w:pStyle w:val="ListParagraph"/>
        <w:numPr>
          <w:ilvl w:val="0"/>
          <w:numId w:val="3"/>
        </w:numPr>
        <w:jc w:val="both"/>
        <w:rPr>
          <w:rFonts w:cs="Calibri"/>
          <w:sz w:val="20"/>
          <w:szCs w:val="20"/>
          <w:lang w:val="es-ES"/>
        </w:rPr>
      </w:pPr>
      <w:r w:rsidRPr="00CD7E6E">
        <w:rPr>
          <w:rFonts w:cs="Calibri"/>
          <w:sz w:val="20"/>
          <w:szCs w:val="20"/>
          <w:lang w:val="es-ES"/>
        </w:rPr>
        <w:t xml:space="preserve">Inés Guillermina </w:t>
      </w:r>
      <w:proofErr w:type="spellStart"/>
      <w:r w:rsidRPr="00CD7E6E">
        <w:rPr>
          <w:rFonts w:cs="Calibri"/>
          <w:sz w:val="20"/>
          <w:szCs w:val="20"/>
          <w:lang w:val="es-ES"/>
        </w:rPr>
        <w:t>Lundin</w:t>
      </w:r>
      <w:proofErr w:type="spellEnd"/>
      <w:r w:rsidRPr="00CD7E6E">
        <w:rPr>
          <w:rFonts w:cs="Calibri"/>
          <w:sz w:val="20"/>
          <w:szCs w:val="20"/>
          <w:lang w:val="es-ES"/>
        </w:rPr>
        <w:t xml:space="preserve"> Román</w:t>
      </w:r>
    </w:p>
    <w:p w:rsidR="00100A98" w:rsidRPr="00CD7E6E" w:rsidRDefault="00100A98" w:rsidP="00100A98">
      <w:pPr>
        <w:jc w:val="both"/>
        <w:rPr>
          <w:rFonts w:cs="Calibri"/>
          <w:sz w:val="20"/>
          <w:szCs w:val="20"/>
        </w:rPr>
      </w:pPr>
    </w:p>
    <w:p w:rsidR="00100A98" w:rsidRPr="00CD7E6E" w:rsidRDefault="00100A98" w:rsidP="00100A98">
      <w:pPr>
        <w:jc w:val="both"/>
        <w:rPr>
          <w:rFonts w:ascii="Cambria" w:hAnsi="Cambria" w:cs="Calibri"/>
          <w:sz w:val="20"/>
          <w:szCs w:val="20"/>
        </w:rPr>
      </w:pPr>
    </w:p>
    <w:p w:rsidR="00100A98" w:rsidRPr="001F1902" w:rsidRDefault="00100A98" w:rsidP="00100A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9F7ECD" w:rsidRPr="000B6B7A" w:rsidRDefault="009F7ECD" w:rsidP="009F7ECD">
      <w:pPr>
        <w:pStyle w:val="ListParagraph"/>
        <w:suppressAutoHyphens/>
        <w:spacing w:before="240" w:after="240"/>
        <w:jc w:val="both"/>
        <w:rPr>
          <w:rFonts w:asciiTheme="majorHAnsi" w:hAnsiTheme="majorHAnsi"/>
          <w:sz w:val="20"/>
          <w:szCs w:val="20"/>
        </w:rPr>
      </w:pPr>
    </w:p>
    <w:p w:rsidR="009F7ECD" w:rsidRPr="000B6B7A" w:rsidRDefault="009F7ECD" w:rsidP="009F7ECD">
      <w:pPr>
        <w:tabs>
          <w:tab w:val="center" w:pos="5400"/>
        </w:tabs>
        <w:suppressAutoHyphens/>
        <w:spacing w:line="276" w:lineRule="auto"/>
        <w:rPr>
          <w:rFonts w:asciiTheme="majorHAnsi" w:hAnsiTheme="majorHAnsi"/>
          <w:sz w:val="20"/>
          <w:szCs w:val="20"/>
        </w:rPr>
      </w:pPr>
    </w:p>
    <w:p w:rsidR="009F7ECD" w:rsidRPr="000B6B7A" w:rsidRDefault="009F7ECD" w:rsidP="009F7ECD">
      <w:pPr>
        <w:tabs>
          <w:tab w:val="center" w:pos="5400"/>
        </w:tabs>
        <w:suppressAutoHyphens/>
        <w:spacing w:line="276" w:lineRule="auto"/>
        <w:rPr>
          <w:rFonts w:asciiTheme="majorHAnsi" w:hAnsiTheme="majorHAnsi"/>
          <w:sz w:val="20"/>
          <w:szCs w:val="20"/>
        </w:rPr>
      </w:pPr>
    </w:p>
    <w:p w:rsidR="009F7ECD" w:rsidRPr="000B6B7A" w:rsidRDefault="009F7ECD" w:rsidP="009F7ECD">
      <w:pPr>
        <w:rPr>
          <w:rFonts w:ascii="Cambria" w:hAnsi="Cambria" w:cs="Calibri"/>
          <w:sz w:val="20"/>
          <w:szCs w:val="20"/>
        </w:rPr>
      </w:pPr>
    </w:p>
    <w:p w:rsidR="009F7ECD" w:rsidRPr="00145EDC" w:rsidRDefault="009F7ECD" w:rsidP="009F7ECD">
      <w:pPr>
        <w:tabs>
          <w:tab w:val="left" w:pos="2820"/>
        </w:tabs>
        <w:suppressAutoHyphens/>
        <w:spacing w:line="276" w:lineRule="auto"/>
        <w:rPr>
          <w:rFonts w:asciiTheme="majorHAnsi" w:hAnsiTheme="majorHAnsi"/>
          <w:sz w:val="20"/>
          <w:szCs w:val="20"/>
        </w:rPr>
      </w:pPr>
    </w:p>
    <w:p w:rsidR="00D459C2" w:rsidRDefault="00D459C2"/>
    <w:sectPr w:rsidR="00D459C2" w:rsidSect="008D275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1E" w:rsidRDefault="003C391E" w:rsidP="009F7ECD">
      <w:r>
        <w:separator/>
      </w:r>
    </w:p>
  </w:endnote>
  <w:endnote w:type="continuationSeparator" w:id="0">
    <w:p w:rsidR="003C391E" w:rsidRDefault="003C391E" w:rsidP="009F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5B" w:rsidRDefault="00951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997940" w:rsidRPr="006311DA" w:rsidRDefault="00860C36">
        <w:pPr>
          <w:pStyle w:val="Footer"/>
          <w:jc w:val="center"/>
          <w:rPr>
            <w:sz w:val="16"/>
          </w:rPr>
        </w:pPr>
        <w:r w:rsidRPr="006311DA">
          <w:rPr>
            <w:sz w:val="16"/>
          </w:rPr>
          <w:fldChar w:fldCharType="begin"/>
        </w:r>
        <w:r w:rsidR="00997940" w:rsidRPr="006311DA">
          <w:rPr>
            <w:sz w:val="16"/>
          </w:rPr>
          <w:instrText xml:space="preserve"> PAGE   \* MERGEFORMAT </w:instrText>
        </w:r>
        <w:r w:rsidRPr="006311DA">
          <w:rPr>
            <w:sz w:val="16"/>
          </w:rPr>
          <w:fldChar w:fldCharType="separate"/>
        </w:r>
        <w:r w:rsidR="0095175B">
          <w:rPr>
            <w:noProof/>
            <w:sz w:val="16"/>
          </w:rPr>
          <w:t>3</w:t>
        </w:r>
        <w:r w:rsidRPr="006311DA">
          <w:rPr>
            <w:noProof/>
            <w:sz w:val="16"/>
          </w:rPr>
          <w:fldChar w:fldCharType="end"/>
        </w:r>
      </w:p>
    </w:sdtContent>
  </w:sdt>
  <w:p w:rsidR="00997940" w:rsidRDefault="00997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940" w:rsidRDefault="00997940">
    <w:pPr>
      <w:pStyle w:val="Footer"/>
      <w:jc w:val="center"/>
    </w:pPr>
  </w:p>
  <w:p w:rsidR="00997940" w:rsidRDefault="00997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1E" w:rsidRDefault="003C391E" w:rsidP="009F7ECD">
      <w:r>
        <w:separator/>
      </w:r>
    </w:p>
  </w:footnote>
  <w:footnote w:type="continuationSeparator" w:id="0">
    <w:p w:rsidR="003C391E" w:rsidRDefault="003C391E" w:rsidP="009F7ECD">
      <w:r>
        <w:continuationSeparator/>
      </w:r>
    </w:p>
  </w:footnote>
  <w:footnote w:id="1">
    <w:p w:rsidR="00997940" w:rsidRPr="008D2750" w:rsidRDefault="00997940" w:rsidP="008D2750">
      <w:pPr>
        <w:pStyle w:val="FootnoteText"/>
        <w:jc w:val="both"/>
        <w:rPr>
          <w:rFonts w:asciiTheme="majorHAnsi" w:hAnsiTheme="majorHAnsi"/>
          <w:sz w:val="16"/>
          <w:szCs w:val="16"/>
        </w:rPr>
      </w:pPr>
    </w:p>
    <w:p w:rsidR="00997940" w:rsidRDefault="00997940" w:rsidP="008D2750">
      <w:pPr>
        <w:pStyle w:val="FootnoteText"/>
        <w:ind w:firstLine="720"/>
        <w:jc w:val="both"/>
        <w:rPr>
          <w:rFonts w:asciiTheme="majorHAnsi" w:hAnsiTheme="majorHAnsi"/>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C920F2">
        <w:rPr>
          <w:rFonts w:ascii="Cambria" w:hAnsi="Cambria"/>
          <w:sz w:val="16"/>
          <w:szCs w:val="16"/>
        </w:rPr>
        <w:t>The petition refers to sixty seven alleged victims duly individualized in the appendix of the present petition.</w:t>
      </w:r>
    </w:p>
    <w:p w:rsidR="00C920F2" w:rsidRDefault="00C920F2" w:rsidP="00C920F2">
      <w:pPr>
        <w:pStyle w:val="FootnoteText"/>
        <w:ind w:firstLine="720"/>
        <w:jc w:val="both"/>
        <w:rPr>
          <w:rFonts w:asciiTheme="majorHAnsi" w:hAnsiTheme="majorHAnsi"/>
          <w:sz w:val="16"/>
          <w:szCs w:val="16"/>
        </w:rPr>
      </w:pPr>
      <w:r>
        <w:rPr>
          <w:rFonts w:asciiTheme="majorHAnsi" w:hAnsiTheme="majorHAnsi"/>
          <w:sz w:val="16"/>
          <w:szCs w:val="16"/>
          <w:vertAlign w:val="superscript"/>
        </w:rPr>
        <w:t>2</w:t>
      </w:r>
      <w:r w:rsidRPr="00C920F2">
        <w:rPr>
          <w:rFonts w:ascii="Cambria" w:hAnsi="Cambria"/>
          <w:sz w:val="16"/>
          <w:szCs w:val="16"/>
        </w:rPr>
        <w:t xml:space="preserve"> </w:t>
      </w:r>
      <w:r>
        <w:rPr>
          <w:rFonts w:ascii="Cambria" w:hAnsi="Cambria"/>
          <w:sz w:val="16"/>
          <w:szCs w:val="16"/>
        </w:rPr>
        <w:t xml:space="preserve">According to what is established in article </w:t>
      </w:r>
      <w:r>
        <w:rPr>
          <w:rFonts w:asciiTheme="majorHAnsi" w:hAnsiTheme="majorHAnsi"/>
          <w:sz w:val="16"/>
          <w:szCs w:val="16"/>
        </w:rPr>
        <w:t>17.2a of the Regulation of the Commission, Commissioner Antonia Urrejola Noguera, of Chilean Nationality, did not participate neither in the debate nor in the decision of the present matter.</w:t>
      </w:r>
    </w:p>
    <w:p w:rsidR="00997940" w:rsidRDefault="00997940" w:rsidP="00C920F2">
      <w:pPr>
        <w:pStyle w:val="FootnoteText"/>
        <w:ind w:firstLine="720"/>
        <w:jc w:val="both"/>
        <w:rPr>
          <w:rFonts w:asciiTheme="majorHAnsi" w:hAnsiTheme="majorHAnsi"/>
          <w:sz w:val="16"/>
          <w:szCs w:val="16"/>
        </w:rPr>
      </w:pPr>
      <w:r>
        <w:rPr>
          <w:rFonts w:asciiTheme="majorHAnsi" w:hAnsiTheme="majorHAnsi"/>
          <w:sz w:val="16"/>
          <w:szCs w:val="16"/>
          <w:vertAlign w:val="superscript"/>
        </w:rPr>
        <w:t>3</w:t>
      </w:r>
      <w:r w:rsidR="00DC2297">
        <w:rPr>
          <w:rFonts w:asciiTheme="majorHAnsi" w:hAnsiTheme="majorHAnsi"/>
          <w:sz w:val="16"/>
          <w:szCs w:val="16"/>
        </w:rPr>
        <w:t>Hereinafter “the American Convention” or “t</w:t>
      </w:r>
      <w:r>
        <w:rPr>
          <w:rFonts w:asciiTheme="majorHAnsi" w:hAnsiTheme="majorHAnsi"/>
          <w:sz w:val="16"/>
          <w:szCs w:val="16"/>
        </w:rPr>
        <w:t>he Convention.”</w:t>
      </w:r>
    </w:p>
    <w:p w:rsidR="00997940" w:rsidRDefault="00997940" w:rsidP="008D2750">
      <w:pPr>
        <w:pStyle w:val="FootnoteText"/>
        <w:ind w:firstLine="720"/>
        <w:jc w:val="both"/>
        <w:rPr>
          <w:rFonts w:asciiTheme="majorHAnsi" w:hAnsiTheme="majorHAnsi"/>
          <w:sz w:val="16"/>
          <w:szCs w:val="16"/>
        </w:rPr>
      </w:pPr>
      <w:r>
        <w:rPr>
          <w:rFonts w:asciiTheme="majorHAnsi" w:hAnsiTheme="majorHAnsi"/>
          <w:sz w:val="16"/>
          <w:szCs w:val="16"/>
          <w:vertAlign w:val="superscript"/>
        </w:rPr>
        <w:t>4</w:t>
      </w:r>
      <w:r w:rsidR="00DC2297">
        <w:rPr>
          <w:rFonts w:asciiTheme="majorHAnsi" w:hAnsiTheme="majorHAnsi"/>
          <w:sz w:val="16"/>
          <w:szCs w:val="16"/>
        </w:rPr>
        <w:t>Hereinafter “the American Declaration” or “t</w:t>
      </w:r>
      <w:r>
        <w:rPr>
          <w:rFonts w:asciiTheme="majorHAnsi" w:hAnsiTheme="majorHAnsi"/>
          <w:sz w:val="16"/>
          <w:szCs w:val="16"/>
        </w:rPr>
        <w:t>he Declaration.”</w:t>
      </w:r>
    </w:p>
    <w:p w:rsidR="00997940" w:rsidRPr="008D2750" w:rsidRDefault="00997940" w:rsidP="008D2750">
      <w:pPr>
        <w:pStyle w:val="FootnoteText"/>
        <w:ind w:firstLine="720"/>
        <w:jc w:val="both"/>
        <w:rPr>
          <w:rFonts w:asciiTheme="majorHAnsi" w:hAnsiTheme="majorHAnsi"/>
          <w:sz w:val="16"/>
          <w:szCs w:val="16"/>
        </w:rPr>
      </w:pPr>
      <w:r>
        <w:rPr>
          <w:rFonts w:asciiTheme="majorHAnsi" w:hAnsiTheme="majorHAnsi"/>
          <w:sz w:val="16"/>
          <w:szCs w:val="16"/>
          <w:vertAlign w:val="superscript"/>
        </w:rPr>
        <w:t>5</w:t>
      </w:r>
      <w:r>
        <w:rPr>
          <w:rFonts w:asciiTheme="majorHAnsi" w:hAnsiTheme="majorHAnsi"/>
          <w:sz w:val="16"/>
          <w:szCs w:val="16"/>
        </w:rPr>
        <w:t>The observations of each party were duly transferred to the opposing party</w:t>
      </w:r>
      <w:r w:rsidR="00DC2297">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940" w:rsidRDefault="00860C36" w:rsidP="008D2750">
    <w:pPr>
      <w:pStyle w:val="Header"/>
      <w:framePr w:wrap="around" w:vAnchor="text" w:hAnchor="margin" w:xAlign="center" w:y="1"/>
      <w:rPr>
        <w:rStyle w:val="PageNumber"/>
        <w:rFonts w:eastAsia="Trebuchet MS"/>
      </w:rPr>
    </w:pPr>
    <w:r>
      <w:rPr>
        <w:rStyle w:val="PageNumber"/>
        <w:rFonts w:eastAsia="Trebuchet MS"/>
      </w:rPr>
      <w:fldChar w:fldCharType="begin"/>
    </w:r>
    <w:r w:rsidR="00997940">
      <w:rPr>
        <w:rStyle w:val="PageNumber"/>
        <w:rFonts w:eastAsia="Trebuchet MS"/>
      </w:rPr>
      <w:instrText xml:space="preserve">PAGE  </w:instrText>
    </w:r>
    <w:r>
      <w:rPr>
        <w:rStyle w:val="PageNumber"/>
        <w:rFonts w:eastAsia="Trebuchet MS"/>
      </w:rPr>
      <w:fldChar w:fldCharType="end"/>
    </w:r>
  </w:p>
  <w:p w:rsidR="00997940" w:rsidRDefault="00997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940" w:rsidRDefault="00997940" w:rsidP="008D2750">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97940" w:rsidRPr="00EC7D62" w:rsidRDefault="003C391E" w:rsidP="008D2750">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5B" w:rsidRDefault="0095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CD"/>
    <w:rsid w:val="00044906"/>
    <w:rsid w:val="000A3FBC"/>
    <w:rsid w:val="00100A98"/>
    <w:rsid w:val="00142DBB"/>
    <w:rsid w:val="00186399"/>
    <w:rsid w:val="00190587"/>
    <w:rsid w:val="001B5124"/>
    <w:rsid w:val="001E23D8"/>
    <w:rsid w:val="00203636"/>
    <w:rsid w:val="002751F1"/>
    <w:rsid w:val="003C391E"/>
    <w:rsid w:val="004214D5"/>
    <w:rsid w:val="00462766"/>
    <w:rsid w:val="004F7AA1"/>
    <w:rsid w:val="00507CC5"/>
    <w:rsid w:val="005E5BFD"/>
    <w:rsid w:val="006006FD"/>
    <w:rsid w:val="006938A8"/>
    <w:rsid w:val="00697888"/>
    <w:rsid w:val="006A3BCE"/>
    <w:rsid w:val="006D38F3"/>
    <w:rsid w:val="00744CEC"/>
    <w:rsid w:val="00773863"/>
    <w:rsid w:val="00852A8D"/>
    <w:rsid w:val="00860C36"/>
    <w:rsid w:val="008C2DA2"/>
    <w:rsid w:val="008D2750"/>
    <w:rsid w:val="009149F8"/>
    <w:rsid w:val="00936B23"/>
    <w:rsid w:val="00943313"/>
    <w:rsid w:val="0095175B"/>
    <w:rsid w:val="00997940"/>
    <w:rsid w:val="009F7ECD"/>
    <w:rsid w:val="00AA7B22"/>
    <w:rsid w:val="00B03C70"/>
    <w:rsid w:val="00B13FDD"/>
    <w:rsid w:val="00B47026"/>
    <w:rsid w:val="00B53113"/>
    <w:rsid w:val="00BA439A"/>
    <w:rsid w:val="00C020AD"/>
    <w:rsid w:val="00C30232"/>
    <w:rsid w:val="00C70E3F"/>
    <w:rsid w:val="00C920F2"/>
    <w:rsid w:val="00CB1000"/>
    <w:rsid w:val="00D459C2"/>
    <w:rsid w:val="00D967C4"/>
    <w:rsid w:val="00DC2297"/>
    <w:rsid w:val="00E66199"/>
    <w:rsid w:val="00F26271"/>
    <w:rsid w:val="00F3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7E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9F7ECD"/>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9F7ECD"/>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9F7ECD"/>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F7ECD"/>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9F7ECD"/>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9F7E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9F7ECD"/>
    <w:rPr>
      <w:rFonts w:ascii="Univers" w:eastAsia="Times New Roman" w:hAnsi="Univers" w:cs="Univers"/>
      <w:sz w:val="24"/>
      <w:szCs w:val="24"/>
    </w:rPr>
  </w:style>
  <w:style w:type="character" w:styleId="PageNumber">
    <w:name w:val="page number"/>
    <w:basedOn w:val="DefaultParagraphFont"/>
    <w:rsid w:val="009F7ECD"/>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9F7ECD"/>
    <w:rPr>
      <w:rFonts w:cs="Times New Roman"/>
      <w:vertAlign w:val="superscript"/>
    </w:rPr>
  </w:style>
  <w:style w:type="table" w:styleId="TableGrid">
    <w:name w:val="Table Grid"/>
    <w:basedOn w:val="TableNormal"/>
    <w:uiPriority w:val="59"/>
    <w:rsid w:val="009F7E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ECD"/>
    <w:rPr>
      <w:rFonts w:ascii="Tahoma" w:hAnsi="Tahoma" w:cs="Tahoma"/>
      <w:sz w:val="16"/>
      <w:szCs w:val="16"/>
    </w:rPr>
  </w:style>
  <w:style w:type="character" w:customStyle="1" w:styleId="BalloonTextChar">
    <w:name w:val="Balloon Text Char"/>
    <w:basedOn w:val="DefaultParagraphFont"/>
    <w:link w:val="BalloonText"/>
    <w:uiPriority w:val="99"/>
    <w:semiHidden/>
    <w:rsid w:val="009F7ECD"/>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183428374046BCB6E9F9DD5D28BA4D"/>
        <w:category>
          <w:name w:val="General"/>
          <w:gallery w:val="placeholder"/>
        </w:category>
        <w:types>
          <w:type w:val="bbPlcHdr"/>
        </w:types>
        <w:behaviors>
          <w:behavior w:val="content"/>
        </w:behaviors>
        <w:guid w:val="{789F12AA-4FD8-45FA-8F6A-99FC3FE5F6CF}"/>
      </w:docPartPr>
      <w:docPartBody>
        <w:p w:rsidR="000A4200" w:rsidRDefault="000A4200" w:rsidP="000A4200">
          <w:pPr>
            <w:pStyle w:val="8D183428374046BCB6E9F9DD5D28BA4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A4200"/>
    <w:rsid w:val="000A4200"/>
    <w:rsid w:val="00547C28"/>
    <w:rsid w:val="00C65713"/>
    <w:rsid w:val="00CA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200"/>
    <w:rPr>
      <w:color w:val="808080"/>
    </w:rPr>
  </w:style>
  <w:style w:type="paragraph" w:customStyle="1" w:styleId="8D183428374046BCB6E9F9DD5D28BA4D">
    <w:name w:val="8D183428374046BCB6E9F9DD5D28BA4D"/>
    <w:rsid w:val="000A4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890F-7998-4641-8237-22D5E0D5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14740</Characters>
  <Application>Microsoft Office Word</Application>
  <DocSecurity>0</DocSecurity>
  <Lines>294</Lines>
  <Paragraphs>90</Paragraphs>
  <ScaleCrop>false</ScaleCrop>
  <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163/20</dc:title>
  <dc:creator/>
  <cp:lastModifiedBy/>
  <cp:revision>1</cp:revision>
  <dcterms:created xsi:type="dcterms:W3CDTF">2020-08-03T17:15:00Z</dcterms:created>
  <dcterms:modified xsi:type="dcterms:W3CDTF">2020-08-03T17:15:00Z</dcterms:modified>
</cp:coreProperties>
</file>