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EF07FA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506C6">
                              <w:rPr>
                                <w:rFonts w:asciiTheme="majorHAnsi" w:hAnsiTheme="majorHAnsi" w:cs="Arial"/>
                                <w:b/>
                                <w:bCs/>
                                <w:color w:val="0D0D0D" w:themeColor="text1" w:themeTint="F2"/>
                                <w:sz w:val="36"/>
                                <w:szCs w:val="40"/>
                              </w:rPr>
                              <w:t>90</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46A9E9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17487">
                              <w:rPr>
                                <w:rFonts w:asciiTheme="majorHAnsi" w:hAnsiTheme="majorHAnsi" w:cs="Arial"/>
                                <w:b/>
                                <w:bCs/>
                                <w:color w:val="0D0D0D" w:themeColor="text1" w:themeTint="F2"/>
                                <w:sz w:val="36"/>
                                <w:szCs w:val="40"/>
                              </w:rPr>
                              <w:t>1694</w:t>
                            </w:r>
                            <w:r>
                              <w:rPr>
                                <w:rFonts w:asciiTheme="majorHAnsi" w:hAnsiTheme="majorHAnsi" w:cs="Arial"/>
                                <w:b/>
                                <w:bCs/>
                                <w:color w:val="0D0D0D" w:themeColor="text1" w:themeTint="F2"/>
                                <w:sz w:val="36"/>
                                <w:szCs w:val="40"/>
                              </w:rPr>
                              <w:t>-</w:t>
                            </w:r>
                            <w:r w:rsidR="00517487">
                              <w:rPr>
                                <w:rFonts w:asciiTheme="majorHAnsi" w:hAnsiTheme="majorHAnsi" w:cs="Arial"/>
                                <w:b/>
                                <w:bCs/>
                                <w:color w:val="0D0D0D" w:themeColor="text1" w:themeTint="F2"/>
                                <w:sz w:val="36"/>
                                <w:szCs w:val="40"/>
                              </w:rPr>
                              <w:t>09</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520D2A1" w:rsidR="00261E08" w:rsidRPr="00E5382F" w:rsidRDefault="00517487"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5382F">
                              <w:rPr>
                                <w:rFonts w:ascii="Cambria" w:hAnsi="Cambria" w:cs="Arial"/>
                                <w:color w:val="0D0D0D"/>
                                <w:szCs w:val="22"/>
                                <w:lang w:val="es-ES"/>
                              </w:rPr>
                              <w:t>JUAN ALEJANDRO VARGAS CONTRERAS AND FAMILY</w:t>
                            </w:r>
                          </w:p>
                          <w:p w14:paraId="67476ECA" w14:textId="092CC9FD" w:rsidR="005B52B0" w:rsidRPr="000C4365" w:rsidRDefault="00517487"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4EF07FA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506C6">
                        <w:rPr>
                          <w:rFonts w:asciiTheme="majorHAnsi" w:hAnsiTheme="majorHAnsi" w:cs="Arial"/>
                          <w:b/>
                          <w:bCs/>
                          <w:color w:val="0D0D0D" w:themeColor="text1" w:themeTint="F2"/>
                          <w:sz w:val="36"/>
                          <w:szCs w:val="40"/>
                        </w:rPr>
                        <w:t>90</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646A9E9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17487">
                        <w:rPr>
                          <w:rFonts w:asciiTheme="majorHAnsi" w:hAnsiTheme="majorHAnsi" w:cs="Arial"/>
                          <w:b/>
                          <w:bCs/>
                          <w:color w:val="0D0D0D" w:themeColor="text1" w:themeTint="F2"/>
                          <w:sz w:val="36"/>
                          <w:szCs w:val="40"/>
                        </w:rPr>
                        <w:t>1694</w:t>
                      </w:r>
                      <w:r>
                        <w:rPr>
                          <w:rFonts w:asciiTheme="majorHAnsi" w:hAnsiTheme="majorHAnsi" w:cs="Arial"/>
                          <w:b/>
                          <w:bCs/>
                          <w:color w:val="0D0D0D" w:themeColor="text1" w:themeTint="F2"/>
                          <w:sz w:val="36"/>
                          <w:szCs w:val="40"/>
                        </w:rPr>
                        <w:t>-</w:t>
                      </w:r>
                      <w:r w:rsidR="00517487">
                        <w:rPr>
                          <w:rFonts w:asciiTheme="majorHAnsi" w:hAnsiTheme="majorHAnsi" w:cs="Arial"/>
                          <w:b/>
                          <w:bCs/>
                          <w:color w:val="0D0D0D" w:themeColor="text1" w:themeTint="F2"/>
                          <w:sz w:val="36"/>
                          <w:szCs w:val="40"/>
                        </w:rPr>
                        <w:t>09</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520D2A1" w:rsidR="00261E08" w:rsidRPr="00E5382F" w:rsidRDefault="00517487"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5382F">
                        <w:rPr>
                          <w:rFonts w:ascii="Cambria" w:hAnsi="Cambria" w:cs="Arial"/>
                          <w:color w:val="0D0D0D"/>
                          <w:szCs w:val="22"/>
                          <w:lang w:val="es-ES"/>
                        </w:rPr>
                        <w:t>JUAN ALEJANDRO VARGAS CONTRERAS AND FAMILY</w:t>
                      </w:r>
                    </w:p>
                    <w:p w14:paraId="67476ECA" w14:textId="092CC9FD" w:rsidR="005B52B0" w:rsidRPr="000C4365" w:rsidRDefault="00517487"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04F756F" w:rsidR="00627C9F" w:rsidRPr="00C74E2C" w:rsidRDefault="009E566A" w:rsidP="009E566A">
                            <w:pPr>
                              <w:jc w:val="right"/>
                              <w:rPr>
                                <w:rFonts w:asciiTheme="minorHAnsi" w:hAnsiTheme="minorHAnsi"/>
                                <w:color w:val="FFFFFF" w:themeColor="background1"/>
                                <w:sz w:val="22"/>
                                <w:lang w:val="es-US"/>
                              </w:rPr>
                            </w:pPr>
                            <w:r w:rsidRPr="00C74E2C">
                              <w:rPr>
                                <w:rFonts w:asciiTheme="minorHAnsi" w:hAnsiTheme="minorHAnsi"/>
                                <w:color w:val="FFFFFF" w:themeColor="background1"/>
                                <w:sz w:val="22"/>
                                <w:lang w:val="es-US"/>
                              </w:rPr>
                              <w:t>OEA/</w:t>
                            </w:r>
                            <w:proofErr w:type="spellStart"/>
                            <w:r w:rsidRPr="00C74E2C">
                              <w:rPr>
                                <w:rFonts w:asciiTheme="minorHAnsi" w:hAnsiTheme="minorHAnsi"/>
                                <w:color w:val="FFFFFF" w:themeColor="background1"/>
                                <w:sz w:val="22"/>
                                <w:lang w:val="es-US"/>
                              </w:rPr>
                              <w:t>Ser.L</w:t>
                            </w:r>
                            <w:proofErr w:type="spellEnd"/>
                            <w:r w:rsidRPr="00C74E2C">
                              <w:rPr>
                                <w:rFonts w:asciiTheme="minorHAnsi" w:hAnsiTheme="minorHAnsi"/>
                                <w:color w:val="FFFFFF" w:themeColor="background1"/>
                                <w:sz w:val="22"/>
                                <w:lang w:val="es-US"/>
                              </w:rPr>
                              <w:t>/V/II.</w:t>
                            </w:r>
                            <w:r w:rsidR="002F2697" w:rsidRPr="00C74E2C">
                              <w:rPr>
                                <w:rFonts w:asciiTheme="minorHAnsi" w:hAnsiTheme="minorHAnsi"/>
                                <w:color w:val="FF0000"/>
                                <w:sz w:val="22"/>
                                <w:lang w:val="es-US"/>
                              </w:rPr>
                              <w:t xml:space="preserve"> </w:t>
                            </w:r>
                          </w:p>
                          <w:p w14:paraId="2B86BB36" w14:textId="72B89750" w:rsidR="00627C9F" w:rsidRPr="00F27039" w:rsidRDefault="00CA6577" w:rsidP="009E566A">
                            <w:pPr>
                              <w:jc w:val="right"/>
                              <w:rPr>
                                <w:rFonts w:asciiTheme="minorHAnsi" w:hAnsiTheme="minorHAnsi"/>
                                <w:color w:val="FFFFFF" w:themeColor="background1"/>
                                <w:sz w:val="22"/>
                                <w:highlight w:val="cyan"/>
                              </w:rPr>
                            </w:pPr>
                            <w:r w:rsidRPr="00F27039">
                              <w:rPr>
                                <w:rFonts w:asciiTheme="minorHAnsi" w:hAnsiTheme="minorHAnsi"/>
                                <w:color w:val="FFFFFF" w:themeColor="background1"/>
                                <w:sz w:val="22"/>
                              </w:rPr>
                              <w:t>Doc.</w:t>
                            </w:r>
                            <w:r w:rsidR="00F27039" w:rsidRPr="00F27039">
                              <w:rPr>
                                <w:rFonts w:asciiTheme="minorHAnsi" w:hAnsiTheme="minorHAnsi"/>
                                <w:color w:val="FFFFFF" w:themeColor="background1"/>
                                <w:sz w:val="22"/>
                              </w:rPr>
                              <w:t xml:space="preserve"> 1</w:t>
                            </w:r>
                            <w:r w:rsidR="00F27039">
                              <w:rPr>
                                <w:rFonts w:asciiTheme="minorHAnsi" w:hAnsiTheme="minorHAnsi"/>
                                <w:color w:val="FFFFFF" w:themeColor="background1"/>
                                <w:sz w:val="22"/>
                              </w:rPr>
                              <w:t>00</w:t>
                            </w:r>
                          </w:p>
                          <w:p w14:paraId="6AC8D657" w14:textId="5D3CC08E" w:rsidR="00627C9F" w:rsidRPr="004B7EB6" w:rsidRDefault="00F27039" w:rsidP="009E566A">
                            <w:pPr>
                              <w:jc w:val="right"/>
                              <w:rPr>
                                <w:rFonts w:asciiTheme="minorHAnsi" w:hAnsiTheme="minorHAnsi"/>
                                <w:color w:val="FFFFFF" w:themeColor="background1"/>
                                <w:sz w:val="22"/>
                              </w:rPr>
                            </w:pPr>
                            <w:r>
                              <w:rPr>
                                <w:rFonts w:asciiTheme="minorHAnsi" w:hAnsiTheme="minorHAnsi"/>
                                <w:color w:val="FFFFFF" w:themeColor="background1"/>
                                <w:sz w:val="22"/>
                              </w:rPr>
                              <w:t>13 May</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404F756F" w:rsidR="00627C9F" w:rsidRPr="00F27039" w:rsidRDefault="009E566A" w:rsidP="009E566A">
                      <w:pPr>
                        <w:jc w:val="right"/>
                        <w:rPr>
                          <w:rFonts w:asciiTheme="minorHAnsi" w:hAnsiTheme="minorHAnsi"/>
                          <w:color w:val="FFFFFF" w:themeColor="background1"/>
                          <w:sz w:val="22"/>
                        </w:rPr>
                      </w:pPr>
                      <w:r w:rsidRPr="00F27039">
                        <w:rPr>
                          <w:rFonts w:asciiTheme="minorHAnsi" w:hAnsiTheme="minorHAnsi"/>
                          <w:color w:val="FFFFFF" w:themeColor="background1"/>
                          <w:sz w:val="22"/>
                        </w:rPr>
                        <w:t>OEA/Ser.L/V/II.</w:t>
                      </w:r>
                      <w:r w:rsidR="002F2697" w:rsidRPr="00F27039">
                        <w:rPr>
                          <w:rFonts w:asciiTheme="minorHAnsi" w:hAnsiTheme="minorHAnsi"/>
                          <w:color w:val="FF0000"/>
                          <w:sz w:val="22"/>
                        </w:rPr>
                        <w:t xml:space="preserve"> </w:t>
                      </w:r>
                    </w:p>
                    <w:p w14:paraId="2B86BB36" w14:textId="72B89750" w:rsidR="00627C9F" w:rsidRPr="00F27039" w:rsidRDefault="00CA6577" w:rsidP="009E566A">
                      <w:pPr>
                        <w:jc w:val="right"/>
                        <w:rPr>
                          <w:rFonts w:asciiTheme="minorHAnsi" w:hAnsiTheme="minorHAnsi"/>
                          <w:color w:val="FFFFFF" w:themeColor="background1"/>
                          <w:sz w:val="22"/>
                          <w:highlight w:val="cyan"/>
                        </w:rPr>
                      </w:pPr>
                      <w:r w:rsidRPr="00F27039">
                        <w:rPr>
                          <w:rFonts w:asciiTheme="minorHAnsi" w:hAnsiTheme="minorHAnsi"/>
                          <w:color w:val="FFFFFF" w:themeColor="background1"/>
                          <w:sz w:val="22"/>
                        </w:rPr>
                        <w:t>Doc.</w:t>
                      </w:r>
                      <w:r w:rsidR="00F27039" w:rsidRPr="00F27039">
                        <w:rPr>
                          <w:rFonts w:asciiTheme="minorHAnsi" w:hAnsiTheme="minorHAnsi"/>
                          <w:color w:val="FFFFFF" w:themeColor="background1"/>
                          <w:sz w:val="22"/>
                        </w:rPr>
                        <w:t xml:space="preserve"> 1</w:t>
                      </w:r>
                      <w:r w:rsidR="00F27039">
                        <w:rPr>
                          <w:rFonts w:asciiTheme="minorHAnsi" w:hAnsiTheme="minorHAnsi"/>
                          <w:color w:val="FFFFFF" w:themeColor="background1"/>
                          <w:sz w:val="22"/>
                        </w:rPr>
                        <w:t>00</w:t>
                      </w:r>
                    </w:p>
                    <w:p w14:paraId="6AC8D657" w14:textId="5D3CC08E" w:rsidR="00627C9F" w:rsidRPr="004B7EB6" w:rsidRDefault="00F27039" w:rsidP="009E566A">
                      <w:pPr>
                        <w:jc w:val="right"/>
                        <w:rPr>
                          <w:rFonts w:asciiTheme="minorHAnsi" w:hAnsiTheme="minorHAnsi"/>
                          <w:color w:val="FFFFFF" w:themeColor="background1"/>
                          <w:sz w:val="22"/>
                        </w:rPr>
                      </w:pPr>
                      <w:r>
                        <w:rPr>
                          <w:rFonts w:asciiTheme="minorHAnsi" w:hAnsiTheme="minorHAnsi"/>
                          <w:color w:val="FFFFFF" w:themeColor="background1"/>
                          <w:sz w:val="22"/>
                        </w:rPr>
                        <w:t>13 May</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D42AF18" w:rsidR="009B306D" w:rsidRPr="009B306D" w:rsidRDefault="009506C6"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Pr="00517487">
                              <w:rPr>
                                <w:rFonts w:asciiTheme="majorHAnsi" w:hAnsiTheme="majorHAnsi"/>
                                <w:color w:val="0D0D0D" w:themeColor="text1" w:themeTint="F2"/>
                                <w:sz w:val="20"/>
                              </w:rPr>
                              <w:t xml:space="preserve"> </w:t>
                            </w:r>
                            <w:r>
                              <w:rPr>
                                <w:rFonts w:asciiTheme="majorHAnsi" w:hAnsiTheme="majorHAnsi"/>
                                <w:color w:val="0D0D0D" w:themeColor="text1" w:themeTint="F2"/>
                                <w:sz w:val="20"/>
                              </w:rPr>
                              <w:t>2</w:t>
                            </w:r>
                            <w:r w:rsidR="009B306D" w:rsidRPr="00517487">
                              <w:rPr>
                                <w:rFonts w:asciiTheme="majorHAnsi" w:hAnsiTheme="majorHAnsi"/>
                                <w:color w:val="0D0D0D" w:themeColor="text1" w:themeTint="F2"/>
                                <w:sz w:val="20"/>
                              </w:rPr>
                              <w:t>0</w:t>
                            </w:r>
                            <w:r w:rsidR="002F2697" w:rsidRPr="00517487">
                              <w:rPr>
                                <w:rFonts w:asciiTheme="majorHAnsi" w:hAnsiTheme="majorHAnsi"/>
                                <w:color w:val="0D0D0D" w:themeColor="text1" w:themeTint="F2"/>
                                <w:sz w:val="20"/>
                              </w:rPr>
                              <w:t>20</w:t>
                            </w:r>
                            <w:r w:rsidR="00C74E2C">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D42AF18" w:rsidR="009B306D" w:rsidRPr="009B306D" w:rsidRDefault="009506C6"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Pr="00517487">
                        <w:rPr>
                          <w:rFonts w:asciiTheme="majorHAnsi" w:hAnsiTheme="majorHAnsi"/>
                          <w:color w:val="0D0D0D" w:themeColor="text1" w:themeTint="F2"/>
                          <w:sz w:val="20"/>
                        </w:rPr>
                        <w:t xml:space="preserve"> </w:t>
                      </w:r>
                      <w:r>
                        <w:rPr>
                          <w:rFonts w:asciiTheme="majorHAnsi" w:hAnsiTheme="majorHAnsi"/>
                          <w:color w:val="0D0D0D" w:themeColor="text1" w:themeTint="F2"/>
                          <w:sz w:val="20"/>
                        </w:rPr>
                        <w:t>2</w:t>
                      </w:r>
                      <w:r w:rsidR="009B306D" w:rsidRPr="00517487">
                        <w:rPr>
                          <w:rFonts w:asciiTheme="majorHAnsi" w:hAnsiTheme="majorHAnsi"/>
                          <w:color w:val="0D0D0D" w:themeColor="text1" w:themeTint="F2"/>
                          <w:sz w:val="20"/>
                        </w:rPr>
                        <w:t>0</w:t>
                      </w:r>
                      <w:r w:rsidR="002F2697" w:rsidRPr="00517487">
                        <w:rPr>
                          <w:rFonts w:asciiTheme="majorHAnsi" w:hAnsiTheme="majorHAnsi"/>
                          <w:color w:val="0D0D0D" w:themeColor="text1" w:themeTint="F2"/>
                          <w:sz w:val="20"/>
                        </w:rPr>
                        <w:t>20</w:t>
                      </w:r>
                      <w:r w:rsidR="00C74E2C">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60FE0E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506C6">
                              <w:rPr>
                                <w:rFonts w:asciiTheme="majorHAnsi" w:hAnsiTheme="majorHAnsi"/>
                                <w:color w:val="595959" w:themeColor="text1" w:themeTint="A6"/>
                                <w:sz w:val="18"/>
                              </w:rPr>
                              <w:t xml:space="preserve"> 90/20</w:t>
                            </w:r>
                            <w:r w:rsidRPr="009506C6">
                              <w:rPr>
                                <w:rFonts w:asciiTheme="majorHAnsi" w:hAnsiTheme="majorHAnsi"/>
                                <w:color w:val="595959" w:themeColor="text1" w:themeTint="A6"/>
                                <w:sz w:val="18"/>
                              </w:rPr>
                              <w:t xml:space="preserve">, </w:t>
                            </w:r>
                            <w:r w:rsidR="00F42B71" w:rsidRPr="009506C6">
                              <w:rPr>
                                <w:rFonts w:asciiTheme="majorHAnsi" w:hAnsiTheme="majorHAnsi"/>
                                <w:color w:val="595959" w:themeColor="text1" w:themeTint="A6"/>
                                <w:sz w:val="18"/>
                              </w:rPr>
                              <w:t>P</w:t>
                            </w:r>
                            <w:r w:rsidR="009506C6">
                              <w:rPr>
                                <w:rFonts w:asciiTheme="majorHAnsi" w:hAnsiTheme="majorHAnsi"/>
                                <w:color w:val="595959" w:themeColor="text1" w:themeTint="A6"/>
                                <w:sz w:val="18"/>
                              </w:rPr>
                              <w:t xml:space="preserve">etition </w:t>
                            </w:r>
                            <w:r w:rsidR="00517487" w:rsidRPr="009506C6">
                              <w:rPr>
                                <w:rFonts w:asciiTheme="majorHAnsi" w:hAnsiTheme="majorHAnsi"/>
                                <w:color w:val="595959" w:themeColor="text1" w:themeTint="A6"/>
                                <w:sz w:val="18"/>
                              </w:rPr>
                              <w:t>1649</w:t>
                            </w:r>
                            <w:r w:rsidR="00F621C3" w:rsidRPr="009506C6">
                              <w:rPr>
                                <w:rFonts w:asciiTheme="majorHAnsi" w:hAnsiTheme="majorHAnsi"/>
                                <w:color w:val="595959" w:themeColor="text1" w:themeTint="A6"/>
                                <w:sz w:val="18"/>
                              </w:rPr>
                              <w:t>-</w:t>
                            </w:r>
                            <w:r w:rsidR="00517487" w:rsidRPr="009506C6">
                              <w:rPr>
                                <w:rFonts w:asciiTheme="majorHAnsi" w:hAnsiTheme="majorHAnsi"/>
                                <w:color w:val="595959" w:themeColor="text1" w:themeTint="A6"/>
                                <w:sz w:val="18"/>
                              </w:rPr>
                              <w:t>09</w:t>
                            </w:r>
                            <w:r w:rsidRPr="009506C6">
                              <w:rPr>
                                <w:rFonts w:asciiTheme="majorHAnsi" w:hAnsiTheme="majorHAnsi"/>
                                <w:color w:val="595959" w:themeColor="text1" w:themeTint="A6"/>
                                <w:sz w:val="18"/>
                              </w:rPr>
                              <w:t>.</w:t>
                            </w:r>
                            <w:r w:rsidR="009E566A" w:rsidRPr="009506C6">
                              <w:rPr>
                                <w:rFonts w:asciiTheme="majorHAnsi" w:hAnsiTheme="majorHAnsi"/>
                                <w:color w:val="595959" w:themeColor="text1" w:themeTint="A6"/>
                                <w:sz w:val="18"/>
                              </w:rPr>
                              <w:t xml:space="preserve"> </w:t>
                            </w:r>
                            <w:proofErr w:type="spellStart"/>
                            <w:r w:rsidR="00F42B71" w:rsidRPr="00C74E2C">
                              <w:rPr>
                                <w:rFonts w:asciiTheme="majorHAnsi" w:hAnsiTheme="majorHAnsi"/>
                                <w:color w:val="595959" w:themeColor="text1" w:themeTint="A6"/>
                                <w:sz w:val="18"/>
                                <w:lang w:val="es-US"/>
                              </w:rPr>
                              <w:t>Admissibility</w:t>
                            </w:r>
                            <w:proofErr w:type="spellEnd"/>
                            <w:r w:rsidRPr="00C74E2C">
                              <w:rPr>
                                <w:rFonts w:asciiTheme="majorHAnsi" w:hAnsiTheme="majorHAnsi"/>
                                <w:color w:val="595959" w:themeColor="text1" w:themeTint="A6"/>
                                <w:sz w:val="18"/>
                                <w:lang w:val="es-US"/>
                              </w:rPr>
                              <w:t xml:space="preserve">. </w:t>
                            </w:r>
                            <w:r w:rsidR="00517487" w:rsidRPr="00C74E2C">
                              <w:rPr>
                                <w:rFonts w:asciiTheme="majorHAnsi" w:hAnsiTheme="majorHAnsi"/>
                                <w:color w:val="595959" w:themeColor="text1" w:themeTint="A6"/>
                                <w:sz w:val="18"/>
                                <w:lang w:val="es-US"/>
                              </w:rPr>
                              <w:t>Juan Alejandro Vargas Contreras</w:t>
                            </w:r>
                            <w:r w:rsidRPr="00C74E2C">
                              <w:rPr>
                                <w:rFonts w:asciiTheme="majorHAnsi" w:hAnsiTheme="majorHAnsi"/>
                                <w:color w:val="595959" w:themeColor="text1" w:themeTint="A6"/>
                                <w:sz w:val="18"/>
                                <w:lang w:val="es-US"/>
                              </w:rPr>
                              <w:t xml:space="preserve">. </w:t>
                            </w:r>
                            <w:r w:rsidR="00517487" w:rsidRPr="009506C6">
                              <w:rPr>
                                <w:rFonts w:asciiTheme="majorHAnsi" w:hAnsiTheme="majorHAnsi"/>
                                <w:color w:val="595959" w:themeColor="text1" w:themeTint="A6"/>
                                <w:sz w:val="18"/>
                              </w:rPr>
                              <w:t>Chile</w:t>
                            </w:r>
                            <w:r w:rsidR="00022CF5" w:rsidRPr="009506C6">
                              <w:rPr>
                                <w:rFonts w:asciiTheme="majorHAnsi" w:hAnsiTheme="majorHAnsi"/>
                                <w:color w:val="595959" w:themeColor="text1" w:themeTint="A6"/>
                                <w:sz w:val="18"/>
                              </w:rPr>
                              <w:t>.</w:t>
                            </w:r>
                            <w:r w:rsidR="009506C6">
                              <w:rPr>
                                <w:rFonts w:asciiTheme="majorHAnsi" w:hAnsiTheme="majorHAnsi"/>
                                <w:color w:val="595959" w:themeColor="text1" w:themeTint="A6"/>
                                <w:sz w:val="18"/>
                              </w:rPr>
                              <w:t xml:space="preserve"> May 13,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060FE0E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506C6">
                        <w:rPr>
                          <w:rFonts w:asciiTheme="majorHAnsi" w:hAnsiTheme="majorHAnsi"/>
                          <w:color w:val="595959" w:themeColor="text1" w:themeTint="A6"/>
                          <w:sz w:val="18"/>
                        </w:rPr>
                        <w:t xml:space="preserve"> 90/20</w:t>
                      </w:r>
                      <w:r w:rsidRPr="009506C6">
                        <w:rPr>
                          <w:rFonts w:asciiTheme="majorHAnsi" w:hAnsiTheme="majorHAnsi"/>
                          <w:color w:val="595959" w:themeColor="text1" w:themeTint="A6"/>
                          <w:sz w:val="18"/>
                        </w:rPr>
                        <w:t xml:space="preserve">, </w:t>
                      </w:r>
                      <w:r w:rsidR="00F42B71" w:rsidRPr="009506C6">
                        <w:rPr>
                          <w:rFonts w:asciiTheme="majorHAnsi" w:hAnsiTheme="majorHAnsi"/>
                          <w:color w:val="595959" w:themeColor="text1" w:themeTint="A6"/>
                          <w:sz w:val="18"/>
                        </w:rPr>
                        <w:t>P</w:t>
                      </w:r>
                      <w:r w:rsidR="009506C6">
                        <w:rPr>
                          <w:rFonts w:asciiTheme="majorHAnsi" w:hAnsiTheme="majorHAnsi"/>
                          <w:color w:val="595959" w:themeColor="text1" w:themeTint="A6"/>
                          <w:sz w:val="18"/>
                        </w:rPr>
                        <w:t xml:space="preserve">etition </w:t>
                      </w:r>
                      <w:r w:rsidR="00517487" w:rsidRPr="009506C6">
                        <w:rPr>
                          <w:rFonts w:asciiTheme="majorHAnsi" w:hAnsiTheme="majorHAnsi"/>
                          <w:color w:val="595959" w:themeColor="text1" w:themeTint="A6"/>
                          <w:sz w:val="18"/>
                        </w:rPr>
                        <w:t>1649</w:t>
                      </w:r>
                      <w:r w:rsidR="00F621C3" w:rsidRPr="009506C6">
                        <w:rPr>
                          <w:rFonts w:asciiTheme="majorHAnsi" w:hAnsiTheme="majorHAnsi"/>
                          <w:color w:val="595959" w:themeColor="text1" w:themeTint="A6"/>
                          <w:sz w:val="18"/>
                        </w:rPr>
                        <w:t>-</w:t>
                      </w:r>
                      <w:r w:rsidR="00517487" w:rsidRPr="009506C6">
                        <w:rPr>
                          <w:rFonts w:asciiTheme="majorHAnsi" w:hAnsiTheme="majorHAnsi"/>
                          <w:color w:val="595959" w:themeColor="text1" w:themeTint="A6"/>
                          <w:sz w:val="18"/>
                        </w:rPr>
                        <w:t>09</w:t>
                      </w:r>
                      <w:r w:rsidRPr="009506C6">
                        <w:rPr>
                          <w:rFonts w:asciiTheme="majorHAnsi" w:hAnsiTheme="majorHAnsi"/>
                          <w:color w:val="595959" w:themeColor="text1" w:themeTint="A6"/>
                          <w:sz w:val="18"/>
                        </w:rPr>
                        <w:t>.</w:t>
                      </w:r>
                      <w:r w:rsidR="009E566A" w:rsidRPr="009506C6">
                        <w:rPr>
                          <w:rFonts w:asciiTheme="majorHAnsi" w:hAnsiTheme="majorHAnsi"/>
                          <w:color w:val="595959" w:themeColor="text1" w:themeTint="A6"/>
                          <w:sz w:val="18"/>
                        </w:rPr>
                        <w:t xml:space="preserve"> </w:t>
                      </w:r>
                      <w:r w:rsidR="00F42B71" w:rsidRPr="009506C6">
                        <w:rPr>
                          <w:rFonts w:asciiTheme="majorHAnsi" w:hAnsiTheme="majorHAnsi"/>
                          <w:color w:val="595959" w:themeColor="text1" w:themeTint="A6"/>
                          <w:sz w:val="18"/>
                        </w:rPr>
                        <w:t>Admissibility</w:t>
                      </w:r>
                      <w:r w:rsidRPr="009506C6">
                        <w:rPr>
                          <w:rFonts w:asciiTheme="majorHAnsi" w:hAnsiTheme="majorHAnsi"/>
                          <w:color w:val="595959" w:themeColor="text1" w:themeTint="A6"/>
                          <w:sz w:val="18"/>
                        </w:rPr>
                        <w:t xml:space="preserve">. </w:t>
                      </w:r>
                      <w:r w:rsidR="00517487" w:rsidRPr="009506C6">
                        <w:rPr>
                          <w:rFonts w:asciiTheme="majorHAnsi" w:hAnsiTheme="majorHAnsi"/>
                          <w:color w:val="595959" w:themeColor="text1" w:themeTint="A6"/>
                          <w:sz w:val="18"/>
                        </w:rPr>
                        <w:t>Juan Alejandro Vargas Contreras</w:t>
                      </w:r>
                      <w:r w:rsidRPr="009506C6">
                        <w:rPr>
                          <w:rFonts w:asciiTheme="majorHAnsi" w:hAnsiTheme="majorHAnsi"/>
                          <w:color w:val="595959" w:themeColor="text1" w:themeTint="A6"/>
                          <w:sz w:val="18"/>
                        </w:rPr>
                        <w:t xml:space="preserve">. </w:t>
                      </w:r>
                      <w:r w:rsidR="00517487" w:rsidRPr="009506C6">
                        <w:rPr>
                          <w:rFonts w:asciiTheme="majorHAnsi" w:hAnsiTheme="majorHAnsi"/>
                          <w:color w:val="595959" w:themeColor="text1" w:themeTint="A6"/>
                          <w:sz w:val="18"/>
                        </w:rPr>
                        <w:t>Chile</w:t>
                      </w:r>
                      <w:r w:rsidR="00022CF5" w:rsidRPr="009506C6">
                        <w:rPr>
                          <w:rFonts w:asciiTheme="majorHAnsi" w:hAnsiTheme="majorHAnsi"/>
                          <w:color w:val="595959" w:themeColor="text1" w:themeTint="A6"/>
                          <w:sz w:val="18"/>
                        </w:rPr>
                        <w:t>.</w:t>
                      </w:r>
                      <w:r w:rsidR="009506C6">
                        <w:rPr>
                          <w:rFonts w:asciiTheme="majorHAnsi" w:hAnsiTheme="majorHAnsi"/>
                          <w:color w:val="595959" w:themeColor="text1" w:themeTint="A6"/>
                          <w:sz w:val="18"/>
                        </w:rPr>
                        <w:t xml:space="preserve"> May 13,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3DEF96C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06C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3DEF96C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06C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261E08" w:rsidRPr="00C74E2C" w14:paraId="0D1CC739" w14:textId="77777777" w:rsidTr="00C93120">
        <w:tc>
          <w:tcPr>
            <w:tcW w:w="2790" w:type="dxa"/>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44333DD3" w:rsidR="00261E08" w:rsidRPr="005453AE" w:rsidRDefault="005453AE" w:rsidP="009163FC">
            <w:pPr>
              <w:jc w:val="both"/>
              <w:rPr>
                <w:rFonts w:asciiTheme="majorHAnsi" w:hAnsiTheme="majorHAnsi"/>
                <w:bCs/>
                <w:sz w:val="19"/>
                <w:szCs w:val="19"/>
                <w:lang w:val="es-ES"/>
              </w:rPr>
            </w:pPr>
            <w:r w:rsidRPr="005453AE">
              <w:rPr>
                <w:rFonts w:asciiTheme="majorHAnsi" w:hAnsiTheme="majorHAnsi"/>
                <w:bCs/>
                <w:sz w:val="19"/>
                <w:szCs w:val="19"/>
                <w:lang w:val="es-ES"/>
              </w:rPr>
              <w:t xml:space="preserve">Nelson </w:t>
            </w:r>
            <w:proofErr w:type="spellStart"/>
            <w:r w:rsidRPr="005453AE">
              <w:rPr>
                <w:rFonts w:asciiTheme="majorHAnsi" w:hAnsiTheme="majorHAnsi"/>
                <w:bCs/>
                <w:sz w:val="19"/>
                <w:szCs w:val="19"/>
                <w:lang w:val="es-ES"/>
              </w:rPr>
              <w:t>Caucoto</w:t>
            </w:r>
            <w:proofErr w:type="spellEnd"/>
            <w:r w:rsidRPr="005453AE">
              <w:rPr>
                <w:rFonts w:asciiTheme="majorHAnsi" w:hAnsiTheme="majorHAnsi"/>
                <w:bCs/>
                <w:sz w:val="19"/>
                <w:szCs w:val="19"/>
                <w:lang w:val="es-ES"/>
              </w:rPr>
              <w:t xml:space="preserve"> Pereira and Mar</w:t>
            </w:r>
            <w:r>
              <w:rPr>
                <w:rFonts w:asciiTheme="majorHAnsi" w:hAnsiTheme="majorHAnsi"/>
                <w:bCs/>
                <w:sz w:val="19"/>
                <w:szCs w:val="19"/>
                <w:lang w:val="es-ES"/>
              </w:rPr>
              <w:t>ía Graciela Vargas Contreras</w:t>
            </w:r>
            <w:r>
              <w:rPr>
                <w:rStyle w:val="FootnoteReference"/>
                <w:rFonts w:asciiTheme="majorHAnsi" w:hAnsiTheme="majorHAnsi"/>
                <w:bCs/>
                <w:sz w:val="19"/>
                <w:szCs w:val="19"/>
                <w:lang w:val="es-ES"/>
              </w:rPr>
              <w:footnoteReference w:id="2"/>
            </w:r>
          </w:p>
        </w:tc>
      </w:tr>
      <w:tr w:rsidR="00261E08" w:rsidRPr="00C74E2C" w14:paraId="4A730984" w14:textId="77777777" w:rsidTr="00C93120">
        <w:tc>
          <w:tcPr>
            <w:tcW w:w="2790" w:type="dxa"/>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20E04CF6" w:rsidR="00261E08" w:rsidRPr="005453AE" w:rsidRDefault="005453AE" w:rsidP="009163FC">
            <w:pPr>
              <w:jc w:val="both"/>
              <w:rPr>
                <w:rFonts w:asciiTheme="majorHAnsi" w:hAnsiTheme="majorHAnsi"/>
                <w:bCs/>
                <w:sz w:val="19"/>
                <w:szCs w:val="19"/>
                <w:lang w:val="es-ES"/>
              </w:rPr>
            </w:pPr>
            <w:r w:rsidRPr="005453AE">
              <w:rPr>
                <w:rFonts w:asciiTheme="majorHAnsi" w:hAnsiTheme="majorHAnsi"/>
                <w:bCs/>
                <w:sz w:val="19"/>
                <w:szCs w:val="19"/>
                <w:lang w:val="es-ES"/>
              </w:rPr>
              <w:t>Juan Alejandro Vargas Contreras a</w:t>
            </w:r>
            <w:r>
              <w:rPr>
                <w:rFonts w:asciiTheme="majorHAnsi" w:hAnsiTheme="majorHAnsi"/>
                <w:bCs/>
                <w:sz w:val="19"/>
                <w:szCs w:val="19"/>
                <w:lang w:val="es-ES"/>
              </w:rPr>
              <w:t xml:space="preserve">nd </w:t>
            </w:r>
            <w:proofErr w:type="spellStart"/>
            <w:r>
              <w:rPr>
                <w:rFonts w:asciiTheme="majorHAnsi" w:hAnsiTheme="majorHAnsi"/>
                <w:bCs/>
                <w:sz w:val="19"/>
                <w:szCs w:val="19"/>
                <w:lang w:val="es-ES"/>
              </w:rPr>
              <w:t>family</w:t>
            </w:r>
            <w:proofErr w:type="spellEnd"/>
            <w:r>
              <w:rPr>
                <w:rStyle w:val="FootnoteReference"/>
                <w:rFonts w:asciiTheme="majorHAnsi" w:hAnsiTheme="majorHAnsi"/>
                <w:bCs/>
                <w:sz w:val="19"/>
                <w:szCs w:val="19"/>
                <w:lang w:val="es-ES"/>
              </w:rPr>
              <w:footnoteReference w:id="3"/>
            </w:r>
          </w:p>
        </w:tc>
      </w:tr>
      <w:tr w:rsidR="00261E08" w:rsidRPr="003A5566" w14:paraId="03D81EE5" w14:textId="77777777" w:rsidTr="00C93120">
        <w:tc>
          <w:tcPr>
            <w:tcW w:w="2790" w:type="dxa"/>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545A372B"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Chile</w:t>
            </w:r>
            <w:r>
              <w:rPr>
                <w:rStyle w:val="FootnoteReference"/>
                <w:rFonts w:asciiTheme="majorHAnsi" w:hAnsiTheme="majorHAnsi"/>
                <w:bCs/>
                <w:sz w:val="19"/>
                <w:szCs w:val="19"/>
              </w:rPr>
              <w:footnoteReference w:id="4"/>
            </w:r>
          </w:p>
        </w:tc>
      </w:tr>
      <w:tr w:rsidR="00261E08" w:rsidRPr="003A5566" w14:paraId="61049B38" w14:textId="77777777" w:rsidTr="00C93120">
        <w:tc>
          <w:tcPr>
            <w:tcW w:w="2790" w:type="dxa"/>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4E627C1C" w:rsidR="00261E08" w:rsidRPr="003A5566" w:rsidRDefault="005453AE" w:rsidP="00261E08">
            <w:pPr>
              <w:jc w:val="both"/>
              <w:rPr>
                <w:rFonts w:asciiTheme="majorHAnsi" w:hAnsiTheme="majorHAnsi"/>
                <w:bCs/>
                <w:sz w:val="19"/>
                <w:szCs w:val="19"/>
              </w:rPr>
            </w:pPr>
            <w:r>
              <w:rPr>
                <w:rFonts w:asciiTheme="majorHAnsi" w:hAnsiTheme="majorHAnsi"/>
                <w:bCs/>
                <w:sz w:val="19"/>
                <w:szCs w:val="19"/>
              </w:rPr>
              <w:t>Articles 4 (life), 5 (humane treatment), 7 (personal liberty), 8 (fair trial), and 25 (judicial protection) of the American Convention on Human Rights</w:t>
            </w:r>
            <w:r>
              <w:rPr>
                <w:rStyle w:val="FootnoteReference"/>
                <w:rFonts w:asciiTheme="majorHAnsi" w:hAnsiTheme="majorHAnsi"/>
                <w:bCs/>
                <w:sz w:val="19"/>
                <w:szCs w:val="19"/>
              </w:rPr>
              <w:footnoteReference w:id="5"/>
            </w:r>
            <w:r>
              <w:rPr>
                <w:rFonts w:asciiTheme="majorHAnsi" w:hAnsiTheme="majorHAnsi"/>
                <w:bCs/>
                <w:sz w:val="19"/>
                <w:szCs w:val="19"/>
              </w:rPr>
              <w:t xml:space="preserve"> in connection with </w:t>
            </w:r>
            <w:r w:rsidR="00DD0E8D">
              <w:rPr>
                <w:rFonts w:asciiTheme="majorHAnsi" w:hAnsiTheme="majorHAnsi"/>
                <w:bCs/>
                <w:sz w:val="19"/>
                <w:szCs w:val="19"/>
              </w:rPr>
              <w:t>a</w:t>
            </w:r>
            <w:r>
              <w:rPr>
                <w:rFonts w:asciiTheme="majorHAnsi" w:hAnsiTheme="majorHAnsi"/>
                <w:bCs/>
                <w:sz w:val="19"/>
                <w:szCs w:val="19"/>
              </w:rPr>
              <w:t>rticles 1.1 (obligation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261E08" w:rsidRPr="003A5566" w14:paraId="6DA75E12" w14:textId="77777777" w:rsidTr="00C93120">
        <w:tc>
          <w:tcPr>
            <w:tcW w:w="2790" w:type="dxa"/>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2643FADB"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December 29, 2009</w:t>
            </w:r>
          </w:p>
        </w:tc>
      </w:tr>
      <w:tr w:rsidR="00261E08" w:rsidRPr="003A5566" w14:paraId="070BC314" w14:textId="77777777" w:rsidTr="00C93120">
        <w:tc>
          <w:tcPr>
            <w:tcW w:w="2790" w:type="dxa"/>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050D7D1F"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June 4, 2014</w:t>
            </w:r>
          </w:p>
        </w:tc>
      </w:tr>
      <w:tr w:rsidR="00261E08" w:rsidRPr="003A5566" w14:paraId="3063240C" w14:textId="77777777" w:rsidTr="00C93120">
        <w:trPr>
          <w:trHeight w:val="264"/>
        </w:trPr>
        <w:tc>
          <w:tcPr>
            <w:tcW w:w="2790" w:type="dxa"/>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05EF215D"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August 25, 2016</w:t>
            </w:r>
          </w:p>
        </w:tc>
      </w:tr>
      <w:tr w:rsidR="00261E08" w:rsidRPr="003A5566" w14:paraId="158C8FCC" w14:textId="77777777" w:rsidTr="00C93120">
        <w:tc>
          <w:tcPr>
            <w:tcW w:w="2790" w:type="dxa"/>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09F6C932"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September 8,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261E08" w:rsidRPr="003A5566" w14:paraId="684F4233" w14:textId="77777777" w:rsidTr="00C93120">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787D56CA" w:rsidR="00261E08" w:rsidRPr="003A5566" w:rsidRDefault="005453AE" w:rsidP="009163FC">
            <w:pPr>
              <w:rPr>
                <w:rFonts w:asciiTheme="majorHAnsi" w:hAnsiTheme="majorHAnsi"/>
                <w:bCs/>
                <w:sz w:val="19"/>
                <w:szCs w:val="19"/>
              </w:rPr>
            </w:pPr>
            <w:r>
              <w:rPr>
                <w:rFonts w:asciiTheme="majorHAnsi" w:hAnsiTheme="majorHAnsi"/>
                <w:bCs/>
                <w:sz w:val="19"/>
                <w:szCs w:val="19"/>
              </w:rPr>
              <w:t>Yes</w:t>
            </w:r>
          </w:p>
        </w:tc>
      </w:tr>
      <w:tr w:rsidR="005453AE" w:rsidRPr="003A5566" w14:paraId="6438DD58" w14:textId="77777777" w:rsidTr="00C93120">
        <w:trPr>
          <w:cantSplit/>
        </w:trPr>
        <w:tc>
          <w:tcPr>
            <w:tcW w:w="2763" w:type="dxa"/>
            <w:shd w:val="clear" w:color="auto" w:fill="67AE3C"/>
            <w:vAlign w:val="center"/>
          </w:tcPr>
          <w:p w14:paraId="43AB8B19" w14:textId="6682D917"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tcPr>
          <w:p w14:paraId="27041F7E" w14:textId="72DC3248"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5140C2B6" w14:textId="77777777" w:rsidTr="00C93120">
        <w:trPr>
          <w:cantSplit/>
        </w:trPr>
        <w:tc>
          <w:tcPr>
            <w:tcW w:w="2763" w:type="dxa"/>
            <w:shd w:val="clear" w:color="auto" w:fill="67AE3C"/>
            <w:vAlign w:val="center"/>
          </w:tcPr>
          <w:p w14:paraId="74905820" w14:textId="44CF3A98"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tcPr>
          <w:p w14:paraId="6091B7B0" w14:textId="0481F21D"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33238134" w14:textId="77777777" w:rsidTr="00C93120">
        <w:trPr>
          <w:cantSplit/>
        </w:trPr>
        <w:tc>
          <w:tcPr>
            <w:tcW w:w="2763" w:type="dxa"/>
            <w:shd w:val="clear" w:color="auto" w:fill="67AE3C"/>
            <w:vAlign w:val="center"/>
          </w:tcPr>
          <w:p w14:paraId="3C7AAFE9" w14:textId="5D07C0FE"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tcPr>
          <w:p w14:paraId="49BB57C8" w14:textId="59F78B64" w:rsidR="005453AE" w:rsidRPr="003A5566" w:rsidRDefault="005453AE" w:rsidP="005453AE">
            <w:pPr>
              <w:jc w:val="both"/>
              <w:rPr>
                <w:rFonts w:asciiTheme="majorHAnsi" w:hAnsiTheme="majorHAnsi"/>
                <w:bCs/>
                <w:sz w:val="19"/>
                <w:szCs w:val="19"/>
              </w:rPr>
            </w:pPr>
            <w:r w:rsidRPr="00CC750A">
              <w:rPr>
                <w:rFonts w:asciiTheme="majorHAnsi" w:hAnsiTheme="majorHAnsi"/>
                <w:bCs/>
                <w:sz w:val="19"/>
                <w:szCs w:val="19"/>
              </w:rPr>
              <w:t>Yes</w:t>
            </w:r>
            <w:r>
              <w:rPr>
                <w:rFonts w:asciiTheme="majorHAnsi" w:hAnsiTheme="majorHAnsi"/>
                <w:bCs/>
                <w:sz w:val="19"/>
                <w:szCs w:val="19"/>
              </w:rPr>
              <w:t xml:space="preserve">, American </w:t>
            </w:r>
            <w:r w:rsidR="00DD0E8D">
              <w:rPr>
                <w:rFonts w:asciiTheme="majorHAnsi" w:hAnsiTheme="majorHAnsi"/>
                <w:bCs/>
                <w:sz w:val="19"/>
                <w:szCs w:val="19"/>
              </w:rPr>
              <w:t>Declaration</w:t>
            </w:r>
            <w:r>
              <w:rPr>
                <w:rFonts w:asciiTheme="majorHAnsi" w:hAnsiTheme="majorHAnsi"/>
                <w:bCs/>
                <w:sz w:val="19"/>
                <w:szCs w:val="19"/>
              </w:rPr>
              <w:t xml:space="preserve"> on the Rights and Duties of Man</w:t>
            </w:r>
            <w:r>
              <w:rPr>
                <w:rStyle w:val="FootnoteReference"/>
                <w:rFonts w:asciiTheme="majorHAnsi" w:hAnsiTheme="majorHAnsi"/>
                <w:bCs/>
                <w:sz w:val="19"/>
                <w:szCs w:val="19"/>
              </w:rPr>
              <w:footnoteReference w:id="7"/>
            </w:r>
            <w:r>
              <w:rPr>
                <w:rFonts w:asciiTheme="majorHAnsi" w:hAnsiTheme="majorHAnsi"/>
                <w:bCs/>
                <w:sz w:val="19"/>
                <w:szCs w:val="19"/>
              </w:rPr>
              <w:t xml:space="preserve"> (ratification of the OAS Charter on June 5, 1953); American Convention (deposit of instrument of ratification on August 21, 1990); Inter-American Convention to Prevent and Punish Torture</w:t>
            </w:r>
            <w:r>
              <w:rPr>
                <w:rStyle w:val="FootnoteReference"/>
                <w:rFonts w:asciiTheme="majorHAnsi" w:hAnsiTheme="majorHAnsi"/>
                <w:bCs/>
                <w:sz w:val="19"/>
                <w:szCs w:val="19"/>
              </w:rPr>
              <w:footnoteReference w:id="8"/>
            </w:r>
            <w:r>
              <w:rPr>
                <w:rFonts w:asciiTheme="majorHAnsi" w:hAnsiTheme="majorHAnsi"/>
                <w:bCs/>
                <w:sz w:val="19"/>
                <w:szCs w:val="19"/>
              </w:rPr>
              <w:t xml:space="preserve"> (deposit of instrument of ratification on September 30, 1988); and Inter-American Convention on Forced Disappearance of Persons (deposit of instrument of ratification on January 26, 2010)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261E08" w:rsidRPr="003A5566" w14:paraId="47EC0E6D" w14:textId="77777777" w:rsidTr="00C93120">
        <w:trPr>
          <w:cantSplit/>
        </w:trPr>
        <w:tc>
          <w:tcPr>
            <w:tcW w:w="2767" w:type="dxa"/>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5B645B38"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C93120">
        <w:trPr>
          <w:cantSplit/>
        </w:trPr>
        <w:tc>
          <w:tcPr>
            <w:tcW w:w="2767" w:type="dxa"/>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19A33EE1" w:rsidR="00261E08" w:rsidRPr="003A5566" w:rsidRDefault="005453AE" w:rsidP="009163FC">
            <w:pPr>
              <w:jc w:val="both"/>
              <w:rPr>
                <w:rFonts w:asciiTheme="majorHAnsi" w:hAnsiTheme="majorHAnsi"/>
                <w:bCs/>
                <w:sz w:val="19"/>
                <w:szCs w:val="19"/>
              </w:rPr>
            </w:pPr>
            <w:r>
              <w:rPr>
                <w:rFonts w:asciiTheme="majorHAnsi" w:hAnsiTheme="majorHAnsi"/>
                <w:bCs/>
                <w:sz w:val="19"/>
                <w:szCs w:val="19"/>
              </w:rPr>
              <w:t>Articles 3 (juridical personality), 4 (life), 5 (humane treatment), 7 (personal liberty), 8 (fair trial), and 25 (judicial protection) of the American Convention, in relation to Articles 1.1 (obligation to respect rights) and 2 (domestic legal effects) thereof</w:t>
            </w:r>
            <w:r w:rsidR="00A71CB9">
              <w:rPr>
                <w:rFonts w:asciiTheme="majorHAnsi" w:hAnsiTheme="majorHAnsi"/>
                <w:bCs/>
                <w:sz w:val="19"/>
                <w:szCs w:val="19"/>
              </w:rPr>
              <w:t>; Articles I (life, liberty, and personal security), XVII (recognition of juridical personality and civil rights), XVIII (fair trial) and XXV (protection against arbitrary arrest) of the American Declaration; Articles 1, 6</w:t>
            </w:r>
            <w:r w:rsidR="004E1EE5">
              <w:rPr>
                <w:rFonts w:asciiTheme="majorHAnsi" w:hAnsiTheme="majorHAnsi"/>
                <w:bCs/>
                <w:sz w:val="19"/>
                <w:szCs w:val="19"/>
              </w:rPr>
              <w:t>,</w:t>
            </w:r>
            <w:r w:rsidR="00A71CB9">
              <w:rPr>
                <w:rFonts w:asciiTheme="majorHAnsi" w:hAnsiTheme="majorHAnsi"/>
                <w:bCs/>
                <w:sz w:val="19"/>
                <w:szCs w:val="19"/>
              </w:rPr>
              <w:t xml:space="preserve"> and 8 of the Convention against torture; Article I of the Inter-American Convention on Forced Disappearance of Persons</w:t>
            </w:r>
          </w:p>
        </w:tc>
      </w:tr>
      <w:tr w:rsidR="00261E08" w:rsidRPr="003A5566" w14:paraId="77899B94" w14:textId="77777777" w:rsidTr="00C93120">
        <w:trPr>
          <w:cantSplit/>
        </w:trPr>
        <w:tc>
          <w:tcPr>
            <w:tcW w:w="2767" w:type="dxa"/>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3232C03" w:rsidR="00261E08" w:rsidRPr="003A5566" w:rsidRDefault="00A71CB9" w:rsidP="009163FC">
            <w:pPr>
              <w:rPr>
                <w:rFonts w:asciiTheme="majorHAnsi" w:hAnsiTheme="majorHAnsi"/>
                <w:bCs/>
                <w:sz w:val="19"/>
                <w:szCs w:val="19"/>
              </w:rPr>
            </w:pPr>
            <w:r>
              <w:rPr>
                <w:rFonts w:asciiTheme="majorHAnsi" w:hAnsiTheme="majorHAnsi"/>
                <w:bCs/>
                <w:sz w:val="19"/>
                <w:szCs w:val="19"/>
              </w:rPr>
              <w:t>Yes, under the terms of section VI</w:t>
            </w:r>
          </w:p>
        </w:tc>
      </w:tr>
      <w:tr w:rsidR="00261E08" w:rsidRPr="003A5566" w14:paraId="4F59B7C5" w14:textId="77777777" w:rsidTr="00FA60FA">
        <w:trPr>
          <w:cantSplit/>
          <w:trHeight w:val="381"/>
        </w:trPr>
        <w:tc>
          <w:tcPr>
            <w:tcW w:w="2767" w:type="dxa"/>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7BCC05A3" w:rsidR="00261E08" w:rsidRPr="003A5566" w:rsidRDefault="00A71CB9" w:rsidP="009163FC">
            <w:pPr>
              <w:rPr>
                <w:rFonts w:asciiTheme="majorHAnsi" w:hAnsiTheme="majorHAnsi"/>
                <w:bCs/>
                <w:sz w:val="19"/>
                <w:szCs w:val="19"/>
              </w:rPr>
            </w:pPr>
            <w:r>
              <w:rPr>
                <w:rFonts w:asciiTheme="majorHAnsi" w:hAnsiTheme="majorHAnsi"/>
                <w:bCs/>
                <w:sz w:val="19"/>
                <w:szCs w:val="19"/>
              </w:rPr>
              <w:t>Yes, under the terms of section VI</w:t>
            </w:r>
          </w:p>
        </w:tc>
      </w:tr>
    </w:tbl>
    <w:p w14:paraId="3FEBD323" w14:textId="6EC40DCB"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9E3771">
        <w:rPr>
          <w:rFonts w:asciiTheme="majorHAnsi" w:hAnsiTheme="majorHAnsi"/>
          <w:b/>
          <w:sz w:val="20"/>
          <w:szCs w:val="20"/>
        </w:rPr>
        <w:t xml:space="preserve"> </w:t>
      </w:r>
      <w:r w:rsidR="009E3771" w:rsidRPr="000B6B7A">
        <w:rPr>
          <w:rFonts w:asciiTheme="majorHAnsi" w:hAnsiTheme="majorHAnsi"/>
          <w:b/>
          <w:sz w:val="20"/>
          <w:szCs w:val="20"/>
        </w:rPr>
        <w:t>ALLEGED</w:t>
      </w:r>
    </w:p>
    <w:p w14:paraId="1482120E" w14:textId="2B14E419" w:rsidR="004272C8"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petitioners claim the responsibility of the State for the extrajudicial detention and forced </w:t>
      </w:r>
      <w:proofErr w:type="gramStart"/>
      <w:r>
        <w:rPr>
          <w:rFonts w:ascii="Cambria" w:hAnsi="Cambria"/>
          <w:sz w:val="20"/>
          <w:szCs w:val="20"/>
          <w:lang w:val="en"/>
        </w:rPr>
        <w:t>disappearance</w:t>
      </w:r>
      <w:proofErr w:type="gramEnd"/>
      <w:r>
        <w:rPr>
          <w:rFonts w:ascii="Cambria" w:hAnsi="Cambria"/>
          <w:sz w:val="20"/>
          <w:szCs w:val="20"/>
          <w:lang w:val="en"/>
        </w:rPr>
        <w:t xml:space="preserve"> of the alleged victim, Juan Alejandro Vargas Contreras, in the 1973 military coup. They moreover </w:t>
      </w:r>
      <w:r>
        <w:rPr>
          <w:rFonts w:ascii="Cambria" w:hAnsi="Cambria"/>
          <w:sz w:val="20"/>
          <w:szCs w:val="20"/>
          <w:lang w:val="en"/>
        </w:rPr>
        <w:lastRenderedPageBreak/>
        <w:t>allege the State’s lack of compensation to the relatives of the alleged victim given the application of the statute of limitations.</w:t>
      </w:r>
      <w:r w:rsidR="004E1EE5">
        <w:rPr>
          <w:rFonts w:ascii="Cambria" w:hAnsi="Cambria"/>
          <w:sz w:val="20"/>
          <w:szCs w:val="20"/>
          <w:lang w:val="en"/>
        </w:rPr>
        <w:t xml:space="preserve"> </w:t>
      </w:r>
    </w:p>
    <w:p w14:paraId="5CFB72BC" w14:textId="4D867D73" w:rsidR="004272C8" w:rsidRPr="003E6F36"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According to the petition,</w:t>
      </w:r>
      <w:r>
        <w:rPr>
          <w:rStyle w:val="FootnoteReference"/>
          <w:rFonts w:ascii="Cambria" w:hAnsi="Cambria"/>
          <w:sz w:val="20"/>
          <w:szCs w:val="20"/>
          <w:lang w:val="en"/>
        </w:rPr>
        <w:footnoteReference w:id="9"/>
      </w:r>
      <w:r>
        <w:rPr>
          <w:rFonts w:ascii="Cambria" w:hAnsi="Cambria"/>
          <w:sz w:val="20"/>
          <w:szCs w:val="20"/>
          <w:lang w:val="en"/>
        </w:rPr>
        <w:t xml:space="preserve"> the alleged victim was a member of the </w:t>
      </w:r>
      <w:r w:rsidR="003F32D4">
        <w:rPr>
          <w:rFonts w:ascii="Cambria" w:hAnsi="Cambria"/>
          <w:sz w:val="20"/>
          <w:szCs w:val="20"/>
          <w:lang w:val="en"/>
        </w:rPr>
        <w:t>presidential guard</w:t>
      </w:r>
      <w:r>
        <w:rPr>
          <w:rFonts w:ascii="Cambria" w:hAnsi="Cambria"/>
          <w:sz w:val="20"/>
          <w:szCs w:val="20"/>
          <w:lang w:val="en"/>
        </w:rPr>
        <w:t xml:space="preserve"> (GAP) of former President Salvador Allende and </w:t>
      </w:r>
      <w:r w:rsidR="003F32D4">
        <w:rPr>
          <w:rFonts w:ascii="Cambria" w:hAnsi="Cambria"/>
          <w:sz w:val="20"/>
          <w:szCs w:val="20"/>
          <w:lang w:val="en"/>
        </w:rPr>
        <w:t xml:space="preserve">of </w:t>
      </w:r>
      <w:r>
        <w:rPr>
          <w:rFonts w:ascii="Cambria" w:hAnsi="Cambria"/>
          <w:sz w:val="20"/>
          <w:szCs w:val="20"/>
          <w:lang w:val="en"/>
        </w:rPr>
        <w:t>the Socialist Party</w:t>
      </w:r>
      <w:r w:rsidR="003F32D4">
        <w:rPr>
          <w:rFonts w:ascii="Cambria" w:hAnsi="Cambria"/>
          <w:sz w:val="20"/>
          <w:szCs w:val="20"/>
          <w:lang w:val="en"/>
        </w:rPr>
        <w:t>,</w:t>
      </w:r>
      <w:r>
        <w:rPr>
          <w:rFonts w:ascii="Cambria" w:hAnsi="Cambria"/>
          <w:sz w:val="20"/>
          <w:szCs w:val="20"/>
          <w:lang w:val="en"/>
        </w:rPr>
        <w:t xml:space="preserve"> and lived at </w:t>
      </w:r>
      <w:proofErr w:type="spellStart"/>
      <w:r>
        <w:rPr>
          <w:rFonts w:ascii="Cambria" w:hAnsi="Cambria"/>
          <w:sz w:val="20"/>
          <w:szCs w:val="20"/>
          <w:lang w:val="en"/>
        </w:rPr>
        <w:t>Tomás</w:t>
      </w:r>
      <w:proofErr w:type="spellEnd"/>
      <w:r>
        <w:rPr>
          <w:rFonts w:ascii="Cambria" w:hAnsi="Cambria"/>
          <w:sz w:val="20"/>
          <w:szCs w:val="20"/>
          <w:lang w:val="en"/>
        </w:rPr>
        <w:t xml:space="preserve"> Moro presidential house. They report that on September 11, 1973, in fulfilling his duty, he and other GAP members went to La </w:t>
      </w:r>
      <w:proofErr w:type="spellStart"/>
      <w:r>
        <w:rPr>
          <w:rFonts w:ascii="Cambria" w:hAnsi="Cambria"/>
          <w:sz w:val="20"/>
          <w:szCs w:val="20"/>
          <w:lang w:val="en"/>
        </w:rPr>
        <w:t>Moneda</w:t>
      </w:r>
      <w:proofErr w:type="spellEnd"/>
      <w:r>
        <w:rPr>
          <w:rFonts w:ascii="Cambria" w:hAnsi="Cambria"/>
          <w:sz w:val="20"/>
          <w:szCs w:val="20"/>
          <w:lang w:val="en"/>
        </w:rPr>
        <w:t xml:space="preserve"> </w:t>
      </w:r>
      <w:r w:rsidR="008F2036">
        <w:rPr>
          <w:rFonts w:ascii="Cambria" w:hAnsi="Cambria"/>
          <w:sz w:val="20"/>
          <w:szCs w:val="20"/>
          <w:lang w:val="en"/>
        </w:rPr>
        <w:t xml:space="preserve">presidential </w:t>
      </w:r>
      <w:r>
        <w:rPr>
          <w:rFonts w:ascii="Cambria" w:hAnsi="Cambria"/>
          <w:sz w:val="20"/>
          <w:szCs w:val="20"/>
          <w:lang w:val="en"/>
        </w:rPr>
        <w:t>palace, where military officers arrested him. He was taken to the headquarters of the Tacna Regiment and held in detention. They submit that according to survivors’ statements, the prisoners were tortured and abused by the army’s intelligence service (SIM) as they were forced to kneel, l</w:t>
      </w:r>
      <w:r w:rsidR="00905604">
        <w:rPr>
          <w:rFonts w:ascii="Cambria" w:hAnsi="Cambria"/>
          <w:sz w:val="20"/>
          <w:szCs w:val="20"/>
          <w:lang w:val="en"/>
        </w:rPr>
        <w:t xml:space="preserve">ie </w:t>
      </w:r>
      <w:r>
        <w:rPr>
          <w:rFonts w:ascii="Cambria" w:hAnsi="Cambria"/>
          <w:sz w:val="20"/>
          <w:szCs w:val="20"/>
          <w:lang w:val="en"/>
        </w:rPr>
        <w:t>down with their hands on the back of their necks or stand with lifted arms as well as</w:t>
      </w:r>
      <w:r w:rsidR="00905604">
        <w:rPr>
          <w:rFonts w:ascii="Cambria" w:hAnsi="Cambria"/>
          <w:sz w:val="20"/>
          <w:szCs w:val="20"/>
          <w:lang w:val="en"/>
        </w:rPr>
        <w:t xml:space="preserve"> were</w:t>
      </w:r>
      <w:r>
        <w:rPr>
          <w:rFonts w:ascii="Cambria" w:hAnsi="Cambria"/>
          <w:sz w:val="20"/>
          <w:szCs w:val="20"/>
          <w:lang w:val="en"/>
        </w:rPr>
        <w:t xml:space="preserve"> trampled on and beaten. The petitioners submit that on September 13 of that year, the alleged victim was taken from that site, along with other prisoners, to an unknown destination. According to survivors, military officers took the prisoners to the </w:t>
      </w:r>
      <w:proofErr w:type="spellStart"/>
      <w:r>
        <w:rPr>
          <w:rFonts w:ascii="Cambria" w:hAnsi="Cambria"/>
          <w:sz w:val="20"/>
          <w:szCs w:val="20"/>
          <w:lang w:val="en"/>
        </w:rPr>
        <w:t>Peldehue</w:t>
      </w:r>
      <w:proofErr w:type="spellEnd"/>
      <w:r>
        <w:rPr>
          <w:rFonts w:ascii="Cambria" w:hAnsi="Cambria"/>
          <w:sz w:val="20"/>
          <w:szCs w:val="20"/>
          <w:lang w:val="en"/>
        </w:rPr>
        <w:t xml:space="preserve"> military training camp, where these were executed and buried. The petitioners say that the alleged victim’s whereabouts remain unknown, the execution of prisoners has not been officially recognized, and the bodies have not been returned to the relatives yet.</w:t>
      </w:r>
      <w:r>
        <w:rPr>
          <w:rStyle w:val="FootnoteReference"/>
          <w:rFonts w:ascii="Cambria" w:hAnsi="Cambria"/>
          <w:sz w:val="20"/>
          <w:szCs w:val="20"/>
          <w:lang w:val="en"/>
        </w:rPr>
        <w:footnoteReference w:id="10"/>
      </w:r>
      <w:r w:rsidR="004E1EE5">
        <w:rPr>
          <w:rFonts w:ascii="Cambria" w:hAnsi="Cambria"/>
          <w:sz w:val="20"/>
          <w:szCs w:val="20"/>
          <w:lang w:val="en"/>
        </w:rPr>
        <w:t xml:space="preserve"> </w:t>
      </w:r>
    </w:p>
    <w:p w14:paraId="356D735C" w14:textId="3A860B88" w:rsidR="004272C8" w:rsidRDefault="00FF752B"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w:t>
      </w:r>
      <w:r w:rsidR="004272C8">
        <w:rPr>
          <w:rFonts w:ascii="Cambria" w:hAnsi="Cambria"/>
          <w:sz w:val="20"/>
          <w:szCs w:val="20"/>
          <w:lang w:val="en"/>
        </w:rPr>
        <w:t>he petition</w:t>
      </w:r>
      <w:r>
        <w:rPr>
          <w:rFonts w:ascii="Cambria" w:hAnsi="Cambria"/>
          <w:sz w:val="20"/>
          <w:szCs w:val="20"/>
          <w:lang w:val="en"/>
        </w:rPr>
        <w:t>ers indicate that</w:t>
      </w:r>
      <w:r w:rsidR="004272C8">
        <w:rPr>
          <w:rFonts w:ascii="Cambria" w:hAnsi="Cambria"/>
          <w:sz w:val="20"/>
          <w:szCs w:val="20"/>
          <w:lang w:val="en"/>
        </w:rPr>
        <w:t xml:space="preserve">, on April 6, 1975, an </w:t>
      </w:r>
      <w:proofErr w:type="spellStart"/>
      <w:r w:rsidR="004272C8">
        <w:rPr>
          <w:rFonts w:ascii="Cambria" w:hAnsi="Cambria"/>
          <w:sz w:val="20"/>
          <w:szCs w:val="20"/>
          <w:lang w:val="en"/>
        </w:rPr>
        <w:t>amparo</w:t>
      </w:r>
      <w:proofErr w:type="spellEnd"/>
      <w:r w:rsidR="004272C8">
        <w:rPr>
          <w:rFonts w:ascii="Cambria" w:hAnsi="Cambria"/>
          <w:sz w:val="20"/>
          <w:szCs w:val="20"/>
          <w:lang w:val="en"/>
        </w:rPr>
        <w:t xml:space="preserve"> appeal was filed to the Court of Appeals of Concepción, but it was dismissed on the same day on the grounds that the alleged victim was not on the list of detainees. However, said court asked the</w:t>
      </w:r>
      <w:r w:rsidR="004272C8" w:rsidRPr="0040272A">
        <w:rPr>
          <w:rFonts w:ascii="Cambria" w:hAnsi="Cambria"/>
          <w:sz w:val="20"/>
          <w:szCs w:val="20"/>
          <w:lang w:val="en"/>
        </w:rPr>
        <w:t xml:space="preserve"> </w:t>
      </w:r>
      <w:r w:rsidR="0040272A" w:rsidRPr="0040272A">
        <w:rPr>
          <w:rFonts w:ascii="Cambria" w:hAnsi="Cambria"/>
          <w:sz w:val="20"/>
          <w:szCs w:val="20"/>
          <w:lang w:val="en"/>
        </w:rPr>
        <w:t>F</w:t>
      </w:r>
      <w:r w:rsidR="004272C8" w:rsidRPr="0040272A">
        <w:rPr>
          <w:rFonts w:ascii="Cambria" w:hAnsi="Cambria"/>
          <w:sz w:val="20"/>
          <w:szCs w:val="20"/>
          <w:lang w:val="en"/>
        </w:rPr>
        <w:t xml:space="preserve">ourth </w:t>
      </w:r>
      <w:r w:rsidR="0040272A" w:rsidRPr="0040272A">
        <w:rPr>
          <w:rFonts w:ascii="Cambria" w:hAnsi="Cambria"/>
          <w:sz w:val="20"/>
          <w:szCs w:val="20"/>
          <w:lang w:val="en"/>
        </w:rPr>
        <w:t>M</w:t>
      </w:r>
      <w:r w:rsidR="004272C8" w:rsidRPr="0040272A">
        <w:rPr>
          <w:rFonts w:ascii="Cambria" w:hAnsi="Cambria"/>
          <w:sz w:val="20"/>
          <w:szCs w:val="20"/>
          <w:lang w:val="en"/>
        </w:rPr>
        <w:t xml:space="preserve">ajor </w:t>
      </w:r>
      <w:r w:rsidR="0040272A" w:rsidRPr="0040272A">
        <w:rPr>
          <w:rFonts w:ascii="Cambria" w:hAnsi="Cambria"/>
          <w:sz w:val="20"/>
          <w:szCs w:val="20"/>
          <w:lang w:val="en"/>
        </w:rPr>
        <w:t>C</w:t>
      </w:r>
      <w:r w:rsidR="004272C8" w:rsidRPr="0040272A">
        <w:rPr>
          <w:rFonts w:ascii="Cambria" w:hAnsi="Cambria"/>
          <w:sz w:val="20"/>
          <w:szCs w:val="20"/>
          <w:lang w:val="en"/>
        </w:rPr>
        <w:t xml:space="preserve">riminal </w:t>
      </w:r>
      <w:r w:rsidR="0040272A" w:rsidRPr="0040272A">
        <w:rPr>
          <w:rFonts w:ascii="Cambria" w:hAnsi="Cambria"/>
          <w:sz w:val="20"/>
          <w:szCs w:val="20"/>
          <w:lang w:val="en"/>
        </w:rPr>
        <w:t>C</w:t>
      </w:r>
      <w:r w:rsidR="004272C8" w:rsidRPr="0040272A">
        <w:rPr>
          <w:rFonts w:ascii="Cambria" w:hAnsi="Cambria"/>
          <w:sz w:val="20"/>
          <w:szCs w:val="20"/>
          <w:lang w:val="en"/>
        </w:rPr>
        <w:t>ourt</w:t>
      </w:r>
      <w:r w:rsidR="004272C8">
        <w:rPr>
          <w:rFonts w:ascii="Cambria" w:hAnsi="Cambria"/>
          <w:sz w:val="20"/>
          <w:szCs w:val="20"/>
          <w:lang w:val="en"/>
        </w:rPr>
        <w:t xml:space="preserve"> to </w:t>
      </w:r>
      <w:r w:rsidR="00F74374">
        <w:rPr>
          <w:rFonts w:ascii="Cambria" w:hAnsi="Cambria"/>
          <w:sz w:val="20"/>
          <w:szCs w:val="20"/>
          <w:lang w:val="en"/>
        </w:rPr>
        <w:t>undertake</w:t>
      </w:r>
      <w:r w:rsidR="004272C8">
        <w:rPr>
          <w:rFonts w:ascii="Cambria" w:hAnsi="Cambria"/>
          <w:sz w:val="20"/>
          <w:szCs w:val="20"/>
          <w:lang w:val="en"/>
        </w:rPr>
        <w:t xml:space="preserve"> the </w:t>
      </w:r>
      <w:r w:rsidR="00E9411F">
        <w:rPr>
          <w:rFonts w:ascii="Cambria" w:hAnsi="Cambria"/>
          <w:sz w:val="20"/>
          <w:szCs w:val="20"/>
          <w:lang w:val="en"/>
        </w:rPr>
        <w:t>corresponding</w:t>
      </w:r>
      <w:r w:rsidR="004272C8">
        <w:rPr>
          <w:rFonts w:ascii="Cambria" w:hAnsi="Cambria"/>
          <w:sz w:val="20"/>
          <w:szCs w:val="20"/>
          <w:lang w:val="en"/>
        </w:rPr>
        <w:t xml:space="preserve"> process; thus, on June 7, 1975, an investigation was </w:t>
      </w:r>
      <w:r>
        <w:rPr>
          <w:rFonts w:ascii="Cambria" w:hAnsi="Cambria"/>
          <w:sz w:val="20"/>
          <w:szCs w:val="20"/>
          <w:lang w:val="en"/>
        </w:rPr>
        <w:t>initiated</w:t>
      </w:r>
      <w:r w:rsidR="004272C8">
        <w:rPr>
          <w:rFonts w:ascii="Cambria" w:hAnsi="Cambria"/>
          <w:sz w:val="20"/>
          <w:szCs w:val="20"/>
          <w:lang w:val="en"/>
        </w:rPr>
        <w:t xml:space="preserve">. On September 26, 1975, the judge of the Fourth Criminal Court of Concepción found that the claims did not establish the crime reported and decided to stay the case provisionally. On October 14, 1975, the Court of Appeals upheld </w:t>
      </w:r>
      <w:r w:rsidR="007C6AD0">
        <w:rPr>
          <w:rFonts w:ascii="Cambria" w:hAnsi="Cambria"/>
          <w:sz w:val="20"/>
          <w:szCs w:val="20"/>
          <w:lang w:val="en"/>
        </w:rPr>
        <w:t>the</w:t>
      </w:r>
      <w:r w:rsidR="004272C8">
        <w:rPr>
          <w:rFonts w:ascii="Cambria" w:hAnsi="Cambria"/>
          <w:sz w:val="20"/>
          <w:szCs w:val="20"/>
          <w:lang w:val="en"/>
        </w:rPr>
        <w:t xml:space="preserve"> decision. The</w:t>
      </w:r>
      <w:r w:rsidR="007C6AD0">
        <w:rPr>
          <w:rFonts w:ascii="Cambria" w:hAnsi="Cambria"/>
          <w:sz w:val="20"/>
          <w:szCs w:val="20"/>
          <w:lang w:val="en"/>
        </w:rPr>
        <w:t xml:space="preserve"> petitioners </w:t>
      </w:r>
      <w:r w:rsidR="004272C8">
        <w:rPr>
          <w:rFonts w:ascii="Cambria" w:hAnsi="Cambria"/>
          <w:sz w:val="20"/>
          <w:szCs w:val="20"/>
          <w:lang w:val="en"/>
        </w:rPr>
        <w:t xml:space="preserve">indicate that the case was reopened on July 21, 1989, filed in the archives on June 7, 1990, reopened on July 30, 1990, and filed in the archives on October 3, 1990. They also submit that on June 29, 1990, María </w:t>
      </w:r>
      <w:proofErr w:type="spellStart"/>
      <w:r w:rsidR="004272C8">
        <w:rPr>
          <w:rFonts w:ascii="Cambria" w:hAnsi="Cambria"/>
          <w:sz w:val="20"/>
          <w:szCs w:val="20"/>
          <w:lang w:val="en"/>
        </w:rPr>
        <w:t>Angélica</w:t>
      </w:r>
      <w:proofErr w:type="spellEnd"/>
      <w:r w:rsidR="004272C8">
        <w:rPr>
          <w:rFonts w:ascii="Cambria" w:hAnsi="Cambria"/>
          <w:sz w:val="20"/>
          <w:szCs w:val="20"/>
          <w:lang w:val="en"/>
        </w:rPr>
        <w:t xml:space="preserve"> Vargas Contreras, the alleged victim’s sister, </w:t>
      </w:r>
      <w:r w:rsidR="007C6AD0">
        <w:rPr>
          <w:rFonts w:ascii="Cambria" w:hAnsi="Cambria"/>
          <w:sz w:val="20"/>
          <w:szCs w:val="20"/>
          <w:lang w:val="en"/>
        </w:rPr>
        <w:t xml:space="preserve">reported </w:t>
      </w:r>
      <w:r w:rsidR="00420AAD">
        <w:rPr>
          <w:rFonts w:ascii="Cambria" w:hAnsi="Cambria"/>
          <w:sz w:val="20"/>
          <w:szCs w:val="20"/>
          <w:lang w:val="en"/>
        </w:rPr>
        <w:t>the</w:t>
      </w:r>
      <w:r w:rsidR="004272C8">
        <w:rPr>
          <w:rFonts w:ascii="Cambria" w:hAnsi="Cambria"/>
          <w:sz w:val="20"/>
          <w:szCs w:val="20"/>
          <w:lang w:val="en"/>
        </w:rPr>
        <w:t xml:space="preserve"> presumed death</w:t>
      </w:r>
      <w:r w:rsidR="00420AAD">
        <w:rPr>
          <w:rFonts w:ascii="Cambria" w:hAnsi="Cambria"/>
          <w:sz w:val="20"/>
          <w:szCs w:val="20"/>
          <w:lang w:val="en"/>
        </w:rPr>
        <w:t xml:space="preserve"> of the alleged victim</w:t>
      </w:r>
      <w:r w:rsidR="004272C8">
        <w:rPr>
          <w:rFonts w:ascii="Cambria" w:hAnsi="Cambria"/>
          <w:sz w:val="20"/>
          <w:szCs w:val="20"/>
          <w:lang w:val="en"/>
        </w:rPr>
        <w:t xml:space="preserve"> to the Fifth Major Criminal Court of Santiago to request information on </w:t>
      </w:r>
      <w:r w:rsidR="00775AE3">
        <w:rPr>
          <w:rFonts w:ascii="Cambria" w:hAnsi="Cambria"/>
          <w:sz w:val="20"/>
          <w:szCs w:val="20"/>
          <w:lang w:val="en"/>
        </w:rPr>
        <w:t>his</w:t>
      </w:r>
      <w:r w:rsidR="004272C8">
        <w:rPr>
          <w:rFonts w:ascii="Cambria" w:hAnsi="Cambria"/>
          <w:sz w:val="20"/>
          <w:szCs w:val="20"/>
          <w:lang w:val="en"/>
        </w:rPr>
        <w:t xml:space="preserve"> whereabouts. On June 27, 1991, she requested that her declaration be turned into a criminal complaint, for the alleged victim had been subjected to readily identifiable crimes committed by people that could and should be identified. No further information was provided in that regard.</w:t>
      </w:r>
      <w:r w:rsidR="004E1EE5">
        <w:rPr>
          <w:rFonts w:ascii="Cambria" w:hAnsi="Cambria"/>
          <w:sz w:val="20"/>
          <w:szCs w:val="20"/>
          <w:lang w:val="en"/>
        </w:rPr>
        <w:t xml:space="preserve"> </w:t>
      </w:r>
    </w:p>
    <w:p w14:paraId="42EF5AD3" w14:textId="0F6C87FC" w:rsidR="004272C8"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On April 18, 2000, the alleged victim’s relatives presented a claim for damages to the 21st Civil Court of Santiago. On December 3, 2002, the said court denied the claimants’ claim for compensation to redress the damage caused. On January 31, 2003, the claimants appealed to the Court of Appeals of Santiago, but the court upheld the denial, arguing that the </w:t>
      </w:r>
      <w:r w:rsidR="00EC7EC3">
        <w:rPr>
          <w:rFonts w:ascii="Cambria" w:hAnsi="Cambria"/>
          <w:sz w:val="20"/>
          <w:szCs w:val="20"/>
          <w:lang w:val="en"/>
        </w:rPr>
        <w:t>remedies</w:t>
      </w:r>
      <w:r>
        <w:rPr>
          <w:rFonts w:ascii="Cambria" w:hAnsi="Cambria"/>
          <w:sz w:val="20"/>
          <w:szCs w:val="20"/>
          <w:lang w:val="en"/>
        </w:rPr>
        <w:t xml:space="preserve"> were barred by the statute of limitations under the Chilean civil legal framework. Thus, on October 2, 2007, they filed an appeal </w:t>
      </w:r>
      <w:r w:rsidR="00AE2B67">
        <w:rPr>
          <w:rFonts w:ascii="Cambria" w:hAnsi="Cambria"/>
          <w:sz w:val="20"/>
          <w:szCs w:val="20"/>
          <w:lang w:val="en"/>
        </w:rPr>
        <w:t>before</w:t>
      </w:r>
      <w:r>
        <w:rPr>
          <w:rFonts w:ascii="Cambria" w:hAnsi="Cambria"/>
          <w:sz w:val="20"/>
          <w:szCs w:val="20"/>
          <w:lang w:val="en"/>
        </w:rPr>
        <w:t xml:space="preserve"> the Supreme Court of Justice. On April 15, 2009, the </w:t>
      </w:r>
      <w:proofErr w:type="gramStart"/>
      <w:r>
        <w:rPr>
          <w:rFonts w:ascii="Cambria" w:hAnsi="Cambria"/>
          <w:sz w:val="20"/>
          <w:szCs w:val="20"/>
          <w:lang w:val="en"/>
        </w:rPr>
        <w:t>supreme court</w:t>
      </w:r>
      <w:proofErr w:type="gramEnd"/>
      <w:r>
        <w:rPr>
          <w:rFonts w:ascii="Cambria" w:hAnsi="Cambria"/>
          <w:sz w:val="20"/>
          <w:szCs w:val="20"/>
          <w:lang w:val="en"/>
        </w:rPr>
        <w:t xml:space="preserve"> </w:t>
      </w:r>
      <w:r w:rsidR="00AE2B67">
        <w:rPr>
          <w:rFonts w:ascii="Cambria" w:hAnsi="Cambria"/>
          <w:sz w:val="20"/>
          <w:szCs w:val="20"/>
          <w:lang w:val="en"/>
        </w:rPr>
        <w:t>called for</w:t>
      </w:r>
      <w:r>
        <w:rPr>
          <w:rFonts w:ascii="Cambria" w:hAnsi="Cambria"/>
          <w:sz w:val="20"/>
          <w:szCs w:val="20"/>
          <w:lang w:val="en"/>
        </w:rPr>
        <w:t xml:space="preserve"> the parties to enter a friendly settlement agreement, but the Chilean Attorney General’s Office declined the offer. By a resolution dated June 10, 2009, the </w:t>
      </w:r>
      <w:r w:rsidR="00AE2B67">
        <w:rPr>
          <w:rFonts w:ascii="Cambria" w:hAnsi="Cambria"/>
          <w:sz w:val="20"/>
          <w:szCs w:val="20"/>
          <w:lang w:val="en"/>
        </w:rPr>
        <w:t>S</w:t>
      </w:r>
      <w:r>
        <w:rPr>
          <w:rFonts w:ascii="Cambria" w:hAnsi="Cambria"/>
          <w:sz w:val="20"/>
          <w:szCs w:val="20"/>
          <w:lang w:val="en"/>
        </w:rPr>
        <w:t xml:space="preserve">upreme </w:t>
      </w:r>
      <w:r w:rsidR="00AE2B67">
        <w:rPr>
          <w:rFonts w:ascii="Cambria" w:hAnsi="Cambria"/>
          <w:sz w:val="20"/>
          <w:szCs w:val="20"/>
          <w:lang w:val="en"/>
        </w:rPr>
        <w:t>C</w:t>
      </w:r>
      <w:r>
        <w:rPr>
          <w:rFonts w:ascii="Cambria" w:hAnsi="Cambria"/>
          <w:sz w:val="20"/>
          <w:szCs w:val="20"/>
          <w:lang w:val="en"/>
        </w:rPr>
        <w:t xml:space="preserve">ourt </w:t>
      </w:r>
      <w:r w:rsidR="00AE2B67">
        <w:rPr>
          <w:rFonts w:ascii="Cambria" w:hAnsi="Cambria"/>
          <w:sz w:val="20"/>
          <w:szCs w:val="20"/>
          <w:lang w:val="en"/>
        </w:rPr>
        <w:t>ruled</w:t>
      </w:r>
      <w:r>
        <w:rPr>
          <w:rFonts w:ascii="Cambria" w:hAnsi="Cambria"/>
          <w:sz w:val="20"/>
          <w:szCs w:val="20"/>
          <w:lang w:val="en"/>
        </w:rPr>
        <w:t xml:space="preserve"> on the appeal by granting the Attorney General’s Office’s plea that the events were barred</w:t>
      </w:r>
      <w:r w:rsidR="00AE2B67">
        <w:rPr>
          <w:rFonts w:ascii="Cambria" w:hAnsi="Cambria"/>
          <w:sz w:val="20"/>
          <w:szCs w:val="20"/>
          <w:lang w:val="en"/>
        </w:rPr>
        <w:t xml:space="preserve"> under the statute of limitations</w:t>
      </w:r>
      <w:r>
        <w:rPr>
          <w:rFonts w:ascii="Cambria" w:hAnsi="Cambria"/>
          <w:sz w:val="20"/>
          <w:szCs w:val="20"/>
          <w:lang w:val="en"/>
        </w:rPr>
        <w:t xml:space="preserve">, </w:t>
      </w:r>
      <w:r w:rsidR="00AE2B67">
        <w:rPr>
          <w:rFonts w:ascii="Cambria" w:hAnsi="Cambria"/>
          <w:sz w:val="20"/>
          <w:szCs w:val="20"/>
          <w:lang w:val="en"/>
        </w:rPr>
        <w:t>c</w:t>
      </w:r>
      <w:r>
        <w:rPr>
          <w:rFonts w:ascii="Cambria" w:hAnsi="Cambria"/>
          <w:sz w:val="20"/>
          <w:szCs w:val="20"/>
          <w:lang w:val="en"/>
        </w:rPr>
        <w:t>onfirm</w:t>
      </w:r>
      <w:r w:rsidR="00AE2B67">
        <w:rPr>
          <w:rFonts w:ascii="Cambria" w:hAnsi="Cambria"/>
          <w:sz w:val="20"/>
          <w:szCs w:val="20"/>
          <w:lang w:val="en"/>
        </w:rPr>
        <w:t>ing</w:t>
      </w:r>
      <w:r>
        <w:rPr>
          <w:rFonts w:ascii="Cambria" w:hAnsi="Cambria"/>
          <w:sz w:val="20"/>
          <w:szCs w:val="20"/>
          <w:lang w:val="en"/>
        </w:rPr>
        <w:t xml:space="preserve"> the lower court’s decision. On May 25, 2009, the trial court’s judge issued an enforcement order, which rendered the </w:t>
      </w:r>
      <w:r w:rsidR="002D7436">
        <w:rPr>
          <w:rFonts w:ascii="Cambria" w:hAnsi="Cambria"/>
          <w:sz w:val="20"/>
          <w:szCs w:val="20"/>
          <w:lang w:val="en"/>
        </w:rPr>
        <w:t>S</w:t>
      </w:r>
      <w:r>
        <w:rPr>
          <w:rFonts w:ascii="Cambria" w:hAnsi="Cambria"/>
          <w:sz w:val="20"/>
          <w:szCs w:val="20"/>
          <w:lang w:val="en"/>
        </w:rPr>
        <w:t xml:space="preserve">upreme </w:t>
      </w:r>
      <w:r w:rsidR="002D7436">
        <w:rPr>
          <w:rFonts w:ascii="Cambria" w:hAnsi="Cambria"/>
          <w:sz w:val="20"/>
          <w:szCs w:val="20"/>
          <w:lang w:val="en"/>
        </w:rPr>
        <w:t>C</w:t>
      </w:r>
      <w:r>
        <w:rPr>
          <w:rFonts w:ascii="Cambria" w:hAnsi="Cambria"/>
          <w:sz w:val="20"/>
          <w:szCs w:val="20"/>
          <w:lang w:val="en"/>
        </w:rPr>
        <w:t>ourt’s decision a final judgment. As a result, domestic remedies were exhausted.</w:t>
      </w:r>
      <w:r w:rsidR="004E1EE5">
        <w:rPr>
          <w:rFonts w:ascii="Cambria" w:hAnsi="Cambria"/>
          <w:sz w:val="20"/>
          <w:szCs w:val="20"/>
          <w:lang w:val="en"/>
        </w:rPr>
        <w:t xml:space="preserve"> </w:t>
      </w:r>
    </w:p>
    <w:p w14:paraId="737C38A6" w14:textId="393DB92A" w:rsidR="004272C8" w:rsidRPr="008660C2"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For its part, the State says that it has no objections regarding the civil claims in the petition, without prejudice to the observations on the merits that it may submit in due course. As for criminal remedies, the State contends that case No. 126.461-MG has been filed on the alleged victim by a justice of the Court of Appeals of Santiago, acting in the capacity of visiting justice. It asserts that the case is at trial.</w:t>
      </w:r>
      <w:r w:rsidR="004E1EE5">
        <w:rPr>
          <w:rFonts w:ascii="Cambria" w:hAnsi="Cambria"/>
          <w:sz w:val="20"/>
          <w:szCs w:val="20"/>
          <w:lang w:val="en"/>
        </w:rPr>
        <w:t xml:space="preserve"> </w:t>
      </w:r>
    </w:p>
    <w:p w14:paraId="7F963D00" w14:textId="77777777" w:rsidR="004272C8" w:rsidRPr="00006B74" w:rsidRDefault="004272C8" w:rsidP="004272C8">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41AF1D37" w14:textId="3FB87750" w:rsidR="004272C8" w:rsidRPr="00D519F6"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IACHR recalls that whenever an alleged crime prosecutable ex officio is committed, the State is obligated to promote and further the criminal prosecution</w:t>
      </w:r>
      <w:r>
        <w:rPr>
          <w:rStyle w:val="FootnoteReference"/>
          <w:rFonts w:ascii="Cambria" w:hAnsi="Cambria"/>
          <w:sz w:val="20"/>
          <w:szCs w:val="20"/>
          <w:lang w:val="en"/>
        </w:rPr>
        <w:footnoteReference w:id="11"/>
      </w:r>
      <w:r>
        <w:rPr>
          <w:rFonts w:ascii="Cambria" w:hAnsi="Cambria"/>
          <w:sz w:val="20"/>
          <w:szCs w:val="20"/>
          <w:lang w:val="en"/>
        </w:rPr>
        <w:t xml:space="preserve"> and that, in such cases, the criminal process is the adequate means to clarify the facts, prosecute those responsible and establish the corresponding criminal </w:t>
      </w:r>
      <w:r>
        <w:rPr>
          <w:rFonts w:ascii="Cambria" w:hAnsi="Cambria"/>
          <w:sz w:val="20"/>
          <w:szCs w:val="20"/>
          <w:lang w:val="en"/>
        </w:rPr>
        <w:lastRenderedPageBreak/>
        <w:t>punishment. The Commission notes that</w:t>
      </w:r>
      <w:r w:rsidR="00FC7C1C">
        <w:rPr>
          <w:rFonts w:ascii="Cambria" w:hAnsi="Cambria"/>
          <w:sz w:val="20"/>
          <w:szCs w:val="20"/>
          <w:lang w:val="en"/>
        </w:rPr>
        <w:t xml:space="preserve"> </w:t>
      </w:r>
      <w:r>
        <w:rPr>
          <w:rFonts w:ascii="Cambria" w:hAnsi="Cambria"/>
          <w:sz w:val="20"/>
          <w:szCs w:val="20"/>
          <w:lang w:val="en"/>
        </w:rPr>
        <w:t>the State</w:t>
      </w:r>
      <w:r w:rsidR="00FC7C1C">
        <w:rPr>
          <w:rFonts w:ascii="Cambria" w:hAnsi="Cambria"/>
          <w:sz w:val="20"/>
          <w:szCs w:val="20"/>
          <w:lang w:val="en"/>
        </w:rPr>
        <w:t xml:space="preserve"> indicated that</w:t>
      </w:r>
      <w:r>
        <w:rPr>
          <w:rFonts w:ascii="Cambria" w:hAnsi="Cambria"/>
          <w:sz w:val="20"/>
          <w:szCs w:val="20"/>
          <w:lang w:val="en"/>
        </w:rPr>
        <w:t xml:space="preserve"> a judicial process on this matter is pending at the national level. However, the Commission observes that</w:t>
      </w:r>
      <w:r w:rsidR="00DA4A5D">
        <w:rPr>
          <w:rFonts w:ascii="Cambria" w:hAnsi="Cambria"/>
          <w:sz w:val="20"/>
          <w:szCs w:val="20"/>
          <w:lang w:val="en"/>
        </w:rPr>
        <w:t xml:space="preserve"> although</w:t>
      </w:r>
      <w:r>
        <w:rPr>
          <w:rFonts w:ascii="Cambria" w:hAnsi="Cambria"/>
          <w:sz w:val="20"/>
          <w:szCs w:val="20"/>
          <w:lang w:val="en"/>
        </w:rPr>
        <w:t xml:space="preserve"> it has been over 40 years since the facts took place, the detention, torture</w:t>
      </w:r>
      <w:r w:rsidR="004E1EE5">
        <w:rPr>
          <w:rFonts w:ascii="Cambria" w:hAnsi="Cambria"/>
          <w:sz w:val="20"/>
          <w:szCs w:val="20"/>
          <w:lang w:val="en"/>
        </w:rPr>
        <w:t>,</w:t>
      </w:r>
      <w:r>
        <w:rPr>
          <w:rFonts w:ascii="Cambria" w:hAnsi="Cambria"/>
          <w:sz w:val="20"/>
          <w:szCs w:val="20"/>
          <w:lang w:val="en"/>
        </w:rPr>
        <w:t xml:space="preserve"> and disappearance</w:t>
      </w:r>
      <w:r w:rsidR="00FC7C1C">
        <w:rPr>
          <w:rFonts w:ascii="Cambria" w:hAnsi="Cambria"/>
          <w:sz w:val="20"/>
          <w:szCs w:val="20"/>
          <w:lang w:val="en"/>
        </w:rPr>
        <w:t xml:space="preserve"> of the alleged victim</w:t>
      </w:r>
      <w:r>
        <w:rPr>
          <w:rFonts w:ascii="Cambria" w:hAnsi="Cambria"/>
          <w:sz w:val="20"/>
          <w:szCs w:val="20"/>
          <w:lang w:val="en"/>
        </w:rPr>
        <w:t xml:space="preserve"> have not been clarified</w:t>
      </w:r>
      <w:r w:rsidR="00DA4A5D">
        <w:rPr>
          <w:rFonts w:ascii="Cambria" w:hAnsi="Cambria"/>
          <w:sz w:val="20"/>
          <w:szCs w:val="20"/>
          <w:lang w:val="en"/>
        </w:rPr>
        <w:t>,</w:t>
      </w:r>
      <w:r>
        <w:rPr>
          <w:rFonts w:ascii="Cambria" w:hAnsi="Cambria"/>
          <w:sz w:val="20"/>
          <w:szCs w:val="20"/>
          <w:lang w:val="en"/>
        </w:rPr>
        <w:t xml:space="preserve"> and those responsible have not been punished either. Therefore, the Commission concludes that the exception to the exhaustion of domestic remedies outlined in Article 46.2.c of the Convention is applicable. Given the context and the characteristics of the petition referred to in this report, the Commission deems that the petition was filed within a reasonable time and that it meets the requirement on timeliness.</w:t>
      </w:r>
      <w:r w:rsidR="004E1EE5">
        <w:rPr>
          <w:rFonts w:ascii="Cambria" w:hAnsi="Cambria"/>
          <w:sz w:val="20"/>
          <w:szCs w:val="20"/>
          <w:lang w:val="en"/>
        </w:rPr>
        <w:t xml:space="preserve"> </w:t>
      </w:r>
    </w:p>
    <w:p w14:paraId="76009654" w14:textId="4245694F" w:rsidR="004272C8" w:rsidRPr="00006B74"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Moreover, as for reparation proceedings in the contentious-administrative jurisdiction, the Commission has repeatedly argued that such is not an approp</w:t>
      </w:r>
      <w:r w:rsidR="004E1EE5">
        <w:rPr>
          <w:rFonts w:ascii="Cambria" w:hAnsi="Cambria"/>
          <w:sz w:val="20"/>
          <w:szCs w:val="20"/>
          <w:lang w:val="en"/>
        </w:rPr>
        <w:t>r</w:t>
      </w:r>
      <w:r>
        <w:rPr>
          <w:rFonts w:ascii="Cambria" w:hAnsi="Cambria"/>
          <w:sz w:val="20"/>
          <w:szCs w:val="20"/>
          <w:lang w:val="en"/>
        </w:rPr>
        <w:t>iate remedy for the purpose of analyzing the admissibility of a claim of this nature,</w:t>
      </w:r>
      <w:r>
        <w:rPr>
          <w:rStyle w:val="FootnoteReference"/>
          <w:rFonts w:ascii="Cambria" w:hAnsi="Cambria"/>
          <w:sz w:val="20"/>
          <w:szCs w:val="20"/>
          <w:lang w:val="en"/>
        </w:rPr>
        <w:footnoteReference w:id="12"/>
      </w:r>
      <w:r>
        <w:rPr>
          <w:rFonts w:ascii="Cambria" w:hAnsi="Cambria"/>
          <w:sz w:val="20"/>
          <w:szCs w:val="20"/>
          <w:lang w:val="en"/>
        </w:rPr>
        <w:t xml:space="preserve"> since it is not suitable for providing full redress that includes clarification of the facts and justice to family members. Nevertheless, although a criminal process is</w:t>
      </w:r>
      <w:r w:rsidR="007F31D0">
        <w:rPr>
          <w:rFonts w:ascii="Cambria" w:hAnsi="Cambria"/>
          <w:sz w:val="20"/>
          <w:szCs w:val="20"/>
          <w:lang w:val="en"/>
        </w:rPr>
        <w:t xml:space="preserve"> an</w:t>
      </w:r>
      <w:r>
        <w:rPr>
          <w:rFonts w:ascii="Cambria" w:hAnsi="Cambria"/>
          <w:sz w:val="20"/>
          <w:szCs w:val="20"/>
          <w:lang w:val="en"/>
        </w:rPr>
        <w:t xml:space="preserve"> adequate </w:t>
      </w:r>
      <w:r w:rsidR="007F31D0">
        <w:rPr>
          <w:rFonts w:ascii="Cambria" w:hAnsi="Cambria"/>
          <w:sz w:val="20"/>
          <w:szCs w:val="20"/>
          <w:lang w:val="en"/>
        </w:rPr>
        <w:t>remedy</w:t>
      </w:r>
      <w:r>
        <w:rPr>
          <w:rFonts w:ascii="Cambria" w:hAnsi="Cambria"/>
          <w:sz w:val="20"/>
          <w:szCs w:val="20"/>
          <w:lang w:val="en"/>
        </w:rPr>
        <w:t xml:space="preserve"> to investigate the facts</w:t>
      </w:r>
      <w:r w:rsidR="007C43EB">
        <w:rPr>
          <w:rFonts w:ascii="Cambria" w:hAnsi="Cambria"/>
          <w:sz w:val="20"/>
          <w:szCs w:val="20"/>
          <w:lang w:val="en"/>
        </w:rPr>
        <w:t xml:space="preserve"> in this case</w:t>
      </w:r>
      <w:r>
        <w:rPr>
          <w:rFonts w:ascii="Cambria" w:hAnsi="Cambria"/>
          <w:sz w:val="20"/>
          <w:szCs w:val="20"/>
          <w:lang w:val="en"/>
        </w:rPr>
        <w:t xml:space="preserve">, the Commission observes that the petitioners also allege specific violations committed in the damages proceeding. Thus, given the connection between the two processes, the Commission </w:t>
      </w:r>
      <w:r w:rsidR="00FF02A0">
        <w:rPr>
          <w:rFonts w:ascii="Cambria" w:hAnsi="Cambria"/>
          <w:sz w:val="20"/>
          <w:szCs w:val="20"/>
          <w:lang w:val="en"/>
        </w:rPr>
        <w:t>considers</w:t>
      </w:r>
      <w:r>
        <w:rPr>
          <w:rFonts w:ascii="Cambria" w:hAnsi="Cambria"/>
          <w:sz w:val="20"/>
          <w:szCs w:val="20"/>
          <w:lang w:val="en"/>
        </w:rPr>
        <w:t xml:space="preserve"> that in the contentious-administrative jurisdiction, the domestic remedies were exhausted with the trial court’s order of June 25, 2009, enforc</w:t>
      </w:r>
      <w:r w:rsidR="00FF02A0">
        <w:rPr>
          <w:rFonts w:ascii="Cambria" w:hAnsi="Cambria"/>
          <w:sz w:val="20"/>
          <w:szCs w:val="20"/>
          <w:lang w:val="en"/>
        </w:rPr>
        <w:t>ing</w:t>
      </w:r>
      <w:r>
        <w:rPr>
          <w:rFonts w:ascii="Cambria" w:hAnsi="Cambria"/>
          <w:sz w:val="20"/>
          <w:szCs w:val="20"/>
          <w:lang w:val="en"/>
        </w:rPr>
        <w:t xml:space="preserve"> the </w:t>
      </w:r>
      <w:r w:rsidR="00FF02A0">
        <w:rPr>
          <w:rFonts w:ascii="Cambria" w:hAnsi="Cambria"/>
          <w:sz w:val="20"/>
          <w:szCs w:val="20"/>
          <w:lang w:val="en"/>
        </w:rPr>
        <w:t>S</w:t>
      </w:r>
      <w:r>
        <w:rPr>
          <w:rFonts w:ascii="Cambria" w:hAnsi="Cambria"/>
          <w:sz w:val="20"/>
          <w:szCs w:val="20"/>
          <w:lang w:val="en"/>
        </w:rPr>
        <w:t xml:space="preserve">upreme </w:t>
      </w:r>
      <w:r w:rsidR="00FF02A0">
        <w:rPr>
          <w:rFonts w:ascii="Cambria" w:hAnsi="Cambria"/>
          <w:sz w:val="20"/>
          <w:szCs w:val="20"/>
          <w:lang w:val="en"/>
        </w:rPr>
        <w:t>C</w:t>
      </w:r>
      <w:r>
        <w:rPr>
          <w:rFonts w:ascii="Cambria" w:hAnsi="Cambria"/>
          <w:sz w:val="20"/>
          <w:szCs w:val="20"/>
          <w:lang w:val="en"/>
        </w:rPr>
        <w:t>ourt’s decision of June 10, 2009. Thus, the Commission finds that the instant petition meets the requirement set forth in Article 46.1.</w:t>
      </w:r>
      <w:proofErr w:type="spellStart"/>
      <w:r>
        <w:rPr>
          <w:rFonts w:ascii="Cambria" w:hAnsi="Cambria"/>
          <w:sz w:val="20"/>
          <w:szCs w:val="20"/>
          <w:lang w:val="en"/>
        </w:rPr>
        <w:t>a</w:t>
      </w:r>
      <w:proofErr w:type="spellEnd"/>
      <w:r>
        <w:rPr>
          <w:rFonts w:ascii="Cambria" w:hAnsi="Cambria"/>
          <w:sz w:val="20"/>
          <w:szCs w:val="20"/>
          <w:lang w:val="en"/>
        </w:rPr>
        <w:t xml:space="preserve"> of the Convention. The IACHR received the petition on December 29, 2009; thus, the petition meets the requirement outlined in Articles 46.1.b of the Convention and 32.1 of the IACHR Rules of Procedure.</w:t>
      </w:r>
      <w:r w:rsidR="004E1EE5">
        <w:rPr>
          <w:rFonts w:ascii="Cambria" w:hAnsi="Cambria"/>
          <w:sz w:val="20"/>
          <w:szCs w:val="20"/>
          <w:lang w:val="en"/>
        </w:rPr>
        <w:t xml:space="preserve"> </w:t>
      </w:r>
    </w:p>
    <w:p w14:paraId="0F93FC12" w14:textId="77777777" w:rsidR="004272C8" w:rsidRPr="00006B74" w:rsidRDefault="004272C8" w:rsidP="004272C8">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 AND COMPETENCE</w:t>
      </w:r>
    </w:p>
    <w:p w14:paraId="3B39F337" w14:textId="6541FE11" w:rsidR="004272C8" w:rsidRDefault="004272C8" w:rsidP="00427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In terms of competence </w:t>
      </w:r>
      <w:proofErr w:type="spellStart"/>
      <w:r>
        <w:rPr>
          <w:rFonts w:ascii="Cambria" w:hAnsi="Cambria"/>
          <w:i/>
          <w:iCs/>
          <w:sz w:val="20"/>
          <w:szCs w:val="20"/>
          <w:lang w:val="en"/>
        </w:rPr>
        <w:t>ratione</w:t>
      </w:r>
      <w:proofErr w:type="spellEnd"/>
      <w:r>
        <w:rPr>
          <w:rFonts w:ascii="Cambria" w:hAnsi="Cambria"/>
          <w:i/>
          <w:iCs/>
          <w:sz w:val="20"/>
          <w:szCs w:val="20"/>
          <w:lang w:val="en"/>
        </w:rPr>
        <w:t xml:space="preserve"> </w:t>
      </w:r>
      <w:proofErr w:type="spellStart"/>
      <w:r>
        <w:rPr>
          <w:rFonts w:ascii="Cambria" w:hAnsi="Cambria"/>
          <w:i/>
          <w:iCs/>
          <w:sz w:val="20"/>
          <w:szCs w:val="20"/>
          <w:lang w:val="en"/>
        </w:rPr>
        <w:t>temporis</w:t>
      </w:r>
      <w:proofErr w:type="spellEnd"/>
      <w:r>
        <w:rPr>
          <w:rFonts w:ascii="Cambria" w:hAnsi="Cambria"/>
          <w:sz w:val="20"/>
          <w:szCs w:val="20"/>
          <w:lang w:val="en"/>
        </w:rPr>
        <w:t xml:space="preserve"> and </w:t>
      </w:r>
      <w:proofErr w:type="spellStart"/>
      <w:r>
        <w:rPr>
          <w:rFonts w:ascii="Cambria" w:hAnsi="Cambria"/>
          <w:i/>
          <w:iCs/>
          <w:sz w:val="20"/>
          <w:szCs w:val="20"/>
          <w:lang w:val="en"/>
        </w:rPr>
        <w:t>ratione</w:t>
      </w:r>
      <w:proofErr w:type="spellEnd"/>
      <w:r>
        <w:rPr>
          <w:rFonts w:ascii="Cambria" w:hAnsi="Cambria"/>
          <w:i/>
          <w:iCs/>
          <w:sz w:val="20"/>
          <w:szCs w:val="20"/>
          <w:lang w:val="en"/>
        </w:rPr>
        <w:t xml:space="preserve"> </w:t>
      </w:r>
      <w:proofErr w:type="spellStart"/>
      <w:r>
        <w:rPr>
          <w:rFonts w:ascii="Cambria" w:hAnsi="Cambria"/>
          <w:i/>
          <w:iCs/>
          <w:sz w:val="20"/>
          <w:szCs w:val="20"/>
          <w:lang w:val="en"/>
        </w:rPr>
        <w:t>materiae</w:t>
      </w:r>
      <w:proofErr w:type="spellEnd"/>
      <w:r>
        <w:rPr>
          <w:rFonts w:ascii="Cambria" w:hAnsi="Cambria"/>
          <w:sz w:val="20"/>
          <w:szCs w:val="20"/>
          <w:lang w:val="en"/>
        </w:rPr>
        <w:t>, the Commission will analyze the facts alleged in the light of the obligations outlined in the American Convention, the Inter-American Convention on Forced Disappearance of Persons and the Convention against Torture regarding those acts committed or continued after the said instruments took effect in relation to the State of Chile. The Commission will analyze the acts committed before the American Convention took effect in relation to the State, in the light of the obligations established in the American Declaration.</w:t>
      </w:r>
      <w:r w:rsidR="004E1EE5">
        <w:rPr>
          <w:rFonts w:ascii="Cambria" w:hAnsi="Cambria"/>
          <w:sz w:val="20"/>
          <w:szCs w:val="20"/>
          <w:lang w:val="en"/>
        </w:rPr>
        <w:t xml:space="preserve"> </w:t>
      </w:r>
    </w:p>
    <w:p w14:paraId="3934530E" w14:textId="481C5049" w:rsidR="004272C8" w:rsidRPr="000B0579" w:rsidRDefault="004272C8" w:rsidP="00E53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Commission observes that the instant petition involves allegations of </w:t>
      </w:r>
      <w:r w:rsidR="00781F53">
        <w:rPr>
          <w:rFonts w:ascii="Cambria" w:hAnsi="Cambria"/>
          <w:sz w:val="20"/>
          <w:szCs w:val="20"/>
          <w:lang w:val="en"/>
        </w:rPr>
        <w:t>detention</w:t>
      </w:r>
      <w:r>
        <w:rPr>
          <w:rFonts w:ascii="Cambria" w:hAnsi="Cambria"/>
          <w:sz w:val="20"/>
          <w:szCs w:val="20"/>
          <w:lang w:val="en"/>
        </w:rPr>
        <w:t>, torture</w:t>
      </w:r>
      <w:r w:rsidR="00A604D3">
        <w:rPr>
          <w:rFonts w:ascii="Cambria" w:hAnsi="Cambria"/>
          <w:sz w:val="20"/>
          <w:szCs w:val="20"/>
          <w:lang w:val="en"/>
        </w:rPr>
        <w:t>,</w:t>
      </w:r>
      <w:r>
        <w:rPr>
          <w:rFonts w:ascii="Cambria" w:hAnsi="Cambria"/>
          <w:sz w:val="20"/>
          <w:szCs w:val="20"/>
          <w:lang w:val="en"/>
        </w:rPr>
        <w:t xml:space="preserve"> and forced disappearance of the alleged victim. </w:t>
      </w:r>
      <w:r w:rsidR="00781F53" w:rsidRPr="00A23FA7">
        <w:rPr>
          <w:rFonts w:asciiTheme="majorHAnsi" w:hAnsiTheme="majorHAnsi"/>
          <w:color w:val="000000" w:themeColor="text1"/>
          <w:sz w:val="20"/>
          <w:szCs w:val="20"/>
        </w:rPr>
        <w:t>In view of these considerations and after examining the factual and legal remedies presented by the parties, the Commission considers that the claims of the petitioner are not manifestly unfounded and require a substantive study on the merits since the alleged facts, if corroborated as true, could characterize</w:t>
      </w:r>
      <w:r w:rsidR="00781F53">
        <w:rPr>
          <w:rFonts w:asciiTheme="majorHAnsi" w:hAnsiTheme="majorHAnsi"/>
          <w:color w:val="000000" w:themeColor="text1"/>
          <w:sz w:val="20"/>
          <w:szCs w:val="20"/>
        </w:rPr>
        <w:t xml:space="preserve"> violations</w:t>
      </w:r>
      <w:r>
        <w:rPr>
          <w:rFonts w:ascii="Cambria" w:hAnsi="Cambria"/>
          <w:sz w:val="20"/>
          <w:szCs w:val="20"/>
          <w:lang w:val="en"/>
        </w:rPr>
        <w:t xml:space="preserve"> of </w:t>
      </w:r>
      <w:r w:rsidR="00AA74E0">
        <w:rPr>
          <w:rFonts w:ascii="Cambria" w:hAnsi="Cambria"/>
          <w:sz w:val="20"/>
          <w:szCs w:val="20"/>
          <w:lang w:val="en"/>
        </w:rPr>
        <w:t>a</w:t>
      </w:r>
      <w:r>
        <w:rPr>
          <w:rFonts w:ascii="Cambria" w:hAnsi="Cambria"/>
          <w:sz w:val="20"/>
          <w:szCs w:val="20"/>
          <w:lang w:val="en"/>
        </w:rPr>
        <w:t>rticles I (life, liberty</w:t>
      </w:r>
      <w:r w:rsidR="007F31D0">
        <w:rPr>
          <w:rFonts w:ascii="Cambria" w:hAnsi="Cambria"/>
          <w:sz w:val="20"/>
          <w:szCs w:val="20"/>
          <w:lang w:val="en"/>
        </w:rPr>
        <w:t>,</w:t>
      </w:r>
      <w:r>
        <w:rPr>
          <w:rFonts w:ascii="Cambria" w:hAnsi="Cambria"/>
          <w:sz w:val="20"/>
          <w:szCs w:val="20"/>
          <w:lang w:val="en"/>
        </w:rPr>
        <w:t xml:space="preserve"> and personal security), XVII (recognition of juridical personality), XVIII (fair trial), and XXV (protection from </w:t>
      </w:r>
      <w:r w:rsidRPr="00E5382F">
        <w:rPr>
          <w:rFonts w:ascii="Cambria" w:hAnsi="Cambria"/>
          <w:sz w:val="20"/>
          <w:szCs w:val="20"/>
          <w:lang w:val="en"/>
        </w:rPr>
        <w:t>arbitrary arrest) of the American Declaration.</w:t>
      </w:r>
      <w:r w:rsidR="00E5382F" w:rsidRPr="00E5382F">
        <w:rPr>
          <w:rFonts w:ascii="Cambria" w:hAnsi="Cambria"/>
          <w:sz w:val="20"/>
          <w:szCs w:val="20"/>
          <w:lang w:val="en"/>
        </w:rPr>
        <w:t xml:space="preserve"> </w:t>
      </w:r>
      <w:r w:rsidR="00E5382F" w:rsidRPr="00E5382F">
        <w:rPr>
          <w:rFonts w:ascii="Cambria" w:hAnsi="Cambria"/>
          <w:sz w:val="20"/>
          <w:szCs w:val="20"/>
        </w:rPr>
        <w:t xml:space="preserve">Moreover, the Commission observes that the instant petition includes allegations regarding the ongoing crime of forced disappearance and the alleged ineffectiveness of the criminal proceedings to establish the facts and punish those responsible, and the failure to clarify said crimes, as well as the failure to provide compensation for the facts, by judicial application of the statute of limitations in civil matters. </w:t>
      </w:r>
      <w:r w:rsidR="00E5382F" w:rsidRPr="00E5382F">
        <w:rPr>
          <w:rFonts w:asciiTheme="majorHAnsi" w:hAnsiTheme="majorHAnsi"/>
          <w:color w:val="000000" w:themeColor="text1"/>
          <w:sz w:val="20"/>
          <w:szCs w:val="20"/>
        </w:rPr>
        <w:t>As regards the civil actions for reparations in matters such as the instant one, both the Commission and the Inter-American Court of Human Rights have found the application of the statute of limitations is an obstacle to effective access to justice for victims seeking reparations</w:t>
      </w:r>
      <w:r w:rsidR="00E5382F" w:rsidRPr="00E5382F">
        <w:rPr>
          <w:rStyle w:val="FootnoteReference"/>
          <w:rFonts w:asciiTheme="majorHAnsi" w:hAnsiTheme="majorHAnsi"/>
          <w:color w:val="000000" w:themeColor="text1"/>
          <w:sz w:val="20"/>
          <w:szCs w:val="20"/>
        </w:rPr>
        <w:footnoteReference w:id="13"/>
      </w:r>
      <w:r w:rsidR="00E5382F" w:rsidRPr="00E5382F">
        <w:rPr>
          <w:rFonts w:asciiTheme="majorHAnsi" w:hAnsiTheme="majorHAnsi"/>
          <w:color w:val="000000" w:themeColor="text1"/>
          <w:sz w:val="20"/>
          <w:szCs w:val="20"/>
        </w:rPr>
        <w:t xml:space="preserve">. Bearing this in mind, the IACHR considers that the allegations of the petitioners are not manifestly groundless and require an analysis on the merits, since the alleged facts, if proven, could characterize violations of Articles </w:t>
      </w:r>
      <w:r w:rsidRPr="00E5382F">
        <w:rPr>
          <w:rFonts w:ascii="Cambria" w:hAnsi="Cambria"/>
          <w:sz w:val="20"/>
          <w:szCs w:val="20"/>
          <w:lang w:val="en"/>
        </w:rPr>
        <w:t>3 (juridical personality), 4 (life), 5 (humane</w:t>
      </w:r>
      <w:r>
        <w:rPr>
          <w:rFonts w:ascii="Cambria" w:hAnsi="Cambria"/>
          <w:sz w:val="20"/>
          <w:szCs w:val="20"/>
          <w:lang w:val="en"/>
        </w:rPr>
        <w:t xml:space="preserve"> treatment), 7 (personal liberty), 8 (fair trial) and 25 (judicial protection) of the American Convention, in connection with </w:t>
      </w:r>
      <w:r w:rsidR="00953EEC">
        <w:rPr>
          <w:rFonts w:ascii="Cambria" w:hAnsi="Cambria"/>
          <w:sz w:val="20"/>
          <w:szCs w:val="20"/>
          <w:lang w:val="en"/>
        </w:rPr>
        <w:t>a</w:t>
      </w:r>
      <w:r>
        <w:rPr>
          <w:rFonts w:ascii="Cambria" w:hAnsi="Cambria"/>
          <w:sz w:val="20"/>
          <w:szCs w:val="20"/>
          <w:lang w:val="en"/>
        </w:rPr>
        <w:t xml:space="preserve">rticles 1.1 (obligation to respect rights) and 2 (domestic legal effects) thereof, </w:t>
      </w:r>
      <w:r w:rsidR="00374801">
        <w:rPr>
          <w:rFonts w:ascii="Cambria" w:hAnsi="Cambria"/>
          <w:sz w:val="20"/>
          <w:szCs w:val="20"/>
          <w:lang w:val="en"/>
        </w:rPr>
        <w:t>A</w:t>
      </w:r>
      <w:r>
        <w:rPr>
          <w:rFonts w:ascii="Cambria" w:hAnsi="Cambria"/>
          <w:sz w:val="20"/>
          <w:szCs w:val="20"/>
          <w:lang w:val="en"/>
        </w:rPr>
        <w:t>rticles 1, 6</w:t>
      </w:r>
      <w:r w:rsidR="00A604D3">
        <w:rPr>
          <w:rFonts w:ascii="Cambria" w:hAnsi="Cambria"/>
          <w:sz w:val="20"/>
          <w:szCs w:val="20"/>
          <w:lang w:val="en"/>
        </w:rPr>
        <w:t>,</w:t>
      </w:r>
      <w:r>
        <w:rPr>
          <w:rFonts w:ascii="Cambria" w:hAnsi="Cambria"/>
          <w:sz w:val="20"/>
          <w:szCs w:val="20"/>
          <w:lang w:val="en"/>
        </w:rPr>
        <w:t xml:space="preserve"> and 8 of the Convention against Torture, and </w:t>
      </w:r>
      <w:r w:rsidR="00374801">
        <w:rPr>
          <w:rFonts w:ascii="Cambria" w:hAnsi="Cambria"/>
          <w:sz w:val="20"/>
          <w:szCs w:val="20"/>
          <w:lang w:val="en"/>
        </w:rPr>
        <w:t>A</w:t>
      </w:r>
      <w:r>
        <w:rPr>
          <w:rFonts w:ascii="Cambria" w:hAnsi="Cambria"/>
          <w:sz w:val="20"/>
          <w:szCs w:val="20"/>
          <w:lang w:val="en"/>
        </w:rPr>
        <w:t>rticle I of the Inter-American Convention on Forced Disappearance of Persons.</w:t>
      </w:r>
      <w:r>
        <w:rPr>
          <w:rStyle w:val="FootnoteReference"/>
          <w:rFonts w:ascii="Cambria" w:hAnsi="Cambria"/>
          <w:sz w:val="20"/>
          <w:szCs w:val="20"/>
          <w:lang w:val="en"/>
        </w:rPr>
        <w:footnoteReference w:id="14"/>
      </w:r>
      <w:r w:rsidR="004E1EE5">
        <w:rPr>
          <w:rFonts w:ascii="Cambria" w:hAnsi="Cambria"/>
          <w:sz w:val="20"/>
          <w:szCs w:val="20"/>
          <w:lang w:val="en"/>
        </w:rPr>
        <w:t xml:space="preserve"> </w:t>
      </w:r>
    </w:p>
    <w:p w14:paraId="27632444" w14:textId="77777777" w:rsidR="004272C8" w:rsidRPr="00006B74" w:rsidRDefault="004272C8" w:rsidP="004272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17318ED" w14:textId="198BF645" w:rsidR="004272C8" w:rsidRPr="005F008D" w:rsidRDefault="004272C8" w:rsidP="004272C8">
      <w:pPr>
        <w:pStyle w:val="ListParagraph"/>
        <w:numPr>
          <w:ilvl w:val="0"/>
          <w:numId w:val="105"/>
        </w:numPr>
        <w:spacing w:after="120"/>
        <w:jc w:val="both"/>
        <w:rPr>
          <w:rFonts w:eastAsia="Arial Unicode MS" w:cs="Times New Roman"/>
          <w:color w:val="auto"/>
          <w:sz w:val="20"/>
          <w:szCs w:val="20"/>
        </w:rPr>
      </w:pPr>
      <w:r>
        <w:rPr>
          <w:rFonts w:asciiTheme="majorHAnsi" w:hAnsiTheme="majorHAnsi"/>
          <w:sz w:val="20"/>
          <w:szCs w:val="20"/>
          <w:lang w:val="en"/>
        </w:rPr>
        <w:t xml:space="preserve">To declare the instant petition admissible in relation to Articles 3, 4, 5, 7, 8 and 25 of the American Convention, in relation to Articles 1.1 and 2 thereof; Articles I, XVII, XVIII and XXV of the American </w:t>
      </w:r>
      <w:r>
        <w:rPr>
          <w:rFonts w:asciiTheme="majorHAnsi" w:hAnsiTheme="majorHAnsi"/>
          <w:sz w:val="20"/>
          <w:szCs w:val="20"/>
          <w:lang w:val="en"/>
        </w:rPr>
        <w:lastRenderedPageBreak/>
        <w:t xml:space="preserve">Declaration; </w:t>
      </w:r>
      <w:r w:rsidR="00374801">
        <w:rPr>
          <w:rFonts w:asciiTheme="majorHAnsi" w:hAnsiTheme="majorHAnsi"/>
          <w:sz w:val="20"/>
          <w:szCs w:val="20"/>
          <w:lang w:val="en"/>
        </w:rPr>
        <w:t>A</w:t>
      </w:r>
      <w:r>
        <w:rPr>
          <w:rFonts w:asciiTheme="majorHAnsi" w:hAnsiTheme="majorHAnsi"/>
          <w:sz w:val="20"/>
          <w:szCs w:val="20"/>
          <w:lang w:val="en"/>
        </w:rPr>
        <w:t xml:space="preserve">rticles 1, 6 and 8 of the Convention against torture; and </w:t>
      </w:r>
      <w:r w:rsidR="00374801">
        <w:rPr>
          <w:rFonts w:asciiTheme="majorHAnsi" w:hAnsiTheme="majorHAnsi"/>
          <w:sz w:val="20"/>
          <w:szCs w:val="20"/>
          <w:lang w:val="en"/>
        </w:rPr>
        <w:t>A</w:t>
      </w:r>
      <w:r>
        <w:rPr>
          <w:rFonts w:asciiTheme="majorHAnsi" w:hAnsiTheme="majorHAnsi"/>
          <w:sz w:val="20"/>
          <w:szCs w:val="20"/>
          <w:lang w:val="en"/>
        </w:rPr>
        <w:t>rticle I of the Inter-American Convention on Forced Disappearance of Persons;</w:t>
      </w:r>
      <w:r>
        <w:rPr>
          <w:sz w:val="20"/>
          <w:szCs w:val="20"/>
          <w:lang w:val="en"/>
        </w:rPr>
        <w:t xml:space="preserve"> </w:t>
      </w:r>
      <w:r>
        <w:rPr>
          <w:rFonts w:asciiTheme="majorHAnsi" w:hAnsiTheme="majorHAnsi"/>
          <w:sz w:val="20"/>
          <w:szCs w:val="20"/>
          <w:lang w:val="en"/>
        </w:rPr>
        <w:t>and</w:t>
      </w:r>
      <w:r w:rsidR="004E1EE5">
        <w:rPr>
          <w:rFonts w:asciiTheme="majorHAnsi" w:hAnsiTheme="majorHAnsi"/>
          <w:sz w:val="20"/>
          <w:szCs w:val="20"/>
          <w:lang w:val="en"/>
        </w:rPr>
        <w:t xml:space="preserve"> </w:t>
      </w:r>
    </w:p>
    <w:p w14:paraId="42D4A60E" w14:textId="2ABBF71C" w:rsidR="00F621C3" w:rsidRPr="00995C7C" w:rsidRDefault="004272C8" w:rsidP="00995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To notify the parties of this decision; to </w:t>
      </w:r>
      <w:r w:rsidR="00A16216">
        <w:rPr>
          <w:rFonts w:asciiTheme="majorHAnsi" w:hAnsiTheme="majorHAnsi"/>
          <w:sz w:val="20"/>
          <w:szCs w:val="20"/>
          <w:lang w:val="en"/>
        </w:rPr>
        <w:t>proceed</w:t>
      </w:r>
      <w:r>
        <w:rPr>
          <w:rFonts w:asciiTheme="majorHAnsi" w:hAnsiTheme="majorHAnsi"/>
          <w:sz w:val="20"/>
          <w:szCs w:val="20"/>
          <w:lang w:val="en"/>
        </w:rPr>
        <w:t xml:space="preserve"> with the analysis on the merits; and to publish this decision and include it in its Annual Report to the General Assembly of the Organization of American States.</w:t>
      </w:r>
      <w:r w:rsidRPr="000B6B7A">
        <w:rPr>
          <w:rFonts w:asciiTheme="majorHAnsi" w:hAnsiTheme="majorHAnsi"/>
          <w:sz w:val="20"/>
          <w:szCs w:val="20"/>
        </w:rPr>
        <w:t xml:space="preserve"> </w:t>
      </w:r>
    </w:p>
    <w:p w14:paraId="776AE8A6" w14:textId="6C3EE4FA" w:rsidR="00F621C3" w:rsidRPr="000B6B7A" w:rsidRDefault="009506C6" w:rsidP="009506C6">
      <w:pPr>
        <w:ind w:firstLine="720"/>
        <w:jc w:val="both"/>
        <w:rPr>
          <w:rFonts w:ascii="Cambria" w:hAnsi="Cambria" w:cs="Calibri"/>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13</w:t>
      </w:r>
      <w:r w:rsidRPr="00696C54">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F621C3"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B793" w14:textId="77777777" w:rsidR="00E659B0" w:rsidRDefault="00E659B0" w:rsidP="00036A8A">
      <w:r>
        <w:separator/>
      </w:r>
    </w:p>
  </w:endnote>
  <w:endnote w:type="continuationSeparator" w:id="0">
    <w:p w14:paraId="09E7FE6D" w14:textId="77777777" w:rsidR="00E659B0" w:rsidRDefault="00E659B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B6A3" w14:textId="77777777" w:rsidR="00BD4973" w:rsidRDefault="00BD4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22C8C368"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D4973">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14C3" w14:textId="77777777" w:rsidR="00E659B0" w:rsidRPr="00036A8A" w:rsidRDefault="00E659B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4551181" w14:textId="77777777" w:rsidR="00E659B0" w:rsidRPr="00036A8A" w:rsidRDefault="00E659B0" w:rsidP="00036A8A">
      <w:pPr>
        <w:rPr>
          <w:rFonts w:asciiTheme="majorHAnsi" w:hAnsiTheme="majorHAnsi"/>
          <w:sz w:val="16"/>
          <w:szCs w:val="16"/>
        </w:rPr>
      </w:pPr>
      <w:r w:rsidRPr="00036A8A">
        <w:rPr>
          <w:rFonts w:asciiTheme="majorHAnsi" w:hAnsiTheme="majorHAnsi"/>
          <w:sz w:val="16"/>
          <w:szCs w:val="16"/>
        </w:rPr>
        <w:separator/>
      </w:r>
    </w:p>
    <w:p w14:paraId="4E8D3D6E" w14:textId="77777777" w:rsidR="00E659B0" w:rsidRPr="00036A8A" w:rsidRDefault="00E659B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7B25560" w14:textId="77777777" w:rsidR="00E659B0" w:rsidRPr="0093441A" w:rsidRDefault="00E659B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CD7ABD4" w14:textId="13D9CA28" w:rsidR="005453AE" w:rsidRPr="000D2279" w:rsidRDefault="005453AE" w:rsidP="008D7C97">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w:t>
      </w:r>
      <w:r w:rsidR="000D2279">
        <w:rPr>
          <w:rFonts w:asciiTheme="majorHAnsi" w:hAnsiTheme="majorHAnsi"/>
          <w:sz w:val="16"/>
          <w:szCs w:val="16"/>
        </w:rPr>
        <w:t>I</w:t>
      </w:r>
      <w:r w:rsidR="00A71CB9" w:rsidRPr="000D2279">
        <w:rPr>
          <w:rFonts w:asciiTheme="majorHAnsi" w:hAnsiTheme="majorHAnsi"/>
          <w:sz w:val="16"/>
          <w:szCs w:val="16"/>
        </w:rPr>
        <w:t>nitially</w:t>
      </w:r>
      <w:r w:rsidR="000D2279">
        <w:rPr>
          <w:rFonts w:asciiTheme="majorHAnsi" w:hAnsiTheme="majorHAnsi"/>
          <w:sz w:val="16"/>
          <w:szCs w:val="16"/>
        </w:rPr>
        <w:t>,</w:t>
      </w:r>
      <w:r w:rsidR="00A71CB9" w:rsidRPr="000D2279">
        <w:rPr>
          <w:rFonts w:asciiTheme="majorHAnsi" w:hAnsiTheme="majorHAnsi"/>
          <w:sz w:val="16"/>
          <w:szCs w:val="16"/>
        </w:rPr>
        <w:t xml:space="preserve"> Franz Moller Morris</w:t>
      </w:r>
      <w:r w:rsidR="000D2279">
        <w:rPr>
          <w:rFonts w:asciiTheme="majorHAnsi" w:hAnsiTheme="majorHAnsi"/>
          <w:sz w:val="16"/>
          <w:szCs w:val="16"/>
        </w:rPr>
        <w:t xml:space="preserve"> </w:t>
      </w:r>
      <w:r w:rsidR="003C47E0">
        <w:rPr>
          <w:rFonts w:asciiTheme="majorHAnsi" w:hAnsiTheme="majorHAnsi"/>
          <w:sz w:val="16"/>
          <w:szCs w:val="16"/>
        </w:rPr>
        <w:t>was one of the</w:t>
      </w:r>
      <w:r w:rsidR="000D2279">
        <w:rPr>
          <w:rFonts w:asciiTheme="majorHAnsi" w:hAnsiTheme="majorHAnsi"/>
          <w:sz w:val="16"/>
          <w:szCs w:val="16"/>
        </w:rPr>
        <w:t xml:space="preserve"> petitioner</w:t>
      </w:r>
      <w:r w:rsidR="003C47E0">
        <w:rPr>
          <w:rFonts w:asciiTheme="majorHAnsi" w:hAnsiTheme="majorHAnsi"/>
          <w:sz w:val="16"/>
          <w:szCs w:val="16"/>
        </w:rPr>
        <w:t>s</w:t>
      </w:r>
      <w:r w:rsidR="00A71CB9" w:rsidRPr="000D2279">
        <w:rPr>
          <w:rFonts w:asciiTheme="majorHAnsi" w:hAnsiTheme="majorHAnsi"/>
          <w:sz w:val="16"/>
          <w:szCs w:val="16"/>
        </w:rPr>
        <w:t xml:space="preserve">; however, by a communication dated September 26, 2017, he announced his withdrawal as </w:t>
      </w:r>
      <w:r w:rsidR="003C47E0">
        <w:rPr>
          <w:rFonts w:asciiTheme="majorHAnsi" w:hAnsiTheme="majorHAnsi"/>
          <w:sz w:val="16"/>
          <w:szCs w:val="16"/>
        </w:rPr>
        <w:t>such</w:t>
      </w:r>
      <w:r w:rsidR="00A71CB9" w:rsidRPr="000D2279">
        <w:rPr>
          <w:rFonts w:asciiTheme="majorHAnsi" w:hAnsiTheme="majorHAnsi"/>
          <w:sz w:val="16"/>
          <w:szCs w:val="16"/>
        </w:rPr>
        <w:t>.</w:t>
      </w:r>
    </w:p>
  </w:footnote>
  <w:footnote w:id="3">
    <w:p w14:paraId="57F54CE0" w14:textId="72B3C96A" w:rsidR="005453AE" w:rsidRPr="000D2279" w:rsidRDefault="005453AE" w:rsidP="008D7C97">
      <w:pPr>
        <w:pStyle w:val="FootnoteText"/>
        <w:jc w:val="both"/>
        <w:rPr>
          <w:rFonts w:asciiTheme="majorHAnsi" w:hAnsiTheme="majorHAnsi"/>
          <w:sz w:val="16"/>
          <w:szCs w:val="16"/>
          <w:lang w:val="en-GB"/>
        </w:rPr>
      </w:pPr>
      <w:r w:rsidRPr="000D2279">
        <w:rPr>
          <w:rStyle w:val="FootnoteReference"/>
          <w:rFonts w:asciiTheme="majorHAnsi" w:hAnsiTheme="majorHAnsi"/>
          <w:sz w:val="16"/>
          <w:szCs w:val="16"/>
        </w:rPr>
        <w:footnoteRef/>
      </w:r>
      <w:r w:rsidRPr="000D2279">
        <w:rPr>
          <w:rFonts w:asciiTheme="majorHAnsi" w:hAnsiTheme="majorHAnsi"/>
          <w:sz w:val="16"/>
          <w:szCs w:val="16"/>
          <w:lang w:val="en-GB"/>
        </w:rPr>
        <w:t xml:space="preserve"> </w:t>
      </w:r>
      <w:r w:rsidR="00A71CB9" w:rsidRPr="000D2279">
        <w:rPr>
          <w:rFonts w:asciiTheme="majorHAnsi" w:hAnsiTheme="majorHAnsi"/>
          <w:sz w:val="16"/>
          <w:szCs w:val="16"/>
          <w:lang w:val="en-GB"/>
        </w:rPr>
        <w:t>María Graciela Vargas Contreras, sister of the alleged victim.</w:t>
      </w:r>
    </w:p>
  </w:footnote>
  <w:footnote w:id="4">
    <w:p w14:paraId="240347A9" w14:textId="3E3CBF81" w:rsidR="005453AE" w:rsidRPr="000D2279" w:rsidRDefault="005453AE" w:rsidP="008D7C97">
      <w:pPr>
        <w:pStyle w:val="FootnoteText"/>
        <w:jc w:val="both"/>
        <w:rPr>
          <w:rFonts w:asciiTheme="majorHAnsi" w:hAnsiTheme="majorHAnsi"/>
          <w:sz w:val="16"/>
          <w:szCs w:val="16"/>
          <w:lang w:val="en-GB"/>
        </w:rPr>
      </w:pPr>
      <w:r w:rsidRPr="000D2279">
        <w:rPr>
          <w:rStyle w:val="FootnoteReference"/>
          <w:rFonts w:asciiTheme="majorHAnsi" w:hAnsiTheme="majorHAnsi"/>
          <w:sz w:val="16"/>
          <w:szCs w:val="16"/>
        </w:rPr>
        <w:footnoteRef/>
      </w:r>
      <w:r w:rsidRPr="000D2279">
        <w:rPr>
          <w:rFonts w:asciiTheme="majorHAnsi" w:hAnsiTheme="majorHAnsi"/>
          <w:sz w:val="16"/>
          <w:szCs w:val="16"/>
          <w:lang w:val="en-GB"/>
        </w:rPr>
        <w:t xml:space="preserve"> </w:t>
      </w:r>
      <w:r w:rsidR="00A71CB9" w:rsidRPr="000D2279">
        <w:rPr>
          <w:rFonts w:asciiTheme="majorHAnsi" w:hAnsiTheme="majorHAnsi"/>
          <w:sz w:val="16"/>
          <w:szCs w:val="16"/>
          <w:lang w:val="en-GB"/>
        </w:rPr>
        <w:t>In conformity with the provisions of Article 17.2.</w:t>
      </w:r>
      <w:proofErr w:type="spellStart"/>
      <w:r w:rsidR="00A71CB9" w:rsidRPr="000D2279">
        <w:rPr>
          <w:rFonts w:asciiTheme="majorHAnsi" w:hAnsiTheme="majorHAnsi"/>
          <w:sz w:val="16"/>
          <w:szCs w:val="16"/>
          <w:lang w:val="en-GB"/>
        </w:rPr>
        <w:t>a</w:t>
      </w:r>
      <w:proofErr w:type="spellEnd"/>
      <w:r w:rsidR="00A71CB9" w:rsidRPr="000D2279">
        <w:rPr>
          <w:rFonts w:asciiTheme="majorHAnsi" w:hAnsiTheme="majorHAnsi"/>
          <w:sz w:val="16"/>
          <w:szCs w:val="16"/>
          <w:lang w:val="en-GB"/>
        </w:rPr>
        <w:t xml:space="preserve"> of the IACHR Rules of Procedure, Commissioner Antonia Urrejola Noguera, a Chilean national did not partake in the discussion or the </w:t>
      </w:r>
      <w:r w:rsidR="00176281" w:rsidRPr="000D2279">
        <w:rPr>
          <w:rFonts w:asciiTheme="majorHAnsi" w:hAnsiTheme="majorHAnsi"/>
          <w:sz w:val="16"/>
          <w:szCs w:val="16"/>
          <w:lang w:val="en-GB"/>
        </w:rPr>
        <w:t>decision</w:t>
      </w:r>
      <w:r w:rsidR="00A71CB9" w:rsidRPr="000D2279">
        <w:rPr>
          <w:rFonts w:asciiTheme="majorHAnsi" w:hAnsiTheme="majorHAnsi"/>
          <w:sz w:val="16"/>
          <w:szCs w:val="16"/>
          <w:lang w:val="en-GB"/>
        </w:rPr>
        <w:t xml:space="preserve"> on this matter.</w:t>
      </w:r>
    </w:p>
  </w:footnote>
  <w:footnote w:id="5">
    <w:p w14:paraId="15B44DFA" w14:textId="7F840863" w:rsidR="005453AE" w:rsidRPr="000D2279" w:rsidRDefault="005453AE" w:rsidP="008D7C97">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w:t>
      </w:r>
      <w:r w:rsidR="003C000E">
        <w:rPr>
          <w:rFonts w:asciiTheme="majorHAnsi" w:hAnsiTheme="majorHAnsi"/>
          <w:sz w:val="16"/>
          <w:szCs w:val="16"/>
        </w:rPr>
        <w:t xml:space="preserve">Hereinafter </w:t>
      </w:r>
      <w:r w:rsidR="00176281" w:rsidRPr="000D2279">
        <w:rPr>
          <w:rFonts w:asciiTheme="majorHAnsi" w:hAnsiTheme="majorHAnsi"/>
          <w:sz w:val="16"/>
          <w:szCs w:val="16"/>
        </w:rPr>
        <w:t>“American Convention” or “Convention.”</w:t>
      </w:r>
    </w:p>
  </w:footnote>
  <w:footnote w:id="6">
    <w:p w14:paraId="55774E34" w14:textId="77777777" w:rsidR="00653EA6" w:rsidRPr="000D2279" w:rsidRDefault="00653EA6" w:rsidP="008D7C97">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The observations </w:t>
      </w:r>
      <w:r w:rsidR="00321AFD" w:rsidRPr="000D2279">
        <w:rPr>
          <w:rFonts w:asciiTheme="majorHAnsi" w:hAnsiTheme="majorHAnsi"/>
          <w:sz w:val="16"/>
          <w:szCs w:val="16"/>
        </w:rPr>
        <w:t>submitted</w:t>
      </w:r>
      <w:r w:rsidRPr="000D2279">
        <w:rPr>
          <w:rFonts w:asciiTheme="majorHAnsi" w:hAnsiTheme="majorHAnsi"/>
          <w:sz w:val="16"/>
          <w:szCs w:val="16"/>
        </w:rPr>
        <w:t xml:space="preserve"> by each party were duly transmitted to the opposing party.</w:t>
      </w:r>
    </w:p>
  </w:footnote>
  <w:footnote w:id="7">
    <w:p w14:paraId="24BFF333" w14:textId="3BCDE0E3" w:rsidR="005453AE" w:rsidRPr="000D2279" w:rsidRDefault="005453AE" w:rsidP="008D7C97">
      <w:pPr>
        <w:pStyle w:val="FootnoteText"/>
        <w:jc w:val="both"/>
        <w:rPr>
          <w:rFonts w:asciiTheme="majorHAnsi" w:hAnsiTheme="majorHAnsi"/>
          <w:sz w:val="16"/>
          <w:szCs w:val="16"/>
          <w:lang w:val="en-GB"/>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w:t>
      </w:r>
      <w:r w:rsidR="00176281" w:rsidRPr="000D2279">
        <w:rPr>
          <w:rFonts w:asciiTheme="majorHAnsi" w:hAnsiTheme="majorHAnsi"/>
          <w:sz w:val="16"/>
          <w:szCs w:val="16"/>
        </w:rPr>
        <w:t>“American Declaration” or “Declaration.”</w:t>
      </w:r>
    </w:p>
  </w:footnote>
  <w:footnote w:id="8">
    <w:p w14:paraId="6EE276FC" w14:textId="64392773" w:rsidR="005453AE" w:rsidRPr="000D2279" w:rsidRDefault="005453AE" w:rsidP="008D7C97">
      <w:pPr>
        <w:pStyle w:val="FootnoteText"/>
        <w:jc w:val="both"/>
        <w:rPr>
          <w:rFonts w:asciiTheme="majorHAnsi" w:hAnsiTheme="majorHAnsi"/>
          <w:sz w:val="16"/>
          <w:szCs w:val="16"/>
          <w:lang w:val="en-GB"/>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w:t>
      </w:r>
      <w:r w:rsidR="00A71CB9" w:rsidRPr="000D2279">
        <w:rPr>
          <w:rFonts w:asciiTheme="majorHAnsi" w:hAnsiTheme="majorHAnsi"/>
          <w:sz w:val="16"/>
          <w:szCs w:val="16"/>
        </w:rPr>
        <w:t>“Convention against torture.”</w:t>
      </w:r>
    </w:p>
  </w:footnote>
  <w:footnote w:id="9">
    <w:p w14:paraId="48D82136" w14:textId="6F1F219A" w:rsidR="004272C8" w:rsidRPr="00D5630A" w:rsidRDefault="004272C8" w:rsidP="008D7C97">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The petition is based on the report by the National Commission for Truth and Reconciliation, known as </w:t>
      </w:r>
      <w:proofErr w:type="spellStart"/>
      <w:r>
        <w:rPr>
          <w:rFonts w:asciiTheme="majorHAnsi" w:hAnsiTheme="majorHAnsi"/>
          <w:sz w:val="16"/>
          <w:szCs w:val="16"/>
          <w:lang w:val="en"/>
        </w:rPr>
        <w:t>Rettig</w:t>
      </w:r>
      <w:proofErr w:type="spellEnd"/>
      <w:r>
        <w:rPr>
          <w:rFonts w:asciiTheme="majorHAnsi" w:hAnsiTheme="majorHAnsi"/>
          <w:sz w:val="16"/>
          <w:szCs w:val="16"/>
          <w:lang w:val="en"/>
        </w:rPr>
        <w:t xml:space="preserve"> Report, which allegedly reports what happened with the people arrested in the attack </w:t>
      </w:r>
      <w:r w:rsidR="002D4189">
        <w:rPr>
          <w:rFonts w:asciiTheme="majorHAnsi" w:hAnsiTheme="majorHAnsi"/>
          <w:sz w:val="16"/>
          <w:szCs w:val="16"/>
          <w:lang w:val="en"/>
        </w:rPr>
        <w:t>on</w:t>
      </w:r>
      <w:r>
        <w:rPr>
          <w:rFonts w:asciiTheme="majorHAnsi" w:hAnsiTheme="majorHAnsi"/>
          <w:sz w:val="16"/>
          <w:szCs w:val="16"/>
          <w:lang w:val="en"/>
        </w:rPr>
        <w:t xml:space="preserve"> La </w:t>
      </w:r>
      <w:proofErr w:type="spellStart"/>
      <w:r>
        <w:rPr>
          <w:rFonts w:asciiTheme="majorHAnsi" w:hAnsiTheme="majorHAnsi"/>
          <w:sz w:val="16"/>
          <w:szCs w:val="16"/>
          <w:lang w:val="en"/>
        </w:rPr>
        <w:t>Moneda</w:t>
      </w:r>
      <w:proofErr w:type="spellEnd"/>
      <w:r>
        <w:rPr>
          <w:rFonts w:asciiTheme="majorHAnsi" w:hAnsiTheme="majorHAnsi"/>
          <w:sz w:val="16"/>
          <w:szCs w:val="16"/>
          <w:lang w:val="en"/>
        </w:rPr>
        <w:t>.</w:t>
      </w:r>
    </w:p>
  </w:footnote>
  <w:footnote w:id="10">
    <w:p w14:paraId="267EED1C" w14:textId="3AAD7BFF" w:rsidR="004272C8" w:rsidRPr="00D5630A" w:rsidRDefault="004272C8" w:rsidP="008D7C97">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The petitioners further submit that on May 13, 1974, the alleged victim’s live-in lover, </w:t>
      </w:r>
      <w:proofErr w:type="spellStart"/>
      <w:r>
        <w:rPr>
          <w:rFonts w:asciiTheme="majorHAnsi" w:hAnsiTheme="majorHAnsi"/>
          <w:sz w:val="16"/>
          <w:szCs w:val="16"/>
          <w:lang w:val="en"/>
        </w:rPr>
        <w:t>Merari</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Agurto</w:t>
      </w:r>
      <w:proofErr w:type="spellEnd"/>
      <w:r>
        <w:rPr>
          <w:rFonts w:asciiTheme="majorHAnsi" w:hAnsiTheme="majorHAnsi"/>
          <w:sz w:val="16"/>
          <w:szCs w:val="16"/>
          <w:lang w:val="en"/>
        </w:rPr>
        <w:t>, was arrested at his house, prosecuted</w:t>
      </w:r>
      <w:r w:rsidR="007F31D0">
        <w:rPr>
          <w:rFonts w:asciiTheme="majorHAnsi" w:hAnsiTheme="majorHAnsi"/>
          <w:sz w:val="16"/>
          <w:szCs w:val="16"/>
          <w:lang w:val="en"/>
        </w:rPr>
        <w:t>,</w:t>
      </w:r>
      <w:r>
        <w:rPr>
          <w:rFonts w:asciiTheme="majorHAnsi" w:hAnsiTheme="majorHAnsi"/>
          <w:sz w:val="16"/>
          <w:szCs w:val="16"/>
          <w:lang w:val="en"/>
        </w:rPr>
        <w:t xml:space="preserve"> and sentenced to two years of life in prison. The alleged victim’s brother was also prosecuted and sentenced. He had to flee to the United States as an exile.</w:t>
      </w:r>
    </w:p>
  </w:footnote>
  <w:footnote w:id="11">
    <w:p w14:paraId="6E5B1280" w14:textId="77777777" w:rsidR="004272C8" w:rsidRPr="00D5630A" w:rsidRDefault="004272C8" w:rsidP="008D7C97">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Report No. 105/17. Petition 798-07. </w:t>
      </w:r>
      <w:r w:rsidRPr="009506C6">
        <w:rPr>
          <w:rFonts w:asciiTheme="majorHAnsi" w:hAnsiTheme="majorHAnsi"/>
          <w:sz w:val="16"/>
          <w:szCs w:val="16"/>
          <w:lang w:val="pt-BR"/>
        </w:rPr>
        <w:t xml:space="preserve">Admissibility. David Valderrama Opazo et al. </w:t>
      </w:r>
      <w:r>
        <w:rPr>
          <w:rFonts w:asciiTheme="majorHAnsi" w:hAnsiTheme="majorHAnsi"/>
          <w:sz w:val="16"/>
          <w:szCs w:val="16"/>
          <w:lang w:val="en"/>
        </w:rPr>
        <w:t>Chile. September 7, 2017.</w:t>
      </w:r>
    </w:p>
  </w:footnote>
  <w:footnote w:id="12">
    <w:p w14:paraId="36E1B5B5" w14:textId="4856192E" w:rsidR="004272C8" w:rsidRPr="00C74E2C" w:rsidRDefault="004272C8" w:rsidP="008D7C97">
      <w:pPr>
        <w:pStyle w:val="FootnoteText"/>
        <w:jc w:val="both"/>
        <w:rPr>
          <w:rFonts w:asciiTheme="majorHAnsi" w:hAnsiTheme="majorHAnsi"/>
          <w:sz w:val="16"/>
          <w:szCs w:val="16"/>
          <w:lang w:val="es-U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Report No. 72/16. Petition 694-06. </w:t>
      </w:r>
      <w:proofErr w:type="spellStart"/>
      <w:r w:rsidRPr="00C74E2C">
        <w:rPr>
          <w:rFonts w:asciiTheme="majorHAnsi" w:hAnsiTheme="majorHAnsi"/>
          <w:sz w:val="16"/>
          <w:szCs w:val="16"/>
          <w:lang w:val="es-US"/>
        </w:rPr>
        <w:t>Admissibility</w:t>
      </w:r>
      <w:proofErr w:type="spellEnd"/>
      <w:r w:rsidRPr="00C74E2C">
        <w:rPr>
          <w:rFonts w:asciiTheme="majorHAnsi" w:hAnsiTheme="majorHAnsi"/>
          <w:sz w:val="16"/>
          <w:szCs w:val="16"/>
          <w:lang w:val="es-US"/>
        </w:rPr>
        <w:t xml:space="preserve">. Onofre Antonio de La Hoz Montero and </w:t>
      </w:r>
      <w:proofErr w:type="spellStart"/>
      <w:r w:rsidR="009E0054" w:rsidRPr="00C74E2C">
        <w:rPr>
          <w:rFonts w:asciiTheme="majorHAnsi" w:hAnsiTheme="majorHAnsi"/>
          <w:sz w:val="16"/>
          <w:szCs w:val="16"/>
          <w:lang w:val="es-US"/>
        </w:rPr>
        <w:t>F</w:t>
      </w:r>
      <w:r w:rsidRPr="00C74E2C">
        <w:rPr>
          <w:rFonts w:asciiTheme="majorHAnsi" w:hAnsiTheme="majorHAnsi"/>
          <w:sz w:val="16"/>
          <w:szCs w:val="16"/>
          <w:lang w:val="es-US"/>
        </w:rPr>
        <w:t>amily</w:t>
      </w:r>
      <w:proofErr w:type="spellEnd"/>
      <w:r w:rsidRPr="00C74E2C">
        <w:rPr>
          <w:rFonts w:asciiTheme="majorHAnsi" w:hAnsiTheme="majorHAnsi"/>
          <w:sz w:val="16"/>
          <w:szCs w:val="16"/>
          <w:lang w:val="es-US"/>
        </w:rPr>
        <w:t xml:space="preserve">. Colombia. </w:t>
      </w:r>
      <w:proofErr w:type="spellStart"/>
      <w:r w:rsidRPr="00C74E2C">
        <w:rPr>
          <w:rFonts w:asciiTheme="majorHAnsi" w:hAnsiTheme="majorHAnsi"/>
          <w:sz w:val="16"/>
          <w:szCs w:val="16"/>
          <w:lang w:val="es-US"/>
        </w:rPr>
        <w:t>December</w:t>
      </w:r>
      <w:proofErr w:type="spellEnd"/>
      <w:r w:rsidRPr="00C74E2C">
        <w:rPr>
          <w:rFonts w:asciiTheme="majorHAnsi" w:hAnsiTheme="majorHAnsi"/>
          <w:sz w:val="16"/>
          <w:szCs w:val="16"/>
          <w:lang w:val="es-US"/>
        </w:rPr>
        <w:t xml:space="preserve"> 6, 2016, par. 32; IACHR, </w:t>
      </w:r>
      <w:proofErr w:type="spellStart"/>
      <w:r w:rsidRPr="00C74E2C">
        <w:rPr>
          <w:rFonts w:asciiTheme="majorHAnsi" w:hAnsiTheme="majorHAnsi"/>
          <w:sz w:val="16"/>
          <w:szCs w:val="16"/>
          <w:lang w:val="es-US"/>
        </w:rPr>
        <w:t>Report</w:t>
      </w:r>
      <w:proofErr w:type="spellEnd"/>
      <w:r w:rsidRPr="00C74E2C">
        <w:rPr>
          <w:rFonts w:asciiTheme="majorHAnsi" w:hAnsiTheme="majorHAnsi"/>
          <w:sz w:val="16"/>
          <w:szCs w:val="16"/>
          <w:lang w:val="es-US"/>
        </w:rPr>
        <w:t xml:space="preserve"> No. 81/18. </w:t>
      </w:r>
      <w:proofErr w:type="spellStart"/>
      <w:r w:rsidRPr="00C74E2C">
        <w:rPr>
          <w:rFonts w:asciiTheme="majorHAnsi" w:hAnsiTheme="majorHAnsi"/>
          <w:sz w:val="16"/>
          <w:szCs w:val="16"/>
          <w:lang w:val="es-US"/>
        </w:rPr>
        <w:t>Petition</w:t>
      </w:r>
      <w:proofErr w:type="spellEnd"/>
      <w:r w:rsidRPr="00C74E2C">
        <w:rPr>
          <w:rFonts w:asciiTheme="majorHAnsi" w:hAnsiTheme="majorHAnsi"/>
          <w:sz w:val="16"/>
          <w:szCs w:val="16"/>
          <w:lang w:val="es-US"/>
        </w:rPr>
        <w:t xml:space="preserve"> 190-07. </w:t>
      </w:r>
      <w:proofErr w:type="spellStart"/>
      <w:r w:rsidRPr="00C74E2C">
        <w:rPr>
          <w:rFonts w:asciiTheme="majorHAnsi" w:hAnsiTheme="majorHAnsi"/>
          <w:sz w:val="16"/>
          <w:szCs w:val="16"/>
          <w:lang w:val="es-US"/>
        </w:rPr>
        <w:t>Admissibility</w:t>
      </w:r>
      <w:proofErr w:type="spellEnd"/>
      <w:r w:rsidRPr="00C74E2C">
        <w:rPr>
          <w:rFonts w:asciiTheme="majorHAnsi" w:hAnsiTheme="majorHAnsi"/>
          <w:sz w:val="16"/>
          <w:szCs w:val="16"/>
          <w:lang w:val="es-US"/>
        </w:rPr>
        <w:t xml:space="preserve">. Edgar José Sánchez Duarte. Colombia. </w:t>
      </w:r>
      <w:proofErr w:type="spellStart"/>
      <w:r w:rsidRPr="00C74E2C">
        <w:rPr>
          <w:rFonts w:asciiTheme="majorHAnsi" w:hAnsiTheme="majorHAnsi"/>
          <w:sz w:val="16"/>
          <w:szCs w:val="16"/>
          <w:lang w:val="es-US"/>
        </w:rPr>
        <w:t>July</w:t>
      </w:r>
      <w:proofErr w:type="spellEnd"/>
      <w:r w:rsidRPr="00C74E2C">
        <w:rPr>
          <w:rFonts w:asciiTheme="majorHAnsi" w:hAnsiTheme="majorHAnsi"/>
          <w:sz w:val="16"/>
          <w:szCs w:val="16"/>
          <w:lang w:val="es-US"/>
        </w:rPr>
        <w:t xml:space="preserve"> 7, 2018.</w:t>
      </w:r>
    </w:p>
  </w:footnote>
  <w:footnote w:id="13">
    <w:p w14:paraId="5E7FF450" w14:textId="77777777" w:rsidR="00E5382F" w:rsidRPr="00F66081" w:rsidRDefault="00E5382F" w:rsidP="00E5382F">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C74E2C">
        <w:rPr>
          <w:rFonts w:ascii="Cambria" w:hAnsi="Cambria"/>
          <w:sz w:val="16"/>
          <w:szCs w:val="16"/>
          <w:lang w:val="es-US"/>
        </w:rPr>
        <w:t xml:space="preserve"> </w:t>
      </w:r>
      <w:r w:rsidRPr="00C74E2C">
        <w:rPr>
          <w:rFonts w:ascii="Cambria" w:eastAsia="Times New Roman" w:hAnsi="Cambria"/>
          <w:sz w:val="16"/>
          <w:szCs w:val="16"/>
          <w:bdr w:val="none" w:sz="0" w:space="0" w:color="auto"/>
          <w:lang w:val="es-US" w:eastAsia="fr-FR"/>
        </w:rPr>
        <w:t xml:space="preserve">IACHR, </w:t>
      </w:r>
      <w:proofErr w:type="spellStart"/>
      <w:r w:rsidRPr="00C74E2C">
        <w:rPr>
          <w:rFonts w:ascii="Cambria" w:eastAsia="Times New Roman" w:hAnsi="Cambria"/>
          <w:sz w:val="16"/>
          <w:szCs w:val="16"/>
          <w:bdr w:val="none" w:sz="0" w:space="0" w:color="auto"/>
          <w:lang w:val="es-US" w:eastAsia="fr-FR"/>
        </w:rPr>
        <w:t>Report</w:t>
      </w:r>
      <w:proofErr w:type="spellEnd"/>
      <w:r w:rsidRPr="00C74E2C">
        <w:rPr>
          <w:rFonts w:ascii="Cambria" w:eastAsia="Times New Roman" w:hAnsi="Cambria"/>
          <w:sz w:val="16"/>
          <w:szCs w:val="16"/>
          <w:bdr w:val="none" w:sz="0" w:space="0" w:color="auto"/>
          <w:lang w:val="es-US" w:eastAsia="fr-FR"/>
        </w:rPr>
        <w:t xml:space="preserve"> No. 52/16, Case 12.521. </w:t>
      </w:r>
      <w:proofErr w:type="spellStart"/>
      <w:r w:rsidRPr="00C74E2C">
        <w:rPr>
          <w:rFonts w:ascii="Cambria" w:eastAsia="Times New Roman" w:hAnsi="Cambria"/>
          <w:sz w:val="16"/>
          <w:szCs w:val="16"/>
          <w:bdr w:val="none" w:sz="0" w:space="0" w:color="auto"/>
          <w:lang w:val="es-US" w:eastAsia="fr-FR"/>
        </w:rPr>
        <w:t>Merits</w:t>
      </w:r>
      <w:proofErr w:type="spellEnd"/>
      <w:r w:rsidRPr="00C74E2C">
        <w:rPr>
          <w:rFonts w:ascii="Cambria" w:eastAsia="Times New Roman" w:hAnsi="Cambria"/>
          <w:sz w:val="16"/>
          <w:szCs w:val="16"/>
          <w:bdr w:val="none" w:sz="0" w:space="0" w:color="auto"/>
          <w:lang w:val="es-US" w:eastAsia="fr-FR"/>
        </w:rPr>
        <w:t xml:space="preserve">. Maria Laura Órdenes Guerra et al. </w:t>
      </w:r>
      <w:r w:rsidRPr="00F66081">
        <w:rPr>
          <w:rFonts w:ascii="Cambria" w:eastAsia="Times New Roman" w:hAnsi="Cambria"/>
          <w:sz w:val="16"/>
          <w:szCs w:val="16"/>
          <w:bdr w:val="none" w:sz="0" w:space="0" w:color="auto"/>
          <w:lang w:eastAsia="fr-FR"/>
        </w:rPr>
        <w:t xml:space="preserve">Chile. 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14">
    <w:p w14:paraId="0C04A850" w14:textId="77777777" w:rsidR="004272C8" w:rsidRPr="00D5630A" w:rsidRDefault="004272C8" w:rsidP="008D7C97">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Report No. 105/17. Petition 798-07. Admissibility. David </w:t>
      </w:r>
      <w:proofErr w:type="spellStart"/>
      <w:r>
        <w:rPr>
          <w:rFonts w:asciiTheme="majorHAnsi" w:hAnsiTheme="majorHAnsi"/>
          <w:sz w:val="16"/>
          <w:szCs w:val="16"/>
          <w:lang w:val="en"/>
        </w:rPr>
        <w:t>Valderrama</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Opazo</w:t>
      </w:r>
      <w:proofErr w:type="spellEnd"/>
      <w:r>
        <w:rPr>
          <w:rFonts w:asciiTheme="majorHAnsi" w:hAnsiTheme="majorHAnsi"/>
          <w:sz w:val="16"/>
          <w:szCs w:val="16"/>
          <w:lang w:val="en"/>
        </w:rPr>
        <w:t xml:space="preserve"> et al. Chile. September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E659B0" w:rsidP="002C1641">
    <w:pPr>
      <w:pStyle w:val="Header"/>
      <w:tabs>
        <w:tab w:val="clear" w:pos="4320"/>
        <w:tab w:val="clear" w:pos="8640"/>
      </w:tabs>
      <w:jc w:val="center"/>
      <w:rPr>
        <w:sz w:val="22"/>
        <w:szCs w:val="22"/>
      </w:rPr>
    </w:pPr>
    <w:r>
      <w:rPr>
        <w:noProof/>
        <w:sz w:val="22"/>
        <w:szCs w:val="22"/>
        <w:bdr w:val="nil"/>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0D20" w14:textId="77777777" w:rsidR="00BD4973" w:rsidRDefault="00BD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0E90"/>
    <w:rsid w:val="000A575F"/>
    <w:rsid w:val="000C4365"/>
    <w:rsid w:val="000D10DB"/>
    <w:rsid w:val="000D2279"/>
    <w:rsid w:val="00113A4F"/>
    <w:rsid w:val="00115F41"/>
    <w:rsid w:val="00124116"/>
    <w:rsid w:val="00126E08"/>
    <w:rsid w:val="0013104F"/>
    <w:rsid w:val="00137EBA"/>
    <w:rsid w:val="00145EDC"/>
    <w:rsid w:val="00153084"/>
    <w:rsid w:val="00167A34"/>
    <w:rsid w:val="001714B4"/>
    <w:rsid w:val="00176281"/>
    <w:rsid w:val="0018037F"/>
    <w:rsid w:val="001A5F27"/>
    <w:rsid w:val="001A65E4"/>
    <w:rsid w:val="001A7870"/>
    <w:rsid w:val="001C1B41"/>
    <w:rsid w:val="001D3A42"/>
    <w:rsid w:val="001E366B"/>
    <w:rsid w:val="001F1902"/>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4189"/>
    <w:rsid w:val="002D7436"/>
    <w:rsid w:val="002D7EA2"/>
    <w:rsid w:val="002E15DF"/>
    <w:rsid w:val="002E187C"/>
    <w:rsid w:val="002E6E57"/>
    <w:rsid w:val="002F2697"/>
    <w:rsid w:val="002F314C"/>
    <w:rsid w:val="00301075"/>
    <w:rsid w:val="00302733"/>
    <w:rsid w:val="003053BF"/>
    <w:rsid w:val="00311A4F"/>
    <w:rsid w:val="00314078"/>
    <w:rsid w:val="00315387"/>
    <w:rsid w:val="00321AFD"/>
    <w:rsid w:val="00322450"/>
    <w:rsid w:val="003246B5"/>
    <w:rsid w:val="0033169F"/>
    <w:rsid w:val="003414AC"/>
    <w:rsid w:val="00356185"/>
    <w:rsid w:val="00360380"/>
    <w:rsid w:val="00374801"/>
    <w:rsid w:val="003771A3"/>
    <w:rsid w:val="00386CF0"/>
    <w:rsid w:val="003A4348"/>
    <w:rsid w:val="003A5566"/>
    <w:rsid w:val="003C000E"/>
    <w:rsid w:val="003C32BC"/>
    <w:rsid w:val="003C365D"/>
    <w:rsid w:val="003C47E0"/>
    <w:rsid w:val="003D1E33"/>
    <w:rsid w:val="003D6EE0"/>
    <w:rsid w:val="003E1CF5"/>
    <w:rsid w:val="003E3E03"/>
    <w:rsid w:val="003F1BBF"/>
    <w:rsid w:val="003F32D4"/>
    <w:rsid w:val="0040272A"/>
    <w:rsid w:val="004162B1"/>
    <w:rsid w:val="004165C2"/>
    <w:rsid w:val="00420AAD"/>
    <w:rsid w:val="004272C8"/>
    <w:rsid w:val="00433117"/>
    <w:rsid w:val="0043489C"/>
    <w:rsid w:val="004434A5"/>
    <w:rsid w:val="00450A4A"/>
    <w:rsid w:val="004666FB"/>
    <w:rsid w:val="00466D0B"/>
    <w:rsid w:val="00467B7E"/>
    <w:rsid w:val="0049419D"/>
    <w:rsid w:val="004A7BA7"/>
    <w:rsid w:val="004B2762"/>
    <w:rsid w:val="004B7EB6"/>
    <w:rsid w:val="004C41DE"/>
    <w:rsid w:val="004C4B62"/>
    <w:rsid w:val="004D6025"/>
    <w:rsid w:val="004D72BC"/>
    <w:rsid w:val="004E1EE5"/>
    <w:rsid w:val="004F6B67"/>
    <w:rsid w:val="00501399"/>
    <w:rsid w:val="00507BC4"/>
    <w:rsid w:val="005128E4"/>
    <w:rsid w:val="00517487"/>
    <w:rsid w:val="005243C2"/>
    <w:rsid w:val="00525560"/>
    <w:rsid w:val="005357A6"/>
    <w:rsid w:val="00544C49"/>
    <w:rsid w:val="005453AE"/>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1199"/>
    <w:rsid w:val="006C4EB1"/>
    <w:rsid w:val="006D4707"/>
    <w:rsid w:val="006E0166"/>
    <w:rsid w:val="006E270D"/>
    <w:rsid w:val="006E7B34"/>
    <w:rsid w:val="00701B24"/>
    <w:rsid w:val="00706858"/>
    <w:rsid w:val="00713AED"/>
    <w:rsid w:val="0071495F"/>
    <w:rsid w:val="00727D5D"/>
    <w:rsid w:val="0073798E"/>
    <w:rsid w:val="00740872"/>
    <w:rsid w:val="00745899"/>
    <w:rsid w:val="00752D34"/>
    <w:rsid w:val="007607C4"/>
    <w:rsid w:val="0076643F"/>
    <w:rsid w:val="00775AE3"/>
    <w:rsid w:val="00781653"/>
    <w:rsid w:val="00781F53"/>
    <w:rsid w:val="007851EB"/>
    <w:rsid w:val="007A2082"/>
    <w:rsid w:val="007A2F70"/>
    <w:rsid w:val="007C3334"/>
    <w:rsid w:val="007C43EB"/>
    <w:rsid w:val="007C52BB"/>
    <w:rsid w:val="007C6AD0"/>
    <w:rsid w:val="007D2B98"/>
    <w:rsid w:val="007D3498"/>
    <w:rsid w:val="007F29F9"/>
    <w:rsid w:val="007F31D0"/>
    <w:rsid w:val="007F6DE9"/>
    <w:rsid w:val="007F7980"/>
    <w:rsid w:val="00803F1C"/>
    <w:rsid w:val="0080600E"/>
    <w:rsid w:val="00817612"/>
    <w:rsid w:val="008258D7"/>
    <w:rsid w:val="00837C45"/>
    <w:rsid w:val="00853419"/>
    <w:rsid w:val="008546E5"/>
    <w:rsid w:val="008801F8"/>
    <w:rsid w:val="00897E12"/>
    <w:rsid w:val="008B224B"/>
    <w:rsid w:val="008D43BA"/>
    <w:rsid w:val="008D7C97"/>
    <w:rsid w:val="008E3759"/>
    <w:rsid w:val="008E40F5"/>
    <w:rsid w:val="008E4EEF"/>
    <w:rsid w:val="008F2036"/>
    <w:rsid w:val="009041DC"/>
    <w:rsid w:val="00905604"/>
    <w:rsid w:val="009104B4"/>
    <w:rsid w:val="009228DA"/>
    <w:rsid w:val="00925FCD"/>
    <w:rsid w:val="0093441A"/>
    <w:rsid w:val="00936805"/>
    <w:rsid w:val="009506C6"/>
    <w:rsid w:val="00953EEC"/>
    <w:rsid w:val="00954BF7"/>
    <w:rsid w:val="0096706E"/>
    <w:rsid w:val="00981FBA"/>
    <w:rsid w:val="0098783D"/>
    <w:rsid w:val="00995C7C"/>
    <w:rsid w:val="009B306D"/>
    <w:rsid w:val="009B381B"/>
    <w:rsid w:val="009D59D2"/>
    <w:rsid w:val="009D7611"/>
    <w:rsid w:val="009E0054"/>
    <w:rsid w:val="009E3308"/>
    <w:rsid w:val="009E3771"/>
    <w:rsid w:val="009E53DE"/>
    <w:rsid w:val="009E566A"/>
    <w:rsid w:val="00A0523B"/>
    <w:rsid w:val="00A12DBC"/>
    <w:rsid w:val="00A16216"/>
    <w:rsid w:val="00A2467F"/>
    <w:rsid w:val="00A3640F"/>
    <w:rsid w:val="00A43458"/>
    <w:rsid w:val="00A528D1"/>
    <w:rsid w:val="00A604D3"/>
    <w:rsid w:val="00A66BE5"/>
    <w:rsid w:val="00A71CB9"/>
    <w:rsid w:val="00AA74E0"/>
    <w:rsid w:val="00AB4FA4"/>
    <w:rsid w:val="00AD37C1"/>
    <w:rsid w:val="00AE2B67"/>
    <w:rsid w:val="00AE2C03"/>
    <w:rsid w:val="00AE66EC"/>
    <w:rsid w:val="00AE6F91"/>
    <w:rsid w:val="00AF5571"/>
    <w:rsid w:val="00B06BB7"/>
    <w:rsid w:val="00B06F3D"/>
    <w:rsid w:val="00B167E9"/>
    <w:rsid w:val="00B179ED"/>
    <w:rsid w:val="00B314DB"/>
    <w:rsid w:val="00B31EBE"/>
    <w:rsid w:val="00B3718B"/>
    <w:rsid w:val="00B44B23"/>
    <w:rsid w:val="00B4632A"/>
    <w:rsid w:val="00B5169F"/>
    <w:rsid w:val="00B92E49"/>
    <w:rsid w:val="00BA276C"/>
    <w:rsid w:val="00BB306F"/>
    <w:rsid w:val="00BD232B"/>
    <w:rsid w:val="00BD2E42"/>
    <w:rsid w:val="00BD4973"/>
    <w:rsid w:val="00BD4B89"/>
    <w:rsid w:val="00BE6657"/>
    <w:rsid w:val="00C02721"/>
    <w:rsid w:val="00C04D75"/>
    <w:rsid w:val="00C21762"/>
    <w:rsid w:val="00C24543"/>
    <w:rsid w:val="00C256A2"/>
    <w:rsid w:val="00C3492D"/>
    <w:rsid w:val="00C355B4"/>
    <w:rsid w:val="00C553D1"/>
    <w:rsid w:val="00C55560"/>
    <w:rsid w:val="00C66B72"/>
    <w:rsid w:val="00C74E2C"/>
    <w:rsid w:val="00C77713"/>
    <w:rsid w:val="00C87C57"/>
    <w:rsid w:val="00C91B22"/>
    <w:rsid w:val="00C93120"/>
    <w:rsid w:val="00C9567A"/>
    <w:rsid w:val="00C962B2"/>
    <w:rsid w:val="00CA6577"/>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4A5D"/>
    <w:rsid w:val="00DA7B5F"/>
    <w:rsid w:val="00DC7B91"/>
    <w:rsid w:val="00DD0E8D"/>
    <w:rsid w:val="00DF078B"/>
    <w:rsid w:val="00DF350D"/>
    <w:rsid w:val="00E227C1"/>
    <w:rsid w:val="00E43157"/>
    <w:rsid w:val="00E47F3D"/>
    <w:rsid w:val="00E533FF"/>
    <w:rsid w:val="00E5382F"/>
    <w:rsid w:val="00E659B0"/>
    <w:rsid w:val="00E709B3"/>
    <w:rsid w:val="00E7588C"/>
    <w:rsid w:val="00E76E74"/>
    <w:rsid w:val="00E7797F"/>
    <w:rsid w:val="00E850B6"/>
    <w:rsid w:val="00E8789F"/>
    <w:rsid w:val="00E9411F"/>
    <w:rsid w:val="00E97199"/>
    <w:rsid w:val="00E97B71"/>
    <w:rsid w:val="00EB454D"/>
    <w:rsid w:val="00EC7EC3"/>
    <w:rsid w:val="00ED0D1B"/>
    <w:rsid w:val="00ED5FB1"/>
    <w:rsid w:val="00EE3522"/>
    <w:rsid w:val="00EF619B"/>
    <w:rsid w:val="00F00B55"/>
    <w:rsid w:val="00F1380F"/>
    <w:rsid w:val="00F14F0E"/>
    <w:rsid w:val="00F15A3B"/>
    <w:rsid w:val="00F24C29"/>
    <w:rsid w:val="00F253CC"/>
    <w:rsid w:val="00F27039"/>
    <w:rsid w:val="00F42B71"/>
    <w:rsid w:val="00F455FB"/>
    <w:rsid w:val="00F56BA5"/>
    <w:rsid w:val="00F621C3"/>
    <w:rsid w:val="00F644E6"/>
    <w:rsid w:val="00F74374"/>
    <w:rsid w:val="00F9653B"/>
    <w:rsid w:val="00FA60FA"/>
    <w:rsid w:val="00FB2DCE"/>
    <w:rsid w:val="00FB62CF"/>
    <w:rsid w:val="00FC3EB4"/>
    <w:rsid w:val="00FC6C58"/>
    <w:rsid w:val="00FC7C1C"/>
    <w:rsid w:val="00FE6B45"/>
    <w:rsid w:val="00FF02A0"/>
    <w:rsid w:val="00FF5851"/>
    <w:rsid w:val="00FF752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4CA5-1596-4C10-8352-56B95D0F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90/20</dc:title>
  <dc:creator/>
  <cp:lastModifiedBy/>
  <cp:revision>1</cp:revision>
  <dcterms:created xsi:type="dcterms:W3CDTF">2020-06-25T15:36:00Z</dcterms:created>
  <dcterms:modified xsi:type="dcterms:W3CDTF">2020-06-25T15:37:00Z</dcterms:modified>
</cp:coreProperties>
</file>