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2CFDE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956518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31EC2">
                              <w:rPr>
                                <w:rFonts w:asciiTheme="majorHAnsi" w:hAnsiTheme="majorHAnsi" w:cs="Arial"/>
                                <w:b/>
                                <w:bCs/>
                                <w:color w:val="0D0D0D" w:themeColor="text1" w:themeTint="F2"/>
                                <w:sz w:val="36"/>
                                <w:szCs w:val="40"/>
                              </w:rPr>
                              <w:t>99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916F45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3355A">
                              <w:rPr>
                                <w:rFonts w:asciiTheme="majorHAnsi" w:hAnsiTheme="majorHAnsi" w:cs="Arial"/>
                                <w:b/>
                                <w:bCs/>
                                <w:color w:val="0D0D0D" w:themeColor="text1" w:themeTint="F2"/>
                                <w:sz w:val="36"/>
                                <w:szCs w:val="40"/>
                              </w:rPr>
                              <w:t>1010</w:t>
                            </w:r>
                            <w:r w:rsidR="00F621C3">
                              <w:rPr>
                                <w:rFonts w:asciiTheme="majorHAnsi" w:hAnsiTheme="majorHAnsi" w:cs="Arial"/>
                                <w:b/>
                                <w:bCs/>
                                <w:color w:val="0D0D0D" w:themeColor="text1" w:themeTint="F2"/>
                                <w:sz w:val="36"/>
                                <w:szCs w:val="40"/>
                              </w:rPr>
                              <w:t>-</w:t>
                            </w:r>
                            <w:r w:rsidR="00F3355A">
                              <w:rPr>
                                <w:rFonts w:asciiTheme="majorHAnsi" w:hAnsiTheme="majorHAnsi" w:cs="Arial"/>
                                <w:b/>
                                <w:bCs/>
                                <w:color w:val="0D0D0D" w:themeColor="text1" w:themeTint="F2"/>
                                <w:sz w:val="36"/>
                                <w:szCs w:val="40"/>
                              </w:rPr>
                              <w:t>09</w:t>
                            </w:r>
                          </w:p>
                          <w:p w14:paraId="34978E5A" w14:textId="63FDA1C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BB82956" w14:textId="7FC56196" w:rsidR="00F3355A" w:rsidRDefault="00F3355A" w:rsidP="00F3355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MERARDO IVÁN VAHOS ARCILA </w:t>
                            </w:r>
                            <w:r w:rsidR="00EF061D">
                              <w:rPr>
                                <w:rFonts w:asciiTheme="majorHAnsi" w:hAnsiTheme="majorHAnsi" w:cs="Arial"/>
                                <w:color w:val="0D0D0D" w:themeColor="text1" w:themeTint="F2"/>
                                <w:szCs w:val="22"/>
                                <w:lang w:val="es-ES_tradnl"/>
                              </w:rPr>
                              <w:t>AND FAMILY</w:t>
                            </w:r>
                          </w:p>
                          <w:p w14:paraId="6316D28F" w14:textId="77777777" w:rsidR="00F3355A" w:rsidRPr="0010736F" w:rsidRDefault="00F3355A" w:rsidP="00F335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153464" w:rsidRDefault="005B52B0"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956518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31EC2">
                        <w:rPr>
                          <w:rFonts w:asciiTheme="majorHAnsi" w:hAnsiTheme="majorHAnsi" w:cs="Arial"/>
                          <w:b/>
                          <w:bCs/>
                          <w:color w:val="0D0D0D" w:themeColor="text1" w:themeTint="F2"/>
                          <w:sz w:val="36"/>
                          <w:szCs w:val="40"/>
                        </w:rPr>
                        <w:t>99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916F45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3355A">
                        <w:rPr>
                          <w:rFonts w:asciiTheme="majorHAnsi" w:hAnsiTheme="majorHAnsi" w:cs="Arial"/>
                          <w:b/>
                          <w:bCs/>
                          <w:color w:val="0D0D0D" w:themeColor="text1" w:themeTint="F2"/>
                          <w:sz w:val="36"/>
                          <w:szCs w:val="40"/>
                        </w:rPr>
                        <w:t>1010</w:t>
                      </w:r>
                      <w:r w:rsidR="00F621C3">
                        <w:rPr>
                          <w:rFonts w:asciiTheme="majorHAnsi" w:hAnsiTheme="majorHAnsi" w:cs="Arial"/>
                          <w:b/>
                          <w:bCs/>
                          <w:color w:val="0D0D0D" w:themeColor="text1" w:themeTint="F2"/>
                          <w:sz w:val="36"/>
                          <w:szCs w:val="40"/>
                        </w:rPr>
                        <w:t>-</w:t>
                      </w:r>
                      <w:r w:rsidR="00F3355A">
                        <w:rPr>
                          <w:rFonts w:asciiTheme="majorHAnsi" w:hAnsiTheme="majorHAnsi" w:cs="Arial"/>
                          <w:b/>
                          <w:bCs/>
                          <w:color w:val="0D0D0D" w:themeColor="text1" w:themeTint="F2"/>
                          <w:sz w:val="36"/>
                          <w:szCs w:val="40"/>
                        </w:rPr>
                        <w:t>09</w:t>
                      </w:r>
                    </w:p>
                    <w:p w14:paraId="34978E5A" w14:textId="63FDA1C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BB82956" w14:textId="7FC56196" w:rsidR="00F3355A" w:rsidRDefault="00F3355A" w:rsidP="00F3355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MERARDO IVÁN VAHOS ARCILA </w:t>
                      </w:r>
                      <w:r w:rsidR="00EF061D">
                        <w:rPr>
                          <w:rFonts w:asciiTheme="majorHAnsi" w:hAnsiTheme="majorHAnsi" w:cs="Arial"/>
                          <w:color w:val="0D0D0D" w:themeColor="text1" w:themeTint="F2"/>
                          <w:szCs w:val="22"/>
                          <w:lang w:val="es-ES_tradnl"/>
                        </w:rPr>
                        <w:t>AND FAMILY</w:t>
                      </w:r>
                    </w:p>
                    <w:p w14:paraId="6316D28F" w14:textId="77777777" w:rsidR="00F3355A" w:rsidRPr="0010736F" w:rsidRDefault="00F3355A" w:rsidP="00F335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153464" w:rsidRDefault="005B52B0" w:rsidP="00F42B71">
                      <w:pPr>
                        <w:spacing w:line="276" w:lineRule="auto"/>
                        <w:rPr>
                          <w:rFonts w:asciiTheme="majorHAnsi" w:hAnsiTheme="majorHAnsi"/>
                          <w:color w:val="0D0D0D" w:themeColor="text1" w:themeTint="F2"/>
                          <w:lang w:val="es-U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FF2DC8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55ADF2"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31EC2">
                              <w:rPr>
                                <w:rFonts w:asciiTheme="minorHAnsi" w:hAnsiTheme="minorHAnsi"/>
                                <w:color w:val="FFFFFF" w:themeColor="background1"/>
                                <w:sz w:val="22"/>
                                <w:lang w:val="pt-BR"/>
                              </w:rPr>
                              <w:t xml:space="preserve"> 109</w:t>
                            </w:r>
                          </w:p>
                          <w:p w14:paraId="0BEFF61A" w14:textId="19AC111E" w:rsidR="00627C9F" w:rsidRPr="004B7EB6" w:rsidRDefault="00E31EC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692B431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31EC2">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FF2DC8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55ADF2"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31EC2">
                        <w:rPr>
                          <w:rFonts w:asciiTheme="minorHAnsi" w:hAnsiTheme="minorHAnsi"/>
                          <w:color w:val="FFFFFF" w:themeColor="background1"/>
                          <w:sz w:val="22"/>
                          <w:lang w:val="pt-BR"/>
                        </w:rPr>
                        <w:t xml:space="preserve"> 109</w:t>
                      </w:r>
                    </w:p>
                    <w:p w14:paraId="0BEFF61A" w14:textId="19AC111E" w:rsidR="00627C9F" w:rsidRPr="004B7EB6" w:rsidRDefault="00E31EC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692B431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31EC2">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4D8429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E31EC2">
                              <w:rPr>
                                <w:rFonts w:asciiTheme="majorHAnsi" w:hAnsiTheme="majorHAnsi"/>
                                <w:color w:val="0D0D0D" w:themeColor="text1" w:themeTint="F2"/>
                                <w:sz w:val="18"/>
                                <w:szCs w:val="20"/>
                              </w:rPr>
                              <w:t>April 24, 2020</w:t>
                            </w:r>
                            <w:r w:rsidR="00461FE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4D8429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E31EC2">
                        <w:rPr>
                          <w:rFonts w:asciiTheme="majorHAnsi" w:hAnsiTheme="majorHAnsi"/>
                          <w:color w:val="0D0D0D" w:themeColor="text1" w:themeTint="F2"/>
                          <w:sz w:val="18"/>
                          <w:szCs w:val="20"/>
                        </w:rPr>
                        <w:t>April 24, 2020</w:t>
                      </w:r>
                      <w:r w:rsidR="00461FE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53314B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1EC2">
                              <w:rPr>
                                <w:rFonts w:asciiTheme="majorHAnsi" w:hAnsiTheme="majorHAnsi"/>
                                <w:color w:val="595959" w:themeColor="text1" w:themeTint="A6"/>
                                <w:sz w:val="18"/>
                              </w:rPr>
                              <w:t>99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31EC2">
                              <w:rPr>
                                <w:rFonts w:asciiTheme="majorHAnsi" w:hAnsiTheme="majorHAnsi"/>
                                <w:color w:val="595959" w:themeColor="text1" w:themeTint="A6"/>
                                <w:sz w:val="18"/>
                              </w:rPr>
                              <w:t>1010</w:t>
                            </w:r>
                            <w:r w:rsidR="00F621C3">
                              <w:rPr>
                                <w:rFonts w:asciiTheme="majorHAnsi" w:hAnsiTheme="majorHAnsi"/>
                                <w:color w:val="595959" w:themeColor="text1" w:themeTint="A6"/>
                                <w:sz w:val="18"/>
                              </w:rPr>
                              <w:t>-</w:t>
                            </w:r>
                            <w:r w:rsidR="00E31EC2">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E31EC2">
                              <w:rPr>
                                <w:rFonts w:asciiTheme="majorHAnsi" w:hAnsiTheme="majorHAnsi"/>
                                <w:color w:val="595959" w:themeColor="text1" w:themeTint="A6"/>
                                <w:sz w:val="18"/>
                              </w:rPr>
                              <w:t>Merardo</w:t>
                            </w:r>
                            <w:proofErr w:type="spellEnd"/>
                            <w:r w:rsidR="00E31EC2">
                              <w:rPr>
                                <w:rFonts w:asciiTheme="majorHAnsi" w:hAnsiTheme="majorHAnsi"/>
                                <w:color w:val="595959" w:themeColor="text1" w:themeTint="A6"/>
                                <w:sz w:val="18"/>
                              </w:rPr>
                              <w:t xml:space="preserve"> </w:t>
                            </w:r>
                            <w:proofErr w:type="spellStart"/>
                            <w:r w:rsidR="00E31EC2">
                              <w:rPr>
                                <w:rFonts w:asciiTheme="majorHAnsi" w:hAnsiTheme="majorHAnsi"/>
                                <w:color w:val="595959" w:themeColor="text1" w:themeTint="A6"/>
                                <w:sz w:val="18"/>
                              </w:rPr>
                              <w:t>Iván</w:t>
                            </w:r>
                            <w:proofErr w:type="spellEnd"/>
                            <w:r w:rsidR="00E31EC2">
                              <w:rPr>
                                <w:rFonts w:asciiTheme="majorHAnsi" w:hAnsiTheme="majorHAnsi"/>
                                <w:color w:val="595959" w:themeColor="text1" w:themeTint="A6"/>
                                <w:sz w:val="18"/>
                              </w:rPr>
                              <w:t xml:space="preserve"> </w:t>
                            </w:r>
                            <w:proofErr w:type="spellStart"/>
                            <w:r w:rsidR="00E31EC2">
                              <w:rPr>
                                <w:rFonts w:asciiTheme="majorHAnsi" w:hAnsiTheme="majorHAnsi"/>
                                <w:color w:val="595959" w:themeColor="text1" w:themeTint="A6"/>
                                <w:sz w:val="18"/>
                              </w:rPr>
                              <w:t>Vahos</w:t>
                            </w:r>
                            <w:proofErr w:type="spellEnd"/>
                            <w:r w:rsidR="00E31EC2">
                              <w:rPr>
                                <w:rFonts w:asciiTheme="majorHAnsi" w:hAnsiTheme="majorHAnsi"/>
                                <w:color w:val="595959" w:themeColor="text1" w:themeTint="A6"/>
                                <w:sz w:val="18"/>
                              </w:rPr>
                              <w:t xml:space="preserve"> </w:t>
                            </w:r>
                            <w:proofErr w:type="spellStart"/>
                            <w:r w:rsidR="00E31EC2">
                              <w:rPr>
                                <w:rFonts w:asciiTheme="majorHAnsi" w:hAnsiTheme="majorHAnsi"/>
                                <w:color w:val="595959" w:themeColor="text1" w:themeTint="A6"/>
                                <w:sz w:val="18"/>
                              </w:rPr>
                              <w:t>Arcila</w:t>
                            </w:r>
                            <w:proofErr w:type="spellEnd"/>
                            <w:r w:rsidR="00E31EC2">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E31EC2">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E31EC2">
                              <w:rPr>
                                <w:rFonts w:asciiTheme="majorHAnsi" w:hAnsiTheme="majorHAnsi"/>
                                <w:color w:val="595959" w:themeColor="text1" w:themeTint="A6"/>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53314B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1EC2">
                        <w:rPr>
                          <w:rFonts w:asciiTheme="majorHAnsi" w:hAnsiTheme="majorHAnsi"/>
                          <w:color w:val="595959" w:themeColor="text1" w:themeTint="A6"/>
                          <w:sz w:val="18"/>
                        </w:rPr>
                        <w:t>99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31EC2">
                        <w:rPr>
                          <w:rFonts w:asciiTheme="majorHAnsi" w:hAnsiTheme="majorHAnsi"/>
                          <w:color w:val="595959" w:themeColor="text1" w:themeTint="A6"/>
                          <w:sz w:val="18"/>
                        </w:rPr>
                        <w:t>1010</w:t>
                      </w:r>
                      <w:r w:rsidR="00F621C3">
                        <w:rPr>
                          <w:rFonts w:asciiTheme="majorHAnsi" w:hAnsiTheme="majorHAnsi"/>
                          <w:color w:val="595959" w:themeColor="text1" w:themeTint="A6"/>
                          <w:sz w:val="18"/>
                        </w:rPr>
                        <w:t>-</w:t>
                      </w:r>
                      <w:r w:rsidR="00E31EC2">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31EC2">
                        <w:rPr>
                          <w:rFonts w:asciiTheme="majorHAnsi" w:hAnsiTheme="majorHAnsi"/>
                          <w:color w:val="595959" w:themeColor="text1" w:themeTint="A6"/>
                          <w:sz w:val="18"/>
                        </w:rPr>
                        <w:t>Merardo Iván Vahos Arcila and family</w:t>
                      </w:r>
                      <w:r w:rsidRPr="003C32BC">
                        <w:rPr>
                          <w:rFonts w:asciiTheme="majorHAnsi" w:hAnsiTheme="majorHAnsi"/>
                          <w:color w:val="595959" w:themeColor="text1" w:themeTint="A6"/>
                          <w:sz w:val="18"/>
                        </w:rPr>
                        <w:t xml:space="preserve">. </w:t>
                      </w:r>
                      <w:r w:rsidR="00E31EC2">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E31EC2">
                        <w:rPr>
                          <w:rFonts w:asciiTheme="majorHAnsi" w:hAnsiTheme="majorHAnsi"/>
                          <w:color w:val="595959" w:themeColor="text1" w:themeTint="A6"/>
                          <w:sz w:val="18"/>
                        </w:rPr>
                        <w:t>April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3355A" w:rsidRPr="000B6B7A" w14:paraId="491E8196" w14:textId="77777777" w:rsidTr="00F3355A">
        <w:tc>
          <w:tcPr>
            <w:tcW w:w="3690" w:type="dxa"/>
            <w:tcBorders>
              <w:top w:val="single" w:sz="4" w:space="0" w:color="auto"/>
              <w:bottom w:val="single" w:sz="6" w:space="0" w:color="auto"/>
            </w:tcBorders>
            <w:shd w:val="clear" w:color="auto" w:fill="67AE3C"/>
            <w:vAlign w:val="center"/>
          </w:tcPr>
          <w:p w14:paraId="5524F917" w14:textId="2D6C5F0F" w:rsidR="00F3355A" w:rsidRPr="000B6B7A" w:rsidRDefault="00F3355A" w:rsidP="00F3355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1B689FD9" w14:textId="755797E4" w:rsidR="00F3355A" w:rsidRPr="000B6B7A" w:rsidRDefault="00F3355A" w:rsidP="00F3355A">
            <w:pPr>
              <w:jc w:val="both"/>
              <w:rPr>
                <w:rFonts w:ascii="Cambria" w:hAnsi="Cambria"/>
                <w:bCs/>
                <w:sz w:val="20"/>
                <w:szCs w:val="20"/>
              </w:rPr>
            </w:pPr>
            <w:r w:rsidRPr="00F61DA2">
              <w:rPr>
                <w:rFonts w:asciiTheme="majorHAnsi" w:hAnsiTheme="majorHAnsi" w:cs="Arial"/>
                <w:bCs/>
                <w:sz w:val="19"/>
                <w:szCs w:val="19"/>
              </w:rPr>
              <w:t xml:space="preserve">Oscar </w:t>
            </w:r>
            <w:proofErr w:type="spellStart"/>
            <w:r w:rsidRPr="00F61DA2">
              <w:rPr>
                <w:rFonts w:asciiTheme="majorHAnsi" w:hAnsiTheme="majorHAnsi" w:cs="Arial"/>
                <w:bCs/>
                <w:sz w:val="19"/>
                <w:szCs w:val="19"/>
              </w:rPr>
              <w:t>Darío</w:t>
            </w:r>
            <w:proofErr w:type="spellEnd"/>
            <w:r w:rsidRPr="00F61DA2">
              <w:rPr>
                <w:rFonts w:asciiTheme="majorHAnsi" w:hAnsiTheme="majorHAnsi" w:cs="Arial"/>
                <w:bCs/>
                <w:sz w:val="19"/>
                <w:szCs w:val="19"/>
              </w:rPr>
              <w:t xml:space="preserve"> Villegas Posada  </w:t>
            </w:r>
          </w:p>
        </w:tc>
      </w:tr>
      <w:tr w:rsidR="00F3355A" w:rsidRPr="00461FEA" w14:paraId="0F4A57A0" w14:textId="77777777" w:rsidTr="00F3355A">
        <w:tc>
          <w:tcPr>
            <w:tcW w:w="3690" w:type="dxa"/>
            <w:tcBorders>
              <w:top w:val="single" w:sz="6" w:space="0" w:color="auto"/>
              <w:bottom w:val="single" w:sz="6" w:space="0" w:color="auto"/>
            </w:tcBorders>
            <w:shd w:val="clear" w:color="auto" w:fill="67AE3C"/>
            <w:vAlign w:val="center"/>
          </w:tcPr>
          <w:p w14:paraId="325E239F" w14:textId="5CA6565C" w:rsidR="00F3355A" w:rsidRPr="000B6B7A" w:rsidRDefault="00995E3F" w:rsidP="00F3355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AECF2A5BFBC43EB87B8E8ADA78CA1ED"/>
                </w:placeholder>
                <w:dropDownList>
                  <w:listItem w:value="Choose an item."/>
                  <w:listItem w:displayText="Alleged victim" w:value="Alleged victim"/>
                  <w:listItem w:displayText="Alleged victims" w:value="Alleged victims"/>
                </w:dropDownList>
              </w:sdtPr>
              <w:sdtEndPr/>
              <w:sdtContent>
                <w:r w:rsidR="00F3355A">
                  <w:rPr>
                    <w:rFonts w:ascii="Cambria" w:hAnsi="Cambria"/>
                    <w:b/>
                    <w:bCs/>
                    <w:color w:val="FFFFFF" w:themeColor="background1"/>
                    <w:sz w:val="20"/>
                    <w:szCs w:val="20"/>
                  </w:rPr>
                  <w:t>Alleged victim</w:t>
                </w:r>
              </w:sdtContent>
            </w:sdt>
            <w:r w:rsidR="00F3355A" w:rsidRPr="000C4365">
              <w:rPr>
                <w:rFonts w:ascii="Cambria" w:hAnsi="Cambria"/>
                <w:b/>
                <w:bCs/>
                <w:color w:val="FFFFFF" w:themeColor="background1"/>
                <w:sz w:val="20"/>
                <w:szCs w:val="20"/>
              </w:rPr>
              <w:t>:</w:t>
            </w:r>
          </w:p>
        </w:tc>
        <w:tc>
          <w:tcPr>
            <w:tcW w:w="5670" w:type="dxa"/>
            <w:vAlign w:val="center"/>
          </w:tcPr>
          <w:p w14:paraId="13D0FDB6" w14:textId="3C6B0069" w:rsidR="00F3355A" w:rsidRPr="00461FEA" w:rsidRDefault="00F3355A" w:rsidP="00F3355A">
            <w:pPr>
              <w:jc w:val="both"/>
              <w:rPr>
                <w:rFonts w:ascii="Cambria" w:hAnsi="Cambria"/>
                <w:bCs/>
                <w:sz w:val="20"/>
                <w:szCs w:val="20"/>
                <w:lang w:val="es-US"/>
              </w:rPr>
            </w:pPr>
            <w:proofErr w:type="spellStart"/>
            <w:r w:rsidRPr="00461FEA">
              <w:rPr>
                <w:rFonts w:asciiTheme="majorHAnsi" w:hAnsiTheme="majorHAnsi" w:cs="Arial"/>
                <w:bCs/>
                <w:sz w:val="19"/>
                <w:szCs w:val="19"/>
                <w:lang w:val="es-US"/>
              </w:rPr>
              <w:t>Merardo</w:t>
            </w:r>
            <w:proofErr w:type="spellEnd"/>
            <w:r w:rsidRPr="00461FEA">
              <w:rPr>
                <w:rFonts w:asciiTheme="majorHAnsi" w:hAnsiTheme="majorHAnsi" w:cs="Arial"/>
                <w:bCs/>
                <w:sz w:val="19"/>
                <w:szCs w:val="19"/>
                <w:lang w:val="es-US"/>
              </w:rPr>
              <w:t xml:space="preserve"> Iván Vahos Arcila and </w:t>
            </w:r>
            <w:proofErr w:type="spellStart"/>
            <w:r w:rsidRPr="00461FEA">
              <w:rPr>
                <w:rFonts w:asciiTheme="majorHAnsi" w:hAnsiTheme="majorHAnsi" w:cs="Arial"/>
                <w:bCs/>
                <w:sz w:val="19"/>
                <w:szCs w:val="19"/>
                <w:lang w:val="es-US"/>
              </w:rPr>
              <w:t>Family</w:t>
            </w:r>
            <w:proofErr w:type="spellEnd"/>
          </w:p>
        </w:tc>
      </w:tr>
      <w:tr w:rsidR="00F3355A" w:rsidRPr="000B6B7A" w14:paraId="067638D2" w14:textId="77777777" w:rsidTr="00F3355A">
        <w:tc>
          <w:tcPr>
            <w:tcW w:w="3690" w:type="dxa"/>
            <w:tcBorders>
              <w:top w:val="single" w:sz="6" w:space="0" w:color="auto"/>
              <w:bottom w:val="single" w:sz="6" w:space="0" w:color="auto"/>
            </w:tcBorders>
            <w:shd w:val="clear" w:color="auto" w:fill="67AE3C"/>
            <w:vAlign w:val="center"/>
          </w:tcPr>
          <w:p w14:paraId="32104528" w14:textId="13F57E31" w:rsidR="00F3355A" w:rsidRPr="000B6B7A" w:rsidRDefault="00F3355A" w:rsidP="00F3355A">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05F18236" w14:textId="6FFB9C46" w:rsidR="00F3355A" w:rsidRPr="000B6B7A" w:rsidRDefault="00F3355A" w:rsidP="00F3355A">
            <w:pPr>
              <w:jc w:val="both"/>
              <w:rPr>
                <w:rFonts w:ascii="Cambria" w:hAnsi="Cambria"/>
                <w:bCs/>
                <w:sz w:val="20"/>
                <w:szCs w:val="20"/>
              </w:rPr>
            </w:pPr>
            <w:r w:rsidRPr="00F61DA2">
              <w:rPr>
                <w:rFonts w:asciiTheme="majorHAnsi" w:hAnsiTheme="majorHAnsi" w:cs="Arial"/>
                <w:bCs/>
                <w:sz w:val="19"/>
                <w:szCs w:val="19"/>
              </w:rPr>
              <w:t>Colombia</w:t>
            </w:r>
          </w:p>
        </w:tc>
      </w:tr>
      <w:tr w:rsidR="00F3355A" w:rsidRPr="000B6B7A" w14:paraId="57F2C481" w14:textId="77777777" w:rsidTr="00F3355A">
        <w:tc>
          <w:tcPr>
            <w:tcW w:w="3690" w:type="dxa"/>
            <w:tcBorders>
              <w:top w:val="single" w:sz="6" w:space="0" w:color="auto"/>
              <w:bottom w:val="single" w:sz="6" w:space="0" w:color="auto"/>
            </w:tcBorders>
            <w:shd w:val="clear" w:color="auto" w:fill="67AE3C"/>
            <w:vAlign w:val="center"/>
          </w:tcPr>
          <w:p w14:paraId="62BEEF4B" w14:textId="52EAAEA3" w:rsidR="00F3355A" w:rsidRPr="000B6B7A" w:rsidRDefault="00F3355A" w:rsidP="00F3355A">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7E19D2B9" w14:textId="077B5AB9" w:rsidR="00F3355A" w:rsidRPr="000B6B7A" w:rsidRDefault="00F3355A" w:rsidP="00F3355A">
            <w:pPr>
              <w:jc w:val="both"/>
              <w:rPr>
                <w:rFonts w:ascii="Cambria" w:hAnsi="Cambria"/>
                <w:bCs/>
                <w:sz w:val="20"/>
                <w:szCs w:val="20"/>
              </w:rPr>
            </w:pPr>
            <w:r w:rsidRPr="00F61DA2">
              <w:rPr>
                <w:rFonts w:asciiTheme="majorHAnsi" w:hAnsiTheme="majorHAnsi" w:cs="Arial"/>
                <w:bCs/>
                <w:sz w:val="19"/>
                <w:szCs w:val="19"/>
              </w:rPr>
              <w:t>Art</w:t>
            </w:r>
            <w:r>
              <w:rPr>
                <w:rFonts w:asciiTheme="majorHAnsi" w:hAnsiTheme="majorHAnsi" w:cs="Arial"/>
                <w:bCs/>
                <w:sz w:val="19"/>
                <w:szCs w:val="19"/>
              </w:rPr>
              <w:t>icle</w:t>
            </w:r>
            <w:r w:rsidRPr="00F61DA2">
              <w:rPr>
                <w:rFonts w:asciiTheme="majorHAnsi" w:hAnsiTheme="majorHAnsi" w:cs="Arial"/>
                <w:bCs/>
                <w:sz w:val="19"/>
                <w:szCs w:val="19"/>
              </w:rPr>
              <w:t>s 4 (</w:t>
            </w:r>
            <w:r>
              <w:rPr>
                <w:rFonts w:asciiTheme="majorHAnsi" w:hAnsiTheme="majorHAnsi" w:cs="Arial"/>
                <w:bCs/>
                <w:sz w:val="19"/>
                <w:szCs w:val="19"/>
              </w:rPr>
              <w:t>life</w:t>
            </w:r>
            <w:r w:rsidRPr="00F61DA2">
              <w:rPr>
                <w:rFonts w:asciiTheme="majorHAnsi" w:hAnsiTheme="majorHAnsi" w:cs="Arial"/>
                <w:bCs/>
                <w:sz w:val="19"/>
                <w:szCs w:val="19"/>
              </w:rPr>
              <w:t>), 5 (</w:t>
            </w:r>
            <w:r>
              <w:rPr>
                <w:rFonts w:asciiTheme="majorHAnsi" w:hAnsiTheme="majorHAnsi" w:cs="Arial"/>
                <w:bCs/>
                <w:sz w:val="19"/>
                <w:szCs w:val="19"/>
              </w:rPr>
              <w:t>humane treatment</w:t>
            </w:r>
            <w:r w:rsidRPr="00F61DA2">
              <w:rPr>
                <w:rFonts w:asciiTheme="majorHAnsi" w:hAnsiTheme="majorHAnsi" w:cs="Arial"/>
                <w:bCs/>
                <w:sz w:val="19"/>
                <w:szCs w:val="19"/>
              </w:rPr>
              <w:t>), 7 (</w:t>
            </w:r>
            <w:r>
              <w:rPr>
                <w:rFonts w:asciiTheme="majorHAnsi" w:hAnsiTheme="majorHAnsi" w:cs="Arial"/>
                <w:bCs/>
                <w:sz w:val="19"/>
                <w:szCs w:val="19"/>
              </w:rPr>
              <w:t>personal liberty</w:t>
            </w:r>
            <w:r w:rsidRPr="00F61DA2">
              <w:rPr>
                <w:rFonts w:asciiTheme="majorHAnsi" w:hAnsiTheme="majorHAnsi" w:cs="Arial"/>
                <w:bCs/>
                <w:sz w:val="19"/>
                <w:szCs w:val="19"/>
              </w:rPr>
              <w:t>), 8 (</w:t>
            </w:r>
            <w:r>
              <w:rPr>
                <w:rFonts w:asciiTheme="majorHAnsi" w:hAnsiTheme="majorHAnsi" w:cs="Arial"/>
                <w:bCs/>
                <w:sz w:val="19"/>
                <w:szCs w:val="19"/>
              </w:rPr>
              <w:t>fair trial</w:t>
            </w:r>
            <w:r w:rsidRPr="00F61DA2">
              <w:rPr>
                <w:rFonts w:asciiTheme="majorHAnsi" w:hAnsiTheme="majorHAnsi" w:cs="Arial"/>
                <w:bCs/>
                <w:sz w:val="19"/>
                <w:szCs w:val="19"/>
              </w:rPr>
              <w:t>), 11 (</w:t>
            </w:r>
            <w:r>
              <w:rPr>
                <w:rFonts w:asciiTheme="majorHAnsi" w:hAnsiTheme="majorHAnsi" w:cs="Arial"/>
                <w:bCs/>
                <w:sz w:val="19"/>
                <w:szCs w:val="19"/>
              </w:rPr>
              <w:t>privacy</w:t>
            </w:r>
            <w:r w:rsidRPr="00F61DA2">
              <w:rPr>
                <w:rFonts w:asciiTheme="majorHAnsi" w:hAnsiTheme="majorHAnsi" w:cs="Arial"/>
                <w:bCs/>
                <w:sz w:val="19"/>
                <w:szCs w:val="19"/>
              </w:rPr>
              <w:t>), 19 (</w:t>
            </w:r>
            <w:r>
              <w:rPr>
                <w:rFonts w:asciiTheme="majorHAnsi" w:hAnsiTheme="majorHAnsi" w:cs="Arial"/>
                <w:bCs/>
                <w:sz w:val="19"/>
                <w:szCs w:val="19"/>
              </w:rPr>
              <w:t>rights of the child</w:t>
            </w:r>
            <w:r w:rsidRPr="00F61DA2">
              <w:rPr>
                <w:rFonts w:asciiTheme="majorHAnsi" w:hAnsiTheme="majorHAnsi" w:cs="Arial"/>
                <w:bCs/>
                <w:sz w:val="19"/>
                <w:szCs w:val="19"/>
              </w:rPr>
              <w:t xml:space="preserve">) </w:t>
            </w:r>
            <w:r>
              <w:rPr>
                <w:rFonts w:asciiTheme="majorHAnsi" w:hAnsiTheme="majorHAnsi" w:cs="Arial"/>
                <w:bCs/>
                <w:sz w:val="19"/>
                <w:szCs w:val="19"/>
              </w:rPr>
              <w:t>and</w:t>
            </w:r>
            <w:r w:rsidRPr="00F61DA2">
              <w:rPr>
                <w:rFonts w:asciiTheme="majorHAnsi" w:hAnsiTheme="majorHAnsi" w:cs="Arial"/>
                <w:bCs/>
                <w:sz w:val="19"/>
                <w:szCs w:val="19"/>
              </w:rPr>
              <w:t xml:space="preserve"> 25 (</w:t>
            </w:r>
            <w:r>
              <w:rPr>
                <w:rFonts w:asciiTheme="majorHAnsi" w:hAnsiTheme="majorHAnsi" w:cs="Arial"/>
                <w:bCs/>
                <w:sz w:val="19"/>
                <w:szCs w:val="19"/>
              </w:rPr>
              <w:t>judicial protection</w:t>
            </w:r>
            <w:r w:rsidRPr="00F61DA2">
              <w:rPr>
                <w:rFonts w:asciiTheme="majorHAnsi" w:hAnsiTheme="majorHAnsi" w:cs="Arial"/>
                <w:bCs/>
                <w:sz w:val="19"/>
                <w:szCs w:val="19"/>
              </w:rPr>
              <w:t xml:space="preserve">), </w:t>
            </w:r>
            <w:r>
              <w:rPr>
                <w:rFonts w:asciiTheme="majorHAnsi" w:hAnsiTheme="majorHAnsi" w:cs="Arial"/>
                <w:bCs/>
                <w:sz w:val="19"/>
                <w:szCs w:val="19"/>
              </w:rPr>
              <w:t>in connection with Article 2 of the American Convention on Human Rights;</w:t>
            </w:r>
            <w:r w:rsidRPr="00F61DA2">
              <w:rPr>
                <w:rStyle w:val="FootnoteReference"/>
                <w:rFonts w:asciiTheme="majorHAnsi" w:hAnsiTheme="majorHAnsi" w:cs="Arial"/>
                <w:bCs/>
                <w:sz w:val="19"/>
                <w:szCs w:val="19"/>
              </w:rPr>
              <w:footnoteReference w:id="2"/>
            </w:r>
            <w:r>
              <w:rPr>
                <w:rFonts w:asciiTheme="majorHAnsi" w:hAnsiTheme="majorHAnsi" w:cs="Arial"/>
                <w:bCs/>
                <w:sz w:val="19"/>
                <w:szCs w:val="19"/>
              </w:rPr>
              <w:t xml:space="preserve"> Articles</w:t>
            </w:r>
            <w:r w:rsidRPr="00F61DA2">
              <w:rPr>
                <w:rFonts w:asciiTheme="majorHAnsi" w:hAnsiTheme="majorHAnsi" w:cs="Arial"/>
                <w:bCs/>
                <w:sz w:val="19"/>
                <w:szCs w:val="19"/>
              </w:rPr>
              <w:t xml:space="preserve"> I (</w:t>
            </w:r>
            <w:r>
              <w:rPr>
                <w:rFonts w:asciiTheme="majorHAnsi" w:hAnsiTheme="majorHAnsi" w:cs="Arial"/>
                <w:bCs/>
                <w:sz w:val="19"/>
                <w:szCs w:val="19"/>
              </w:rPr>
              <w:t>life, liberty and personal security</w:t>
            </w:r>
            <w:r w:rsidRPr="00F61DA2">
              <w:rPr>
                <w:rFonts w:asciiTheme="majorHAnsi" w:hAnsiTheme="majorHAnsi" w:cs="Arial"/>
                <w:bCs/>
                <w:sz w:val="19"/>
                <w:szCs w:val="19"/>
              </w:rPr>
              <w:t>), XI (</w:t>
            </w:r>
            <w:r>
              <w:rPr>
                <w:rFonts w:asciiTheme="majorHAnsi" w:hAnsiTheme="majorHAnsi" w:cs="Arial"/>
                <w:bCs/>
                <w:sz w:val="19"/>
                <w:szCs w:val="19"/>
              </w:rPr>
              <w:t>preservation of health and well-being</w:t>
            </w:r>
            <w:r w:rsidRPr="00F61DA2">
              <w:rPr>
                <w:rFonts w:asciiTheme="majorHAnsi" w:hAnsiTheme="majorHAnsi" w:cs="Arial"/>
                <w:bCs/>
                <w:sz w:val="19"/>
                <w:szCs w:val="19"/>
              </w:rPr>
              <w:t xml:space="preserve">) </w:t>
            </w:r>
            <w:r>
              <w:rPr>
                <w:rFonts w:asciiTheme="majorHAnsi" w:hAnsiTheme="majorHAnsi" w:cs="Arial"/>
                <w:bCs/>
                <w:sz w:val="19"/>
                <w:szCs w:val="19"/>
              </w:rPr>
              <w:t>and</w:t>
            </w:r>
            <w:r w:rsidRPr="00F61DA2">
              <w:rPr>
                <w:rFonts w:asciiTheme="majorHAnsi" w:hAnsiTheme="majorHAnsi" w:cs="Arial"/>
                <w:bCs/>
                <w:sz w:val="19"/>
                <w:szCs w:val="19"/>
              </w:rPr>
              <w:t xml:space="preserve">  XVIII (</w:t>
            </w:r>
            <w:r>
              <w:rPr>
                <w:rFonts w:asciiTheme="majorHAnsi" w:hAnsiTheme="majorHAnsi" w:cs="Arial"/>
                <w:bCs/>
                <w:sz w:val="19"/>
                <w:szCs w:val="19"/>
              </w:rPr>
              <w:t>fair trial</w:t>
            </w:r>
            <w:r w:rsidRPr="00F61DA2">
              <w:rPr>
                <w:rFonts w:asciiTheme="majorHAnsi" w:hAnsiTheme="majorHAnsi" w:cs="Arial"/>
                <w:bCs/>
                <w:sz w:val="19"/>
                <w:szCs w:val="19"/>
              </w:rPr>
              <w:t xml:space="preserve">) </w:t>
            </w:r>
            <w:r>
              <w:rPr>
                <w:rFonts w:asciiTheme="majorHAnsi" w:hAnsiTheme="majorHAnsi" w:cs="Arial"/>
                <w:bCs/>
                <w:sz w:val="19"/>
                <w:szCs w:val="19"/>
              </w:rPr>
              <w:t>of the American Declaration of the Rights and Duties of Man;</w:t>
            </w:r>
            <w:r w:rsidRPr="00F61DA2">
              <w:rPr>
                <w:rStyle w:val="FootnoteReference"/>
                <w:rFonts w:asciiTheme="majorHAnsi" w:hAnsiTheme="majorHAnsi" w:cs="Arial"/>
                <w:bCs/>
                <w:sz w:val="19"/>
                <w:szCs w:val="19"/>
              </w:rPr>
              <w:footnoteReference w:id="3"/>
            </w:r>
            <w:r w:rsidRPr="00F61DA2">
              <w:rPr>
                <w:rFonts w:asciiTheme="majorHAnsi" w:hAnsiTheme="majorHAnsi" w:cs="Arial"/>
                <w:bCs/>
                <w:sz w:val="19"/>
                <w:szCs w:val="19"/>
              </w:rPr>
              <w:t xml:space="preserve"> </w:t>
            </w:r>
            <w:r>
              <w:rPr>
                <w:rFonts w:asciiTheme="majorHAnsi" w:hAnsiTheme="majorHAnsi" w:cs="Arial"/>
                <w:bCs/>
                <w:sz w:val="19"/>
                <w:szCs w:val="19"/>
              </w:rPr>
              <w:t xml:space="preserve">and Article </w:t>
            </w:r>
            <w:r w:rsidRPr="00F61DA2">
              <w:rPr>
                <w:rFonts w:ascii="Cambria" w:hAnsi="Cambria"/>
                <w:bCs/>
                <w:sz w:val="20"/>
                <w:szCs w:val="20"/>
              </w:rPr>
              <w:t>14 (</w:t>
            </w:r>
            <w:r>
              <w:rPr>
                <w:rFonts w:ascii="Cambria" w:hAnsi="Cambria"/>
                <w:bCs/>
                <w:sz w:val="20"/>
                <w:szCs w:val="20"/>
              </w:rPr>
              <w:t>due process</w:t>
            </w:r>
            <w:r w:rsidRPr="00F61DA2">
              <w:rPr>
                <w:rFonts w:ascii="Cambria" w:hAnsi="Cambria"/>
                <w:bCs/>
                <w:sz w:val="20"/>
                <w:szCs w:val="20"/>
              </w:rPr>
              <w:t xml:space="preserve">) </w:t>
            </w:r>
            <w:r>
              <w:rPr>
                <w:rFonts w:ascii="Cambria" w:hAnsi="Cambria"/>
                <w:bCs/>
                <w:sz w:val="20"/>
                <w:szCs w:val="20"/>
              </w:rPr>
              <w:t xml:space="preserve">of the International Covenant on Civil and Political Rights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B7054" w:rsidRPr="000B6B7A" w14:paraId="1CAEC3AF" w14:textId="77777777" w:rsidTr="006B7054">
        <w:tc>
          <w:tcPr>
            <w:tcW w:w="3690" w:type="dxa"/>
            <w:tcBorders>
              <w:top w:val="single" w:sz="6" w:space="0" w:color="auto"/>
              <w:bottom w:val="single" w:sz="6" w:space="0" w:color="auto"/>
            </w:tcBorders>
            <w:shd w:val="clear" w:color="auto" w:fill="67AE3C"/>
            <w:vAlign w:val="center"/>
          </w:tcPr>
          <w:p w14:paraId="2C2ED774" w14:textId="32BB789E" w:rsidR="006B7054" w:rsidRPr="000B6B7A" w:rsidRDefault="006B7054" w:rsidP="006B70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C8F5D68" w14:textId="7C341A05"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December </w:t>
            </w:r>
            <w:r w:rsidRPr="00F61DA2">
              <w:rPr>
                <w:rFonts w:asciiTheme="majorHAnsi" w:hAnsiTheme="majorHAnsi" w:cs="Arial"/>
                <w:bCs/>
                <w:sz w:val="19"/>
                <w:szCs w:val="19"/>
              </w:rPr>
              <w:t>8</w:t>
            </w:r>
            <w:r>
              <w:rPr>
                <w:rFonts w:asciiTheme="majorHAnsi" w:hAnsiTheme="majorHAnsi" w:cs="Arial"/>
                <w:bCs/>
                <w:sz w:val="19"/>
                <w:szCs w:val="19"/>
              </w:rPr>
              <w:t>,</w:t>
            </w:r>
            <w:r w:rsidRPr="00F61DA2">
              <w:rPr>
                <w:rFonts w:asciiTheme="majorHAnsi" w:hAnsiTheme="majorHAnsi" w:cs="Arial"/>
                <w:bCs/>
                <w:sz w:val="19"/>
                <w:szCs w:val="19"/>
              </w:rPr>
              <w:t xml:space="preserve"> 2009</w:t>
            </w:r>
          </w:p>
        </w:tc>
      </w:tr>
      <w:tr w:rsidR="006B7054" w:rsidRPr="000B6B7A" w14:paraId="700E913D" w14:textId="77777777" w:rsidTr="006B7054">
        <w:tc>
          <w:tcPr>
            <w:tcW w:w="3690" w:type="dxa"/>
            <w:tcBorders>
              <w:top w:val="single" w:sz="6" w:space="0" w:color="auto"/>
              <w:bottom w:val="single" w:sz="6" w:space="0" w:color="auto"/>
            </w:tcBorders>
            <w:shd w:val="clear" w:color="auto" w:fill="67AE3C"/>
            <w:vAlign w:val="center"/>
          </w:tcPr>
          <w:p w14:paraId="7795D1B9" w14:textId="6A0BC5DB" w:rsidR="006B7054" w:rsidRPr="000B6B7A" w:rsidRDefault="006B7054" w:rsidP="006B7054">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63D00192" w14:textId="75D71E29"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April </w:t>
            </w:r>
            <w:r w:rsidRPr="00F61DA2">
              <w:rPr>
                <w:rFonts w:asciiTheme="majorHAnsi" w:hAnsiTheme="majorHAnsi" w:cs="Arial"/>
                <w:bCs/>
                <w:sz w:val="19"/>
                <w:szCs w:val="19"/>
              </w:rPr>
              <w:t>11</w:t>
            </w:r>
            <w:r>
              <w:rPr>
                <w:rFonts w:asciiTheme="majorHAnsi" w:hAnsiTheme="majorHAnsi" w:cs="Arial"/>
                <w:bCs/>
                <w:sz w:val="19"/>
                <w:szCs w:val="19"/>
              </w:rPr>
              <w:t>,</w:t>
            </w:r>
            <w:r w:rsidRPr="00F61DA2">
              <w:rPr>
                <w:rFonts w:asciiTheme="majorHAnsi" w:hAnsiTheme="majorHAnsi" w:cs="Arial"/>
                <w:bCs/>
                <w:sz w:val="19"/>
                <w:szCs w:val="19"/>
              </w:rPr>
              <w:t xml:space="preserve"> 2010</w:t>
            </w:r>
          </w:p>
        </w:tc>
      </w:tr>
      <w:tr w:rsidR="006B7054" w:rsidRPr="000B6B7A" w14:paraId="7EAB2BD7" w14:textId="77777777" w:rsidTr="006B7054">
        <w:tc>
          <w:tcPr>
            <w:tcW w:w="3690" w:type="dxa"/>
            <w:tcBorders>
              <w:top w:val="single" w:sz="6" w:space="0" w:color="auto"/>
              <w:bottom w:val="single" w:sz="6" w:space="0" w:color="auto"/>
            </w:tcBorders>
            <w:shd w:val="clear" w:color="auto" w:fill="67AE3C"/>
            <w:vAlign w:val="center"/>
          </w:tcPr>
          <w:p w14:paraId="79E6B4A9" w14:textId="542A8588" w:rsidR="006B7054" w:rsidRPr="000B6B7A" w:rsidRDefault="006B7054" w:rsidP="006B70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4EE88837" w14:textId="58ACFDE9"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July </w:t>
            </w:r>
            <w:r w:rsidRPr="00F61DA2">
              <w:rPr>
                <w:rFonts w:asciiTheme="majorHAnsi" w:hAnsiTheme="majorHAnsi" w:cs="Arial"/>
                <w:bCs/>
                <w:sz w:val="19"/>
                <w:szCs w:val="19"/>
              </w:rPr>
              <w:t>13</w:t>
            </w:r>
            <w:r>
              <w:rPr>
                <w:rFonts w:asciiTheme="majorHAnsi" w:hAnsiTheme="majorHAnsi" w:cs="Arial"/>
                <w:bCs/>
                <w:sz w:val="19"/>
                <w:szCs w:val="19"/>
              </w:rPr>
              <w:t>,</w:t>
            </w:r>
            <w:r w:rsidRPr="00F61DA2">
              <w:rPr>
                <w:rFonts w:asciiTheme="majorHAnsi" w:hAnsiTheme="majorHAnsi" w:cs="Arial"/>
                <w:bCs/>
                <w:sz w:val="19"/>
                <w:szCs w:val="19"/>
              </w:rPr>
              <w:t xml:space="preserve"> 2011</w:t>
            </w:r>
          </w:p>
        </w:tc>
      </w:tr>
      <w:tr w:rsidR="006B7054" w:rsidRPr="000B6B7A" w14:paraId="56560AE1" w14:textId="77777777" w:rsidTr="006B7054">
        <w:trPr>
          <w:trHeight w:val="264"/>
        </w:trPr>
        <w:tc>
          <w:tcPr>
            <w:tcW w:w="3690" w:type="dxa"/>
            <w:tcBorders>
              <w:top w:val="single" w:sz="6" w:space="0" w:color="auto"/>
              <w:bottom w:val="single" w:sz="6" w:space="0" w:color="auto"/>
            </w:tcBorders>
            <w:shd w:val="clear" w:color="auto" w:fill="67AE3C"/>
            <w:vAlign w:val="center"/>
          </w:tcPr>
          <w:p w14:paraId="07BDDCA2" w14:textId="4272A20D" w:rsidR="006B7054" w:rsidRPr="000B6B7A" w:rsidRDefault="006B7054" w:rsidP="006B705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2F81C733" w14:textId="7F95A696"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October </w:t>
            </w:r>
            <w:r w:rsidRPr="00F61DA2">
              <w:rPr>
                <w:rFonts w:asciiTheme="majorHAnsi" w:hAnsiTheme="majorHAnsi" w:cs="Arial"/>
                <w:bCs/>
                <w:sz w:val="19"/>
                <w:szCs w:val="19"/>
              </w:rPr>
              <w:t>17</w:t>
            </w:r>
            <w:r>
              <w:rPr>
                <w:rFonts w:asciiTheme="majorHAnsi" w:hAnsiTheme="majorHAnsi" w:cs="Arial"/>
                <w:bCs/>
                <w:sz w:val="19"/>
                <w:szCs w:val="19"/>
              </w:rPr>
              <w:t>,</w:t>
            </w:r>
            <w:r w:rsidRPr="00F61DA2">
              <w:rPr>
                <w:rFonts w:asciiTheme="majorHAnsi" w:hAnsiTheme="majorHAnsi" w:cs="Arial"/>
                <w:bCs/>
                <w:sz w:val="19"/>
                <w:szCs w:val="19"/>
              </w:rPr>
              <w:t xml:space="preserve"> 2011</w:t>
            </w:r>
          </w:p>
        </w:tc>
      </w:tr>
      <w:tr w:rsidR="006B7054" w:rsidRPr="000B6B7A" w14:paraId="7A8A8A3C" w14:textId="77777777" w:rsidTr="006B7054">
        <w:tc>
          <w:tcPr>
            <w:tcW w:w="3690" w:type="dxa"/>
            <w:tcBorders>
              <w:top w:val="single" w:sz="6" w:space="0" w:color="auto"/>
              <w:bottom w:val="single" w:sz="6" w:space="0" w:color="auto"/>
            </w:tcBorders>
            <w:shd w:val="clear" w:color="auto" w:fill="67AE3C"/>
            <w:vAlign w:val="center"/>
          </w:tcPr>
          <w:p w14:paraId="3DEC3A52" w14:textId="4AD4BFB0" w:rsidR="006B7054" w:rsidRPr="000B6B7A" w:rsidRDefault="006B7054" w:rsidP="006B705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0FE345EA" w14:textId="2B24CB9E"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November </w:t>
            </w:r>
            <w:r w:rsidRPr="00F61DA2">
              <w:rPr>
                <w:rFonts w:asciiTheme="majorHAnsi" w:hAnsiTheme="majorHAnsi" w:cs="Arial"/>
                <w:bCs/>
                <w:sz w:val="19"/>
                <w:szCs w:val="19"/>
              </w:rPr>
              <w:t>22</w:t>
            </w:r>
            <w:r>
              <w:rPr>
                <w:rFonts w:asciiTheme="majorHAnsi" w:hAnsiTheme="majorHAnsi" w:cs="Arial"/>
                <w:bCs/>
                <w:sz w:val="19"/>
                <w:szCs w:val="19"/>
              </w:rPr>
              <w:t>,</w:t>
            </w:r>
            <w:r w:rsidRPr="00F61DA2">
              <w:rPr>
                <w:rFonts w:asciiTheme="majorHAnsi" w:hAnsiTheme="majorHAnsi" w:cs="Arial"/>
                <w:bCs/>
                <w:sz w:val="19"/>
                <w:szCs w:val="19"/>
              </w:rPr>
              <w:t xml:space="preserve"> 2011;  </w:t>
            </w:r>
            <w:r>
              <w:rPr>
                <w:rFonts w:asciiTheme="majorHAnsi" w:hAnsiTheme="majorHAnsi" w:cs="Arial"/>
                <w:bCs/>
                <w:sz w:val="19"/>
                <w:szCs w:val="19"/>
              </w:rPr>
              <w:t xml:space="preserve">April </w:t>
            </w:r>
            <w:r w:rsidRPr="00F61DA2">
              <w:rPr>
                <w:rFonts w:asciiTheme="majorHAnsi" w:hAnsiTheme="majorHAnsi" w:cs="Arial"/>
                <w:bCs/>
                <w:sz w:val="19"/>
                <w:szCs w:val="19"/>
              </w:rPr>
              <w:t>3</w:t>
            </w:r>
            <w:r>
              <w:rPr>
                <w:rFonts w:asciiTheme="majorHAnsi" w:hAnsiTheme="majorHAnsi" w:cs="Arial"/>
                <w:bCs/>
                <w:sz w:val="19"/>
                <w:szCs w:val="19"/>
              </w:rPr>
              <w:t>,</w:t>
            </w:r>
            <w:r w:rsidRPr="00F61DA2">
              <w:rPr>
                <w:rFonts w:asciiTheme="majorHAnsi" w:hAnsiTheme="majorHAnsi" w:cs="Arial"/>
                <w:bCs/>
                <w:sz w:val="19"/>
                <w:szCs w:val="19"/>
              </w:rPr>
              <w:t xml:space="preserve"> 2017;  </w:t>
            </w:r>
            <w:r>
              <w:rPr>
                <w:rFonts w:asciiTheme="majorHAnsi" w:hAnsiTheme="majorHAnsi" w:cs="Arial"/>
                <w:bCs/>
                <w:sz w:val="19"/>
                <w:szCs w:val="19"/>
              </w:rPr>
              <w:t xml:space="preserve">May </w:t>
            </w:r>
            <w:r w:rsidRPr="00F61DA2">
              <w:rPr>
                <w:rFonts w:asciiTheme="majorHAnsi" w:hAnsiTheme="majorHAnsi" w:cs="Arial"/>
                <w:bCs/>
                <w:sz w:val="19"/>
                <w:szCs w:val="19"/>
              </w:rPr>
              <w:t>20</w:t>
            </w:r>
            <w:r>
              <w:rPr>
                <w:rFonts w:asciiTheme="majorHAnsi" w:hAnsiTheme="majorHAnsi" w:cs="Arial"/>
                <w:bCs/>
                <w:sz w:val="19"/>
                <w:szCs w:val="19"/>
              </w:rPr>
              <w:t>,</w:t>
            </w:r>
            <w:r w:rsidRPr="00F61DA2">
              <w:rPr>
                <w:rFonts w:asciiTheme="majorHAnsi" w:hAnsiTheme="majorHAnsi" w:cs="Arial"/>
                <w:bCs/>
                <w:sz w:val="19"/>
                <w:szCs w:val="19"/>
              </w:rPr>
              <w:t xml:space="preserve"> 2019</w:t>
            </w:r>
          </w:p>
        </w:tc>
      </w:tr>
      <w:tr w:rsidR="006B7054" w:rsidRPr="000B6B7A" w14:paraId="3D79AA57" w14:textId="77777777" w:rsidTr="006B7054">
        <w:tc>
          <w:tcPr>
            <w:tcW w:w="3690" w:type="dxa"/>
            <w:tcBorders>
              <w:top w:val="single" w:sz="6" w:space="0" w:color="auto"/>
              <w:bottom w:val="single" w:sz="6" w:space="0" w:color="auto"/>
            </w:tcBorders>
            <w:shd w:val="clear" w:color="auto" w:fill="67AE3C"/>
            <w:vAlign w:val="center"/>
          </w:tcPr>
          <w:p w14:paraId="2FE60FBE" w14:textId="11BD82D3" w:rsidR="006B7054" w:rsidRPr="000B6B7A" w:rsidRDefault="006B7054" w:rsidP="006B705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4FF6D319" w14:textId="3DA44171"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April </w:t>
            </w:r>
            <w:r w:rsidRPr="00F61DA2">
              <w:rPr>
                <w:rFonts w:asciiTheme="majorHAnsi" w:hAnsiTheme="majorHAnsi" w:cs="Arial"/>
                <w:bCs/>
                <w:sz w:val="19"/>
                <w:szCs w:val="19"/>
              </w:rPr>
              <w:t>2</w:t>
            </w:r>
            <w:r>
              <w:rPr>
                <w:rFonts w:asciiTheme="majorHAnsi" w:hAnsiTheme="majorHAnsi" w:cs="Arial"/>
                <w:bCs/>
                <w:sz w:val="19"/>
                <w:szCs w:val="19"/>
              </w:rPr>
              <w:t>,</w:t>
            </w:r>
            <w:r w:rsidRPr="00F61DA2">
              <w:rPr>
                <w:rFonts w:asciiTheme="majorHAnsi" w:hAnsiTheme="majorHAnsi" w:cs="Arial"/>
                <w:bCs/>
                <w:sz w:val="19"/>
                <w:szCs w:val="19"/>
              </w:rPr>
              <w:t xml:space="preserve"> 2012</w:t>
            </w:r>
          </w:p>
        </w:tc>
      </w:tr>
      <w:tr w:rsidR="006B7054" w:rsidRPr="000B6B7A" w14:paraId="718737D9" w14:textId="77777777" w:rsidTr="006B7054">
        <w:tc>
          <w:tcPr>
            <w:tcW w:w="3690" w:type="dxa"/>
            <w:tcBorders>
              <w:top w:val="single" w:sz="6" w:space="0" w:color="auto"/>
              <w:bottom w:val="single" w:sz="6" w:space="0" w:color="auto"/>
            </w:tcBorders>
            <w:shd w:val="clear" w:color="auto" w:fill="67AE3C"/>
            <w:vAlign w:val="center"/>
          </w:tcPr>
          <w:p w14:paraId="2F925819" w14:textId="25BD6B09" w:rsidR="006B7054" w:rsidRPr="000B6B7A" w:rsidRDefault="006B7054" w:rsidP="006B705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58E3B52D" w14:textId="611D2634" w:rsidR="006B7054" w:rsidRPr="000B6B7A" w:rsidRDefault="006B7054" w:rsidP="006B7054">
            <w:pPr>
              <w:jc w:val="both"/>
              <w:rPr>
                <w:rFonts w:ascii="Cambria" w:hAnsi="Cambria"/>
                <w:bCs/>
                <w:sz w:val="20"/>
                <w:szCs w:val="20"/>
              </w:rPr>
            </w:pPr>
            <w:r>
              <w:rPr>
                <w:rFonts w:asciiTheme="majorHAnsi" w:hAnsiTheme="majorHAnsi" w:cs="Arial"/>
                <w:bCs/>
                <w:sz w:val="19"/>
                <w:szCs w:val="19"/>
              </w:rPr>
              <w:t>March</w:t>
            </w:r>
            <w:r w:rsidRPr="00F61DA2">
              <w:rPr>
                <w:rFonts w:asciiTheme="majorHAnsi" w:hAnsiTheme="majorHAnsi" w:cs="Arial"/>
                <w:bCs/>
                <w:sz w:val="19"/>
                <w:szCs w:val="19"/>
              </w:rPr>
              <w:t xml:space="preserve"> 27</w:t>
            </w:r>
            <w:r>
              <w:rPr>
                <w:rFonts w:asciiTheme="majorHAnsi" w:hAnsiTheme="majorHAnsi" w:cs="Arial"/>
                <w:bCs/>
                <w:sz w:val="19"/>
                <w:szCs w:val="19"/>
              </w:rPr>
              <w:t>,</w:t>
            </w:r>
            <w:r w:rsidRPr="00F61DA2">
              <w:rPr>
                <w:rFonts w:asciiTheme="majorHAnsi" w:hAnsiTheme="majorHAnsi" w:cs="Arial"/>
                <w:bCs/>
                <w:sz w:val="19"/>
                <w:szCs w:val="19"/>
              </w:rPr>
              <w:t xml:space="preserve"> 2017</w:t>
            </w:r>
          </w:p>
        </w:tc>
      </w:tr>
      <w:tr w:rsidR="006B7054" w:rsidRPr="000B6B7A" w14:paraId="09808A81" w14:textId="77777777" w:rsidTr="006B7054">
        <w:tc>
          <w:tcPr>
            <w:tcW w:w="3690" w:type="dxa"/>
            <w:tcBorders>
              <w:top w:val="single" w:sz="6" w:space="0" w:color="auto"/>
              <w:bottom w:val="single" w:sz="6" w:space="0" w:color="auto"/>
            </w:tcBorders>
            <w:shd w:val="clear" w:color="auto" w:fill="67AE3C"/>
            <w:vAlign w:val="center"/>
          </w:tcPr>
          <w:p w14:paraId="49BCEA0B" w14:textId="18455F02" w:rsidR="006B7054" w:rsidRDefault="006B7054" w:rsidP="006B7054">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5042A909" w14:textId="0A9342C5" w:rsidR="006B7054" w:rsidRPr="000B6B7A" w:rsidRDefault="006B7054" w:rsidP="006B7054">
            <w:pPr>
              <w:jc w:val="both"/>
              <w:rPr>
                <w:rFonts w:ascii="Cambria" w:hAnsi="Cambria"/>
                <w:bCs/>
                <w:sz w:val="20"/>
                <w:szCs w:val="20"/>
              </w:rPr>
            </w:pPr>
            <w:r>
              <w:rPr>
                <w:rFonts w:asciiTheme="majorHAnsi" w:hAnsiTheme="majorHAnsi" w:cs="Arial"/>
                <w:bCs/>
                <w:sz w:val="19"/>
                <w:szCs w:val="19"/>
              </w:rPr>
              <w:t xml:space="preserve">April </w:t>
            </w:r>
            <w:r w:rsidRPr="00F61DA2">
              <w:rPr>
                <w:rFonts w:asciiTheme="majorHAnsi" w:hAnsiTheme="majorHAnsi" w:cs="Arial"/>
                <w:bCs/>
                <w:sz w:val="19"/>
                <w:szCs w:val="19"/>
              </w:rPr>
              <w:t>3</w:t>
            </w:r>
            <w:r>
              <w:rPr>
                <w:rFonts w:asciiTheme="majorHAnsi" w:hAnsiTheme="majorHAnsi" w:cs="Arial"/>
                <w:bCs/>
                <w:sz w:val="19"/>
                <w:szCs w:val="19"/>
              </w:rPr>
              <w:t>,</w:t>
            </w:r>
            <w:r w:rsidRPr="00F61DA2">
              <w:rPr>
                <w:rFonts w:asciiTheme="majorHAnsi" w:hAnsiTheme="majorHAnsi" w:cs="Arial"/>
                <w:bCs/>
                <w:sz w:val="19"/>
                <w:szCs w:val="19"/>
              </w:rPr>
              <w:t xml:space="preserve"> 2017</w:t>
            </w:r>
          </w:p>
        </w:tc>
      </w:tr>
      <w:tr w:rsidR="006B7054" w:rsidRPr="000B6B7A" w14:paraId="7DBE6D67" w14:textId="77777777" w:rsidTr="006B7054">
        <w:tc>
          <w:tcPr>
            <w:tcW w:w="3690" w:type="dxa"/>
            <w:tcBorders>
              <w:top w:val="single" w:sz="6" w:space="0" w:color="auto"/>
              <w:bottom w:val="single" w:sz="6" w:space="0" w:color="auto"/>
            </w:tcBorders>
            <w:shd w:val="clear" w:color="auto" w:fill="67AE3C"/>
            <w:vAlign w:val="center"/>
          </w:tcPr>
          <w:p w14:paraId="472DF345" w14:textId="7FB855CB" w:rsidR="006B7054" w:rsidRDefault="006B7054" w:rsidP="006B705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5670" w:type="dxa"/>
          </w:tcPr>
          <w:p w14:paraId="5C408358" w14:textId="77777777" w:rsidR="006B7054" w:rsidRPr="000B6B7A" w:rsidRDefault="006B7054" w:rsidP="006B7054">
            <w:pPr>
              <w:jc w:val="both"/>
              <w:rPr>
                <w:rFonts w:ascii="Cambria" w:hAnsi="Cambria"/>
                <w:bCs/>
                <w:sz w:val="20"/>
                <w:szCs w:val="20"/>
              </w:rPr>
            </w:pP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6B7054" w:rsidRPr="000B6B7A" w14:paraId="2F81CC8B" w14:textId="77777777" w:rsidTr="006B7054">
        <w:trPr>
          <w:cantSplit/>
        </w:trPr>
        <w:tc>
          <w:tcPr>
            <w:tcW w:w="3655" w:type="dxa"/>
            <w:tcBorders>
              <w:top w:val="single" w:sz="4" w:space="0" w:color="auto"/>
              <w:bottom w:val="single" w:sz="6" w:space="0" w:color="auto"/>
            </w:tcBorders>
            <w:shd w:val="clear" w:color="auto" w:fill="67AE3C"/>
            <w:vAlign w:val="center"/>
          </w:tcPr>
          <w:p w14:paraId="3A568008" w14:textId="77777777" w:rsidR="006B7054" w:rsidRPr="000B6B7A" w:rsidRDefault="006B7054" w:rsidP="006B7054">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587" w:type="dxa"/>
            <w:vAlign w:val="center"/>
          </w:tcPr>
          <w:p w14:paraId="0E58C72C" w14:textId="46353472" w:rsidR="006B7054" w:rsidRPr="000B6B7A" w:rsidRDefault="006B7054" w:rsidP="006B7054">
            <w:pPr>
              <w:rPr>
                <w:rFonts w:asciiTheme="majorHAnsi" w:hAnsiTheme="majorHAnsi"/>
                <w:bCs/>
                <w:sz w:val="20"/>
                <w:szCs w:val="20"/>
              </w:rPr>
            </w:pPr>
            <w:r>
              <w:rPr>
                <w:rFonts w:asciiTheme="majorHAnsi" w:hAnsiTheme="majorHAnsi" w:cs="Arial"/>
                <w:bCs/>
                <w:sz w:val="19"/>
                <w:szCs w:val="19"/>
              </w:rPr>
              <w:t>Yes</w:t>
            </w:r>
          </w:p>
        </w:tc>
      </w:tr>
      <w:tr w:rsidR="006B7054" w:rsidRPr="000B6B7A" w14:paraId="5FE56D1B" w14:textId="77777777" w:rsidTr="006B7054">
        <w:trPr>
          <w:cantSplit/>
        </w:trPr>
        <w:tc>
          <w:tcPr>
            <w:tcW w:w="3655" w:type="dxa"/>
            <w:tcBorders>
              <w:top w:val="single" w:sz="6" w:space="0" w:color="auto"/>
              <w:bottom w:val="single" w:sz="6" w:space="0" w:color="auto"/>
            </w:tcBorders>
            <w:shd w:val="clear" w:color="auto" w:fill="67AE3C"/>
            <w:vAlign w:val="center"/>
          </w:tcPr>
          <w:p w14:paraId="2190B967" w14:textId="77777777" w:rsidR="006B7054" w:rsidRPr="000B6B7A" w:rsidRDefault="006B7054" w:rsidP="006B705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587" w:type="dxa"/>
            <w:vAlign w:val="center"/>
          </w:tcPr>
          <w:p w14:paraId="16A295E1" w14:textId="0229C937" w:rsidR="006B7054" w:rsidRPr="000B6B7A" w:rsidRDefault="006B7054" w:rsidP="006B7054">
            <w:pPr>
              <w:rPr>
                <w:rFonts w:asciiTheme="majorHAnsi" w:hAnsiTheme="majorHAnsi"/>
                <w:bCs/>
                <w:sz w:val="20"/>
                <w:szCs w:val="20"/>
              </w:rPr>
            </w:pPr>
            <w:r>
              <w:rPr>
                <w:rFonts w:asciiTheme="majorHAnsi" w:hAnsiTheme="majorHAnsi" w:cs="Arial"/>
                <w:bCs/>
                <w:sz w:val="19"/>
                <w:szCs w:val="19"/>
              </w:rPr>
              <w:t>Yes</w:t>
            </w:r>
            <w:r w:rsidRPr="00F61DA2">
              <w:rPr>
                <w:rFonts w:asciiTheme="majorHAnsi" w:hAnsiTheme="majorHAnsi" w:cs="Arial"/>
                <w:bCs/>
                <w:sz w:val="19"/>
                <w:szCs w:val="19"/>
              </w:rPr>
              <w:t xml:space="preserve"> </w:t>
            </w:r>
          </w:p>
        </w:tc>
      </w:tr>
      <w:tr w:rsidR="006B7054" w:rsidRPr="000B6B7A" w14:paraId="372B5DD8" w14:textId="77777777" w:rsidTr="006B7054">
        <w:trPr>
          <w:cantSplit/>
        </w:trPr>
        <w:tc>
          <w:tcPr>
            <w:tcW w:w="3655" w:type="dxa"/>
            <w:tcBorders>
              <w:top w:val="single" w:sz="6" w:space="0" w:color="auto"/>
              <w:bottom w:val="single" w:sz="6" w:space="0" w:color="auto"/>
            </w:tcBorders>
            <w:shd w:val="clear" w:color="auto" w:fill="67AE3C"/>
            <w:vAlign w:val="center"/>
          </w:tcPr>
          <w:p w14:paraId="7F979173" w14:textId="77777777" w:rsidR="006B7054" w:rsidRPr="000B6B7A" w:rsidRDefault="006B7054" w:rsidP="006B705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587" w:type="dxa"/>
            <w:vAlign w:val="center"/>
          </w:tcPr>
          <w:p w14:paraId="564B395C" w14:textId="1819079E" w:rsidR="006B7054" w:rsidRPr="000B6B7A" w:rsidRDefault="006B7054" w:rsidP="006B7054">
            <w:pPr>
              <w:rPr>
                <w:rFonts w:asciiTheme="majorHAnsi" w:hAnsiTheme="majorHAnsi"/>
                <w:bCs/>
                <w:sz w:val="20"/>
                <w:szCs w:val="20"/>
              </w:rPr>
            </w:pPr>
            <w:r>
              <w:rPr>
                <w:rFonts w:asciiTheme="majorHAnsi" w:hAnsiTheme="majorHAnsi" w:cs="Arial"/>
                <w:bCs/>
                <w:sz w:val="19"/>
                <w:szCs w:val="19"/>
              </w:rPr>
              <w:t>Yes</w:t>
            </w:r>
            <w:r w:rsidRPr="00F61DA2">
              <w:rPr>
                <w:rFonts w:asciiTheme="majorHAnsi" w:hAnsiTheme="majorHAnsi" w:cs="Arial"/>
                <w:bCs/>
                <w:sz w:val="19"/>
                <w:szCs w:val="19"/>
              </w:rPr>
              <w:t xml:space="preserve"> </w:t>
            </w:r>
          </w:p>
        </w:tc>
      </w:tr>
      <w:tr w:rsidR="006B7054" w:rsidRPr="000B6B7A" w14:paraId="6648704B" w14:textId="77777777" w:rsidTr="006B7054">
        <w:trPr>
          <w:cantSplit/>
        </w:trPr>
        <w:tc>
          <w:tcPr>
            <w:tcW w:w="3655" w:type="dxa"/>
            <w:tcBorders>
              <w:top w:val="single" w:sz="6" w:space="0" w:color="auto"/>
              <w:bottom w:val="single" w:sz="6" w:space="0" w:color="auto"/>
            </w:tcBorders>
            <w:shd w:val="clear" w:color="auto" w:fill="67AE3C"/>
            <w:vAlign w:val="center"/>
          </w:tcPr>
          <w:p w14:paraId="15BBE7AF" w14:textId="77777777" w:rsidR="006B7054" w:rsidRPr="000B6B7A" w:rsidRDefault="006B7054" w:rsidP="006B705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587" w:type="dxa"/>
            <w:vAlign w:val="center"/>
          </w:tcPr>
          <w:p w14:paraId="3B42BB2F" w14:textId="1345FA91" w:rsidR="006B7054" w:rsidRPr="000B6B7A" w:rsidRDefault="006B7054" w:rsidP="006B7054">
            <w:pPr>
              <w:jc w:val="both"/>
              <w:rPr>
                <w:rFonts w:asciiTheme="majorHAnsi" w:hAnsiTheme="majorHAnsi"/>
                <w:bCs/>
                <w:sz w:val="20"/>
                <w:szCs w:val="20"/>
              </w:rPr>
            </w:pPr>
            <w:r>
              <w:rPr>
                <w:rFonts w:asciiTheme="majorHAnsi" w:hAnsiTheme="majorHAnsi" w:cs="Arial"/>
                <w:bCs/>
                <w:sz w:val="19"/>
                <w:szCs w:val="19"/>
              </w:rPr>
              <w:t>Yes</w:t>
            </w:r>
            <w:r w:rsidRPr="00F61DA2">
              <w:rPr>
                <w:rFonts w:asciiTheme="majorHAnsi" w:hAnsiTheme="majorHAnsi"/>
                <w:bCs/>
                <w:sz w:val="20"/>
                <w:szCs w:val="20"/>
              </w:rPr>
              <w:t xml:space="preserve">, </w:t>
            </w:r>
            <w:r>
              <w:rPr>
                <w:rFonts w:asciiTheme="majorHAnsi" w:hAnsiTheme="majorHAnsi"/>
                <w:bCs/>
                <w:sz w:val="20"/>
                <w:szCs w:val="20"/>
              </w:rPr>
              <w:t xml:space="preserve">American Convention </w:t>
            </w:r>
            <w:r w:rsidRPr="00F61DA2">
              <w:rPr>
                <w:rFonts w:asciiTheme="majorHAnsi" w:hAnsiTheme="majorHAnsi"/>
                <w:bCs/>
                <w:sz w:val="20"/>
                <w:szCs w:val="20"/>
              </w:rPr>
              <w:t>(</w:t>
            </w:r>
            <w:r>
              <w:rPr>
                <w:rFonts w:asciiTheme="majorHAnsi" w:hAnsiTheme="majorHAnsi"/>
                <w:bCs/>
                <w:sz w:val="20"/>
                <w:szCs w:val="20"/>
              </w:rPr>
              <w:t xml:space="preserve">instrument deposited on July </w:t>
            </w:r>
            <w:r w:rsidRPr="00F61DA2">
              <w:rPr>
                <w:rFonts w:asciiTheme="majorHAnsi" w:hAnsiTheme="majorHAnsi"/>
                <w:bCs/>
                <w:sz w:val="20"/>
                <w:szCs w:val="20"/>
              </w:rPr>
              <w:t>31</w:t>
            </w:r>
            <w:r>
              <w:rPr>
                <w:rFonts w:asciiTheme="majorHAnsi" w:hAnsiTheme="majorHAnsi"/>
                <w:bCs/>
                <w:sz w:val="20"/>
                <w:szCs w:val="20"/>
              </w:rPr>
              <w:t>,</w:t>
            </w:r>
            <w:r w:rsidRPr="00F61DA2">
              <w:rPr>
                <w:rFonts w:asciiTheme="majorHAnsi" w:hAnsiTheme="majorHAnsi"/>
                <w:bCs/>
                <w:sz w:val="20"/>
                <w:szCs w:val="20"/>
              </w:rPr>
              <w:t xml:space="preserve">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2C08385C" w14:textId="77777777" w:rsidR="006B7054" w:rsidRPr="006B7054" w:rsidRDefault="006B7054" w:rsidP="006B7054">
            <w:pPr>
              <w:jc w:val="both"/>
              <w:rPr>
                <w:rFonts w:ascii="Cambria" w:hAnsi="Cambria"/>
                <w:bCs/>
                <w:sz w:val="20"/>
                <w:szCs w:val="20"/>
              </w:rPr>
            </w:pPr>
            <w:r w:rsidRPr="006B7054">
              <w:rPr>
                <w:rFonts w:ascii="Cambria" w:hAnsi="Cambria"/>
                <w:bCs/>
                <w:sz w:val="20"/>
                <w:szCs w:val="20"/>
              </w:rPr>
              <w:t>No</w:t>
            </w:r>
          </w:p>
          <w:p w14:paraId="4773CD23" w14:textId="0231EE69" w:rsidR="00F621C3" w:rsidRPr="000B6B7A" w:rsidRDefault="00F621C3" w:rsidP="006B7054">
            <w:pPr>
              <w:jc w:val="both"/>
              <w:rPr>
                <w:rFonts w:ascii="Cambria" w:hAnsi="Cambria"/>
                <w:bCs/>
                <w:sz w:val="20"/>
                <w:szCs w:val="20"/>
              </w:rPr>
            </w:pP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2C92825" w14:textId="77777777" w:rsidR="006B7054" w:rsidRPr="006B7054" w:rsidRDefault="006B7054" w:rsidP="006B7054">
            <w:pPr>
              <w:jc w:val="both"/>
              <w:rPr>
                <w:rFonts w:ascii="Cambria" w:hAnsi="Cambria"/>
                <w:bCs/>
                <w:sz w:val="20"/>
                <w:szCs w:val="20"/>
              </w:rPr>
            </w:pPr>
            <w:r w:rsidRPr="006B7054">
              <w:rPr>
                <w:rFonts w:ascii="Cambria" w:hAnsi="Cambria"/>
                <w:bCs/>
                <w:sz w:val="20"/>
                <w:szCs w:val="20"/>
              </w:rPr>
              <w:t xml:space="preserve">Articles 4 (life), 5 (humane treatment), 8 (fair trial), and 25 (judicial protection) of the American Convention on Human Rights in connection with Articles 1.1 and 2 </w:t>
            </w:r>
          </w:p>
          <w:p w14:paraId="33BE4040" w14:textId="77777777" w:rsidR="00F621C3" w:rsidRPr="000B6B7A" w:rsidRDefault="00F621C3" w:rsidP="009163FC">
            <w:pPr>
              <w:jc w:val="both"/>
              <w:rPr>
                <w:rFonts w:ascii="Cambria" w:hAnsi="Cambria"/>
                <w:bCs/>
                <w:sz w:val="20"/>
                <w:szCs w:val="20"/>
              </w:rPr>
            </w:pP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2683816E" w:rsidR="00F621C3" w:rsidRPr="000B6B7A" w:rsidRDefault="006B7054" w:rsidP="009163FC">
            <w:pPr>
              <w:rPr>
                <w:rFonts w:ascii="Cambria" w:hAnsi="Cambria"/>
                <w:bCs/>
                <w:sz w:val="20"/>
                <w:szCs w:val="20"/>
              </w:rPr>
            </w:pPr>
            <w:r w:rsidRPr="006B7054">
              <w:rPr>
                <w:rFonts w:ascii="Cambria" w:hAnsi="Cambria"/>
                <w:bCs/>
                <w:sz w:val="20"/>
                <w:szCs w:val="20"/>
              </w:rPr>
              <w:t>Yes, the exceptions in Articles 46.2.b and c of the ACHR are applicable</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E449BEB" w:rsidR="00F621C3" w:rsidRPr="000B6B7A" w:rsidRDefault="006B7054" w:rsidP="009163FC">
            <w:pPr>
              <w:rPr>
                <w:rFonts w:asciiTheme="majorHAnsi" w:hAnsiTheme="majorHAnsi"/>
                <w:bCs/>
                <w:sz w:val="20"/>
                <w:szCs w:val="20"/>
              </w:rPr>
            </w:pPr>
            <w:r w:rsidRPr="006B7054">
              <w:rPr>
                <w:rFonts w:ascii="Cambria" w:hAnsi="Cambria"/>
                <w:bCs/>
                <w:sz w:val="20"/>
                <w:szCs w:val="20"/>
              </w:rPr>
              <w:t>Yes, under Section VI</w:t>
            </w:r>
          </w:p>
        </w:tc>
      </w:tr>
    </w:tbl>
    <w:p w14:paraId="54172C4F" w14:textId="148AD5BA" w:rsidR="00B06BB7" w:rsidRDefault="00B06BB7">
      <w:pPr>
        <w:rPr>
          <w:rFonts w:asciiTheme="majorHAnsi" w:hAnsiTheme="majorHAnsi"/>
          <w:b/>
          <w:sz w:val="20"/>
          <w:szCs w:val="20"/>
        </w:rPr>
      </w:pPr>
    </w:p>
    <w:p w14:paraId="6A8B8B8B" w14:textId="20884D3C" w:rsidR="00F3355A" w:rsidRPr="00F3355A" w:rsidRDefault="006B7054" w:rsidP="00F3355A">
      <w:pPr>
        <w:spacing w:before="120" w:after="120"/>
        <w:ind w:firstLine="720"/>
        <w:jc w:val="both"/>
        <w:rPr>
          <w:rFonts w:asciiTheme="majorHAnsi" w:hAnsiTheme="majorHAnsi" w:cs="Arial"/>
          <w:b/>
          <w:sz w:val="20"/>
          <w:szCs w:val="20"/>
        </w:rPr>
      </w:pPr>
      <w:r>
        <w:rPr>
          <w:rFonts w:asciiTheme="majorHAnsi" w:hAnsiTheme="majorHAnsi" w:cs="Arial"/>
          <w:b/>
          <w:sz w:val="20"/>
          <w:szCs w:val="20"/>
        </w:rPr>
        <w:t xml:space="preserve">V. </w:t>
      </w:r>
      <w:r>
        <w:rPr>
          <w:rFonts w:asciiTheme="majorHAnsi" w:hAnsiTheme="majorHAnsi" w:cs="Arial"/>
          <w:b/>
          <w:sz w:val="20"/>
          <w:szCs w:val="20"/>
        </w:rPr>
        <w:tab/>
      </w:r>
      <w:r w:rsidR="00F3355A" w:rsidRPr="00F3355A">
        <w:rPr>
          <w:rFonts w:asciiTheme="majorHAnsi" w:hAnsiTheme="majorHAnsi" w:cs="Arial"/>
          <w:b/>
          <w:sz w:val="20"/>
          <w:szCs w:val="20"/>
        </w:rPr>
        <w:t xml:space="preserve">SUMMARY OF FACTS ALLEGED </w:t>
      </w:r>
    </w:p>
    <w:p w14:paraId="06753522"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The instant petition is about the alleged extrajudicial execution of Mr. </w:t>
      </w:r>
      <w:proofErr w:type="spellStart"/>
      <w:r w:rsidRPr="00F3355A">
        <w:rPr>
          <w:rFonts w:asciiTheme="majorHAnsi" w:hAnsiTheme="majorHAnsi" w:cs="Arial"/>
          <w:sz w:val="20"/>
          <w:szCs w:val="20"/>
        </w:rPr>
        <w:t>Merardo</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Iván</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Vahos</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Arcila</w:t>
      </w:r>
      <w:proofErr w:type="spellEnd"/>
      <w:r w:rsidRPr="00F3355A">
        <w:rPr>
          <w:rFonts w:asciiTheme="majorHAnsi" w:hAnsiTheme="majorHAnsi" w:cs="Arial"/>
          <w:sz w:val="20"/>
          <w:szCs w:val="20"/>
        </w:rPr>
        <w:t xml:space="preserve"> (hereinafter “the alleged victim”), which took place on August 9, 2000 and the lack of an exhaustive investigation to get to bottom of the motives for his death. The petitioner argues that at the time of the events, small land-holding farmers (</w:t>
      </w:r>
      <w:proofErr w:type="spellStart"/>
      <w:r w:rsidRPr="00F3355A">
        <w:rPr>
          <w:rFonts w:asciiTheme="majorHAnsi" w:hAnsiTheme="majorHAnsi" w:cs="Arial"/>
          <w:i/>
          <w:iCs/>
          <w:sz w:val="20"/>
          <w:szCs w:val="20"/>
        </w:rPr>
        <w:t>campesinos</w:t>
      </w:r>
      <w:proofErr w:type="spellEnd"/>
      <w:r w:rsidRPr="00F3355A">
        <w:rPr>
          <w:rFonts w:asciiTheme="majorHAnsi" w:hAnsiTheme="majorHAnsi" w:cs="Arial"/>
          <w:sz w:val="20"/>
          <w:szCs w:val="20"/>
        </w:rPr>
        <w:t xml:space="preserve">) and workers, as well as the alleged victim, were facing an ongoing situation of violence, because in rural areas groups operating outside the law were engaging in illegal activities of </w:t>
      </w:r>
      <w:proofErr w:type="spellStart"/>
      <w:r w:rsidRPr="00F3355A">
        <w:rPr>
          <w:rFonts w:asciiTheme="majorHAnsi" w:hAnsiTheme="majorHAnsi" w:cs="Arial"/>
          <w:sz w:val="20"/>
          <w:szCs w:val="20"/>
        </w:rPr>
        <w:t>extorsion</w:t>
      </w:r>
      <w:proofErr w:type="spellEnd"/>
      <w:r w:rsidRPr="00F3355A">
        <w:rPr>
          <w:rFonts w:asciiTheme="majorHAnsi" w:hAnsiTheme="majorHAnsi" w:cs="Arial"/>
          <w:sz w:val="20"/>
          <w:szCs w:val="20"/>
        </w:rPr>
        <w:t>, illicit crop-growing and kidnappings; and the workers were being confused with the guerrilla force members and mistakenly becoming victims in police operations or direct victims under the phenomenon known as ‘false positives,’ that is, intentional murdering of civilians by soldiers to pass them off as rebels killed in battle.</w:t>
      </w:r>
    </w:p>
    <w:p w14:paraId="59840077"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The petitioner claims that on August 9, 2000, the alleged victim was on his way to work as a sugar cane cutter in the settlement (</w:t>
      </w:r>
      <w:proofErr w:type="spellStart"/>
      <w:r w:rsidRPr="00F3355A">
        <w:rPr>
          <w:rFonts w:asciiTheme="majorHAnsi" w:hAnsiTheme="majorHAnsi" w:cs="Arial"/>
          <w:sz w:val="20"/>
          <w:szCs w:val="20"/>
        </w:rPr>
        <w:t>Vereda</w:t>
      </w:r>
      <w:proofErr w:type="spellEnd"/>
      <w:r w:rsidRPr="00F3355A">
        <w:rPr>
          <w:rFonts w:asciiTheme="majorHAnsi" w:hAnsiTheme="majorHAnsi" w:cs="Arial"/>
          <w:sz w:val="20"/>
          <w:szCs w:val="20"/>
        </w:rPr>
        <w:t xml:space="preserve">) of </w:t>
      </w:r>
      <w:proofErr w:type="spellStart"/>
      <w:r w:rsidRPr="00F3355A">
        <w:rPr>
          <w:rFonts w:asciiTheme="majorHAnsi" w:hAnsiTheme="majorHAnsi" w:cs="Arial"/>
          <w:sz w:val="20"/>
          <w:szCs w:val="20"/>
        </w:rPr>
        <w:t>Bengala</w:t>
      </w:r>
      <w:proofErr w:type="spellEnd"/>
      <w:r w:rsidRPr="00F3355A">
        <w:rPr>
          <w:rFonts w:asciiTheme="majorHAnsi" w:hAnsiTheme="majorHAnsi" w:cs="Arial"/>
          <w:sz w:val="20"/>
          <w:szCs w:val="20"/>
        </w:rPr>
        <w:t xml:space="preserve"> of the municipality of </w:t>
      </w:r>
      <w:proofErr w:type="spellStart"/>
      <w:r w:rsidRPr="00F3355A">
        <w:rPr>
          <w:rFonts w:asciiTheme="majorHAnsi" w:hAnsiTheme="majorHAnsi" w:cs="Arial"/>
          <w:sz w:val="20"/>
          <w:szCs w:val="20"/>
        </w:rPr>
        <w:t>Yolombó</w:t>
      </w:r>
      <w:proofErr w:type="spellEnd"/>
      <w:r w:rsidRPr="00F3355A">
        <w:rPr>
          <w:rFonts w:asciiTheme="majorHAnsi" w:hAnsiTheme="majorHAnsi" w:cs="Arial"/>
          <w:sz w:val="20"/>
          <w:szCs w:val="20"/>
        </w:rPr>
        <w:t xml:space="preserve">, in the Department of Antioquia, when he came across uniformed men belonging to the special forces Rural </w:t>
      </w:r>
      <w:proofErr w:type="spellStart"/>
      <w:r w:rsidRPr="00F3355A">
        <w:rPr>
          <w:rFonts w:asciiTheme="majorHAnsi" w:hAnsiTheme="majorHAnsi" w:cs="Arial"/>
          <w:sz w:val="20"/>
          <w:szCs w:val="20"/>
        </w:rPr>
        <w:t>Gaula</w:t>
      </w:r>
      <w:proofErr w:type="spellEnd"/>
      <w:r w:rsidRPr="00F3355A">
        <w:rPr>
          <w:rFonts w:asciiTheme="majorHAnsi" w:hAnsiTheme="majorHAnsi" w:cs="Arial"/>
          <w:sz w:val="20"/>
          <w:szCs w:val="20"/>
        </w:rPr>
        <w:t xml:space="preserve"> group of Antioquia,</w:t>
      </w:r>
      <w:r w:rsidRPr="00F3355A">
        <w:rPr>
          <w:rFonts w:asciiTheme="majorHAnsi" w:hAnsiTheme="majorHAnsi" w:cs="Arial"/>
          <w:sz w:val="20"/>
          <w:szCs w:val="20"/>
          <w:vertAlign w:val="superscript"/>
        </w:rPr>
        <w:footnoteReference w:id="5"/>
      </w:r>
      <w:r w:rsidRPr="00F3355A">
        <w:rPr>
          <w:rFonts w:asciiTheme="majorHAnsi" w:hAnsiTheme="majorHAnsi" w:cs="Arial"/>
          <w:sz w:val="20"/>
          <w:szCs w:val="20"/>
        </w:rPr>
        <w:t xml:space="preserve"> which was moving through the area in an operation to rescue a civilian, who had been kidnapped by the guerrilla forces.   He contends that the agents shot the alleged victim dead for no reason and abandoned his body on the road. He asserts that the disproportionate action caused the death of the alleged victim, who at no time acted illegally in front of the agents, but was simply walking through the scene of the events unaware. He notes that the alleged victim’s family members learned about the incidents in the afternoon, and the removal of the body was performed by the Prosecutor of the Municipality of Cisneros, who on August 10, 2000, forwarded the background information to the Sectional Prosecutor’s Office of </w:t>
      </w:r>
      <w:proofErr w:type="spellStart"/>
      <w:r w:rsidRPr="00F3355A">
        <w:rPr>
          <w:rFonts w:asciiTheme="majorHAnsi" w:hAnsiTheme="majorHAnsi" w:cs="Arial"/>
          <w:sz w:val="20"/>
          <w:szCs w:val="20"/>
        </w:rPr>
        <w:t>Yolombó</w:t>
      </w:r>
      <w:proofErr w:type="spellEnd"/>
      <w:r w:rsidRPr="00F3355A">
        <w:rPr>
          <w:rFonts w:asciiTheme="majorHAnsi" w:hAnsiTheme="majorHAnsi" w:cs="Arial"/>
          <w:sz w:val="20"/>
          <w:szCs w:val="20"/>
        </w:rPr>
        <w:t xml:space="preserve">. </w:t>
      </w:r>
    </w:p>
    <w:p w14:paraId="3812A807"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The petitioner claims that the State did not conduct a thorough or diligent investigation to elucidate the motives surrounding his death, but on the contrary, the defendants consistently sought to conceal any sort of information on this score. </w:t>
      </w:r>
    </w:p>
    <w:p w14:paraId="3EC4E35E" w14:textId="60B95DF8" w:rsidR="00F3355A" w:rsidRPr="00F3355A" w:rsidRDefault="00F76BBD"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w:t>
      </w:r>
      <w:r w:rsidR="00F3355A" w:rsidRPr="00F3355A">
        <w:rPr>
          <w:rFonts w:asciiTheme="majorHAnsi" w:hAnsiTheme="majorHAnsi" w:cs="Arial"/>
          <w:sz w:val="20"/>
          <w:szCs w:val="20"/>
        </w:rPr>
        <w:t>e</w:t>
      </w:r>
      <w:r>
        <w:rPr>
          <w:rFonts w:asciiTheme="majorHAnsi" w:hAnsiTheme="majorHAnsi" w:cs="Arial"/>
          <w:sz w:val="20"/>
          <w:szCs w:val="20"/>
        </w:rPr>
        <w:t xml:space="preserve"> petitioner</w:t>
      </w:r>
      <w:r w:rsidR="00F3355A" w:rsidRPr="00F3355A">
        <w:rPr>
          <w:rFonts w:asciiTheme="majorHAnsi" w:hAnsiTheme="majorHAnsi" w:cs="Arial"/>
          <w:sz w:val="20"/>
          <w:szCs w:val="20"/>
        </w:rPr>
        <w:t xml:space="preserve"> contends that no criminal investigation was conducted into the death of the alleged victim in the ordinary jurisdiction. He asserts that the aforementioned Section Prosecutor’s Office of </w:t>
      </w:r>
      <w:proofErr w:type="spellStart"/>
      <w:r w:rsidR="00F3355A" w:rsidRPr="00F3355A">
        <w:rPr>
          <w:rFonts w:asciiTheme="majorHAnsi" w:hAnsiTheme="majorHAnsi" w:cs="Arial"/>
          <w:sz w:val="20"/>
          <w:szCs w:val="20"/>
        </w:rPr>
        <w:t>Yolombó</w:t>
      </w:r>
      <w:proofErr w:type="spellEnd"/>
      <w:r w:rsidR="00F3355A" w:rsidRPr="00F3355A">
        <w:rPr>
          <w:rFonts w:asciiTheme="majorHAnsi" w:hAnsiTheme="majorHAnsi" w:cs="Arial"/>
          <w:sz w:val="20"/>
          <w:szCs w:val="20"/>
        </w:rPr>
        <w:t xml:space="preserve"> did not bring the case in court, as it decided that the Military Criminal Investigating Magistrates of the Fourth Brigade of Medellin should be requested to investigate, because this was the competent jurisdiction to carry out the investigation. He notes that this military court responded on February 25, 2005, explaining that it was not competent to conduct the investigation, because the jurisdiction of </w:t>
      </w:r>
      <w:proofErr w:type="spellStart"/>
      <w:r w:rsidR="00F3355A" w:rsidRPr="00F3355A">
        <w:rPr>
          <w:rFonts w:asciiTheme="majorHAnsi" w:hAnsiTheme="majorHAnsi" w:cs="Arial"/>
          <w:sz w:val="20"/>
          <w:szCs w:val="20"/>
        </w:rPr>
        <w:t>Yolombó</w:t>
      </w:r>
      <w:proofErr w:type="spellEnd"/>
      <w:r w:rsidR="00F3355A" w:rsidRPr="00F3355A">
        <w:rPr>
          <w:rFonts w:asciiTheme="majorHAnsi" w:hAnsiTheme="majorHAnsi" w:cs="Arial"/>
          <w:sz w:val="20"/>
          <w:szCs w:val="20"/>
        </w:rPr>
        <w:t xml:space="preserve"> (the site where the death of the alleged victim took place) belongs to the Infantry Battalion of </w:t>
      </w:r>
      <w:proofErr w:type="spellStart"/>
      <w:r w:rsidR="00F3355A" w:rsidRPr="00F3355A">
        <w:rPr>
          <w:rFonts w:asciiTheme="majorHAnsi" w:hAnsiTheme="majorHAnsi" w:cs="Arial"/>
          <w:sz w:val="20"/>
          <w:szCs w:val="20"/>
        </w:rPr>
        <w:t>Bombona</w:t>
      </w:r>
      <w:proofErr w:type="spellEnd"/>
      <w:r w:rsidR="00F3355A" w:rsidRPr="00F3355A">
        <w:rPr>
          <w:rFonts w:asciiTheme="majorHAnsi" w:hAnsiTheme="majorHAnsi" w:cs="Arial"/>
          <w:sz w:val="20"/>
          <w:szCs w:val="20"/>
        </w:rPr>
        <w:t xml:space="preserve">, headquartered in Puerto </w:t>
      </w:r>
      <w:proofErr w:type="spellStart"/>
      <w:r w:rsidR="00F3355A" w:rsidRPr="00F3355A">
        <w:rPr>
          <w:rFonts w:asciiTheme="majorHAnsi" w:hAnsiTheme="majorHAnsi" w:cs="Arial"/>
          <w:sz w:val="20"/>
          <w:szCs w:val="20"/>
        </w:rPr>
        <w:t>Berrío</w:t>
      </w:r>
      <w:proofErr w:type="spellEnd"/>
      <w:r w:rsidR="00F3355A" w:rsidRPr="00F3355A">
        <w:rPr>
          <w:rFonts w:asciiTheme="majorHAnsi" w:hAnsiTheme="majorHAnsi" w:cs="Arial"/>
          <w:sz w:val="20"/>
          <w:szCs w:val="20"/>
        </w:rPr>
        <w:t xml:space="preserve">, and asserted that Puerto </w:t>
      </w:r>
      <w:proofErr w:type="spellStart"/>
      <w:r w:rsidR="00F3355A" w:rsidRPr="00F3355A">
        <w:rPr>
          <w:rFonts w:asciiTheme="majorHAnsi" w:hAnsiTheme="majorHAnsi" w:cs="Arial"/>
          <w:sz w:val="20"/>
          <w:szCs w:val="20"/>
        </w:rPr>
        <w:t>Berrío</w:t>
      </w:r>
      <w:proofErr w:type="spellEnd"/>
      <w:r w:rsidR="00F3355A" w:rsidRPr="00F3355A">
        <w:rPr>
          <w:rFonts w:asciiTheme="majorHAnsi" w:hAnsiTheme="majorHAnsi" w:cs="Arial"/>
          <w:sz w:val="20"/>
          <w:szCs w:val="20"/>
        </w:rPr>
        <w:t xml:space="preserve"> is the venue where the investigation proceedings should be opened. The petitioner notes that the military criminal justice system was unable to provide information about the case, on the grounds “that the case file could not be found anywhere.” </w:t>
      </w:r>
    </w:p>
    <w:p w14:paraId="22536A49"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As for the disciplinary jurisdiction, he claims that the alleged victim’s wife filed a disciplinary complaint with the Regional Office of Oversight (</w:t>
      </w:r>
      <w:proofErr w:type="spellStart"/>
      <w:r w:rsidRPr="00F3355A">
        <w:rPr>
          <w:rFonts w:asciiTheme="majorHAnsi" w:hAnsiTheme="majorHAnsi" w:cs="Arial"/>
          <w:i/>
          <w:iCs/>
          <w:sz w:val="20"/>
          <w:szCs w:val="20"/>
        </w:rPr>
        <w:t>Procuraduría</w:t>
      </w:r>
      <w:proofErr w:type="spellEnd"/>
      <w:r w:rsidRPr="00F3355A">
        <w:rPr>
          <w:rFonts w:asciiTheme="majorHAnsi" w:hAnsiTheme="majorHAnsi" w:cs="Arial"/>
          <w:i/>
          <w:iCs/>
          <w:sz w:val="20"/>
          <w:szCs w:val="20"/>
        </w:rPr>
        <w:t xml:space="preserve"> Regional</w:t>
      </w:r>
      <w:r w:rsidRPr="00F3355A">
        <w:rPr>
          <w:rFonts w:asciiTheme="majorHAnsi" w:hAnsiTheme="majorHAnsi" w:cs="Arial"/>
          <w:sz w:val="20"/>
          <w:szCs w:val="20"/>
        </w:rPr>
        <w:t xml:space="preserve">) of Antioquia on September 5, 2000, which did not take any investigatory steps, and did not issue an order to open the preliminary investigation until February 22, 2002, though as of the present date no further information is available. </w:t>
      </w:r>
    </w:p>
    <w:p w14:paraId="752143E4" w14:textId="09476E8E" w:rsidR="00F3355A" w:rsidRPr="00F3355A" w:rsidRDefault="00F76BBD"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w:t>
      </w:r>
      <w:r w:rsidR="00F3355A" w:rsidRPr="00F3355A">
        <w:rPr>
          <w:rFonts w:asciiTheme="majorHAnsi" w:hAnsiTheme="majorHAnsi" w:cs="Arial"/>
          <w:sz w:val="20"/>
          <w:szCs w:val="20"/>
        </w:rPr>
        <w:t>e</w:t>
      </w:r>
      <w:r>
        <w:rPr>
          <w:rFonts w:asciiTheme="majorHAnsi" w:hAnsiTheme="majorHAnsi" w:cs="Arial"/>
          <w:sz w:val="20"/>
          <w:szCs w:val="20"/>
        </w:rPr>
        <w:t xml:space="preserve"> petitioner</w:t>
      </w:r>
      <w:r w:rsidR="00F3355A" w:rsidRPr="00F3355A">
        <w:rPr>
          <w:rFonts w:asciiTheme="majorHAnsi" w:hAnsiTheme="majorHAnsi" w:cs="Arial"/>
          <w:sz w:val="20"/>
          <w:szCs w:val="20"/>
        </w:rPr>
        <w:t xml:space="preserve"> claims that a motion for direct reparation was filed with the administrative claims court on July 10, 2001, in order to compensate the family members of the alleged victim, and the motion was granted by the Tenth Decision Chamber of the Administrative Claims Court of Antioquia, in a judgment of July 24, 2007, recognizing administrative responsibility of the Ministry of Defense of the Nation, the Army and </w:t>
      </w:r>
      <w:r w:rsidR="00F3355A" w:rsidRPr="00F3355A">
        <w:rPr>
          <w:rFonts w:asciiTheme="majorHAnsi" w:hAnsiTheme="majorHAnsi" w:cs="Arial"/>
          <w:sz w:val="20"/>
          <w:szCs w:val="20"/>
        </w:rPr>
        <w:lastRenderedPageBreak/>
        <w:t xml:space="preserve">the National Police and the DAS, for the damages caused to the alleged victim and his family. In this judgment, the trial court judge noted that the abandoned body of the alleged victim presented “dirt under the fingernails, which suggests he was a person engaged in field labor, as is reinforced by the statements given in the proceeding and the Mayor and Sectional Prosecutor attest.” </w:t>
      </w:r>
    </w:p>
    <w:p w14:paraId="183665B6"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The petitioner asserts that the National Army and the DAS filed appeals against the trial court judgment with the Council of State, for which leave was granted to appeal but no ruling has been issued on the appeal since the filing of the instant petition. Therefore, he contends there has been unwarranted delay and, consequently, a lack of reparation. </w:t>
      </w:r>
    </w:p>
    <w:p w14:paraId="79E8AF89"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For its part, the State alleges the Commission’s lack of competence </w:t>
      </w:r>
      <w:r w:rsidRPr="00F3355A">
        <w:rPr>
          <w:rFonts w:asciiTheme="majorHAnsi" w:hAnsiTheme="majorHAnsi" w:cs="Arial"/>
          <w:i/>
          <w:sz w:val="20"/>
          <w:szCs w:val="20"/>
        </w:rPr>
        <w:t xml:space="preserve">ratio </w:t>
      </w:r>
      <w:proofErr w:type="spellStart"/>
      <w:r w:rsidRPr="00F3355A">
        <w:rPr>
          <w:rFonts w:asciiTheme="majorHAnsi" w:hAnsiTheme="majorHAnsi" w:cs="Arial"/>
          <w:i/>
          <w:sz w:val="20"/>
          <w:szCs w:val="20"/>
        </w:rPr>
        <w:t>materiae</w:t>
      </w:r>
      <w:proofErr w:type="spellEnd"/>
      <w:r w:rsidRPr="00F3355A">
        <w:rPr>
          <w:rFonts w:asciiTheme="majorHAnsi" w:hAnsiTheme="majorHAnsi" w:cs="Arial"/>
          <w:i/>
          <w:sz w:val="20"/>
          <w:szCs w:val="20"/>
        </w:rPr>
        <w:t>,</w:t>
      </w:r>
      <w:r w:rsidRPr="00F3355A">
        <w:rPr>
          <w:rFonts w:asciiTheme="majorHAnsi" w:hAnsiTheme="majorHAnsi" w:cs="Arial"/>
          <w:iCs/>
          <w:sz w:val="20"/>
          <w:szCs w:val="20"/>
        </w:rPr>
        <w:t xml:space="preserve"> with respect to the American Declaration of the Rights and Duties of Man and the International Covenant on Civil and Political Rights. </w:t>
      </w:r>
    </w:p>
    <w:p w14:paraId="6EA3125A"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It argues that, in the administrative claims proceeding that is currently being heard before the Council of State, the DAS contests the petitioner’s claims, on the grounds that the facts that are the subject of the claim cannot be attributed to it. To provide a basis for this challenge, it cites a certification issued on August 9, 2000 by Major René Cadena Montenegro, commander of GAULA Group of Antioquia, which establishes that this group did not conduct operations in the sector nor did the National Army. It further argues that the National Police filed a motion for exoneration in the administrative proceeding, citing as grounds the act of a third party, because it was not members of the National Police who committed the crime, but “groups operating outside the law wearing attire of the Institution and the Army.”    </w:t>
      </w:r>
    </w:p>
    <w:p w14:paraId="01040301"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The State alleges that the exceptions to prior exhaustion of domestic remedies provided for in Articles 46.2.b and c are not applicable. With respect to the exception set forth in Article 46.2.b, it claims that the petitioner not only was able to gain access to the Colombian legal system, but that this system respected the procedural guarantees of the parties. Additionally, as for the exception set forth in Article 46.2.c, the State contended that the direct reparation action before the court of administrative claims, later appealed before the Council of State, is a suitable remedy to achieve full reparation that is supplemental to criminal and civil reparation, is still pending a final ruling.  It notes that in the context of the direct reparation proceeding, the petitioners are able to file a petition for constitutional relief via </w:t>
      </w:r>
      <w:proofErr w:type="spellStart"/>
      <w:r w:rsidRPr="00F3355A">
        <w:rPr>
          <w:rFonts w:asciiTheme="majorHAnsi" w:hAnsiTheme="majorHAnsi" w:cs="Arial"/>
          <w:i/>
          <w:iCs/>
          <w:sz w:val="20"/>
          <w:szCs w:val="20"/>
        </w:rPr>
        <w:t>tutela</w:t>
      </w:r>
      <w:proofErr w:type="spellEnd"/>
      <w:r w:rsidRPr="00F3355A">
        <w:rPr>
          <w:rFonts w:asciiTheme="majorHAnsi" w:hAnsiTheme="majorHAnsi"/>
          <w:sz w:val="20"/>
          <w:szCs w:val="20"/>
          <w:vertAlign w:val="superscript"/>
        </w:rPr>
        <w:footnoteReference w:id="6"/>
      </w:r>
      <w:r w:rsidRPr="00F3355A">
        <w:rPr>
          <w:rFonts w:asciiTheme="majorHAnsi" w:hAnsiTheme="majorHAnsi"/>
          <w:sz w:val="20"/>
          <w:szCs w:val="20"/>
        </w:rPr>
        <w:t xml:space="preserve"> to contest the ruling within a reasonable time. Lastly, it requests that the petition be declared inadmissible, inasmuch as the alleged facts do not tend to establish violations of rights. </w:t>
      </w:r>
    </w:p>
    <w:p w14:paraId="11F3FE08" w14:textId="77777777" w:rsidR="00F3355A" w:rsidRPr="00F3355A" w:rsidRDefault="00F3355A" w:rsidP="00F3355A">
      <w:pPr>
        <w:spacing w:before="120" w:after="240"/>
        <w:ind w:left="720"/>
        <w:jc w:val="both"/>
        <w:rPr>
          <w:rFonts w:asciiTheme="majorHAnsi" w:eastAsia="Cambria" w:hAnsiTheme="majorHAnsi" w:cs="Arial"/>
          <w:b/>
          <w:bCs/>
          <w:color w:val="000000"/>
          <w:sz w:val="20"/>
          <w:szCs w:val="20"/>
          <w:u w:color="000000"/>
          <w:lang w:eastAsia="es-ES"/>
        </w:rPr>
      </w:pPr>
      <w:r w:rsidRPr="00F3355A">
        <w:rPr>
          <w:rFonts w:asciiTheme="majorHAnsi" w:eastAsia="Cambria" w:hAnsiTheme="majorHAnsi" w:cs="Arial"/>
          <w:b/>
          <w:bCs/>
          <w:color w:val="000000"/>
          <w:sz w:val="20"/>
          <w:szCs w:val="20"/>
          <w:u w:color="000000"/>
          <w:lang w:eastAsia="es-ES"/>
        </w:rPr>
        <w:t xml:space="preserve">VI. </w:t>
      </w:r>
      <w:r w:rsidRPr="00F3355A">
        <w:rPr>
          <w:rFonts w:asciiTheme="majorHAnsi" w:eastAsia="Cambria" w:hAnsiTheme="majorHAnsi" w:cs="Arial"/>
          <w:b/>
          <w:bCs/>
          <w:color w:val="000000"/>
          <w:sz w:val="20"/>
          <w:szCs w:val="20"/>
          <w:u w:color="000000"/>
          <w:lang w:eastAsia="es-ES"/>
        </w:rPr>
        <w:tab/>
        <w:t xml:space="preserve">EXHAUSTION OF DOMESTIC REMEDIES AND TIMELINESS OF THE PETITION </w:t>
      </w:r>
    </w:p>
    <w:p w14:paraId="58652304"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eastAsia="es-ES"/>
        </w:rPr>
      </w:pPr>
      <w:r w:rsidRPr="00F3355A">
        <w:rPr>
          <w:rFonts w:asciiTheme="majorHAnsi" w:eastAsia="Cambria" w:hAnsiTheme="majorHAnsi" w:cs="Cambria"/>
          <w:color w:val="000000"/>
          <w:sz w:val="20"/>
          <w:szCs w:val="20"/>
          <w:u w:color="000000"/>
          <w:lang w:eastAsia="es-ES"/>
        </w:rPr>
        <w:t>The petitioner claims that there has been unwarranted delay in ruling on appeal in the administrative claims courts and that this makes the exception provided for in Article 46.2.c. applicable to the case.  Furthermore, he stresses that information about the existence and location of any investigations and the corresponding files, which may have been opened in the military criminal jurisdiction, could not be secured and, therefore, this could be a violation of Article 46.2.b. of the Convention.</w:t>
      </w:r>
      <w:r w:rsidRPr="00F3355A">
        <w:rPr>
          <w:rFonts w:asciiTheme="majorHAnsi" w:eastAsia="Cambria" w:hAnsiTheme="majorHAnsi" w:cs="Cambria"/>
          <w:color w:val="000000"/>
          <w:sz w:val="20"/>
          <w:szCs w:val="20"/>
          <w:u w:color="000000"/>
          <w:vertAlign w:val="superscript"/>
          <w:lang w:eastAsia="es-ES"/>
        </w:rPr>
        <w:footnoteReference w:id="7"/>
      </w:r>
      <w:r w:rsidRPr="00F3355A">
        <w:rPr>
          <w:rFonts w:asciiTheme="majorHAnsi" w:eastAsia="Cambria" w:hAnsiTheme="majorHAnsi" w:cs="Cambria"/>
          <w:color w:val="000000"/>
          <w:sz w:val="20"/>
          <w:szCs w:val="20"/>
          <w:u w:color="000000"/>
          <w:lang w:eastAsia="es-ES"/>
        </w:rPr>
        <w:t xml:space="preserve"> For its part, the State argues failure of exhaustion of domestic remedies inasmuch as the petitioner had access to the Colombian judicial apparatus when he secured a favorable judgment on direct reparation at the trial level, which is being heard on appeal before the Council of State.  Additionally, it contends that in the context of the direct reparation action, the petitioners are able to file a petition for constitutional relief via </w:t>
      </w:r>
      <w:proofErr w:type="spellStart"/>
      <w:r w:rsidRPr="00F3355A">
        <w:rPr>
          <w:rFonts w:asciiTheme="majorHAnsi" w:eastAsia="Cambria" w:hAnsiTheme="majorHAnsi" w:cs="Cambria"/>
          <w:i/>
          <w:iCs/>
          <w:color w:val="000000"/>
          <w:sz w:val="20"/>
          <w:szCs w:val="20"/>
          <w:u w:color="000000"/>
          <w:lang w:eastAsia="es-ES"/>
        </w:rPr>
        <w:t>tutela</w:t>
      </w:r>
      <w:proofErr w:type="spellEnd"/>
      <w:r w:rsidRPr="00F3355A">
        <w:rPr>
          <w:rFonts w:asciiTheme="majorHAnsi" w:eastAsia="Cambria" w:hAnsiTheme="majorHAnsi" w:cs="Cambria"/>
          <w:i/>
          <w:iCs/>
          <w:color w:val="000000"/>
          <w:sz w:val="20"/>
          <w:szCs w:val="20"/>
          <w:u w:color="000000"/>
          <w:lang w:eastAsia="es-ES"/>
        </w:rPr>
        <w:t xml:space="preserve"> </w:t>
      </w:r>
      <w:r w:rsidRPr="00F3355A">
        <w:rPr>
          <w:rFonts w:asciiTheme="majorHAnsi" w:eastAsia="Cambria" w:hAnsiTheme="majorHAnsi" w:cs="Cambria"/>
          <w:color w:val="000000"/>
          <w:sz w:val="20"/>
          <w:szCs w:val="20"/>
          <w:u w:color="000000"/>
          <w:lang w:eastAsia="es-ES"/>
        </w:rPr>
        <w:t>to contest the ruling within a reasonable time.</w:t>
      </w:r>
    </w:p>
    <w:p w14:paraId="3AFD38F1"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355A">
        <w:rPr>
          <w:rFonts w:asciiTheme="majorHAnsi" w:hAnsiTheme="majorHAnsi"/>
          <w:sz w:val="20"/>
          <w:szCs w:val="20"/>
        </w:rPr>
        <w:t>The Commission has repeatedly held that the military jurisdiction does not constitute an appropriate forum and therefore does not offer an adequate remedy for investigating, prosecuting, and punishing violations of the human rights enshrined in the American Convention, allegedly committed by members of the armed forces or National Police or with their collaboration or acquiescence.</w:t>
      </w:r>
      <w:r w:rsidRPr="00F3355A">
        <w:rPr>
          <w:rFonts w:asciiTheme="majorHAnsi" w:hAnsiTheme="majorHAnsi"/>
          <w:sz w:val="20"/>
          <w:szCs w:val="20"/>
          <w:vertAlign w:val="superscript"/>
        </w:rPr>
        <w:footnoteReference w:id="8"/>
      </w:r>
      <w:r w:rsidRPr="00F3355A">
        <w:rPr>
          <w:rFonts w:asciiTheme="majorHAnsi" w:hAnsiTheme="majorHAnsi"/>
          <w:sz w:val="20"/>
          <w:szCs w:val="20"/>
        </w:rPr>
        <w:t xml:space="preserve">  Based on the </w:t>
      </w:r>
      <w:r w:rsidRPr="00F3355A">
        <w:rPr>
          <w:rFonts w:asciiTheme="majorHAnsi" w:hAnsiTheme="majorHAnsi"/>
          <w:sz w:val="20"/>
          <w:szCs w:val="20"/>
        </w:rPr>
        <w:lastRenderedPageBreak/>
        <w:t xml:space="preserve">available information, the Commission notes that the investigations were transferred to the military criminal jurisdiction in 2000 and the alleged victim’s family was unable to participate in the proceeding, introduce evidence, file motions, or have information about the case file or the fate of the case. </w:t>
      </w:r>
      <w:r w:rsidRPr="00F3355A">
        <w:rPr>
          <w:rFonts w:asciiTheme="majorHAnsi" w:hAnsiTheme="majorHAnsi" w:cs="Arial"/>
          <w:sz w:val="20"/>
          <w:szCs w:val="20"/>
        </w:rPr>
        <w:t xml:space="preserve">For this reason, the IACHR understands the exception set forth in Article 46.2.b of the Convention to be applicable. </w:t>
      </w:r>
    </w:p>
    <w:p w14:paraId="1F7E47AD"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355A">
        <w:rPr>
          <w:rFonts w:asciiTheme="majorHAnsi" w:hAnsiTheme="majorHAnsi" w:cs="Arial"/>
          <w:sz w:val="20"/>
          <w:szCs w:val="20"/>
        </w:rPr>
        <w:t xml:space="preserve">The Military Criminal Investigating Magistrates of the Fourth Brigade of Medellin was the competent jurisdiction to conduct the investigation. The Commission notes that this court responded on February 25, 2005 that it was not competent to conduct the investigation, because the jurisdiction of </w:t>
      </w:r>
      <w:proofErr w:type="spellStart"/>
      <w:r w:rsidRPr="00F3355A">
        <w:rPr>
          <w:rFonts w:asciiTheme="majorHAnsi" w:hAnsiTheme="majorHAnsi" w:cs="Arial"/>
          <w:sz w:val="20"/>
          <w:szCs w:val="20"/>
        </w:rPr>
        <w:t>Yolombó</w:t>
      </w:r>
      <w:proofErr w:type="spellEnd"/>
      <w:r w:rsidRPr="00F3355A">
        <w:rPr>
          <w:rFonts w:asciiTheme="majorHAnsi" w:hAnsiTheme="majorHAnsi" w:cs="Arial"/>
          <w:sz w:val="20"/>
          <w:szCs w:val="20"/>
        </w:rPr>
        <w:t xml:space="preserve"> (the town where the death of the alleged victim took place) falls under the </w:t>
      </w:r>
      <w:proofErr w:type="spellStart"/>
      <w:r w:rsidRPr="00F3355A">
        <w:rPr>
          <w:rFonts w:asciiTheme="majorHAnsi" w:hAnsiTheme="majorHAnsi" w:cs="Arial"/>
          <w:sz w:val="20"/>
          <w:szCs w:val="20"/>
        </w:rPr>
        <w:t>Bombona</w:t>
      </w:r>
      <w:proofErr w:type="spellEnd"/>
      <w:r w:rsidRPr="00F3355A">
        <w:rPr>
          <w:rFonts w:asciiTheme="majorHAnsi" w:hAnsiTheme="majorHAnsi" w:cs="Arial"/>
          <w:sz w:val="20"/>
          <w:szCs w:val="20"/>
        </w:rPr>
        <w:t xml:space="preserve"> Infantry </w:t>
      </w:r>
      <w:proofErr w:type="gramStart"/>
      <w:r w:rsidRPr="00F3355A">
        <w:rPr>
          <w:rFonts w:asciiTheme="majorHAnsi" w:hAnsiTheme="majorHAnsi" w:cs="Arial"/>
          <w:sz w:val="20"/>
          <w:szCs w:val="20"/>
        </w:rPr>
        <w:t xml:space="preserve">Battalion, that is headquartered in Puerto </w:t>
      </w:r>
      <w:proofErr w:type="spellStart"/>
      <w:r w:rsidRPr="00F3355A">
        <w:rPr>
          <w:rFonts w:asciiTheme="majorHAnsi" w:hAnsiTheme="majorHAnsi" w:cs="Arial"/>
          <w:sz w:val="20"/>
          <w:szCs w:val="20"/>
        </w:rPr>
        <w:t>Berrío</w:t>
      </w:r>
      <w:proofErr w:type="spellEnd"/>
      <w:r w:rsidRPr="00F3355A">
        <w:rPr>
          <w:rFonts w:asciiTheme="majorHAnsi" w:hAnsiTheme="majorHAnsi" w:cs="Arial"/>
          <w:sz w:val="20"/>
          <w:szCs w:val="20"/>
        </w:rPr>
        <w:t>,</w:t>
      </w:r>
      <w:proofErr w:type="gramEnd"/>
      <w:r w:rsidRPr="00F3355A">
        <w:rPr>
          <w:rFonts w:asciiTheme="majorHAnsi" w:hAnsiTheme="majorHAnsi" w:cs="Arial"/>
          <w:sz w:val="20"/>
          <w:szCs w:val="20"/>
        </w:rPr>
        <w:t xml:space="preserve"> and it asserted that venue is where the proceeding should be instituted. </w:t>
      </w:r>
    </w:p>
    <w:p w14:paraId="4A906E52"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355A">
        <w:rPr>
          <w:rFonts w:asciiTheme="majorHAnsi" w:hAnsiTheme="majorHAnsi"/>
          <w:sz w:val="20"/>
          <w:szCs w:val="20"/>
          <w:bdr w:val="none" w:sz="0" w:space="0" w:color="auto" w:frame="1"/>
        </w:rPr>
        <w:t>Additionally, as for the direct reparation proceedings, the Commission has repeatedly held that for the purpose of assessing the admissibility of a claim of this nature,</w:t>
      </w:r>
      <w:r w:rsidRPr="00F3355A">
        <w:rPr>
          <w:rFonts w:asciiTheme="majorHAnsi" w:hAnsiTheme="majorHAnsi"/>
          <w:sz w:val="20"/>
          <w:szCs w:val="20"/>
          <w:vertAlign w:val="superscript"/>
        </w:rPr>
        <w:footnoteReference w:id="9"/>
      </w:r>
      <w:r w:rsidRPr="00F3355A">
        <w:rPr>
          <w:rFonts w:asciiTheme="majorHAnsi" w:hAnsiTheme="majorHAnsi"/>
          <w:sz w:val="20"/>
          <w:szCs w:val="20"/>
        </w:rPr>
        <w:t xml:space="preserve"> it does not constitute a suitable remedy, given that it is not adequate to provide full redress and justice to the family.</w:t>
      </w:r>
      <w:r w:rsidRPr="00F3355A">
        <w:rPr>
          <w:rFonts w:asciiTheme="majorHAnsi" w:hAnsiTheme="majorHAnsi"/>
          <w:sz w:val="20"/>
          <w:szCs w:val="20"/>
          <w:bdr w:val="none" w:sz="0" w:space="0" w:color="auto" w:frame="1"/>
        </w:rPr>
        <w:t xml:space="preserve"> Notwithstanding, the IACHR notes that the family of the alleged victim filed a motion for direct reparation with the Administrative Claims Court of Antioquia, which was granted on July 24, 2007, but after an appeal filed by the National Army and the DAS, the case has not been settled by the Council of State as of the present date. Therefore, based on the specific allegations with respect to the direct reparation proceeding, the Commission concludes that in the instant case, the exception for unwarranted delay of justice, as set forth in Article 46.2.c of the American Convention, is applicable. </w:t>
      </w:r>
    </w:p>
    <w:p w14:paraId="21E51BA7" w14:textId="7AD7066A" w:rsidR="00F3355A" w:rsidRPr="00F3355A" w:rsidRDefault="00153464"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b/>
          <w:bCs/>
          <w:sz w:val="20"/>
          <w:szCs w:val="20"/>
        </w:rPr>
      </w:pPr>
      <w:r>
        <w:rPr>
          <w:rFonts w:asciiTheme="majorHAnsi" w:hAnsiTheme="majorHAnsi"/>
          <w:sz w:val="20"/>
          <w:szCs w:val="20"/>
        </w:rPr>
        <w:t xml:space="preserve">With regard to the timeliness of the petition, the IACHR observes that </w:t>
      </w:r>
      <w:r w:rsidR="00F3355A" w:rsidRPr="00F3355A">
        <w:rPr>
          <w:rFonts w:asciiTheme="majorHAnsi" w:hAnsiTheme="majorHAnsi"/>
          <w:sz w:val="20"/>
          <w:szCs w:val="20"/>
        </w:rPr>
        <w:t>the petition was received on December 8, 2009,</w:t>
      </w:r>
      <w:r>
        <w:rPr>
          <w:rFonts w:asciiTheme="majorHAnsi" w:hAnsiTheme="majorHAnsi"/>
          <w:sz w:val="20"/>
          <w:szCs w:val="20"/>
        </w:rPr>
        <w:t xml:space="preserve"> and</w:t>
      </w:r>
      <w:r w:rsidR="00F3355A" w:rsidRPr="00F3355A">
        <w:rPr>
          <w:rFonts w:asciiTheme="majorHAnsi" w:hAnsiTheme="majorHAnsi"/>
          <w:sz w:val="20"/>
          <w:szCs w:val="20"/>
        </w:rPr>
        <w:t xml:space="preserve"> the alleged facts that gave rise to the petition occurred on August 9, 2000 and the effects of the facts that are the subject of the claim have stretched out until the present</w:t>
      </w:r>
      <w:r>
        <w:rPr>
          <w:rFonts w:asciiTheme="majorHAnsi" w:hAnsiTheme="majorHAnsi"/>
          <w:sz w:val="20"/>
          <w:szCs w:val="20"/>
        </w:rPr>
        <w:t xml:space="preserve">. Since the IACHR concludes that in the present petition the </w:t>
      </w:r>
      <w:r w:rsidRPr="00F3355A">
        <w:rPr>
          <w:rFonts w:asciiTheme="majorHAnsi" w:hAnsiTheme="majorHAnsi"/>
          <w:sz w:val="20"/>
          <w:szCs w:val="20"/>
          <w:bdr w:val="none" w:sz="0" w:space="0" w:color="auto" w:frame="1"/>
        </w:rPr>
        <w:t xml:space="preserve">exception </w:t>
      </w:r>
      <w:r>
        <w:rPr>
          <w:rFonts w:asciiTheme="majorHAnsi" w:hAnsiTheme="majorHAnsi"/>
          <w:sz w:val="20"/>
          <w:szCs w:val="20"/>
          <w:bdr w:val="none" w:sz="0" w:space="0" w:color="auto" w:frame="1"/>
        </w:rPr>
        <w:t xml:space="preserve">to the exhaustion of domestic remedies apply due to </w:t>
      </w:r>
      <w:r w:rsidRPr="00F3355A">
        <w:rPr>
          <w:rFonts w:asciiTheme="majorHAnsi" w:hAnsiTheme="majorHAnsi"/>
          <w:sz w:val="20"/>
          <w:szCs w:val="20"/>
          <w:bdr w:val="none" w:sz="0" w:space="0" w:color="auto" w:frame="1"/>
        </w:rPr>
        <w:t>unwarranted delay of justice</w:t>
      </w:r>
      <w:r>
        <w:rPr>
          <w:rFonts w:asciiTheme="majorHAnsi" w:hAnsiTheme="majorHAnsi"/>
          <w:sz w:val="20"/>
          <w:szCs w:val="20"/>
          <w:bdr w:val="none" w:sz="0" w:space="0" w:color="auto" w:frame="1"/>
        </w:rPr>
        <w:t xml:space="preserve">, </w:t>
      </w:r>
      <w:r w:rsidR="00F3355A" w:rsidRPr="00F3355A">
        <w:rPr>
          <w:rFonts w:asciiTheme="majorHAnsi" w:hAnsiTheme="majorHAnsi"/>
          <w:sz w:val="20"/>
          <w:szCs w:val="20"/>
        </w:rPr>
        <w:t>the Commission finds that the petition was filed wi</w:t>
      </w:r>
      <w:r>
        <w:rPr>
          <w:rFonts w:asciiTheme="majorHAnsi" w:hAnsiTheme="majorHAnsi"/>
          <w:sz w:val="20"/>
          <w:szCs w:val="20"/>
        </w:rPr>
        <w:t>thin a reasonable time and this</w:t>
      </w:r>
      <w:r w:rsidR="00F3355A" w:rsidRPr="00F3355A">
        <w:rPr>
          <w:rFonts w:asciiTheme="majorHAnsi" w:hAnsiTheme="majorHAnsi"/>
          <w:sz w:val="20"/>
          <w:szCs w:val="20"/>
        </w:rPr>
        <w:t xml:space="preserve"> requirement have been satisfied. </w:t>
      </w:r>
    </w:p>
    <w:p w14:paraId="6D62A3AA" w14:textId="77777777" w:rsidR="00F3355A" w:rsidRPr="00F3355A" w:rsidRDefault="00F3355A" w:rsidP="00F33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b/>
          <w:bCs/>
          <w:sz w:val="20"/>
          <w:szCs w:val="20"/>
        </w:rPr>
      </w:pPr>
      <w:r w:rsidRPr="00F3355A">
        <w:rPr>
          <w:rFonts w:asciiTheme="majorHAnsi" w:hAnsiTheme="majorHAnsi" w:cs="Arial"/>
          <w:b/>
          <w:bCs/>
          <w:sz w:val="20"/>
          <w:szCs w:val="20"/>
        </w:rPr>
        <w:t xml:space="preserve">VII. </w:t>
      </w:r>
      <w:r w:rsidRPr="00F3355A">
        <w:rPr>
          <w:rFonts w:asciiTheme="majorHAnsi" w:hAnsiTheme="majorHAnsi" w:cs="Arial"/>
          <w:b/>
          <w:bCs/>
          <w:sz w:val="20"/>
          <w:szCs w:val="20"/>
        </w:rPr>
        <w:tab/>
        <w:t xml:space="preserve">ANALYSIS OF COLORABLE CLAIM </w:t>
      </w:r>
    </w:p>
    <w:p w14:paraId="7C2DB454"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In view of the elements of fact and of law presented by the parties and the nature of the matter under examination before it, the Commission understands the allegations of the petitioner not to be manifestly groundless and warrant an examination on the merits, inasmuch as, if proven, the alleged extrajudicial execution of Mr. </w:t>
      </w:r>
      <w:proofErr w:type="spellStart"/>
      <w:r w:rsidRPr="00F3355A">
        <w:rPr>
          <w:rFonts w:asciiTheme="majorHAnsi" w:hAnsiTheme="majorHAnsi" w:cs="Arial"/>
          <w:sz w:val="20"/>
          <w:szCs w:val="20"/>
        </w:rPr>
        <w:t>Merardo</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Iván</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Vahos</w:t>
      </w:r>
      <w:proofErr w:type="spellEnd"/>
      <w:r w:rsidRPr="00F3355A">
        <w:rPr>
          <w:rFonts w:asciiTheme="majorHAnsi" w:hAnsiTheme="majorHAnsi" w:cs="Arial"/>
          <w:sz w:val="20"/>
          <w:szCs w:val="20"/>
        </w:rPr>
        <w:t xml:space="preserve"> </w:t>
      </w:r>
      <w:proofErr w:type="spellStart"/>
      <w:r w:rsidRPr="00F3355A">
        <w:rPr>
          <w:rFonts w:asciiTheme="majorHAnsi" w:hAnsiTheme="majorHAnsi" w:cs="Arial"/>
          <w:sz w:val="20"/>
          <w:szCs w:val="20"/>
        </w:rPr>
        <w:t>Arcila</w:t>
      </w:r>
      <w:proofErr w:type="spellEnd"/>
      <w:r w:rsidRPr="00F3355A">
        <w:rPr>
          <w:rFonts w:asciiTheme="majorHAnsi" w:hAnsiTheme="majorHAnsi" w:cs="Arial"/>
          <w:sz w:val="20"/>
          <w:szCs w:val="20"/>
        </w:rPr>
        <w:t xml:space="preserve"> as a result of the actions of the Rural </w:t>
      </w:r>
      <w:proofErr w:type="spellStart"/>
      <w:r w:rsidRPr="00F3355A">
        <w:rPr>
          <w:rFonts w:asciiTheme="majorHAnsi" w:hAnsiTheme="majorHAnsi" w:cs="Arial"/>
          <w:sz w:val="20"/>
          <w:szCs w:val="20"/>
        </w:rPr>
        <w:t>Gaula</w:t>
      </w:r>
      <w:proofErr w:type="spellEnd"/>
      <w:r w:rsidRPr="00F3355A">
        <w:rPr>
          <w:rFonts w:asciiTheme="majorHAnsi" w:hAnsiTheme="majorHAnsi" w:cs="Arial"/>
          <w:sz w:val="20"/>
          <w:szCs w:val="20"/>
        </w:rPr>
        <w:t xml:space="preserve"> group in the operation conducted in Antioquia, the lack of investigation and punishment of those responsible, as well as the unwarranted delay in the administrative proceeding, could tend to establish potential violations of Articles 4 (life), 5 (humane treatment), 8 (fair trial rights), and 25 (judicial protection) of the American Convention in connection with Article 1.1 thereof, to the detriment of the alleged victim and his family. </w:t>
      </w:r>
    </w:p>
    <w:p w14:paraId="006BF939"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As for the allegations of the violation of Articles 7 (personal liberty), and 19 (rights of the child) of the American Convention, the Commission notes that the petitioner does not provide arguments or sufficient evidence to be able to identify or determine,  </w:t>
      </w:r>
      <w:r w:rsidRPr="00F3355A">
        <w:rPr>
          <w:rFonts w:asciiTheme="majorHAnsi" w:hAnsiTheme="majorHAnsi" w:cs="Arial"/>
          <w:i/>
          <w:sz w:val="20"/>
          <w:szCs w:val="20"/>
        </w:rPr>
        <w:t>prima facie</w:t>
      </w:r>
      <w:r w:rsidRPr="00F3355A">
        <w:rPr>
          <w:rFonts w:asciiTheme="majorHAnsi" w:hAnsiTheme="majorHAnsi" w:cs="Arial"/>
          <w:sz w:val="20"/>
          <w:szCs w:val="20"/>
        </w:rPr>
        <w:t xml:space="preserve">, the violation of these provisions. </w:t>
      </w:r>
    </w:p>
    <w:p w14:paraId="4944B92D" w14:textId="77777777" w:rsidR="00F3355A" w:rsidRPr="00F3355A" w:rsidRDefault="00F3355A" w:rsidP="00F335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 xml:space="preserve">With respect to the violations of the American Declaration, the Commission has previously established that, once the American Convention comes into force on a State, the Convention and not the Declaration becomes the primary source of applicable law for the Commission, provided that the petition involves the alleged violation of identical rights in both instruments and does not involve a situation of continuous violation.  </w:t>
      </w:r>
    </w:p>
    <w:p w14:paraId="6C80D966" w14:textId="77777777" w:rsidR="00F3355A" w:rsidRDefault="00F3355A" w:rsidP="00F3355A">
      <w:pPr>
        <w:numPr>
          <w:ilvl w:val="0"/>
          <w:numId w:val="106"/>
        </w:numPr>
        <w:spacing w:after="240"/>
        <w:contextualSpacing/>
        <w:jc w:val="both"/>
        <w:rPr>
          <w:rFonts w:ascii="Cambria" w:eastAsia="Cambria" w:hAnsi="Cambria" w:cs="Calibri"/>
          <w:color w:val="000000"/>
          <w:sz w:val="20"/>
          <w:szCs w:val="20"/>
          <w:u w:color="000000"/>
          <w:lang w:eastAsia="es-ES"/>
        </w:rPr>
      </w:pPr>
      <w:r w:rsidRPr="00F3355A">
        <w:rPr>
          <w:rFonts w:ascii="Cambria" w:eastAsia="Cambria" w:hAnsi="Cambria" w:cs="Calibri"/>
          <w:color w:val="000000"/>
          <w:sz w:val="20"/>
          <w:szCs w:val="20"/>
          <w:u w:color="000000"/>
          <w:lang w:eastAsia="es-ES"/>
        </w:rPr>
        <w:t xml:space="preserve">Lastly, in relation to the International Covenant on Civil and Political Rights, the Commission lacks jurisdiction to establish violations of the provisions of said treaty, without prejudice to being able to draw </w:t>
      </w:r>
      <w:r w:rsidRPr="00F3355A">
        <w:rPr>
          <w:rFonts w:ascii="Cambria" w:eastAsia="Cambria" w:hAnsi="Cambria" w:cs="Calibri"/>
          <w:color w:val="000000"/>
          <w:sz w:val="20"/>
          <w:szCs w:val="20"/>
          <w:u w:color="000000"/>
          <w:lang w:eastAsia="es-ES"/>
        </w:rPr>
        <w:lastRenderedPageBreak/>
        <w:t xml:space="preserve">from it in its interpretation of the provisions of the American Convention at the merits stage of the instant case, as provided for under Article 29 of the Convention.  </w:t>
      </w:r>
    </w:p>
    <w:p w14:paraId="277E7DCF" w14:textId="77777777" w:rsidR="00461FEA" w:rsidRPr="00F3355A" w:rsidRDefault="00461FEA" w:rsidP="00461FEA">
      <w:pPr>
        <w:spacing w:after="240"/>
        <w:ind w:left="720"/>
        <w:contextualSpacing/>
        <w:jc w:val="both"/>
        <w:rPr>
          <w:rFonts w:ascii="Cambria" w:eastAsia="Cambria" w:hAnsi="Cambria" w:cs="Calibri"/>
          <w:color w:val="000000"/>
          <w:sz w:val="20"/>
          <w:szCs w:val="20"/>
          <w:u w:color="000000"/>
          <w:lang w:eastAsia="es-ES"/>
        </w:rPr>
      </w:pPr>
    </w:p>
    <w:p w14:paraId="2621127F" w14:textId="77777777" w:rsidR="00F3355A" w:rsidRPr="00F3355A" w:rsidRDefault="00F3355A" w:rsidP="00F33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b/>
          <w:bCs/>
          <w:sz w:val="20"/>
          <w:szCs w:val="20"/>
        </w:rPr>
      </w:pPr>
      <w:r w:rsidRPr="00F3355A">
        <w:rPr>
          <w:rFonts w:asciiTheme="majorHAnsi" w:hAnsiTheme="majorHAnsi" w:cs="Arial"/>
          <w:b/>
          <w:bCs/>
          <w:sz w:val="20"/>
          <w:szCs w:val="20"/>
        </w:rPr>
        <w:t xml:space="preserve">VIII. </w:t>
      </w:r>
      <w:r w:rsidRPr="00F3355A">
        <w:rPr>
          <w:rFonts w:asciiTheme="majorHAnsi" w:hAnsiTheme="majorHAnsi" w:cs="Arial"/>
          <w:b/>
          <w:bCs/>
          <w:sz w:val="20"/>
          <w:szCs w:val="20"/>
        </w:rPr>
        <w:tab/>
        <w:t>DECISION</w:t>
      </w:r>
    </w:p>
    <w:p w14:paraId="5DCF501A" w14:textId="77777777" w:rsidR="00F3355A" w:rsidRPr="00F3355A" w:rsidRDefault="00F3355A" w:rsidP="00F3355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F3355A">
        <w:rPr>
          <w:rFonts w:asciiTheme="majorHAnsi" w:hAnsiTheme="majorHAnsi" w:cs="Arial"/>
          <w:sz w:val="20"/>
          <w:szCs w:val="20"/>
        </w:rPr>
        <w:t>To declare admissible this petition in relation to Articles 4, 5, 8, and 25 of the American Convention in connection with Articles 1.1 and 2 thereof, to the detriment of the alleged victim and his family.</w:t>
      </w:r>
      <w:r w:rsidRPr="00F3355A">
        <w:rPr>
          <w:rFonts w:asciiTheme="majorHAnsi" w:hAnsiTheme="majorHAnsi" w:cs="Arial"/>
          <w:bCs/>
          <w:sz w:val="20"/>
          <w:szCs w:val="20"/>
        </w:rPr>
        <w:t xml:space="preserve"> </w:t>
      </w:r>
    </w:p>
    <w:p w14:paraId="7540D799" w14:textId="77777777" w:rsidR="00F3355A" w:rsidRPr="00F3355A" w:rsidRDefault="00F3355A" w:rsidP="00F3355A">
      <w:pPr>
        <w:numPr>
          <w:ilvl w:val="0"/>
          <w:numId w:val="105"/>
        </w:numPr>
        <w:spacing w:after="240"/>
        <w:jc w:val="both"/>
        <w:rPr>
          <w:rFonts w:asciiTheme="majorHAnsi" w:hAnsiTheme="majorHAnsi" w:cs="Arial"/>
          <w:sz w:val="20"/>
          <w:szCs w:val="20"/>
          <w:u w:color="000000"/>
        </w:rPr>
      </w:pPr>
      <w:r w:rsidRPr="00F3355A">
        <w:rPr>
          <w:rFonts w:asciiTheme="majorHAnsi" w:hAnsiTheme="majorHAnsi" w:cs="Arial"/>
          <w:sz w:val="20"/>
          <w:szCs w:val="20"/>
          <w:u w:color="000000"/>
        </w:rPr>
        <w:t xml:space="preserve">To declare inadmissible this petition in relation to Articles </w:t>
      </w:r>
      <w:r w:rsidRPr="00F3355A">
        <w:rPr>
          <w:rFonts w:asciiTheme="majorHAnsi" w:eastAsia="Cambria" w:hAnsiTheme="majorHAnsi" w:cs="Arial"/>
          <w:sz w:val="20"/>
          <w:szCs w:val="20"/>
          <w:u w:color="000000"/>
          <w:lang w:eastAsia="es-ES"/>
        </w:rPr>
        <w:t>7, 11 and 19 of the Convention and Article 14 of the International Covenant on Civil and Political Rights.</w:t>
      </w:r>
    </w:p>
    <w:p w14:paraId="3A0D0918" w14:textId="63C41F7B" w:rsidR="00F621C3" w:rsidRPr="000B6B7A" w:rsidRDefault="00F3355A" w:rsidP="00F3355A">
      <w:pPr>
        <w:spacing w:before="240" w:after="240"/>
        <w:ind w:firstLine="720"/>
        <w:jc w:val="both"/>
        <w:rPr>
          <w:rFonts w:ascii="Cambria" w:hAnsi="Cambria" w:cs="Calibri"/>
          <w:sz w:val="20"/>
          <w:szCs w:val="20"/>
        </w:rPr>
      </w:pPr>
      <w:r w:rsidRPr="00F3355A">
        <w:rPr>
          <w:rFonts w:asciiTheme="majorHAnsi" w:hAnsiTheme="majorHAnsi" w:cs="Arial"/>
          <w:sz w:val="20"/>
          <w:szCs w:val="20"/>
        </w:rPr>
        <w:t xml:space="preserve">To notify the parties of this decision; to continue with the analysis of the merits; and to publish this decision and include it in its Annual Report to the General Assembly of the Organization of American States. </w:t>
      </w:r>
    </w:p>
    <w:p w14:paraId="2A68C149" w14:textId="2C66AE9F" w:rsidR="00E31EC2" w:rsidRDefault="00E31EC2" w:rsidP="00E31EC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E31EC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E709" w14:textId="77777777" w:rsidR="00995E3F" w:rsidRDefault="00995E3F" w:rsidP="00036A8A">
      <w:r>
        <w:separator/>
      </w:r>
    </w:p>
  </w:endnote>
  <w:endnote w:type="continuationSeparator" w:id="0">
    <w:p w14:paraId="391D55AB" w14:textId="77777777" w:rsidR="00995E3F" w:rsidRDefault="00995E3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8866" w14:textId="77777777" w:rsidR="00DB031E" w:rsidRDefault="00DB0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4DCB0C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B031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4FC5" w14:textId="77777777" w:rsidR="00995E3F" w:rsidRPr="00036A8A" w:rsidRDefault="00995E3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EF7CC44" w14:textId="77777777" w:rsidR="00995E3F" w:rsidRPr="00036A8A" w:rsidRDefault="00995E3F" w:rsidP="00036A8A">
      <w:pPr>
        <w:rPr>
          <w:rFonts w:asciiTheme="majorHAnsi" w:hAnsiTheme="majorHAnsi"/>
          <w:sz w:val="16"/>
          <w:szCs w:val="16"/>
        </w:rPr>
      </w:pPr>
      <w:r w:rsidRPr="00036A8A">
        <w:rPr>
          <w:rFonts w:asciiTheme="majorHAnsi" w:hAnsiTheme="majorHAnsi"/>
          <w:sz w:val="16"/>
          <w:szCs w:val="16"/>
        </w:rPr>
        <w:separator/>
      </w:r>
    </w:p>
    <w:p w14:paraId="53641409" w14:textId="77777777" w:rsidR="00995E3F" w:rsidRPr="00036A8A" w:rsidRDefault="00995E3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2B04404" w14:textId="77777777" w:rsidR="00995E3F" w:rsidRPr="0093441A" w:rsidRDefault="00995E3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5425A7" w14:textId="77777777" w:rsidR="00F3355A" w:rsidRPr="00940875" w:rsidRDefault="00F3355A" w:rsidP="00F3355A">
      <w:pPr>
        <w:pStyle w:val="FootnoteText"/>
        <w:ind w:firstLine="720"/>
        <w:jc w:val="both"/>
        <w:rPr>
          <w:rFonts w:asciiTheme="majorHAnsi" w:hAnsiTheme="majorHAnsi"/>
          <w:sz w:val="12"/>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Hereinafter “the American Convention</w:t>
      </w:r>
      <w:r w:rsidRPr="00940875">
        <w:rPr>
          <w:rFonts w:asciiTheme="majorHAnsi" w:hAnsiTheme="majorHAnsi"/>
          <w:sz w:val="16"/>
          <w:szCs w:val="16"/>
        </w:rPr>
        <w:t>” o</w:t>
      </w:r>
      <w:r>
        <w:rPr>
          <w:rFonts w:asciiTheme="majorHAnsi" w:hAnsiTheme="majorHAnsi"/>
          <w:sz w:val="16"/>
          <w:szCs w:val="16"/>
        </w:rPr>
        <w:t>r “the Convention.”</w:t>
      </w:r>
    </w:p>
  </w:footnote>
  <w:footnote w:id="3">
    <w:p w14:paraId="11354539" w14:textId="77777777" w:rsidR="00F3355A" w:rsidRPr="00940875" w:rsidRDefault="00F3355A" w:rsidP="00F3355A">
      <w:pPr>
        <w:pStyle w:val="FootnoteText"/>
        <w:ind w:firstLine="720"/>
      </w:pPr>
      <w:r w:rsidRPr="00940875">
        <w:rPr>
          <w:rStyle w:val="FootnoteReference"/>
          <w:rFonts w:asciiTheme="majorHAnsi" w:hAnsiTheme="majorHAnsi"/>
          <w:sz w:val="16"/>
        </w:rPr>
        <w:footnoteRef/>
      </w:r>
      <w:r w:rsidRPr="00940875">
        <w:rPr>
          <w:rFonts w:asciiTheme="majorHAnsi" w:hAnsiTheme="majorHAnsi"/>
          <w:sz w:val="16"/>
        </w:rPr>
        <w:t xml:space="preserve"> </w:t>
      </w:r>
      <w:r>
        <w:rPr>
          <w:rFonts w:asciiTheme="majorHAnsi" w:hAnsiTheme="majorHAnsi"/>
          <w:sz w:val="16"/>
        </w:rPr>
        <w:t>Hereinafter “American Declaration” or “Declaration.”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23BF1C21" w14:textId="77777777" w:rsidR="00F3355A" w:rsidRPr="00940875" w:rsidRDefault="00F3355A" w:rsidP="00F3355A">
      <w:pPr>
        <w:pStyle w:val="FootnoteText"/>
        <w:spacing w:before="120"/>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It is noted that the </w:t>
      </w:r>
      <w:proofErr w:type="spellStart"/>
      <w:r>
        <w:rPr>
          <w:rFonts w:asciiTheme="majorHAnsi" w:hAnsiTheme="majorHAnsi"/>
          <w:sz w:val="16"/>
          <w:szCs w:val="16"/>
        </w:rPr>
        <w:t>Gaula</w:t>
      </w:r>
      <w:proofErr w:type="spellEnd"/>
      <w:r>
        <w:rPr>
          <w:rFonts w:asciiTheme="majorHAnsi" w:hAnsiTheme="majorHAnsi"/>
          <w:sz w:val="16"/>
          <w:szCs w:val="16"/>
        </w:rPr>
        <w:t xml:space="preserve"> Group was made up of agents of the Administrative Department of Security (hereinafter “DAS”), Police and National Army. </w:t>
      </w:r>
    </w:p>
  </w:footnote>
  <w:footnote w:id="6">
    <w:p w14:paraId="75A6F667" w14:textId="77777777" w:rsidR="00F3355A" w:rsidRPr="00940875" w:rsidRDefault="00F3355A" w:rsidP="00F3355A">
      <w:pPr>
        <w:pStyle w:val="FootnoteText"/>
        <w:ind w:firstLine="720"/>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Enshrined in Article </w:t>
      </w:r>
      <w:r w:rsidRPr="00940875">
        <w:rPr>
          <w:rFonts w:asciiTheme="majorHAnsi" w:hAnsiTheme="majorHAnsi"/>
          <w:sz w:val="16"/>
          <w:szCs w:val="16"/>
        </w:rPr>
        <w:t xml:space="preserve">29 </w:t>
      </w:r>
      <w:r>
        <w:rPr>
          <w:rFonts w:asciiTheme="majorHAnsi" w:hAnsiTheme="majorHAnsi"/>
          <w:sz w:val="16"/>
          <w:szCs w:val="16"/>
        </w:rPr>
        <w:t xml:space="preserve">of the Political Constitution of </w:t>
      </w:r>
      <w:r w:rsidRPr="00940875">
        <w:rPr>
          <w:rFonts w:asciiTheme="majorHAnsi" w:hAnsiTheme="majorHAnsi"/>
          <w:sz w:val="16"/>
          <w:szCs w:val="16"/>
        </w:rPr>
        <w:t>Colombia.</w:t>
      </w:r>
    </w:p>
  </w:footnote>
  <w:footnote w:id="7">
    <w:p w14:paraId="2147B426" w14:textId="77777777" w:rsidR="00F3355A" w:rsidRPr="00940875" w:rsidRDefault="00F3355A" w:rsidP="00F3355A">
      <w:pPr>
        <w:pStyle w:val="FootnoteText"/>
        <w:ind w:firstLine="720"/>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Pursuant to pg.</w:t>
      </w:r>
      <w:r w:rsidRPr="00940875">
        <w:rPr>
          <w:rFonts w:asciiTheme="majorHAnsi" w:hAnsiTheme="majorHAnsi"/>
          <w:sz w:val="16"/>
          <w:szCs w:val="16"/>
        </w:rPr>
        <w:t xml:space="preserve"> 264 </w:t>
      </w:r>
      <w:r>
        <w:rPr>
          <w:rFonts w:asciiTheme="majorHAnsi" w:hAnsiTheme="majorHAnsi"/>
          <w:sz w:val="16"/>
          <w:szCs w:val="16"/>
        </w:rPr>
        <w:t xml:space="preserve">of case file </w:t>
      </w:r>
      <w:r w:rsidRPr="00940875">
        <w:rPr>
          <w:rFonts w:asciiTheme="majorHAnsi" w:hAnsiTheme="majorHAnsi"/>
          <w:sz w:val="16"/>
          <w:szCs w:val="16"/>
        </w:rPr>
        <w:t>05-001-23-31-000-2001-2377.</w:t>
      </w:r>
    </w:p>
  </w:footnote>
  <w:footnote w:id="8">
    <w:p w14:paraId="56D6CA7A" w14:textId="77777777" w:rsidR="00F3355A" w:rsidRPr="00940875" w:rsidRDefault="00F3355A" w:rsidP="00F3355A">
      <w:pPr>
        <w:pStyle w:val="FootnoteText"/>
      </w:pPr>
      <w:r w:rsidRPr="00940875">
        <w:rPr>
          <w:rStyle w:val="FootnoteReference"/>
        </w:rPr>
        <w:footnoteRef/>
      </w:r>
      <w:r w:rsidRPr="00940875">
        <w:t xml:space="preserve"> </w:t>
      </w:r>
      <w:r>
        <w:rPr>
          <w:rFonts w:asciiTheme="majorHAnsi" w:hAnsiTheme="majorHAnsi"/>
          <w:sz w:val="16"/>
          <w:szCs w:val="16"/>
        </w:rPr>
        <w:t>IACHR, Report</w:t>
      </w:r>
      <w:r w:rsidRPr="00071B7E">
        <w:rPr>
          <w:rFonts w:asciiTheme="majorHAnsi" w:hAnsiTheme="majorHAnsi"/>
          <w:sz w:val="16"/>
          <w:szCs w:val="16"/>
        </w:rPr>
        <w:t xml:space="preserve"> No. 107/17. Peti</w:t>
      </w:r>
      <w:r>
        <w:rPr>
          <w:rFonts w:asciiTheme="majorHAnsi" w:hAnsiTheme="majorHAnsi"/>
          <w:sz w:val="16"/>
          <w:szCs w:val="16"/>
        </w:rPr>
        <w:t>tion</w:t>
      </w:r>
      <w:r w:rsidRPr="00071B7E">
        <w:rPr>
          <w:rFonts w:asciiTheme="majorHAnsi" w:hAnsiTheme="majorHAnsi"/>
          <w:sz w:val="16"/>
          <w:szCs w:val="16"/>
        </w:rPr>
        <w:t xml:space="preserve"> 535-07. Admis</w:t>
      </w:r>
      <w:r>
        <w:rPr>
          <w:rFonts w:asciiTheme="majorHAnsi" w:hAnsiTheme="majorHAnsi"/>
          <w:sz w:val="16"/>
          <w:szCs w:val="16"/>
        </w:rPr>
        <w:t>sibility</w:t>
      </w:r>
      <w:r w:rsidRPr="00071B7E">
        <w:rPr>
          <w:rFonts w:asciiTheme="majorHAnsi" w:hAnsiTheme="majorHAnsi"/>
          <w:sz w:val="16"/>
          <w:szCs w:val="16"/>
        </w:rPr>
        <w:t xml:space="preserve">. </w:t>
      </w:r>
      <w:r w:rsidRPr="00461FEA">
        <w:rPr>
          <w:rFonts w:asciiTheme="majorHAnsi" w:hAnsiTheme="majorHAnsi"/>
          <w:sz w:val="16"/>
          <w:szCs w:val="16"/>
          <w:lang w:val="es-US"/>
        </w:rPr>
        <w:t xml:space="preserve">Vitelio </w:t>
      </w:r>
      <w:proofErr w:type="spellStart"/>
      <w:r w:rsidRPr="00461FEA">
        <w:rPr>
          <w:rFonts w:asciiTheme="majorHAnsi" w:hAnsiTheme="majorHAnsi"/>
          <w:sz w:val="16"/>
          <w:szCs w:val="16"/>
          <w:lang w:val="es-US"/>
        </w:rPr>
        <w:t>Capera</w:t>
      </w:r>
      <w:proofErr w:type="spellEnd"/>
      <w:r w:rsidRPr="00461FEA">
        <w:rPr>
          <w:rFonts w:asciiTheme="majorHAnsi" w:hAnsiTheme="majorHAnsi"/>
          <w:sz w:val="16"/>
          <w:szCs w:val="16"/>
          <w:lang w:val="es-US"/>
        </w:rPr>
        <w:t xml:space="preserve"> Cruz. Colombia. </w:t>
      </w:r>
      <w:proofErr w:type="spellStart"/>
      <w:r w:rsidRPr="00461FEA">
        <w:rPr>
          <w:rFonts w:asciiTheme="majorHAnsi" w:hAnsiTheme="majorHAnsi"/>
          <w:sz w:val="16"/>
          <w:szCs w:val="16"/>
          <w:lang w:val="es-US"/>
        </w:rPr>
        <w:t>September</w:t>
      </w:r>
      <w:proofErr w:type="spellEnd"/>
      <w:r w:rsidRPr="00461FEA">
        <w:rPr>
          <w:rFonts w:asciiTheme="majorHAnsi" w:hAnsiTheme="majorHAnsi"/>
          <w:sz w:val="16"/>
          <w:szCs w:val="16"/>
          <w:lang w:val="es-US"/>
        </w:rPr>
        <w:t xml:space="preserve"> 7, 2017, para. </w:t>
      </w:r>
      <w:r w:rsidRPr="00071B7E">
        <w:rPr>
          <w:rFonts w:asciiTheme="majorHAnsi" w:hAnsiTheme="majorHAnsi"/>
          <w:sz w:val="16"/>
          <w:szCs w:val="16"/>
        </w:rPr>
        <w:t>8</w:t>
      </w:r>
      <w:r w:rsidRPr="00940875">
        <w:t>.</w:t>
      </w:r>
    </w:p>
  </w:footnote>
  <w:footnote w:id="9">
    <w:p w14:paraId="09229EC3" w14:textId="77777777" w:rsidR="00F3355A" w:rsidRPr="00940875" w:rsidRDefault="00F3355A" w:rsidP="00F3355A">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IACHR, Report </w:t>
      </w:r>
      <w:r w:rsidRPr="00940875">
        <w:rPr>
          <w:rFonts w:asciiTheme="majorHAnsi" w:hAnsiTheme="majorHAnsi"/>
          <w:sz w:val="16"/>
          <w:szCs w:val="16"/>
        </w:rPr>
        <w:t>N</w:t>
      </w:r>
      <w:r>
        <w:rPr>
          <w:rFonts w:asciiTheme="majorHAnsi" w:hAnsiTheme="majorHAnsi"/>
          <w:sz w:val="16"/>
          <w:szCs w:val="16"/>
        </w:rPr>
        <w:t>o.</w:t>
      </w:r>
      <w:r w:rsidRPr="00940875">
        <w:rPr>
          <w:rFonts w:asciiTheme="majorHAnsi" w:hAnsiTheme="majorHAnsi"/>
          <w:sz w:val="16"/>
          <w:szCs w:val="16"/>
        </w:rPr>
        <w:t xml:space="preserve"> 72/16. Peti</w:t>
      </w:r>
      <w:r>
        <w:rPr>
          <w:rFonts w:asciiTheme="majorHAnsi" w:hAnsiTheme="majorHAnsi"/>
          <w:sz w:val="16"/>
          <w:szCs w:val="16"/>
        </w:rPr>
        <w:t>tion</w:t>
      </w:r>
      <w:r w:rsidRPr="00940875">
        <w:rPr>
          <w:rFonts w:asciiTheme="majorHAnsi" w:hAnsiTheme="majorHAnsi"/>
          <w:sz w:val="16"/>
          <w:szCs w:val="16"/>
        </w:rPr>
        <w:t xml:space="preserve"> 694-06. Admis</w:t>
      </w:r>
      <w:r>
        <w:rPr>
          <w:rFonts w:asciiTheme="majorHAnsi" w:hAnsiTheme="majorHAnsi"/>
          <w:sz w:val="16"/>
          <w:szCs w:val="16"/>
        </w:rPr>
        <w:t>sibility</w:t>
      </w:r>
      <w:r w:rsidRPr="00940875">
        <w:rPr>
          <w:rFonts w:asciiTheme="majorHAnsi" w:hAnsiTheme="majorHAnsi"/>
          <w:sz w:val="16"/>
          <w:szCs w:val="16"/>
        </w:rPr>
        <w:t xml:space="preserve">. </w:t>
      </w:r>
      <w:proofErr w:type="spellStart"/>
      <w:r w:rsidRPr="00940875">
        <w:rPr>
          <w:rFonts w:asciiTheme="majorHAnsi" w:hAnsiTheme="majorHAnsi"/>
          <w:sz w:val="16"/>
          <w:szCs w:val="16"/>
        </w:rPr>
        <w:t>Onofre</w:t>
      </w:r>
      <w:proofErr w:type="spellEnd"/>
      <w:r w:rsidRPr="00940875">
        <w:rPr>
          <w:rFonts w:asciiTheme="majorHAnsi" w:hAnsiTheme="majorHAnsi"/>
          <w:sz w:val="16"/>
          <w:szCs w:val="16"/>
        </w:rPr>
        <w:t xml:space="preserve"> Antonio de La Hoz Montero </w:t>
      </w:r>
      <w:r>
        <w:rPr>
          <w:rFonts w:asciiTheme="majorHAnsi" w:hAnsiTheme="majorHAnsi"/>
          <w:sz w:val="16"/>
          <w:szCs w:val="16"/>
        </w:rPr>
        <w:t>and Family</w:t>
      </w:r>
      <w:r w:rsidRPr="00940875">
        <w:rPr>
          <w:rFonts w:asciiTheme="majorHAnsi" w:hAnsiTheme="majorHAnsi"/>
          <w:sz w:val="16"/>
          <w:szCs w:val="16"/>
        </w:rPr>
        <w:t xml:space="preserve">. Colombia. </w:t>
      </w:r>
      <w:r>
        <w:rPr>
          <w:rFonts w:asciiTheme="majorHAnsi" w:hAnsiTheme="majorHAnsi"/>
          <w:sz w:val="16"/>
          <w:szCs w:val="16"/>
        </w:rPr>
        <w:t xml:space="preserve">December </w:t>
      </w:r>
      <w:r w:rsidRPr="00940875">
        <w:rPr>
          <w:rFonts w:asciiTheme="majorHAnsi" w:hAnsiTheme="majorHAnsi"/>
          <w:sz w:val="16"/>
          <w:szCs w:val="16"/>
        </w:rPr>
        <w:t>6</w:t>
      </w:r>
      <w:r>
        <w:rPr>
          <w:rFonts w:asciiTheme="majorHAnsi" w:hAnsiTheme="majorHAnsi"/>
          <w:sz w:val="16"/>
          <w:szCs w:val="16"/>
        </w:rPr>
        <w:t>,</w:t>
      </w:r>
      <w:r w:rsidRPr="00940875">
        <w:rPr>
          <w:rFonts w:asciiTheme="majorHAnsi" w:hAnsiTheme="majorHAnsi"/>
          <w:sz w:val="16"/>
          <w:szCs w:val="16"/>
        </w:rPr>
        <w:t xml:space="preserve"> 2016, p</w:t>
      </w:r>
      <w:r>
        <w:rPr>
          <w:rFonts w:asciiTheme="majorHAnsi" w:hAnsiTheme="majorHAnsi"/>
          <w:sz w:val="16"/>
          <w:szCs w:val="16"/>
        </w:rPr>
        <w:t>ara</w:t>
      </w:r>
      <w:r w:rsidRPr="00940875">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95E3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E46B" w14:textId="77777777" w:rsidR="00DB031E" w:rsidRDefault="00DB0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323B25"/>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0A12"/>
    <w:rsid w:val="00022CF5"/>
    <w:rsid w:val="00036A8A"/>
    <w:rsid w:val="00040C3A"/>
    <w:rsid w:val="000639C0"/>
    <w:rsid w:val="00070F3A"/>
    <w:rsid w:val="000716C5"/>
    <w:rsid w:val="00075E23"/>
    <w:rsid w:val="00092F32"/>
    <w:rsid w:val="000932DD"/>
    <w:rsid w:val="0009344A"/>
    <w:rsid w:val="000A575F"/>
    <w:rsid w:val="000C4365"/>
    <w:rsid w:val="000D10DB"/>
    <w:rsid w:val="00122EEB"/>
    <w:rsid w:val="00124116"/>
    <w:rsid w:val="0013104F"/>
    <w:rsid w:val="00137EBA"/>
    <w:rsid w:val="00145EDC"/>
    <w:rsid w:val="00153084"/>
    <w:rsid w:val="00153464"/>
    <w:rsid w:val="00167A34"/>
    <w:rsid w:val="001714B4"/>
    <w:rsid w:val="0018037F"/>
    <w:rsid w:val="001A5F27"/>
    <w:rsid w:val="001A65E4"/>
    <w:rsid w:val="001A7870"/>
    <w:rsid w:val="001C1B41"/>
    <w:rsid w:val="001E366B"/>
    <w:rsid w:val="001F1902"/>
    <w:rsid w:val="00210E0E"/>
    <w:rsid w:val="00210F4B"/>
    <w:rsid w:val="00212DC2"/>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60E3"/>
    <w:rsid w:val="00321AFD"/>
    <w:rsid w:val="00322450"/>
    <w:rsid w:val="003246B5"/>
    <w:rsid w:val="0033169F"/>
    <w:rsid w:val="003414AC"/>
    <w:rsid w:val="00356185"/>
    <w:rsid w:val="00360380"/>
    <w:rsid w:val="003771A3"/>
    <w:rsid w:val="00386CF0"/>
    <w:rsid w:val="003A1F85"/>
    <w:rsid w:val="003A4348"/>
    <w:rsid w:val="003C32BC"/>
    <w:rsid w:val="003E3E03"/>
    <w:rsid w:val="003F1BBF"/>
    <w:rsid w:val="004162B1"/>
    <w:rsid w:val="004165C2"/>
    <w:rsid w:val="00450A4A"/>
    <w:rsid w:val="00461FE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B7054"/>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95E3F"/>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239D"/>
    <w:rsid w:val="00DA7B5F"/>
    <w:rsid w:val="00DB031E"/>
    <w:rsid w:val="00DF078B"/>
    <w:rsid w:val="00DF350D"/>
    <w:rsid w:val="00E227C1"/>
    <w:rsid w:val="00E31EC2"/>
    <w:rsid w:val="00E43157"/>
    <w:rsid w:val="00E47F3D"/>
    <w:rsid w:val="00E533FF"/>
    <w:rsid w:val="00E709B3"/>
    <w:rsid w:val="00E7588C"/>
    <w:rsid w:val="00E850B6"/>
    <w:rsid w:val="00E8789F"/>
    <w:rsid w:val="00E97B71"/>
    <w:rsid w:val="00EB454D"/>
    <w:rsid w:val="00ED0D1B"/>
    <w:rsid w:val="00EE3522"/>
    <w:rsid w:val="00EF061D"/>
    <w:rsid w:val="00EF619B"/>
    <w:rsid w:val="00F00B55"/>
    <w:rsid w:val="00F1380F"/>
    <w:rsid w:val="00F14F0E"/>
    <w:rsid w:val="00F15A3B"/>
    <w:rsid w:val="00F24C29"/>
    <w:rsid w:val="00F253CC"/>
    <w:rsid w:val="00F3355A"/>
    <w:rsid w:val="00F42B71"/>
    <w:rsid w:val="00F56BA5"/>
    <w:rsid w:val="00F621C3"/>
    <w:rsid w:val="00F644E6"/>
    <w:rsid w:val="00F76BB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ECF2A5BFBC43EB87B8E8ADA78CA1ED"/>
        <w:category>
          <w:name w:val="General"/>
          <w:gallery w:val="placeholder"/>
        </w:category>
        <w:types>
          <w:type w:val="bbPlcHdr"/>
        </w:types>
        <w:behaviors>
          <w:behavior w:val="content"/>
        </w:behaviors>
        <w:guid w:val="{BB4A12B9-C3E2-44CA-B48A-D98E1F3EF204}"/>
      </w:docPartPr>
      <w:docPartBody>
        <w:p w:rsidR="006C0655" w:rsidRDefault="00FD473E" w:rsidP="00FD473E">
          <w:pPr>
            <w:pStyle w:val="CAECF2A5BFBC43EB87B8E8ADA78CA1E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D0E4A"/>
    <w:rsid w:val="00171236"/>
    <w:rsid w:val="00253E32"/>
    <w:rsid w:val="004108B1"/>
    <w:rsid w:val="006C0655"/>
    <w:rsid w:val="00A15A8B"/>
    <w:rsid w:val="00AB44F1"/>
    <w:rsid w:val="00E715BD"/>
    <w:rsid w:val="00EA0868"/>
    <w:rsid w:val="00FA0B7D"/>
    <w:rsid w:val="00FD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73E"/>
    <w:rPr>
      <w:color w:val="808080"/>
    </w:rPr>
  </w:style>
  <w:style w:type="paragraph" w:customStyle="1" w:styleId="4DBB5F3FC358F64B9E5EFB773263C7D2">
    <w:name w:val="4DBB5F3FC358F64B9E5EFB773263C7D2"/>
    <w:rsid w:val="00AB44F1"/>
  </w:style>
  <w:style w:type="paragraph" w:customStyle="1" w:styleId="880E8E43C4A7426490142807CD34417F">
    <w:name w:val="880E8E43C4A7426490142807CD34417F"/>
    <w:rsid w:val="00FD473E"/>
    <w:pPr>
      <w:spacing w:after="160" w:line="259" w:lineRule="auto"/>
    </w:pPr>
    <w:rPr>
      <w:sz w:val="22"/>
      <w:szCs w:val="22"/>
    </w:rPr>
  </w:style>
  <w:style w:type="paragraph" w:customStyle="1" w:styleId="17B321053D3844BBA7D60E777525F0FE">
    <w:name w:val="17B321053D3844BBA7D60E777525F0FE"/>
    <w:rsid w:val="00FD473E"/>
    <w:pPr>
      <w:spacing w:after="160" w:line="259" w:lineRule="auto"/>
    </w:pPr>
    <w:rPr>
      <w:sz w:val="22"/>
      <w:szCs w:val="22"/>
    </w:rPr>
  </w:style>
  <w:style w:type="paragraph" w:customStyle="1" w:styleId="CAECF2A5BFBC43EB87B8E8ADA78CA1ED">
    <w:name w:val="CAECF2A5BFBC43EB87B8E8ADA78CA1ED"/>
    <w:rsid w:val="00FD473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9A79-D58A-4FFB-9411-E906259E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99/20</dc:title>
  <dc:creator/>
  <cp:lastModifiedBy/>
  <cp:revision>1</cp:revision>
  <dcterms:created xsi:type="dcterms:W3CDTF">2020-06-25T15:52:00Z</dcterms:created>
  <dcterms:modified xsi:type="dcterms:W3CDTF">2020-06-25T15:53:00Z</dcterms:modified>
</cp:coreProperties>
</file>