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315" w:rsidRPr="00CE0FE6" w:rsidRDefault="00D31C78" w:rsidP="00214994">
      <w:pPr>
        <w:jc w:val="both"/>
        <w:rPr>
          <w:rFonts w:ascii="Cambria" w:hAnsi="Cambria" w:cs="Cambria"/>
          <w:b/>
          <w:bCs/>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-439420</wp:posOffset>
                </wp:positionV>
                <wp:extent cx="1543050" cy="9096375"/>
                <wp:effectExtent l="3175" t="0" r="0" b="127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7EB7CB" id="Rectangle 1" o:spid="_x0000_s1026" style="position:absolute;margin-left:-32.75pt;margin-top:-34.6pt;width:121.5pt;height:71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" fillcolor="#67ae3c" stroked="f" strokeweight="2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1282065</wp:posOffset>
                </wp:positionH>
                <wp:positionV relativeFrom="paragraph">
                  <wp:posOffset>-424180</wp:posOffset>
                </wp:positionV>
                <wp:extent cx="5248275" cy="902335"/>
                <wp:effectExtent l="0" t="4445" r="381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5315" w:rsidRPr="00214994" w:rsidRDefault="00095315" w:rsidP="00214994">
                            <w:pPr>
                              <w:rPr>
                                <w:noProof/>
                              </w:rPr>
                            </w:pPr>
                            <w:r w:rsidRPr="00214994">
                              <w:rPr>
                                <w:noProof/>
                              </w:rPr>
                              <w:tab/>
                              <w:t xml:space="preserve"> </w:t>
                            </w:r>
                            <w:r w:rsidR="00D31C78">
                              <w:rPr>
                                <w:noProof/>
                              </w:rPr>
                              <w:drawing>
                                <wp:inline distT="0" distB="0" distL="0" distR="0">
                                  <wp:extent cx="2517775" cy="4864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775" cy="486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RZtQIAALo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" filled="f" stroked="f" strokeweight=".5pt">
                <v:textbox>
                  <w:txbxContent>
                    <w:p w:rsidR="00095315" w:rsidRPr="00214994" w:rsidRDefault="00095315" w:rsidP="00214994">
                      <w:pPr>
                        <w:rPr>
                          <w:noProof/>
                        </w:rPr>
                      </w:pPr>
                      <w:r w:rsidRPr="00214994">
                        <w:rPr>
                          <w:noProof/>
                        </w:rPr>
                        <w:tab/>
                        <w:t xml:space="preserve"> </w:t>
                      </w:r>
                      <w:r w:rsidR="00D31C78">
                        <w:rPr>
                          <w:noProof/>
                        </w:rPr>
                        <w:drawing>
                          <wp:inline distT="0" distB="0" distL="0" distR="0">
                            <wp:extent cx="2517775" cy="4864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486410"/>
                                    </a:xfrm>
                                    <a:prstGeom prst="rect">
                                      <a:avLst/>
                                    </a:prstGeom>
                                    <a:noFill/>
                                    <a:ln>
                                      <a:noFill/>
                                    </a:ln>
                                  </pic:spPr>
                                </pic:pic>
                              </a:graphicData>
                            </a:graphic>
                          </wp:inline>
                        </w:drawing>
                      </w:r>
                    </w:p>
                  </w:txbxContent>
                </v:textbox>
              </v:shape>
            </w:pict>
          </mc:Fallback>
        </mc:AlternateContent>
      </w:r>
    </w:p>
    <w:p w:rsidR="00095315" w:rsidRPr="00CE0FE6" w:rsidRDefault="00095315" w:rsidP="00214994">
      <w:pPr>
        <w:tabs>
          <w:tab w:val="center" w:pos="5400"/>
        </w:tabs>
        <w:suppressAutoHyphens/>
        <w:jc w:val="both"/>
        <w:rPr>
          <w:rFonts w:ascii="Cambria" w:hAnsi="Cambria" w:cs="Cambria"/>
          <w:sz w:val="22"/>
          <w:szCs w:val="22"/>
        </w:rPr>
      </w:pPr>
    </w:p>
    <w:p w:rsidR="00095315" w:rsidRPr="00CE0FE6" w:rsidRDefault="00095315" w:rsidP="00214994">
      <w:pPr>
        <w:tabs>
          <w:tab w:val="center" w:pos="5400"/>
        </w:tabs>
        <w:suppressAutoHyphens/>
        <w:jc w:val="both"/>
        <w:rPr>
          <w:rFonts w:ascii="Cambria" w:hAnsi="Cambria" w:cs="Cambria"/>
          <w:sz w:val="22"/>
          <w:szCs w:val="22"/>
        </w:rPr>
      </w:pPr>
    </w:p>
    <w:p w:rsidR="00095315" w:rsidRPr="00CE0FE6" w:rsidRDefault="00095315" w:rsidP="00214994">
      <w:pPr>
        <w:tabs>
          <w:tab w:val="center" w:pos="5400"/>
        </w:tabs>
        <w:suppressAutoHyphens/>
        <w:rPr>
          <w:rFonts w:ascii="Cambria" w:hAnsi="Cambria" w:cs="Cambria"/>
          <w:sz w:val="22"/>
          <w:szCs w:val="22"/>
        </w:rPr>
      </w:pPr>
    </w:p>
    <w:p w:rsidR="00095315" w:rsidRPr="00CE0FE6" w:rsidRDefault="00095315" w:rsidP="00214994">
      <w:pPr>
        <w:tabs>
          <w:tab w:val="center" w:pos="5400"/>
        </w:tabs>
        <w:suppressAutoHyphens/>
        <w:rPr>
          <w:rFonts w:ascii="Cambria" w:hAnsi="Cambria" w:cs="Cambria"/>
          <w:sz w:val="22"/>
          <w:szCs w:val="22"/>
        </w:rPr>
      </w:pPr>
    </w:p>
    <w:p w:rsidR="00095315" w:rsidRPr="00CE0FE6" w:rsidRDefault="00095315" w:rsidP="00214994">
      <w:pPr>
        <w:tabs>
          <w:tab w:val="center" w:pos="5400"/>
        </w:tabs>
        <w:suppressAutoHyphens/>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bookmarkStart w:id="0" w:name="_GoBack"/>
      <w:bookmarkEnd w:id="0"/>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D31C78" w:rsidP="00214994">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1352550</wp:posOffset>
                </wp:positionH>
                <wp:positionV relativeFrom="paragraph">
                  <wp:posOffset>107315</wp:posOffset>
                </wp:positionV>
                <wp:extent cx="4441190" cy="2181225"/>
                <wp:effectExtent l="0" t="0" r="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5315" w:rsidRPr="00214994" w:rsidRDefault="008071E1" w:rsidP="00214994">
                            <w:pPr>
                              <w:spacing w:line="276" w:lineRule="auto"/>
                              <w:rPr>
                                <w:rFonts w:ascii="Cambria" w:hAnsi="Cambria" w:cs="Cambria"/>
                                <w:b/>
                                <w:bCs/>
                                <w:noProof/>
                                <w:color w:val="0D0D0D"/>
                                <w:sz w:val="36"/>
                                <w:szCs w:val="36"/>
                              </w:rPr>
                            </w:pPr>
                            <w:r>
                              <w:rPr>
                                <w:rFonts w:ascii="Cambria" w:hAnsi="Cambria" w:cs="Cambria"/>
                                <w:b/>
                                <w:bCs/>
                                <w:noProof/>
                                <w:color w:val="0D0D0D"/>
                                <w:sz w:val="36"/>
                                <w:szCs w:val="36"/>
                              </w:rPr>
                              <w:t xml:space="preserve">REPORT </w:t>
                            </w:r>
                            <w:r w:rsidR="00F774AC">
                              <w:rPr>
                                <w:rFonts w:ascii="Cambria" w:hAnsi="Cambria" w:cs="Cambria"/>
                                <w:b/>
                                <w:bCs/>
                                <w:noProof/>
                                <w:color w:val="0D0D0D"/>
                                <w:sz w:val="36"/>
                                <w:szCs w:val="36"/>
                              </w:rPr>
                              <w:t xml:space="preserve">No. </w:t>
                            </w:r>
                            <w:r>
                              <w:rPr>
                                <w:rFonts w:ascii="Cambria" w:hAnsi="Cambria" w:cs="Cambria"/>
                                <w:b/>
                                <w:bCs/>
                                <w:noProof/>
                                <w:color w:val="0D0D0D"/>
                                <w:sz w:val="36"/>
                                <w:szCs w:val="36"/>
                              </w:rPr>
                              <w:t>61</w:t>
                            </w:r>
                            <w:r w:rsidR="00095315" w:rsidRPr="00214994">
                              <w:rPr>
                                <w:rFonts w:ascii="Cambria" w:hAnsi="Cambria" w:cs="Cambria"/>
                                <w:b/>
                                <w:bCs/>
                                <w:noProof/>
                                <w:color w:val="0D0D0D"/>
                                <w:sz w:val="36"/>
                                <w:szCs w:val="36"/>
                              </w:rPr>
                              <w:t>/20</w:t>
                            </w:r>
                          </w:p>
                          <w:p w:rsidR="00095315" w:rsidRPr="00214994" w:rsidRDefault="00095315" w:rsidP="00214994">
                            <w:pPr>
                              <w:spacing w:line="276" w:lineRule="auto"/>
                              <w:rPr>
                                <w:rFonts w:ascii="Cambria" w:hAnsi="Cambria" w:cs="Cambria"/>
                                <w:b/>
                                <w:bCs/>
                                <w:noProof/>
                                <w:color w:val="0D0D0D"/>
                                <w:sz w:val="36"/>
                                <w:szCs w:val="36"/>
                              </w:rPr>
                            </w:pPr>
                            <w:r w:rsidRPr="00214994">
                              <w:rPr>
                                <w:rFonts w:ascii="Cambria" w:hAnsi="Cambria" w:cs="Cambria"/>
                                <w:b/>
                                <w:bCs/>
                                <w:noProof/>
                                <w:color w:val="0D0D0D"/>
                                <w:sz w:val="36"/>
                                <w:szCs w:val="36"/>
                              </w:rPr>
                              <w:t xml:space="preserve">PETITION 1039-10 </w:t>
                            </w:r>
                          </w:p>
                          <w:p w:rsidR="00095315" w:rsidRPr="00214994" w:rsidRDefault="00095315" w:rsidP="00214994">
                            <w:pPr>
                              <w:spacing w:line="276" w:lineRule="auto"/>
                              <w:rPr>
                                <w:rFonts w:ascii="Cambria" w:hAnsi="Cambria" w:cs="Cambria"/>
                                <w:noProof/>
                                <w:color w:val="0D0D0D"/>
                              </w:rPr>
                            </w:pPr>
                            <w:r w:rsidRPr="00214994">
                              <w:rPr>
                                <w:rFonts w:ascii="Cambria" w:hAnsi="Cambria" w:cs="Cambria"/>
                                <w:noProof/>
                                <w:color w:val="0D0D0D"/>
                              </w:rPr>
                              <w:t xml:space="preserve">REPORT ON ADMISSIBILITY </w:t>
                            </w:r>
                          </w:p>
                          <w:p w:rsidR="00095315" w:rsidRPr="00214994" w:rsidRDefault="00095315" w:rsidP="00214994">
                            <w:pPr>
                              <w:spacing w:line="276" w:lineRule="auto"/>
                              <w:rPr>
                                <w:rFonts w:ascii="Cambria" w:hAnsi="Cambria" w:cs="Cambria"/>
                                <w:noProof/>
                                <w:color w:val="0D0D0D"/>
                              </w:rPr>
                            </w:pPr>
                            <w:bookmarkStart w:id="1" w:name="_ftnref1"/>
                          </w:p>
                          <w:p w:rsidR="00095315" w:rsidRPr="00214994" w:rsidRDefault="00095315" w:rsidP="00214994">
                            <w:pPr>
                              <w:spacing w:line="276" w:lineRule="auto"/>
                              <w:rPr>
                                <w:rFonts w:ascii="Cambria" w:hAnsi="Cambria" w:cs="Cambria"/>
                                <w:noProof/>
                                <w:color w:val="0D0D0D"/>
                              </w:rPr>
                            </w:pPr>
                            <w:r w:rsidRPr="00214994">
                              <w:rPr>
                                <w:rFonts w:ascii="Cambria" w:hAnsi="Cambria" w:cs="Cambria"/>
                                <w:noProof/>
                                <w:color w:val="0D0D0D"/>
                              </w:rPr>
                              <w:t>DIEGO ROJAS GIRÓN</w:t>
                            </w:r>
                          </w:p>
                          <w:bookmarkEnd w:id="1"/>
                          <w:p w:rsidR="00095315" w:rsidRPr="00214994" w:rsidRDefault="00095315" w:rsidP="00214994">
                            <w:pPr>
                              <w:spacing w:line="276" w:lineRule="auto"/>
                              <w:rPr>
                                <w:rFonts w:ascii="Cambria" w:hAnsi="Cambria" w:cs="Cambria"/>
                                <w:noProof/>
                                <w:color w:val="0D0D0D"/>
                              </w:rPr>
                            </w:pPr>
                            <w:r w:rsidRPr="00214994">
                              <w:rPr>
                                <w:rFonts w:ascii="Cambria" w:hAnsi="Cambria" w:cs="Cambria"/>
                                <w:noProof/>
                                <w:color w:val="0D0D0D"/>
                              </w:rPr>
                              <w:t>COLOMBIA</w:t>
                            </w:r>
                          </w:p>
                          <w:p w:rsidR="00095315" w:rsidRPr="00214994" w:rsidRDefault="00095315" w:rsidP="00214994">
                            <w:pPr>
                              <w:rPr>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OxuAIAAME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atiT&#10;sbgCAADBBQAADgAAAAAAAAAAAAAAAAAuAgAAZHJzL2Uyb0RvYy54bWxQSwECLQAUAAYACAAAACEA&#10;gIofN+IAAAAKAQAADwAAAAAAAAAAAAAAAAASBQAAZHJzL2Rvd25yZXYueG1sUEsFBgAAAAAEAAQA&#10;8wAAACEGAAAAAA==&#10;" filled="f" stroked="f" strokeweight=".5pt">
                <v:textbox>
                  <w:txbxContent>
                    <w:p w:rsidR="00095315" w:rsidRPr="00214994" w:rsidRDefault="008071E1" w:rsidP="00214994">
                      <w:pPr>
                        <w:spacing w:line="276" w:lineRule="auto"/>
                        <w:rPr>
                          <w:rFonts w:ascii="Cambria" w:hAnsi="Cambria" w:cs="Cambria"/>
                          <w:b/>
                          <w:bCs/>
                          <w:noProof/>
                          <w:color w:val="0D0D0D"/>
                          <w:sz w:val="36"/>
                          <w:szCs w:val="36"/>
                        </w:rPr>
                      </w:pPr>
                      <w:r>
                        <w:rPr>
                          <w:rFonts w:ascii="Cambria" w:hAnsi="Cambria" w:cs="Cambria"/>
                          <w:b/>
                          <w:bCs/>
                          <w:noProof/>
                          <w:color w:val="0D0D0D"/>
                          <w:sz w:val="36"/>
                          <w:szCs w:val="36"/>
                        </w:rPr>
                        <w:t xml:space="preserve">REPORT </w:t>
                      </w:r>
                      <w:r w:rsidR="00F774AC">
                        <w:rPr>
                          <w:rFonts w:ascii="Cambria" w:hAnsi="Cambria" w:cs="Cambria"/>
                          <w:b/>
                          <w:bCs/>
                          <w:noProof/>
                          <w:color w:val="0D0D0D"/>
                          <w:sz w:val="36"/>
                          <w:szCs w:val="36"/>
                        </w:rPr>
                        <w:t xml:space="preserve">No. </w:t>
                      </w:r>
                      <w:r>
                        <w:rPr>
                          <w:rFonts w:ascii="Cambria" w:hAnsi="Cambria" w:cs="Cambria"/>
                          <w:b/>
                          <w:bCs/>
                          <w:noProof/>
                          <w:color w:val="0D0D0D"/>
                          <w:sz w:val="36"/>
                          <w:szCs w:val="36"/>
                        </w:rPr>
                        <w:t>61</w:t>
                      </w:r>
                      <w:r w:rsidR="00095315" w:rsidRPr="00214994">
                        <w:rPr>
                          <w:rFonts w:ascii="Cambria" w:hAnsi="Cambria" w:cs="Cambria"/>
                          <w:b/>
                          <w:bCs/>
                          <w:noProof/>
                          <w:color w:val="0D0D0D"/>
                          <w:sz w:val="36"/>
                          <w:szCs w:val="36"/>
                        </w:rPr>
                        <w:t>/20</w:t>
                      </w:r>
                    </w:p>
                    <w:p w:rsidR="00095315" w:rsidRPr="00214994" w:rsidRDefault="00095315" w:rsidP="00214994">
                      <w:pPr>
                        <w:spacing w:line="276" w:lineRule="auto"/>
                        <w:rPr>
                          <w:rFonts w:ascii="Cambria" w:hAnsi="Cambria" w:cs="Cambria"/>
                          <w:b/>
                          <w:bCs/>
                          <w:noProof/>
                          <w:color w:val="0D0D0D"/>
                          <w:sz w:val="36"/>
                          <w:szCs w:val="36"/>
                        </w:rPr>
                      </w:pPr>
                      <w:r w:rsidRPr="00214994">
                        <w:rPr>
                          <w:rFonts w:ascii="Cambria" w:hAnsi="Cambria" w:cs="Cambria"/>
                          <w:b/>
                          <w:bCs/>
                          <w:noProof/>
                          <w:color w:val="0D0D0D"/>
                          <w:sz w:val="36"/>
                          <w:szCs w:val="36"/>
                        </w:rPr>
                        <w:t xml:space="preserve">PETITION 1039-10 </w:t>
                      </w:r>
                    </w:p>
                    <w:p w:rsidR="00095315" w:rsidRPr="00214994" w:rsidRDefault="00095315" w:rsidP="00214994">
                      <w:pPr>
                        <w:spacing w:line="276" w:lineRule="auto"/>
                        <w:rPr>
                          <w:rFonts w:ascii="Cambria" w:hAnsi="Cambria" w:cs="Cambria"/>
                          <w:noProof/>
                          <w:color w:val="0D0D0D"/>
                        </w:rPr>
                      </w:pPr>
                      <w:r w:rsidRPr="00214994">
                        <w:rPr>
                          <w:rFonts w:ascii="Cambria" w:hAnsi="Cambria" w:cs="Cambria"/>
                          <w:noProof/>
                          <w:color w:val="0D0D0D"/>
                        </w:rPr>
                        <w:t xml:space="preserve">REPORT ON ADMISSIBILITY </w:t>
                      </w:r>
                    </w:p>
                    <w:p w:rsidR="00095315" w:rsidRPr="00214994" w:rsidRDefault="00095315" w:rsidP="00214994">
                      <w:pPr>
                        <w:spacing w:line="276" w:lineRule="auto"/>
                        <w:rPr>
                          <w:rFonts w:ascii="Cambria" w:hAnsi="Cambria" w:cs="Cambria"/>
                          <w:noProof/>
                          <w:color w:val="0D0D0D"/>
                        </w:rPr>
                      </w:pPr>
                      <w:bookmarkStart w:id="2" w:name="_ftnref1"/>
                    </w:p>
                    <w:p w:rsidR="00095315" w:rsidRPr="00214994" w:rsidRDefault="00095315" w:rsidP="00214994">
                      <w:pPr>
                        <w:spacing w:line="276" w:lineRule="auto"/>
                        <w:rPr>
                          <w:rFonts w:ascii="Cambria" w:hAnsi="Cambria" w:cs="Cambria"/>
                          <w:noProof/>
                          <w:color w:val="0D0D0D"/>
                        </w:rPr>
                      </w:pPr>
                      <w:r w:rsidRPr="00214994">
                        <w:rPr>
                          <w:rFonts w:ascii="Cambria" w:hAnsi="Cambria" w:cs="Cambria"/>
                          <w:noProof/>
                          <w:color w:val="0D0D0D"/>
                        </w:rPr>
                        <w:t>DIEGO ROJAS GIRÓN</w:t>
                      </w:r>
                    </w:p>
                    <w:bookmarkEnd w:id="2"/>
                    <w:p w:rsidR="00095315" w:rsidRPr="00214994" w:rsidRDefault="00095315" w:rsidP="00214994">
                      <w:pPr>
                        <w:spacing w:line="276" w:lineRule="auto"/>
                        <w:rPr>
                          <w:rFonts w:ascii="Cambria" w:hAnsi="Cambria" w:cs="Cambria"/>
                          <w:noProof/>
                          <w:color w:val="0D0D0D"/>
                        </w:rPr>
                      </w:pPr>
                      <w:r w:rsidRPr="00214994">
                        <w:rPr>
                          <w:rFonts w:ascii="Cambria" w:hAnsi="Cambria" w:cs="Cambria"/>
                          <w:noProof/>
                          <w:color w:val="0D0D0D"/>
                        </w:rPr>
                        <w:t>COLOMBIA</w:t>
                      </w:r>
                    </w:p>
                    <w:p w:rsidR="00095315" w:rsidRPr="00214994" w:rsidRDefault="00095315" w:rsidP="00214994">
                      <w:pPr>
                        <w:rPr>
                          <w:noProof/>
                          <w:color w:val="0D0D0D"/>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5315" w:rsidRPr="00AD4A35" w:rsidRDefault="00095315" w:rsidP="00214994">
                            <w:pPr>
                              <w:spacing w:line="276" w:lineRule="auto"/>
                              <w:jc w:val="right"/>
                              <w:rPr>
                                <w:rFonts w:ascii="Calibri" w:hAnsi="Calibri" w:cs="Calibri"/>
                                <w:noProof/>
                                <w:color w:val="FFFFFF"/>
                                <w:sz w:val="22"/>
                                <w:szCs w:val="22"/>
                                <w:lang w:val="pt-BR"/>
                              </w:rPr>
                            </w:pPr>
                            <w:r w:rsidRPr="00AD4A35">
                              <w:rPr>
                                <w:rFonts w:ascii="Calibri" w:hAnsi="Calibri" w:cs="Calibri"/>
                                <w:noProof/>
                                <w:color w:val="FFFFFF"/>
                                <w:sz w:val="22"/>
                                <w:szCs w:val="22"/>
                                <w:lang w:val="pt-BR"/>
                              </w:rPr>
                              <w:t>OEA/Ser.L/V/II.</w:t>
                            </w:r>
                          </w:p>
                          <w:p w:rsidR="00095315" w:rsidRPr="00AD4A35" w:rsidRDefault="008071E1" w:rsidP="00214994">
                            <w:pPr>
                              <w:spacing w:line="276" w:lineRule="auto"/>
                              <w:jc w:val="right"/>
                              <w:rPr>
                                <w:rFonts w:ascii="Calibri" w:hAnsi="Calibri" w:cs="Calibri"/>
                                <w:noProof/>
                                <w:color w:val="FFFFFF"/>
                                <w:sz w:val="22"/>
                                <w:szCs w:val="22"/>
                                <w:lang w:val="pt-BR"/>
                              </w:rPr>
                            </w:pPr>
                            <w:r>
                              <w:rPr>
                                <w:rFonts w:ascii="Calibri" w:hAnsi="Calibri" w:cs="Calibri"/>
                                <w:noProof/>
                                <w:color w:val="FFFFFF"/>
                                <w:sz w:val="22"/>
                                <w:szCs w:val="22"/>
                                <w:lang w:val="pt-BR"/>
                              </w:rPr>
                              <w:t>Doc. 71</w:t>
                            </w:r>
                          </w:p>
                          <w:p w:rsidR="00095315" w:rsidRPr="00214994" w:rsidRDefault="008071E1" w:rsidP="00214994">
                            <w:pPr>
                              <w:spacing w:line="276" w:lineRule="auto"/>
                              <w:jc w:val="right"/>
                              <w:rPr>
                                <w:rFonts w:ascii="Calibri" w:hAnsi="Calibri" w:cs="Calibri"/>
                                <w:noProof/>
                                <w:color w:val="FFFFFF"/>
                                <w:sz w:val="22"/>
                                <w:szCs w:val="22"/>
                              </w:rPr>
                            </w:pPr>
                            <w:r>
                              <w:rPr>
                                <w:rFonts w:ascii="Calibri" w:hAnsi="Calibri" w:cs="Calibri"/>
                                <w:noProof/>
                                <w:color w:val="FFFFFF"/>
                                <w:sz w:val="22"/>
                                <w:szCs w:val="22"/>
                              </w:rPr>
                              <w:t>25 April</w:t>
                            </w:r>
                            <w:r w:rsidR="00095315" w:rsidRPr="00214994">
                              <w:rPr>
                                <w:rFonts w:ascii="Calibri" w:hAnsi="Calibri" w:cs="Calibri"/>
                                <w:noProof/>
                                <w:color w:val="FFFFFF"/>
                                <w:sz w:val="22"/>
                                <w:szCs w:val="22"/>
                              </w:rPr>
                              <w:t xml:space="preserve"> 2020</w:t>
                            </w:r>
                          </w:p>
                          <w:p w:rsidR="00095315" w:rsidRPr="00214994" w:rsidRDefault="00095315" w:rsidP="00214994">
                            <w:pPr>
                              <w:spacing w:line="276" w:lineRule="auto"/>
                              <w:jc w:val="right"/>
                              <w:rPr>
                                <w:rFonts w:ascii="Calibri" w:hAnsi="Calibri" w:cs="Calibri"/>
                                <w:noProof/>
                                <w:color w:val="FFFFFF"/>
                                <w:sz w:val="22"/>
                                <w:szCs w:val="22"/>
                              </w:rPr>
                            </w:pPr>
                            <w:r w:rsidRPr="00214994">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h5uAIAAME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BPBYh5&#10;uAIAAMEFAAAOAAAAAAAAAAAAAAAAAC4CAABkcnMvZTJvRG9jLnhtbFBLAQItABQABgAIAAAAIQCp&#10;T6R34QAAAAoBAAAPAAAAAAAAAAAAAAAAABIFAABkcnMvZG93bnJldi54bWxQSwUGAAAAAAQABADz&#10;AAAAIAYAAAAA&#10;" filled="f" stroked="f" strokeweight=".5pt">
                <v:textbox>
                  <w:txbxContent>
                    <w:p w:rsidR="00095315" w:rsidRPr="00AD4A35" w:rsidRDefault="00095315" w:rsidP="00214994">
                      <w:pPr>
                        <w:spacing w:line="276" w:lineRule="auto"/>
                        <w:jc w:val="right"/>
                        <w:rPr>
                          <w:rFonts w:ascii="Calibri" w:hAnsi="Calibri" w:cs="Calibri"/>
                          <w:noProof/>
                          <w:color w:val="FFFFFF"/>
                          <w:sz w:val="22"/>
                          <w:szCs w:val="22"/>
                          <w:lang w:val="pt-BR"/>
                        </w:rPr>
                      </w:pPr>
                      <w:r w:rsidRPr="00AD4A35">
                        <w:rPr>
                          <w:rFonts w:ascii="Calibri" w:hAnsi="Calibri" w:cs="Calibri"/>
                          <w:noProof/>
                          <w:color w:val="FFFFFF"/>
                          <w:sz w:val="22"/>
                          <w:szCs w:val="22"/>
                          <w:lang w:val="pt-BR"/>
                        </w:rPr>
                        <w:t>OEA/Ser.L/V/II.</w:t>
                      </w:r>
                    </w:p>
                    <w:p w:rsidR="00095315" w:rsidRPr="00AD4A35" w:rsidRDefault="008071E1" w:rsidP="00214994">
                      <w:pPr>
                        <w:spacing w:line="276" w:lineRule="auto"/>
                        <w:jc w:val="right"/>
                        <w:rPr>
                          <w:rFonts w:ascii="Calibri" w:hAnsi="Calibri" w:cs="Calibri"/>
                          <w:noProof/>
                          <w:color w:val="FFFFFF"/>
                          <w:sz w:val="22"/>
                          <w:szCs w:val="22"/>
                          <w:lang w:val="pt-BR"/>
                        </w:rPr>
                      </w:pPr>
                      <w:r>
                        <w:rPr>
                          <w:rFonts w:ascii="Calibri" w:hAnsi="Calibri" w:cs="Calibri"/>
                          <w:noProof/>
                          <w:color w:val="FFFFFF"/>
                          <w:sz w:val="22"/>
                          <w:szCs w:val="22"/>
                          <w:lang w:val="pt-BR"/>
                        </w:rPr>
                        <w:t>Doc. 71</w:t>
                      </w:r>
                    </w:p>
                    <w:p w:rsidR="00095315" w:rsidRPr="00214994" w:rsidRDefault="008071E1" w:rsidP="00214994">
                      <w:pPr>
                        <w:spacing w:line="276" w:lineRule="auto"/>
                        <w:jc w:val="right"/>
                        <w:rPr>
                          <w:rFonts w:ascii="Calibri" w:hAnsi="Calibri" w:cs="Calibri"/>
                          <w:noProof/>
                          <w:color w:val="FFFFFF"/>
                          <w:sz w:val="22"/>
                          <w:szCs w:val="22"/>
                        </w:rPr>
                      </w:pPr>
                      <w:r>
                        <w:rPr>
                          <w:rFonts w:ascii="Calibri" w:hAnsi="Calibri" w:cs="Calibri"/>
                          <w:noProof/>
                          <w:color w:val="FFFFFF"/>
                          <w:sz w:val="22"/>
                          <w:szCs w:val="22"/>
                        </w:rPr>
                        <w:t>25 April</w:t>
                      </w:r>
                      <w:r w:rsidR="00095315" w:rsidRPr="00214994">
                        <w:rPr>
                          <w:rFonts w:ascii="Calibri" w:hAnsi="Calibri" w:cs="Calibri"/>
                          <w:noProof/>
                          <w:color w:val="FFFFFF"/>
                          <w:sz w:val="22"/>
                          <w:szCs w:val="22"/>
                        </w:rPr>
                        <w:t xml:space="preserve"> 2020</w:t>
                      </w:r>
                    </w:p>
                    <w:p w:rsidR="00095315" w:rsidRPr="00214994" w:rsidRDefault="00095315" w:rsidP="00214994">
                      <w:pPr>
                        <w:spacing w:line="276" w:lineRule="auto"/>
                        <w:jc w:val="right"/>
                        <w:rPr>
                          <w:rFonts w:ascii="Calibri" w:hAnsi="Calibri" w:cs="Calibri"/>
                          <w:noProof/>
                          <w:color w:val="FFFFFF"/>
                          <w:sz w:val="22"/>
                          <w:szCs w:val="22"/>
                        </w:rPr>
                      </w:pPr>
                      <w:r w:rsidRPr="00214994">
                        <w:rPr>
                          <w:rFonts w:ascii="Calibri" w:hAnsi="Calibri" w:cs="Calibri"/>
                          <w:noProof/>
                          <w:color w:val="FFFFFF"/>
                          <w:sz w:val="22"/>
                          <w:szCs w:val="22"/>
                        </w:rPr>
                        <w:t>Original: Spanish</w:t>
                      </w:r>
                    </w:p>
                  </w:txbxContent>
                </v:textbox>
              </v:shape>
            </w:pict>
          </mc:Fallback>
        </mc:AlternateContent>
      </w: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22"/>
          <w:szCs w:val="22"/>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D31C78" w:rsidP="00214994">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1341755</wp:posOffset>
                </wp:positionH>
                <wp:positionV relativeFrom="paragraph">
                  <wp:posOffset>22860</wp:posOffset>
                </wp:positionV>
                <wp:extent cx="4933950" cy="664845"/>
                <wp:effectExtent l="0" t="0" r="127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5315" w:rsidRPr="00214994" w:rsidRDefault="00095315" w:rsidP="00214994">
                            <w:pPr>
                              <w:tabs>
                                <w:tab w:val="center" w:pos="5400"/>
                              </w:tabs>
                              <w:suppressAutoHyphens/>
                              <w:spacing w:before="60"/>
                              <w:rPr>
                                <w:rFonts w:ascii="Cambria" w:hAnsi="Cambria" w:cs="Cambria"/>
                                <w:noProof/>
                                <w:color w:val="0D0D0D"/>
                                <w:sz w:val="18"/>
                                <w:szCs w:val="18"/>
                              </w:rPr>
                            </w:pPr>
                            <w:r w:rsidRPr="00214994">
                              <w:rPr>
                                <w:rFonts w:ascii="Cambria" w:hAnsi="Cambria" w:cs="Cambria"/>
                                <w:noProof/>
                                <w:color w:val="0D0D0D"/>
                                <w:sz w:val="18"/>
                                <w:szCs w:val="18"/>
                              </w:rPr>
                              <w:t xml:space="preserve">Approved electronically by the Commission on </w:t>
                            </w:r>
                            <w:r w:rsidR="008071E1">
                              <w:rPr>
                                <w:rFonts w:ascii="Cambria" w:hAnsi="Cambria" w:cs="Cambria"/>
                                <w:noProof/>
                                <w:color w:val="0D0D0D"/>
                                <w:sz w:val="18"/>
                                <w:szCs w:val="18"/>
                              </w:rPr>
                              <w:t>April 25</w:t>
                            </w:r>
                            <w:r w:rsidRPr="00214994">
                              <w:rPr>
                                <w:rFonts w:ascii="Cambria" w:hAnsi="Cambria" w:cs="Cambria"/>
                                <w:noProof/>
                                <w:color w:val="0D0D0D"/>
                                <w:sz w:val="18"/>
                                <w:szCs w:val="18"/>
                              </w:rPr>
                              <w:t>, 2020</w:t>
                            </w:r>
                            <w:r w:rsidR="00F774AC">
                              <w:rPr>
                                <w:rFonts w:ascii="Cambria" w:hAnsi="Cambria" w:cs="Cambria"/>
                                <w:noProof/>
                                <w:color w:val="0D0D0D"/>
                                <w:sz w:val="18"/>
                                <w:szCs w:val="18"/>
                              </w:rPr>
                              <w:t>.</w:t>
                            </w:r>
                          </w:p>
                          <w:p w:rsidR="00095315" w:rsidRPr="00214994" w:rsidRDefault="00095315" w:rsidP="00214994">
                            <w:pPr>
                              <w:tabs>
                                <w:tab w:val="center" w:pos="5400"/>
                              </w:tabs>
                              <w:suppressAutoHyphens/>
                              <w:spacing w:before="60"/>
                              <w:rPr>
                                <w:rFonts w:ascii="Calibri" w:hAnsi="Calibri" w:cs="Calibri"/>
                                <w:noProof/>
                                <w:color w:val="0D0D0D"/>
                                <w:sz w:val="20"/>
                                <w:szCs w:val="20"/>
                              </w:rPr>
                            </w:pPr>
                          </w:p>
                          <w:p w:rsidR="00095315" w:rsidRPr="00214994" w:rsidRDefault="00095315" w:rsidP="00214994">
                            <w:pPr>
                              <w:tabs>
                                <w:tab w:val="center" w:pos="5400"/>
                              </w:tabs>
                              <w:suppressAutoHyphens/>
                              <w:spacing w:before="60"/>
                              <w:rPr>
                                <w:rFonts w:ascii="Calibri" w:hAnsi="Calibri" w:cs="Calibri"/>
                                <w:noProof/>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rItwIAAMA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" filled="f" stroked="f" strokeweight=".5pt">
                <v:textbox>
                  <w:txbxContent>
                    <w:p w:rsidR="00095315" w:rsidRPr="00214994" w:rsidRDefault="00095315" w:rsidP="00214994">
                      <w:pPr>
                        <w:tabs>
                          <w:tab w:val="center" w:pos="5400"/>
                        </w:tabs>
                        <w:suppressAutoHyphens/>
                        <w:spacing w:before="60"/>
                        <w:rPr>
                          <w:rFonts w:ascii="Cambria" w:hAnsi="Cambria" w:cs="Cambria"/>
                          <w:noProof/>
                          <w:color w:val="0D0D0D"/>
                          <w:sz w:val="18"/>
                          <w:szCs w:val="18"/>
                        </w:rPr>
                      </w:pPr>
                      <w:r w:rsidRPr="00214994">
                        <w:rPr>
                          <w:rFonts w:ascii="Cambria" w:hAnsi="Cambria" w:cs="Cambria"/>
                          <w:noProof/>
                          <w:color w:val="0D0D0D"/>
                          <w:sz w:val="18"/>
                          <w:szCs w:val="18"/>
                        </w:rPr>
                        <w:t xml:space="preserve">Approved electronically by the Commission on </w:t>
                      </w:r>
                      <w:r w:rsidR="008071E1">
                        <w:rPr>
                          <w:rFonts w:ascii="Cambria" w:hAnsi="Cambria" w:cs="Cambria"/>
                          <w:noProof/>
                          <w:color w:val="0D0D0D"/>
                          <w:sz w:val="18"/>
                          <w:szCs w:val="18"/>
                        </w:rPr>
                        <w:t>April 25</w:t>
                      </w:r>
                      <w:r w:rsidRPr="00214994">
                        <w:rPr>
                          <w:rFonts w:ascii="Cambria" w:hAnsi="Cambria" w:cs="Cambria"/>
                          <w:noProof/>
                          <w:color w:val="0D0D0D"/>
                          <w:sz w:val="18"/>
                          <w:szCs w:val="18"/>
                        </w:rPr>
                        <w:t>, 2020</w:t>
                      </w:r>
                      <w:r w:rsidR="00F774AC">
                        <w:rPr>
                          <w:rFonts w:ascii="Cambria" w:hAnsi="Cambria" w:cs="Cambria"/>
                          <w:noProof/>
                          <w:color w:val="0D0D0D"/>
                          <w:sz w:val="18"/>
                          <w:szCs w:val="18"/>
                        </w:rPr>
                        <w:t>.</w:t>
                      </w:r>
                    </w:p>
                    <w:p w:rsidR="00095315" w:rsidRPr="00214994" w:rsidRDefault="00095315" w:rsidP="00214994">
                      <w:pPr>
                        <w:tabs>
                          <w:tab w:val="center" w:pos="5400"/>
                        </w:tabs>
                        <w:suppressAutoHyphens/>
                        <w:spacing w:before="60"/>
                        <w:rPr>
                          <w:rFonts w:ascii="Calibri" w:hAnsi="Calibri" w:cs="Calibri"/>
                          <w:noProof/>
                          <w:color w:val="0D0D0D"/>
                          <w:sz w:val="20"/>
                          <w:szCs w:val="20"/>
                        </w:rPr>
                      </w:pPr>
                    </w:p>
                    <w:p w:rsidR="00095315" w:rsidRPr="00214994" w:rsidRDefault="00095315" w:rsidP="00214994">
                      <w:pPr>
                        <w:tabs>
                          <w:tab w:val="center" w:pos="5400"/>
                        </w:tabs>
                        <w:suppressAutoHyphens/>
                        <w:spacing w:before="60"/>
                        <w:rPr>
                          <w:rFonts w:ascii="Calibri" w:hAnsi="Calibri" w:cs="Calibri"/>
                          <w:noProof/>
                          <w:color w:val="FFFFFF"/>
                          <w:sz w:val="16"/>
                          <w:szCs w:val="16"/>
                        </w:rPr>
                      </w:pPr>
                    </w:p>
                  </w:txbxContent>
                </v:textbox>
              </v:shape>
            </w:pict>
          </mc:Fallback>
        </mc:AlternateContent>
      </w: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D31C78" w:rsidP="00214994">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1333500</wp:posOffset>
                </wp:positionH>
                <wp:positionV relativeFrom="paragraph">
                  <wp:posOffset>5715</wp:posOffset>
                </wp:positionV>
                <wp:extent cx="4943475" cy="657225"/>
                <wp:effectExtent l="0" t="317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5315" w:rsidRPr="00214994" w:rsidRDefault="00095315" w:rsidP="00214994">
                            <w:pPr>
                              <w:spacing w:line="276" w:lineRule="auto"/>
                              <w:rPr>
                                <w:rFonts w:ascii="Cambria" w:hAnsi="Cambria" w:cs="Cambria"/>
                                <w:noProof/>
                                <w:color w:val="595959"/>
                                <w:sz w:val="18"/>
                                <w:szCs w:val="18"/>
                              </w:rPr>
                            </w:pPr>
                            <w:r w:rsidRPr="00214994">
                              <w:rPr>
                                <w:rFonts w:ascii="Cambria" w:hAnsi="Cambria" w:cs="Cambria"/>
                                <w:b/>
                                <w:bCs/>
                                <w:noProof/>
                                <w:color w:val="595959"/>
                                <w:sz w:val="18"/>
                                <w:szCs w:val="18"/>
                              </w:rPr>
                              <w:t xml:space="preserve">Cite as: </w:t>
                            </w:r>
                            <w:r w:rsidRPr="00214994">
                              <w:rPr>
                                <w:rFonts w:ascii="Cambria" w:hAnsi="Cambria" w:cs="Cambria"/>
                                <w:noProof/>
                                <w:color w:val="595959"/>
                                <w:sz w:val="18"/>
                                <w:szCs w:val="18"/>
                              </w:rPr>
                              <w:t xml:space="preserve">IACHR, Report No. </w:t>
                            </w:r>
                            <w:r w:rsidR="008071E1">
                              <w:rPr>
                                <w:rFonts w:ascii="Cambria" w:hAnsi="Cambria" w:cs="Cambria"/>
                                <w:noProof/>
                                <w:color w:val="595959"/>
                                <w:sz w:val="18"/>
                                <w:szCs w:val="18"/>
                              </w:rPr>
                              <w:t>61</w:t>
                            </w:r>
                            <w:r w:rsidRPr="00214994">
                              <w:rPr>
                                <w:rFonts w:ascii="Cambria" w:hAnsi="Cambria" w:cs="Cambria"/>
                                <w:noProof/>
                                <w:color w:val="595959"/>
                                <w:sz w:val="18"/>
                                <w:szCs w:val="18"/>
                              </w:rPr>
                              <w:t>/</w:t>
                            </w:r>
                            <w:r w:rsidR="008071E1">
                              <w:rPr>
                                <w:rFonts w:ascii="Cambria" w:hAnsi="Cambria" w:cs="Cambria"/>
                                <w:noProof/>
                                <w:color w:val="595959"/>
                                <w:sz w:val="18"/>
                                <w:szCs w:val="18"/>
                              </w:rPr>
                              <w:t>20</w:t>
                            </w:r>
                            <w:r w:rsidRPr="00214994">
                              <w:rPr>
                                <w:rFonts w:ascii="Cambria" w:hAnsi="Cambria" w:cs="Cambria"/>
                                <w:noProof/>
                                <w:color w:val="595959"/>
                                <w:sz w:val="18"/>
                                <w:szCs w:val="18"/>
                              </w:rPr>
                              <w:t xml:space="preserve">, Petition 1039-10. </w:t>
                            </w:r>
                            <w:r w:rsidRPr="00F774AC">
                              <w:rPr>
                                <w:rFonts w:ascii="Cambria" w:hAnsi="Cambria" w:cs="Cambria"/>
                                <w:noProof/>
                                <w:color w:val="595959"/>
                                <w:sz w:val="18"/>
                                <w:szCs w:val="18"/>
                                <w:lang w:val="es-US"/>
                              </w:rPr>
                              <w:t xml:space="preserve">Admissibility. Diego Rojas Girón. Colombia. </w:t>
                            </w:r>
                            <w:r w:rsidR="008071E1">
                              <w:rPr>
                                <w:rFonts w:ascii="Cambria" w:hAnsi="Cambria" w:cs="Cambria"/>
                                <w:noProof/>
                                <w:color w:val="595959"/>
                                <w:sz w:val="18"/>
                                <w:szCs w:val="18"/>
                              </w:rPr>
                              <w:t>April 25, 2020</w:t>
                            </w:r>
                            <w:r w:rsidRPr="00214994">
                              <w:rPr>
                                <w:rFonts w:ascii="Cambria" w:hAnsi="Cambria" w:cs="Cambria"/>
                                <w:noProof/>
                                <w:color w:val="595959"/>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aruAIAAME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" filled="f" stroked="f" strokeweight=".5pt">
                <v:textbox>
                  <w:txbxContent>
                    <w:p w:rsidR="00095315" w:rsidRPr="00214994" w:rsidRDefault="00095315" w:rsidP="00214994">
                      <w:pPr>
                        <w:spacing w:line="276" w:lineRule="auto"/>
                        <w:rPr>
                          <w:rFonts w:ascii="Cambria" w:hAnsi="Cambria" w:cs="Cambria"/>
                          <w:noProof/>
                          <w:color w:val="595959"/>
                          <w:sz w:val="18"/>
                          <w:szCs w:val="18"/>
                        </w:rPr>
                      </w:pPr>
                      <w:r w:rsidRPr="00214994">
                        <w:rPr>
                          <w:rFonts w:ascii="Cambria" w:hAnsi="Cambria" w:cs="Cambria"/>
                          <w:b/>
                          <w:bCs/>
                          <w:noProof/>
                          <w:color w:val="595959"/>
                          <w:sz w:val="18"/>
                          <w:szCs w:val="18"/>
                        </w:rPr>
                        <w:t xml:space="preserve">Cite as: </w:t>
                      </w:r>
                      <w:r w:rsidRPr="00214994">
                        <w:rPr>
                          <w:rFonts w:ascii="Cambria" w:hAnsi="Cambria" w:cs="Cambria"/>
                          <w:noProof/>
                          <w:color w:val="595959"/>
                          <w:sz w:val="18"/>
                          <w:szCs w:val="18"/>
                        </w:rPr>
                        <w:t xml:space="preserve">IACHR, Report No. </w:t>
                      </w:r>
                      <w:r w:rsidR="008071E1">
                        <w:rPr>
                          <w:rFonts w:ascii="Cambria" w:hAnsi="Cambria" w:cs="Cambria"/>
                          <w:noProof/>
                          <w:color w:val="595959"/>
                          <w:sz w:val="18"/>
                          <w:szCs w:val="18"/>
                        </w:rPr>
                        <w:t>61</w:t>
                      </w:r>
                      <w:r w:rsidRPr="00214994">
                        <w:rPr>
                          <w:rFonts w:ascii="Cambria" w:hAnsi="Cambria" w:cs="Cambria"/>
                          <w:noProof/>
                          <w:color w:val="595959"/>
                          <w:sz w:val="18"/>
                          <w:szCs w:val="18"/>
                        </w:rPr>
                        <w:t>/</w:t>
                      </w:r>
                      <w:r w:rsidR="008071E1">
                        <w:rPr>
                          <w:rFonts w:ascii="Cambria" w:hAnsi="Cambria" w:cs="Cambria"/>
                          <w:noProof/>
                          <w:color w:val="595959"/>
                          <w:sz w:val="18"/>
                          <w:szCs w:val="18"/>
                        </w:rPr>
                        <w:t>20</w:t>
                      </w:r>
                      <w:r w:rsidRPr="00214994">
                        <w:rPr>
                          <w:rFonts w:ascii="Cambria" w:hAnsi="Cambria" w:cs="Cambria"/>
                          <w:noProof/>
                          <w:color w:val="595959"/>
                          <w:sz w:val="18"/>
                          <w:szCs w:val="18"/>
                        </w:rPr>
                        <w:t xml:space="preserve">, Petition 1039-10. Admissibility. Diego Rojas Girón. Colombia. </w:t>
                      </w:r>
                      <w:r w:rsidR="008071E1">
                        <w:rPr>
                          <w:rFonts w:ascii="Cambria" w:hAnsi="Cambria" w:cs="Cambria"/>
                          <w:noProof/>
                          <w:color w:val="595959"/>
                          <w:sz w:val="18"/>
                          <w:szCs w:val="18"/>
                        </w:rPr>
                        <w:t>April 25, 2020</w:t>
                      </w:r>
                      <w:r w:rsidRPr="00214994">
                        <w:rPr>
                          <w:rFonts w:ascii="Cambria" w:hAnsi="Cambria" w:cs="Cambria"/>
                          <w:noProof/>
                          <w:color w:val="595959"/>
                          <w:sz w:val="18"/>
                          <w:szCs w:val="18"/>
                        </w:rPr>
                        <w:t>.</w:t>
                      </w:r>
                    </w:p>
                  </w:txbxContent>
                </v:textbox>
              </v:shape>
            </w:pict>
          </mc:Fallback>
        </mc:AlternateContent>
      </w:r>
    </w:p>
    <w:p w:rsidR="00095315" w:rsidRPr="00CE0FE6" w:rsidRDefault="00095315" w:rsidP="00214994">
      <w:pPr>
        <w:tabs>
          <w:tab w:val="center" w:pos="5400"/>
        </w:tabs>
        <w:suppressAutoHyphens/>
        <w:jc w:val="center"/>
        <w:rPr>
          <w:rFonts w:ascii="Cambria" w:hAnsi="Cambria" w:cs="Cambria"/>
          <w:sz w:val="18"/>
          <w:szCs w:val="18"/>
        </w:rPr>
      </w:pPr>
    </w:p>
    <w:p w:rsidR="00095315" w:rsidRPr="00CE0FE6" w:rsidRDefault="00D31C78" w:rsidP="00214994">
      <w:pPr>
        <w:tabs>
          <w:tab w:val="center" w:pos="5400"/>
        </w:tabs>
        <w:suppressAutoHyphens/>
        <w:jc w:val="center"/>
        <w:rPr>
          <w:rFonts w:ascii="Cambria" w:hAnsi="Cambria" w:cs="Cambria"/>
          <w:b/>
          <w:bCs/>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915035</wp:posOffset>
                </wp:positionV>
                <wp:extent cx="1181100" cy="332740"/>
                <wp:effectExtent l="381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95315" w:rsidRPr="00214994" w:rsidRDefault="00095315" w:rsidP="00214994">
                            <w:pPr>
                              <w:jc w:val="center"/>
                              <w:rPr>
                                <w:rFonts w:ascii="Calibri" w:hAnsi="Calibri" w:cs="Calibri"/>
                                <w:b/>
                                <w:bCs/>
                                <w:noProof/>
                                <w:color w:val="FFFFFF"/>
                              </w:rPr>
                            </w:pPr>
                            <w:r w:rsidRPr="00214994">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1"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o5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" filled="f" stroked="f" strokeweight=".5pt">
                <v:textbox>
                  <w:txbxContent>
                    <w:p w:rsidR="00095315" w:rsidRPr="00214994" w:rsidRDefault="00095315" w:rsidP="00214994">
                      <w:pPr>
                        <w:jc w:val="center"/>
                        <w:rPr>
                          <w:rFonts w:ascii="Calibri" w:hAnsi="Calibri" w:cs="Calibri"/>
                          <w:b/>
                          <w:bCs/>
                          <w:noProof/>
                          <w:color w:val="FFFFFF"/>
                        </w:rPr>
                      </w:pPr>
                      <w:r w:rsidRPr="00214994">
                        <w:rPr>
                          <w:rFonts w:ascii="Calibri" w:hAnsi="Calibri" w:cs="Calibri"/>
                          <w:b/>
                          <w:bCs/>
                          <w:noProof/>
                          <w:color w:val="FFFFFF"/>
                        </w:rPr>
                        <w:t>www.cidh.org</w:t>
                      </w:r>
                    </w:p>
                  </w:txbxContent>
                </v:textbox>
              </v:shape>
            </w:pict>
          </mc:Fallback>
        </mc:AlternateContent>
      </w:r>
    </w:p>
    <w:p w:rsidR="00095315" w:rsidRPr="00CE0FE6" w:rsidRDefault="00095315" w:rsidP="00214994">
      <w:pPr>
        <w:tabs>
          <w:tab w:val="center" w:pos="5400"/>
        </w:tabs>
        <w:suppressAutoHyphens/>
        <w:jc w:val="center"/>
        <w:rPr>
          <w:rFonts w:ascii="Cambria" w:hAnsi="Cambria" w:cs="Cambria"/>
          <w:b/>
          <w:bCs/>
          <w:sz w:val="20"/>
          <w:szCs w:val="20"/>
        </w:rPr>
      </w:pPr>
    </w:p>
    <w:p w:rsidR="00095315" w:rsidRPr="00CE0FE6" w:rsidRDefault="00095315" w:rsidP="00214994">
      <w:pPr>
        <w:tabs>
          <w:tab w:val="center" w:pos="5400"/>
        </w:tabs>
        <w:suppressAutoHyphens/>
        <w:jc w:val="center"/>
        <w:rPr>
          <w:rFonts w:ascii="Cambria" w:hAnsi="Cambria" w:cs="Cambria"/>
          <w:b/>
          <w:bCs/>
          <w:sz w:val="20"/>
          <w:szCs w:val="20"/>
        </w:rPr>
      </w:pPr>
    </w:p>
    <w:p w:rsidR="00095315" w:rsidRPr="00CE0FE6" w:rsidRDefault="00D31C78" w:rsidP="00214994">
      <w:pPr>
        <w:tabs>
          <w:tab w:val="center" w:pos="5400"/>
        </w:tabs>
        <w:suppressAutoHyphens/>
        <w:jc w:val="center"/>
        <w:rPr>
          <w:rFonts w:ascii="Cambria" w:hAnsi="Cambria" w:cs="Cambria"/>
          <w:b/>
          <w:bCs/>
          <w:sz w:val="20"/>
          <w:szCs w:val="20"/>
        </w:rPr>
        <w:sectPr w:rsidR="00095315" w:rsidRPr="00CE0FE6"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noProof/>
        </w:rPr>
        <w:drawing>
          <wp:inline distT="0" distB="0" distL="0" distR="0">
            <wp:extent cx="1470025" cy="3702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0025" cy="370205"/>
                    </a:xfrm>
                    <a:prstGeom prst="rect">
                      <a:avLst/>
                    </a:prstGeom>
                    <a:noFill/>
                    <a:ln>
                      <a:noFill/>
                    </a:ln>
                  </pic:spPr>
                </pic:pic>
              </a:graphicData>
            </a:graphic>
          </wp:inline>
        </w:drawing>
      </w:r>
      <w:r w:rsidR="00095315" w:rsidRPr="00CE0FE6">
        <w:rPr>
          <w:rFonts w:ascii="Cambria" w:hAnsi="Cambria" w:cs="Cambria"/>
          <w:b/>
          <w:bCs/>
          <w:sz w:val="20"/>
          <w:szCs w:val="20"/>
        </w:rPr>
        <w:tab/>
      </w:r>
    </w:p>
    <w:p w:rsidR="00095315" w:rsidRPr="00CE0FE6" w:rsidRDefault="00095315" w:rsidP="00214994">
      <w:pPr>
        <w:spacing w:after="240"/>
        <w:ind w:firstLine="720"/>
        <w:jc w:val="both"/>
        <w:rPr>
          <w:rFonts w:ascii="Cambria" w:hAnsi="Cambria" w:cs="Cambria"/>
          <w:b/>
          <w:bCs/>
          <w:sz w:val="20"/>
          <w:szCs w:val="20"/>
        </w:rPr>
      </w:pPr>
      <w:r w:rsidRPr="00CE0FE6">
        <w:rPr>
          <w:rFonts w:ascii="Cambria" w:hAnsi="Cambria" w:cs="Cambria"/>
          <w:b/>
          <w:bCs/>
          <w:sz w:val="20"/>
          <w:szCs w:val="20"/>
        </w:rPr>
        <w:lastRenderedPageBreak/>
        <w:t>I.</w:t>
      </w:r>
      <w:r w:rsidRPr="00CE0FE6">
        <w:rPr>
          <w:rFonts w:ascii="Cambria" w:hAnsi="Cambria" w:cs="Cambria"/>
          <w:b/>
          <w:bCs/>
          <w:sz w:val="20"/>
          <w:szCs w:val="20"/>
        </w:rPr>
        <w:tab/>
        <w:t xml:space="preserve">INFORMATION ABOUT THE PETITION </w:t>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095315" w:rsidRPr="00CE0FE6">
        <w:tc>
          <w:tcPr>
            <w:tcW w:w="3600" w:type="dxa"/>
            <w:tcBorders>
              <w:top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Petitioner:</w:t>
            </w:r>
          </w:p>
        </w:tc>
        <w:tc>
          <w:tcPr>
            <w:tcW w:w="5760" w:type="dxa"/>
            <w:tcBorders>
              <w:top w:val="single" w:sz="4" w:space="0" w:color="auto"/>
            </w:tcBorders>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 xml:space="preserve">Diego Rojas </w:t>
            </w:r>
            <w:proofErr w:type="spellStart"/>
            <w:r w:rsidRPr="00CE0FE6">
              <w:rPr>
                <w:rFonts w:ascii="Cambria" w:hAnsi="Cambria" w:cs="Cambria"/>
                <w:sz w:val="20"/>
                <w:szCs w:val="20"/>
              </w:rPr>
              <w:t>Girón</w:t>
            </w:r>
            <w:proofErr w:type="spellEnd"/>
          </w:p>
        </w:tc>
      </w:tr>
      <w:tr w:rsidR="00095315" w:rsidRPr="00CE0FE6">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Alleged victim:</w:t>
            </w:r>
          </w:p>
        </w:tc>
        <w:tc>
          <w:tcPr>
            <w:tcW w:w="5760" w:type="dxa"/>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 xml:space="preserve">Diego Rojas </w:t>
            </w:r>
            <w:proofErr w:type="spellStart"/>
            <w:r w:rsidRPr="00CE0FE6">
              <w:rPr>
                <w:rFonts w:ascii="Cambria" w:hAnsi="Cambria" w:cs="Cambria"/>
                <w:sz w:val="20"/>
                <w:szCs w:val="20"/>
              </w:rPr>
              <w:t>Girón</w:t>
            </w:r>
            <w:proofErr w:type="spellEnd"/>
          </w:p>
        </w:tc>
      </w:tr>
      <w:tr w:rsidR="00095315" w:rsidRPr="00CE0FE6">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Respondent State:</w:t>
            </w:r>
          </w:p>
        </w:tc>
        <w:tc>
          <w:tcPr>
            <w:tcW w:w="5760" w:type="dxa"/>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Colombia</w:t>
            </w:r>
          </w:p>
        </w:tc>
      </w:tr>
      <w:tr w:rsidR="00095315" w:rsidRPr="00CE0FE6">
        <w:tc>
          <w:tcPr>
            <w:tcW w:w="3600" w:type="dxa"/>
            <w:tcBorders>
              <w:bottom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Rights invoked:</w:t>
            </w:r>
          </w:p>
        </w:tc>
        <w:tc>
          <w:tcPr>
            <w:tcW w:w="5760" w:type="dxa"/>
            <w:tcBorders>
              <w:bottom w:val="single" w:sz="4" w:space="0" w:color="auto"/>
            </w:tcBorders>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Articles 4 (life), 5 (humane treatment), 7 (personal liberty), 8 (right to a fair trial), 11 (privacy), 23 (political rights), 24 (</w:t>
            </w:r>
            <w:r w:rsidR="00AD4A35">
              <w:rPr>
                <w:rFonts w:ascii="Cambria" w:hAnsi="Cambria" w:cs="Cambria"/>
                <w:sz w:val="20"/>
                <w:szCs w:val="20"/>
              </w:rPr>
              <w:t>equal protection</w:t>
            </w:r>
            <w:r w:rsidRPr="00CE0FE6">
              <w:rPr>
                <w:rFonts w:ascii="Cambria" w:hAnsi="Cambria" w:cs="Cambria"/>
                <w:sz w:val="20"/>
                <w:szCs w:val="20"/>
              </w:rPr>
              <w:t>), and 25 (judicial protection) of the American Convention on Human Rights,</w:t>
            </w:r>
            <w:r w:rsidRPr="00CE0FE6">
              <w:rPr>
                <w:rStyle w:val="FootnoteReference"/>
                <w:rFonts w:ascii="Cambria" w:hAnsi="Cambria" w:cs="Cambria"/>
                <w:sz w:val="20"/>
                <w:szCs w:val="20"/>
              </w:rPr>
              <w:footnoteReference w:id="2"/>
            </w:r>
            <w:r w:rsidRPr="00CE0FE6">
              <w:rPr>
                <w:rFonts w:ascii="Cambria" w:hAnsi="Cambria" w:cs="Cambria"/>
                <w:sz w:val="20"/>
                <w:szCs w:val="20"/>
              </w:rPr>
              <w:t xml:space="preserve"> in conjunction with Article 1.1 thereof (obligation to respect rights)</w:t>
            </w:r>
          </w:p>
        </w:tc>
      </w:tr>
    </w:tbl>
    <w:p w:rsidR="00095315" w:rsidRPr="00CE0FE6" w:rsidRDefault="00095315" w:rsidP="00214994">
      <w:pPr>
        <w:spacing w:before="240" w:after="240"/>
        <w:ind w:firstLine="720"/>
        <w:jc w:val="both"/>
        <w:rPr>
          <w:rFonts w:ascii="Cambria" w:hAnsi="Cambria" w:cs="Cambria"/>
          <w:b/>
          <w:bCs/>
          <w:sz w:val="20"/>
          <w:szCs w:val="20"/>
        </w:rPr>
      </w:pPr>
      <w:r w:rsidRPr="00CE0FE6">
        <w:rPr>
          <w:rFonts w:ascii="Cambria" w:hAnsi="Cambria" w:cs="Cambria"/>
          <w:b/>
          <w:bCs/>
          <w:sz w:val="20"/>
          <w:szCs w:val="20"/>
        </w:rPr>
        <w:t>II.</w:t>
      </w:r>
      <w:r w:rsidRPr="00CE0FE6">
        <w:rPr>
          <w:rFonts w:ascii="Cambria" w:hAnsi="Cambria" w:cs="Cambria"/>
          <w:b/>
          <w:bCs/>
          <w:sz w:val="20"/>
          <w:szCs w:val="20"/>
        </w:rPr>
        <w:tab/>
        <w:t>PROCEEDINGS BEFORE THE IACHR</w:t>
      </w:r>
      <w:r w:rsidRPr="00CE0FE6">
        <w:rPr>
          <w:rFonts w:ascii="Cambria" w:hAnsi="Cambria" w:cs="Cambria"/>
          <w:b/>
          <w:bCs/>
          <w:sz w:val="20"/>
          <w:szCs w:val="20"/>
          <w:vertAlign w:val="superscript"/>
        </w:rPr>
        <w:footnoteReference w:id="3"/>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095315" w:rsidRPr="00CE0FE6">
        <w:tc>
          <w:tcPr>
            <w:tcW w:w="3600" w:type="dxa"/>
            <w:tcBorders>
              <w:top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Filing of the petition:</w:t>
            </w:r>
          </w:p>
        </w:tc>
        <w:tc>
          <w:tcPr>
            <w:tcW w:w="5760" w:type="dxa"/>
            <w:tcBorders>
              <w:top w:val="single" w:sz="4" w:space="0" w:color="auto"/>
            </w:tcBorders>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July 10, 2010</w:t>
            </w:r>
          </w:p>
        </w:tc>
      </w:tr>
      <w:tr w:rsidR="00095315" w:rsidRPr="00CE0FE6">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Additional information received at the stage of initial review:</w:t>
            </w:r>
          </w:p>
        </w:tc>
        <w:tc>
          <w:tcPr>
            <w:tcW w:w="5760" w:type="dxa"/>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December 22, 2010; December 5, 2011; January 31, 2013; January 16, 2014; August 4, 2015; March 7, 2016; and August 16, 2016</w:t>
            </w:r>
          </w:p>
        </w:tc>
      </w:tr>
      <w:tr w:rsidR="00095315" w:rsidRPr="00CE0FE6">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Notification of the petition to the State:</w:t>
            </w:r>
          </w:p>
        </w:tc>
        <w:tc>
          <w:tcPr>
            <w:tcW w:w="5760" w:type="dxa"/>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December 23, 2016</w:t>
            </w:r>
          </w:p>
        </w:tc>
      </w:tr>
      <w:tr w:rsidR="00095315" w:rsidRPr="00CE0FE6">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State’s first response:</w:t>
            </w:r>
          </w:p>
        </w:tc>
        <w:tc>
          <w:tcPr>
            <w:tcW w:w="5760" w:type="dxa"/>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March 14, 2018</w:t>
            </w:r>
          </w:p>
        </w:tc>
      </w:tr>
      <w:tr w:rsidR="00095315" w:rsidRPr="00CE0FE6">
        <w:tc>
          <w:tcPr>
            <w:tcW w:w="3600" w:type="dxa"/>
            <w:tcBorders>
              <w:bottom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Additional observations from the petitioner:</w:t>
            </w:r>
          </w:p>
        </w:tc>
        <w:tc>
          <w:tcPr>
            <w:tcW w:w="5760" w:type="dxa"/>
            <w:tcBorders>
              <w:bottom w:val="single" w:sz="4" w:space="0" w:color="auto"/>
            </w:tcBorders>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February 6, 2017; April 28, 2017; July 18, 2017; and September 13, 2017</w:t>
            </w:r>
          </w:p>
        </w:tc>
      </w:tr>
    </w:tbl>
    <w:p w:rsidR="00095315" w:rsidRPr="00CE0FE6" w:rsidRDefault="00095315" w:rsidP="00214994">
      <w:pPr>
        <w:spacing w:before="240" w:after="240"/>
        <w:ind w:firstLine="720"/>
        <w:jc w:val="both"/>
        <w:rPr>
          <w:rFonts w:ascii="Cambria" w:hAnsi="Cambria" w:cs="Cambria"/>
          <w:b/>
          <w:bCs/>
          <w:sz w:val="20"/>
          <w:szCs w:val="20"/>
        </w:rPr>
      </w:pPr>
      <w:r w:rsidRPr="00CE0FE6">
        <w:rPr>
          <w:rFonts w:ascii="Cambria" w:hAnsi="Cambria" w:cs="Cambria"/>
          <w:b/>
          <w:bCs/>
          <w:sz w:val="20"/>
          <w:szCs w:val="20"/>
        </w:rPr>
        <w:t xml:space="preserve">III. </w:t>
      </w:r>
      <w:r w:rsidRPr="00CE0FE6">
        <w:rPr>
          <w:rFonts w:ascii="Cambria" w:hAnsi="Cambria" w:cs="Cambria"/>
          <w:b/>
          <w:bCs/>
          <w:sz w:val="20"/>
          <w:szCs w:val="20"/>
        </w:rPr>
        <w:tab/>
        <w:t xml:space="preserve">COMPETENCE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095315" w:rsidRPr="00CE0FE6">
        <w:trPr>
          <w:cantSplit/>
        </w:trPr>
        <w:tc>
          <w:tcPr>
            <w:tcW w:w="3600" w:type="dxa"/>
            <w:tcBorders>
              <w:top w:val="single" w:sz="4" w:space="0" w:color="auto"/>
            </w:tcBorders>
            <w:shd w:val="clear" w:color="auto" w:fill="67AE3C"/>
            <w:vAlign w:val="center"/>
          </w:tcPr>
          <w:p w:rsidR="00095315" w:rsidRPr="00CE0FE6" w:rsidRDefault="00095315" w:rsidP="004817B7">
            <w:pPr>
              <w:jc w:val="center"/>
              <w:rPr>
                <w:rFonts w:ascii="Cambria" w:hAnsi="Cambria" w:cs="Cambria"/>
                <w:b/>
                <w:bCs/>
                <w:i/>
                <w:iCs/>
                <w:color w:val="FFFFFF"/>
                <w:sz w:val="20"/>
                <w:szCs w:val="20"/>
              </w:rPr>
            </w:pPr>
            <w:r w:rsidRPr="00CE0FE6">
              <w:rPr>
                <w:rFonts w:ascii="Cambria" w:hAnsi="Cambria" w:cs="Cambria"/>
                <w:b/>
                <w:bCs/>
                <w:color w:val="FFFFFF"/>
                <w:sz w:val="20"/>
                <w:szCs w:val="20"/>
              </w:rPr>
              <w:t xml:space="preserve">Competence </w:t>
            </w:r>
            <w:proofErr w:type="spellStart"/>
            <w:r w:rsidRPr="00CE0FE6">
              <w:rPr>
                <w:rFonts w:ascii="Cambria" w:hAnsi="Cambria" w:cs="Cambria"/>
                <w:b/>
                <w:bCs/>
                <w:i/>
                <w:iCs/>
                <w:color w:val="FFFFFF"/>
                <w:sz w:val="20"/>
                <w:szCs w:val="20"/>
              </w:rPr>
              <w:t>Ratione</w:t>
            </w:r>
            <w:proofErr w:type="spellEnd"/>
            <w:r w:rsidRPr="00CE0FE6">
              <w:rPr>
                <w:rFonts w:ascii="Cambria" w:hAnsi="Cambria" w:cs="Cambria"/>
                <w:b/>
                <w:bCs/>
                <w:i/>
                <w:iCs/>
                <w:color w:val="FFFFFF"/>
                <w:sz w:val="20"/>
                <w:szCs w:val="20"/>
              </w:rPr>
              <w:t xml:space="preserve"> personae</w:t>
            </w:r>
            <w:r w:rsidRPr="00CE0FE6">
              <w:rPr>
                <w:rFonts w:ascii="Cambria" w:hAnsi="Cambria" w:cs="Cambria"/>
                <w:b/>
                <w:bCs/>
                <w:color w:val="FFFFFF"/>
                <w:sz w:val="20"/>
                <w:szCs w:val="20"/>
              </w:rPr>
              <w:t>:</w:t>
            </w:r>
          </w:p>
        </w:tc>
        <w:tc>
          <w:tcPr>
            <w:tcW w:w="5760" w:type="dxa"/>
            <w:tcBorders>
              <w:top w:val="single" w:sz="4" w:space="0" w:color="auto"/>
            </w:tcBorders>
            <w:vAlign w:val="center"/>
          </w:tcPr>
          <w:p w:rsidR="00095315" w:rsidRPr="00CE0FE6" w:rsidRDefault="00095315" w:rsidP="004817B7">
            <w:pPr>
              <w:rPr>
                <w:rFonts w:ascii="Cambria" w:hAnsi="Cambria" w:cs="Cambria"/>
                <w:sz w:val="20"/>
                <w:szCs w:val="20"/>
              </w:rPr>
            </w:pPr>
            <w:r w:rsidRPr="00CE0FE6">
              <w:rPr>
                <w:rFonts w:ascii="Cambria" w:hAnsi="Cambria" w:cs="Cambria"/>
                <w:sz w:val="20"/>
                <w:szCs w:val="20"/>
              </w:rPr>
              <w:t>Yes</w:t>
            </w:r>
          </w:p>
        </w:tc>
      </w:tr>
      <w:tr w:rsidR="00095315" w:rsidRPr="00CE0FE6">
        <w:trPr>
          <w:cantSplit/>
        </w:trPr>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 xml:space="preserve">Competence </w:t>
            </w:r>
            <w:proofErr w:type="spellStart"/>
            <w:r w:rsidRPr="00CE0FE6">
              <w:rPr>
                <w:rFonts w:ascii="Cambria" w:hAnsi="Cambria" w:cs="Cambria"/>
                <w:b/>
                <w:bCs/>
                <w:i/>
                <w:iCs/>
                <w:color w:val="FFFFFF"/>
                <w:sz w:val="20"/>
                <w:szCs w:val="20"/>
              </w:rPr>
              <w:t>Ratione</w:t>
            </w:r>
            <w:proofErr w:type="spellEnd"/>
            <w:r w:rsidRPr="00CE0FE6">
              <w:rPr>
                <w:rFonts w:ascii="Cambria" w:hAnsi="Cambria" w:cs="Cambria"/>
                <w:b/>
                <w:bCs/>
                <w:i/>
                <w:iCs/>
                <w:color w:val="FFFFFF"/>
                <w:sz w:val="20"/>
                <w:szCs w:val="20"/>
              </w:rPr>
              <w:t xml:space="preserve"> loci</w:t>
            </w:r>
            <w:r w:rsidRPr="00CE0FE6">
              <w:rPr>
                <w:rFonts w:ascii="Cambria" w:hAnsi="Cambria" w:cs="Cambria"/>
                <w:b/>
                <w:bCs/>
                <w:color w:val="FFFFFF"/>
                <w:sz w:val="20"/>
                <w:szCs w:val="20"/>
              </w:rPr>
              <w:t>:</w:t>
            </w:r>
          </w:p>
        </w:tc>
        <w:tc>
          <w:tcPr>
            <w:tcW w:w="5760" w:type="dxa"/>
            <w:vAlign w:val="center"/>
          </w:tcPr>
          <w:p w:rsidR="00095315" w:rsidRPr="00CE0FE6" w:rsidRDefault="00095315" w:rsidP="004817B7">
            <w:pPr>
              <w:rPr>
                <w:rFonts w:ascii="Cambria" w:hAnsi="Cambria" w:cs="Cambria"/>
                <w:sz w:val="20"/>
                <w:szCs w:val="20"/>
              </w:rPr>
            </w:pPr>
            <w:r w:rsidRPr="00CE0FE6">
              <w:rPr>
                <w:rFonts w:ascii="Cambria" w:hAnsi="Cambria" w:cs="Cambria"/>
                <w:sz w:val="20"/>
                <w:szCs w:val="20"/>
              </w:rPr>
              <w:t>Yes</w:t>
            </w:r>
          </w:p>
        </w:tc>
      </w:tr>
      <w:tr w:rsidR="00095315" w:rsidRPr="00CE0FE6">
        <w:trPr>
          <w:cantSplit/>
        </w:trPr>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 xml:space="preserve">Competence </w:t>
            </w:r>
            <w:proofErr w:type="spellStart"/>
            <w:r w:rsidRPr="00CE0FE6">
              <w:rPr>
                <w:rFonts w:ascii="Cambria" w:hAnsi="Cambria" w:cs="Cambria"/>
                <w:b/>
                <w:bCs/>
                <w:i/>
                <w:iCs/>
                <w:color w:val="FFFFFF"/>
                <w:sz w:val="20"/>
                <w:szCs w:val="20"/>
              </w:rPr>
              <w:t>Ratione</w:t>
            </w:r>
            <w:proofErr w:type="spellEnd"/>
            <w:r w:rsidRPr="00CE0FE6">
              <w:rPr>
                <w:rFonts w:ascii="Cambria" w:hAnsi="Cambria" w:cs="Cambria"/>
                <w:b/>
                <w:bCs/>
                <w:i/>
                <w:iCs/>
                <w:color w:val="FFFFFF"/>
                <w:sz w:val="20"/>
                <w:szCs w:val="20"/>
              </w:rPr>
              <w:t xml:space="preserve"> </w:t>
            </w:r>
            <w:proofErr w:type="spellStart"/>
            <w:r w:rsidRPr="00CE0FE6">
              <w:rPr>
                <w:rFonts w:ascii="Cambria" w:hAnsi="Cambria" w:cs="Cambria"/>
                <w:b/>
                <w:bCs/>
                <w:i/>
                <w:iCs/>
                <w:color w:val="FFFFFF"/>
                <w:sz w:val="20"/>
                <w:szCs w:val="20"/>
              </w:rPr>
              <w:t>temporis</w:t>
            </w:r>
            <w:proofErr w:type="spellEnd"/>
            <w:r w:rsidRPr="00CE0FE6">
              <w:rPr>
                <w:rFonts w:ascii="Cambria" w:hAnsi="Cambria" w:cs="Cambria"/>
                <w:b/>
                <w:bCs/>
                <w:color w:val="FFFFFF"/>
                <w:sz w:val="20"/>
                <w:szCs w:val="20"/>
              </w:rPr>
              <w:t>:</w:t>
            </w:r>
          </w:p>
        </w:tc>
        <w:tc>
          <w:tcPr>
            <w:tcW w:w="5760" w:type="dxa"/>
            <w:vAlign w:val="center"/>
          </w:tcPr>
          <w:p w:rsidR="00095315" w:rsidRPr="00CE0FE6" w:rsidRDefault="00095315" w:rsidP="004817B7">
            <w:pPr>
              <w:rPr>
                <w:rFonts w:ascii="Cambria" w:hAnsi="Cambria" w:cs="Cambria"/>
                <w:sz w:val="20"/>
                <w:szCs w:val="20"/>
              </w:rPr>
            </w:pPr>
            <w:r w:rsidRPr="00CE0FE6">
              <w:rPr>
                <w:rFonts w:ascii="Cambria" w:hAnsi="Cambria" w:cs="Cambria"/>
                <w:sz w:val="20"/>
                <w:szCs w:val="20"/>
              </w:rPr>
              <w:t>Yes</w:t>
            </w:r>
          </w:p>
        </w:tc>
      </w:tr>
      <w:tr w:rsidR="00095315" w:rsidRPr="00CE0FE6">
        <w:trPr>
          <w:cantSplit/>
        </w:trPr>
        <w:tc>
          <w:tcPr>
            <w:tcW w:w="3600" w:type="dxa"/>
            <w:tcBorders>
              <w:bottom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 xml:space="preserve">Competence </w:t>
            </w:r>
            <w:proofErr w:type="spellStart"/>
            <w:r w:rsidRPr="00CE0FE6">
              <w:rPr>
                <w:rFonts w:ascii="Cambria" w:hAnsi="Cambria" w:cs="Cambria"/>
                <w:b/>
                <w:bCs/>
                <w:i/>
                <w:iCs/>
                <w:color w:val="FFFFFF"/>
                <w:sz w:val="20"/>
                <w:szCs w:val="20"/>
              </w:rPr>
              <w:t>Ratione</w:t>
            </w:r>
            <w:proofErr w:type="spellEnd"/>
            <w:r w:rsidRPr="00CE0FE6">
              <w:rPr>
                <w:rFonts w:ascii="Cambria" w:hAnsi="Cambria" w:cs="Cambria"/>
                <w:b/>
                <w:bCs/>
                <w:i/>
                <w:iCs/>
                <w:color w:val="FFFFFF"/>
                <w:sz w:val="20"/>
                <w:szCs w:val="20"/>
              </w:rPr>
              <w:t xml:space="preserve"> </w:t>
            </w:r>
            <w:proofErr w:type="spellStart"/>
            <w:r w:rsidRPr="00CE0FE6">
              <w:rPr>
                <w:rFonts w:ascii="Cambria" w:hAnsi="Cambria" w:cs="Cambria"/>
                <w:b/>
                <w:bCs/>
                <w:i/>
                <w:iCs/>
                <w:color w:val="FFFFFF"/>
                <w:sz w:val="20"/>
                <w:szCs w:val="20"/>
              </w:rPr>
              <w:t>materiae</w:t>
            </w:r>
            <w:proofErr w:type="spellEnd"/>
            <w:r w:rsidRPr="00CE0FE6">
              <w:rPr>
                <w:rFonts w:ascii="Cambria" w:hAnsi="Cambria" w:cs="Cambria"/>
                <w:b/>
                <w:bCs/>
                <w:color w:val="FFFFFF"/>
                <w:sz w:val="20"/>
                <w:szCs w:val="20"/>
              </w:rPr>
              <w:t>:</w:t>
            </w:r>
          </w:p>
        </w:tc>
        <w:tc>
          <w:tcPr>
            <w:tcW w:w="5760" w:type="dxa"/>
            <w:tcBorders>
              <w:bottom w:val="single" w:sz="4" w:space="0" w:color="auto"/>
            </w:tcBorders>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Yes</w:t>
            </w:r>
            <w:r w:rsidR="00AD4A35">
              <w:rPr>
                <w:rFonts w:ascii="Cambria" w:hAnsi="Cambria" w:cs="Cambria"/>
                <w:sz w:val="20"/>
                <w:szCs w:val="20"/>
              </w:rPr>
              <w:t>,</w:t>
            </w:r>
            <w:r w:rsidRPr="00CE0FE6">
              <w:rPr>
                <w:rFonts w:ascii="Cambria" w:hAnsi="Cambria" w:cs="Cambria"/>
                <w:sz w:val="20"/>
                <w:szCs w:val="20"/>
              </w:rPr>
              <w:t xml:space="preserve"> American Convention (instrument of ratification deposited on July 31, 1973)</w:t>
            </w:r>
          </w:p>
        </w:tc>
      </w:tr>
    </w:tbl>
    <w:p w:rsidR="00095315" w:rsidRPr="00CE0FE6" w:rsidRDefault="00095315" w:rsidP="00214994">
      <w:pPr>
        <w:spacing w:before="240" w:after="240"/>
        <w:ind w:firstLine="720"/>
        <w:jc w:val="both"/>
        <w:rPr>
          <w:rFonts w:ascii="Cambria" w:hAnsi="Cambria" w:cs="Cambria"/>
          <w:b/>
          <w:bCs/>
          <w:sz w:val="20"/>
          <w:szCs w:val="20"/>
        </w:rPr>
      </w:pPr>
      <w:r w:rsidRPr="00CE0FE6">
        <w:rPr>
          <w:rFonts w:ascii="Cambria" w:hAnsi="Cambria" w:cs="Cambria"/>
          <w:b/>
          <w:bCs/>
          <w:sz w:val="20"/>
          <w:szCs w:val="20"/>
        </w:rPr>
        <w:t xml:space="preserve">IV. </w:t>
      </w:r>
      <w:r w:rsidRPr="00CE0FE6">
        <w:rPr>
          <w:rFonts w:ascii="Cambria" w:hAnsi="Cambria" w:cs="Cambria"/>
          <w:b/>
          <w:bCs/>
          <w:sz w:val="20"/>
          <w:szCs w:val="20"/>
        </w:rPr>
        <w:tab/>
        <w:t xml:space="preserve">DUPLICATION OF PROCEDURES AND INTERNATIONAL </w:t>
      </w:r>
      <w:r w:rsidRPr="00CE0FE6">
        <w:rPr>
          <w:rFonts w:ascii="Cambria" w:hAnsi="Cambria" w:cs="Cambria"/>
          <w:b/>
          <w:bCs/>
          <w:i/>
          <w:iCs/>
          <w:sz w:val="20"/>
          <w:szCs w:val="20"/>
        </w:rPr>
        <w:t>RES JUDICATA</w:t>
      </w:r>
      <w:r w:rsidRPr="00CE0FE6">
        <w:rPr>
          <w:rFonts w:ascii="Cambria" w:hAnsi="Cambria" w:cs="Cambria"/>
          <w:b/>
          <w:bCs/>
          <w:sz w:val="20"/>
          <w:szCs w:val="20"/>
        </w:rPr>
        <w:t xml:space="preserve">, COLORABLE CLAIM, EXHAUSTION OF DOMESTIC REMEDIES, AND TIMELINESS OF THE PETITION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095315" w:rsidRPr="00CE0FE6">
        <w:trPr>
          <w:cantSplit/>
        </w:trPr>
        <w:tc>
          <w:tcPr>
            <w:tcW w:w="3600" w:type="dxa"/>
            <w:tcBorders>
              <w:top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 xml:space="preserve">Duplication of procedures and International </w:t>
            </w:r>
            <w:r w:rsidRPr="00CE0FE6">
              <w:rPr>
                <w:rFonts w:ascii="Cambria" w:hAnsi="Cambria" w:cs="Cambria"/>
                <w:b/>
                <w:bCs/>
                <w:i/>
                <w:iCs/>
                <w:color w:val="FFFFFF"/>
                <w:sz w:val="20"/>
                <w:szCs w:val="20"/>
              </w:rPr>
              <w:t>res judicata</w:t>
            </w:r>
            <w:r w:rsidRPr="00CE0FE6">
              <w:rPr>
                <w:rFonts w:ascii="Cambria" w:hAnsi="Cambria" w:cs="Cambria"/>
                <w:b/>
                <w:bCs/>
                <w:color w:val="FFFFFF"/>
                <w:sz w:val="20"/>
                <w:szCs w:val="20"/>
              </w:rPr>
              <w:t>:</w:t>
            </w:r>
          </w:p>
        </w:tc>
        <w:tc>
          <w:tcPr>
            <w:tcW w:w="5760" w:type="dxa"/>
            <w:tcBorders>
              <w:top w:val="single" w:sz="4" w:space="0" w:color="auto"/>
            </w:tcBorders>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No</w:t>
            </w:r>
          </w:p>
        </w:tc>
      </w:tr>
      <w:tr w:rsidR="00095315" w:rsidRPr="00CE0FE6">
        <w:trPr>
          <w:cantSplit/>
        </w:trPr>
        <w:tc>
          <w:tcPr>
            <w:tcW w:w="3600" w:type="dxa"/>
            <w:shd w:val="clear" w:color="auto" w:fill="67AE3C"/>
            <w:vAlign w:val="center"/>
          </w:tcPr>
          <w:p w:rsidR="00095315" w:rsidRPr="00CE0FE6" w:rsidRDefault="00095315" w:rsidP="004817B7">
            <w:pPr>
              <w:jc w:val="center"/>
              <w:rPr>
                <w:rFonts w:ascii="Cambria" w:hAnsi="Cambria" w:cs="Cambria"/>
                <w:b/>
                <w:bCs/>
                <w:i/>
                <w:iCs/>
                <w:color w:val="FFFFFF"/>
                <w:sz w:val="20"/>
                <w:szCs w:val="20"/>
              </w:rPr>
            </w:pPr>
            <w:r w:rsidRPr="00CE0FE6">
              <w:rPr>
                <w:rFonts w:ascii="Cambria" w:hAnsi="Cambria" w:cs="Cambria"/>
                <w:b/>
                <w:bCs/>
                <w:color w:val="FFFFFF"/>
                <w:sz w:val="20"/>
                <w:szCs w:val="20"/>
              </w:rPr>
              <w:t xml:space="preserve">Rights declared admissible: </w:t>
            </w:r>
          </w:p>
        </w:tc>
        <w:tc>
          <w:tcPr>
            <w:tcW w:w="5760" w:type="dxa"/>
            <w:vAlign w:val="center"/>
          </w:tcPr>
          <w:p w:rsidR="00095315" w:rsidRPr="00CE0FE6" w:rsidRDefault="00095315" w:rsidP="004817B7">
            <w:pPr>
              <w:jc w:val="both"/>
              <w:rPr>
                <w:rFonts w:ascii="Cambria" w:hAnsi="Cambria" w:cs="Cambria"/>
                <w:sz w:val="20"/>
                <w:szCs w:val="20"/>
              </w:rPr>
            </w:pPr>
            <w:r w:rsidRPr="00CE0FE6">
              <w:rPr>
                <w:rFonts w:ascii="Cambria" w:hAnsi="Cambria" w:cs="Cambria"/>
                <w:sz w:val="20"/>
                <w:szCs w:val="20"/>
              </w:rPr>
              <w:t>Articles 7 (personal liberty), 8 (right to a fair trial), 23 (political rights), and 25 (judicial protection) of the American Convention, in conjunction with Articles 1.1 (obligation to respect rights) and 2 (domestic legal effects) thereof</w:t>
            </w:r>
          </w:p>
        </w:tc>
      </w:tr>
      <w:tr w:rsidR="00095315" w:rsidRPr="00CE0FE6">
        <w:trPr>
          <w:cantSplit/>
        </w:trPr>
        <w:tc>
          <w:tcPr>
            <w:tcW w:w="3600" w:type="dxa"/>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 xml:space="preserve">Exhaustion of domestic remedies or applicability of an exception to the rule: </w:t>
            </w:r>
          </w:p>
        </w:tc>
        <w:tc>
          <w:tcPr>
            <w:tcW w:w="5760" w:type="dxa"/>
            <w:vAlign w:val="center"/>
          </w:tcPr>
          <w:p w:rsidR="00095315" w:rsidRPr="00CE0FE6" w:rsidRDefault="00095315" w:rsidP="004817B7">
            <w:pPr>
              <w:rPr>
                <w:rFonts w:ascii="Cambria" w:hAnsi="Cambria" w:cs="Cambria"/>
                <w:sz w:val="20"/>
                <w:szCs w:val="20"/>
              </w:rPr>
            </w:pPr>
            <w:r w:rsidRPr="00CE0FE6">
              <w:rPr>
                <w:rFonts w:ascii="Cambria" w:hAnsi="Cambria" w:cs="Cambria"/>
                <w:sz w:val="20"/>
                <w:szCs w:val="20"/>
              </w:rPr>
              <w:t>Yes</w:t>
            </w:r>
            <w:r w:rsidR="00D31C78">
              <w:rPr>
                <w:rFonts w:ascii="Cambria" w:hAnsi="Cambria" w:cs="Cambria"/>
                <w:sz w:val="20"/>
                <w:szCs w:val="20"/>
              </w:rPr>
              <w:t>,</w:t>
            </w:r>
            <w:r w:rsidRPr="00CE0FE6">
              <w:rPr>
                <w:rFonts w:ascii="Cambria" w:hAnsi="Cambria" w:cs="Cambria"/>
                <w:sz w:val="20"/>
                <w:szCs w:val="20"/>
              </w:rPr>
              <w:t xml:space="preserve"> exception in ACHR Article 46.2.a applies</w:t>
            </w:r>
          </w:p>
        </w:tc>
      </w:tr>
      <w:tr w:rsidR="00095315" w:rsidRPr="00CE0FE6">
        <w:trPr>
          <w:cantSplit/>
        </w:trPr>
        <w:tc>
          <w:tcPr>
            <w:tcW w:w="3600" w:type="dxa"/>
            <w:tcBorders>
              <w:bottom w:val="single" w:sz="4" w:space="0" w:color="auto"/>
            </w:tcBorders>
            <w:shd w:val="clear" w:color="auto" w:fill="67AE3C"/>
            <w:vAlign w:val="center"/>
          </w:tcPr>
          <w:p w:rsidR="00095315" w:rsidRPr="00CE0FE6" w:rsidRDefault="00095315" w:rsidP="004817B7">
            <w:pPr>
              <w:jc w:val="center"/>
              <w:rPr>
                <w:rFonts w:ascii="Cambria" w:hAnsi="Cambria" w:cs="Cambria"/>
                <w:b/>
                <w:bCs/>
                <w:color w:val="FFFFFF"/>
                <w:sz w:val="20"/>
                <w:szCs w:val="20"/>
              </w:rPr>
            </w:pPr>
            <w:r w:rsidRPr="00CE0FE6">
              <w:rPr>
                <w:rFonts w:ascii="Cambria" w:hAnsi="Cambria" w:cs="Cambria"/>
                <w:b/>
                <w:bCs/>
                <w:color w:val="FFFFFF"/>
                <w:sz w:val="20"/>
                <w:szCs w:val="20"/>
              </w:rPr>
              <w:t>Timeliness of the petition:</w:t>
            </w:r>
          </w:p>
        </w:tc>
        <w:tc>
          <w:tcPr>
            <w:tcW w:w="5760" w:type="dxa"/>
            <w:tcBorders>
              <w:bottom w:val="single" w:sz="4" w:space="0" w:color="auto"/>
            </w:tcBorders>
            <w:vAlign w:val="center"/>
          </w:tcPr>
          <w:p w:rsidR="00095315" w:rsidRPr="00CE0FE6" w:rsidRDefault="00095315" w:rsidP="004817B7">
            <w:pPr>
              <w:rPr>
                <w:rFonts w:ascii="Cambria" w:hAnsi="Cambria" w:cs="Cambria"/>
                <w:sz w:val="20"/>
                <w:szCs w:val="20"/>
              </w:rPr>
            </w:pPr>
            <w:r w:rsidRPr="00CE0FE6">
              <w:rPr>
                <w:rFonts w:ascii="Cambria" w:hAnsi="Cambria" w:cs="Cambria"/>
                <w:sz w:val="20"/>
                <w:szCs w:val="20"/>
              </w:rPr>
              <w:t xml:space="preserve">Yes, </w:t>
            </w:r>
            <w:r w:rsidR="00D31C78">
              <w:rPr>
                <w:rFonts w:ascii="Cambria" w:hAnsi="Cambria" w:cs="Cambria"/>
                <w:sz w:val="20"/>
                <w:szCs w:val="20"/>
              </w:rPr>
              <w:t>under the term of Section VI</w:t>
            </w:r>
          </w:p>
        </w:tc>
      </w:tr>
    </w:tbl>
    <w:p w:rsidR="00095315" w:rsidRPr="00CE0FE6" w:rsidRDefault="00095315" w:rsidP="00214994">
      <w:pPr>
        <w:spacing w:before="240" w:after="240"/>
        <w:ind w:firstLine="720"/>
        <w:jc w:val="both"/>
        <w:rPr>
          <w:rFonts w:ascii="Cambria" w:hAnsi="Cambria" w:cs="Cambria"/>
          <w:b/>
          <w:bCs/>
          <w:sz w:val="20"/>
          <w:szCs w:val="20"/>
        </w:rPr>
      </w:pPr>
      <w:r w:rsidRPr="00CE0FE6">
        <w:rPr>
          <w:rFonts w:ascii="Cambria" w:hAnsi="Cambria" w:cs="Cambria"/>
          <w:b/>
          <w:bCs/>
          <w:sz w:val="20"/>
          <w:szCs w:val="20"/>
        </w:rPr>
        <w:t xml:space="preserve">V. </w:t>
      </w:r>
      <w:r w:rsidRPr="00CE0FE6">
        <w:rPr>
          <w:rFonts w:ascii="Cambria" w:hAnsi="Cambria" w:cs="Cambria"/>
          <w:b/>
          <w:bCs/>
          <w:sz w:val="20"/>
          <w:szCs w:val="20"/>
        </w:rPr>
        <w:tab/>
        <w:t>FACTS ALLEGED</w:t>
      </w:r>
      <w:r w:rsidRPr="00CE0FE6">
        <w:rPr>
          <w:rFonts w:ascii="Cambria" w:hAnsi="Cambria" w:cs="Cambria"/>
          <w:sz w:val="20"/>
          <w:szCs w:val="20"/>
        </w:rPr>
        <w:t xml:space="preserve">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Mr. Diego Rojas </w:t>
      </w:r>
      <w:proofErr w:type="spellStart"/>
      <w:r w:rsidRPr="00CE0FE6">
        <w:rPr>
          <w:rFonts w:ascii="Cambria" w:hAnsi="Cambria" w:cs="Cambria"/>
          <w:sz w:val="20"/>
          <w:szCs w:val="20"/>
        </w:rPr>
        <w:t>Girón</w:t>
      </w:r>
      <w:proofErr w:type="spellEnd"/>
      <w:r w:rsidRPr="00CE0FE6">
        <w:rPr>
          <w:rFonts w:ascii="Cambria" w:hAnsi="Cambria" w:cs="Cambria"/>
          <w:sz w:val="20"/>
          <w:szCs w:val="20"/>
        </w:rPr>
        <w:t xml:space="preserve">, the petitioner and alleged victim, alleges that as a result of performing his duties as the Sectional Director of Prosecutors’ Offices in Santiago de Cali, he was convicted of the crime of perverting the course of justice, in single-instance criminal proceedings that violated his right to a fair trial.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lastRenderedPageBreak/>
        <w:t xml:space="preserve">The petitioner states that on August 30, 2001, he took office as Sectional Director and that, in discharging the duties of that position, between April and July 2002 he issued a series of resolutions intended to reduce the backlog of preliminary investigations opened prior to December 31, 2001. Those resolutions ordered the prosecutors in charge of those investigations to refrain from adopting decisions in connection with them and to assign competence for the backlogged cases to a special commission of prosecutors appointed for the purpose. He stresses that the investigations covered by the program had been completely abandoned, some of them since 1992.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He further explains that in February 2004 a series of news stories were published in </w:t>
      </w:r>
      <w:proofErr w:type="spellStart"/>
      <w:r w:rsidRPr="00CE0FE6">
        <w:rPr>
          <w:rFonts w:ascii="Cambria" w:hAnsi="Cambria" w:cs="Cambria"/>
          <w:i/>
          <w:iCs/>
          <w:sz w:val="20"/>
          <w:szCs w:val="20"/>
        </w:rPr>
        <w:t>Revista</w:t>
      </w:r>
      <w:proofErr w:type="spellEnd"/>
      <w:r w:rsidRPr="00CE0FE6">
        <w:rPr>
          <w:rFonts w:ascii="Cambria" w:hAnsi="Cambria" w:cs="Cambria"/>
          <w:i/>
          <w:iCs/>
          <w:sz w:val="20"/>
          <w:szCs w:val="20"/>
        </w:rPr>
        <w:t xml:space="preserve"> </w:t>
      </w:r>
      <w:proofErr w:type="spellStart"/>
      <w:r w:rsidRPr="00CE0FE6">
        <w:rPr>
          <w:rFonts w:ascii="Cambria" w:hAnsi="Cambria" w:cs="Cambria"/>
          <w:i/>
          <w:iCs/>
          <w:sz w:val="20"/>
          <w:szCs w:val="20"/>
        </w:rPr>
        <w:t>Cambio</w:t>
      </w:r>
      <w:proofErr w:type="spellEnd"/>
      <w:r w:rsidRPr="00CE0FE6">
        <w:rPr>
          <w:rFonts w:ascii="Cambria" w:hAnsi="Cambria" w:cs="Cambria"/>
          <w:sz w:val="20"/>
          <w:szCs w:val="20"/>
        </w:rPr>
        <w:t xml:space="preserve"> alleging that private citizens were making illegal payments to prosecution service officials. In response to those publications, the Public Prosecution Service began a preliminary investigation into various corruption offenses against him and a group of other officials involved with the backlog program. As the immediate background to the incident, the petitioner indicates that prior to the publication of the news stories, the Deputy Prosecutor </w:t>
      </w:r>
      <w:r w:rsidR="00E81CE2">
        <w:rPr>
          <w:rFonts w:ascii="Cambria" w:hAnsi="Cambria" w:cs="Cambria"/>
          <w:sz w:val="20"/>
          <w:szCs w:val="20"/>
        </w:rPr>
        <w:t>had</w:t>
      </w:r>
      <w:r w:rsidRPr="00CE0FE6">
        <w:rPr>
          <w:rFonts w:ascii="Cambria" w:hAnsi="Cambria" w:cs="Cambria"/>
          <w:sz w:val="20"/>
          <w:szCs w:val="20"/>
        </w:rPr>
        <w:t xml:space="preserve"> opened an investigation into the resolutions he issued as Sectional Director, </w:t>
      </w:r>
      <w:r w:rsidR="006A3142" w:rsidRPr="00CE0FE6">
        <w:rPr>
          <w:rFonts w:ascii="Cambria" w:hAnsi="Cambria" w:cs="Cambria"/>
          <w:sz w:val="20"/>
          <w:szCs w:val="20"/>
        </w:rPr>
        <w:t>but it</w:t>
      </w:r>
      <w:r w:rsidRPr="00CE0FE6">
        <w:rPr>
          <w:rFonts w:ascii="Cambria" w:hAnsi="Cambria" w:cs="Cambria"/>
          <w:sz w:val="20"/>
          <w:szCs w:val="20"/>
        </w:rPr>
        <w:t xml:space="preserve"> was </w:t>
      </w:r>
      <w:r w:rsidR="00E41179">
        <w:rPr>
          <w:rFonts w:ascii="Cambria" w:hAnsi="Cambria" w:cs="Cambria"/>
          <w:sz w:val="20"/>
          <w:szCs w:val="20"/>
        </w:rPr>
        <w:t>archived</w:t>
      </w:r>
      <w:r w:rsidRPr="00CE0FE6">
        <w:rPr>
          <w:rFonts w:ascii="Cambria" w:hAnsi="Cambria" w:cs="Cambria"/>
          <w:sz w:val="20"/>
          <w:szCs w:val="20"/>
        </w:rPr>
        <w:t xml:space="preserve"> by means of a </w:t>
      </w:r>
      <w:r w:rsidR="00E41179">
        <w:rPr>
          <w:rFonts w:ascii="Cambria" w:hAnsi="Cambria" w:cs="Cambria"/>
          <w:sz w:val="20"/>
          <w:szCs w:val="20"/>
        </w:rPr>
        <w:t>prosecution dismissal</w:t>
      </w:r>
      <w:r w:rsidRPr="00CE0FE6">
        <w:rPr>
          <w:rFonts w:ascii="Cambria" w:hAnsi="Cambria" w:cs="Cambria"/>
          <w:sz w:val="20"/>
          <w:szCs w:val="20"/>
        </w:rPr>
        <w:t xml:space="preserve"> on January 27, 2004.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He states that on May 26, 2004, the prosecutor in charge of the investigation declared him a fugitive, without giving grounds for that decision or specifying any crime; and that it was not until September 21, 2004, that he was informed he was under investigation for the crime of perverting the course of justice for issuing the resolutions in question. In that context, he reports that on October 6, 2004, the prosecution service revoked the </w:t>
      </w:r>
      <w:r w:rsidR="00E41179">
        <w:rPr>
          <w:rFonts w:ascii="Cambria" w:hAnsi="Cambria" w:cs="Cambria"/>
          <w:sz w:val="20"/>
          <w:szCs w:val="20"/>
        </w:rPr>
        <w:t>prosecution dismissal</w:t>
      </w:r>
      <w:r w:rsidRPr="00CE0FE6">
        <w:rPr>
          <w:rFonts w:ascii="Cambria" w:hAnsi="Cambria" w:cs="Cambria"/>
          <w:sz w:val="20"/>
          <w:szCs w:val="20"/>
        </w:rPr>
        <w:t xml:space="preserve"> of January 27, 2004, without following the established procedure, and ordered that investigation</w:t>
      </w:r>
      <w:r w:rsidR="00E41179">
        <w:rPr>
          <w:rFonts w:ascii="Cambria" w:hAnsi="Cambria" w:cs="Cambria"/>
          <w:sz w:val="20"/>
          <w:szCs w:val="20"/>
        </w:rPr>
        <w:t xml:space="preserve"> to</w:t>
      </w:r>
      <w:r w:rsidRPr="00CE0FE6">
        <w:rPr>
          <w:rFonts w:ascii="Cambria" w:hAnsi="Cambria" w:cs="Cambria"/>
          <w:sz w:val="20"/>
          <w:szCs w:val="20"/>
        </w:rPr>
        <w:t xml:space="preserve"> be combined with the new investigation. He states that on October 11, 2004, an order was issued for his preventive custody; that he was arrested on January 24, 2005; and that on May 23 of that year the prosecution service formally charged him with the crime of perverting the course of justice. He also notes that his preventive custody order was revoked and he was allowed to remain at liberty provided he reported to the authorities when so required in connection with the case.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On July 7, 2008, the Criminal Cassation Chamber of the Supreme Court, in single-instance proceedings, found the petitioner guilty of the crime of perverting the course of justice and gave him a 59-month custodial sentence, imposed a fine, and disqualified him from public functions for a period of 77 months. The Chamber concluded that as Sectional Director, he had neither the legal or regulatory authority to suspend the investigations covered by the backlog reduction program </w:t>
      </w:r>
      <w:r w:rsidR="00E41179">
        <w:rPr>
          <w:rFonts w:ascii="Cambria" w:hAnsi="Cambria" w:cs="Cambria"/>
          <w:sz w:val="20"/>
          <w:szCs w:val="20"/>
        </w:rPr>
        <w:t>and</w:t>
      </w:r>
      <w:r w:rsidRPr="00CE0FE6">
        <w:rPr>
          <w:rFonts w:ascii="Cambria" w:hAnsi="Cambria" w:cs="Cambria"/>
          <w:sz w:val="20"/>
          <w:szCs w:val="20"/>
        </w:rPr>
        <w:t xml:space="preserve"> to deprive the competent prosecutors of their duty of investigating. The petitioner contends that issuing this decision by means of a single-instance procedure was improper, since his position was a strictly administrative post and not that of a senior public official. In addition, he claims that the actions for which he was punished did not constitute a crime and that in parallel, in 2005 and 2006, the Office of the Attorney General of the Nation shelved two additional disciplinary investigations opened against him for the same facts which, in his opinion, indicates that his rights were violated.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The petitioner indicates that on account of his inability to appeal that judgment, he lodged </w:t>
      </w:r>
      <w:r w:rsidR="000C3BF5" w:rsidRPr="00CE0FE6">
        <w:rPr>
          <w:rFonts w:ascii="Cambria" w:hAnsi="Cambria" w:cs="Cambria"/>
          <w:sz w:val="20"/>
          <w:szCs w:val="20"/>
        </w:rPr>
        <w:t>an</w:t>
      </w:r>
      <w:r w:rsidRPr="00CE0FE6">
        <w:rPr>
          <w:rFonts w:ascii="Cambria" w:hAnsi="Cambria" w:cs="Cambria"/>
          <w:sz w:val="20"/>
          <w:szCs w:val="20"/>
        </w:rPr>
        <w:t xml:space="preserve"> action</w:t>
      </w:r>
      <w:r w:rsidR="00BD0136">
        <w:rPr>
          <w:rFonts w:ascii="Cambria" w:hAnsi="Cambria" w:cs="Cambria"/>
          <w:sz w:val="20"/>
          <w:szCs w:val="20"/>
        </w:rPr>
        <w:t xml:space="preserve"> for constitutional relief</w:t>
      </w:r>
      <w:r w:rsidRPr="00CE0FE6">
        <w:rPr>
          <w:rFonts w:ascii="Cambria" w:hAnsi="Cambria" w:cs="Cambria"/>
          <w:sz w:val="20"/>
          <w:szCs w:val="20"/>
        </w:rPr>
        <w:t xml:space="preserve"> that was dismissed by the Supreme Court’s Civil Cassation Chamber on October 23, 2008. That decision maintained that single-instance convictions could not be appealed through constitutional relief, since they represented the decision of the final venue of regular jurisdiction. Following that unfavorable ruling, he lodged </w:t>
      </w:r>
      <w:r w:rsidR="00BD0136">
        <w:rPr>
          <w:rFonts w:ascii="Cambria" w:hAnsi="Cambria" w:cs="Cambria"/>
          <w:sz w:val="20"/>
          <w:szCs w:val="20"/>
        </w:rPr>
        <w:t xml:space="preserve">an action for constitutional </w:t>
      </w:r>
      <w:r w:rsidR="006A3142">
        <w:rPr>
          <w:rFonts w:ascii="Cambria" w:hAnsi="Cambria" w:cs="Cambria"/>
          <w:sz w:val="20"/>
          <w:szCs w:val="20"/>
        </w:rPr>
        <w:t>relief</w:t>
      </w:r>
      <w:r w:rsidR="006A3142" w:rsidRPr="00CE0FE6">
        <w:rPr>
          <w:rFonts w:ascii="Cambria" w:hAnsi="Cambria" w:cs="Cambria"/>
          <w:sz w:val="20"/>
          <w:szCs w:val="20"/>
        </w:rPr>
        <w:t xml:space="preserve"> with</w:t>
      </w:r>
      <w:r w:rsidRPr="00CE0FE6">
        <w:rPr>
          <w:rFonts w:ascii="Cambria" w:hAnsi="Cambria" w:cs="Cambria"/>
          <w:sz w:val="20"/>
          <w:szCs w:val="20"/>
        </w:rPr>
        <w:t xml:space="preserve"> the Disciplinary Chamber of the Sectional Council of the Judicature in Valle del Cauca which, in a decision of November 14, 2008, ruled his action inadmissible and referred the proceedings back to the Supreme Court of Justice, which it maintained was the competent authority for resolving the matter. Accordingly, on December 12, 2008, the Civil Cassation Chamber reiterated the remedy’s inadmissibility</w:t>
      </w:r>
      <w:r w:rsidR="00BD0136">
        <w:rPr>
          <w:rFonts w:ascii="Cambria" w:hAnsi="Cambria" w:cs="Cambria"/>
          <w:sz w:val="20"/>
          <w:szCs w:val="20"/>
        </w:rPr>
        <w:t>.</w:t>
      </w:r>
      <w:r w:rsidRPr="00CE0FE6">
        <w:rPr>
          <w:rFonts w:ascii="Cambria" w:hAnsi="Cambria" w:cs="Cambria"/>
          <w:sz w:val="20"/>
          <w:szCs w:val="20"/>
        </w:rPr>
        <w:t xml:space="preserve"> </w:t>
      </w:r>
      <w:r w:rsidR="00BD0136" w:rsidRPr="00CE0FE6">
        <w:rPr>
          <w:rFonts w:ascii="Cambria" w:hAnsi="Cambria" w:cs="Cambria"/>
          <w:sz w:val="20"/>
          <w:szCs w:val="20"/>
        </w:rPr>
        <w:t>In</w:t>
      </w:r>
      <w:r w:rsidRPr="00CE0FE6">
        <w:rPr>
          <w:rFonts w:ascii="Cambria" w:hAnsi="Cambria" w:cs="Cambria"/>
          <w:sz w:val="20"/>
          <w:szCs w:val="20"/>
        </w:rPr>
        <w:t xml:space="preserve"> response, the petitioner took his case to the Disciplinary Jurisdictional Chamber of the Sectional Council of the Judicature in Cundinamarca which, on January 14, 2009, admitted his </w:t>
      </w:r>
      <w:r w:rsidR="00BD0136">
        <w:rPr>
          <w:rFonts w:ascii="Cambria" w:hAnsi="Cambria" w:cs="Cambria"/>
          <w:sz w:val="20"/>
          <w:szCs w:val="20"/>
        </w:rPr>
        <w:t>action for constitutional relief</w:t>
      </w:r>
      <w:r w:rsidRPr="00CE0FE6">
        <w:rPr>
          <w:rFonts w:ascii="Cambria" w:hAnsi="Cambria" w:cs="Cambria"/>
          <w:sz w:val="20"/>
          <w:szCs w:val="20"/>
        </w:rPr>
        <w:t>; on January 23, 2009, that collegiate body ruled the remedy inadmissible and referred the matter to the Supreme Court of Justice. Then, on April 3, 2009, the plenary of the Supreme Court resolved not to admit the petitioner’s protective action for the third time and ordered the proceedings returned to the Disciplinary Chamber of the Sectional Council of the Judicature in Cundinamarca; following which, according to the petitioner’s narrative, the Disciplinary Chamber finally admitted his protective action by means of a resolution of June 3, 2009.</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lastRenderedPageBreak/>
        <w:t xml:space="preserve">On June 19, 2009, the Disciplinary Chamber of the Superior Council of the Judicature in Cundinamarca ruled the application out of order on the grounds that it was untimely. The petitioner challenged that ruling on July 6, 2009, and, on September 10, the Disciplinary Jurisdictional Chamber of the Judicature Council upheld the dismissal of the action. This time the Chamber did not challenge the timeliness of the action but instead ruled on the merits of the case, finding that the criminal conviction had followed constitutional and legal principles in its analysis of the evidence.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Finally, on February 19, 2010, the Selection Chamber of the Constitutional Court disqualified the case file from review and informed the petitioner of that decision on April 20, 2010. </w:t>
      </w:r>
    </w:p>
    <w:p w:rsidR="00095315" w:rsidRPr="00CE0FE6" w:rsidRDefault="00095315" w:rsidP="00214994">
      <w:pPr>
        <w:pStyle w:val="ListParagraph"/>
        <w:numPr>
          <w:ilvl w:val="0"/>
          <w:numId w:val="51"/>
        </w:numPr>
        <w:suppressAutoHyphens/>
        <w:spacing w:after="240"/>
        <w:ind w:left="0"/>
        <w:jc w:val="both"/>
        <w:rPr>
          <w:sz w:val="20"/>
          <w:szCs w:val="20"/>
        </w:rPr>
      </w:pPr>
      <w:r w:rsidRPr="00CE0FE6">
        <w:rPr>
          <w:sz w:val="20"/>
          <w:szCs w:val="20"/>
        </w:rPr>
        <w:t xml:space="preserve">Mr. Rojas </w:t>
      </w:r>
      <w:proofErr w:type="spellStart"/>
      <w:r w:rsidRPr="00CE0FE6">
        <w:rPr>
          <w:sz w:val="20"/>
          <w:szCs w:val="20"/>
        </w:rPr>
        <w:t>Girón</w:t>
      </w:r>
      <w:proofErr w:type="spellEnd"/>
      <w:r w:rsidRPr="00CE0FE6">
        <w:rPr>
          <w:sz w:val="20"/>
          <w:szCs w:val="20"/>
        </w:rPr>
        <w:t xml:space="preserve"> claims that on October 29, 2014, the Constitutional Court of Colombia issued judgment C-792 of 2014, ruling unconstitutional the language used in several articles of the New Code of Criminal Procedure (Law 906 of 2004) that disallowed the possibility of challenging convictions handed down by second-instance courts. He states that under that precedent, he appealed against his conviction on April 29, 2016. On June 29, 2016, however, the Criminal Chamber of the Supreme Court of Justice ruled his filing out of order.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The State, in turn, contends that the proceedings in which the alleged victim was involved were carried out in compliance with the applicable legal and constitutional framework and with full respect for judicial guarantees and due process. It requests that the petition be ruled inadmissible under Article 47.b of the American Convention in that it believes that the petitioner’s intent is for the Commission to act as a court of appeal, in contradiction to its complementary nature.</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Colombia notes that criminal law clearly establishes the competence of the Supreme Court of Justice to try, in single-instance proceedings, sectional directors of the prosecution service and other senior public officials. It also explains that the alleged precedent set by judgment C-792 of 2014 did not establish that convictions handed down in single-instance proceedings were to admit appeals through regular remedies, but rather ensured that that guarantee was made available for convictions issued for the first time by a second-instance court. It adds that the aforesaid decision of the Constitutional Court applied only to the provisions of the New Code of Criminal Procedure (Law 906 of 2004) and that the alleged victim was tried under the provisions of Law 600 of 2000 (the Code of Criminal Procedure). It therefore concludes that the precedent was not applicable to the petitioner’s case.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The State adds that single-instance criminal proceedings for senior public officials respect the judicial guarantees of due process and comply with the applicable international standards. It indicates that people convicted under those provisions can file </w:t>
      </w:r>
      <w:r w:rsidR="00F2452D">
        <w:rPr>
          <w:rFonts w:ascii="Cambria" w:hAnsi="Cambria" w:cs="Cambria"/>
          <w:sz w:val="20"/>
          <w:szCs w:val="20"/>
        </w:rPr>
        <w:t>an</w:t>
      </w:r>
      <w:r w:rsidRPr="00CE0FE6">
        <w:rPr>
          <w:rFonts w:ascii="Cambria" w:hAnsi="Cambria" w:cs="Cambria"/>
          <w:sz w:val="20"/>
          <w:szCs w:val="20"/>
        </w:rPr>
        <w:t xml:space="preserve"> </w:t>
      </w:r>
      <w:r w:rsidR="00F2452D">
        <w:rPr>
          <w:rFonts w:ascii="Cambria" w:hAnsi="Cambria" w:cs="Cambria"/>
          <w:sz w:val="20"/>
          <w:szCs w:val="20"/>
        </w:rPr>
        <w:t>action for constitutional relief</w:t>
      </w:r>
      <w:r w:rsidRPr="00CE0FE6">
        <w:rPr>
          <w:rFonts w:ascii="Cambria" w:hAnsi="Cambria" w:cs="Cambria"/>
          <w:sz w:val="20"/>
          <w:szCs w:val="20"/>
        </w:rPr>
        <w:t xml:space="preserve">, which is a proper and effective mechanism for reviewing the factual and legal deficiencies of final criminal convictions. In the case at hand, it contends that the conviction handed down against the alleged victim was duly grounded and that the proceedings respected all judicial guarantees. It therefore maintains that the decisions rejecting the </w:t>
      </w:r>
      <w:r w:rsidR="00F2452D">
        <w:rPr>
          <w:rFonts w:ascii="Cambria" w:hAnsi="Cambria" w:cs="Cambria"/>
          <w:sz w:val="20"/>
          <w:szCs w:val="20"/>
        </w:rPr>
        <w:t>action for constitutional relief</w:t>
      </w:r>
      <w:r w:rsidRPr="00CE0FE6">
        <w:rPr>
          <w:rFonts w:ascii="Cambria" w:hAnsi="Cambria" w:cs="Cambria"/>
          <w:sz w:val="20"/>
          <w:szCs w:val="20"/>
        </w:rPr>
        <w:t xml:space="preserve"> filings lodged by the alleged victim reviewed that decision and concluded that the evidence was assessed in accordance with the applicable legal and constitutional principles, and so there was no violation of due process. </w:t>
      </w:r>
    </w:p>
    <w:p w:rsidR="00095315" w:rsidRPr="00CE0FE6" w:rsidRDefault="00095315" w:rsidP="00214994">
      <w:pPr>
        <w:spacing w:before="240" w:after="240"/>
        <w:ind w:firstLine="720"/>
        <w:jc w:val="both"/>
        <w:rPr>
          <w:rFonts w:ascii="Cambria" w:hAnsi="Cambria" w:cs="Cambria"/>
          <w:b/>
          <w:bCs/>
          <w:sz w:val="20"/>
          <w:szCs w:val="20"/>
        </w:rPr>
      </w:pPr>
      <w:r w:rsidRPr="00CE0FE6">
        <w:rPr>
          <w:rFonts w:ascii="Cambria" w:hAnsi="Cambria" w:cs="Cambria"/>
          <w:b/>
          <w:bCs/>
          <w:color w:val="000000"/>
          <w:sz w:val="20"/>
          <w:szCs w:val="20"/>
          <w:u w:color="000000"/>
          <w:lang w:eastAsia="es-ES"/>
        </w:rPr>
        <w:t>VI.</w:t>
      </w:r>
      <w:r w:rsidRPr="00CE0FE6">
        <w:rPr>
          <w:rFonts w:ascii="Cambria" w:hAnsi="Cambria" w:cs="Cambria"/>
          <w:b/>
          <w:bCs/>
          <w:color w:val="000000"/>
          <w:sz w:val="20"/>
          <w:szCs w:val="20"/>
          <w:u w:color="000000"/>
          <w:lang w:eastAsia="es-ES"/>
        </w:rPr>
        <w:tab/>
        <w:t xml:space="preserve">ANALYSIS OF EXHAUSTION OF DOMESTIC REMEDIES AND TIMELINESS OF THE PETITION </w:t>
      </w:r>
    </w:p>
    <w:p w:rsidR="00095315" w:rsidRPr="00CE0FE6" w:rsidRDefault="00095315" w:rsidP="00214994">
      <w:pPr>
        <w:pStyle w:val="ListParagraph"/>
        <w:numPr>
          <w:ilvl w:val="0"/>
          <w:numId w:val="51"/>
        </w:numPr>
        <w:suppressAutoHyphens/>
        <w:spacing w:after="240"/>
        <w:ind w:left="0"/>
        <w:jc w:val="both"/>
        <w:rPr>
          <w:sz w:val="20"/>
          <w:szCs w:val="20"/>
        </w:rPr>
      </w:pPr>
      <w:r w:rsidRPr="00CE0FE6">
        <w:rPr>
          <w:sz w:val="20"/>
          <w:szCs w:val="20"/>
        </w:rPr>
        <w:t xml:space="preserve">The petitioner claims that he was unable to appeal against the conviction handed down against him by the Criminal Cassation Chamber on July 7, 2008. He explains that Colombian law does not provide an appeal remedy in the prosecution of senior authorities. Nevertheless, he states that he filed for </w:t>
      </w:r>
      <w:r w:rsidR="00F2452D">
        <w:rPr>
          <w:sz w:val="20"/>
          <w:szCs w:val="20"/>
        </w:rPr>
        <w:t>action for constitutional relief</w:t>
      </w:r>
      <w:r w:rsidRPr="00CE0FE6">
        <w:rPr>
          <w:sz w:val="20"/>
          <w:szCs w:val="20"/>
        </w:rPr>
        <w:t xml:space="preserve"> which, after being ruled inadmissible on several occasions, was rejected by the Disciplinary Chamber of the Superior Council of the Judicature in Cundinamarca on June 19, 2009, which found the application out of order. Subsequently, on February 19, 2010, the Constitutional Court’s Selection Chamber disqualified the case file from review. In turn, the State maintains that the petitioner used the </w:t>
      </w:r>
      <w:r w:rsidR="006D1761">
        <w:rPr>
          <w:sz w:val="20"/>
          <w:szCs w:val="20"/>
        </w:rPr>
        <w:t>action for constitutional relief</w:t>
      </w:r>
      <w:r w:rsidRPr="00CE0FE6">
        <w:rPr>
          <w:sz w:val="20"/>
          <w:szCs w:val="20"/>
        </w:rPr>
        <w:t xml:space="preserve"> filing to challenge his conviction, and that it was the proper and effective mechanism for asserting his right to appeal the judgment.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lastRenderedPageBreak/>
        <w:t>In this regard, the Commission believes that the State has not met the obligation of demonstrating the existence and availability of suitable and effective domestic remedies that the petitioner failed to exhaust. Due protection of the right of appeal enshrined in Article 8.2.h of the American Convention requires the provision of accessible and effective regular judicial remedies: in other words, remedies that represent no great complexity and that assure the comprehensive examination of the challenged decision by analyzing the facts, evidence, and legal considerations.</w:t>
      </w:r>
      <w:r w:rsidRPr="00CE0FE6">
        <w:rPr>
          <w:rFonts w:ascii="Cambria" w:hAnsi="Cambria" w:cs="Cambria"/>
          <w:sz w:val="20"/>
          <w:szCs w:val="20"/>
          <w:vertAlign w:val="superscript"/>
        </w:rPr>
        <w:footnoteReference w:id="4"/>
      </w:r>
      <w:r w:rsidRPr="00CE0FE6">
        <w:rPr>
          <w:rFonts w:ascii="Cambria" w:hAnsi="Cambria" w:cs="Cambria"/>
          <w:sz w:val="20"/>
          <w:szCs w:val="20"/>
        </w:rPr>
        <w:t xml:space="preserve"> In this regard, the Commission notes that the </w:t>
      </w:r>
      <w:r w:rsidR="006D1761">
        <w:rPr>
          <w:rFonts w:ascii="Cambria" w:hAnsi="Cambria" w:cs="Cambria"/>
          <w:sz w:val="20"/>
          <w:szCs w:val="20"/>
        </w:rPr>
        <w:t>action for constitutional relief</w:t>
      </w:r>
      <w:r w:rsidRPr="00CE0FE6">
        <w:rPr>
          <w:rFonts w:ascii="Cambria" w:hAnsi="Cambria" w:cs="Cambria"/>
          <w:sz w:val="20"/>
          <w:szCs w:val="20"/>
        </w:rPr>
        <w:t xml:space="preserve"> cited by the State is a special remedy, one that in the alleged victim’s case was ruled inadmissible on multiple occasions because of a lack of clarity among the courts for resolving the issue raised. It further notes that the </w:t>
      </w:r>
      <w:r w:rsidR="006D1761">
        <w:rPr>
          <w:rFonts w:ascii="Cambria" w:hAnsi="Cambria" w:cs="Cambria"/>
          <w:sz w:val="20"/>
          <w:szCs w:val="20"/>
        </w:rPr>
        <w:t>action for constitutional relief</w:t>
      </w:r>
      <w:r w:rsidRPr="00CE0FE6">
        <w:rPr>
          <w:rFonts w:ascii="Cambria" w:hAnsi="Cambria" w:cs="Cambria"/>
          <w:sz w:val="20"/>
          <w:szCs w:val="20"/>
        </w:rPr>
        <w:t xml:space="preserve"> decisions solely analyzed the Criminal Cassation Chamber’s appraisal of the evidence in order to identify a possible violation of due process, and so they do not represent a suitable resource for ensuring that a conviction is reviewed or twice upheld before it is made final. Consequently, the State did not afford the alleged victim a remedy for protecting the allegedly violated rights and this, under Article 46.2.</w:t>
      </w:r>
      <w:proofErr w:type="spellStart"/>
      <w:r w:rsidRPr="00CE0FE6">
        <w:rPr>
          <w:rFonts w:ascii="Cambria" w:hAnsi="Cambria" w:cs="Cambria"/>
          <w:sz w:val="20"/>
          <w:szCs w:val="20"/>
        </w:rPr>
        <w:t>a</w:t>
      </w:r>
      <w:proofErr w:type="spellEnd"/>
      <w:r w:rsidRPr="00CE0FE6">
        <w:rPr>
          <w:rFonts w:ascii="Cambria" w:hAnsi="Cambria" w:cs="Cambria"/>
          <w:sz w:val="20"/>
          <w:szCs w:val="20"/>
        </w:rPr>
        <w:t xml:space="preserve"> of the American Convention and Article 31.2.</w:t>
      </w:r>
      <w:proofErr w:type="spellStart"/>
      <w:r w:rsidRPr="00CE0FE6">
        <w:rPr>
          <w:rFonts w:ascii="Cambria" w:hAnsi="Cambria" w:cs="Cambria"/>
          <w:sz w:val="20"/>
          <w:szCs w:val="20"/>
        </w:rPr>
        <w:t>a</w:t>
      </w:r>
      <w:proofErr w:type="spellEnd"/>
      <w:r w:rsidRPr="00CE0FE6">
        <w:rPr>
          <w:rFonts w:ascii="Cambria" w:hAnsi="Cambria" w:cs="Cambria"/>
          <w:sz w:val="20"/>
          <w:szCs w:val="20"/>
        </w:rPr>
        <w:t xml:space="preserve"> of the Rules of Procedure, is one of the grounds for an exception to the rule requiring the exhaustion of domestic remedies. The IACHR therefore concludes that in the case at hand, that exception is applicable.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It must be noted that by its very nature and purpose, Article 46.2 is a provision with autonomous content vis-à-vis the Convention’s substantive precepts. Consequently, whether or not the Convention’s exceptions to the rule requiring the prior exhaustion of domestic remedies are applicable in the case at hand must be decided prior to and in isolation from the analysis of the merits of the case, and that is because it depends on a standard of appreciation that is different from the one used to determine whether or not Articles 8 and 25 of the Convention have been violated.</w:t>
      </w:r>
      <w:r w:rsidRPr="00CE0FE6">
        <w:rPr>
          <w:rFonts w:ascii="Cambria" w:hAnsi="Cambria" w:cs="Cambria"/>
          <w:sz w:val="20"/>
          <w:szCs w:val="20"/>
          <w:vertAlign w:val="superscript"/>
        </w:rPr>
        <w:footnoteReference w:id="5"/>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Finally, as regards the timeliness requirement, the Commission notes that the criminal investigation against the petitioner began in 2004; that he was convicted in the single-instance proceedings in 2008; that because of the absence of a suitable remedy against that conviction, he lodged several </w:t>
      </w:r>
      <w:r w:rsidR="00F729D5">
        <w:rPr>
          <w:rFonts w:ascii="Cambria" w:hAnsi="Cambria" w:cs="Cambria"/>
          <w:sz w:val="20"/>
          <w:szCs w:val="20"/>
        </w:rPr>
        <w:t>actions for constitutional relief</w:t>
      </w:r>
      <w:r w:rsidRPr="00CE0FE6">
        <w:rPr>
          <w:rFonts w:ascii="Cambria" w:hAnsi="Cambria" w:cs="Cambria"/>
          <w:sz w:val="20"/>
          <w:szCs w:val="20"/>
        </w:rPr>
        <w:t>, none of which bore fruit; that he was notified of the final decision in 2010; and that, in addition, the effects of the claimed lack of a second criminal instance extend into the present. The Commission therefore concludes that the petition was lodged within a reasonable time in accordance with the terms of Article 32.2 of the Commission’s Rules of Procedure.</w:t>
      </w:r>
    </w:p>
    <w:p w:rsidR="00095315" w:rsidRPr="00CE0FE6" w:rsidRDefault="00095315" w:rsidP="00214994">
      <w:pPr>
        <w:pStyle w:val="ListParagraph"/>
        <w:spacing w:before="240" w:after="240"/>
        <w:jc w:val="both"/>
        <w:rPr>
          <w:b/>
          <w:bCs/>
          <w:sz w:val="20"/>
          <w:szCs w:val="20"/>
        </w:rPr>
      </w:pPr>
      <w:r w:rsidRPr="00CE0FE6">
        <w:rPr>
          <w:b/>
          <w:bCs/>
          <w:sz w:val="20"/>
          <w:szCs w:val="20"/>
        </w:rPr>
        <w:t>VII.</w:t>
      </w:r>
      <w:r w:rsidRPr="00CE0FE6">
        <w:rPr>
          <w:b/>
          <w:bCs/>
          <w:sz w:val="20"/>
          <w:szCs w:val="20"/>
        </w:rPr>
        <w:tab/>
        <w:t>ANALYSIS OF COLORABLE CLAIM</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In light of those considerations, and after examining the elements of fact and law set out by the parties, the Commission believes that the petitioner’s claims regarding the absence of a second criminal instance and their consequences on him as a public servant in the judicial branch are not manifestly groundless and warrant a study of the merits.</w:t>
      </w:r>
      <w:r w:rsidRPr="00CE0FE6">
        <w:rPr>
          <w:rFonts w:ascii="Cambria" w:hAnsi="Cambria" w:cs="Cambria"/>
          <w:sz w:val="20"/>
          <w:szCs w:val="20"/>
          <w:vertAlign w:val="superscript"/>
        </w:rPr>
        <w:footnoteReference w:id="6"/>
      </w:r>
      <w:r w:rsidRPr="00CE0FE6">
        <w:rPr>
          <w:rFonts w:ascii="Cambria" w:hAnsi="Cambria" w:cs="Cambria"/>
          <w:sz w:val="20"/>
          <w:szCs w:val="20"/>
        </w:rPr>
        <w:t xml:space="preserve"> If the alleged facts are determined to be true, they could tend to establish violations of Articles 7 (personal liberty), 8 (right to a fair trial), 23 (political rights),</w:t>
      </w:r>
      <w:r w:rsidRPr="00CE0FE6">
        <w:rPr>
          <w:rStyle w:val="FootnoteReference"/>
          <w:rFonts w:ascii="Cambria" w:hAnsi="Cambria" w:cs="Cambria"/>
          <w:sz w:val="20"/>
          <w:szCs w:val="20"/>
        </w:rPr>
        <w:footnoteReference w:id="7"/>
      </w:r>
      <w:r w:rsidRPr="00CE0FE6">
        <w:rPr>
          <w:rFonts w:ascii="Cambria" w:hAnsi="Cambria" w:cs="Cambria"/>
          <w:sz w:val="20"/>
          <w:szCs w:val="20"/>
        </w:rPr>
        <w:t xml:space="preserve"> and 25 (judicial protection) of the American Convention, in conjunction with Articles 1.1 (obligation to respect rights) and 2 (domestic legal effects) thereof. </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 xml:space="preserve">Regarding the State’s claims relating to the fourth instance formula, the Commission acknowledges that it does not have the competence to review judgments handed down by domestic courts acting within the scope of their competence and in accordance with due process and the right to a fair trial. Nevertheless, it reiterates that within the framework of its mandate it is competent to rule a petition admissible </w:t>
      </w:r>
      <w:r w:rsidRPr="00CE0FE6">
        <w:rPr>
          <w:rFonts w:ascii="Cambria" w:hAnsi="Cambria" w:cs="Cambria"/>
          <w:sz w:val="20"/>
          <w:szCs w:val="20"/>
        </w:rPr>
        <w:lastRenderedPageBreak/>
        <w:t>and to decide on its merits when it involves domestic proceedings that could entail violations of rights guaranteed by the American Convention.</w:t>
      </w:r>
    </w:p>
    <w:p w:rsidR="00095315" w:rsidRPr="00CE0FE6" w:rsidRDefault="00095315" w:rsidP="00214994">
      <w:pPr>
        <w:numPr>
          <w:ilvl w:val="0"/>
          <w:numId w:val="51"/>
        </w:numPr>
        <w:suppressAutoHyphens/>
        <w:spacing w:after="240"/>
        <w:jc w:val="both"/>
        <w:rPr>
          <w:rFonts w:ascii="Cambria" w:hAnsi="Cambria" w:cs="Cambria"/>
          <w:sz w:val="20"/>
          <w:szCs w:val="20"/>
        </w:rPr>
      </w:pPr>
      <w:r w:rsidRPr="00CE0FE6">
        <w:rPr>
          <w:rFonts w:ascii="Cambria" w:hAnsi="Cambria" w:cs="Cambria"/>
          <w:sz w:val="20"/>
          <w:szCs w:val="20"/>
        </w:rPr>
        <w:t>Finally, as regards the claims about a possible violation of Articles 4 (life), 5 (humane treatment), 11 (privacy), and 24 (</w:t>
      </w:r>
      <w:r w:rsidR="00CB7312">
        <w:rPr>
          <w:rFonts w:ascii="Cambria" w:hAnsi="Cambria" w:cs="Cambria"/>
          <w:sz w:val="20"/>
          <w:szCs w:val="20"/>
        </w:rPr>
        <w:t>equal protection</w:t>
      </w:r>
      <w:r w:rsidRPr="00CE0FE6">
        <w:rPr>
          <w:rFonts w:ascii="Cambria" w:hAnsi="Cambria" w:cs="Cambria"/>
          <w:sz w:val="20"/>
          <w:szCs w:val="20"/>
        </w:rPr>
        <w:t xml:space="preserve">) of the American Convention, the Commission notes that the petitioner has not offered adequate contentions or grounds for a </w:t>
      </w:r>
      <w:r w:rsidRPr="00CE0FE6">
        <w:rPr>
          <w:rFonts w:ascii="Cambria" w:hAnsi="Cambria" w:cs="Cambria"/>
          <w:i/>
          <w:iCs/>
          <w:sz w:val="20"/>
          <w:szCs w:val="20"/>
        </w:rPr>
        <w:t>prima facie</w:t>
      </w:r>
      <w:r w:rsidRPr="00CE0FE6">
        <w:rPr>
          <w:rFonts w:ascii="Cambria" w:hAnsi="Cambria" w:cs="Cambria"/>
          <w:sz w:val="20"/>
          <w:szCs w:val="20"/>
        </w:rPr>
        <w:t xml:space="preserve"> consideration that they were breached. </w:t>
      </w:r>
    </w:p>
    <w:p w:rsidR="00095315" w:rsidRPr="00CE0FE6" w:rsidRDefault="00095315" w:rsidP="00214994">
      <w:pPr>
        <w:pStyle w:val="ListParagraph"/>
        <w:spacing w:before="240" w:after="240"/>
        <w:jc w:val="both"/>
        <w:rPr>
          <w:b/>
          <w:bCs/>
          <w:sz w:val="20"/>
          <w:szCs w:val="20"/>
        </w:rPr>
      </w:pPr>
      <w:r w:rsidRPr="00CE0FE6">
        <w:rPr>
          <w:b/>
          <w:bCs/>
          <w:sz w:val="20"/>
          <w:szCs w:val="20"/>
        </w:rPr>
        <w:t xml:space="preserve">VIII. </w:t>
      </w:r>
      <w:r w:rsidRPr="00CE0FE6">
        <w:rPr>
          <w:b/>
          <w:bCs/>
          <w:sz w:val="20"/>
          <w:szCs w:val="20"/>
        </w:rPr>
        <w:tab/>
        <w:t>DECISION</w:t>
      </w:r>
    </w:p>
    <w:p w:rsidR="00095315" w:rsidRPr="00CE0FE6" w:rsidRDefault="00095315" w:rsidP="00214994">
      <w:pPr>
        <w:numPr>
          <w:ilvl w:val="0"/>
          <w:numId w:val="52"/>
        </w:numPr>
        <w:suppressAutoHyphens/>
        <w:spacing w:after="240"/>
        <w:jc w:val="both"/>
        <w:rPr>
          <w:rFonts w:ascii="Cambria" w:hAnsi="Cambria" w:cs="Cambria"/>
          <w:sz w:val="20"/>
          <w:szCs w:val="20"/>
        </w:rPr>
      </w:pPr>
      <w:r w:rsidRPr="00CE0FE6">
        <w:rPr>
          <w:rFonts w:ascii="Cambria" w:hAnsi="Cambria" w:cs="Cambria"/>
          <w:sz w:val="20"/>
          <w:szCs w:val="20"/>
        </w:rPr>
        <w:t xml:space="preserve">To find the instant petition admissible in relation to Articles 7, 8, 23, and 25 of the American Convention, in conjunction with Articles 1.1 and 2 thereof; </w:t>
      </w:r>
    </w:p>
    <w:p w:rsidR="00095315" w:rsidRPr="00CE0FE6" w:rsidRDefault="00095315" w:rsidP="00214994">
      <w:pPr>
        <w:pStyle w:val="ListParagraph"/>
        <w:numPr>
          <w:ilvl w:val="0"/>
          <w:numId w:val="52"/>
        </w:numPr>
        <w:ind w:left="0"/>
        <w:jc w:val="both"/>
        <w:rPr>
          <w:color w:val="auto"/>
          <w:sz w:val="20"/>
          <w:szCs w:val="20"/>
          <w:lang w:eastAsia="en-US"/>
        </w:rPr>
      </w:pPr>
      <w:r w:rsidRPr="00CE0FE6">
        <w:rPr>
          <w:color w:val="auto"/>
          <w:sz w:val="20"/>
          <w:szCs w:val="20"/>
          <w:lang w:eastAsia="en-US"/>
        </w:rPr>
        <w:t>To find the instant petition inadmissible in relation to Articles 4, 5, 11, and 24 of the American Convention; and,</w:t>
      </w:r>
    </w:p>
    <w:p w:rsidR="00095315" w:rsidRPr="00CE0FE6" w:rsidRDefault="00095315" w:rsidP="00214994">
      <w:pPr>
        <w:pStyle w:val="ListParagraph"/>
        <w:rPr>
          <w:color w:val="auto"/>
          <w:sz w:val="20"/>
          <w:szCs w:val="20"/>
          <w:lang w:eastAsia="en-US"/>
        </w:rPr>
      </w:pPr>
    </w:p>
    <w:p w:rsidR="00095315" w:rsidRPr="00CE0FE6" w:rsidRDefault="00095315" w:rsidP="00214994">
      <w:pPr>
        <w:numPr>
          <w:ilvl w:val="0"/>
          <w:numId w:val="52"/>
        </w:numPr>
        <w:suppressAutoHyphens/>
        <w:spacing w:after="240"/>
        <w:jc w:val="both"/>
        <w:rPr>
          <w:rFonts w:ascii="Cambria" w:hAnsi="Cambria" w:cs="Cambria"/>
          <w:sz w:val="20"/>
          <w:szCs w:val="20"/>
        </w:rPr>
      </w:pPr>
      <w:r w:rsidRPr="00CE0FE6">
        <w:rPr>
          <w:rFonts w:ascii="Cambria" w:hAnsi="Cambria" w:cs="Cambria"/>
          <w:sz w:val="20"/>
          <w:szCs w:val="20"/>
        </w:rPr>
        <w:t xml:space="preserve">To notify the parties of this decision; to </w:t>
      </w:r>
      <w:r w:rsidR="00CB7312">
        <w:rPr>
          <w:rFonts w:ascii="Cambria" w:hAnsi="Cambria" w:cs="Cambria"/>
          <w:sz w:val="20"/>
          <w:szCs w:val="20"/>
        </w:rPr>
        <w:t>proceed</w:t>
      </w:r>
      <w:r w:rsidRPr="00CE0FE6">
        <w:rPr>
          <w:rFonts w:ascii="Cambria" w:hAnsi="Cambria" w:cs="Cambria"/>
          <w:sz w:val="20"/>
          <w:szCs w:val="20"/>
        </w:rPr>
        <w:t xml:space="preserve"> with the analysis on the merits; and to publish this decision and include it in its Annual Report to the General Assembly of the Organization of American States.</w:t>
      </w:r>
    </w:p>
    <w:p w:rsidR="00095315" w:rsidRPr="00CE0FE6" w:rsidRDefault="008071E1" w:rsidP="008071E1">
      <w:pPr>
        <w:ind w:firstLine="720"/>
        <w:jc w:val="both"/>
        <w:rPr>
          <w:rFonts w:ascii="Cambria" w:hAnsi="Cambria" w:cs="Cambria"/>
          <w:sz w:val="20"/>
          <w:szCs w:val="20"/>
        </w:rPr>
      </w:pPr>
      <w:r w:rsidRPr="008071E1">
        <w:rPr>
          <w:rFonts w:ascii="Cambria" w:hAnsi="Cambria" w:cs="Cambria"/>
          <w:sz w:val="20"/>
          <w:szCs w:val="20"/>
        </w:rPr>
        <w:t xml:space="preserve">Approved by the Inter-American Commission on Human Rights on the </w:t>
      </w:r>
      <w:r>
        <w:rPr>
          <w:rFonts w:ascii="Cambria" w:hAnsi="Cambria" w:cs="Cambria"/>
          <w:sz w:val="20"/>
          <w:szCs w:val="20"/>
        </w:rPr>
        <w:t>25</w:t>
      </w:r>
      <w:r w:rsidRPr="008071E1">
        <w:rPr>
          <w:rFonts w:ascii="Cambria" w:hAnsi="Cambria" w:cs="Cambria"/>
          <w:sz w:val="20"/>
          <w:szCs w:val="20"/>
          <w:vertAlign w:val="superscript"/>
        </w:rPr>
        <w:t>th</w:t>
      </w:r>
      <w:r>
        <w:rPr>
          <w:rFonts w:ascii="Cambria" w:hAnsi="Cambria" w:cs="Cambria"/>
          <w:sz w:val="20"/>
          <w:szCs w:val="20"/>
        </w:rPr>
        <w:t xml:space="preserve"> </w:t>
      </w:r>
      <w:r w:rsidRPr="008071E1">
        <w:rPr>
          <w:rFonts w:ascii="Cambria" w:hAnsi="Cambria" w:cs="Cambria"/>
          <w:sz w:val="20"/>
          <w:szCs w:val="20"/>
        </w:rPr>
        <w:t xml:space="preserve">day of the month of </w:t>
      </w:r>
      <w:r>
        <w:rPr>
          <w:rFonts w:ascii="Cambria" w:hAnsi="Cambria" w:cs="Cambria"/>
          <w:sz w:val="20"/>
          <w:szCs w:val="20"/>
        </w:rPr>
        <w:t>April</w:t>
      </w:r>
      <w:r w:rsidRPr="008071E1">
        <w:rPr>
          <w:rFonts w:ascii="Cambria" w:hAnsi="Cambria" w:cs="Cambria"/>
          <w:sz w:val="20"/>
          <w:szCs w:val="20"/>
        </w:rPr>
        <w:t xml:space="preserve">, 2020. (Signed):  Joel Hernández, President; Antonia Urrejola, First Vice President; </w:t>
      </w:r>
      <w:proofErr w:type="spellStart"/>
      <w:r w:rsidRPr="008071E1">
        <w:rPr>
          <w:rFonts w:ascii="Cambria" w:hAnsi="Cambria" w:cs="Cambria"/>
          <w:sz w:val="20"/>
          <w:szCs w:val="20"/>
        </w:rPr>
        <w:t>Flávia</w:t>
      </w:r>
      <w:proofErr w:type="spellEnd"/>
      <w:r w:rsidRPr="008071E1">
        <w:rPr>
          <w:rFonts w:ascii="Cambria" w:hAnsi="Cambria" w:cs="Cambria"/>
          <w:sz w:val="20"/>
          <w:szCs w:val="20"/>
        </w:rPr>
        <w:t xml:space="preserve"> </w:t>
      </w:r>
      <w:proofErr w:type="spellStart"/>
      <w:r w:rsidRPr="008071E1">
        <w:rPr>
          <w:rFonts w:ascii="Cambria" w:hAnsi="Cambria" w:cs="Cambria"/>
          <w:sz w:val="20"/>
          <w:szCs w:val="20"/>
        </w:rPr>
        <w:t>Piovesan</w:t>
      </w:r>
      <w:proofErr w:type="spellEnd"/>
      <w:r w:rsidRPr="008071E1">
        <w:rPr>
          <w:rFonts w:ascii="Cambria" w:hAnsi="Cambria" w:cs="Cambria"/>
          <w:sz w:val="20"/>
          <w:szCs w:val="20"/>
        </w:rPr>
        <w:t xml:space="preserve">, Second Vice President; Margarette May Macaulay, Esmeralda E. </w:t>
      </w:r>
      <w:proofErr w:type="spellStart"/>
      <w:r w:rsidRPr="008071E1">
        <w:rPr>
          <w:rFonts w:ascii="Cambria" w:hAnsi="Cambria" w:cs="Cambria"/>
          <w:sz w:val="20"/>
          <w:szCs w:val="20"/>
        </w:rPr>
        <w:t>Arosemena</w:t>
      </w:r>
      <w:proofErr w:type="spellEnd"/>
      <w:r w:rsidRPr="008071E1">
        <w:rPr>
          <w:rFonts w:ascii="Cambria" w:hAnsi="Cambria" w:cs="Cambria"/>
          <w:sz w:val="20"/>
          <w:szCs w:val="20"/>
        </w:rPr>
        <w:t xml:space="preserve"> Bernal de </w:t>
      </w:r>
      <w:proofErr w:type="spellStart"/>
      <w:r w:rsidRPr="008071E1">
        <w:rPr>
          <w:rFonts w:ascii="Cambria" w:hAnsi="Cambria" w:cs="Cambria"/>
          <w:sz w:val="20"/>
          <w:szCs w:val="20"/>
        </w:rPr>
        <w:t>Troitiño</w:t>
      </w:r>
      <w:proofErr w:type="spellEnd"/>
      <w:r w:rsidRPr="008071E1">
        <w:rPr>
          <w:rFonts w:ascii="Cambria" w:hAnsi="Cambria" w:cs="Cambria"/>
          <w:sz w:val="20"/>
          <w:szCs w:val="20"/>
        </w:rPr>
        <w:t xml:space="preserve">, Julissa Mantilla Falcón, and </w:t>
      </w:r>
      <w:proofErr w:type="spellStart"/>
      <w:r w:rsidRPr="008071E1">
        <w:rPr>
          <w:rFonts w:ascii="Cambria" w:hAnsi="Cambria" w:cs="Cambria"/>
          <w:sz w:val="20"/>
          <w:szCs w:val="20"/>
        </w:rPr>
        <w:t>Stuardo</w:t>
      </w:r>
      <w:proofErr w:type="spellEnd"/>
      <w:r w:rsidRPr="008071E1">
        <w:rPr>
          <w:rFonts w:ascii="Cambria" w:hAnsi="Cambria" w:cs="Cambria"/>
          <w:sz w:val="20"/>
          <w:szCs w:val="20"/>
        </w:rPr>
        <w:t xml:space="preserve"> </w:t>
      </w:r>
      <w:proofErr w:type="spellStart"/>
      <w:r w:rsidRPr="008071E1">
        <w:rPr>
          <w:rFonts w:ascii="Cambria" w:hAnsi="Cambria" w:cs="Cambria"/>
          <w:sz w:val="20"/>
          <w:szCs w:val="20"/>
        </w:rPr>
        <w:t>Ralón</w:t>
      </w:r>
      <w:proofErr w:type="spellEnd"/>
      <w:r w:rsidRPr="008071E1">
        <w:rPr>
          <w:rFonts w:ascii="Cambria" w:hAnsi="Cambria" w:cs="Cambria"/>
          <w:sz w:val="20"/>
          <w:szCs w:val="20"/>
        </w:rPr>
        <w:t xml:space="preserve"> Orellana, Commissioners.</w:t>
      </w:r>
    </w:p>
    <w:sectPr w:rsidR="00095315" w:rsidRPr="00CE0FE6" w:rsidSect="00934A2C">
      <w:headerReference w:type="default" r:id="rId16"/>
      <w:footerReference w:type="defaul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8B" w:rsidRDefault="00926F8B" w:rsidP="00033982">
      <w:r>
        <w:separator/>
      </w:r>
    </w:p>
  </w:endnote>
  <w:endnote w:type="continuationSeparator" w:id="0">
    <w:p w:rsidR="00926F8B" w:rsidRDefault="00926F8B" w:rsidP="0003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90" w:rsidRDefault="00046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15" w:rsidRPr="00046290" w:rsidRDefault="00095315" w:rsidP="00046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15" w:rsidRPr="00046290" w:rsidRDefault="00095315" w:rsidP="000462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15" w:rsidRPr="00046290" w:rsidRDefault="00095315" w:rsidP="0004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8B" w:rsidRPr="00214994" w:rsidRDefault="00926F8B">
      <w:pPr>
        <w:rPr>
          <w:rFonts w:ascii="Cambria" w:hAnsi="Cambria" w:cs="Cambria"/>
          <w:noProof/>
          <w:sz w:val="16"/>
          <w:szCs w:val="16"/>
        </w:rPr>
      </w:pPr>
      <w:r w:rsidRPr="00214994">
        <w:rPr>
          <w:rFonts w:ascii="Cambria" w:hAnsi="Cambria" w:cs="Cambria"/>
          <w:noProof/>
          <w:sz w:val="16"/>
          <w:szCs w:val="16"/>
        </w:rPr>
        <w:separator/>
      </w:r>
    </w:p>
  </w:footnote>
  <w:footnote w:type="continuationSeparator" w:id="0">
    <w:p w:rsidR="00926F8B" w:rsidRPr="00214994" w:rsidRDefault="00926F8B" w:rsidP="000F35ED">
      <w:pPr>
        <w:rPr>
          <w:rFonts w:ascii="Cambria" w:hAnsi="Cambria" w:cs="Cambria"/>
          <w:noProof/>
          <w:sz w:val="16"/>
          <w:szCs w:val="16"/>
        </w:rPr>
      </w:pPr>
      <w:r w:rsidRPr="00214994">
        <w:rPr>
          <w:rFonts w:ascii="Cambria" w:hAnsi="Cambria" w:cs="Cambria"/>
          <w:noProof/>
          <w:sz w:val="16"/>
          <w:szCs w:val="16"/>
        </w:rPr>
        <w:separator/>
      </w:r>
    </w:p>
    <w:p w:rsidR="00926F8B" w:rsidRPr="00214994" w:rsidRDefault="00926F8B" w:rsidP="000F35ED">
      <w:pPr>
        <w:pStyle w:val="Footer"/>
        <w:rPr>
          <w:noProof/>
          <w:sz w:val="16"/>
          <w:szCs w:val="16"/>
        </w:rPr>
      </w:pPr>
      <w:r w:rsidRPr="00214994">
        <w:rPr>
          <w:noProof/>
          <w:sz w:val="16"/>
          <w:szCs w:val="16"/>
        </w:rPr>
        <w:t>[… continuación]</w:t>
      </w:r>
    </w:p>
  </w:footnote>
  <w:footnote w:type="continuationNotice" w:id="1">
    <w:p w:rsidR="00926F8B" w:rsidRPr="00214994" w:rsidRDefault="00926F8B" w:rsidP="000F35ED">
      <w:pPr>
        <w:jc w:val="right"/>
        <w:rPr>
          <w:rFonts w:ascii="Cambria" w:hAnsi="Cambria" w:cs="Cambria"/>
          <w:noProof/>
          <w:sz w:val="16"/>
          <w:szCs w:val="16"/>
        </w:rPr>
      </w:pPr>
      <w:r w:rsidRPr="00214994">
        <w:rPr>
          <w:rFonts w:ascii="Cambria" w:hAnsi="Cambria" w:cs="Cambria"/>
          <w:noProof/>
          <w:sz w:val="16"/>
          <w:szCs w:val="16"/>
        </w:rPr>
        <w:t>[continúa…]</w:t>
      </w:r>
    </w:p>
  </w:footnote>
  <w:footnote w:id="2">
    <w:p w:rsidR="00095315" w:rsidRDefault="00095315" w:rsidP="00214994">
      <w:pPr>
        <w:pStyle w:val="FootnoteText"/>
        <w:tabs>
          <w:tab w:val="left" w:pos="720"/>
        </w:tabs>
        <w:ind w:firstLine="360"/>
        <w:jc w:val="both"/>
      </w:pPr>
      <w:r w:rsidRPr="00CE0FE6">
        <w:rPr>
          <w:rStyle w:val="FootnoteReference"/>
          <w:rFonts w:ascii="Cambria" w:hAnsi="Cambria" w:cs="Cambria"/>
          <w:sz w:val="16"/>
          <w:szCs w:val="16"/>
        </w:rPr>
        <w:footnoteRef/>
      </w:r>
      <w:r w:rsidRPr="00CE0FE6">
        <w:rPr>
          <w:rFonts w:ascii="Cambria" w:hAnsi="Cambria" w:cs="Cambria"/>
          <w:sz w:val="16"/>
          <w:szCs w:val="16"/>
        </w:rPr>
        <w:t xml:space="preserve"> </w:t>
      </w:r>
      <w:r w:rsidRPr="00CE0FE6">
        <w:rPr>
          <w:rFonts w:ascii="Cambria" w:hAnsi="Cambria" w:cs="Cambria"/>
          <w:sz w:val="16"/>
          <w:szCs w:val="16"/>
        </w:rPr>
        <w:tab/>
        <w:t xml:space="preserve">Hereinafter, “the American Convention” or “the Convention.” </w:t>
      </w:r>
    </w:p>
  </w:footnote>
  <w:footnote w:id="3">
    <w:p w:rsidR="00095315" w:rsidRDefault="00095315" w:rsidP="00214994">
      <w:pPr>
        <w:pStyle w:val="FootnoteText"/>
        <w:tabs>
          <w:tab w:val="left" w:pos="720"/>
        </w:tabs>
        <w:ind w:firstLine="360"/>
        <w:jc w:val="both"/>
      </w:pPr>
      <w:r w:rsidRPr="00CE0FE6">
        <w:rPr>
          <w:rStyle w:val="FootnoteReference"/>
          <w:rFonts w:ascii="Cambria" w:hAnsi="Cambria" w:cs="Cambria"/>
          <w:sz w:val="16"/>
          <w:szCs w:val="16"/>
        </w:rPr>
        <w:footnoteRef/>
      </w:r>
      <w:r w:rsidRPr="00CE0FE6">
        <w:rPr>
          <w:rFonts w:ascii="Cambria" w:hAnsi="Cambria" w:cs="Cambria"/>
          <w:sz w:val="16"/>
          <w:szCs w:val="16"/>
        </w:rPr>
        <w:t xml:space="preserve"> </w:t>
      </w:r>
      <w:r w:rsidRPr="00CE0FE6">
        <w:rPr>
          <w:rFonts w:ascii="Cambria" w:hAnsi="Cambria" w:cs="Cambria"/>
          <w:sz w:val="16"/>
          <w:szCs w:val="16"/>
        </w:rPr>
        <w:tab/>
        <w:t>The observations submitted by each party were duly transmitted to the opposing party.</w:t>
      </w:r>
    </w:p>
  </w:footnote>
  <w:footnote w:id="4">
    <w:p w:rsidR="00095315" w:rsidRDefault="00095315" w:rsidP="00214994">
      <w:pPr>
        <w:pStyle w:val="FootnoteText"/>
        <w:tabs>
          <w:tab w:val="left" w:pos="720"/>
        </w:tabs>
        <w:ind w:firstLine="360"/>
        <w:jc w:val="both"/>
      </w:pPr>
      <w:r w:rsidRPr="00CE0FE6">
        <w:rPr>
          <w:rStyle w:val="FootnoteReference"/>
          <w:rFonts w:ascii="Cambria" w:hAnsi="Cambria" w:cs="Cambria"/>
          <w:sz w:val="16"/>
          <w:szCs w:val="16"/>
        </w:rPr>
        <w:footnoteRef/>
      </w:r>
      <w:r w:rsidRPr="00CE0FE6">
        <w:rPr>
          <w:rFonts w:ascii="Cambria" w:hAnsi="Cambria" w:cs="Cambria"/>
          <w:sz w:val="16"/>
          <w:szCs w:val="16"/>
        </w:rPr>
        <w:t xml:space="preserve"> </w:t>
      </w:r>
      <w:r w:rsidRPr="00CE0FE6">
        <w:rPr>
          <w:rFonts w:ascii="Cambria" w:hAnsi="Cambria" w:cs="Cambria"/>
          <w:sz w:val="16"/>
          <w:szCs w:val="16"/>
        </w:rPr>
        <w:tab/>
        <w:t xml:space="preserve">IACHR, Report No. 33/14, Case 12.820, Merits, Manfred </w:t>
      </w:r>
      <w:proofErr w:type="spellStart"/>
      <w:r w:rsidRPr="00CE0FE6">
        <w:rPr>
          <w:rFonts w:ascii="Cambria" w:hAnsi="Cambria" w:cs="Cambria"/>
          <w:sz w:val="16"/>
          <w:szCs w:val="16"/>
        </w:rPr>
        <w:t>Amrhein</w:t>
      </w:r>
      <w:proofErr w:type="spellEnd"/>
      <w:r w:rsidRPr="00CE0FE6">
        <w:rPr>
          <w:rFonts w:ascii="Cambria" w:hAnsi="Cambria" w:cs="Cambria"/>
          <w:sz w:val="16"/>
          <w:szCs w:val="16"/>
        </w:rPr>
        <w:t xml:space="preserve"> and others, Costa Rica, April 4, 2014, para. 188; I/A Court H. R., </w:t>
      </w:r>
      <w:r w:rsidRPr="00CE0FE6">
        <w:rPr>
          <w:rFonts w:ascii="Cambria" w:hAnsi="Cambria" w:cs="Cambria"/>
          <w:i/>
          <w:iCs/>
          <w:sz w:val="16"/>
          <w:szCs w:val="16"/>
        </w:rPr>
        <w:t xml:space="preserve">Case of </w:t>
      </w:r>
      <w:proofErr w:type="spellStart"/>
      <w:r w:rsidRPr="00CE0FE6">
        <w:rPr>
          <w:rFonts w:ascii="Cambria" w:hAnsi="Cambria" w:cs="Cambria"/>
          <w:i/>
          <w:iCs/>
          <w:sz w:val="16"/>
          <w:szCs w:val="16"/>
        </w:rPr>
        <w:t>Liakat</w:t>
      </w:r>
      <w:proofErr w:type="spellEnd"/>
      <w:r w:rsidRPr="00CE0FE6">
        <w:rPr>
          <w:rFonts w:ascii="Cambria" w:hAnsi="Cambria" w:cs="Cambria"/>
          <w:i/>
          <w:iCs/>
          <w:sz w:val="16"/>
          <w:szCs w:val="16"/>
        </w:rPr>
        <w:t xml:space="preserve"> Ali </w:t>
      </w:r>
      <w:proofErr w:type="spellStart"/>
      <w:r w:rsidRPr="00CE0FE6">
        <w:rPr>
          <w:rFonts w:ascii="Cambria" w:hAnsi="Cambria" w:cs="Cambria"/>
          <w:i/>
          <w:iCs/>
          <w:sz w:val="16"/>
          <w:szCs w:val="16"/>
        </w:rPr>
        <w:t>Alibux</w:t>
      </w:r>
      <w:proofErr w:type="spellEnd"/>
      <w:r w:rsidRPr="00CE0FE6">
        <w:rPr>
          <w:rFonts w:ascii="Cambria" w:hAnsi="Cambria" w:cs="Cambria"/>
          <w:i/>
          <w:iCs/>
          <w:sz w:val="16"/>
          <w:szCs w:val="16"/>
        </w:rPr>
        <w:t xml:space="preserve"> v. Suriname</w:t>
      </w:r>
      <w:r w:rsidRPr="00CE0FE6">
        <w:rPr>
          <w:rFonts w:ascii="Cambria" w:hAnsi="Cambria" w:cs="Cambria"/>
          <w:sz w:val="16"/>
          <w:szCs w:val="16"/>
        </w:rPr>
        <w:t xml:space="preserve">, Preliminary Objections, Merits, and Reparations, Judgment of January 30, 2014, Series C No. 276, para. 86; and </w:t>
      </w:r>
      <w:r w:rsidRPr="00CE0FE6">
        <w:rPr>
          <w:rFonts w:ascii="Cambria" w:hAnsi="Cambria" w:cs="Cambria"/>
          <w:i/>
          <w:iCs/>
          <w:sz w:val="16"/>
          <w:szCs w:val="16"/>
        </w:rPr>
        <w:t>Case of Herrera Ulloa v. Costa Rica</w:t>
      </w:r>
      <w:r w:rsidRPr="00CE0FE6">
        <w:rPr>
          <w:rFonts w:ascii="Cambria" w:hAnsi="Cambria" w:cs="Cambria"/>
          <w:sz w:val="16"/>
          <w:szCs w:val="16"/>
        </w:rPr>
        <w:t xml:space="preserve">, Judgment of July 2, 2004, Series C No. 107, para. 165. </w:t>
      </w:r>
    </w:p>
  </w:footnote>
  <w:footnote w:id="5">
    <w:p w:rsidR="00095315" w:rsidRDefault="00095315" w:rsidP="00214994">
      <w:pPr>
        <w:pStyle w:val="FootnoteText"/>
        <w:tabs>
          <w:tab w:val="left" w:pos="720"/>
        </w:tabs>
        <w:ind w:firstLine="360"/>
        <w:jc w:val="both"/>
      </w:pPr>
      <w:r w:rsidRPr="00CE0FE6">
        <w:rPr>
          <w:rStyle w:val="FootnoteReference"/>
          <w:rFonts w:ascii="Cambria" w:hAnsi="Cambria" w:cs="Cambria"/>
          <w:sz w:val="16"/>
          <w:szCs w:val="16"/>
        </w:rPr>
        <w:footnoteRef/>
      </w:r>
      <w:r w:rsidRPr="00CE0FE6">
        <w:rPr>
          <w:rFonts w:ascii="Cambria" w:hAnsi="Cambria" w:cs="Cambria"/>
          <w:sz w:val="16"/>
          <w:szCs w:val="16"/>
        </w:rPr>
        <w:t xml:space="preserve"> </w:t>
      </w:r>
      <w:r w:rsidRPr="00CE0FE6">
        <w:rPr>
          <w:rFonts w:ascii="Cambria" w:hAnsi="Cambria" w:cs="Cambria"/>
          <w:sz w:val="16"/>
          <w:szCs w:val="16"/>
        </w:rPr>
        <w:tab/>
        <w:t xml:space="preserve">IACHR, Report No. 62/16, Petition 4449/02, Admissibility, </w:t>
      </w:r>
      <w:proofErr w:type="spellStart"/>
      <w:r w:rsidRPr="00CE0FE6">
        <w:rPr>
          <w:rFonts w:ascii="Cambria" w:hAnsi="Cambria" w:cs="Cambria"/>
          <w:sz w:val="16"/>
          <w:szCs w:val="16"/>
        </w:rPr>
        <w:t>Saulo</w:t>
      </w:r>
      <w:proofErr w:type="spellEnd"/>
      <w:r w:rsidRPr="00CE0FE6">
        <w:rPr>
          <w:rFonts w:ascii="Cambria" w:hAnsi="Cambria" w:cs="Cambria"/>
          <w:sz w:val="16"/>
          <w:szCs w:val="16"/>
        </w:rPr>
        <w:t xml:space="preserve"> </w:t>
      </w:r>
      <w:proofErr w:type="spellStart"/>
      <w:r w:rsidRPr="00CE0FE6">
        <w:rPr>
          <w:rFonts w:ascii="Cambria" w:hAnsi="Cambria" w:cs="Cambria"/>
          <w:sz w:val="16"/>
          <w:szCs w:val="16"/>
        </w:rPr>
        <w:t>Arboleda</w:t>
      </w:r>
      <w:proofErr w:type="spellEnd"/>
      <w:r w:rsidRPr="00CE0FE6">
        <w:rPr>
          <w:rFonts w:ascii="Cambria" w:hAnsi="Cambria" w:cs="Cambria"/>
          <w:sz w:val="16"/>
          <w:szCs w:val="16"/>
        </w:rPr>
        <w:t xml:space="preserve"> Gómez, Colombia, December 6, 2016, para. 30.</w:t>
      </w:r>
    </w:p>
  </w:footnote>
  <w:footnote w:id="6">
    <w:p w:rsidR="00095315" w:rsidRDefault="00095315" w:rsidP="00214994">
      <w:pPr>
        <w:pStyle w:val="FootnoteText"/>
        <w:tabs>
          <w:tab w:val="left" w:pos="720"/>
        </w:tabs>
        <w:ind w:firstLine="360"/>
        <w:jc w:val="both"/>
      </w:pPr>
      <w:r w:rsidRPr="00CE0FE6">
        <w:rPr>
          <w:rStyle w:val="FootnoteReference"/>
          <w:rFonts w:ascii="Cambria" w:hAnsi="Cambria" w:cs="Cambria"/>
          <w:sz w:val="16"/>
          <w:szCs w:val="16"/>
        </w:rPr>
        <w:footnoteRef/>
      </w:r>
      <w:r w:rsidRPr="00CE0FE6">
        <w:rPr>
          <w:rFonts w:ascii="Cambria" w:hAnsi="Cambria" w:cs="Cambria"/>
          <w:sz w:val="16"/>
          <w:szCs w:val="16"/>
        </w:rPr>
        <w:t xml:space="preserve"> </w:t>
      </w:r>
      <w:r w:rsidRPr="00CE0FE6">
        <w:rPr>
          <w:rFonts w:ascii="Cambria" w:hAnsi="Cambria" w:cs="Cambria"/>
          <w:sz w:val="16"/>
          <w:szCs w:val="16"/>
        </w:rPr>
        <w:tab/>
        <w:t xml:space="preserve">This analysis of the colorable claim is consistent, as regards establishing the rights deemed both admissible and inadmissible, with the decision reached by the IACHR in Report on Admissibility 62/16, in which the main substance of the petition was another single-instance criminal conviction of a civil servant. See: IACHR, Report No. 62/16, Petition 4449-02, Admissibility, </w:t>
      </w:r>
      <w:proofErr w:type="spellStart"/>
      <w:r w:rsidRPr="00CE0FE6">
        <w:rPr>
          <w:rFonts w:ascii="Cambria" w:hAnsi="Cambria" w:cs="Cambria"/>
          <w:sz w:val="16"/>
          <w:szCs w:val="16"/>
        </w:rPr>
        <w:t>Saulo</w:t>
      </w:r>
      <w:proofErr w:type="spellEnd"/>
      <w:r w:rsidRPr="00CE0FE6">
        <w:rPr>
          <w:rFonts w:ascii="Cambria" w:hAnsi="Cambria" w:cs="Cambria"/>
          <w:sz w:val="16"/>
          <w:szCs w:val="16"/>
        </w:rPr>
        <w:t xml:space="preserve"> </w:t>
      </w:r>
      <w:proofErr w:type="spellStart"/>
      <w:r w:rsidRPr="00CE0FE6">
        <w:rPr>
          <w:rFonts w:ascii="Cambria" w:hAnsi="Cambria" w:cs="Cambria"/>
          <w:sz w:val="16"/>
          <w:szCs w:val="16"/>
        </w:rPr>
        <w:t>Arboleda</w:t>
      </w:r>
      <w:proofErr w:type="spellEnd"/>
      <w:r w:rsidRPr="00CE0FE6">
        <w:rPr>
          <w:rFonts w:ascii="Cambria" w:hAnsi="Cambria" w:cs="Cambria"/>
          <w:sz w:val="16"/>
          <w:szCs w:val="16"/>
        </w:rPr>
        <w:t xml:space="preserve"> Gómez, Colombia, December 6, 2016, paras. 38 and 39. </w:t>
      </w:r>
    </w:p>
  </w:footnote>
  <w:footnote w:id="7">
    <w:p w:rsidR="00095315" w:rsidRDefault="00095315" w:rsidP="00214994">
      <w:pPr>
        <w:pStyle w:val="FootnoteText"/>
        <w:tabs>
          <w:tab w:val="left" w:pos="720"/>
        </w:tabs>
        <w:ind w:firstLine="360"/>
        <w:jc w:val="both"/>
      </w:pPr>
      <w:r w:rsidRPr="00CE0FE6">
        <w:rPr>
          <w:rStyle w:val="FootnoteReference"/>
          <w:rFonts w:ascii="Cambria" w:hAnsi="Cambria" w:cs="Cambria"/>
          <w:sz w:val="16"/>
          <w:szCs w:val="16"/>
        </w:rPr>
        <w:footnoteRef/>
      </w:r>
      <w:r w:rsidRPr="00CE0FE6">
        <w:rPr>
          <w:rFonts w:ascii="Cambria" w:hAnsi="Cambria" w:cs="Cambria"/>
          <w:sz w:val="16"/>
          <w:szCs w:val="16"/>
        </w:rPr>
        <w:t xml:space="preserve"> </w:t>
      </w:r>
      <w:r w:rsidRPr="00CE0FE6">
        <w:rPr>
          <w:rFonts w:ascii="Cambria" w:hAnsi="Cambria" w:cs="Cambria"/>
          <w:sz w:val="16"/>
          <w:szCs w:val="16"/>
        </w:rPr>
        <w:tab/>
        <w:t xml:space="preserve">The IACHR has stated that Article 23 of the American Convention protects public officials from arbitrary dismissals and is not restricted in the judicial sphere to judges and prosecutors. See: IACHR, Report No. 63/19, Case 13.036, Merits, </w:t>
      </w:r>
      <w:proofErr w:type="spellStart"/>
      <w:r w:rsidRPr="00CE0FE6">
        <w:rPr>
          <w:rFonts w:ascii="Cambria" w:hAnsi="Cambria" w:cs="Cambria"/>
          <w:sz w:val="16"/>
          <w:szCs w:val="16"/>
        </w:rPr>
        <w:t>Norka</w:t>
      </w:r>
      <w:proofErr w:type="spellEnd"/>
      <w:r w:rsidRPr="00CE0FE6">
        <w:rPr>
          <w:rFonts w:ascii="Cambria" w:hAnsi="Cambria" w:cs="Cambria"/>
          <w:sz w:val="16"/>
          <w:szCs w:val="16"/>
        </w:rPr>
        <w:t xml:space="preserve"> Moya Solis, Peru, May 4, 2019, para. 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90" w:rsidRDefault="00046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15" w:rsidRPr="00046290" w:rsidRDefault="00095315" w:rsidP="00046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90" w:rsidRDefault="000462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15" w:rsidRPr="00046290" w:rsidRDefault="00095315" w:rsidP="00046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0E1D2261"/>
    <w:multiLevelType w:val="hybridMultilevel"/>
    <w:tmpl w:val="A84882CA"/>
    <w:lvl w:ilvl="0" w:tplc="14D4701C">
      <w:start w:val="1"/>
      <w:numFmt w:val="decimal"/>
      <w:lvlText w:val="%1."/>
      <w:lvlJc w:val="left"/>
      <w:pPr>
        <w:tabs>
          <w:tab w:val="num" w:pos="720"/>
        </w:tabs>
        <w:ind w:firstLine="720"/>
      </w:pPr>
      <w:rPr>
        <w:rFonts w:hint="default"/>
        <w:vanish w:val="0"/>
        <w:color w:val="auto"/>
      </w:rPr>
    </w:lvl>
    <w:lvl w:ilvl="1" w:tplc="6F64C504">
      <w:start w:val="1"/>
      <w:numFmt w:val="lowerLetter"/>
      <w:lvlText w:val="%2."/>
      <w:lvlJc w:val="left"/>
      <w:pPr>
        <w:tabs>
          <w:tab w:val="num" w:pos="1440"/>
        </w:tabs>
        <w:ind w:left="1440" w:hanging="360"/>
      </w:pPr>
    </w:lvl>
    <w:lvl w:ilvl="2" w:tplc="9DEE4804">
      <w:start w:val="1"/>
      <w:numFmt w:val="lowerRoman"/>
      <w:lvlText w:val="%3."/>
      <w:lvlJc w:val="right"/>
      <w:pPr>
        <w:tabs>
          <w:tab w:val="num" w:pos="2160"/>
        </w:tabs>
        <w:ind w:left="2160" w:hanging="180"/>
      </w:pPr>
    </w:lvl>
    <w:lvl w:ilvl="3" w:tplc="498C0B1E">
      <w:start w:val="1"/>
      <w:numFmt w:val="decimal"/>
      <w:lvlText w:val="%4."/>
      <w:lvlJc w:val="left"/>
      <w:pPr>
        <w:tabs>
          <w:tab w:val="num" w:pos="2880"/>
        </w:tabs>
        <w:ind w:left="2880" w:hanging="360"/>
      </w:pPr>
    </w:lvl>
    <w:lvl w:ilvl="4" w:tplc="BDB0AC0A">
      <w:start w:val="1"/>
      <w:numFmt w:val="lowerLetter"/>
      <w:lvlText w:val="%5."/>
      <w:lvlJc w:val="left"/>
      <w:pPr>
        <w:tabs>
          <w:tab w:val="num" w:pos="3600"/>
        </w:tabs>
        <w:ind w:left="3600" w:hanging="360"/>
      </w:pPr>
    </w:lvl>
    <w:lvl w:ilvl="5" w:tplc="9F2CEC52">
      <w:start w:val="1"/>
      <w:numFmt w:val="lowerRoman"/>
      <w:lvlText w:val="%6."/>
      <w:lvlJc w:val="right"/>
      <w:pPr>
        <w:tabs>
          <w:tab w:val="num" w:pos="4320"/>
        </w:tabs>
        <w:ind w:left="4320" w:hanging="180"/>
      </w:pPr>
    </w:lvl>
    <w:lvl w:ilvl="6" w:tplc="8DD25846">
      <w:start w:val="1"/>
      <w:numFmt w:val="decimal"/>
      <w:lvlText w:val="%7."/>
      <w:lvlJc w:val="left"/>
      <w:pPr>
        <w:tabs>
          <w:tab w:val="num" w:pos="5040"/>
        </w:tabs>
        <w:ind w:left="5040" w:hanging="360"/>
      </w:pPr>
    </w:lvl>
    <w:lvl w:ilvl="7" w:tplc="D68E9AB4">
      <w:start w:val="1"/>
      <w:numFmt w:val="lowerLetter"/>
      <w:lvlText w:val="%8."/>
      <w:lvlJc w:val="left"/>
      <w:pPr>
        <w:tabs>
          <w:tab w:val="num" w:pos="5760"/>
        </w:tabs>
        <w:ind w:left="5760" w:hanging="360"/>
      </w:pPr>
    </w:lvl>
    <w:lvl w:ilvl="8" w:tplc="97F4D316">
      <w:start w:val="1"/>
      <w:numFmt w:val="lowerRoman"/>
      <w:lvlText w:val="%9."/>
      <w:lvlJc w:val="right"/>
      <w:pPr>
        <w:tabs>
          <w:tab w:val="num" w:pos="6480"/>
        </w:tabs>
        <w:ind w:left="6480" w:hanging="180"/>
      </w:p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15:restartNumberingAfterBreak="0">
    <w:nsid w:val="560E281B"/>
    <w:multiLevelType w:val="hybridMultilevel"/>
    <w:tmpl w:val="AD80823C"/>
    <w:lvl w:ilvl="0" w:tplc="C61800B6">
      <w:start w:val="1"/>
      <w:numFmt w:val="decimal"/>
      <w:lvlText w:val="%1."/>
      <w:lvlJc w:val="left"/>
      <w:pPr>
        <w:tabs>
          <w:tab w:val="num" w:pos="720"/>
        </w:tabs>
        <w:ind w:firstLine="720"/>
      </w:pPr>
      <w:rPr>
        <w:rFonts w:hint="default"/>
        <w:i w:val="0"/>
        <w:iCs w:val="0"/>
        <w:vanish w:val="0"/>
        <w:color w:val="auto"/>
      </w:rPr>
    </w:lvl>
    <w:lvl w:ilvl="1" w:tplc="A70AB2C6">
      <w:start w:val="1"/>
      <w:numFmt w:val="lowerLetter"/>
      <w:lvlText w:val="%2."/>
      <w:lvlJc w:val="left"/>
      <w:pPr>
        <w:tabs>
          <w:tab w:val="num" w:pos="1440"/>
        </w:tabs>
        <w:ind w:left="1440" w:hanging="360"/>
      </w:pPr>
    </w:lvl>
    <w:lvl w:ilvl="2" w:tplc="D7322532">
      <w:start w:val="1"/>
      <w:numFmt w:val="lowerRoman"/>
      <w:lvlText w:val="%3."/>
      <w:lvlJc w:val="right"/>
      <w:pPr>
        <w:tabs>
          <w:tab w:val="num" w:pos="2160"/>
        </w:tabs>
        <w:ind w:left="2160" w:hanging="180"/>
      </w:pPr>
    </w:lvl>
    <w:lvl w:ilvl="3" w:tplc="68B08456">
      <w:start w:val="1"/>
      <w:numFmt w:val="decimal"/>
      <w:lvlText w:val="%4."/>
      <w:lvlJc w:val="left"/>
      <w:pPr>
        <w:tabs>
          <w:tab w:val="num" w:pos="2880"/>
        </w:tabs>
        <w:ind w:left="2880" w:hanging="360"/>
      </w:pPr>
    </w:lvl>
    <w:lvl w:ilvl="4" w:tplc="534A8DB4">
      <w:start w:val="1"/>
      <w:numFmt w:val="lowerLetter"/>
      <w:lvlText w:val="%5."/>
      <w:lvlJc w:val="left"/>
      <w:pPr>
        <w:tabs>
          <w:tab w:val="num" w:pos="3600"/>
        </w:tabs>
        <w:ind w:left="3600" w:hanging="360"/>
      </w:pPr>
    </w:lvl>
    <w:lvl w:ilvl="5" w:tplc="D796193E">
      <w:start w:val="1"/>
      <w:numFmt w:val="lowerRoman"/>
      <w:lvlText w:val="%6."/>
      <w:lvlJc w:val="right"/>
      <w:pPr>
        <w:tabs>
          <w:tab w:val="num" w:pos="4320"/>
        </w:tabs>
        <w:ind w:left="4320" w:hanging="180"/>
      </w:pPr>
    </w:lvl>
    <w:lvl w:ilvl="6" w:tplc="A5F07AA6">
      <w:start w:val="1"/>
      <w:numFmt w:val="decimal"/>
      <w:lvlText w:val="%7."/>
      <w:lvlJc w:val="left"/>
      <w:pPr>
        <w:tabs>
          <w:tab w:val="num" w:pos="5040"/>
        </w:tabs>
        <w:ind w:left="5040" w:hanging="360"/>
      </w:pPr>
    </w:lvl>
    <w:lvl w:ilvl="7" w:tplc="C128A03E">
      <w:start w:val="1"/>
      <w:numFmt w:val="lowerLetter"/>
      <w:lvlText w:val="%8."/>
      <w:lvlJc w:val="left"/>
      <w:pPr>
        <w:tabs>
          <w:tab w:val="num" w:pos="5760"/>
        </w:tabs>
        <w:ind w:left="5760" w:hanging="360"/>
      </w:pPr>
    </w:lvl>
    <w:lvl w:ilvl="8" w:tplc="DD0CA4BC">
      <w:start w:val="1"/>
      <w:numFmt w:val="lowerRoman"/>
      <w:lvlText w:val="%9."/>
      <w:lvlJc w:val="right"/>
      <w:pPr>
        <w:tabs>
          <w:tab w:val="num" w:pos="6480"/>
        </w:tabs>
        <w:ind w:left="6480" w:hanging="180"/>
      </w:pPr>
    </w:lvl>
  </w:abstractNum>
  <w:abstractNum w:abstractNumId="3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15:restartNumberingAfterBreak="0">
    <w:nsid w:val="70786ED7"/>
    <w:multiLevelType w:val="hybridMultilevel"/>
    <w:tmpl w:val="0004DB54"/>
    <w:lvl w:ilvl="0" w:tplc="307453BA">
      <w:start w:val="1"/>
      <w:numFmt w:val="upperRoman"/>
      <w:pStyle w:val="Heading1"/>
      <w:lvlText w:val="%1."/>
      <w:lvlJc w:val="left"/>
      <w:pPr>
        <w:ind w:left="720" w:hanging="360"/>
      </w:pPr>
      <w:rPr>
        <w:rFonts w:hint="default"/>
      </w:rPr>
    </w:lvl>
    <w:lvl w:ilvl="1" w:tplc="665EB8D8">
      <w:start w:val="1"/>
      <w:numFmt w:val="lowerLetter"/>
      <w:lvlText w:val="%2."/>
      <w:lvlJc w:val="left"/>
      <w:pPr>
        <w:ind w:left="1440" w:hanging="360"/>
      </w:pPr>
    </w:lvl>
    <w:lvl w:ilvl="2" w:tplc="C0CA9AC2">
      <w:start w:val="1"/>
      <w:numFmt w:val="lowerRoman"/>
      <w:lvlText w:val="%3."/>
      <w:lvlJc w:val="right"/>
      <w:pPr>
        <w:ind w:left="2160" w:hanging="180"/>
      </w:pPr>
    </w:lvl>
    <w:lvl w:ilvl="3" w:tplc="99B43E16">
      <w:start w:val="1"/>
      <w:numFmt w:val="decimal"/>
      <w:lvlText w:val="%4."/>
      <w:lvlJc w:val="left"/>
      <w:pPr>
        <w:ind w:left="2880" w:hanging="360"/>
      </w:pPr>
    </w:lvl>
    <w:lvl w:ilvl="4" w:tplc="4DCAC368">
      <w:start w:val="1"/>
      <w:numFmt w:val="lowerLetter"/>
      <w:lvlText w:val="%5."/>
      <w:lvlJc w:val="left"/>
      <w:pPr>
        <w:ind w:left="3600" w:hanging="360"/>
      </w:pPr>
    </w:lvl>
    <w:lvl w:ilvl="5" w:tplc="27D8F87E">
      <w:start w:val="1"/>
      <w:numFmt w:val="lowerRoman"/>
      <w:lvlText w:val="%6."/>
      <w:lvlJc w:val="right"/>
      <w:pPr>
        <w:ind w:left="4320" w:hanging="180"/>
      </w:pPr>
    </w:lvl>
    <w:lvl w:ilvl="6" w:tplc="BF2CB09C">
      <w:start w:val="1"/>
      <w:numFmt w:val="decimal"/>
      <w:lvlText w:val="%7."/>
      <w:lvlJc w:val="left"/>
      <w:pPr>
        <w:ind w:left="5040" w:hanging="360"/>
      </w:pPr>
    </w:lvl>
    <w:lvl w:ilvl="7" w:tplc="FCC80A48">
      <w:start w:val="1"/>
      <w:numFmt w:val="lowerLetter"/>
      <w:lvlText w:val="%8."/>
      <w:lvlJc w:val="left"/>
      <w:pPr>
        <w:ind w:left="5760" w:hanging="360"/>
      </w:pPr>
    </w:lvl>
    <w:lvl w:ilvl="8" w:tplc="DED41B6A">
      <w:start w:val="1"/>
      <w:numFmt w:val="lowerRoman"/>
      <w:lvlText w:val="%9."/>
      <w:lvlJc w:val="right"/>
      <w:pPr>
        <w:ind w:left="6480" w:hanging="180"/>
      </w:pPr>
    </w:lvl>
  </w:abstractNum>
  <w:abstractNum w:abstractNumId="4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6"/>
  </w:num>
  <w:num w:numId="3">
    <w:abstractNumId w:val="18"/>
  </w:num>
  <w:num w:numId="4">
    <w:abstractNumId w:val="40"/>
  </w:num>
  <w:num w:numId="5">
    <w:abstractNumId w:val="23"/>
  </w:num>
  <w:num w:numId="6">
    <w:abstractNumId w:val="5"/>
  </w:num>
  <w:num w:numId="7">
    <w:abstractNumId w:val="15"/>
  </w:num>
  <w:num w:numId="8">
    <w:abstractNumId w:val="35"/>
  </w:num>
  <w:num w:numId="9">
    <w:abstractNumId w:val="0"/>
  </w:num>
  <w:num w:numId="10">
    <w:abstractNumId w:val="30"/>
  </w:num>
  <w:num w:numId="11">
    <w:abstractNumId w:val="31"/>
  </w:num>
  <w:num w:numId="12">
    <w:abstractNumId w:val="37"/>
  </w:num>
  <w:num w:numId="13">
    <w:abstractNumId w:val="1"/>
  </w:num>
  <w:num w:numId="14">
    <w:abstractNumId w:val="2"/>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19"/>
  </w:num>
  <w:num w:numId="27">
    <w:abstractNumId w:val="20"/>
  </w:num>
  <w:num w:numId="28">
    <w:abstractNumId w:val="21"/>
  </w:num>
  <w:num w:numId="29">
    <w:abstractNumId w:val="22"/>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2"/>
  </w:num>
  <w:num w:numId="37">
    <w:abstractNumId w:val="33"/>
  </w:num>
  <w:num w:numId="38">
    <w:abstractNumId w:val="39"/>
  </w:num>
  <w:num w:numId="39">
    <w:abstractNumId w:val="41"/>
  </w:num>
  <w:num w:numId="40">
    <w:abstractNumId w:val="42"/>
  </w:num>
  <w:num w:numId="41">
    <w:abstractNumId w:val="44"/>
  </w:num>
  <w:num w:numId="42">
    <w:abstractNumId w:val="45"/>
  </w:num>
  <w:num w:numId="43">
    <w:abstractNumId w:val="47"/>
  </w:num>
  <w:num w:numId="44">
    <w:abstractNumId w:val="48"/>
  </w:num>
  <w:num w:numId="45">
    <w:abstractNumId w:val="49"/>
  </w:num>
  <w:num w:numId="46">
    <w:abstractNumId w:val="50"/>
  </w:num>
  <w:num w:numId="47">
    <w:abstractNumId w:val="51"/>
  </w:num>
  <w:num w:numId="48">
    <w:abstractNumId w:val="34"/>
  </w:num>
  <w:num w:numId="49">
    <w:abstractNumId w:val="43"/>
  </w:num>
  <w:num w:numId="50">
    <w:abstractNumId w:val="38"/>
  </w:num>
  <w:num w:numId="51">
    <w:abstractNumId w:val="4"/>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5D6"/>
    <w:rsid w:val="00006E1F"/>
    <w:rsid w:val="000070D7"/>
    <w:rsid w:val="00011E32"/>
    <w:rsid w:val="0001788C"/>
    <w:rsid w:val="000265C5"/>
    <w:rsid w:val="0002698F"/>
    <w:rsid w:val="000337EF"/>
    <w:rsid w:val="00033982"/>
    <w:rsid w:val="00040C3A"/>
    <w:rsid w:val="00041591"/>
    <w:rsid w:val="000419AD"/>
    <w:rsid w:val="00041EE6"/>
    <w:rsid w:val="000433C9"/>
    <w:rsid w:val="00046290"/>
    <w:rsid w:val="00060894"/>
    <w:rsid w:val="000716C5"/>
    <w:rsid w:val="00072379"/>
    <w:rsid w:val="00075E23"/>
    <w:rsid w:val="0009344A"/>
    <w:rsid w:val="00095315"/>
    <w:rsid w:val="000A392E"/>
    <w:rsid w:val="000A575F"/>
    <w:rsid w:val="000C3BF5"/>
    <w:rsid w:val="000D05CB"/>
    <w:rsid w:val="000D10DB"/>
    <w:rsid w:val="000D617F"/>
    <w:rsid w:val="000E5341"/>
    <w:rsid w:val="000E5EA1"/>
    <w:rsid w:val="000E5EB5"/>
    <w:rsid w:val="000F1BE2"/>
    <w:rsid w:val="000F35ED"/>
    <w:rsid w:val="00107131"/>
    <w:rsid w:val="0010736F"/>
    <w:rsid w:val="00113F73"/>
    <w:rsid w:val="00121CC2"/>
    <w:rsid w:val="00131425"/>
    <w:rsid w:val="00131691"/>
    <w:rsid w:val="00131FD8"/>
    <w:rsid w:val="00132D97"/>
    <w:rsid w:val="00133EE5"/>
    <w:rsid w:val="001439EC"/>
    <w:rsid w:val="00143A79"/>
    <w:rsid w:val="00157990"/>
    <w:rsid w:val="00167A34"/>
    <w:rsid w:val="0017139E"/>
    <w:rsid w:val="00171609"/>
    <w:rsid w:val="001A7870"/>
    <w:rsid w:val="001B3A00"/>
    <w:rsid w:val="001C1991"/>
    <w:rsid w:val="001C1B41"/>
    <w:rsid w:val="001C41D7"/>
    <w:rsid w:val="001C4A8E"/>
    <w:rsid w:val="001C6147"/>
    <w:rsid w:val="001D65EF"/>
    <w:rsid w:val="001D77C2"/>
    <w:rsid w:val="001E3756"/>
    <w:rsid w:val="001E49E7"/>
    <w:rsid w:val="001E7C77"/>
    <w:rsid w:val="001F2811"/>
    <w:rsid w:val="001F7201"/>
    <w:rsid w:val="00214994"/>
    <w:rsid w:val="00215C4C"/>
    <w:rsid w:val="00223A29"/>
    <w:rsid w:val="00224DF2"/>
    <w:rsid w:val="002250A3"/>
    <w:rsid w:val="00235217"/>
    <w:rsid w:val="00241B67"/>
    <w:rsid w:val="00241F6E"/>
    <w:rsid w:val="00243A54"/>
    <w:rsid w:val="002459C2"/>
    <w:rsid w:val="00246D1F"/>
    <w:rsid w:val="00247403"/>
    <w:rsid w:val="00247542"/>
    <w:rsid w:val="00264363"/>
    <w:rsid w:val="00266B61"/>
    <w:rsid w:val="0026712A"/>
    <w:rsid w:val="002704DB"/>
    <w:rsid w:val="00283D73"/>
    <w:rsid w:val="002A0AAE"/>
    <w:rsid w:val="002A0C49"/>
    <w:rsid w:val="002A5820"/>
    <w:rsid w:val="002C58E6"/>
    <w:rsid w:val="002D2B26"/>
    <w:rsid w:val="002D7EA2"/>
    <w:rsid w:val="002E187C"/>
    <w:rsid w:val="002E69AA"/>
    <w:rsid w:val="00300696"/>
    <w:rsid w:val="00302733"/>
    <w:rsid w:val="00314078"/>
    <w:rsid w:val="0031535D"/>
    <w:rsid w:val="003220A9"/>
    <w:rsid w:val="003239B8"/>
    <w:rsid w:val="003247ED"/>
    <w:rsid w:val="0033169F"/>
    <w:rsid w:val="0033219A"/>
    <w:rsid w:val="0034411C"/>
    <w:rsid w:val="00344977"/>
    <w:rsid w:val="00346C95"/>
    <w:rsid w:val="00356185"/>
    <w:rsid w:val="00360380"/>
    <w:rsid w:val="003664F9"/>
    <w:rsid w:val="0037519E"/>
    <w:rsid w:val="00386CF0"/>
    <w:rsid w:val="003B70FB"/>
    <w:rsid w:val="003B7B2B"/>
    <w:rsid w:val="003C676B"/>
    <w:rsid w:val="003D3BC2"/>
    <w:rsid w:val="003D407D"/>
    <w:rsid w:val="003E6CA1"/>
    <w:rsid w:val="003F4AD1"/>
    <w:rsid w:val="004047A6"/>
    <w:rsid w:val="00405F9C"/>
    <w:rsid w:val="004064E5"/>
    <w:rsid w:val="004065A8"/>
    <w:rsid w:val="004165C2"/>
    <w:rsid w:val="004232CD"/>
    <w:rsid w:val="00426F26"/>
    <w:rsid w:val="00432222"/>
    <w:rsid w:val="00441ECB"/>
    <w:rsid w:val="00445193"/>
    <w:rsid w:val="00461B35"/>
    <w:rsid w:val="00461D5C"/>
    <w:rsid w:val="00462C1B"/>
    <w:rsid w:val="00467B7E"/>
    <w:rsid w:val="00473BB4"/>
    <w:rsid w:val="00477592"/>
    <w:rsid w:val="00480775"/>
    <w:rsid w:val="004817B7"/>
    <w:rsid w:val="00486F1C"/>
    <w:rsid w:val="0049419D"/>
    <w:rsid w:val="004A6A54"/>
    <w:rsid w:val="004B1288"/>
    <w:rsid w:val="004C20D2"/>
    <w:rsid w:val="004C2312"/>
    <w:rsid w:val="004C4B62"/>
    <w:rsid w:val="004C54C9"/>
    <w:rsid w:val="004C5A1F"/>
    <w:rsid w:val="004D4ABA"/>
    <w:rsid w:val="004D6025"/>
    <w:rsid w:val="004D688C"/>
    <w:rsid w:val="004E2649"/>
    <w:rsid w:val="004F626F"/>
    <w:rsid w:val="00501399"/>
    <w:rsid w:val="0050374B"/>
    <w:rsid w:val="00503957"/>
    <w:rsid w:val="0050633D"/>
    <w:rsid w:val="00507BC4"/>
    <w:rsid w:val="005128E4"/>
    <w:rsid w:val="005133DB"/>
    <w:rsid w:val="00514504"/>
    <w:rsid w:val="00525560"/>
    <w:rsid w:val="0053270E"/>
    <w:rsid w:val="005348CA"/>
    <w:rsid w:val="00537490"/>
    <w:rsid w:val="00544C49"/>
    <w:rsid w:val="005516A1"/>
    <w:rsid w:val="005559EF"/>
    <w:rsid w:val="00555F76"/>
    <w:rsid w:val="00556A9D"/>
    <w:rsid w:val="00562916"/>
    <w:rsid w:val="00563557"/>
    <w:rsid w:val="0057402A"/>
    <w:rsid w:val="005771D0"/>
    <w:rsid w:val="00585E65"/>
    <w:rsid w:val="0059191A"/>
    <w:rsid w:val="005921FF"/>
    <w:rsid w:val="005A24ED"/>
    <w:rsid w:val="005A25C0"/>
    <w:rsid w:val="005A33C4"/>
    <w:rsid w:val="005A6989"/>
    <w:rsid w:val="005A6D0E"/>
    <w:rsid w:val="005B52B0"/>
    <w:rsid w:val="005B6806"/>
    <w:rsid w:val="005C4225"/>
    <w:rsid w:val="005C66DA"/>
    <w:rsid w:val="005D38F9"/>
    <w:rsid w:val="005E08E0"/>
    <w:rsid w:val="005F0DAD"/>
    <w:rsid w:val="005F0F33"/>
    <w:rsid w:val="005F3874"/>
    <w:rsid w:val="00600DEB"/>
    <w:rsid w:val="00607F5E"/>
    <w:rsid w:val="0061633F"/>
    <w:rsid w:val="00621166"/>
    <w:rsid w:val="00624B61"/>
    <w:rsid w:val="00625390"/>
    <w:rsid w:val="00626C3F"/>
    <w:rsid w:val="00627C9F"/>
    <w:rsid w:val="006311E9"/>
    <w:rsid w:val="00631A63"/>
    <w:rsid w:val="00632354"/>
    <w:rsid w:val="00635421"/>
    <w:rsid w:val="00642810"/>
    <w:rsid w:val="006436BE"/>
    <w:rsid w:val="00652333"/>
    <w:rsid w:val="006532CC"/>
    <w:rsid w:val="00661C55"/>
    <w:rsid w:val="0068009E"/>
    <w:rsid w:val="006844DE"/>
    <w:rsid w:val="00692219"/>
    <w:rsid w:val="006A17D2"/>
    <w:rsid w:val="006A3142"/>
    <w:rsid w:val="006A5C88"/>
    <w:rsid w:val="006A73E6"/>
    <w:rsid w:val="006B2D5C"/>
    <w:rsid w:val="006C4EB1"/>
    <w:rsid w:val="006C57C3"/>
    <w:rsid w:val="006C7B84"/>
    <w:rsid w:val="006D0106"/>
    <w:rsid w:val="006D1761"/>
    <w:rsid w:val="006D3050"/>
    <w:rsid w:val="006E0166"/>
    <w:rsid w:val="006E2FFB"/>
    <w:rsid w:val="006E7B34"/>
    <w:rsid w:val="0070697F"/>
    <w:rsid w:val="00714F36"/>
    <w:rsid w:val="007160B4"/>
    <w:rsid w:val="0072199C"/>
    <w:rsid w:val="00722C9F"/>
    <w:rsid w:val="007253B8"/>
    <w:rsid w:val="00731E6D"/>
    <w:rsid w:val="00732DDF"/>
    <w:rsid w:val="0073741F"/>
    <w:rsid w:val="00746BC0"/>
    <w:rsid w:val="0076643F"/>
    <w:rsid w:val="00777F63"/>
    <w:rsid w:val="00781A2D"/>
    <w:rsid w:val="007858F4"/>
    <w:rsid w:val="0078605F"/>
    <w:rsid w:val="007A5817"/>
    <w:rsid w:val="007B05C4"/>
    <w:rsid w:val="007B60E9"/>
    <w:rsid w:val="007B6CC3"/>
    <w:rsid w:val="007B76D3"/>
    <w:rsid w:val="007C3334"/>
    <w:rsid w:val="007D2B98"/>
    <w:rsid w:val="007D4E93"/>
    <w:rsid w:val="007E21BC"/>
    <w:rsid w:val="007E45B9"/>
    <w:rsid w:val="007E7C82"/>
    <w:rsid w:val="007F15A9"/>
    <w:rsid w:val="007F2AA1"/>
    <w:rsid w:val="007F588D"/>
    <w:rsid w:val="00803F1C"/>
    <w:rsid w:val="0080600E"/>
    <w:rsid w:val="008071E1"/>
    <w:rsid w:val="00812CB6"/>
    <w:rsid w:val="00814688"/>
    <w:rsid w:val="00817612"/>
    <w:rsid w:val="0082312D"/>
    <w:rsid w:val="008338A4"/>
    <w:rsid w:val="00834D49"/>
    <w:rsid w:val="00837C45"/>
    <w:rsid w:val="00844730"/>
    <w:rsid w:val="008457C2"/>
    <w:rsid w:val="00857806"/>
    <w:rsid w:val="00857A82"/>
    <w:rsid w:val="00857E85"/>
    <w:rsid w:val="008610A6"/>
    <w:rsid w:val="00873836"/>
    <w:rsid w:val="00885737"/>
    <w:rsid w:val="00890650"/>
    <w:rsid w:val="00892DF1"/>
    <w:rsid w:val="00897E12"/>
    <w:rsid w:val="008A7E0F"/>
    <w:rsid w:val="008B12F5"/>
    <w:rsid w:val="008B2000"/>
    <w:rsid w:val="008B74F4"/>
    <w:rsid w:val="008C2DD7"/>
    <w:rsid w:val="008C5E2D"/>
    <w:rsid w:val="008D2290"/>
    <w:rsid w:val="008D3AC8"/>
    <w:rsid w:val="008D6134"/>
    <w:rsid w:val="008D768D"/>
    <w:rsid w:val="008E3759"/>
    <w:rsid w:val="008E3BFE"/>
    <w:rsid w:val="008F1912"/>
    <w:rsid w:val="0090270B"/>
    <w:rsid w:val="009041DC"/>
    <w:rsid w:val="0090492F"/>
    <w:rsid w:val="00907088"/>
    <w:rsid w:val="00917B5A"/>
    <w:rsid w:val="00920A58"/>
    <w:rsid w:val="00920A8C"/>
    <w:rsid w:val="00926F8B"/>
    <w:rsid w:val="00934A2C"/>
    <w:rsid w:val="0096706E"/>
    <w:rsid w:val="00973265"/>
    <w:rsid w:val="009735B5"/>
    <w:rsid w:val="00974491"/>
    <w:rsid w:val="00975C4E"/>
    <w:rsid w:val="00981FBA"/>
    <w:rsid w:val="0098449C"/>
    <w:rsid w:val="00997BC5"/>
    <w:rsid w:val="009A4F41"/>
    <w:rsid w:val="009B381B"/>
    <w:rsid w:val="009B46F4"/>
    <w:rsid w:val="009C35BD"/>
    <w:rsid w:val="009D1753"/>
    <w:rsid w:val="009D7611"/>
    <w:rsid w:val="009D7F1A"/>
    <w:rsid w:val="009E0B61"/>
    <w:rsid w:val="009E53DE"/>
    <w:rsid w:val="009E5725"/>
    <w:rsid w:val="009E6E30"/>
    <w:rsid w:val="00A048BD"/>
    <w:rsid w:val="00A11212"/>
    <w:rsid w:val="00A11E44"/>
    <w:rsid w:val="00A20E13"/>
    <w:rsid w:val="00A22EF6"/>
    <w:rsid w:val="00A24EC2"/>
    <w:rsid w:val="00A30100"/>
    <w:rsid w:val="00A32130"/>
    <w:rsid w:val="00A3264E"/>
    <w:rsid w:val="00A328B3"/>
    <w:rsid w:val="00A50FCF"/>
    <w:rsid w:val="00A528D1"/>
    <w:rsid w:val="00A572BF"/>
    <w:rsid w:val="00A610CD"/>
    <w:rsid w:val="00A661D1"/>
    <w:rsid w:val="00A730DE"/>
    <w:rsid w:val="00A758AA"/>
    <w:rsid w:val="00A84F30"/>
    <w:rsid w:val="00A94BAB"/>
    <w:rsid w:val="00A96D6F"/>
    <w:rsid w:val="00AA09A2"/>
    <w:rsid w:val="00AA7996"/>
    <w:rsid w:val="00AC19CB"/>
    <w:rsid w:val="00AD4A35"/>
    <w:rsid w:val="00AE5488"/>
    <w:rsid w:val="00AE6F91"/>
    <w:rsid w:val="00AF5571"/>
    <w:rsid w:val="00B07341"/>
    <w:rsid w:val="00B2079C"/>
    <w:rsid w:val="00B21806"/>
    <w:rsid w:val="00B244E3"/>
    <w:rsid w:val="00B30539"/>
    <w:rsid w:val="00B312DF"/>
    <w:rsid w:val="00B314DB"/>
    <w:rsid w:val="00B361F2"/>
    <w:rsid w:val="00B3718B"/>
    <w:rsid w:val="00B3745F"/>
    <w:rsid w:val="00B4632A"/>
    <w:rsid w:val="00B530F1"/>
    <w:rsid w:val="00B54CDF"/>
    <w:rsid w:val="00B641BC"/>
    <w:rsid w:val="00B72BC0"/>
    <w:rsid w:val="00BA276C"/>
    <w:rsid w:val="00BB2FF4"/>
    <w:rsid w:val="00BB306F"/>
    <w:rsid w:val="00BD0136"/>
    <w:rsid w:val="00BD4B89"/>
    <w:rsid w:val="00BD5922"/>
    <w:rsid w:val="00BD72BD"/>
    <w:rsid w:val="00BE2361"/>
    <w:rsid w:val="00BF02CB"/>
    <w:rsid w:val="00BF0A1E"/>
    <w:rsid w:val="00BF3493"/>
    <w:rsid w:val="00BF3FDB"/>
    <w:rsid w:val="00BF46D6"/>
    <w:rsid w:val="00BF5078"/>
    <w:rsid w:val="00BF6FD8"/>
    <w:rsid w:val="00C031A3"/>
    <w:rsid w:val="00C03680"/>
    <w:rsid w:val="00C054DF"/>
    <w:rsid w:val="00C21762"/>
    <w:rsid w:val="00C21FEF"/>
    <w:rsid w:val="00C23BA4"/>
    <w:rsid w:val="00C24543"/>
    <w:rsid w:val="00C256A2"/>
    <w:rsid w:val="00C25ADB"/>
    <w:rsid w:val="00C31A9F"/>
    <w:rsid w:val="00C31C32"/>
    <w:rsid w:val="00C51515"/>
    <w:rsid w:val="00C5660B"/>
    <w:rsid w:val="00C66B72"/>
    <w:rsid w:val="00C7785F"/>
    <w:rsid w:val="00C82966"/>
    <w:rsid w:val="00C87AC4"/>
    <w:rsid w:val="00C9567A"/>
    <w:rsid w:val="00CA378B"/>
    <w:rsid w:val="00CA3C10"/>
    <w:rsid w:val="00CA6F7A"/>
    <w:rsid w:val="00CB212D"/>
    <w:rsid w:val="00CB2660"/>
    <w:rsid w:val="00CB2AF4"/>
    <w:rsid w:val="00CB3B79"/>
    <w:rsid w:val="00CB4F81"/>
    <w:rsid w:val="00CB7312"/>
    <w:rsid w:val="00CC5E90"/>
    <w:rsid w:val="00CD046C"/>
    <w:rsid w:val="00CE076C"/>
    <w:rsid w:val="00CE0FE6"/>
    <w:rsid w:val="00CE12AB"/>
    <w:rsid w:val="00CE5199"/>
    <w:rsid w:val="00CE66D5"/>
    <w:rsid w:val="00CF4475"/>
    <w:rsid w:val="00CF637A"/>
    <w:rsid w:val="00D023A9"/>
    <w:rsid w:val="00D037C0"/>
    <w:rsid w:val="00D059DE"/>
    <w:rsid w:val="00D05ABD"/>
    <w:rsid w:val="00D1071F"/>
    <w:rsid w:val="00D13FCE"/>
    <w:rsid w:val="00D306D1"/>
    <w:rsid w:val="00D30800"/>
    <w:rsid w:val="00D31C78"/>
    <w:rsid w:val="00D34786"/>
    <w:rsid w:val="00D36B60"/>
    <w:rsid w:val="00D37BFC"/>
    <w:rsid w:val="00D47A8E"/>
    <w:rsid w:val="00D52D14"/>
    <w:rsid w:val="00D649C9"/>
    <w:rsid w:val="00D712D3"/>
    <w:rsid w:val="00D71422"/>
    <w:rsid w:val="00D72DC6"/>
    <w:rsid w:val="00D7558D"/>
    <w:rsid w:val="00D81D92"/>
    <w:rsid w:val="00D8649C"/>
    <w:rsid w:val="00D876F9"/>
    <w:rsid w:val="00D87BC1"/>
    <w:rsid w:val="00DA120B"/>
    <w:rsid w:val="00DA45F6"/>
    <w:rsid w:val="00DA7B5F"/>
    <w:rsid w:val="00DB2AC0"/>
    <w:rsid w:val="00DB65F4"/>
    <w:rsid w:val="00DC11E7"/>
    <w:rsid w:val="00DC24E3"/>
    <w:rsid w:val="00DC7023"/>
    <w:rsid w:val="00DC769A"/>
    <w:rsid w:val="00DD04E1"/>
    <w:rsid w:val="00DD3D86"/>
    <w:rsid w:val="00DD4AD2"/>
    <w:rsid w:val="00DE65CE"/>
    <w:rsid w:val="00DF1EC4"/>
    <w:rsid w:val="00DF3C93"/>
    <w:rsid w:val="00E0152A"/>
    <w:rsid w:val="00E0340B"/>
    <w:rsid w:val="00E04A90"/>
    <w:rsid w:val="00E04AB6"/>
    <w:rsid w:val="00E0551F"/>
    <w:rsid w:val="00E11D47"/>
    <w:rsid w:val="00E219C7"/>
    <w:rsid w:val="00E31EBF"/>
    <w:rsid w:val="00E41179"/>
    <w:rsid w:val="00E4118C"/>
    <w:rsid w:val="00E43157"/>
    <w:rsid w:val="00E461CE"/>
    <w:rsid w:val="00E573E4"/>
    <w:rsid w:val="00E64A49"/>
    <w:rsid w:val="00E64C3D"/>
    <w:rsid w:val="00E720CA"/>
    <w:rsid w:val="00E81CE2"/>
    <w:rsid w:val="00E82BE3"/>
    <w:rsid w:val="00E844C7"/>
    <w:rsid w:val="00E84EB5"/>
    <w:rsid w:val="00E85662"/>
    <w:rsid w:val="00E86AC4"/>
    <w:rsid w:val="00E8789F"/>
    <w:rsid w:val="00E97B71"/>
    <w:rsid w:val="00EA379A"/>
    <w:rsid w:val="00EA3D34"/>
    <w:rsid w:val="00EA5324"/>
    <w:rsid w:val="00EA7450"/>
    <w:rsid w:val="00EB454D"/>
    <w:rsid w:val="00EC7D62"/>
    <w:rsid w:val="00ED549D"/>
    <w:rsid w:val="00ED76BE"/>
    <w:rsid w:val="00EE00E9"/>
    <w:rsid w:val="00EF1AAA"/>
    <w:rsid w:val="00EF3D4A"/>
    <w:rsid w:val="00EF619B"/>
    <w:rsid w:val="00F00B55"/>
    <w:rsid w:val="00F02AD1"/>
    <w:rsid w:val="00F13576"/>
    <w:rsid w:val="00F13729"/>
    <w:rsid w:val="00F2452D"/>
    <w:rsid w:val="00F253CC"/>
    <w:rsid w:val="00F3202C"/>
    <w:rsid w:val="00F37106"/>
    <w:rsid w:val="00F44E25"/>
    <w:rsid w:val="00F51122"/>
    <w:rsid w:val="00F519CF"/>
    <w:rsid w:val="00F55639"/>
    <w:rsid w:val="00F56BA5"/>
    <w:rsid w:val="00F60E22"/>
    <w:rsid w:val="00F65E5C"/>
    <w:rsid w:val="00F729D5"/>
    <w:rsid w:val="00F749B6"/>
    <w:rsid w:val="00F774AC"/>
    <w:rsid w:val="00F77D72"/>
    <w:rsid w:val="00F81395"/>
    <w:rsid w:val="00F81BB8"/>
    <w:rsid w:val="00F83806"/>
    <w:rsid w:val="00F90C64"/>
    <w:rsid w:val="00F917D1"/>
    <w:rsid w:val="00F9653B"/>
    <w:rsid w:val="00FA42E2"/>
    <w:rsid w:val="00FB62CF"/>
    <w:rsid w:val="00FC4C22"/>
    <w:rsid w:val="00FD3C3B"/>
    <w:rsid w:val="00FE07DD"/>
    <w:rsid w:val="00FE6B45"/>
    <w:rsid w:val="00FF054B"/>
    <w:rsid w:val="00FF55F3"/>
    <w:rsid w:val="00FF5851"/>
    <w:rsid w:val="00FF5EF4"/>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989"/>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5A6989"/>
    <w:rPr>
      <w:u w:val="single"/>
    </w:rPr>
  </w:style>
  <w:style w:type="paragraph" w:customStyle="1" w:styleId="Cabeceraypie">
    <w:name w:val="Cabecera y pie"/>
    <w:uiPriority w:val="99"/>
    <w:rsid w:val="005A6989"/>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5A6989"/>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rPr>
  </w:style>
  <w:style w:type="paragraph" w:customStyle="1" w:styleId="Cuerpo">
    <w:name w:val="Cuerpo"/>
    <w:uiPriority w:val="99"/>
    <w:rsid w:val="005A6989"/>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5A6989"/>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746BC0"/>
    <w:rPr>
      <w:sz w:val="24"/>
      <w:szCs w:val="24"/>
    </w:rPr>
  </w:style>
  <w:style w:type="paragraph" w:styleId="ListParagraph">
    <w:name w:val="List Paragraph"/>
    <w:basedOn w:val="Normal"/>
    <w:uiPriority w:val="99"/>
    <w:qFormat/>
    <w:rsid w:val="005A6989"/>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5A6989"/>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746BC0"/>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5C4225"/>
    <w:pPr>
      <w:tabs>
        <w:tab w:val="left" w:pos="1440"/>
        <w:tab w:val="right" w:leader="dot" w:pos="9350"/>
      </w:tabs>
      <w:spacing w:after="100"/>
      <w:ind w:left="1440" w:hanging="720"/>
    </w:pPr>
  </w:style>
  <w:style w:type="paragraph" w:styleId="TOC1">
    <w:name w:val="toc 1"/>
    <w:basedOn w:val="Normal"/>
    <w:next w:val="Normal"/>
    <w:autoRedefine/>
    <w:uiPriority w:val="99"/>
    <w:semiHidden/>
    <w:rsid w:val="005C4225"/>
    <w:pPr>
      <w:spacing w:after="100"/>
    </w:pPr>
    <w:rPr>
      <w:rFonts w:ascii="Calibri" w:hAnsi="Calibri" w:cs="Calibri"/>
      <w:sz w:val="22"/>
      <w:szCs w:val="22"/>
    </w:rPr>
  </w:style>
  <w:style w:type="paragraph" w:styleId="TOC3">
    <w:name w:val="toc 3"/>
    <w:basedOn w:val="Normal"/>
    <w:next w:val="Normal"/>
    <w:autoRedefine/>
    <w:uiPriority w:val="99"/>
    <w:semiHidden/>
    <w:rsid w:val="005C4225"/>
    <w:pPr>
      <w:tabs>
        <w:tab w:val="left" w:pos="880"/>
        <w:tab w:val="right" w:leader="dot" w:pos="9350"/>
      </w:tabs>
      <w:spacing w:after="100"/>
      <w:ind w:left="2160" w:hanging="720"/>
    </w:pPr>
  </w:style>
  <w:style w:type="paragraph" w:styleId="TOC4">
    <w:name w:val="toc 4"/>
    <w:basedOn w:val="Normal"/>
    <w:next w:val="Normal"/>
    <w:autoRedefine/>
    <w:uiPriority w:val="99"/>
    <w:semiHidden/>
    <w:rsid w:val="005C4225"/>
    <w:pPr>
      <w:spacing w:after="100"/>
      <w:ind w:left="720"/>
    </w:pPr>
  </w:style>
  <w:style w:type="character" w:styleId="PageNumber">
    <w:name w:val="page number"/>
    <w:basedOn w:val="DefaultParagraphFont"/>
    <w:uiPriority w:val="99"/>
    <w:rsid w:val="00040C3A"/>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uiPriority w:val="99"/>
    <w:semiHidden/>
    <w:rsid w:val="000F35ED"/>
    <w:rPr>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31535D"/>
    <w:rPr>
      <w:rFonts w:ascii="Calibri" w:hAnsi="Calibri" w:cs="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szCs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8D3AC8"/>
    <w:pPr>
      <w:spacing w:before="100" w:beforeAutospacing="1" w:after="100" w:afterAutospacing="1"/>
    </w:pPr>
    <w:rPr>
      <w:rFonts w:eastAsia="Times New Roman"/>
    </w:rPr>
  </w:style>
  <w:style w:type="character" w:styleId="CommentReference">
    <w:name w:val="annotation reference"/>
    <w:basedOn w:val="DefaultParagraphFont"/>
    <w:uiPriority w:val="99"/>
    <w:semiHidden/>
    <w:rsid w:val="00FC4C22"/>
    <w:rPr>
      <w:sz w:val="16"/>
      <w:szCs w:val="16"/>
    </w:rPr>
  </w:style>
  <w:style w:type="paragraph" w:styleId="CommentText">
    <w:name w:val="annotation text"/>
    <w:basedOn w:val="Normal"/>
    <w:link w:val="CommentTextChar"/>
    <w:uiPriority w:val="99"/>
    <w:semiHidden/>
    <w:rsid w:val="00FC4C22"/>
    <w:rPr>
      <w:sz w:val="20"/>
      <w:szCs w:val="20"/>
    </w:rPr>
  </w:style>
  <w:style w:type="character" w:customStyle="1" w:styleId="CommentTextChar">
    <w:name w:val="Comment Text Char"/>
    <w:basedOn w:val="DefaultParagraphFont"/>
    <w:link w:val="CommentText"/>
    <w:uiPriority w:val="99"/>
    <w:semiHidden/>
    <w:locked/>
    <w:rsid w:val="00FC4C22"/>
    <w:rPr>
      <w:lang w:val="en-US" w:eastAsia="en-US"/>
    </w:rPr>
  </w:style>
  <w:style w:type="paragraph" w:styleId="CommentSubject">
    <w:name w:val="annotation subject"/>
    <w:basedOn w:val="CommentText"/>
    <w:next w:val="CommentText"/>
    <w:link w:val="CommentSubjectChar"/>
    <w:uiPriority w:val="99"/>
    <w:semiHidden/>
    <w:rsid w:val="00FC4C22"/>
    <w:rPr>
      <w:b/>
      <w:bCs/>
    </w:rPr>
  </w:style>
  <w:style w:type="character" w:customStyle="1" w:styleId="CommentSubjectChar">
    <w:name w:val="Comment Subject Char"/>
    <w:basedOn w:val="CommentTextChar"/>
    <w:link w:val="CommentSubject"/>
    <w:uiPriority w:val="99"/>
    <w:semiHidden/>
    <w:locked/>
    <w:rsid w:val="00FC4C22"/>
    <w:rPr>
      <w:b/>
      <w:bCs/>
      <w:lang w:val="en-US" w:eastAsia="en-US"/>
    </w:rPr>
  </w:style>
  <w:style w:type="numbering" w:customStyle="1" w:styleId="List16">
    <w:name w:val="List 16"/>
    <w:rsid w:val="00005D98"/>
    <w:pPr>
      <w:numPr>
        <w:numId w:val="9"/>
      </w:numPr>
    </w:pPr>
  </w:style>
  <w:style w:type="numbering" w:customStyle="1" w:styleId="List36">
    <w:name w:val="List 36"/>
    <w:rsid w:val="00005D98"/>
    <w:pPr>
      <w:numPr>
        <w:numId w:val="13"/>
      </w:numPr>
    </w:pPr>
  </w:style>
  <w:style w:type="numbering" w:customStyle="1" w:styleId="List25">
    <w:name w:val="List 25"/>
    <w:rsid w:val="00005D98"/>
    <w:pPr>
      <w:numPr>
        <w:numId w:val="14"/>
      </w:numPr>
    </w:pPr>
  </w:style>
  <w:style w:type="numbering" w:customStyle="1" w:styleId="List1">
    <w:name w:val="List 1"/>
    <w:rsid w:val="00005D98"/>
    <w:pPr>
      <w:numPr>
        <w:numId w:val="1"/>
      </w:numPr>
    </w:pPr>
  </w:style>
  <w:style w:type="numbering" w:customStyle="1" w:styleId="List11">
    <w:name w:val="List 11"/>
    <w:rsid w:val="00005D98"/>
    <w:pPr>
      <w:numPr>
        <w:numId w:val="6"/>
      </w:numPr>
    </w:pPr>
  </w:style>
  <w:style w:type="numbering" w:customStyle="1" w:styleId="List15">
    <w:name w:val="List 15"/>
    <w:rsid w:val="00005D98"/>
    <w:pPr>
      <w:numPr>
        <w:numId w:val="15"/>
      </w:numPr>
    </w:pPr>
  </w:style>
  <w:style w:type="numbering" w:customStyle="1" w:styleId="List14">
    <w:name w:val="List 14"/>
    <w:rsid w:val="00005D98"/>
    <w:pPr>
      <w:numPr>
        <w:numId w:val="16"/>
      </w:numPr>
    </w:pPr>
  </w:style>
  <w:style w:type="numbering" w:customStyle="1" w:styleId="List23">
    <w:name w:val="List 23"/>
    <w:rsid w:val="00005D98"/>
    <w:pPr>
      <w:numPr>
        <w:numId w:val="17"/>
      </w:numPr>
    </w:pPr>
  </w:style>
  <w:style w:type="numbering" w:customStyle="1" w:styleId="List19">
    <w:name w:val="List 19"/>
    <w:rsid w:val="00005D98"/>
    <w:pPr>
      <w:numPr>
        <w:numId w:val="18"/>
      </w:numPr>
    </w:pPr>
  </w:style>
  <w:style w:type="numbering" w:customStyle="1" w:styleId="List45">
    <w:name w:val="List 45"/>
    <w:rsid w:val="00005D98"/>
    <w:pPr>
      <w:numPr>
        <w:numId w:val="19"/>
      </w:numPr>
    </w:pPr>
  </w:style>
  <w:style w:type="numbering" w:customStyle="1" w:styleId="List40">
    <w:name w:val="List 40"/>
    <w:rsid w:val="00005D98"/>
    <w:pPr>
      <w:numPr>
        <w:numId w:val="20"/>
      </w:numPr>
    </w:pPr>
  </w:style>
  <w:style w:type="numbering" w:customStyle="1" w:styleId="List9">
    <w:name w:val="List 9"/>
    <w:rsid w:val="00005D98"/>
    <w:pPr>
      <w:numPr>
        <w:numId w:val="21"/>
      </w:numPr>
    </w:pPr>
  </w:style>
  <w:style w:type="numbering" w:customStyle="1" w:styleId="List43">
    <w:name w:val="List 43"/>
    <w:rsid w:val="00005D98"/>
    <w:pPr>
      <w:numPr>
        <w:numId w:val="22"/>
      </w:numPr>
    </w:pPr>
  </w:style>
  <w:style w:type="numbering" w:customStyle="1" w:styleId="List46">
    <w:name w:val="List 46"/>
    <w:rsid w:val="00005D98"/>
    <w:pPr>
      <w:numPr>
        <w:numId w:val="23"/>
      </w:numPr>
    </w:pPr>
  </w:style>
  <w:style w:type="numbering" w:customStyle="1" w:styleId="List35">
    <w:name w:val="List 35"/>
    <w:rsid w:val="00005D98"/>
    <w:pPr>
      <w:numPr>
        <w:numId w:val="7"/>
      </w:numPr>
    </w:pPr>
  </w:style>
  <w:style w:type="numbering" w:customStyle="1" w:styleId="List17">
    <w:name w:val="List 17"/>
    <w:rsid w:val="00005D98"/>
    <w:pPr>
      <w:numPr>
        <w:numId w:val="24"/>
      </w:numPr>
    </w:pPr>
  </w:style>
  <w:style w:type="numbering" w:customStyle="1" w:styleId="List33">
    <w:name w:val="List 33"/>
    <w:rsid w:val="00005D98"/>
    <w:pPr>
      <w:numPr>
        <w:numId w:val="25"/>
      </w:numPr>
    </w:pPr>
  </w:style>
  <w:style w:type="numbering" w:customStyle="1" w:styleId="List7">
    <w:name w:val="List 7"/>
    <w:rsid w:val="00005D98"/>
    <w:pPr>
      <w:numPr>
        <w:numId w:val="3"/>
      </w:numPr>
    </w:pPr>
  </w:style>
  <w:style w:type="numbering" w:customStyle="1" w:styleId="List18">
    <w:name w:val="List 18"/>
    <w:rsid w:val="00005D98"/>
    <w:pPr>
      <w:numPr>
        <w:numId w:val="26"/>
      </w:numPr>
    </w:pPr>
  </w:style>
  <w:style w:type="numbering" w:customStyle="1" w:styleId="List22">
    <w:name w:val="List 22"/>
    <w:rsid w:val="00005D98"/>
    <w:pPr>
      <w:numPr>
        <w:numId w:val="27"/>
      </w:numPr>
    </w:pPr>
  </w:style>
  <w:style w:type="numbering" w:customStyle="1" w:styleId="List47">
    <w:name w:val="List 47"/>
    <w:rsid w:val="00005D98"/>
    <w:pPr>
      <w:numPr>
        <w:numId w:val="28"/>
      </w:numPr>
    </w:pPr>
  </w:style>
  <w:style w:type="numbering" w:customStyle="1" w:styleId="List28">
    <w:name w:val="List 28"/>
    <w:rsid w:val="00005D98"/>
    <w:pPr>
      <w:numPr>
        <w:numId w:val="29"/>
      </w:numPr>
    </w:pPr>
  </w:style>
  <w:style w:type="numbering" w:customStyle="1" w:styleId="List10">
    <w:name w:val="List 10"/>
    <w:rsid w:val="00005D98"/>
    <w:pPr>
      <w:numPr>
        <w:numId w:val="5"/>
      </w:numPr>
    </w:pPr>
  </w:style>
  <w:style w:type="numbering" w:customStyle="1" w:styleId="List0">
    <w:name w:val="List 0"/>
    <w:rsid w:val="00005D98"/>
    <w:pPr>
      <w:numPr>
        <w:numId w:val="30"/>
      </w:numPr>
    </w:pPr>
  </w:style>
  <w:style w:type="numbering" w:customStyle="1" w:styleId="List30">
    <w:name w:val="List 30"/>
    <w:rsid w:val="00005D98"/>
    <w:pPr>
      <w:numPr>
        <w:numId w:val="31"/>
      </w:numPr>
    </w:pPr>
  </w:style>
  <w:style w:type="numbering" w:customStyle="1" w:styleId="List29">
    <w:name w:val="List 29"/>
    <w:rsid w:val="00005D98"/>
    <w:pPr>
      <w:numPr>
        <w:numId w:val="32"/>
      </w:numPr>
    </w:pPr>
  </w:style>
  <w:style w:type="numbering" w:customStyle="1" w:styleId="List38">
    <w:name w:val="List 38"/>
    <w:rsid w:val="00005D98"/>
    <w:pPr>
      <w:numPr>
        <w:numId w:val="33"/>
      </w:numPr>
    </w:pPr>
  </w:style>
  <w:style w:type="numbering" w:customStyle="1" w:styleId="List12">
    <w:name w:val="List 12"/>
    <w:rsid w:val="00005D98"/>
    <w:pPr>
      <w:numPr>
        <w:numId w:val="34"/>
      </w:numPr>
    </w:pPr>
  </w:style>
  <w:style w:type="numbering" w:customStyle="1" w:styleId="List50">
    <w:name w:val="List 50"/>
    <w:rsid w:val="00005D98"/>
    <w:pPr>
      <w:numPr>
        <w:numId w:val="35"/>
      </w:numPr>
    </w:pPr>
  </w:style>
  <w:style w:type="numbering" w:customStyle="1" w:styleId="List34">
    <w:name w:val="List 34"/>
    <w:rsid w:val="00005D98"/>
    <w:pPr>
      <w:numPr>
        <w:numId w:val="10"/>
      </w:numPr>
    </w:pPr>
  </w:style>
  <w:style w:type="numbering" w:customStyle="1" w:styleId="List42">
    <w:name w:val="List 42"/>
    <w:rsid w:val="00005D98"/>
    <w:pPr>
      <w:numPr>
        <w:numId w:val="11"/>
      </w:numPr>
    </w:pPr>
  </w:style>
  <w:style w:type="numbering" w:customStyle="1" w:styleId="List49">
    <w:name w:val="List 49"/>
    <w:rsid w:val="00005D98"/>
    <w:pPr>
      <w:numPr>
        <w:numId w:val="36"/>
      </w:numPr>
    </w:pPr>
  </w:style>
  <w:style w:type="numbering" w:customStyle="1" w:styleId="List44">
    <w:name w:val="List 44"/>
    <w:rsid w:val="00005D98"/>
    <w:pPr>
      <w:numPr>
        <w:numId w:val="37"/>
      </w:numPr>
    </w:pPr>
  </w:style>
  <w:style w:type="numbering" w:customStyle="1" w:styleId="List21">
    <w:name w:val="List 21"/>
    <w:rsid w:val="00005D98"/>
    <w:pPr>
      <w:numPr>
        <w:numId w:val="48"/>
      </w:numPr>
    </w:pPr>
  </w:style>
  <w:style w:type="numbering" w:customStyle="1" w:styleId="List52">
    <w:name w:val="List 52"/>
    <w:rsid w:val="00005D98"/>
    <w:pPr>
      <w:numPr>
        <w:numId w:val="8"/>
      </w:numPr>
    </w:pPr>
  </w:style>
  <w:style w:type="numbering" w:customStyle="1" w:styleId="List24">
    <w:name w:val="List 24"/>
    <w:rsid w:val="00005D98"/>
    <w:pPr>
      <w:numPr>
        <w:numId w:val="12"/>
      </w:numPr>
    </w:pPr>
  </w:style>
  <w:style w:type="numbering" w:customStyle="1" w:styleId="List51">
    <w:name w:val="List 51"/>
    <w:rsid w:val="00005D98"/>
    <w:pPr>
      <w:numPr>
        <w:numId w:val="50"/>
      </w:numPr>
    </w:pPr>
  </w:style>
  <w:style w:type="numbering" w:customStyle="1" w:styleId="List27">
    <w:name w:val="List 27"/>
    <w:rsid w:val="00005D98"/>
    <w:pPr>
      <w:numPr>
        <w:numId w:val="38"/>
      </w:numPr>
    </w:pPr>
  </w:style>
  <w:style w:type="numbering" w:customStyle="1" w:styleId="List8">
    <w:name w:val="List 8"/>
    <w:rsid w:val="00005D98"/>
    <w:pPr>
      <w:numPr>
        <w:numId w:val="4"/>
      </w:numPr>
    </w:pPr>
  </w:style>
  <w:style w:type="numbering" w:customStyle="1" w:styleId="List13">
    <w:name w:val="List 13"/>
    <w:rsid w:val="00005D98"/>
    <w:pPr>
      <w:numPr>
        <w:numId w:val="39"/>
      </w:numPr>
    </w:pPr>
  </w:style>
  <w:style w:type="numbering" w:customStyle="1" w:styleId="List20">
    <w:name w:val="List 20"/>
    <w:rsid w:val="00005D98"/>
    <w:pPr>
      <w:numPr>
        <w:numId w:val="40"/>
      </w:numPr>
    </w:pPr>
  </w:style>
  <w:style w:type="numbering" w:customStyle="1" w:styleId="List41">
    <w:name w:val="List 41"/>
    <w:rsid w:val="00005D98"/>
    <w:pPr>
      <w:numPr>
        <w:numId w:val="41"/>
      </w:numPr>
    </w:pPr>
  </w:style>
  <w:style w:type="numbering" w:customStyle="1" w:styleId="List31">
    <w:name w:val="List 31"/>
    <w:rsid w:val="00005D98"/>
    <w:pPr>
      <w:numPr>
        <w:numId w:val="42"/>
      </w:numPr>
    </w:pPr>
  </w:style>
  <w:style w:type="numbering" w:customStyle="1" w:styleId="List6">
    <w:name w:val="List 6"/>
    <w:rsid w:val="00005D98"/>
    <w:pPr>
      <w:numPr>
        <w:numId w:val="2"/>
      </w:numPr>
    </w:pPr>
  </w:style>
  <w:style w:type="numbering" w:customStyle="1" w:styleId="List39">
    <w:name w:val="List 39"/>
    <w:rsid w:val="00005D98"/>
    <w:pPr>
      <w:numPr>
        <w:numId w:val="43"/>
      </w:numPr>
    </w:pPr>
  </w:style>
  <w:style w:type="numbering" w:customStyle="1" w:styleId="List37">
    <w:name w:val="List 37"/>
    <w:rsid w:val="00005D98"/>
    <w:pPr>
      <w:numPr>
        <w:numId w:val="44"/>
      </w:numPr>
    </w:pPr>
  </w:style>
  <w:style w:type="numbering" w:customStyle="1" w:styleId="List32">
    <w:name w:val="List 32"/>
    <w:rsid w:val="00005D98"/>
    <w:pPr>
      <w:numPr>
        <w:numId w:val="45"/>
      </w:numPr>
    </w:pPr>
  </w:style>
  <w:style w:type="numbering" w:customStyle="1" w:styleId="List26">
    <w:name w:val="List 26"/>
    <w:rsid w:val="00005D98"/>
    <w:pPr>
      <w:numPr>
        <w:numId w:val="46"/>
      </w:numPr>
    </w:pPr>
  </w:style>
  <w:style w:type="numbering" w:customStyle="1" w:styleId="List48">
    <w:name w:val="List 48"/>
    <w:rsid w:val="00005D9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2756</Words>
  <Characters>14530</Characters>
  <Application>Microsoft Office Word</Application>
  <DocSecurity>0</DocSecurity>
  <Lines>302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61/20</dc:title>
  <dc:subject/>
  <dc:creator/>
  <cp:keywords/>
  <dc:description/>
  <cp:lastModifiedBy/>
  <cp:revision>1</cp:revision>
  <dcterms:created xsi:type="dcterms:W3CDTF">2020-06-04T18:54:00Z</dcterms:created>
  <dcterms:modified xsi:type="dcterms:W3CDTF">2020-06-04T18:54:00Z</dcterms:modified>
</cp:coreProperties>
</file>