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C54196" w:rsidRDefault="006311DA" w:rsidP="00627C9F">
      <w:pPr>
        <w:jc w:val="both"/>
        <w:rPr>
          <w:rFonts w:asciiTheme="majorHAnsi" w:hAnsiTheme="majorHAnsi" w:cs="Univers"/>
          <w:b/>
          <w:bCs/>
          <w:sz w:val="22"/>
          <w:szCs w:val="22"/>
        </w:rPr>
      </w:pPr>
      <w:r w:rsidRPr="00C5419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861B77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5419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8F007A" w:rsidRDefault="008F007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8F007A" w:rsidRDefault="008F007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54196" w:rsidRDefault="00040C3A" w:rsidP="00040C3A">
      <w:pPr>
        <w:tabs>
          <w:tab w:val="center" w:pos="5400"/>
        </w:tabs>
        <w:suppressAutoHyphens/>
        <w:jc w:val="both"/>
        <w:rPr>
          <w:rFonts w:asciiTheme="majorHAnsi" w:hAnsiTheme="majorHAnsi"/>
          <w:sz w:val="22"/>
          <w:szCs w:val="22"/>
        </w:rPr>
      </w:pPr>
    </w:p>
    <w:p w14:paraId="54AC1FBF" w14:textId="77777777" w:rsidR="00040C3A" w:rsidRPr="00C54196" w:rsidRDefault="00040C3A" w:rsidP="00040C3A">
      <w:pPr>
        <w:tabs>
          <w:tab w:val="center" w:pos="5400"/>
        </w:tabs>
        <w:suppressAutoHyphens/>
        <w:jc w:val="both"/>
        <w:rPr>
          <w:rFonts w:asciiTheme="majorHAnsi" w:hAnsiTheme="majorHAnsi"/>
          <w:sz w:val="22"/>
          <w:szCs w:val="22"/>
        </w:rPr>
      </w:pPr>
    </w:p>
    <w:p w14:paraId="6A4AC464" w14:textId="77777777" w:rsidR="005128E4" w:rsidRPr="00C54196" w:rsidRDefault="005128E4" w:rsidP="00040C3A">
      <w:pPr>
        <w:tabs>
          <w:tab w:val="center" w:pos="5400"/>
        </w:tabs>
        <w:suppressAutoHyphens/>
        <w:rPr>
          <w:rFonts w:asciiTheme="majorHAnsi" w:hAnsiTheme="majorHAnsi"/>
          <w:sz w:val="22"/>
          <w:szCs w:val="22"/>
        </w:rPr>
      </w:pPr>
    </w:p>
    <w:p w14:paraId="515D20A5" w14:textId="77777777" w:rsidR="005128E4" w:rsidRPr="00C54196" w:rsidRDefault="005128E4" w:rsidP="00040C3A">
      <w:pPr>
        <w:tabs>
          <w:tab w:val="center" w:pos="5400"/>
        </w:tabs>
        <w:suppressAutoHyphens/>
        <w:rPr>
          <w:rFonts w:asciiTheme="majorHAnsi" w:hAnsiTheme="majorHAnsi"/>
          <w:sz w:val="22"/>
          <w:szCs w:val="22"/>
        </w:rPr>
      </w:pPr>
    </w:p>
    <w:p w14:paraId="7CBA3E7E" w14:textId="77777777" w:rsidR="005128E4" w:rsidRPr="00C54196" w:rsidRDefault="005128E4" w:rsidP="00040C3A">
      <w:pPr>
        <w:tabs>
          <w:tab w:val="center" w:pos="5400"/>
        </w:tabs>
        <w:suppressAutoHyphens/>
        <w:rPr>
          <w:rFonts w:asciiTheme="majorHAnsi" w:hAnsiTheme="majorHAnsi"/>
          <w:sz w:val="22"/>
          <w:szCs w:val="22"/>
        </w:rPr>
      </w:pPr>
    </w:p>
    <w:p w14:paraId="0FFC5ED6" w14:textId="77777777" w:rsidR="00040C3A" w:rsidRPr="00C54196" w:rsidRDefault="00040C3A" w:rsidP="005128E4">
      <w:pPr>
        <w:tabs>
          <w:tab w:val="center" w:pos="5400"/>
        </w:tabs>
        <w:suppressAutoHyphens/>
        <w:jc w:val="center"/>
        <w:rPr>
          <w:rFonts w:asciiTheme="majorHAnsi" w:hAnsiTheme="majorHAnsi"/>
          <w:sz w:val="22"/>
          <w:szCs w:val="22"/>
        </w:rPr>
      </w:pPr>
    </w:p>
    <w:p w14:paraId="5FCF0358" w14:textId="77777777" w:rsidR="00040C3A" w:rsidRPr="00C54196" w:rsidRDefault="00040C3A" w:rsidP="005128E4">
      <w:pPr>
        <w:tabs>
          <w:tab w:val="center" w:pos="5400"/>
        </w:tabs>
        <w:suppressAutoHyphens/>
        <w:jc w:val="center"/>
        <w:rPr>
          <w:rFonts w:asciiTheme="majorHAnsi" w:hAnsiTheme="majorHAnsi"/>
          <w:sz w:val="22"/>
          <w:szCs w:val="22"/>
        </w:rPr>
      </w:pPr>
    </w:p>
    <w:p w14:paraId="23C02B60" w14:textId="77777777" w:rsidR="005B52B0" w:rsidRPr="00C54196" w:rsidRDefault="005B52B0" w:rsidP="005128E4">
      <w:pPr>
        <w:tabs>
          <w:tab w:val="center" w:pos="5400"/>
        </w:tabs>
        <w:suppressAutoHyphens/>
        <w:jc w:val="center"/>
        <w:rPr>
          <w:rFonts w:asciiTheme="majorHAnsi" w:hAnsiTheme="majorHAnsi"/>
          <w:sz w:val="22"/>
          <w:szCs w:val="22"/>
        </w:rPr>
      </w:pPr>
    </w:p>
    <w:p w14:paraId="1E4CC4A3" w14:textId="77777777" w:rsidR="005B52B0" w:rsidRPr="00C54196" w:rsidRDefault="005B52B0" w:rsidP="005128E4">
      <w:pPr>
        <w:tabs>
          <w:tab w:val="center" w:pos="5400"/>
        </w:tabs>
        <w:suppressAutoHyphens/>
        <w:jc w:val="center"/>
        <w:rPr>
          <w:rFonts w:asciiTheme="majorHAnsi" w:hAnsiTheme="majorHAnsi"/>
          <w:sz w:val="22"/>
          <w:szCs w:val="22"/>
        </w:rPr>
      </w:pPr>
    </w:p>
    <w:p w14:paraId="022074FD" w14:textId="77777777" w:rsidR="005B52B0" w:rsidRPr="00C54196" w:rsidRDefault="005B52B0" w:rsidP="005128E4">
      <w:pPr>
        <w:tabs>
          <w:tab w:val="center" w:pos="5400"/>
        </w:tabs>
        <w:suppressAutoHyphens/>
        <w:jc w:val="center"/>
        <w:rPr>
          <w:rFonts w:asciiTheme="majorHAnsi" w:hAnsiTheme="majorHAnsi"/>
          <w:sz w:val="22"/>
          <w:szCs w:val="22"/>
        </w:rPr>
      </w:pPr>
    </w:p>
    <w:p w14:paraId="3234C43C" w14:textId="77777777" w:rsidR="00040C3A" w:rsidRPr="00C54196" w:rsidRDefault="00040C3A" w:rsidP="00040C3A">
      <w:pPr>
        <w:tabs>
          <w:tab w:val="center" w:pos="5400"/>
        </w:tabs>
        <w:suppressAutoHyphens/>
        <w:jc w:val="center"/>
        <w:rPr>
          <w:rFonts w:asciiTheme="majorHAnsi" w:hAnsiTheme="majorHAnsi"/>
          <w:sz w:val="22"/>
          <w:szCs w:val="22"/>
        </w:rPr>
      </w:pPr>
    </w:p>
    <w:p w14:paraId="2D58FFBA" w14:textId="77777777" w:rsidR="00040C3A" w:rsidRPr="00C54196" w:rsidRDefault="00040C3A" w:rsidP="00040C3A">
      <w:pPr>
        <w:tabs>
          <w:tab w:val="center" w:pos="5400"/>
        </w:tabs>
        <w:suppressAutoHyphens/>
        <w:jc w:val="center"/>
        <w:rPr>
          <w:rFonts w:asciiTheme="majorHAnsi" w:hAnsiTheme="majorHAnsi"/>
          <w:sz w:val="22"/>
          <w:szCs w:val="22"/>
        </w:rPr>
      </w:pPr>
    </w:p>
    <w:p w14:paraId="4A574974" w14:textId="77777777" w:rsidR="00040C3A" w:rsidRPr="00C54196" w:rsidRDefault="00040C3A" w:rsidP="00040C3A">
      <w:pPr>
        <w:tabs>
          <w:tab w:val="center" w:pos="5400"/>
        </w:tabs>
        <w:suppressAutoHyphens/>
        <w:jc w:val="center"/>
        <w:rPr>
          <w:rFonts w:asciiTheme="majorHAnsi" w:hAnsiTheme="majorHAnsi"/>
          <w:sz w:val="22"/>
          <w:szCs w:val="22"/>
        </w:rPr>
      </w:pPr>
    </w:p>
    <w:p w14:paraId="11A9BA8A" w14:textId="77777777" w:rsidR="00040C3A" w:rsidRPr="00C54196" w:rsidRDefault="00E533FF" w:rsidP="00040C3A">
      <w:pPr>
        <w:tabs>
          <w:tab w:val="center" w:pos="5400"/>
        </w:tabs>
        <w:suppressAutoHyphens/>
        <w:jc w:val="center"/>
        <w:rPr>
          <w:rFonts w:asciiTheme="majorHAnsi" w:hAnsiTheme="majorHAnsi"/>
          <w:sz w:val="22"/>
          <w:szCs w:val="22"/>
        </w:rPr>
      </w:pPr>
      <w:r w:rsidRPr="00C5419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1DEFB33" w:rsidR="008F007A" w:rsidRPr="004B7EB6" w:rsidRDefault="008F007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21464">
                              <w:rPr>
                                <w:rFonts w:asciiTheme="majorHAnsi" w:hAnsiTheme="majorHAnsi" w:cs="Arial"/>
                                <w:b/>
                                <w:bCs/>
                                <w:color w:val="0D0D0D" w:themeColor="text1" w:themeTint="F2"/>
                                <w:sz w:val="36"/>
                                <w:szCs w:val="40"/>
                              </w:rPr>
                              <w:t>133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046EAA2D" w:rsidR="008F007A" w:rsidRPr="004B7EB6" w:rsidRDefault="008F007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B2BB1">
                              <w:rPr>
                                <w:rFonts w:asciiTheme="majorHAnsi" w:hAnsiTheme="majorHAnsi" w:cs="Arial"/>
                                <w:b/>
                                <w:bCs/>
                                <w:color w:val="0D0D0D" w:themeColor="text1" w:themeTint="F2"/>
                                <w:sz w:val="36"/>
                                <w:szCs w:val="40"/>
                              </w:rPr>
                              <w:t>1468-08</w:t>
                            </w:r>
                          </w:p>
                          <w:p w14:paraId="34978E5A" w14:textId="4F42249C" w:rsidR="008F007A" w:rsidRPr="004B7EB6" w:rsidRDefault="008F007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353CD994" w14:textId="77777777" w:rsidR="008F007A" w:rsidRPr="004B7EB6" w:rsidRDefault="008F007A" w:rsidP="004B7EB6">
                            <w:pPr>
                              <w:spacing w:line="276" w:lineRule="auto"/>
                              <w:rPr>
                                <w:rFonts w:asciiTheme="majorHAnsi" w:hAnsiTheme="majorHAnsi" w:cs="Arial"/>
                                <w:color w:val="0D0D0D" w:themeColor="text1" w:themeTint="F2"/>
                                <w:szCs w:val="22"/>
                              </w:rPr>
                            </w:pPr>
                          </w:p>
                          <w:p w14:paraId="7A73D628" w14:textId="21FC9424" w:rsidR="008F007A" w:rsidRPr="00BA1148" w:rsidRDefault="005B2BB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BA1148">
                              <w:rPr>
                                <w:rFonts w:ascii="Cambria" w:hAnsi="Cambria" w:cs="Arial"/>
                                <w:color w:val="0D0D0D"/>
                                <w:szCs w:val="22"/>
                                <w:lang w:val="es-US"/>
                              </w:rPr>
                              <w:t>MARIA REGINA OCAMPO LOAIZA</w:t>
                            </w:r>
                            <w:r w:rsidR="00C21464" w:rsidRPr="00BA1148">
                              <w:rPr>
                                <w:rFonts w:ascii="Cambria" w:hAnsi="Cambria" w:cs="Arial"/>
                                <w:color w:val="0D0D0D"/>
                                <w:szCs w:val="22"/>
                                <w:lang w:val="es-US"/>
                              </w:rPr>
                              <w:t xml:space="preserve"> ET AL.</w:t>
                            </w:r>
                          </w:p>
                          <w:p w14:paraId="48EBC31A" w14:textId="3289B8D1" w:rsidR="008F007A" w:rsidRPr="005B2BB1" w:rsidRDefault="008F007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5B2BB1">
                              <w:rPr>
                                <w:rFonts w:ascii="Cambria" w:hAnsi="Cambria" w:cs="Arial"/>
                                <w:color w:val="0D0D0D"/>
                                <w:szCs w:val="22"/>
                                <w:lang w:val="es-ES"/>
                              </w:rPr>
                              <w:t>CO</w:t>
                            </w:r>
                            <w:r w:rsidR="005B2BB1">
                              <w:rPr>
                                <w:rFonts w:ascii="Cambria" w:hAnsi="Cambria" w:cs="Arial"/>
                                <w:color w:val="0D0D0D"/>
                                <w:szCs w:val="22"/>
                                <w:lang w:val="es-ES"/>
                              </w:rPr>
                              <w:t>LOMBIA</w:t>
                            </w:r>
                          </w:p>
                          <w:p w14:paraId="17A89EFB" w14:textId="77777777" w:rsidR="008F007A" w:rsidRPr="005B2BB1" w:rsidRDefault="008F007A"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1DEFB33" w:rsidR="008F007A" w:rsidRPr="004B7EB6" w:rsidRDefault="008F007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21464">
                        <w:rPr>
                          <w:rFonts w:asciiTheme="majorHAnsi" w:hAnsiTheme="majorHAnsi" w:cs="Arial"/>
                          <w:b/>
                          <w:bCs/>
                          <w:color w:val="0D0D0D" w:themeColor="text1" w:themeTint="F2"/>
                          <w:sz w:val="36"/>
                          <w:szCs w:val="40"/>
                        </w:rPr>
                        <w:t>133</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046EAA2D" w:rsidR="008F007A" w:rsidRPr="004B7EB6" w:rsidRDefault="008F007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B2BB1">
                        <w:rPr>
                          <w:rFonts w:asciiTheme="majorHAnsi" w:hAnsiTheme="majorHAnsi" w:cs="Arial"/>
                          <w:b/>
                          <w:bCs/>
                          <w:color w:val="0D0D0D" w:themeColor="text1" w:themeTint="F2"/>
                          <w:sz w:val="36"/>
                          <w:szCs w:val="40"/>
                        </w:rPr>
                        <w:t>1468-08</w:t>
                      </w:r>
                    </w:p>
                    <w:p w14:paraId="34978E5A" w14:textId="4F42249C" w:rsidR="008F007A" w:rsidRPr="004B7EB6" w:rsidRDefault="008F007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353CD994" w14:textId="77777777" w:rsidR="008F007A" w:rsidRPr="004B7EB6" w:rsidRDefault="008F007A" w:rsidP="004B7EB6">
                      <w:pPr>
                        <w:spacing w:line="276" w:lineRule="auto"/>
                        <w:rPr>
                          <w:rFonts w:asciiTheme="majorHAnsi" w:hAnsiTheme="majorHAnsi" w:cs="Arial"/>
                          <w:color w:val="0D0D0D" w:themeColor="text1" w:themeTint="F2"/>
                          <w:szCs w:val="22"/>
                        </w:rPr>
                      </w:pPr>
                    </w:p>
                    <w:p w14:paraId="7A73D628" w14:textId="21FC9424" w:rsidR="008F007A" w:rsidRPr="00232EE2" w:rsidRDefault="005B2BB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232EE2">
                        <w:rPr>
                          <w:rFonts w:ascii="Cambria" w:hAnsi="Cambria" w:cs="Arial"/>
                          <w:color w:val="0D0D0D"/>
                          <w:szCs w:val="22"/>
                        </w:rPr>
                        <w:t>MARIA REGINA OCAMPO LOAIZA</w:t>
                      </w:r>
                      <w:r w:rsidR="00C21464">
                        <w:rPr>
                          <w:rFonts w:ascii="Cambria" w:hAnsi="Cambria" w:cs="Arial"/>
                          <w:color w:val="0D0D0D"/>
                          <w:szCs w:val="22"/>
                        </w:rPr>
                        <w:t xml:space="preserve"> ET AL.</w:t>
                      </w:r>
                    </w:p>
                    <w:p w14:paraId="48EBC31A" w14:textId="3289B8D1" w:rsidR="008F007A" w:rsidRPr="005B2BB1" w:rsidRDefault="008F007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5B2BB1">
                        <w:rPr>
                          <w:rFonts w:ascii="Cambria" w:hAnsi="Cambria" w:cs="Arial"/>
                          <w:color w:val="0D0D0D"/>
                          <w:szCs w:val="22"/>
                          <w:lang w:val="es-ES"/>
                        </w:rPr>
                        <w:t>CO</w:t>
                      </w:r>
                      <w:r w:rsidR="005B2BB1">
                        <w:rPr>
                          <w:rFonts w:ascii="Cambria" w:hAnsi="Cambria" w:cs="Arial"/>
                          <w:color w:val="0D0D0D"/>
                          <w:szCs w:val="22"/>
                          <w:lang w:val="es-ES"/>
                        </w:rPr>
                        <w:t>LOMBIA</w:t>
                      </w:r>
                    </w:p>
                    <w:p w14:paraId="17A89EFB" w14:textId="77777777" w:rsidR="008F007A" w:rsidRPr="005B2BB1" w:rsidRDefault="008F007A"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C5419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D0148E6" w:rsidR="008F007A" w:rsidRPr="00466D0B" w:rsidRDefault="008F007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0957957" w:rsidR="008F007A" w:rsidRPr="00466D0B" w:rsidRDefault="008F007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C21464">
                              <w:rPr>
                                <w:rFonts w:asciiTheme="minorHAnsi" w:hAnsiTheme="minorHAnsi"/>
                                <w:color w:val="FFFFFF" w:themeColor="background1"/>
                                <w:sz w:val="22"/>
                                <w:lang w:val="pt-BR"/>
                              </w:rPr>
                              <w:t xml:space="preserve"> 143</w:t>
                            </w:r>
                            <w:r w:rsidRPr="00466D0B">
                              <w:rPr>
                                <w:rFonts w:asciiTheme="minorHAnsi" w:hAnsiTheme="minorHAnsi"/>
                                <w:color w:val="FFFFFF" w:themeColor="background1"/>
                                <w:sz w:val="22"/>
                                <w:lang w:val="pt-BR"/>
                              </w:rPr>
                              <w:t xml:space="preserve"> </w:t>
                            </w:r>
                          </w:p>
                          <w:p w14:paraId="0BEFF61A" w14:textId="19A1A648" w:rsidR="008F007A" w:rsidRPr="004B7EB6" w:rsidRDefault="00C21464" w:rsidP="009E566A">
                            <w:pPr>
                              <w:jc w:val="right"/>
                              <w:rPr>
                                <w:rFonts w:asciiTheme="minorHAnsi" w:hAnsiTheme="minorHAnsi"/>
                                <w:color w:val="FFFFFF" w:themeColor="background1"/>
                                <w:sz w:val="22"/>
                              </w:rPr>
                            </w:pPr>
                            <w:r>
                              <w:rPr>
                                <w:rFonts w:asciiTheme="minorHAnsi" w:hAnsiTheme="minorHAnsi"/>
                                <w:color w:val="FFFFFF" w:themeColor="background1"/>
                                <w:sz w:val="22"/>
                              </w:rPr>
                              <w:t>1 June</w:t>
                            </w:r>
                            <w:r w:rsidR="008F007A">
                              <w:rPr>
                                <w:rFonts w:asciiTheme="minorHAnsi" w:hAnsiTheme="minorHAnsi"/>
                                <w:color w:val="FFFFFF" w:themeColor="background1"/>
                                <w:sz w:val="22"/>
                              </w:rPr>
                              <w:t xml:space="preserve"> 2020</w:t>
                            </w:r>
                          </w:p>
                          <w:p w14:paraId="0FC103BD" w14:textId="1714FA8E" w:rsidR="008F007A" w:rsidRPr="004B7EB6" w:rsidRDefault="008F007A"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21464">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D0148E6" w:rsidR="008F007A" w:rsidRPr="00466D0B" w:rsidRDefault="008F007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0957957" w:rsidR="008F007A" w:rsidRPr="00466D0B" w:rsidRDefault="008F007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C21464">
                        <w:rPr>
                          <w:rFonts w:asciiTheme="minorHAnsi" w:hAnsiTheme="minorHAnsi"/>
                          <w:color w:val="FFFFFF" w:themeColor="background1"/>
                          <w:sz w:val="22"/>
                          <w:lang w:val="pt-BR"/>
                        </w:rPr>
                        <w:t xml:space="preserve"> 143</w:t>
                      </w:r>
                      <w:r w:rsidRPr="00466D0B">
                        <w:rPr>
                          <w:rFonts w:asciiTheme="minorHAnsi" w:hAnsiTheme="minorHAnsi"/>
                          <w:color w:val="FFFFFF" w:themeColor="background1"/>
                          <w:sz w:val="22"/>
                          <w:lang w:val="pt-BR"/>
                        </w:rPr>
                        <w:t xml:space="preserve"> </w:t>
                      </w:r>
                    </w:p>
                    <w:p w14:paraId="0BEFF61A" w14:textId="19A1A648" w:rsidR="008F007A" w:rsidRPr="004B7EB6" w:rsidRDefault="00C21464" w:rsidP="009E566A">
                      <w:pPr>
                        <w:jc w:val="right"/>
                        <w:rPr>
                          <w:rFonts w:asciiTheme="minorHAnsi" w:hAnsiTheme="minorHAnsi"/>
                          <w:color w:val="FFFFFF" w:themeColor="background1"/>
                          <w:sz w:val="22"/>
                        </w:rPr>
                      </w:pPr>
                      <w:r>
                        <w:rPr>
                          <w:rFonts w:asciiTheme="minorHAnsi" w:hAnsiTheme="minorHAnsi"/>
                          <w:color w:val="FFFFFF" w:themeColor="background1"/>
                          <w:sz w:val="22"/>
                        </w:rPr>
                        <w:t>1 June</w:t>
                      </w:r>
                      <w:r w:rsidR="008F007A">
                        <w:rPr>
                          <w:rFonts w:asciiTheme="minorHAnsi" w:hAnsiTheme="minorHAnsi"/>
                          <w:color w:val="FFFFFF" w:themeColor="background1"/>
                          <w:sz w:val="22"/>
                        </w:rPr>
                        <w:t xml:space="preserve"> 2020</w:t>
                      </w:r>
                    </w:p>
                    <w:p w14:paraId="0FC103BD" w14:textId="1714FA8E" w:rsidR="008F007A" w:rsidRPr="004B7EB6" w:rsidRDefault="008F007A"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21464">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C54196" w:rsidRDefault="00040C3A" w:rsidP="00040C3A">
      <w:pPr>
        <w:tabs>
          <w:tab w:val="center" w:pos="5400"/>
        </w:tabs>
        <w:suppressAutoHyphens/>
        <w:jc w:val="center"/>
        <w:rPr>
          <w:rFonts w:asciiTheme="majorHAnsi" w:hAnsiTheme="majorHAnsi"/>
          <w:sz w:val="22"/>
          <w:szCs w:val="22"/>
        </w:rPr>
      </w:pPr>
    </w:p>
    <w:p w14:paraId="5E33CE59" w14:textId="77777777" w:rsidR="00040C3A" w:rsidRPr="00C54196"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C54196" w:rsidRDefault="00040C3A" w:rsidP="00040C3A">
      <w:pPr>
        <w:tabs>
          <w:tab w:val="center" w:pos="5400"/>
        </w:tabs>
        <w:suppressAutoHyphens/>
        <w:jc w:val="center"/>
        <w:rPr>
          <w:rFonts w:asciiTheme="majorHAnsi" w:hAnsiTheme="majorHAnsi"/>
          <w:sz w:val="22"/>
          <w:szCs w:val="22"/>
        </w:rPr>
      </w:pPr>
    </w:p>
    <w:p w14:paraId="43677EE2" w14:textId="77777777" w:rsidR="00040C3A" w:rsidRPr="00C54196" w:rsidRDefault="00040C3A" w:rsidP="00040C3A">
      <w:pPr>
        <w:tabs>
          <w:tab w:val="center" w:pos="5400"/>
        </w:tabs>
        <w:suppressAutoHyphens/>
        <w:jc w:val="center"/>
        <w:rPr>
          <w:rFonts w:asciiTheme="majorHAnsi" w:hAnsiTheme="majorHAnsi"/>
          <w:sz w:val="22"/>
          <w:szCs w:val="22"/>
        </w:rPr>
      </w:pPr>
    </w:p>
    <w:p w14:paraId="747B776B" w14:textId="77777777" w:rsidR="00040C3A" w:rsidRPr="00C54196" w:rsidRDefault="00040C3A" w:rsidP="00040C3A">
      <w:pPr>
        <w:tabs>
          <w:tab w:val="center" w:pos="5400"/>
        </w:tabs>
        <w:suppressAutoHyphens/>
        <w:jc w:val="center"/>
        <w:rPr>
          <w:rFonts w:asciiTheme="majorHAnsi" w:hAnsiTheme="majorHAnsi"/>
          <w:sz w:val="22"/>
          <w:szCs w:val="22"/>
        </w:rPr>
      </w:pPr>
    </w:p>
    <w:p w14:paraId="3FA14379" w14:textId="77777777" w:rsidR="00040C3A" w:rsidRPr="00C54196" w:rsidRDefault="00040C3A" w:rsidP="00040C3A">
      <w:pPr>
        <w:tabs>
          <w:tab w:val="center" w:pos="5400"/>
        </w:tabs>
        <w:suppressAutoHyphens/>
        <w:jc w:val="center"/>
        <w:rPr>
          <w:rFonts w:asciiTheme="majorHAnsi" w:hAnsiTheme="majorHAnsi"/>
          <w:sz w:val="22"/>
          <w:szCs w:val="22"/>
        </w:rPr>
      </w:pPr>
    </w:p>
    <w:p w14:paraId="28A65FAF" w14:textId="77777777" w:rsidR="005128E4" w:rsidRPr="00C54196" w:rsidRDefault="005128E4" w:rsidP="00040C3A">
      <w:pPr>
        <w:tabs>
          <w:tab w:val="center" w:pos="5400"/>
        </w:tabs>
        <w:suppressAutoHyphens/>
        <w:jc w:val="center"/>
        <w:rPr>
          <w:rFonts w:asciiTheme="majorHAnsi" w:hAnsiTheme="majorHAnsi"/>
          <w:sz w:val="22"/>
          <w:szCs w:val="22"/>
        </w:rPr>
      </w:pPr>
    </w:p>
    <w:p w14:paraId="11B1978A" w14:textId="77777777" w:rsidR="00040C3A" w:rsidRPr="00C54196" w:rsidRDefault="00040C3A" w:rsidP="00040C3A">
      <w:pPr>
        <w:tabs>
          <w:tab w:val="center" w:pos="5400"/>
        </w:tabs>
        <w:suppressAutoHyphens/>
        <w:jc w:val="center"/>
        <w:rPr>
          <w:rFonts w:asciiTheme="majorHAnsi" w:hAnsiTheme="majorHAnsi"/>
          <w:sz w:val="22"/>
          <w:szCs w:val="22"/>
        </w:rPr>
      </w:pPr>
    </w:p>
    <w:p w14:paraId="650F503D" w14:textId="77777777" w:rsidR="005128E4" w:rsidRPr="00C54196" w:rsidRDefault="005128E4" w:rsidP="00040C3A">
      <w:pPr>
        <w:tabs>
          <w:tab w:val="center" w:pos="5400"/>
        </w:tabs>
        <w:suppressAutoHyphens/>
        <w:jc w:val="center"/>
        <w:rPr>
          <w:rFonts w:asciiTheme="majorHAnsi" w:hAnsiTheme="majorHAnsi"/>
          <w:sz w:val="22"/>
          <w:szCs w:val="22"/>
        </w:rPr>
      </w:pPr>
    </w:p>
    <w:p w14:paraId="17861C77" w14:textId="77777777" w:rsidR="005128E4" w:rsidRPr="00C54196" w:rsidRDefault="005128E4" w:rsidP="00040C3A">
      <w:pPr>
        <w:tabs>
          <w:tab w:val="center" w:pos="5400"/>
        </w:tabs>
        <w:suppressAutoHyphens/>
        <w:jc w:val="center"/>
        <w:rPr>
          <w:rFonts w:asciiTheme="majorHAnsi" w:hAnsiTheme="majorHAnsi"/>
          <w:sz w:val="22"/>
          <w:szCs w:val="22"/>
        </w:rPr>
      </w:pPr>
    </w:p>
    <w:p w14:paraId="0EFEAEB7" w14:textId="77777777" w:rsidR="005128E4" w:rsidRPr="00C54196" w:rsidRDefault="005128E4" w:rsidP="00040C3A">
      <w:pPr>
        <w:tabs>
          <w:tab w:val="center" w:pos="5400"/>
        </w:tabs>
        <w:suppressAutoHyphens/>
        <w:jc w:val="center"/>
        <w:rPr>
          <w:rFonts w:asciiTheme="majorHAnsi" w:hAnsiTheme="majorHAnsi"/>
          <w:sz w:val="22"/>
          <w:szCs w:val="22"/>
        </w:rPr>
      </w:pPr>
    </w:p>
    <w:p w14:paraId="5B815FC5" w14:textId="77777777" w:rsidR="00040C3A" w:rsidRPr="00C54196" w:rsidRDefault="00040C3A" w:rsidP="00040C3A">
      <w:pPr>
        <w:tabs>
          <w:tab w:val="center" w:pos="5400"/>
        </w:tabs>
        <w:suppressAutoHyphens/>
        <w:jc w:val="center"/>
        <w:rPr>
          <w:rFonts w:asciiTheme="majorHAnsi" w:hAnsiTheme="majorHAnsi"/>
          <w:sz w:val="22"/>
          <w:szCs w:val="22"/>
        </w:rPr>
      </w:pPr>
    </w:p>
    <w:p w14:paraId="0D43F8BD" w14:textId="77777777" w:rsidR="00040C3A" w:rsidRPr="00C54196" w:rsidRDefault="00040C3A" w:rsidP="00040C3A">
      <w:pPr>
        <w:tabs>
          <w:tab w:val="center" w:pos="5400"/>
        </w:tabs>
        <w:suppressAutoHyphens/>
        <w:jc w:val="center"/>
        <w:rPr>
          <w:rFonts w:asciiTheme="majorHAnsi" w:hAnsiTheme="majorHAnsi"/>
          <w:sz w:val="22"/>
          <w:szCs w:val="22"/>
        </w:rPr>
      </w:pPr>
    </w:p>
    <w:p w14:paraId="03AA1AEB" w14:textId="77777777" w:rsidR="002C1641" w:rsidRPr="00C54196" w:rsidRDefault="002C1641" w:rsidP="00040C3A">
      <w:pPr>
        <w:tabs>
          <w:tab w:val="center" w:pos="5400"/>
        </w:tabs>
        <w:suppressAutoHyphens/>
        <w:jc w:val="center"/>
        <w:rPr>
          <w:rFonts w:asciiTheme="majorHAnsi" w:hAnsiTheme="majorHAnsi"/>
          <w:sz w:val="18"/>
          <w:szCs w:val="22"/>
        </w:rPr>
      </w:pPr>
    </w:p>
    <w:p w14:paraId="2FD75BF3" w14:textId="77777777" w:rsidR="002C1641" w:rsidRPr="00C54196" w:rsidRDefault="002C1641" w:rsidP="00040C3A">
      <w:pPr>
        <w:tabs>
          <w:tab w:val="center" w:pos="5400"/>
        </w:tabs>
        <w:suppressAutoHyphens/>
        <w:jc w:val="center"/>
        <w:rPr>
          <w:rFonts w:asciiTheme="majorHAnsi" w:hAnsiTheme="majorHAnsi"/>
          <w:sz w:val="18"/>
          <w:szCs w:val="22"/>
        </w:rPr>
      </w:pPr>
    </w:p>
    <w:p w14:paraId="73EF440E" w14:textId="77777777" w:rsidR="002C1641" w:rsidRPr="00C54196" w:rsidRDefault="002C1641" w:rsidP="00040C3A">
      <w:pPr>
        <w:tabs>
          <w:tab w:val="center" w:pos="5400"/>
        </w:tabs>
        <w:suppressAutoHyphens/>
        <w:jc w:val="center"/>
        <w:rPr>
          <w:rFonts w:asciiTheme="majorHAnsi" w:hAnsiTheme="majorHAnsi"/>
          <w:sz w:val="18"/>
          <w:szCs w:val="22"/>
        </w:rPr>
      </w:pPr>
    </w:p>
    <w:p w14:paraId="3D12B191" w14:textId="77777777" w:rsidR="002C1641" w:rsidRPr="00C54196" w:rsidRDefault="002C1641" w:rsidP="00040C3A">
      <w:pPr>
        <w:tabs>
          <w:tab w:val="center" w:pos="5400"/>
        </w:tabs>
        <w:suppressAutoHyphens/>
        <w:jc w:val="center"/>
        <w:rPr>
          <w:rFonts w:asciiTheme="majorHAnsi" w:hAnsiTheme="majorHAnsi"/>
          <w:sz w:val="18"/>
          <w:szCs w:val="22"/>
        </w:rPr>
      </w:pPr>
    </w:p>
    <w:p w14:paraId="1132D17C" w14:textId="77777777" w:rsidR="002C1641" w:rsidRPr="00C54196" w:rsidRDefault="002C1641" w:rsidP="00040C3A">
      <w:pPr>
        <w:tabs>
          <w:tab w:val="center" w:pos="5400"/>
        </w:tabs>
        <w:suppressAutoHyphens/>
        <w:jc w:val="center"/>
        <w:rPr>
          <w:rFonts w:asciiTheme="majorHAnsi" w:hAnsiTheme="majorHAnsi"/>
          <w:sz w:val="18"/>
          <w:szCs w:val="22"/>
        </w:rPr>
      </w:pPr>
    </w:p>
    <w:p w14:paraId="659B324C" w14:textId="77777777" w:rsidR="002C1641" w:rsidRPr="00C54196" w:rsidRDefault="002C1641" w:rsidP="00040C3A">
      <w:pPr>
        <w:tabs>
          <w:tab w:val="center" w:pos="5400"/>
        </w:tabs>
        <w:suppressAutoHyphens/>
        <w:jc w:val="center"/>
        <w:rPr>
          <w:rFonts w:asciiTheme="majorHAnsi" w:hAnsiTheme="majorHAnsi"/>
          <w:sz w:val="18"/>
          <w:szCs w:val="22"/>
        </w:rPr>
      </w:pPr>
    </w:p>
    <w:p w14:paraId="0DE58CEA" w14:textId="77777777" w:rsidR="002C1641" w:rsidRPr="00C54196" w:rsidRDefault="002C1641" w:rsidP="00040C3A">
      <w:pPr>
        <w:tabs>
          <w:tab w:val="center" w:pos="5400"/>
        </w:tabs>
        <w:suppressAutoHyphens/>
        <w:jc w:val="center"/>
        <w:rPr>
          <w:rFonts w:asciiTheme="majorHAnsi" w:hAnsiTheme="majorHAnsi"/>
          <w:sz w:val="18"/>
          <w:szCs w:val="22"/>
        </w:rPr>
      </w:pPr>
    </w:p>
    <w:p w14:paraId="3A5BB7C9" w14:textId="77777777" w:rsidR="002C1641" w:rsidRPr="00C54196" w:rsidRDefault="002C1641" w:rsidP="00040C3A">
      <w:pPr>
        <w:tabs>
          <w:tab w:val="center" w:pos="5400"/>
        </w:tabs>
        <w:suppressAutoHyphens/>
        <w:jc w:val="center"/>
        <w:rPr>
          <w:rFonts w:asciiTheme="majorHAnsi" w:hAnsiTheme="majorHAnsi"/>
          <w:sz w:val="18"/>
          <w:szCs w:val="22"/>
        </w:rPr>
      </w:pPr>
    </w:p>
    <w:p w14:paraId="6BA67E7F" w14:textId="77777777" w:rsidR="002C1641" w:rsidRPr="00C54196" w:rsidRDefault="002C1641" w:rsidP="00040C3A">
      <w:pPr>
        <w:tabs>
          <w:tab w:val="center" w:pos="5400"/>
        </w:tabs>
        <w:suppressAutoHyphens/>
        <w:jc w:val="center"/>
        <w:rPr>
          <w:rFonts w:asciiTheme="majorHAnsi" w:hAnsiTheme="majorHAnsi"/>
          <w:sz w:val="18"/>
          <w:szCs w:val="22"/>
        </w:rPr>
      </w:pPr>
    </w:p>
    <w:p w14:paraId="6D4FBE3A" w14:textId="77777777" w:rsidR="002C1641" w:rsidRPr="00C54196" w:rsidRDefault="002C1641" w:rsidP="00040C3A">
      <w:pPr>
        <w:tabs>
          <w:tab w:val="center" w:pos="5400"/>
        </w:tabs>
        <w:suppressAutoHyphens/>
        <w:jc w:val="center"/>
        <w:rPr>
          <w:rFonts w:asciiTheme="majorHAnsi" w:hAnsiTheme="majorHAnsi"/>
          <w:sz w:val="18"/>
          <w:szCs w:val="22"/>
        </w:rPr>
      </w:pPr>
    </w:p>
    <w:p w14:paraId="2741AD16" w14:textId="77777777" w:rsidR="002C1641" w:rsidRPr="00C54196" w:rsidRDefault="002C1641" w:rsidP="00040C3A">
      <w:pPr>
        <w:tabs>
          <w:tab w:val="center" w:pos="5400"/>
        </w:tabs>
        <w:suppressAutoHyphens/>
        <w:jc w:val="center"/>
        <w:rPr>
          <w:rFonts w:asciiTheme="majorHAnsi" w:hAnsiTheme="majorHAnsi"/>
          <w:sz w:val="18"/>
          <w:szCs w:val="22"/>
        </w:rPr>
      </w:pPr>
    </w:p>
    <w:p w14:paraId="1D99DBC4" w14:textId="77777777" w:rsidR="002C1641" w:rsidRPr="00C54196" w:rsidRDefault="002C1641" w:rsidP="00040C3A">
      <w:pPr>
        <w:tabs>
          <w:tab w:val="center" w:pos="5400"/>
        </w:tabs>
        <w:suppressAutoHyphens/>
        <w:jc w:val="center"/>
        <w:rPr>
          <w:rFonts w:asciiTheme="majorHAnsi" w:hAnsiTheme="majorHAnsi"/>
          <w:sz w:val="18"/>
          <w:szCs w:val="22"/>
        </w:rPr>
      </w:pPr>
    </w:p>
    <w:p w14:paraId="3290BF94" w14:textId="77777777" w:rsidR="002C1641" w:rsidRPr="00C54196" w:rsidRDefault="003C32BC" w:rsidP="00040C3A">
      <w:pPr>
        <w:tabs>
          <w:tab w:val="center" w:pos="5400"/>
        </w:tabs>
        <w:suppressAutoHyphens/>
        <w:jc w:val="center"/>
        <w:rPr>
          <w:rFonts w:asciiTheme="majorHAnsi" w:hAnsiTheme="majorHAnsi"/>
          <w:sz w:val="18"/>
          <w:szCs w:val="22"/>
        </w:rPr>
      </w:pPr>
      <w:r w:rsidRPr="00C5419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EE68DB6" w:rsidR="008F007A" w:rsidRPr="003C32BC" w:rsidRDefault="008F007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C21464">
                              <w:rPr>
                                <w:rFonts w:asciiTheme="majorHAnsi" w:hAnsiTheme="majorHAnsi"/>
                                <w:color w:val="0D0D0D" w:themeColor="text1" w:themeTint="F2"/>
                                <w:sz w:val="18"/>
                                <w:szCs w:val="20"/>
                              </w:rPr>
                              <w:t xml:space="preserve"> electronically </w:t>
                            </w:r>
                            <w:r w:rsidR="00C21464" w:rsidRPr="003C32BC">
                              <w:rPr>
                                <w:rFonts w:asciiTheme="majorHAnsi" w:hAnsiTheme="majorHAnsi"/>
                                <w:color w:val="0D0D0D" w:themeColor="text1" w:themeTint="F2"/>
                                <w:sz w:val="18"/>
                                <w:szCs w:val="20"/>
                              </w:rPr>
                              <w:t>by</w:t>
                            </w:r>
                            <w:r w:rsidRPr="003C32BC">
                              <w:rPr>
                                <w:rFonts w:asciiTheme="majorHAnsi" w:hAnsiTheme="majorHAnsi"/>
                                <w:color w:val="0D0D0D" w:themeColor="text1" w:themeTint="F2"/>
                                <w:sz w:val="18"/>
                                <w:szCs w:val="20"/>
                              </w:rPr>
                              <w:t xml:space="preserve">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C21464">
                              <w:rPr>
                                <w:rFonts w:asciiTheme="majorHAnsi" w:hAnsiTheme="majorHAnsi"/>
                                <w:color w:val="0D0D0D" w:themeColor="text1" w:themeTint="F2"/>
                                <w:sz w:val="18"/>
                                <w:szCs w:val="20"/>
                              </w:rPr>
                              <w:t>June 1</w:t>
                            </w:r>
                            <w:r>
                              <w:rPr>
                                <w:rFonts w:asciiTheme="majorHAnsi" w:hAnsiTheme="majorHAnsi"/>
                                <w:color w:val="0D0D0D" w:themeColor="text1" w:themeTint="F2"/>
                                <w:sz w:val="18"/>
                                <w:szCs w:val="20"/>
                              </w:rPr>
                              <w:t>, 2020</w:t>
                            </w:r>
                            <w:r w:rsidR="000A55F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EE68DB6" w:rsidR="008F007A" w:rsidRPr="003C32BC" w:rsidRDefault="008F007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C21464">
                        <w:rPr>
                          <w:rFonts w:asciiTheme="majorHAnsi" w:hAnsiTheme="majorHAnsi"/>
                          <w:color w:val="0D0D0D" w:themeColor="text1" w:themeTint="F2"/>
                          <w:sz w:val="18"/>
                          <w:szCs w:val="20"/>
                        </w:rPr>
                        <w:t xml:space="preserve"> electronically </w:t>
                      </w:r>
                      <w:r w:rsidR="00C21464" w:rsidRPr="003C32BC">
                        <w:rPr>
                          <w:rFonts w:asciiTheme="majorHAnsi" w:hAnsiTheme="majorHAnsi"/>
                          <w:color w:val="0D0D0D" w:themeColor="text1" w:themeTint="F2"/>
                          <w:sz w:val="18"/>
                          <w:szCs w:val="20"/>
                        </w:rPr>
                        <w:t>by</w:t>
                      </w:r>
                      <w:r w:rsidRPr="003C32BC">
                        <w:rPr>
                          <w:rFonts w:asciiTheme="majorHAnsi" w:hAnsiTheme="majorHAnsi"/>
                          <w:color w:val="0D0D0D" w:themeColor="text1" w:themeTint="F2"/>
                          <w:sz w:val="18"/>
                          <w:szCs w:val="20"/>
                        </w:rPr>
                        <w:t xml:space="preserve">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C21464">
                        <w:rPr>
                          <w:rFonts w:asciiTheme="majorHAnsi" w:hAnsiTheme="majorHAnsi"/>
                          <w:color w:val="0D0D0D" w:themeColor="text1" w:themeTint="F2"/>
                          <w:sz w:val="18"/>
                          <w:szCs w:val="20"/>
                        </w:rPr>
                        <w:t>June 1</w:t>
                      </w:r>
                      <w:r>
                        <w:rPr>
                          <w:rFonts w:asciiTheme="majorHAnsi" w:hAnsiTheme="majorHAnsi"/>
                          <w:color w:val="0D0D0D" w:themeColor="text1" w:themeTint="F2"/>
                          <w:sz w:val="18"/>
                          <w:szCs w:val="20"/>
                        </w:rPr>
                        <w:t>, 2020</w:t>
                      </w:r>
                      <w:r w:rsidR="000A55F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C54196" w:rsidRDefault="002C1641" w:rsidP="00040C3A">
      <w:pPr>
        <w:tabs>
          <w:tab w:val="center" w:pos="5400"/>
        </w:tabs>
        <w:suppressAutoHyphens/>
        <w:jc w:val="center"/>
        <w:rPr>
          <w:rFonts w:asciiTheme="majorHAnsi" w:hAnsiTheme="majorHAnsi"/>
          <w:sz w:val="18"/>
          <w:szCs w:val="22"/>
        </w:rPr>
      </w:pPr>
    </w:p>
    <w:p w14:paraId="3751FEDE" w14:textId="77777777" w:rsidR="002C1641" w:rsidRPr="00C54196" w:rsidRDefault="002C1641" w:rsidP="00040C3A">
      <w:pPr>
        <w:tabs>
          <w:tab w:val="center" w:pos="5400"/>
        </w:tabs>
        <w:suppressAutoHyphens/>
        <w:jc w:val="center"/>
        <w:rPr>
          <w:rFonts w:asciiTheme="majorHAnsi" w:hAnsiTheme="majorHAnsi"/>
          <w:sz w:val="18"/>
          <w:szCs w:val="22"/>
        </w:rPr>
      </w:pPr>
    </w:p>
    <w:p w14:paraId="5FAB54E7" w14:textId="77777777" w:rsidR="002C1641" w:rsidRPr="00C54196" w:rsidRDefault="002C1641" w:rsidP="00040C3A">
      <w:pPr>
        <w:tabs>
          <w:tab w:val="center" w:pos="5400"/>
        </w:tabs>
        <w:suppressAutoHyphens/>
        <w:jc w:val="center"/>
        <w:rPr>
          <w:rFonts w:asciiTheme="majorHAnsi" w:hAnsiTheme="majorHAnsi"/>
          <w:sz w:val="18"/>
          <w:szCs w:val="22"/>
        </w:rPr>
      </w:pPr>
    </w:p>
    <w:p w14:paraId="4AE4FBFB" w14:textId="77777777" w:rsidR="002C1641" w:rsidRPr="00C54196" w:rsidRDefault="002C1641" w:rsidP="00040C3A">
      <w:pPr>
        <w:tabs>
          <w:tab w:val="center" w:pos="5400"/>
        </w:tabs>
        <w:suppressAutoHyphens/>
        <w:jc w:val="center"/>
        <w:rPr>
          <w:rFonts w:asciiTheme="majorHAnsi" w:hAnsiTheme="majorHAnsi"/>
          <w:sz w:val="18"/>
          <w:szCs w:val="22"/>
        </w:rPr>
      </w:pPr>
    </w:p>
    <w:p w14:paraId="4DA3B2C3" w14:textId="77777777" w:rsidR="002C1641" w:rsidRPr="00C54196" w:rsidRDefault="003C32BC" w:rsidP="00040C3A">
      <w:pPr>
        <w:tabs>
          <w:tab w:val="center" w:pos="5400"/>
        </w:tabs>
        <w:suppressAutoHyphens/>
        <w:jc w:val="center"/>
        <w:rPr>
          <w:rFonts w:asciiTheme="majorHAnsi" w:hAnsiTheme="majorHAnsi"/>
          <w:sz w:val="18"/>
          <w:szCs w:val="22"/>
        </w:rPr>
      </w:pPr>
      <w:r w:rsidRPr="00C54196">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3C83975" w:rsidR="008F007A" w:rsidRPr="003C32BC" w:rsidRDefault="008F007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21464">
                              <w:rPr>
                                <w:rFonts w:asciiTheme="majorHAnsi" w:hAnsiTheme="majorHAnsi"/>
                                <w:color w:val="595959" w:themeColor="text1" w:themeTint="A6"/>
                                <w:sz w:val="18"/>
                              </w:rPr>
                              <w:t>133</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21464">
                              <w:rPr>
                                <w:rFonts w:asciiTheme="majorHAnsi" w:hAnsiTheme="majorHAnsi"/>
                                <w:color w:val="595959" w:themeColor="text1" w:themeTint="A6"/>
                                <w:sz w:val="18"/>
                              </w:rPr>
                              <w:t>1468</w:t>
                            </w:r>
                            <w:r>
                              <w:rPr>
                                <w:rFonts w:asciiTheme="majorHAnsi" w:hAnsiTheme="majorHAnsi"/>
                                <w:color w:val="595959" w:themeColor="text1" w:themeTint="A6"/>
                                <w:sz w:val="18"/>
                              </w:rPr>
                              <w:t>-</w:t>
                            </w:r>
                            <w:r w:rsidR="00C21464">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BA1148">
                              <w:rPr>
                                <w:rFonts w:asciiTheme="majorHAnsi" w:hAnsiTheme="majorHAnsi"/>
                                <w:color w:val="595959" w:themeColor="text1" w:themeTint="A6"/>
                                <w:sz w:val="18"/>
                                <w:lang w:val="es-US"/>
                              </w:rPr>
                              <w:t xml:space="preserve">Admissibility. </w:t>
                            </w:r>
                            <w:r w:rsidR="00C21464" w:rsidRPr="00BA1148">
                              <w:rPr>
                                <w:rFonts w:asciiTheme="majorHAnsi" w:hAnsiTheme="majorHAnsi"/>
                                <w:color w:val="595959" w:themeColor="text1" w:themeTint="A6"/>
                                <w:sz w:val="18"/>
                                <w:lang w:val="es-US"/>
                              </w:rPr>
                              <w:t>María Regina Ocampo Loaiza y otros</w:t>
                            </w:r>
                            <w:r w:rsidRPr="00BA1148">
                              <w:rPr>
                                <w:rFonts w:asciiTheme="majorHAnsi" w:hAnsiTheme="majorHAnsi"/>
                                <w:color w:val="595959" w:themeColor="text1" w:themeTint="A6"/>
                                <w:sz w:val="18"/>
                                <w:lang w:val="es-US"/>
                              </w:rPr>
                              <w:t xml:space="preserve">. </w:t>
                            </w:r>
                            <w:r w:rsidR="00C21464">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C21464">
                              <w:rPr>
                                <w:rFonts w:asciiTheme="majorHAnsi" w:hAnsiTheme="majorHAnsi"/>
                                <w:color w:val="595959" w:themeColor="text1" w:themeTint="A6"/>
                                <w:sz w:val="18"/>
                              </w:rPr>
                              <w:t>June 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3C83975" w:rsidR="008F007A" w:rsidRPr="003C32BC" w:rsidRDefault="008F007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C21464">
                        <w:rPr>
                          <w:rFonts w:asciiTheme="majorHAnsi" w:hAnsiTheme="majorHAnsi"/>
                          <w:color w:val="595959" w:themeColor="text1" w:themeTint="A6"/>
                          <w:sz w:val="18"/>
                        </w:rPr>
                        <w:t>133</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21464">
                        <w:rPr>
                          <w:rFonts w:asciiTheme="majorHAnsi" w:hAnsiTheme="majorHAnsi"/>
                          <w:color w:val="595959" w:themeColor="text1" w:themeTint="A6"/>
                          <w:sz w:val="18"/>
                        </w:rPr>
                        <w:t>1468</w:t>
                      </w:r>
                      <w:r>
                        <w:rPr>
                          <w:rFonts w:asciiTheme="majorHAnsi" w:hAnsiTheme="majorHAnsi"/>
                          <w:color w:val="595959" w:themeColor="text1" w:themeTint="A6"/>
                          <w:sz w:val="18"/>
                        </w:rPr>
                        <w:t>-</w:t>
                      </w:r>
                      <w:r w:rsidR="00C21464">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00C21464">
                        <w:rPr>
                          <w:rFonts w:asciiTheme="majorHAnsi" w:hAnsiTheme="majorHAnsi"/>
                          <w:color w:val="595959" w:themeColor="text1" w:themeTint="A6"/>
                          <w:sz w:val="18"/>
                        </w:rPr>
                        <w:t>María</w:t>
                      </w:r>
                      <w:proofErr w:type="spellEnd"/>
                      <w:r w:rsidR="00C21464">
                        <w:rPr>
                          <w:rFonts w:asciiTheme="majorHAnsi" w:hAnsiTheme="majorHAnsi"/>
                          <w:color w:val="595959" w:themeColor="text1" w:themeTint="A6"/>
                          <w:sz w:val="18"/>
                        </w:rPr>
                        <w:t xml:space="preserve"> Regina </w:t>
                      </w:r>
                      <w:proofErr w:type="spellStart"/>
                      <w:r w:rsidR="00C21464">
                        <w:rPr>
                          <w:rFonts w:asciiTheme="majorHAnsi" w:hAnsiTheme="majorHAnsi"/>
                          <w:color w:val="595959" w:themeColor="text1" w:themeTint="A6"/>
                          <w:sz w:val="18"/>
                        </w:rPr>
                        <w:t>Ocampo</w:t>
                      </w:r>
                      <w:proofErr w:type="spellEnd"/>
                      <w:r w:rsidR="00C21464">
                        <w:rPr>
                          <w:rFonts w:asciiTheme="majorHAnsi" w:hAnsiTheme="majorHAnsi"/>
                          <w:color w:val="595959" w:themeColor="text1" w:themeTint="A6"/>
                          <w:sz w:val="18"/>
                        </w:rPr>
                        <w:t xml:space="preserve"> </w:t>
                      </w:r>
                      <w:proofErr w:type="spellStart"/>
                      <w:r w:rsidR="00C21464">
                        <w:rPr>
                          <w:rFonts w:asciiTheme="majorHAnsi" w:hAnsiTheme="majorHAnsi"/>
                          <w:color w:val="595959" w:themeColor="text1" w:themeTint="A6"/>
                          <w:sz w:val="18"/>
                        </w:rPr>
                        <w:t>Loaiza</w:t>
                      </w:r>
                      <w:proofErr w:type="spellEnd"/>
                      <w:r w:rsidR="00C21464">
                        <w:rPr>
                          <w:rFonts w:asciiTheme="majorHAnsi" w:hAnsiTheme="majorHAnsi"/>
                          <w:color w:val="595959" w:themeColor="text1" w:themeTint="A6"/>
                          <w:sz w:val="18"/>
                        </w:rPr>
                        <w:t xml:space="preserve"> y </w:t>
                      </w:r>
                      <w:proofErr w:type="spellStart"/>
                      <w:r w:rsidR="00C21464">
                        <w:rPr>
                          <w:rFonts w:asciiTheme="majorHAnsi" w:hAnsiTheme="majorHAnsi"/>
                          <w:color w:val="595959" w:themeColor="text1" w:themeTint="A6"/>
                          <w:sz w:val="18"/>
                        </w:rPr>
                        <w:t>otros</w:t>
                      </w:r>
                      <w:proofErr w:type="spellEnd"/>
                      <w:r w:rsidRPr="003C32BC">
                        <w:rPr>
                          <w:rFonts w:asciiTheme="majorHAnsi" w:hAnsiTheme="majorHAnsi"/>
                          <w:color w:val="595959" w:themeColor="text1" w:themeTint="A6"/>
                          <w:sz w:val="18"/>
                        </w:rPr>
                        <w:t xml:space="preserve">. </w:t>
                      </w:r>
                      <w:r w:rsidR="00C21464">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C21464">
                        <w:rPr>
                          <w:rFonts w:asciiTheme="majorHAnsi" w:hAnsiTheme="majorHAnsi"/>
                          <w:color w:val="595959" w:themeColor="text1" w:themeTint="A6"/>
                          <w:sz w:val="18"/>
                        </w:rPr>
                        <w:t>June 1, 2020.</w:t>
                      </w:r>
                    </w:p>
                  </w:txbxContent>
                </v:textbox>
              </v:shape>
            </w:pict>
          </mc:Fallback>
        </mc:AlternateContent>
      </w:r>
    </w:p>
    <w:p w14:paraId="1C0DAFDE" w14:textId="77777777" w:rsidR="002C1641" w:rsidRPr="00C54196" w:rsidRDefault="002C1641" w:rsidP="00040C3A">
      <w:pPr>
        <w:tabs>
          <w:tab w:val="center" w:pos="5400"/>
        </w:tabs>
        <w:suppressAutoHyphens/>
        <w:jc w:val="center"/>
        <w:rPr>
          <w:rFonts w:asciiTheme="majorHAnsi" w:hAnsiTheme="majorHAnsi"/>
          <w:sz w:val="18"/>
          <w:szCs w:val="22"/>
        </w:rPr>
      </w:pPr>
    </w:p>
    <w:p w14:paraId="5420A6FF" w14:textId="77777777" w:rsidR="002C1641" w:rsidRPr="00C54196" w:rsidRDefault="002C1641" w:rsidP="00040C3A">
      <w:pPr>
        <w:tabs>
          <w:tab w:val="center" w:pos="5400"/>
        </w:tabs>
        <w:suppressAutoHyphens/>
        <w:jc w:val="center"/>
        <w:rPr>
          <w:rFonts w:asciiTheme="majorHAnsi" w:hAnsiTheme="majorHAnsi"/>
          <w:sz w:val="18"/>
          <w:szCs w:val="22"/>
        </w:rPr>
      </w:pPr>
    </w:p>
    <w:p w14:paraId="03B36C31" w14:textId="77777777" w:rsidR="003C32BC" w:rsidRPr="00C54196" w:rsidRDefault="003C32BC" w:rsidP="003C32BC">
      <w:pPr>
        <w:tabs>
          <w:tab w:val="center" w:pos="5400"/>
        </w:tabs>
        <w:suppressAutoHyphens/>
        <w:jc w:val="center"/>
        <w:rPr>
          <w:rFonts w:asciiTheme="majorHAnsi" w:hAnsiTheme="majorHAnsi"/>
          <w:sz w:val="18"/>
          <w:szCs w:val="22"/>
        </w:rPr>
      </w:pPr>
    </w:p>
    <w:p w14:paraId="154A4854" w14:textId="77777777" w:rsidR="003C32BC" w:rsidRPr="00C54196" w:rsidRDefault="006311DA" w:rsidP="003C32BC">
      <w:pPr>
        <w:tabs>
          <w:tab w:val="center" w:pos="5400"/>
        </w:tabs>
        <w:suppressAutoHyphens/>
        <w:jc w:val="center"/>
        <w:rPr>
          <w:rFonts w:asciiTheme="majorHAnsi" w:hAnsiTheme="majorHAnsi"/>
          <w:sz w:val="18"/>
          <w:szCs w:val="22"/>
        </w:rPr>
      </w:pPr>
      <w:r w:rsidRPr="00C5419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8F007A" w:rsidRPr="004B7EB6" w:rsidRDefault="008F007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8F007A" w:rsidRPr="004B7EB6" w:rsidRDefault="008F007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C5419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8F007A" w:rsidRDefault="008F007A">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8F007A" w:rsidRDefault="008F007A">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C54196" w:rsidRDefault="007607C4" w:rsidP="003C32BC">
      <w:pPr>
        <w:tabs>
          <w:tab w:val="center" w:pos="5400"/>
        </w:tabs>
        <w:suppressAutoHyphens/>
        <w:jc w:val="center"/>
        <w:rPr>
          <w:rFonts w:asciiTheme="majorHAnsi" w:hAnsiTheme="majorHAnsi"/>
          <w:sz w:val="18"/>
          <w:szCs w:val="22"/>
        </w:rPr>
        <w:sectPr w:rsidR="007607C4" w:rsidRPr="00C54196"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C54196" w:rsidRDefault="00F621C3" w:rsidP="00F621C3">
      <w:pPr>
        <w:spacing w:after="240"/>
        <w:ind w:firstLine="720"/>
        <w:jc w:val="both"/>
        <w:rPr>
          <w:rFonts w:asciiTheme="majorHAnsi" w:hAnsiTheme="majorHAnsi"/>
          <w:b/>
          <w:bCs/>
          <w:sz w:val="20"/>
          <w:szCs w:val="20"/>
        </w:rPr>
      </w:pPr>
      <w:r w:rsidRPr="00C54196">
        <w:rPr>
          <w:rFonts w:asciiTheme="majorHAnsi" w:hAnsiTheme="majorHAnsi"/>
          <w:b/>
          <w:bCs/>
          <w:sz w:val="20"/>
          <w:szCs w:val="20"/>
        </w:rPr>
        <w:lastRenderedPageBreak/>
        <w:t>I.</w:t>
      </w:r>
      <w:r w:rsidRPr="00C54196">
        <w:rPr>
          <w:rFonts w:asciiTheme="majorHAnsi" w:hAnsiTheme="majorHAnsi"/>
          <w:b/>
          <w:bCs/>
          <w:sz w:val="20"/>
          <w:szCs w:val="20"/>
        </w:rPr>
        <w:tab/>
      </w:r>
      <w:r w:rsidR="00592718" w:rsidRPr="00C54196">
        <w:rPr>
          <w:rFonts w:asciiTheme="majorHAnsi" w:hAnsiTheme="majorHAnsi"/>
          <w:b/>
          <w:bCs/>
          <w:sz w:val="20"/>
          <w:szCs w:val="20"/>
        </w:rPr>
        <w:t>INFORMATION ABOUT THE PETITION</w:t>
      </w:r>
      <w:r w:rsidRPr="00C54196">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54196"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C54196" w:rsidRDefault="003771A3" w:rsidP="00CA64B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Petitioner</w:t>
            </w:r>
            <w:r w:rsidR="00F621C3" w:rsidRPr="00C54196">
              <w:rPr>
                <w:rFonts w:ascii="Cambria" w:hAnsi="Cambria"/>
                <w:b/>
                <w:bCs/>
                <w:color w:val="FFFFFF" w:themeColor="background1"/>
                <w:sz w:val="20"/>
                <w:szCs w:val="20"/>
              </w:rPr>
              <w:t>:</w:t>
            </w:r>
          </w:p>
        </w:tc>
        <w:tc>
          <w:tcPr>
            <w:tcW w:w="5670" w:type="dxa"/>
            <w:vAlign w:val="center"/>
          </w:tcPr>
          <w:p w14:paraId="0674C7B8" w14:textId="60724892" w:rsidR="00F621C3" w:rsidRPr="00C54196" w:rsidRDefault="00F610D0" w:rsidP="00CA64B5">
            <w:pPr>
              <w:jc w:val="both"/>
              <w:rPr>
                <w:rFonts w:ascii="Cambria" w:hAnsi="Cambria"/>
                <w:bCs/>
                <w:sz w:val="20"/>
                <w:szCs w:val="20"/>
              </w:rPr>
            </w:pPr>
            <w:r w:rsidRPr="00C54196">
              <w:rPr>
                <w:rFonts w:ascii="Cambria" w:hAnsi="Cambria"/>
                <w:bCs/>
                <w:sz w:val="20"/>
                <w:szCs w:val="20"/>
              </w:rPr>
              <w:t>Oscar Darío Villegas Posada</w:t>
            </w:r>
          </w:p>
        </w:tc>
      </w:tr>
      <w:tr w:rsidR="00F621C3" w:rsidRPr="00C5419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C54196" w:rsidRDefault="00F42E9E" w:rsidP="00CA64B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D60629" w:rsidRPr="00C54196">
                  <w:rPr>
                    <w:rFonts w:ascii="Cambria" w:hAnsi="Cambria"/>
                    <w:b/>
                    <w:bCs/>
                    <w:color w:val="FFFFFF" w:themeColor="background1"/>
                    <w:sz w:val="20"/>
                    <w:szCs w:val="20"/>
                  </w:rPr>
                  <w:t>Alleged victim</w:t>
                </w:r>
              </w:sdtContent>
            </w:sdt>
            <w:r w:rsidR="00F621C3" w:rsidRPr="00C54196">
              <w:rPr>
                <w:rFonts w:ascii="Cambria" w:hAnsi="Cambria"/>
                <w:b/>
                <w:bCs/>
                <w:color w:val="FFFFFF" w:themeColor="background1"/>
                <w:sz w:val="20"/>
                <w:szCs w:val="20"/>
              </w:rPr>
              <w:t>:</w:t>
            </w:r>
          </w:p>
        </w:tc>
        <w:tc>
          <w:tcPr>
            <w:tcW w:w="5670" w:type="dxa"/>
            <w:vAlign w:val="center"/>
          </w:tcPr>
          <w:p w14:paraId="60895337" w14:textId="48F07E29" w:rsidR="00F621C3" w:rsidRPr="00C54196" w:rsidRDefault="00F610D0" w:rsidP="00F610D0">
            <w:pPr>
              <w:jc w:val="both"/>
              <w:rPr>
                <w:rFonts w:ascii="Cambria" w:hAnsi="Cambria"/>
                <w:bCs/>
                <w:sz w:val="20"/>
                <w:szCs w:val="20"/>
              </w:rPr>
            </w:pPr>
            <w:r w:rsidRPr="00C54196">
              <w:rPr>
                <w:rFonts w:ascii="Cambria" w:hAnsi="Cambria"/>
                <w:bCs/>
                <w:sz w:val="20"/>
                <w:szCs w:val="20"/>
              </w:rPr>
              <w:t xml:space="preserve">María Regina </w:t>
            </w:r>
            <w:proofErr w:type="spellStart"/>
            <w:r w:rsidRPr="00C54196">
              <w:rPr>
                <w:rFonts w:ascii="Cambria" w:hAnsi="Cambria"/>
                <w:bCs/>
                <w:sz w:val="20"/>
                <w:szCs w:val="20"/>
              </w:rPr>
              <w:t>Ocampo</w:t>
            </w:r>
            <w:proofErr w:type="spellEnd"/>
            <w:r w:rsidRPr="00C54196">
              <w:rPr>
                <w:rFonts w:ascii="Cambria" w:hAnsi="Cambria"/>
                <w:bCs/>
                <w:sz w:val="20"/>
                <w:szCs w:val="20"/>
              </w:rPr>
              <w:t xml:space="preserve"> </w:t>
            </w:r>
            <w:proofErr w:type="spellStart"/>
            <w:r w:rsidRPr="00C54196">
              <w:rPr>
                <w:rFonts w:ascii="Cambria" w:hAnsi="Cambria"/>
                <w:bCs/>
                <w:sz w:val="20"/>
                <w:szCs w:val="20"/>
              </w:rPr>
              <w:t>Loaiza</w:t>
            </w:r>
            <w:proofErr w:type="spellEnd"/>
            <w:r w:rsidRPr="00C54196">
              <w:rPr>
                <w:rFonts w:ascii="Cambria" w:hAnsi="Cambria"/>
                <w:bCs/>
                <w:sz w:val="20"/>
                <w:szCs w:val="20"/>
              </w:rPr>
              <w:t xml:space="preserve"> and others</w:t>
            </w:r>
          </w:p>
        </w:tc>
      </w:tr>
      <w:tr w:rsidR="00F621C3" w:rsidRPr="00C54196"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C54196" w:rsidRDefault="005816E5" w:rsidP="005816E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 xml:space="preserve">Respondent </w:t>
            </w:r>
            <w:r w:rsidR="00F621C3" w:rsidRPr="00C54196">
              <w:rPr>
                <w:rFonts w:ascii="Cambria" w:hAnsi="Cambria"/>
                <w:b/>
                <w:bCs/>
                <w:color w:val="FFFFFF" w:themeColor="background1"/>
                <w:sz w:val="20"/>
                <w:szCs w:val="20"/>
              </w:rPr>
              <w:t>State:</w:t>
            </w:r>
          </w:p>
        </w:tc>
        <w:tc>
          <w:tcPr>
            <w:tcW w:w="5670" w:type="dxa"/>
            <w:vAlign w:val="center"/>
          </w:tcPr>
          <w:p w14:paraId="3539D391" w14:textId="6903E5D4" w:rsidR="00F621C3" w:rsidRPr="00C54196" w:rsidRDefault="00F610D0" w:rsidP="00CA64B5">
            <w:pPr>
              <w:jc w:val="both"/>
              <w:rPr>
                <w:rFonts w:ascii="Cambria" w:hAnsi="Cambria"/>
                <w:bCs/>
                <w:sz w:val="20"/>
                <w:szCs w:val="20"/>
              </w:rPr>
            </w:pPr>
            <w:r w:rsidRPr="00C54196">
              <w:rPr>
                <w:rFonts w:ascii="Cambria" w:hAnsi="Cambria"/>
                <w:bCs/>
                <w:sz w:val="20"/>
                <w:szCs w:val="20"/>
              </w:rPr>
              <w:t>Colombia</w:t>
            </w:r>
          </w:p>
        </w:tc>
      </w:tr>
      <w:tr w:rsidR="00E47F3D" w:rsidRPr="00C54196"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C54196" w:rsidRDefault="00E47F3D" w:rsidP="00E7588C">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 xml:space="preserve">Rights </w:t>
            </w:r>
            <w:r w:rsidR="00E7588C" w:rsidRPr="00C54196">
              <w:rPr>
                <w:rFonts w:ascii="Cambria" w:hAnsi="Cambria"/>
                <w:b/>
                <w:bCs/>
                <w:color w:val="FFFFFF" w:themeColor="background1"/>
                <w:sz w:val="20"/>
                <w:szCs w:val="20"/>
              </w:rPr>
              <w:t>invoked:</w:t>
            </w:r>
          </w:p>
        </w:tc>
        <w:tc>
          <w:tcPr>
            <w:tcW w:w="5670" w:type="dxa"/>
            <w:vAlign w:val="center"/>
          </w:tcPr>
          <w:p w14:paraId="51EEF9D2" w14:textId="17580F60" w:rsidR="00E47F3D" w:rsidRPr="00C54196" w:rsidRDefault="00BE1FB2" w:rsidP="00BE1FB2">
            <w:pPr>
              <w:jc w:val="both"/>
              <w:rPr>
                <w:rFonts w:ascii="Cambria" w:hAnsi="Cambria"/>
                <w:bCs/>
                <w:sz w:val="20"/>
                <w:szCs w:val="20"/>
              </w:rPr>
            </w:pPr>
            <w:r w:rsidRPr="00C54196">
              <w:rPr>
                <w:rFonts w:ascii="Cambria" w:hAnsi="Cambria"/>
                <w:bCs/>
                <w:sz w:val="20"/>
                <w:szCs w:val="20"/>
              </w:rPr>
              <w:t>Does not specify articles but invokes</w:t>
            </w:r>
            <w:r w:rsidR="00F610D0" w:rsidRPr="00C54196">
              <w:rPr>
                <w:rFonts w:ascii="Cambria" w:hAnsi="Cambria"/>
                <w:bCs/>
                <w:sz w:val="20"/>
                <w:szCs w:val="20"/>
              </w:rPr>
              <w:t xml:space="preserve"> general viola</w:t>
            </w:r>
            <w:r w:rsidRPr="00C54196">
              <w:rPr>
                <w:rFonts w:ascii="Cambria" w:hAnsi="Cambria"/>
                <w:bCs/>
                <w:sz w:val="20"/>
                <w:szCs w:val="20"/>
              </w:rPr>
              <w:t>tion</w:t>
            </w:r>
            <w:r w:rsidR="00F610D0" w:rsidRPr="00C54196">
              <w:rPr>
                <w:rFonts w:ascii="Cambria" w:hAnsi="Cambria"/>
                <w:bCs/>
                <w:sz w:val="20"/>
                <w:szCs w:val="20"/>
              </w:rPr>
              <w:t xml:space="preserve">s </w:t>
            </w:r>
            <w:r w:rsidRPr="00C54196">
              <w:rPr>
                <w:rFonts w:ascii="Cambria" w:hAnsi="Cambria"/>
                <w:bCs/>
                <w:sz w:val="20"/>
                <w:szCs w:val="20"/>
              </w:rPr>
              <w:t>of the</w:t>
            </w:r>
            <w:r w:rsidR="00F610D0" w:rsidRPr="00C54196">
              <w:rPr>
                <w:rFonts w:ascii="Cambria" w:hAnsi="Cambria"/>
                <w:bCs/>
                <w:sz w:val="20"/>
                <w:szCs w:val="20"/>
              </w:rPr>
              <w:t xml:space="preserve"> </w:t>
            </w:r>
            <w:r w:rsidRPr="00C54196">
              <w:rPr>
                <w:rFonts w:ascii="Cambria" w:hAnsi="Cambria"/>
                <w:bCs/>
                <w:sz w:val="20"/>
                <w:szCs w:val="20"/>
              </w:rPr>
              <w:t>American Convention on Human Rights</w:t>
            </w:r>
            <w:r w:rsidR="00F610D0" w:rsidRPr="00C54196">
              <w:rPr>
                <w:rStyle w:val="FootnoteReference"/>
                <w:rFonts w:ascii="Cambria" w:hAnsi="Cambria"/>
                <w:bCs/>
                <w:sz w:val="20"/>
                <w:szCs w:val="20"/>
              </w:rPr>
              <w:footnoteReference w:id="2"/>
            </w:r>
          </w:p>
        </w:tc>
      </w:tr>
    </w:tbl>
    <w:p w14:paraId="006E8D49" w14:textId="1C646C41" w:rsidR="00F621C3" w:rsidRPr="00C54196" w:rsidRDefault="00F621C3" w:rsidP="00F621C3">
      <w:pPr>
        <w:spacing w:before="240" w:after="240"/>
        <w:ind w:firstLine="720"/>
        <w:jc w:val="both"/>
        <w:rPr>
          <w:rFonts w:asciiTheme="majorHAnsi" w:hAnsiTheme="majorHAnsi"/>
          <w:b/>
          <w:bCs/>
          <w:sz w:val="20"/>
          <w:szCs w:val="20"/>
        </w:rPr>
      </w:pPr>
      <w:r w:rsidRPr="00C54196">
        <w:rPr>
          <w:rFonts w:asciiTheme="majorHAnsi" w:hAnsiTheme="majorHAnsi"/>
          <w:b/>
          <w:bCs/>
          <w:sz w:val="20"/>
          <w:szCs w:val="20"/>
        </w:rPr>
        <w:t>II.</w:t>
      </w:r>
      <w:r w:rsidRPr="00C54196">
        <w:rPr>
          <w:rFonts w:asciiTheme="majorHAnsi" w:hAnsiTheme="majorHAnsi"/>
          <w:b/>
          <w:bCs/>
          <w:sz w:val="20"/>
          <w:szCs w:val="20"/>
        </w:rPr>
        <w:tab/>
        <w:t>PROCE</w:t>
      </w:r>
      <w:r w:rsidR="00321AFD" w:rsidRPr="00C54196">
        <w:rPr>
          <w:rFonts w:asciiTheme="majorHAnsi" w:hAnsiTheme="majorHAnsi"/>
          <w:b/>
          <w:bCs/>
          <w:sz w:val="20"/>
          <w:szCs w:val="20"/>
        </w:rPr>
        <w:t>EDINGS</w:t>
      </w:r>
      <w:r w:rsidRPr="00C54196">
        <w:rPr>
          <w:rFonts w:asciiTheme="majorHAnsi" w:hAnsiTheme="majorHAnsi"/>
          <w:b/>
          <w:bCs/>
          <w:sz w:val="20"/>
          <w:szCs w:val="20"/>
        </w:rPr>
        <w:t xml:space="preserve"> BEFORE THE IACHR</w:t>
      </w:r>
      <w:r w:rsidR="00653EA6" w:rsidRPr="00C5419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54196"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C54196" w:rsidRDefault="00B06BB7" w:rsidP="00B06BB7">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Filing of the petition</w:t>
            </w:r>
            <w:r w:rsidR="00F621C3" w:rsidRPr="00C54196">
              <w:rPr>
                <w:rFonts w:ascii="Cambria" w:hAnsi="Cambria"/>
                <w:b/>
                <w:bCs/>
                <w:color w:val="FFFFFF" w:themeColor="background1"/>
                <w:sz w:val="20"/>
                <w:szCs w:val="20"/>
              </w:rPr>
              <w:t>:</w:t>
            </w:r>
          </w:p>
        </w:tc>
        <w:tc>
          <w:tcPr>
            <w:tcW w:w="5670" w:type="dxa"/>
            <w:vAlign w:val="center"/>
          </w:tcPr>
          <w:p w14:paraId="1C0C3DE2" w14:textId="3F04D8DB" w:rsidR="00F621C3" w:rsidRPr="00C54196" w:rsidRDefault="004759DD" w:rsidP="004759DD">
            <w:pPr>
              <w:jc w:val="both"/>
              <w:rPr>
                <w:rFonts w:ascii="Cambria" w:hAnsi="Cambria"/>
                <w:bCs/>
                <w:sz w:val="20"/>
                <w:szCs w:val="20"/>
              </w:rPr>
            </w:pPr>
            <w:r w:rsidRPr="00C54196">
              <w:rPr>
                <w:rFonts w:ascii="Cambria" w:hAnsi="Cambria"/>
                <w:bCs/>
                <w:sz w:val="20"/>
                <w:szCs w:val="20"/>
              </w:rPr>
              <w:t xml:space="preserve">November </w:t>
            </w:r>
            <w:r w:rsidR="00F610D0" w:rsidRPr="00C54196">
              <w:rPr>
                <w:rFonts w:ascii="Cambria" w:hAnsi="Cambria"/>
                <w:bCs/>
                <w:sz w:val="20"/>
                <w:szCs w:val="20"/>
              </w:rPr>
              <w:t>7</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2008</w:t>
            </w:r>
          </w:p>
        </w:tc>
      </w:tr>
      <w:tr w:rsidR="00F621C3" w:rsidRPr="00C54196"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C54196" w:rsidRDefault="00F621C3" w:rsidP="003771A3">
            <w:pPr>
              <w:jc w:val="center"/>
              <w:rPr>
                <w:rFonts w:ascii="Cambria" w:hAnsi="Cambria"/>
                <w:b/>
                <w:color w:val="FFFFFF" w:themeColor="background1"/>
                <w:sz w:val="20"/>
                <w:szCs w:val="20"/>
              </w:rPr>
            </w:pPr>
            <w:r w:rsidRPr="00C54196">
              <w:rPr>
                <w:rFonts w:ascii="Cambria" w:hAnsi="Cambria"/>
                <w:b/>
                <w:color w:val="FFFFFF" w:themeColor="background1"/>
                <w:sz w:val="20"/>
                <w:szCs w:val="20"/>
              </w:rPr>
              <w:t xml:space="preserve">Additional information received at the </w:t>
            </w:r>
            <w:r w:rsidR="003771A3" w:rsidRPr="00C54196">
              <w:rPr>
                <w:rFonts w:ascii="Cambria" w:hAnsi="Cambria"/>
                <w:b/>
                <w:color w:val="FFFFFF" w:themeColor="background1"/>
                <w:sz w:val="20"/>
                <w:szCs w:val="20"/>
              </w:rPr>
              <w:t>s</w:t>
            </w:r>
            <w:r w:rsidRPr="00C54196">
              <w:rPr>
                <w:rFonts w:ascii="Cambria" w:hAnsi="Cambria"/>
                <w:b/>
                <w:color w:val="FFFFFF" w:themeColor="background1"/>
                <w:sz w:val="20"/>
                <w:szCs w:val="20"/>
              </w:rPr>
              <w:t>tage</w:t>
            </w:r>
            <w:r w:rsidR="003771A3" w:rsidRPr="00C54196">
              <w:rPr>
                <w:rFonts w:ascii="Cambria" w:hAnsi="Cambria"/>
                <w:b/>
                <w:color w:val="FFFFFF" w:themeColor="background1"/>
                <w:sz w:val="20"/>
                <w:szCs w:val="20"/>
              </w:rPr>
              <w:t xml:space="preserve"> of initial review</w:t>
            </w:r>
            <w:r w:rsidRPr="00C54196">
              <w:rPr>
                <w:rFonts w:ascii="Cambria" w:hAnsi="Cambria"/>
                <w:b/>
                <w:color w:val="FFFFFF" w:themeColor="background1"/>
                <w:sz w:val="20"/>
                <w:szCs w:val="20"/>
              </w:rPr>
              <w:t>:</w:t>
            </w:r>
          </w:p>
        </w:tc>
        <w:tc>
          <w:tcPr>
            <w:tcW w:w="5670" w:type="dxa"/>
            <w:vAlign w:val="center"/>
          </w:tcPr>
          <w:p w14:paraId="499B90CB" w14:textId="12E165B6" w:rsidR="00F621C3" w:rsidRPr="00C54196" w:rsidRDefault="004759DD" w:rsidP="004759DD">
            <w:pPr>
              <w:jc w:val="both"/>
              <w:rPr>
                <w:rFonts w:ascii="Cambria" w:hAnsi="Cambria"/>
                <w:bCs/>
                <w:sz w:val="20"/>
                <w:szCs w:val="20"/>
              </w:rPr>
            </w:pPr>
            <w:r w:rsidRPr="00C54196">
              <w:rPr>
                <w:rFonts w:ascii="Cambria" w:hAnsi="Cambria"/>
                <w:bCs/>
                <w:sz w:val="20"/>
                <w:szCs w:val="20"/>
              </w:rPr>
              <w:t xml:space="preserve">July </w:t>
            </w:r>
            <w:r w:rsidR="00F610D0" w:rsidRPr="00C54196">
              <w:rPr>
                <w:rFonts w:ascii="Cambria" w:hAnsi="Cambria"/>
                <w:bCs/>
                <w:sz w:val="20"/>
                <w:szCs w:val="20"/>
              </w:rPr>
              <w:t>9</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 xml:space="preserve">2012, </w:t>
            </w:r>
            <w:r w:rsidRPr="00C54196">
              <w:rPr>
                <w:rFonts w:ascii="Cambria" w:hAnsi="Cambria"/>
                <w:bCs/>
                <w:sz w:val="20"/>
                <w:szCs w:val="20"/>
              </w:rPr>
              <w:t xml:space="preserve">March </w:t>
            </w:r>
            <w:r w:rsidR="00F610D0" w:rsidRPr="00C54196">
              <w:rPr>
                <w:rFonts w:ascii="Cambria" w:hAnsi="Cambria"/>
                <w:bCs/>
                <w:sz w:val="20"/>
                <w:szCs w:val="20"/>
              </w:rPr>
              <w:t>18</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 xml:space="preserve">2013, </w:t>
            </w:r>
            <w:r w:rsidRPr="00C54196">
              <w:rPr>
                <w:rFonts w:ascii="Cambria" w:hAnsi="Cambria"/>
                <w:bCs/>
                <w:sz w:val="20"/>
                <w:szCs w:val="20"/>
              </w:rPr>
              <w:t xml:space="preserve">November </w:t>
            </w:r>
            <w:r w:rsidR="00F610D0" w:rsidRPr="00C54196">
              <w:rPr>
                <w:rFonts w:ascii="Cambria" w:hAnsi="Cambria"/>
                <w:bCs/>
                <w:sz w:val="20"/>
                <w:szCs w:val="20"/>
              </w:rPr>
              <w:t>3</w:t>
            </w:r>
            <w:r w:rsidRPr="00C54196">
              <w:rPr>
                <w:rFonts w:ascii="Cambria" w:hAnsi="Cambria"/>
                <w:bCs/>
                <w:sz w:val="20"/>
                <w:szCs w:val="20"/>
                <w:vertAlign w:val="superscript"/>
              </w:rPr>
              <w:t>rd</w:t>
            </w:r>
            <w:r w:rsidRPr="00C54196">
              <w:rPr>
                <w:rFonts w:ascii="Cambria" w:hAnsi="Cambria"/>
                <w:bCs/>
                <w:sz w:val="20"/>
                <w:szCs w:val="20"/>
              </w:rPr>
              <w:t xml:space="preserve"> 2014, 19</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2015</w:t>
            </w:r>
          </w:p>
        </w:tc>
      </w:tr>
      <w:tr w:rsidR="00F621C3" w:rsidRPr="00C54196"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C54196" w:rsidRDefault="00B06BB7" w:rsidP="00B06BB7">
            <w:pPr>
              <w:jc w:val="center"/>
              <w:rPr>
                <w:rFonts w:ascii="Cambria" w:hAnsi="Cambria"/>
                <w:b/>
                <w:bCs/>
                <w:color w:val="FFFFFF" w:themeColor="background1"/>
                <w:sz w:val="20"/>
                <w:szCs w:val="20"/>
              </w:rPr>
            </w:pPr>
            <w:r w:rsidRPr="00C54196">
              <w:rPr>
                <w:rFonts w:ascii="Cambria" w:hAnsi="Cambria"/>
                <w:b/>
                <w:color w:val="FFFFFF" w:themeColor="background1"/>
                <w:sz w:val="20"/>
                <w:szCs w:val="20"/>
              </w:rPr>
              <w:t>Notification of the petition to</w:t>
            </w:r>
            <w:r w:rsidR="00F621C3" w:rsidRPr="00C54196">
              <w:rPr>
                <w:rFonts w:ascii="Cambria" w:hAnsi="Cambria"/>
                <w:b/>
                <w:color w:val="FFFFFF" w:themeColor="background1"/>
                <w:sz w:val="20"/>
                <w:szCs w:val="20"/>
              </w:rPr>
              <w:t xml:space="preserve"> the State:</w:t>
            </w:r>
          </w:p>
        </w:tc>
        <w:tc>
          <w:tcPr>
            <w:tcW w:w="5670" w:type="dxa"/>
            <w:vAlign w:val="center"/>
          </w:tcPr>
          <w:p w14:paraId="22ADBFFE" w14:textId="24C18F5B" w:rsidR="00F621C3" w:rsidRPr="00C54196" w:rsidRDefault="004759DD" w:rsidP="004759DD">
            <w:pPr>
              <w:jc w:val="both"/>
              <w:rPr>
                <w:rFonts w:ascii="Cambria" w:hAnsi="Cambria"/>
                <w:bCs/>
                <w:sz w:val="20"/>
                <w:szCs w:val="20"/>
              </w:rPr>
            </w:pPr>
            <w:r w:rsidRPr="00C54196">
              <w:rPr>
                <w:rFonts w:ascii="Cambria" w:hAnsi="Cambria"/>
                <w:bCs/>
                <w:sz w:val="20"/>
                <w:szCs w:val="20"/>
              </w:rPr>
              <w:t xml:space="preserve">April </w:t>
            </w:r>
            <w:r w:rsidR="00F610D0" w:rsidRPr="00C54196">
              <w:rPr>
                <w:rFonts w:ascii="Cambria" w:hAnsi="Cambria"/>
                <w:bCs/>
                <w:sz w:val="20"/>
                <w:szCs w:val="20"/>
              </w:rPr>
              <w:t>25</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2017</w:t>
            </w:r>
          </w:p>
        </w:tc>
      </w:tr>
      <w:tr w:rsidR="00F621C3" w:rsidRPr="00C54196"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C54196" w:rsidRDefault="00F621C3" w:rsidP="00CA64B5">
            <w:pPr>
              <w:jc w:val="center"/>
              <w:rPr>
                <w:rFonts w:ascii="Cambria" w:hAnsi="Cambria"/>
                <w:b/>
                <w:bCs/>
                <w:color w:val="FFFFFF" w:themeColor="background1"/>
                <w:sz w:val="20"/>
                <w:szCs w:val="20"/>
              </w:rPr>
            </w:pPr>
            <w:r w:rsidRPr="00C54196">
              <w:rPr>
                <w:rFonts w:ascii="Cambria" w:hAnsi="Cambria"/>
                <w:b/>
                <w:color w:val="FFFFFF" w:themeColor="background1"/>
                <w:sz w:val="20"/>
                <w:szCs w:val="20"/>
              </w:rPr>
              <w:t>State’s first response:</w:t>
            </w:r>
          </w:p>
        </w:tc>
        <w:tc>
          <w:tcPr>
            <w:tcW w:w="5670" w:type="dxa"/>
            <w:vAlign w:val="center"/>
          </w:tcPr>
          <w:p w14:paraId="19C5DA57" w14:textId="4DCCBC57" w:rsidR="00F621C3" w:rsidRPr="00C54196" w:rsidRDefault="004759DD" w:rsidP="004759DD">
            <w:pPr>
              <w:jc w:val="both"/>
              <w:rPr>
                <w:rFonts w:ascii="Cambria" w:hAnsi="Cambria"/>
                <w:bCs/>
                <w:sz w:val="20"/>
                <w:szCs w:val="20"/>
              </w:rPr>
            </w:pPr>
            <w:r w:rsidRPr="00C54196">
              <w:rPr>
                <w:rFonts w:ascii="Cambria" w:hAnsi="Cambria"/>
                <w:bCs/>
                <w:sz w:val="20"/>
                <w:szCs w:val="20"/>
              </w:rPr>
              <w:t>March 31</w:t>
            </w:r>
            <w:r w:rsidRPr="00C54196">
              <w:rPr>
                <w:rFonts w:ascii="Cambria" w:hAnsi="Cambria"/>
                <w:bCs/>
                <w:sz w:val="20"/>
                <w:szCs w:val="20"/>
                <w:vertAlign w:val="superscript"/>
              </w:rPr>
              <w:t>st</w:t>
            </w:r>
            <w:r w:rsidRPr="00C54196">
              <w:rPr>
                <w:rFonts w:ascii="Cambria" w:hAnsi="Cambria"/>
                <w:bCs/>
                <w:sz w:val="20"/>
                <w:szCs w:val="20"/>
              </w:rPr>
              <w:t xml:space="preserve"> </w:t>
            </w:r>
            <w:r w:rsidR="00F610D0" w:rsidRPr="00C54196">
              <w:rPr>
                <w:rFonts w:ascii="Cambria" w:hAnsi="Cambria"/>
                <w:bCs/>
                <w:sz w:val="20"/>
                <w:szCs w:val="20"/>
              </w:rPr>
              <w:t>2017</w:t>
            </w:r>
          </w:p>
        </w:tc>
      </w:tr>
      <w:tr w:rsidR="003771A3" w:rsidRPr="00C54196"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C54196" w:rsidRDefault="003771A3" w:rsidP="00653EA6">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Additional observations from the State:</w:t>
            </w:r>
          </w:p>
        </w:tc>
        <w:tc>
          <w:tcPr>
            <w:tcW w:w="5670" w:type="dxa"/>
            <w:vAlign w:val="center"/>
          </w:tcPr>
          <w:p w14:paraId="27F6ADE3" w14:textId="27B86E52" w:rsidR="003771A3" w:rsidRPr="00C54196" w:rsidRDefault="004759DD" w:rsidP="004759DD">
            <w:pPr>
              <w:jc w:val="both"/>
              <w:rPr>
                <w:rFonts w:ascii="Cambria" w:hAnsi="Cambria"/>
                <w:bCs/>
                <w:sz w:val="20"/>
                <w:szCs w:val="20"/>
              </w:rPr>
            </w:pPr>
            <w:r w:rsidRPr="00C54196">
              <w:rPr>
                <w:rFonts w:ascii="Cambria" w:hAnsi="Cambria"/>
                <w:bCs/>
                <w:sz w:val="20"/>
                <w:szCs w:val="20"/>
              </w:rPr>
              <w:t xml:space="preserve">September </w:t>
            </w:r>
            <w:r w:rsidR="00F610D0" w:rsidRPr="00C54196">
              <w:rPr>
                <w:rFonts w:ascii="Cambria" w:hAnsi="Cambria"/>
                <w:bCs/>
                <w:sz w:val="20"/>
                <w:szCs w:val="20"/>
              </w:rPr>
              <w:t>12</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2018</w:t>
            </w:r>
          </w:p>
        </w:tc>
      </w:tr>
      <w:tr w:rsidR="003771A3" w:rsidRPr="00C54196"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C54196" w:rsidRDefault="00B06BB7" w:rsidP="00D75084">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Notification</w:t>
            </w:r>
            <w:r w:rsidR="003771A3" w:rsidRPr="00C54196">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62C7DAC0" w:rsidR="003771A3" w:rsidRPr="00C54196" w:rsidRDefault="004759DD" w:rsidP="004759DD">
            <w:pPr>
              <w:jc w:val="both"/>
              <w:rPr>
                <w:rFonts w:ascii="Cambria" w:hAnsi="Cambria"/>
                <w:bCs/>
                <w:sz w:val="20"/>
                <w:szCs w:val="20"/>
              </w:rPr>
            </w:pPr>
            <w:r w:rsidRPr="00C54196">
              <w:rPr>
                <w:rFonts w:ascii="Cambria" w:hAnsi="Cambria"/>
                <w:bCs/>
                <w:sz w:val="20"/>
                <w:szCs w:val="20"/>
              </w:rPr>
              <w:t>November 12</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2018</w:t>
            </w:r>
          </w:p>
        </w:tc>
      </w:tr>
      <w:tr w:rsidR="003771A3" w:rsidRPr="00C54196"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C54196" w:rsidRDefault="00B06BB7" w:rsidP="00B06BB7">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P</w:t>
            </w:r>
            <w:r w:rsidR="003771A3" w:rsidRPr="00C54196">
              <w:rPr>
                <w:rFonts w:ascii="Cambria" w:hAnsi="Cambria"/>
                <w:b/>
                <w:bCs/>
                <w:color w:val="FFFFFF" w:themeColor="background1"/>
                <w:sz w:val="20"/>
                <w:szCs w:val="20"/>
              </w:rPr>
              <w:t>etitioner</w:t>
            </w:r>
            <w:r w:rsidRPr="00C54196">
              <w:rPr>
                <w:rFonts w:ascii="Cambria" w:hAnsi="Cambria"/>
                <w:b/>
                <w:bCs/>
                <w:color w:val="FFFFFF" w:themeColor="background1"/>
                <w:sz w:val="20"/>
                <w:szCs w:val="20"/>
              </w:rPr>
              <w:t>’s</w:t>
            </w:r>
            <w:r w:rsidR="003771A3" w:rsidRPr="00C54196">
              <w:rPr>
                <w:rFonts w:ascii="Cambria" w:hAnsi="Cambria"/>
                <w:b/>
                <w:bCs/>
                <w:color w:val="FFFFFF" w:themeColor="background1"/>
                <w:sz w:val="20"/>
                <w:szCs w:val="20"/>
              </w:rPr>
              <w:t xml:space="preserve"> respon</w:t>
            </w:r>
            <w:r w:rsidRPr="00C54196">
              <w:rPr>
                <w:rFonts w:ascii="Cambria" w:hAnsi="Cambria"/>
                <w:b/>
                <w:bCs/>
                <w:color w:val="FFFFFF" w:themeColor="background1"/>
                <w:sz w:val="20"/>
                <w:szCs w:val="20"/>
              </w:rPr>
              <w:t>se</w:t>
            </w:r>
            <w:r w:rsidR="003771A3" w:rsidRPr="00C54196">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68EBF1B0" w:rsidR="003771A3" w:rsidRPr="00C54196" w:rsidRDefault="004759DD" w:rsidP="00CA64B5">
            <w:pPr>
              <w:jc w:val="both"/>
              <w:rPr>
                <w:rFonts w:ascii="Cambria" w:hAnsi="Cambria"/>
                <w:bCs/>
                <w:sz w:val="20"/>
                <w:szCs w:val="20"/>
              </w:rPr>
            </w:pPr>
            <w:r w:rsidRPr="00C54196">
              <w:rPr>
                <w:rFonts w:ascii="Cambria" w:hAnsi="Cambria"/>
                <w:bCs/>
                <w:sz w:val="20"/>
                <w:szCs w:val="20"/>
              </w:rPr>
              <w:t>October 25</w:t>
            </w:r>
            <w:r w:rsidRPr="00C54196">
              <w:rPr>
                <w:rFonts w:ascii="Cambria" w:hAnsi="Cambria"/>
                <w:bCs/>
                <w:sz w:val="20"/>
                <w:szCs w:val="20"/>
                <w:vertAlign w:val="superscript"/>
              </w:rPr>
              <w:t>th</w:t>
            </w:r>
            <w:r w:rsidRPr="00C54196">
              <w:rPr>
                <w:rFonts w:ascii="Cambria" w:hAnsi="Cambria"/>
                <w:bCs/>
                <w:sz w:val="20"/>
                <w:szCs w:val="20"/>
              </w:rPr>
              <w:t xml:space="preserve"> </w:t>
            </w:r>
            <w:r w:rsidR="00F610D0" w:rsidRPr="00C54196">
              <w:rPr>
                <w:rFonts w:ascii="Cambria" w:hAnsi="Cambria"/>
                <w:bCs/>
                <w:sz w:val="20"/>
                <w:szCs w:val="20"/>
              </w:rPr>
              <w:t>2019</w:t>
            </w:r>
          </w:p>
        </w:tc>
      </w:tr>
    </w:tbl>
    <w:p w14:paraId="7F88B361" w14:textId="77777777" w:rsidR="00F621C3" w:rsidRPr="00C54196" w:rsidRDefault="00F621C3" w:rsidP="00F621C3">
      <w:pPr>
        <w:spacing w:before="240" w:after="240"/>
        <w:ind w:firstLine="720"/>
        <w:jc w:val="both"/>
        <w:rPr>
          <w:rFonts w:asciiTheme="majorHAnsi" w:hAnsiTheme="majorHAnsi"/>
          <w:b/>
          <w:bCs/>
          <w:sz w:val="20"/>
          <w:szCs w:val="20"/>
        </w:rPr>
      </w:pPr>
      <w:r w:rsidRPr="00C54196">
        <w:rPr>
          <w:rFonts w:asciiTheme="majorHAnsi" w:hAnsiTheme="majorHAnsi"/>
          <w:b/>
          <w:bCs/>
          <w:sz w:val="20"/>
          <w:szCs w:val="20"/>
        </w:rPr>
        <w:t xml:space="preserve">III. </w:t>
      </w:r>
      <w:r w:rsidRPr="00C54196">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C54196"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C54196" w:rsidRDefault="00F621C3" w:rsidP="00CA64B5">
            <w:pPr>
              <w:jc w:val="center"/>
              <w:rPr>
                <w:rFonts w:ascii="Cambria" w:hAnsi="Cambria"/>
                <w:b/>
                <w:bCs/>
                <w:i/>
                <w:color w:val="FFFFFF" w:themeColor="background1"/>
                <w:sz w:val="20"/>
                <w:szCs w:val="20"/>
              </w:rPr>
            </w:pPr>
            <w:r w:rsidRPr="00C54196">
              <w:rPr>
                <w:rFonts w:ascii="Cambria" w:hAnsi="Cambria"/>
                <w:b/>
                <w:bCs/>
                <w:color w:val="FFFFFF" w:themeColor="background1"/>
                <w:sz w:val="20"/>
                <w:szCs w:val="20"/>
              </w:rPr>
              <w:t>Competence</w:t>
            </w:r>
            <w:r w:rsidRPr="00C54196">
              <w:rPr>
                <w:rFonts w:ascii="Cambria" w:hAnsi="Cambria"/>
                <w:b/>
                <w:bCs/>
                <w:i/>
                <w:color w:val="FFFFFF" w:themeColor="background1"/>
                <w:sz w:val="20"/>
                <w:szCs w:val="20"/>
              </w:rPr>
              <w:t xml:space="preserve"> </w:t>
            </w:r>
            <w:proofErr w:type="spellStart"/>
            <w:r w:rsidRPr="00C54196">
              <w:rPr>
                <w:rFonts w:ascii="Cambria" w:hAnsi="Cambria"/>
                <w:b/>
                <w:bCs/>
                <w:i/>
                <w:color w:val="FFFFFF" w:themeColor="background1"/>
                <w:sz w:val="20"/>
                <w:szCs w:val="20"/>
              </w:rPr>
              <w:t>Ratione</w:t>
            </w:r>
            <w:proofErr w:type="spellEnd"/>
            <w:r w:rsidRPr="00C54196">
              <w:rPr>
                <w:rFonts w:ascii="Cambria" w:hAnsi="Cambria"/>
                <w:b/>
                <w:bCs/>
                <w:i/>
                <w:color w:val="FFFFFF" w:themeColor="background1"/>
                <w:sz w:val="20"/>
                <w:szCs w:val="20"/>
              </w:rPr>
              <w:t xml:space="preserve"> personae:</w:t>
            </w:r>
          </w:p>
        </w:tc>
        <w:tc>
          <w:tcPr>
            <w:tcW w:w="5670" w:type="dxa"/>
            <w:vAlign w:val="center"/>
          </w:tcPr>
          <w:p w14:paraId="237A8D0C" w14:textId="3B4ED2CC" w:rsidR="00F621C3" w:rsidRPr="00C54196" w:rsidRDefault="00BE1FB2" w:rsidP="00CA64B5">
            <w:pPr>
              <w:rPr>
                <w:rFonts w:asciiTheme="majorHAnsi" w:hAnsiTheme="majorHAnsi"/>
                <w:bCs/>
                <w:sz w:val="20"/>
                <w:szCs w:val="20"/>
              </w:rPr>
            </w:pPr>
            <w:r w:rsidRPr="00C54196">
              <w:rPr>
                <w:rFonts w:asciiTheme="majorHAnsi" w:hAnsiTheme="majorHAnsi"/>
                <w:bCs/>
                <w:sz w:val="20"/>
                <w:szCs w:val="20"/>
              </w:rPr>
              <w:t>Yes</w:t>
            </w:r>
          </w:p>
        </w:tc>
      </w:tr>
      <w:tr w:rsidR="00F621C3" w:rsidRPr="00C54196"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C54196" w:rsidRDefault="00F621C3" w:rsidP="00CA64B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Competence</w:t>
            </w:r>
            <w:r w:rsidRPr="00C54196">
              <w:rPr>
                <w:rFonts w:ascii="Cambria" w:hAnsi="Cambria"/>
                <w:b/>
                <w:bCs/>
                <w:i/>
                <w:color w:val="FFFFFF" w:themeColor="background1"/>
                <w:sz w:val="20"/>
                <w:szCs w:val="20"/>
              </w:rPr>
              <w:t xml:space="preserve"> </w:t>
            </w:r>
            <w:proofErr w:type="spellStart"/>
            <w:r w:rsidRPr="00C54196">
              <w:rPr>
                <w:rFonts w:ascii="Cambria" w:hAnsi="Cambria"/>
                <w:b/>
                <w:bCs/>
                <w:i/>
                <w:color w:val="FFFFFF" w:themeColor="background1"/>
                <w:sz w:val="20"/>
                <w:szCs w:val="20"/>
              </w:rPr>
              <w:t>Ratione</w:t>
            </w:r>
            <w:proofErr w:type="spellEnd"/>
            <w:r w:rsidRPr="00C54196">
              <w:rPr>
                <w:rFonts w:ascii="Cambria" w:hAnsi="Cambria"/>
                <w:b/>
                <w:bCs/>
                <w:i/>
                <w:color w:val="FFFFFF" w:themeColor="background1"/>
                <w:sz w:val="20"/>
                <w:szCs w:val="20"/>
              </w:rPr>
              <w:t xml:space="preserve"> loci</w:t>
            </w:r>
            <w:r w:rsidRPr="00C54196">
              <w:rPr>
                <w:rFonts w:ascii="Cambria" w:hAnsi="Cambria"/>
                <w:b/>
                <w:bCs/>
                <w:color w:val="FFFFFF" w:themeColor="background1"/>
                <w:sz w:val="20"/>
                <w:szCs w:val="20"/>
              </w:rPr>
              <w:t>:</w:t>
            </w:r>
          </w:p>
        </w:tc>
        <w:tc>
          <w:tcPr>
            <w:tcW w:w="5670" w:type="dxa"/>
            <w:vAlign w:val="center"/>
          </w:tcPr>
          <w:p w14:paraId="48257424" w14:textId="59F9BEDD" w:rsidR="00F621C3" w:rsidRPr="00C54196" w:rsidRDefault="00BE1FB2" w:rsidP="00CA64B5">
            <w:pPr>
              <w:rPr>
                <w:rFonts w:asciiTheme="majorHAnsi" w:hAnsiTheme="majorHAnsi"/>
                <w:bCs/>
                <w:sz w:val="20"/>
                <w:szCs w:val="20"/>
              </w:rPr>
            </w:pPr>
            <w:r w:rsidRPr="00C54196">
              <w:rPr>
                <w:rFonts w:asciiTheme="majorHAnsi" w:hAnsiTheme="majorHAnsi"/>
                <w:bCs/>
                <w:sz w:val="20"/>
                <w:szCs w:val="20"/>
              </w:rPr>
              <w:t>Yes</w:t>
            </w:r>
          </w:p>
        </w:tc>
      </w:tr>
      <w:tr w:rsidR="00F621C3" w:rsidRPr="00C54196"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C54196" w:rsidRDefault="00F621C3" w:rsidP="00CA64B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Competence</w:t>
            </w:r>
            <w:r w:rsidRPr="00C54196">
              <w:rPr>
                <w:rFonts w:ascii="Cambria" w:hAnsi="Cambria"/>
                <w:b/>
                <w:bCs/>
                <w:i/>
                <w:color w:val="FFFFFF" w:themeColor="background1"/>
                <w:sz w:val="20"/>
                <w:szCs w:val="20"/>
              </w:rPr>
              <w:t xml:space="preserve"> </w:t>
            </w:r>
            <w:proofErr w:type="spellStart"/>
            <w:r w:rsidRPr="00C54196">
              <w:rPr>
                <w:rFonts w:ascii="Cambria" w:hAnsi="Cambria"/>
                <w:b/>
                <w:bCs/>
                <w:i/>
                <w:color w:val="FFFFFF" w:themeColor="background1"/>
                <w:sz w:val="20"/>
                <w:szCs w:val="20"/>
              </w:rPr>
              <w:t>Ratione</w:t>
            </w:r>
            <w:proofErr w:type="spellEnd"/>
            <w:r w:rsidRPr="00C54196">
              <w:rPr>
                <w:rFonts w:ascii="Cambria" w:hAnsi="Cambria"/>
                <w:b/>
                <w:bCs/>
                <w:i/>
                <w:color w:val="FFFFFF" w:themeColor="background1"/>
                <w:sz w:val="20"/>
                <w:szCs w:val="20"/>
              </w:rPr>
              <w:t xml:space="preserve"> </w:t>
            </w:r>
            <w:proofErr w:type="spellStart"/>
            <w:r w:rsidRPr="00C54196">
              <w:rPr>
                <w:rFonts w:ascii="Cambria" w:hAnsi="Cambria"/>
                <w:b/>
                <w:bCs/>
                <w:i/>
                <w:color w:val="FFFFFF" w:themeColor="background1"/>
                <w:sz w:val="20"/>
                <w:szCs w:val="20"/>
              </w:rPr>
              <w:t>temporis</w:t>
            </w:r>
            <w:proofErr w:type="spellEnd"/>
            <w:r w:rsidRPr="00C54196">
              <w:rPr>
                <w:rFonts w:ascii="Cambria" w:hAnsi="Cambria"/>
                <w:b/>
                <w:bCs/>
                <w:color w:val="FFFFFF" w:themeColor="background1"/>
                <w:sz w:val="20"/>
                <w:szCs w:val="20"/>
              </w:rPr>
              <w:t>:</w:t>
            </w:r>
          </w:p>
        </w:tc>
        <w:tc>
          <w:tcPr>
            <w:tcW w:w="5670" w:type="dxa"/>
            <w:vAlign w:val="center"/>
          </w:tcPr>
          <w:p w14:paraId="74B3F783" w14:textId="5D1C0D8F" w:rsidR="00F621C3" w:rsidRPr="00C54196" w:rsidRDefault="00BE1FB2" w:rsidP="00CA64B5">
            <w:pPr>
              <w:rPr>
                <w:rFonts w:asciiTheme="majorHAnsi" w:hAnsiTheme="majorHAnsi"/>
                <w:bCs/>
                <w:sz w:val="20"/>
                <w:szCs w:val="20"/>
              </w:rPr>
            </w:pPr>
            <w:r w:rsidRPr="00C54196">
              <w:rPr>
                <w:rFonts w:asciiTheme="majorHAnsi" w:hAnsiTheme="majorHAnsi"/>
                <w:bCs/>
                <w:sz w:val="20"/>
                <w:szCs w:val="20"/>
              </w:rPr>
              <w:t>Yes</w:t>
            </w:r>
          </w:p>
        </w:tc>
      </w:tr>
      <w:tr w:rsidR="00F621C3" w:rsidRPr="00C54196"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C54196" w:rsidRDefault="00F621C3" w:rsidP="00CA64B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Competence</w:t>
            </w:r>
            <w:r w:rsidRPr="00C54196">
              <w:rPr>
                <w:rFonts w:ascii="Cambria" w:hAnsi="Cambria"/>
                <w:b/>
                <w:bCs/>
                <w:i/>
                <w:color w:val="FFFFFF" w:themeColor="background1"/>
                <w:sz w:val="20"/>
                <w:szCs w:val="20"/>
              </w:rPr>
              <w:t xml:space="preserve"> </w:t>
            </w:r>
            <w:proofErr w:type="spellStart"/>
            <w:r w:rsidRPr="00C54196">
              <w:rPr>
                <w:rFonts w:ascii="Cambria" w:hAnsi="Cambria"/>
                <w:b/>
                <w:bCs/>
                <w:i/>
                <w:color w:val="FFFFFF" w:themeColor="background1"/>
                <w:sz w:val="20"/>
                <w:szCs w:val="20"/>
              </w:rPr>
              <w:t>Ratione</w:t>
            </w:r>
            <w:proofErr w:type="spellEnd"/>
            <w:r w:rsidRPr="00C54196">
              <w:rPr>
                <w:rFonts w:ascii="Cambria" w:hAnsi="Cambria"/>
                <w:b/>
                <w:bCs/>
                <w:i/>
                <w:color w:val="FFFFFF" w:themeColor="background1"/>
                <w:sz w:val="20"/>
                <w:szCs w:val="20"/>
              </w:rPr>
              <w:t xml:space="preserve"> </w:t>
            </w:r>
            <w:proofErr w:type="spellStart"/>
            <w:r w:rsidRPr="00C54196">
              <w:rPr>
                <w:rFonts w:ascii="Cambria" w:hAnsi="Cambria"/>
                <w:b/>
                <w:bCs/>
                <w:i/>
                <w:color w:val="FFFFFF" w:themeColor="background1"/>
                <w:sz w:val="20"/>
                <w:szCs w:val="20"/>
              </w:rPr>
              <w:t>materiae</w:t>
            </w:r>
            <w:proofErr w:type="spellEnd"/>
            <w:r w:rsidRPr="00C54196">
              <w:rPr>
                <w:rFonts w:ascii="Cambria" w:hAnsi="Cambria"/>
                <w:b/>
                <w:bCs/>
                <w:color w:val="FFFFFF" w:themeColor="background1"/>
                <w:sz w:val="20"/>
                <w:szCs w:val="20"/>
              </w:rPr>
              <w:t>:</w:t>
            </w:r>
          </w:p>
        </w:tc>
        <w:tc>
          <w:tcPr>
            <w:tcW w:w="5670" w:type="dxa"/>
            <w:vAlign w:val="center"/>
          </w:tcPr>
          <w:p w14:paraId="64B3F199" w14:textId="7C461B45" w:rsidR="00F621C3" w:rsidRPr="00C54196" w:rsidRDefault="00BE1FB2" w:rsidP="00387874">
            <w:pPr>
              <w:jc w:val="both"/>
              <w:rPr>
                <w:rFonts w:asciiTheme="majorHAnsi" w:hAnsiTheme="majorHAnsi"/>
                <w:bCs/>
                <w:sz w:val="20"/>
                <w:szCs w:val="20"/>
              </w:rPr>
            </w:pPr>
            <w:r w:rsidRPr="00C54196">
              <w:rPr>
                <w:rFonts w:ascii="Cambria" w:hAnsi="Cambria"/>
                <w:bCs/>
                <w:sz w:val="20"/>
                <w:szCs w:val="20"/>
              </w:rPr>
              <w:t xml:space="preserve">Yes, </w:t>
            </w:r>
            <w:r w:rsidR="00387874" w:rsidRPr="00C54196">
              <w:rPr>
                <w:rFonts w:ascii="Cambria" w:hAnsi="Cambria"/>
                <w:bCs/>
                <w:sz w:val="20"/>
                <w:szCs w:val="20"/>
              </w:rPr>
              <w:t>American Convention</w:t>
            </w:r>
            <w:r w:rsidRPr="00C54196">
              <w:rPr>
                <w:rFonts w:ascii="Cambria" w:hAnsi="Cambria"/>
                <w:bCs/>
                <w:sz w:val="20"/>
                <w:szCs w:val="20"/>
              </w:rPr>
              <w:t xml:space="preserve"> (dep</w:t>
            </w:r>
            <w:r w:rsidR="00387874" w:rsidRPr="00C54196">
              <w:rPr>
                <w:rFonts w:ascii="Cambria" w:hAnsi="Cambria"/>
                <w:bCs/>
                <w:sz w:val="20"/>
                <w:szCs w:val="20"/>
              </w:rPr>
              <w:t>o</w:t>
            </w:r>
            <w:r w:rsidRPr="00C54196">
              <w:rPr>
                <w:rFonts w:ascii="Cambria" w:hAnsi="Cambria"/>
                <w:bCs/>
                <w:sz w:val="20"/>
                <w:szCs w:val="20"/>
              </w:rPr>
              <w:t xml:space="preserve">sit </w:t>
            </w:r>
            <w:r w:rsidR="00387874" w:rsidRPr="00C54196">
              <w:rPr>
                <w:rFonts w:ascii="Cambria" w:hAnsi="Cambria"/>
                <w:bCs/>
                <w:sz w:val="20"/>
                <w:szCs w:val="20"/>
              </w:rPr>
              <w:t>of the instrument</w:t>
            </w:r>
            <w:r w:rsidRPr="00C54196">
              <w:rPr>
                <w:rFonts w:ascii="Cambria" w:hAnsi="Cambria"/>
                <w:bCs/>
                <w:sz w:val="20"/>
                <w:szCs w:val="20"/>
              </w:rPr>
              <w:t xml:space="preserve"> </w:t>
            </w:r>
            <w:r w:rsidR="00387874" w:rsidRPr="00C54196">
              <w:rPr>
                <w:rFonts w:ascii="Cambria" w:hAnsi="Cambria"/>
                <w:bCs/>
                <w:sz w:val="20"/>
                <w:szCs w:val="20"/>
              </w:rPr>
              <w:t xml:space="preserve">done on July 31 </w:t>
            </w:r>
            <w:r w:rsidRPr="00C54196">
              <w:rPr>
                <w:rFonts w:ascii="Cambria" w:hAnsi="Cambria"/>
                <w:bCs/>
                <w:sz w:val="20"/>
                <w:szCs w:val="20"/>
              </w:rPr>
              <w:t>1973)</w:t>
            </w:r>
          </w:p>
        </w:tc>
      </w:tr>
    </w:tbl>
    <w:p w14:paraId="0408D4CD" w14:textId="54A61356" w:rsidR="00F621C3" w:rsidRPr="00C54196" w:rsidRDefault="00F621C3" w:rsidP="00F621C3">
      <w:pPr>
        <w:spacing w:before="240" w:after="240"/>
        <w:ind w:firstLine="720"/>
        <w:jc w:val="both"/>
        <w:rPr>
          <w:rFonts w:asciiTheme="majorHAnsi" w:hAnsiTheme="majorHAnsi"/>
          <w:b/>
          <w:bCs/>
          <w:sz w:val="20"/>
          <w:szCs w:val="20"/>
        </w:rPr>
      </w:pPr>
      <w:r w:rsidRPr="00C54196">
        <w:rPr>
          <w:rFonts w:asciiTheme="majorHAnsi" w:hAnsiTheme="majorHAnsi"/>
          <w:b/>
          <w:bCs/>
          <w:sz w:val="20"/>
          <w:szCs w:val="20"/>
        </w:rPr>
        <w:t xml:space="preserve">IV. </w:t>
      </w:r>
      <w:r w:rsidRPr="00C54196">
        <w:rPr>
          <w:rFonts w:asciiTheme="majorHAnsi" w:hAnsiTheme="majorHAnsi"/>
          <w:b/>
          <w:bCs/>
          <w:sz w:val="20"/>
          <w:szCs w:val="20"/>
        </w:rPr>
        <w:tab/>
        <w:t xml:space="preserve">DUPLICATION OF PROCEDURES AND INTERNATIONAL </w:t>
      </w:r>
      <w:r w:rsidRPr="00C54196">
        <w:rPr>
          <w:rFonts w:asciiTheme="majorHAnsi" w:hAnsiTheme="majorHAnsi"/>
          <w:b/>
          <w:bCs/>
          <w:i/>
          <w:sz w:val="20"/>
          <w:szCs w:val="20"/>
        </w:rPr>
        <w:t>RES JUDICATA</w:t>
      </w:r>
      <w:r w:rsidRPr="00C54196">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C54196"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C54196" w:rsidRDefault="00F621C3" w:rsidP="00CA64B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 xml:space="preserve">Duplication of procedures and International </w:t>
            </w:r>
            <w:r w:rsidRPr="00C54196">
              <w:rPr>
                <w:rFonts w:ascii="Cambria" w:hAnsi="Cambria"/>
                <w:b/>
                <w:bCs/>
                <w:i/>
                <w:color w:val="FFFFFF" w:themeColor="background1"/>
                <w:sz w:val="20"/>
                <w:szCs w:val="20"/>
              </w:rPr>
              <w:t>res judicata</w:t>
            </w:r>
            <w:r w:rsidRPr="00C54196">
              <w:rPr>
                <w:rFonts w:ascii="Cambria" w:hAnsi="Cambria"/>
                <w:b/>
                <w:bCs/>
                <w:color w:val="FFFFFF" w:themeColor="background1"/>
                <w:sz w:val="20"/>
                <w:szCs w:val="20"/>
              </w:rPr>
              <w:t>:</w:t>
            </w:r>
          </w:p>
        </w:tc>
        <w:tc>
          <w:tcPr>
            <w:tcW w:w="5670" w:type="dxa"/>
            <w:vAlign w:val="center"/>
          </w:tcPr>
          <w:p w14:paraId="4773CD23" w14:textId="6F1BD8C9" w:rsidR="00F621C3" w:rsidRPr="00C54196" w:rsidRDefault="004759DD" w:rsidP="00CA64B5">
            <w:pPr>
              <w:jc w:val="both"/>
              <w:rPr>
                <w:rFonts w:ascii="Cambria" w:hAnsi="Cambria"/>
                <w:bCs/>
                <w:sz w:val="20"/>
                <w:szCs w:val="20"/>
              </w:rPr>
            </w:pPr>
            <w:r w:rsidRPr="00C54196">
              <w:rPr>
                <w:rFonts w:ascii="Cambria" w:hAnsi="Cambria"/>
                <w:bCs/>
                <w:sz w:val="20"/>
                <w:szCs w:val="20"/>
              </w:rPr>
              <w:t>No</w:t>
            </w:r>
          </w:p>
        </w:tc>
      </w:tr>
      <w:tr w:rsidR="00F621C3" w:rsidRPr="00C54196"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C54196" w:rsidRDefault="00F621C3" w:rsidP="00CA64B5">
            <w:pPr>
              <w:jc w:val="center"/>
              <w:rPr>
                <w:rFonts w:ascii="Cambria" w:hAnsi="Cambria"/>
                <w:b/>
                <w:bCs/>
                <w:i/>
                <w:color w:val="FFFFFF" w:themeColor="background1"/>
                <w:sz w:val="20"/>
                <w:szCs w:val="20"/>
              </w:rPr>
            </w:pPr>
            <w:r w:rsidRPr="00C54196">
              <w:rPr>
                <w:rFonts w:ascii="Cambria" w:hAnsi="Cambria"/>
                <w:b/>
                <w:bCs/>
                <w:color w:val="FFFFFF" w:themeColor="background1"/>
                <w:sz w:val="20"/>
                <w:szCs w:val="20"/>
              </w:rPr>
              <w:t>Rights declared admissible</w:t>
            </w:r>
          </w:p>
        </w:tc>
        <w:tc>
          <w:tcPr>
            <w:tcW w:w="5670" w:type="dxa"/>
            <w:vAlign w:val="center"/>
          </w:tcPr>
          <w:p w14:paraId="33BE4040" w14:textId="353CC31E" w:rsidR="00F621C3" w:rsidRPr="00C54196" w:rsidRDefault="004759DD" w:rsidP="00387874">
            <w:pPr>
              <w:jc w:val="both"/>
              <w:rPr>
                <w:rFonts w:ascii="Cambria" w:hAnsi="Cambria"/>
                <w:bCs/>
                <w:sz w:val="20"/>
                <w:szCs w:val="20"/>
              </w:rPr>
            </w:pPr>
            <w:r w:rsidRPr="00C54196">
              <w:rPr>
                <w:rFonts w:ascii="Cambria" w:hAnsi="Cambria"/>
                <w:bCs/>
                <w:sz w:val="20"/>
                <w:szCs w:val="20"/>
              </w:rPr>
              <w:t>4 (</w:t>
            </w:r>
            <w:r w:rsidR="00387874" w:rsidRPr="00C54196">
              <w:rPr>
                <w:rFonts w:ascii="Cambria" w:hAnsi="Cambria"/>
                <w:bCs/>
                <w:sz w:val="20"/>
                <w:szCs w:val="20"/>
              </w:rPr>
              <w:t>life</w:t>
            </w:r>
            <w:r w:rsidRPr="00C54196">
              <w:rPr>
                <w:rFonts w:ascii="Cambria" w:hAnsi="Cambria"/>
                <w:bCs/>
                <w:sz w:val="20"/>
                <w:szCs w:val="20"/>
              </w:rPr>
              <w:t>), 5 (integri</w:t>
            </w:r>
            <w:r w:rsidR="00387874" w:rsidRPr="00C54196">
              <w:rPr>
                <w:rFonts w:ascii="Cambria" w:hAnsi="Cambria"/>
                <w:bCs/>
                <w:sz w:val="20"/>
                <w:szCs w:val="20"/>
              </w:rPr>
              <w:t>ty</w:t>
            </w:r>
            <w:r w:rsidRPr="00C54196">
              <w:rPr>
                <w:rFonts w:ascii="Cambria" w:hAnsi="Cambria"/>
                <w:bCs/>
                <w:sz w:val="20"/>
                <w:szCs w:val="20"/>
              </w:rPr>
              <w:t>), 8 (</w:t>
            </w:r>
            <w:r w:rsidR="00387874" w:rsidRPr="00C54196">
              <w:rPr>
                <w:rFonts w:ascii="Cambria" w:hAnsi="Cambria"/>
                <w:bCs/>
                <w:sz w:val="20"/>
                <w:szCs w:val="20"/>
              </w:rPr>
              <w:t xml:space="preserve">judicial </w:t>
            </w:r>
            <w:r w:rsidR="00445A12" w:rsidRPr="00C54196">
              <w:rPr>
                <w:rFonts w:ascii="Cambria" w:hAnsi="Cambria"/>
                <w:bCs/>
                <w:sz w:val="20"/>
                <w:szCs w:val="20"/>
              </w:rPr>
              <w:t>gua</w:t>
            </w:r>
            <w:r w:rsidR="00387874" w:rsidRPr="00C54196">
              <w:rPr>
                <w:rFonts w:ascii="Cambria" w:hAnsi="Cambria"/>
                <w:bCs/>
                <w:sz w:val="20"/>
                <w:szCs w:val="20"/>
              </w:rPr>
              <w:t>ranties</w:t>
            </w:r>
            <w:r w:rsidRPr="00C54196">
              <w:rPr>
                <w:rFonts w:ascii="Cambria" w:hAnsi="Cambria"/>
                <w:bCs/>
                <w:sz w:val="20"/>
                <w:szCs w:val="20"/>
              </w:rPr>
              <w:t>), 24 (</w:t>
            </w:r>
            <w:r w:rsidR="00387874" w:rsidRPr="00C54196">
              <w:rPr>
                <w:rFonts w:ascii="Cambria" w:hAnsi="Cambria"/>
                <w:bCs/>
                <w:sz w:val="20"/>
                <w:szCs w:val="20"/>
              </w:rPr>
              <w:t>equality before the law</w:t>
            </w:r>
            <w:r w:rsidRPr="00C54196">
              <w:rPr>
                <w:rFonts w:ascii="Cambria" w:hAnsi="Cambria"/>
                <w:bCs/>
                <w:sz w:val="20"/>
                <w:szCs w:val="20"/>
              </w:rPr>
              <w:t xml:space="preserve">) </w:t>
            </w:r>
            <w:r w:rsidR="00387874" w:rsidRPr="00C54196">
              <w:rPr>
                <w:rFonts w:ascii="Cambria" w:hAnsi="Cambria"/>
                <w:bCs/>
                <w:sz w:val="20"/>
                <w:szCs w:val="20"/>
              </w:rPr>
              <w:t>and</w:t>
            </w:r>
            <w:r w:rsidRPr="00C54196">
              <w:rPr>
                <w:rFonts w:ascii="Cambria" w:hAnsi="Cambria"/>
                <w:bCs/>
                <w:sz w:val="20"/>
                <w:szCs w:val="20"/>
              </w:rPr>
              <w:t xml:space="preserve"> 25 (judicial</w:t>
            </w:r>
            <w:r w:rsidR="00387874" w:rsidRPr="00C54196">
              <w:rPr>
                <w:rFonts w:ascii="Cambria" w:hAnsi="Cambria"/>
                <w:bCs/>
                <w:sz w:val="20"/>
                <w:szCs w:val="20"/>
              </w:rPr>
              <w:t xml:space="preserve"> protection</w:t>
            </w:r>
            <w:r w:rsidRPr="00C54196">
              <w:rPr>
                <w:rFonts w:ascii="Cambria" w:hAnsi="Cambria"/>
                <w:bCs/>
                <w:sz w:val="20"/>
                <w:szCs w:val="20"/>
              </w:rPr>
              <w:t xml:space="preserve">) </w:t>
            </w:r>
            <w:r w:rsidR="00387874" w:rsidRPr="00C54196">
              <w:rPr>
                <w:rFonts w:ascii="Cambria" w:hAnsi="Cambria"/>
                <w:bCs/>
                <w:sz w:val="20"/>
                <w:szCs w:val="20"/>
              </w:rPr>
              <w:t>of the</w:t>
            </w:r>
            <w:r w:rsidRPr="00C54196">
              <w:rPr>
                <w:rFonts w:ascii="Cambria" w:hAnsi="Cambria"/>
                <w:bCs/>
                <w:sz w:val="20"/>
                <w:szCs w:val="20"/>
              </w:rPr>
              <w:t xml:space="preserve"> </w:t>
            </w:r>
            <w:r w:rsidR="00387874" w:rsidRPr="00C54196">
              <w:rPr>
                <w:rFonts w:ascii="Cambria" w:hAnsi="Cambria"/>
                <w:bCs/>
                <w:sz w:val="20"/>
                <w:szCs w:val="20"/>
              </w:rPr>
              <w:t>American Convention</w:t>
            </w:r>
            <w:r w:rsidRPr="00C54196">
              <w:rPr>
                <w:rFonts w:ascii="Cambria" w:hAnsi="Cambria"/>
                <w:bCs/>
                <w:sz w:val="20"/>
                <w:szCs w:val="20"/>
              </w:rPr>
              <w:t xml:space="preserve"> </w:t>
            </w:r>
            <w:r w:rsidR="00387874" w:rsidRPr="00C54196">
              <w:rPr>
                <w:rFonts w:ascii="Cambria" w:hAnsi="Cambria"/>
                <w:bCs/>
                <w:sz w:val="20"/>
                <w:szCs w:val="20"/>
              </w:rPr>
              <w:t>in accordance to article</w:t>
            </w:r>
            <w:r w:rsidRPr="00C54196">
              <w:rPr>
                <w:rFonts w:ascii="Cambria" w:hAnsi="Cambria"/>
                <w:bCs/>
                <w:sz w:val="20"/>
                <w:szCs w:val="20"/>
              </w:rPr>
              <w:t xml:space="preserve"> 1 (</w:t>
            </w:r>
            <w:r w:rsidR="00387874" w:rsidRPr="00C54196">
              <w:rPr>
                <w:rFonts w:ascii="Cambria" w:hAnsi="Cambria"/>
                <w:bCs/>
                <w:sz w:val="20"/>
                <w:szCs w:val="20"/>
              </w:rPr>
              <w:t>obligation</w:t>
            </w:r>
            <w:r w:rsidRPr="00C54196">
              <w:rPr>
                <w:rFonts w:ascii="Cambria" w:hAnsi="Cambria"/>
                <w:bCs/>
                <w:sz w:val="20"/>
                <w:szCs w:val="20"/>
              </w:rPr>
              <w:t xml:space="preserve"> </w:t>
            </w:r>
            <w:r w:rsidR="00387874" w:rsidRPr="00C54196">
              <w:rPr>
                <w:rFonts w:ascii="Cambria" w:hAnsi="Cambria"/>
                <w:bCs/>
                <w:sz w:val="20"/>
                <w:szCs w:val="20"/>
              </w:rPr>
              <w:t>to respect</w:t>
            </w:r>
            <w:r w:rsidRPr="00C54196">
              <w:rPr>
                <w:rFonts w:ascii="Cambria" w:hAnsi="Cambria"/>
                <w:bCs/>
                <w:sz w:val="20"/>
                <w:szCs w:val="20"/>
              </w:rPr>
              <w:t xml:space="preserve"> </w:t>
            </w:r>
            <w:r w:rsidR="00387874" w:rsidRPr="00C54196">
              <w:rPr>
                <w:rFonts w:ascii="Cambria" w:hAnsi="Cambria"/>
                <w:bCs/>
                <w:sz w:val="20"/>
                <w:szCs w:val="20"/>
              </w:rPr>
              <w:t>rights of the same</w:t>
            </w:r>
            <w:r w:rsidRPr="00C54196">
              <w:rPr>
                <w:rFonts w:ascii="Cambria" w:hAnsi="Cambria"/>
                <w:bCs/>
                <w:sz w:val="20"/>
                <w:szCs w:val="20"/>
              </w:rPr>
              <w:t xml:space="preserve"> instrument</w:t>
            </w:r>
          </w:p>
        </w:tc>
      </w:tr>
      <w:tr w:rsidR="00F621C3" w:rsidRPr="00C54196"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C54196" w:rsidRDefault="00F621C3" w:rsidP="00CA64B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C54196" w:rsidRDefault="00F621C3" w:rsidP="00CA64B5">
            <w:pPr>
              <w:rPr>
                <w:rFonts w:ascii="Cambria" w:hAnsi="Cambria"/>
                <w:bCs/>
                <w:sz w:val="20"/>
                <w:szCs w:val="20"/>
              </w:rPr>
            </w:pPr>
          </w:p>
          <w:p w14:paraId="432DC56B" w14:textId="10BEDC36" w:rsidR="00F621C3" w:rsidRPr="00C54196" w:rsidRDefault="00387874" w:rsidP="00387874">
            <w:pPr>
              <w:rPr>
                <w:rFonts w:ascii="Cambria" w:hAnsi="Cambria"/>
                <w:bCs/>
                <w:sz w:val="20"/>
                <w:szCs w:val="20"/>
              </w:rPr>
            </w:pPr>
            <w:r w:rsidRPr="00C54196">
              <w:rPr>
                <w:rFonts w:ascii="Cambria" w:hAnsi="Cambria"/>
                <w:bCs/>
                <w:sz w:val="20"/>
                <w:szCs w:val="20"/>
              </w:rPr>
              <w:t>Yes</w:t>
            </w:r>
            <w:r w:rsidR="004759DD" w:rsidRPr="00C54196">
              <w:rPr>
                <w:rFonts w:ascii="Cambria" w:hAnsi="Cambria"/>
                <w:bCs/>
                <w:sz w:val="20"/>
                <w:szCs w:val="20"/>
              </w:rPr>
              <w:t xml:space="preserve">, </w:t>
            </w:r>
            <w:r w:rsidRPr="00C54196">
              <w:rPr>
                <w:rFonts w:ascii="Cambria" w:hAnsi="Cambria"/>
                <w:bCs/>
                <w:sz w:val="20"/>
                <w:szCs w:val="20"/>
              </w:rPr>
              <w:t>in the terms of section</w:t>
            </w:r>
            <w:r w:rsidR="004759DD" w:rsidRPr="00C54196">
              <w:rPr>
                <w:rFonts w:ascii="Cambria" w:hAnsi="Cambria"/>
                <w:bCs/>
                <w:sz w:val="20"/>
                <w:szCs w:val="20"/>
              </w:rPr>
              <w:t xml:space="preserve"> IV</w:t>
            </w:r>
          </w:p>
        </w:tc>
      </w:tr>
      <w:tr w:rsidR="00F621C3" w:rsidRPr="00C54196"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C54196" w:rsidRDefault="00F621C3" w:rsidP="00CA64B5">
            <w:pPr>
              <w:jc w:val="center"/>
              <w:rPr>
                <w:rFonts w:ascii="Cambria" w:hAnsi="Cambria"/>
                <w:b/>
                <w:bCs/>
                <w:color w:val="FFFFFF" w:themeColor="background1"/>
                <w:sz w:val="20"/>
                <w:szCs w:val="20"/>
              </w:rPr>
            </w:pPr>
            <w:r w:rsidRPr="00C54196">
              <w:rPr>
                <w:rFonts w:ascii="Cambria" w:hAnsi="Cambria"/>
                <w:b/>
                <w:bCs/>
                <w:color w:val="FFFFFF" w:themeColor="background1"/>
                <w:sz w:val="20"/>
                <w:szCs w:val="20"/>
              </w:rPr>
              <w:t>Timeliness of the petition:</w:t>
            </w:r>
          </w:p>
        </w:tc>
        <w:tc>
          <w:tcPr>
            <w:tcW w:w="5670" w:type="dxa"/>
            <w:vAlign w:val="center"/>
          </w:tcPr>
          <w:p w14:paraId="6A26CCE9" w14:textId="3BEFA265" w:rsidR="00F621C3" w:rsidRPr="00C54196" w:rsidRDefault="00387874" w:rsidP="00CA64B5">
            <w:pPr>
              <w:rPr>
                <w:rFonts w:asciiTheme="majorHAnsi" w:hAnsiTheme="majorHAnsi"/>
                <w:bCs/>
                <w:sz w:val="20"/>
                <w:szCs w:val="20"/>
              </w:rPr>
            </w:pPr>
            <w:r w:rsidRPr="00C54196">
              <w:rPr>
                <w:rFonts w:ascii="Cambria" w:hAnsi="Cambria"/>
                <w:bCs/>
                <w:sz w:val="20"/>
                <w:szCs w:val="20"/>
              </w:rPr>
              <w:t>Yes, in the terms of section IV</w:t>
            </w:r>
          </w:p>
        </w:tc>
      </w:tr>
    </w:tbl>
    <w:p w14:paraId="030F3F08" w14:textId="77777777" w:rsidR="00210F4B" w:rsidRPr="00C54196" w:rsidRDefault="00210F4B" w:rsidP="00F621C3">
      <w:pPr>
        <w:spacing w:before="240" w:after="240"/>
        <w:ind w:firstLine="720"/>
        <w:jc w:val="both"/>
        <w:rPr>
          <w:rFonts w:asciiTheme="majorHAnsi" w:hAnsiTheme="majorHAnsi"/>
          <w:b/>
          <w:sz w:val="20"/>
          <w:szCs w:val="20"/>
        </w:rPr>
      </w:pPr>
    </w:p>
    <w:p w14:paraId="54172C4F" w14:textId="77777777" w:rsidR="00B06BB7" w:rsidRPr="00C54196" w:rsidRDefault="00B06BB7">
      <w:pPr>
        <w:rPr>
          <w:rFonts w:asciiTheme="majorHAnsi" w:hAnsiTheme="majorHAnsi"/>
          <w:b/>
          <w:sz w:val="20"/>
          <w:szCs w:val="20"/>
        </w:rPr>
      </w:pPr>
      <w:r w:rsidRPr="00C54196">
        <w:rPr>
          <w:rFonts w:asciiTheme="majorHAnsi" w:hAnsiTheme="majorHAnsi"/>
          <w:b/>
          <w:sz w:val="20"/>
          <w:szCs w:val="20"/>
        </w:rPr>
        <w:br w:type="page"/>
      </w:r>
    </w:p>
    <w:p w14:paraId="629E2DE8" w14:textId="62D32F02" w:rsidR="00F621C3" w:rsidRPr="00C54196" w:rsidRDefault="00F621C3" w:rsidP="00F621C3">
      <w:pPr>
        <w:spacing w:before="240" w:after="240"/>
        <w:ind w:firstLine="720"/>
        <w:jc w:val="both"/>
        <w:rPr>
          <w:rFonts w:asciiTheme="majorHAnsi" w:hAnsiTheme="majorHAnsi"/>
          <w:b/>
          <w:sz w:val="20"/>
          <w:szCs w:val="20"/>
        </w:rPr>
      </w:pPr>
      <w:r w:rsidRPr="00C54196">
        <w:rPr>
          <w:rFonts w:asciiTheme="majorHAnsi" w:hAnsiTheme="majorHAnsi"/>
          <w:b/>
          <w:sz w:val="20"/>
          <w:szCs w:val="20"/>
        </w:rPr>
        <w:lastRenderedPageBreak/>
        <w:t xml:space="preserve">V. </w:t>
      </w:r>
      <w:r w:rsidRPr="00C54196">
        <w:rPr>
          <w:rFonts w:asciiTheme="majorHAnsi" w:hAnsiTheme="majorHAnsi"/>
          <w:b/>
          <w:sz w:val="20"/>
          <w:szCs w:val="20"/>
        </w:rPr>
        <w:tab/>
        <w:t xml:space="preserve">FACTS </w:t>
      </w:r>
      <w:r w:rsidR="005816E5" w:rsidRPr="00C54196">
        <w:rPr>
          <w:rFonts w:asciiTheme="majorHAnsi" w:hAnsiTheme="majorHAnsi"/>
          <w:b/>
          <w:sz w:val="20"/>
          <w:szCs w:val="20"/>
        </w:rPr>
        <w:t>ALLEGED</w:t>
      </w:r>
    </w:p>
    <w:p w14:paraId="07E13FF0" w14:textId="67C52E40" w:rsidR="00DE27F4" w:rsidRPr="00C54196" w:rsidRDefault="006318B2"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 xml:space="preserve"> </w:t>
      </w:r>
      <w:r w:rsidR="00746E6F" w:rsidRPr="00C54196">
        <w:rPr>
          <w:rFonts w:ascii="Cambria" w:hAnsi="Cambria"/>
          <w:sz w:val="20"/>
          <w:szCs w:val="20"/>
        </w:rPr>
        <w:t xml:space="preserve">The petitionary claims lack of remedies for </w:t>
      </w:r>
      <w:r w:rsidR="00DE27F4" w:rsidRPr="00C54196">
        <w:rPr>
          <w:rFonts w:ascii="Cambria" w:hAnsi="Cambria"/>
          <w:sz w:val="20"/>
          <w:szCs w:val="20"/>
        </w:rPr>
        <w:t xml:space="preserve">María Regina </w:t>
      </w:r>
      <w:proofErr w:type="spellStart"/>
      <w:r w:rsidR="00DE27F4" w:rsidRPr="00C54196">
        <w:rPr>
          <w:rFonts w:ascii="Cambria" w:hAnsi="Cambria"/>
          <w:sz w:val="20"/>
          <w:szCs w:val="20"/>
        </w:rPr>
        <w:t>Ocampo</w:t>
      </w:r>
      <w:proofErr w:type="spellEnd"/>
      <w:r w:rsidR="00DE27F4" w:rsidRPr="00C54196">
        <w:rPr>
          <w:rFonts w:ascii="Cambria" w:hAnsi="Cambria"/>
          <w:sz w:val="20"/>
          <w:szCs w:val="20"/>
        </w:rPr>
        <w:t xml:space="preserve"> </w:t>
      </w:r>
      <w:proofErr w:type="spellStart"/>
      <w:r w:rsidR="00DE27F4" w:rsidRPr="00C54196">
        <w:rPr>
          <w:rFonts w:ascii="Cambria" w:hAnsi="Cambria"/>
          <w:sz w:val="20"/>
          <w:szCs w:val="20"/>
        </w:rPr>
        <w:t>Loaiza</w:t>
      </w:r>
      <w:proofErr w:type="spellEnd"/>
      <w:r w:rsidR="00DE27F4" w:rsidRPr="00C54196">
        <w:rPr>
          <w:rFonts w:ascii="Cambria" w:hAnsi="Cambria"/>
          <w:sz w:val="20"/>
          <w:szCs w:val="20"/>
        </w:rPr>
        <w:t xml:space="preserve"> </w:t>
      </w:r>
      <w:r w:rsidR="00746E6F" w:rsidRPr="00C54196">
        <w:rPr>
          <w:rFonts w:ascii="Cambria" w:hAnsi="Cambria"/>
          <w:sz w:val="20"/>
          <w:szCs w:val="20"/>
        </w:rPr>
        <w:t xml:space="preserve">and other relatives of </w:t>
      </w:r>
      <w:r w:rsidR="00DE27F4" w:rsidRPr="00C54196">
        <w:rPr>
          <w:rFonts w:ascii="Cambria" w:hAnsi="Cambria"/>
          <w:sz w:val="20"/>
          <w:szCs w:val="20"/>
        </w:rPr>
        <w:t xml:space="preserve">Martín Emilio </w:t>
      </w:r>
      <w:r w:rsidR="00746E6F" w:rsidRPr="00C54196">
        <w:rPr>
          <w:rFonts w:ascii="Cambria" w:hAnsi="Cambria"/>
          <w:sz w:val="20"/>
          <w:szCs w:val="20"/>
        </w:rPr>
        <w:t>and</w:t>
      </w:r>
      <w:r w:rsidR="00DE27F4" w:rsidRPr="00C54196">
        <w:rPr>
          <w:rFonts w:ascii="Cambria" w:hAnsi="Cambria"/>
          <w:sz w:val="20"/>
          <w:szCs w:val="20"/>
        </w:rPr>
        <w:t xml:space="preserve"> Héctor Gabriel Zapata Álvarez (</w:t>
      </w:r>
      <w:r w:rsidR="00746E6F" w:rsidRPr="00C54196">
        <w:rPr>
          <w:rFonts w:ascii="Cambria" w:hAnsi="Cambria"/>
          <w:sz w:val="20"/>
          <w:szCs w:val="20"/>
        </w:rPr>
        <w:t>hereinafter</w:t>
      </w:r>
      <w:r w:rsidR="00DE27F4" w:rsidRPr="00C54196">
        <w:rPr>
          <w:rFonts w:ascii="Cambria" w:hAnsi="Cambria"/>
          <w:sz w:val="20"/>
          <w:szCs w:val="20"/>
        </w:rPr>
        <w:t xml:space="preserve"> “</w:t>
      </w:r>
      <w:r w:rsidR="00746E6F" w:rsidRPr="00C54196">
        <w:rPr>
          <w:rFonts w:ascii="Cambria" w:hAnsi="Cambria"/>
          <w:sz w:val="20"/>
          <w:szCs w:val="20"/>
        </w:rPr>
        <w:t>the</w:t>
      </w:r>
      <w:r w:rsidR="00DE27F4" w:rsidRPr="00C54196">
        <w:rPr>
          <w:rFonts w:ascii="Cambria" w:hAnsi="Cambria"/>
          <w:sz w:val="20"/>
          <w:szCs w:val="20"/>
        </w:rPr>
        <w:t xml:space="preserve"> Zapata Álvarez</w:t>
      </w:r>
      <w:r w:rsidR="00746E6F" w:rsidRPr="00C54196">
        <w:rPr>
          <w:rFonts w:ascii="Cambria" w:hAnsi="Cambria"/>
          <w:sz w:val="20"/>
          <w:szCs w:val="20"/>
        </w:rPr>
        <w:t xml:space="preserve"> brothers</w:t>
      </w:r>
      <w:r w:rsidR="00DE27F4" w:rsidRPr="00C54196">
        <w:rPr>
          <w:rFonts w:ascii="Cambria" w:hAnsi="Cambria"/>
          <w:sz w:val="20"/>
          <w:szCs w:val="20"/>
        </w:rPr>
        <w:t>”),</w:t>
      </w:r>
      <w:r w:rsidR="00DE27F4" w:rsidRPr="00C54196" w:rsidDel="007C2F5C">
        <w:rPr>
          <w:rFonts w:ascii="Cambria" w:hAnsi="Cambria"/>
          <w:sz w:val="20"/>
          <w:szCs w:val="20"/>
        </w:rPr>
        <w:t xml:space="preserve"> </w:t>
      </w:r>
      <w:r w:rsidR="00746E6F" w:rsidRPr="00C54196">
        <w:rPr>
          <w:rFonts w:ascii="Cambria" w:hAnsi="Cambria"/>
          <w:sz w:val="20"/>
          <w:szCs w:val="20"/>
        </w:rPr>
        <w:t>who were abducted from the Municipal Prison</w:t>
      </w:r>
      <w:r w:rsidR="005B2BB1">
        <w:rPr>
          <w:rFonts w:ascii="Cambria" w:hAnsi="Cambria"/>
          <w:sz w:val="20"/>
          <w:szCs w:val="20"/>
        </w:rPr>
        <w:t xml:space="preserve"> </w:t>
      </w:r>
      <w:r w:rsidR="00746E6F" w:rsidRPr="00C54196">
        <w:rPr>
          <w:rFonts w:ascii="Cambria" w:hAnsi="Cambria"/>
          <w:sz w:val="20"/>
          <w:szCs w:val="20"/>
        </w:rPr>
        <w:t>of</w:t>
      </w:r>
      <w:r w:rsidR="00DE27F4" w:rsidRPr="00C54196">
        <w:rPr>
          <w:rFonts w:ascii="Cambria" w:hAnsi="Cambria"/>
          <w:sz w:val="20"/>
          <w:szCs w:val="20"/>
        </w:rPr>
        <w:t xml:space="preserve"> Granada, </w:t>
      </w:r>
      <w:r w:rsidR="00746E6F" w:rsidRPr="00C54196">
        <w:rPr>
          <w:rFonts w:ascii="Cambria" w:hAnsi="Cambria"/>
          <w:sz w:val="20"/>
          <w:szCs w:val="20"/>
        </w:rPr>
        <w:t>where they were deprived from liberty</w:t>
      </w:r>
      <w:r w:rsidR="00DE27F4" w:rsidRPr="00C54196">
        <w:rPr>
          <w:rFonts w:ascii="Cambria" w:hAnsi="Cambria"/>
          <w:sz w:val="20"/>
          <w:szCs w:val="20"/>
        </w:rPr>
        <w:t xml:space="preserve">, </w:t>
      </w:r>
      <w:r w:rsidR="00746E6F" w:rsidRPr="00C54196">
        <w:rPr>
          <w:rFonts w:ascii="Cambria" w:hAnsi="Cambria"/>
          <w:sz w:val="20"/>
          <w:szCs w:val="20"/>
        </w:rPr>
        <w:t>by a group who operated beyond the law</w:t>
      </w:r>
      <w:r w:rsidR="00DE27F4" w:rsidRPr="00C54196">
        <w:rPr>
          <w:rFonts w:ascii="Cambria" w:hAnsi="Cambria"/>
          <w:sz w:val="20"/>
          <w:szCs w:val="20"/>
        </w:rPr>
        <w:t xml:space="preserve">; </w:t>
      </w:r>
      <w:r w:rsidR="00746E6F" w:rsidRPr="00C54196">
        <w:rPr>
          <w:rFonts w:ascii="Cambria" w:hAnsi="Cambria"/>
          <w:sz w:val="20"/>
          <w:szCs w:val="20"/>
        </w:rPr>
        <w:t>and were later found dead in the</w:t>
      </w:r>
      <w:r w:rsidR="00DE27F4" w:rsidRPr="00C54196">
        <w:rPr>
          <w:rFonts w:ascii="Cambria" w:hAnsi="Cambria"/>
          <w:sz w:val="20"/>
          <w:szCs w:val="20"/>
        </w:rPr>
        <w:t xml:space="preserve"> </w:t>
      </w:r>
      <w:r w:rsidR="00746E6F" w:rsidRPr="00C54196">
        <w:rPr>
          <w:rFonts w:ascii="Cambria" w:hAnsi="Cambria"/>
          <w:sz w:val="20"/>
          <w:szCs w:val="20"/>
        </w:rPr>
        <w:t>District of</w:t>
      </w:r>
      <w:r w:rsidR="00DE27F4" w:rsidRPr="00C54196">
        <w:rPr>
          <w:rFonts w:ascii="Cambria" w:hAnsi="Cambria"/>
          <w:sz w:val="20"/>
          <w:szCs w:val="20"/>
        </w:rPr>
        <w:t xml:space="preserve"> </w:t>
      </w:r>
      <w:proofErr w:type="spellStart"/>
      <w:r w:rsidR="00DE27F4" w:rsidRPr="00C54196">
        <w:rPr>
          <w:rFonts w:ascii="Cambria" w:hAnsi="Cambria"/>
          <w:sz w:val="20"/>
          <w:szCs w:val="20"/>
        </w:rPr>
        <w:t>Corconá</w:t>
      </w:r>
      <w:proofErr w:type="spellEnd"/>
      <w:r w:rsidR="00DE27F4" w:rsidRPr="00C54196">
        <w:rPr>
          <w:rFonts w:ascii="Cambria" w:hAnsi="Cambria"/>
          <w:sz w:val="20"/>
          <w:szCs w:val="20"/>
        </w:rPr>
        <w:t xml:space="preserve">. </w:t>
      </w:r>
      <w:r w:rsidR="008016FB" w:rsidRPr="00C54196">
        <w:rPr>
          <w:rFonts w:ascii="Cambria" w:hAnsi="Cambria"/>
          <w:sz w:val="20"/>
          <w:szCs w:val="20"/>
        </w:rPr>
        <w:t>The petitionary states that the</w:t>
      </w:r>
      <w:r w:rsidR="00DE27F4" w:rsidRPr="00C54196">
        <w:rPr>
          <w:rFonts w:ascii="Cambria" w:hAnsi="Cambria"/>
          <w:sz w:val="20"/>
          <w:szCs w:val="20"/>
        </w:rPr>
        <w:t xml:space="preserve"> </w:t>
      </w:r>
      <w:r w:rsidR="008016FB" w:rsidRPr="00C54196">
        <w:rPr>
          <w:rFonts w:ascii="Cambria" w:hAnsi="Cambria"/>
          <w:sz w:val="20"/>
          <w:szCs w:val="20"/>
        </w:rPr>
        <w:t>State of Colombia</w:t>
      </w:r>
      <w:r w:rsidR="00DE27F4" w:rsidRPr="00C54196">
        <w:rPr>
          <w:rFonts w:ascii="Cambria" w:hAnsi="Cambria"/>
          <w:sz w:val="20"/>
          <w:szCs w:val="20"/>
        </w:rPr>
        <w:t xml:space="preserve"> </w:t>
      </w:r>
      <w:r w:rsidR="008016FB" w:rsidRPr="00C54196">
        <w:rPr>
          <w:rFonts w:ascii="Cambria" w:hAnsi="Cambria"/>
          <w:sz w:val="20"/>
          <w:szCs w:val="20"/>
        </w:rPr>
        <w:t>granted neither enough nor effective measures</w:t>
      </w:r>
      <w:r w:rsidR="00DE27F4" w:rsidRPr="00C54196">
        <w:rPr>
          <w:rFonts w:ascii="Cambria" w:hAnsi="Cambria"/>
          <w:sz w:val="20"/>
          <w:szCs w:val="20"/>
        </w:rPr>
        <w:t xml:space="preserve"> </w:t>
      </w:r>
      <w:r w:rsidR="008016FB" w:rsidRPr="00C54196">
        <w:rPr>
          <w:rFonts w:ascii="Cambria" w:hAnsi="Cambria"/>
          <w:sz w:val="20"/>
          <w:szCs w:val="20"/>
        </w:rPr>
        <w:t>to protect the</w:t>
      </w:r>
      <w:r w:rsidR="00DE27F4" w:rsidRPr="00C54196">
        <w:rPr>
          <w:rFonts w:ascii="Cambria" w:hAnsi="Cambria"/>
          <w:sz w:val="20"/>
          <w:szCs w:val="20"/>
        </w:rPr>
        <w:t xml:space="preserve"> Zapata Álvarez</w:t>
      </w:r>
      <w:r w:rsidR="008016FB" w:rsidRPr="00C54196">
        <w:rPr>
          <w:rFonts w:ascii="Cambria" w:hAnsi="Cambria"/>
          <w:sz w:val="20"/>
          <w:szCs w:val="20"/>
        </w:rPr>
        <w:t xml:space="preserve"> brothers</w:t>
      </w:r>
      <w:r w:rsidR="00DE27F4" w:rsidRPr="00C54196">
        <w:rPr>
          <w:rFonts w:ascii="Cambria" w:hAnsi="Cambria"/>
          <w:sz w:val="20"/>
          <w:szCs w:val="20"/>
        </w:rPr>
        <w:t xml:space="preserve">. </w:t>
      </w:r>
      <w:r w:rsidR="008016FB" w:rsidRPr="00C54196">
        <w:rPr>
          <w:rFonts w:ascii="Cambria" w:hAnsi="Cambria"/>
          <w:sz w:val="20"/>
          <w:szCs w:val="20"/>
        </w:rPr>
        <w:t>Likewise</w:t>
      </w:r>
      <w:r w:rsidR="00DE27F4" w:rsidRPr="00C54196">
        <w:rPr>
          <w:rFonts w:ascii="Cambria" w:hAnsi="Cambria"/>
          <w:sz w:val="20"/>
          <w:szCs w:val="20"/>
        </w:rPr>
        <w:t xml:space="preserve">, </w:t>
      </w:r>
      <w:r w:rsidR="001F6ACE" w:rsidRPr="00C54196">
        <w:rPr>
          <w:rFonts w:ascii="Cambria" w:hAnsi="Cambria"/>
          <w:sz w:val="20"/>
          <w:szCs w:val="20"/>
        </w:rPr>
        <w:t>argues discriminatory treatment in the direct remedy action</w:t>
      </w:r>
      <w:r w:rsidR="00DE27F4" w:rsidRPr="00C54196">
        <w:rPr>
          <w:rFonts w:ascii="Cambria" w:hAnsi="Cambria"/>
          <w:sz w:val="20"/>
          <w:szCs w:val="20"/>
        </w:rPr>
        <w:t xml:space="preserve"> </w:t>
      </w:r>
      <w:r w:rsidR="001F6ACE" w:rsidRPr="00C54196">
        <w:rPr>
          <w:rFonts w:ascii="Cambria" w:hAnsi="Cambria"/>
          <w:sz w:val="20"/>
          <w:szCs w:val="20"/>
        </w:rPr>
        <w:t>since no indemnity for damages was acknowledged in favor of</w:t>
      </w:r>
      <w:r w:rsidR="00DE27F4" w:rsidRPr="00C54196">
        <w:rPr>
          <w:rFonts w:ascii="Cambria" w:hAnsi="Cambria"/>
          <w:sz w:val="20"/>
          <w:szCs w:val="20"/>
        </w:rPr>
        <w:t xml:space="preserve"> </w:t>
      </w:r>
      <w:r w:rsidR="001F6ACE" w:rsidRPr="00C54196">
        <w:rPr>
          <w:rFonts w:ascii="Cambria" w:hAnsi="Cambria"/>
          <w:sz w:val="20"/>
          <w:szCs w:val="20"/>
        </w:rPr>
        <w:t>the</w:t>
      </w:r>
      <w:r w:rsidR="00DE27F4" w:rsidRPr="00C54196">
        <w:rPr>
          <w:rFonts w:ascii="Cambria" w:hAnsi="Cambria"/>
          <w:sz w:val="20"/>
          <w:szCs w:val="20"/>
        </w:rPr>
        <w:t xml:space="preserve"> Zapata Álvarez</w:t>
      </w:r>
      <w:r w:rsidR="001F6ACE" w:rsidRPr="00C54196">
        <w:rPr>
          <w:rFonts w:ascii="Cambria" w:hAnsi="Cambria"/>
          <w:sz w:val="20"/>
          <w:szCs w:val="20"/>
        </w:rPr>
        <w:t>’s relatives</w:t>
      </w:r>
      <w:r w:rsidR="00DE27F4" w:rsidRPr="00C54196">
        <w:rPr>
          <w:rFonts w:ascii="Cambria" w:hAnsi="Cambria"/>
          <w:sz w:val="20"/>
          <w:szCs w:val="20"/>
        </w:rPr>
        <w:t xml:space="preserve">, </w:t>
      </w:r>
      <w:r w:rsidR="001F6ACE" w:rsidRPr="00C54196">
        <w:rPr>
          <w:rFonts w:ascii="Cambria" w:hAnsi="Cambria"/>
          <w:sz w:val="20"/>
          <w:szCs w:val="20"/>
        </w:rPr>
        <w:t>whereas an alternate resolution ordered a monetary indemnity for the relatives of other inmates</w:t>
      </w:r>
      <w:r w:rsidR="00DE27F4" w:rsidRPr="00C54196">
        <w:rPr>
          <w:rFonts w:ascii="Cambria" w:hAnsi="Cambria"/>
          <w:sz w:val="20"/>
          <w:szCs w:val="20"/>
        </w:rPr>
        <w:t xml:space="preserve"> </w:t>
      </w:r>
      <w:r w:rsidR="001F6ACE" w:rsidRPr="00C54196">
        <w:rPr>
          <w:rFonts w:ascii="Cambria" w:hAnsi="Cambria"/>
          <w:sz w:val="20"/>
          <w:szCs w:val="20"/>
        </w:rPr>
        <w:t>who were kidnapped with them and murdered outside the</w:t>
      </w:r>
      <w:r w:rsidR="00DE27F4" w:rsidRPr="00C54196">
        <w:rPr>
          <w:rFonts w:ascii="Cambria" w:hAnsi="Cambria"/>
          <w:sz w:val="20"/>
          <w:szCs w:val="20"/>
        </w:rPr>
        <w:t xml:space="preserve"> </w:t>
      </w:r>
      <w:r w:rsidR="001F6ACE" w:rsidRPr="00C54196">
        <w:rPr>
          <w:rFonts w:ascii="Cambria" w:hAnsi="Cambria"/>
          <w:sz w:val="20"/>
          <w:szCs w:val="20"/>
        </w:rPr>
        <w:t xml:space="preserve">District of </w:t>
      </w:r>
      <w:r w:rsidR="00DE27F4" w:rsidRPr="00C54196">
        <w:rPr>
          <w:rFonts w:ascii="Cambria" w:hAnsi="Cambria"/>
          <w:sz w:val="20"/>
          <w:szCs w:val="20"/>
        </w:rPr>
        <w:t xml:space="preserve">Granada. </w:t>
      </w:r>
      <w:r w:rsidR="001F6ACE" w:rsidRPr="00C54196">
        <w:rPr>
          <w:rFonts w:ascii="Cambria" w:hAnsi="Cambria"/>
          <w:sz w:val="20"/>
          <w:szCs w:val="20"/>
        </w:rPr>
        <w:t>The alleged victims would be the</w:t>
      </w:r>
      <w:r w:rsidR="00DE27F4" w:rsidRPr="00C54196">
        <w:rPr>
          <w:rFonts w:ascii="Cambria" w:hAnsi="Cambria"/>
          <w:sz w:val="20"/>
          <w:szCs w:val="20"/>
        </w:rPr>
        <w:t xml:space="preserve"> Zapata </w:t>
      </w:r>
      <w:proofErr w:type="spellStart"/>
      <w:r w:rsidR="00DE27F4" w:rsidRPr="00C54196">
        <w:rPr>
          <w:rFonts w:ascii="Cambria" w:hAnsi="Cambria"/>
          <w:sz w:val="20"/>
          <w:szCs w:val="20"/>
        </w:rPr>
        <w:t>Álvarez</w:t>
      </w:r>
      <w:proofErr w:type="spellEnd"/>
      <w:r w:rsidR="001F6ACE" w:rsidRPr="00C54196">
        <w:rPr>
          <w:rFonts w:ascii="Cambria" w:hAnsi="Cambria"/>
          <w:sz w:val="20"/>
          <w:szCs w:val="20"/>
        </w:rPr>
        <w:t xml:space="preserve"> brothers</w:t>
      </w:r>
      <w:r w:rsidR="00DE27F4" w:rsidRPr="00C54196">
        <w:rPr>
          <w:rFonts w:ascii="Cambria" w:hAnsi="Cambria"/>
          <w:sz w:val="20"/>
          <w:szCs w:val="20"/>
        </w:rPr>
        <w:t xml:space="preserve">, María Regina </w:t>
      </w:r>
      <w:proofErr w:type="spellStart"/>
      <w:r w:rsidR="00DE27F4" w:rsidRPr="00C54196">
        <w:rPr>
          <w:rFonts w:ascii="Cambria" w:hAnsi="Cambria"/>
          <w:sz w:val="20"/>
          <w:szCs w:val="20"/>
        </w:rPr>
        <w:t>Ocampo</w:t>
      </w:r>
      <w:proofErr w:type="spellEnd"/>
      <w:r w:rsidR="00DE27F4" w:rsidRPr="00C54196">
        <w:rPr>
          <w:rFonts w:ascii="Cambria" w:hAnsi="Cambria"/>
          <w:sz w:val="20"/>
          <w:szCs w:val="20"/>
        </w:rPr>
        <w:t xml:space="preserve"> </w:t>
      </w:r>
      <w:proofErr w:type="spellStart"/>
      <w:r w:rsidR="00DE27F4" w:rsidRPr="00C54196">
        <w:rPr>
          <w:rFonts w:ascii="Cambria" w:hAnsi="Cambria"/>
          <w:sz w:val="20"/>
          <w:szCs w:val="20"/>
        </w:rPr>
        <w:t>Loaiza</w:t>
      </w:r>
      <w:proofErr w:type="spellEnd"/>
      <w:r w:rsidR="00DE27F4" w:rsidRPr="00C54196">
        <w:rPr>
          <w:rFonts w:ascii="Cambria" w:hAnsi="Cambria"/>
          <w:sz w:val="20"/>
          <w:szCs w:val="20"/>
        </w:rPr>
        <w:t xml:space="preserve"> </w:t>
      </w:r>
      <w:r w:rsidR="001F6ACE" w:rsidRPr="00C54196">
        <w:rPr>
          <w:rFonts w:ascii="Cambria" w:hAnsi="Cambria"/>
          <w:sz w:val="20"/>
          <w:szCs w:val="20"/>
        </w:rPr>
        <w:t>and their relatives</w:t>
      </w:r>
      <w:r w:rsidR="00DE27F4" w:rsidRPr="00C54196">
        <w:rPr>
          <w:rFonts w:ascii="Cambria" w:hAnsi="Cambria"/>
          <w:sz w:val="20"/>
          <w:szCs w:val="20"/>
        </w:rPr>
        <w:t xml:space="preserve">. </w:t>
      </w:r>
    </w:p>
    <w:p w14:paraId="675E912F" w14:textId="53678E6D" w:rsidR="00DE27F4" w:rsidRPr="00C54196" w:rsidRDefault="001F6ACE"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 xml:space="preserve">It is referred that on December </w:t>
      </w:r>
      <w:r w:rsidR="00DE27F4" w:rsidRPr="00C54196">
        <w:rPr>
          <w:rFonts w:ascii="Cambria" w:hAnsi="Cambria"/>
          <w:sz w:val="20"/>
          <w:szCs w:val="20"/>
        </w:rPr>
        <w:t>5</w:t>
      </w:r>
      <w:r w:rsidRPr="00C54196">
        <w:rPr>
          <w:rFonts w:ascii="Cambria" w:hAnsi="Cambria"/>
          <w:sz w:val="20"/>
          <w:szCs w:val="20"/>
          <w:vertAlign w:val="superscript"/>
        </w:rPr>
        <w:t>th</w:t>
      </w:r>
      <w:r w:rsidRPr="00C54196">
        <w:rPr>
          <w:rFonts w:ascii="Cambria" w:hAnsi="Cambria"/>
          <w:sz w:val="20"/>
          <w:szCs w:val="20"/>
        </w:rPr>
        <w:t xml:space="preserve"> </w:t>
      </w:r>
      <w:r w:rsidR="00DE27F4" w:rsidRPr="00C54196">
        <w:rPr>
          <w:rFonts w:ascii="Cambria" w:hAnsi="Cambria"/>
          <w:sz w:val="20"/>
          <w:szCs w:val="20"/>
        </w:rPr>
        <w:t xml:space="preserve">1993 </w:t>
      </w:r>
      <w:r w:rsidRPr="00C54196">
        <w:rPr>
          <w:rFonts w:ascii="Cambria" w:hAnsi="Cambria"/>
          <w:sz w:val="20"/>
          <w:szCs w:val="20"/>
        </w:rPr>
        <w:t xml:space="preserve">the </w:t>
      </w:r>
      <w:r w:rsidR="00DE27F4" w:rsidRPr="00C54196">
        <w:rPr>
          <w:rFonts w:ascii="Cambria" w:hAnsi="Cambria"/>
          <w:sz w:val="20"/>
          <w:szCs w:val="20"/>
        </w:rPr>
        <w:t xml:space="preserve">Zapata Álvarez </w:t>
      </w:r>
      <w:r w:rsidRPr="00C54196">
        <w:rPr>
          <w:rFonts w:ascii="Cambria" w:hAnsi="Cambria"/>
          <w:sz w:val="20"/>
          <w:szCs w:val="20"/>
        </w:rPr>
        <w:t>brothers were arrested for the alleged theft of cattle</w:t>
      </w:r>
      <w:r w:rsidR="00DE27F4" w:rsidRPr="00C54196">
        <w:rPr>
          <w:rFonts w:ascii="Cambria" w:hAnsi="Cambria"/>
          <w:sz w:val="20"/>
          <w:szCs w:val="20"/>
        </w:rPr>
        <w:t xml:space="preserve"> </w:t>
      </w:r>
      <w:r w:rsidRPr="00C54196">
        <w:rPr>
          <w:rFonts w:ascii="Cambria" w:hAnsi="Cambria"/>
          <w:sz w:val="20"/>
          <w:szCs w:val="20"/>
        </w:rPr>
        <w:t>in a farm of the</w:t>
      </w:r>
      <w:r w:rsidR="00DE27F4" w:rsidRPr="00C54196">
        <w:rPr>
          <w:rFonts w:ascii="Cambria" w:hAnsi="Cambria"/>
          <w:sz w:val="20"/>
          <w:szCs w:val="20"/>
        </w:rPr>
        <w:t xml:space="preserve"> </w:t>
      </w:r>
      <w:r w:rsidRPr="00C54196">
        <w:rPr>
          <w:rFonts w:ascii="Cambria" w:hAnsi="Cambria"/>
          <w:sz w:val="20"/>
          <w:szCs w:val="20"/>
        </w:rPr>
        <w:t>A</w:t>
      </w:r>
      <w:r w:rsidR="00DE27F4" w:rsidRPr="00C54196">
        <w:rPr>
          <w:rFonts w:ascii="Cambria" w:hAnsi="Cambria"/>
          <w:sz w:val="20"/>
          <w:szCs w:val="20"/>
        </w:rPr>
        <w:t>ntioqu</w:t>
      </w:r>
      <w:r w:rsidR="00590C59">
        <w:rPr>
          <w:rFonts w:ascii="Cambria" w:hAnsi="Cambria"/>
          <w:sz w:val="20"/>
          <w:szCs w:val="20"/>
        </w:rPr>
        <w:t>i</w:t>
      </w:r>
      <w:r w:rsidRPr="00C54196">
        <w:rPr>
          <w:rFonts w:ascii="Cambria" w:hAnsi="Cambria"/>
          <w:sz w:val="20"/>
          <w:szCs w:val="20"/>
        </w:rPr>
        <w:t>a</w:t>
      </w:r>
      <w:r w:rsidR="00DE27F4" w:rsidRPr="00C54196">
        <w:rPr>
          <w:rFonts w:ascii="Cambria" w:hAnsi="Cambria"/>
          <w:sz w:val="20"/>
          <w:szCs w:val="20"/>
        </w:rPr>
        <w:t xml:space="preserve"> </w:t>
      </w:r>
      <w:r w:rsidRPr="00C54196">
        <w:rPr>
          <w:rFonts w:ascii="Cambria" w:hAnsi="Cambria"/>
          <w:sz w:val="20"/>
          <w:szCs w:val="20"/>
        </w:rPr>
        <w:t xml:space="preserve">region and </w:t>
      </w:r>
      <w:r w:rsidR="00D37298" w:rsidRPr="00C54196">
        <w:rPr>
          <w:rFonts w:ascii="Cambria" w:hAnsi="Cambria"/>
          <w:sz w:val="20"/>
          <w:szCs w:val="20"/>
        </w:rPr>
        <w:t xml:space="preserve">transferred to the </w:t>
      </w:r>
      <w:r w:rsidR="00DE27F4" w:rsidRPr="00C54196">
        <w:rPr>
          <w:rFonts w:ascii="Cambria" w:hAnsi="Cambria"/>
          <w:sz w:val="20"/>
          <w:szCs w:val="20"/>
        </w:rPr>
        <w:t xml:space="preserve">Municipal </w:t>
      </w:r>
      <w:r w:rsidR="000D6B09" w:rsidRPr="00C54196">
        <w:rPr>
          <w:rFonts w:ascii="Cambria" w:hAnsi="Cambria"/>
          <w:sz w:val="20"/>
          <w:szCs w:val="20"/>
        </w:rPr>
        <w:t>P</w:t>
      </w:r>
      <w:r w:rsidR="00D37298" w:rsidRPr="00C54196">
        <w:rPr>
          <w:rFonts w:ascii="Cambria" w:hAnsi="Cambria"/>
          <w:sz w:val="20"/>
          <w:szCs w:val="20"/>
        </w:rPr>
        <w:t>rison of</w:t>
      </w:r>
      <w:r w:rsidR="00DE27F4" w:rsidRPr="00C54196">
        <w:rPr>
          <w:rFonts w:ascii="Cambria" w:hAnsi="Cambria"/>
          <w:sz w:val="20"/>
          <w:szCs w:val="20"/>
        </w:rPr>
        <w:t xml:space="preserve"> Granada. </w:t>
      </w:r>
      <w:r w:rsidR="000D6B09" w:rsidRPr="00C54196">
        <w:rPr>
          <w:rFonts w:ascii="Cambria" w:hAnsi="Cambria"/>
          <w:sz w:val="20"/>
          <w:szCs w:val="20"/>
        </w:rPr>
        <w:t>On December 8</w:t>
      </w:r>
      <w:r w:rsidR="000D6B09" w:rsidRPr="00C54196">
        <w:rPr>
          <w:rFonts w:ascii="Cambria" w:hAnsi="Cambria"/>
          <w:sz w:val="20"/>
          <w:szCs w:val="20"/>
          <w:vertAlign w:val="superscript"/>
        </w:rPr>
        <w:t>th</w:t>
      </w:r>
      <w:r w:rsidR="000D6B09" w:rsidRPr="00C54196">
        <w:rPr>
          <w:rFonts w:ascii="Cambria" w:hAnsi="Cambria"/>
          <w:sz w:val="20"/>
          <w:szCs w:val="20"/>
        </w:rPr>
        <w:t xml:space="preserve"> that same year at</w:t>
      </w:r>
      <w:r w:rsidR="00DE27F4" w:rsidRPr="00C54196">
        <w:rPr>
          <w:rFonts w:ascii="Cambria" w:hAnsi="Cambria"/>
          <w:sz w:val="20"/>
          <w:szCs w:val="20"/>
        </w:rPr>
        <w:t xml:space="preserve"> 1:10 a.m. </w:t>
      </w:r>
      <w:r w:rsidR="000D6B09" w:rsidRPr="00C54196">
        <w:rPr>
          <w:rFonts w:ascii="Cambria" w:hAnsi="Cambria"/>
          <w:sz w:val="20"/>
          <w:szCs w:val="20"/>
        </w:rPr>
        <w:t>approximately ten armed men entered</w:t>
      </w:r>
      <w:r w:rsidR="00DE27F4" w:rsidRPr="00C54196">
        <w:rPr>
          <w:rFonts w:ascii="Cambria" w:hAnsi="Cambria"/>
          <w:sz w:val="20"/>
          <w:szCs w:val="20"/>
        </w:rPr>
        <w:t xml:space="preserve"> </w:t>
      </w:r>
      <w:r w:rsidR="000D6B09" w:rsidRPr="00C54196">
        <w:rPr>
          <w:rFonts w:ascii="Cambria" w:hAnsi="Cambria"/>
          <w:sz w:val="20"/>
          <w:szCs w:val="20"/>
        </w:rPr>
        <w:t xml:space="preserve">the </w:t>
      </w:r>
      <w:r w:rsidR="00DE27F4" w:rsidRPr="00C54196">
        <w:rPr>
          <w:rFonts w:ascii="Cambria" w:hAnsi="Cambria"/>
          <w:sz w:val="20"/>
          <w:szCs w:val="20"/>
        </w:rPr>
        <w:t>Municipal</w:t>
      </w:r>
      <w:r w:rsidR="000D6B09" w:rsidRPr="00C54196">
        <w:rPr>
          <w:rFonts w:ascii="Cambria" w:hAnsi="Cambria"/>
          <w:sz w:val="20"/>
          <w:szCs w:val="20"/>
        </w:rPr>
        <w:t xml:space="preserve"> Prison</w:t>
      </w:r>
      <w:r w:rsidR="00DE27F4" w:rsidRPr="00C54196">
        <w:rPr>
          <w:rFonts w:ascii="Cambria" w:hAnsi="Cambria"/>
          <w:sz w:val="20"/>
          <w:szCs w:val="20"/>
        </w:rPr>
        <w:t>, intimida</w:t>
      </w:r>
      <w:r w:rsidR="000D6B09" w:rsidRPr="00C54196">
        <w:rPr>
          <w:rFonts w:ascii="Cambria" w:hAnsi="Cambria"/>
          <w:sz w:val="20"/>
          <w:szCs w:val="20"/>
        </w:rPr>
        <w:t>ted the two</w:t>
      </w:r>
      <w:r w:rsidR="00DE27F4" w:rsidRPr="00C54196">
        <w:rPr>
          <w:rFonts w:ascii="Cambria" w:hAnsi="Cambria"/>
          <w:sz w:val="20"/>
          <w:szCs w:val="20"/>
        </w:rPr>
        <w:t xml:space="preserve"> guards </w:t>
      </w:r>
      <w:r w:rsidR="000D6B09" w:rsidRPr="00C54196">
        <w:rPr>
          <w:rFonts w:ascii="Cambria" w:hAnsi="Cambria"/>
          <w:sz w:val="20"/>
          <w:szCs w:val="20"/>
        </w:rPr>
        <w:t>on shift that were looking after the</w:t>
      </w:r>
      <w:r w:rsidR="00DE27F4" w:rsidRPr="00C54196">
        <w:rPr>
          <w:rFonts w:ascii="Cambria" w:hAnsi="Cambria"/>
          <w:sz w:val="20"/>
          <w:szCs w:val="20"/>
        </w:rPr>
        <w:t xml:space="preserve"> </w:t>
      </w:r>
      <w:r w:rsidR="000D6B09" w:rsidRPr="00C54196">
        <w:rPr>
          <w:rFonts w:ascii="Cambria" w:hAnsi="Cambria"/>
          <w:sz w:val="20"/>
          <w:szCs w:val="20"/>
        </w:rPr>
        <w:t>prisoners</w:t>
      </w:r>
      <w:r w:rsidR="00DE27F4" w:rsidRPr="00C54196">
        <w:rPr>
          <w:rFonts w:ascii="Cambria" w:hAnsi="Cambria"/>
          <w:sz w:val="20"/>
          <w:szCs w:val="20"/>
        </w:rPr>
        <w:t xml:space="preserve">, </w:t>
      </w:r>
      <w:r w:rsidR="000D6B09" w:rsidRPr="00C54196">
        <w:rPr>
          <w:rFonts w:ascii="Cambria" w:hAnsi="Cambria"/>
          <w:sz w:val="20"/>
          <w:szCs w:val="20"/>
        </w:rPr>
        <w:t>and took six inmates, including the</w:t>
      </w:r>
      <w:r w:rsidR="00DE27F4" w:rsidRPr="00C54196">
        <w:rPr>
          <w:rFonts w:ascii="Cambria" w:hAnsi="Cambria"/>
          <w:sz w:val="20"/>
          <w:szCs w:val="20"/>
        </w:rPr>
        <w:t xml:space="preserve"> Zapata Álvarez</w:t>
      </w:r>
      <w:r w:rsidR="000D6B09" w:rsidRPr="00C54196">
        <w:rPr>
          <w:rFonts w:ascii="Cambria" w:hAnsi="Cambria"/>
          <w:sz w:val="20"/>
          <w:szCs w:val="20"/>
        </w:rPr>
        <w:t xml:space="preserve"> brothers</w:t>
      </w:r>
      <w:r w:rsidR="00DE27F4" w:rsidRPr="00C54196">
        <w:rPr>
          <w:rFonts w:ascii="Cambria" w:hAnsi="Cambria"/>
          <w:sz w:val="20"/>
          <w:szCs w:val="20"/>
        </w:rPr>
        <w:t xml:space="preserve">. </w:t>
      </w:r>
      <w:r w:rsidR="000D6B09" w:rsidRPr="00C54196">
        <w:rPr>
          <w:rFonts w:ascii="Cambria" w:hAnsi="Cambria"/>
          <w:sz w:val="20"/>
          <w:szCs w:val="20"/>
        </w:rPr>
        <w:t>These people are said to be found dead hours later in the District</w:t>
      </w:r>
      <w:r w:rsidR="00232EE2">
        <w:rPr>
          <w:rFonts w:ascii="Cambria" w:hAnsi="Cambria"/>
          <w:sz w:val="20"/>
          <w:szCs w:val="20"/>
        </w:rPr>
        <w:t xml:space="preserve"> </w:t>
      </w:r>
      <w:r w:rsidR="000D6B09" w:rsidRPr="00C54196">
        <w:rPr>
          <w:rFonts w:ascii="Cambria" w:hAnsi="Cambria"/>
          <w:sz w:val="20"/>
          <w:szCs w:val="20"/>
        </w:rPr>
        <w:t xml:space="preserve">of </w:t>
      </w:r>
      <w:proofErr w:type="spellStart"/>
      <w:r w:rsidR="00DE27F4" w:rsidRPr="00C54196">
        <w:rPr>
          <w:rFonts w:ascii="Cambria" w:hAnsi="Cambria"/>
          <w:sz w:val="20"/>
          <w:szCs w:val="20"/>
        </w:rPr>
        <w:t>Corconá</w:t>
      </w:r>
      <w:proofErr w:type="spellEnd"/>
      <w:r w:rsidR="00DE27F4" w:rsidRPr="00C54196">
        <w:rPr>
          <w:rFonts w:ascii="Cambria" w:hAnsi="Cambria"/>
          <w:sz w:val="20"/>
          <w:szCs w:val="20"/>
        </w:rPr>
        <w:t xml:space="preserve"> </w:t>
      </w:r>
      <w:r w:rsidR="000D6B09" w:rsidRPr="00C54196">
        <w:rPr>
          <w:rFonts w:ascii="Cambria" w:hAnsi="Cambria"/>
          <w:sz w:val="20"/>
          <w:szCs w:val="20"/>
        </w:rPr>
        <w:t>with clear signs of gunshot wounds</w:t>
      </w:r>
      <w:r w:rsidR="00DE27F4" w:rsidRPr="00C54196">
        <w:rPr>
          <w:rFonts w:ascii="Cambria" w:hAnsi="Cambria"/>
          <w:sz w:val="20"/>
          <w:szCs w:val="20"/>
        </w:rPr>
        <w:t>.</w:t>
      </w:r>
    </w:p>
    <w:p w14:paraId="31F49E5A" w14:textId="720FE1E7" w:rsidR="00DE27F4" w:rsidRPr="00C54196" w:rsidRDefault="00106F4C"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 xml:space="preserve">The relatives of the </w:t>
      </w:r>
      <w:r w:rsidR="00DE27F4" w:rsidRPr="00C54196">
        <w:rPr>
          <w:rFonts w:ascii="Cambria" w:hAnsi="Cambria"/>
          <w:sz w:val="20"/>
          <w:szCs w:val="20"/>
        </w:rPr>
        <w:t xml:space="preserve">Zapata Álvarez </w:t>
      </w:r>
      <w:r w:rsidRPr="00C54196">
        <w:rPr>
          <w:rFonts w:ascii="Cambria" w:hAnsi="Cambria"/>
          <w:sz w:val="20"/>
          <w:szCs w:val="20"/>
        </w:rPr>
        <w:t>filed a direct remedy suit before the</w:t>
      </w:r>
      <w:r w:rsidR="00DE27F4" w:rsidRPr="00C54196">
        <w:rPr>
          <w:rFonts w:ascii="Cambria" w:hAnsi="Cambria"/>
          <w:sz w:val="20"/>
          <w:szCs w:val="20"/>
        </w:rPr>
        <w:t xml:space="preserve"> </w:t>
      </w:r>
      <w:r w:rsidRPr="00C54196">
        <w:rPr>
          <w:rFonts w:ascii="Cambria" w:hAnsi="Cambria"/>
          <w:sz w:val="20"/>
          <w:szCs w:val="20"/>
        </w:rPr>
        <w:t>Conte</w:t>
      </w:r>
      <w:r w:rsidR="00232EE2">
        <w:rPr>
          <w:rFonts w:ascii="Cambria" w:hAnsi="Cambria"/>
          <w:sz w:val="20"/>
          <w:szCs w:val="20"/>
        </w:rPr>
        <w:t>n</w:t>
      </w:r>
      <w:r w:rsidRPr="00C54196">
        <w:rPr>
          <w:rFonts w:ascii="Cambria" w:hAnsi="Cambria"/>
          <w:sz w:val="20"/>
          <w:szCs w:val="20"/>
        </w:rPr>
        <w:t>tious Administrative Court</w:t>
      </w:r>
      <w:r w:rsidR="00590C59">
        <w:rPr>
          <w:rFonts w:ascii="Cambria" w:hAnsi="Cambria"/>
          <w:sz w:val="20"/>
          <w:szCs w:val="20"/>
        </w:rPr>
        <w:t xml:space="preserve"> </w:t>
      </w:r>
      <w:r w:rsidRPr="00C54196">
        <w:rPr>
          <w:rFonts w:ascii="Cambria" w:hAnsi="Cambria"/>
          <w:sz w:val="20"/>
          <w:szCs w:val="20"/>
        </w:rPr>
        <w:t>of</w:t>
      </w:r>
      <w:r w:rsidR="00DE27F4" w:rsidRPr="00C54196">
        <w:rPr>
          <w:rFonts w:ascii="Cambria" w:hAnsi="Cambria"/>
          <w:sz w:val="20"/>
          <w:szCs w:val="20"/>
        </w:rPr>
        <w:t xml:space="preserve"> Antioquia </w:t>
      </w:r>
      <w:r w:rsidRPr="00C54196">
        <w:rPr>
          <w:rFonts w:ascii="Cambria" w:hAnsi="Cambria"/>
          <w:sz w:val="20"/>
          <w:szCs w:val="20"/>
        </w:rPr>
        <w:t>against the</w:t>
      </w:r>
      <w:r w:rsidR="00DE27F4" w:rsidRPr="00C54196">
        <w:rPr>
          <w:rFonts w:ascii="Cambria" w:hAnsi="Cambria"/>
          <w:sz w:val="20"/>
          <w:szCs w:val="20"/>
        </w:rPr>
        <w:t xml:space="preserve"> </w:t>
      </w:r>
      <w:r w:rsidRPr="00C54196">
        <w:rPr>
          <w:rFonts w:ascii="Cambria" w:hAnsi="Cambria"/>
          <w:sz w:val="20"/>
          <w:szCs w:val="20"/>
        </w:rPr>
        <w:t xml:space="preserve">Nation- Ministry of Justice, Ministry of Defense, National Police, and National Penitentiary and Incarceration Institute–INPEC. A ruling dated April </w:t>
      </w:r>
      <w:r w:rsidR="00DE27F4" w:rsidRPr="00C54196">
        <w:rPr>
          <w:rFonts w:ascii="Cambria" w:hAnsi="Cambria"/>
          <w:sz w:val="20"/>
          <w:szCs w:val="20"/>
        </w:rPr>
        <w:t>28</w:t>
      </w:r>
      <w:r w:rsidRPr="00C54196">
        <w:rPr>
          <w:rFonts w:ascii="Cambria" w:hAnsi="Cambria"/>
          <w:sz w:val="20"/>
          <w:szCs w:val="20"/>
          <w:vertAlign w:val="superscript"/>
        </w:rPr>
        <w:t>th</w:t>
      </w:r>
      <w:r w:rsidRPr="00C54196">
        <w:rPr>
          <w:rFonts w:ascii="Cambria" w:hAnsi="Cambria"/>
          <w:sz w:val="20"/>
          <w:szCs w:val="20"/>
        </w:rPr>
        <w:t xml:space="preserve"> </w:t>
      </w:r>
      <w:r w:rsidR="00DE27F4" w:rsidRPr="00C54196">
        <w:rPr>
          <w:rFonts w:ascii="Cambria" w:hAnsi="Cambria"/>
          <w:sz w:val="20"/>
          <w:szCs w:val="20"/>
        </w:rPr>
        <w:t xml:space="preserve">2000, </w:t>
      </w:r>
      <w:r w:rsidRPr="00C54196">
        <w:rPr>
          <w:rFonts w:ascii="Cambria" w:hAnsi="Cambria"/>
          <w:sz w:val="20"/>
          <w:szCs w:val="20"/>
        </w:rPr>
        <w:t>the</w:t>
      </w:r>
      <w:r w:rsidR="00DE27F4" w:rsidRPr="00C54196">
        <w:rPr>
          <w:rFonts w:ascii="Cambria" w:hAnsi="Cambria"/>
          <w:sz w:val="20"/>
          <w:szCs w:val="20"/>
        </w:rPr>
        <w:t xml:space="preserve"> </w:t>
      </w:r>
      <w:r w:rsidRPr="00C54196">
        <w:rPr>
          <w:rFonts w:ascii="Cambria" w:hAnsi="Cambria"/>
          <w:sz w:val="20"/>
          <w:szCs w:val="20"/>
        </w:rPr>
        <w:t>Eighth Decision Room of the Administrative Court of Antioquia regarded the aforementioned institutions as liable</w:t>
      </w:r>
      <w:r w:rsidR="00DE27F4" w:rsidRPr="00C54196">
        <w:rPr>
          <w:rFonts w:ascii="Cambria" w:hAnsi="Cambria"/>
          <w:sz w:val="20"/>
          <w:szCs w:val="20"/>
        </w:rPr>
        <w:t xml:space="preserve">, </w:t>
      </w:r>
      <w:r w:rsidR="00160CFE" w:rsidRPr="00C54196">
        <w:rPr>
          <w:rFonts w:ascii="Cambria" w:hAnsi="Cambria"/>
          <w:sz w:val="20"/>
          <w:szCs w:val="20"/>
        </w:rPr>
        <w:t>and sentenced such institutions to repair moral and material damages caused</w:t>
      </w:r>
      <w:r w:rsidR="00DE27F4" w:rsidRPr="00C54196">
        <w:rPr>
          <w:rFonts w:ascii="Cambria" w:hAnsi="Cambria"/>
          <w:sz w:val="20"/>
          <w:szCs w:val="20"/>
        </w:rPr>
        <w:t xml:space="preserve"> </w:t>
      </w:r>
      <w:r w:rsidR="00160CFE" w:rsidRPr="00C54196">
        <w:rPr>
          <w:rFonts w:ascii="Cambria" w:hAnsi="Cambria"/>
          <w:sz w:val="20"/>
          <w:szCs w:val="20"/>
        </w:rPr>
        <w:t>to the relatives of the</w:t>
      </w:r>
      <w:r w:rsidR="00DE27F4" w:rsidRPr="00C54196">
        <w:rPr>
          <w:rFonts w:ascii="Cambria" w:hAnsi="Cambria"/>
          <w:sz w:val="20"/>
          <w:szCs w:val="20"/>
        </w:rPr>
        <w:t xml:space="preserve"> Zapata Álvarez</w:t>
      </w:r>
      <w:r w:rsidR="00160CFE" w:rsidRPr="00C54196">
        <w:rPr>
          <w:rFonts w:ascii="Cambria" w:hAnsi="Cambria"/>
          <w:sz w:val="20"/>
          <w:szCs w:val="20"/>
        </w:rPr>
        <w:t xml:space="preserve"> brothers</w:t>
      </w:r>
      <w:r w:rsidR="00DE27F4" w:rsidRPr="00C54196">
        <w:rPr>
          <w:rFonts w:ascii="Cambria" w:hAnsi="Cambria"/>
          <w:sz w:val="20"/>
          <w:szCs w:val="20"/>
        </w:rPr>
        <w:t xml:space="preserve">. </w:t>
      </w:r>
      <w:r w:rsidR="00160CFE" w:rsidRPr="00C54196">
        <w:rPr>
          <w:rFonts w:ascii="Cambria" w:hAnsi="Cambria"/>
          <w:sz w:val="20"/>
          <w:szCs w:val="20"/>
        </w:rPr>
        <w:t xml:space="preserve">On September </w:t>
      </w:r>
      <w:r w:rsidR="00DE27F4" w:rsidRPr="00C54196">
        <w:rPr>
          <w:rFonts w:ascii="Cambria" w:hAnsi="Cambria"/>
          <w:sz w:val="20"/>
          <w:szCs w:val="20"/>
        </w:rPr>
        <w:t>8</w:t>
      </w:r>
      <w:r w:rsidR="00160CFE" w:rsidRPr="00C54196">
        <w:rPr>
          <w:rFonts w:ascii="Cambria" w:hAnsi="Cambria"/>
          <w:sz w:val="20"/>
          <w:szCs w:val="20"/>
          <w:vertAlign w:val="superscript"/>
        </w:rPr>
        <w:t>th</w:t>
      </w:r>
      <w:r w:rsidR="00160CFE" w:rsidRPr="00C54196">
        <w:rPr>
          <w:rFonts w:ascii="Cambria" w:hAnsi="Cambria"/>
          <w:sz w:val="20"/>
          <w:szCs w:val="20"/>
        </w:rPr>
        <w:t xml:space="preserve"> </w:t>
      </w:r>
      <w:r w:rsidR="00DE27F4" w:rsidRPr="00C54196">
        <w:rPr>
          <w:rFonts w:ascii="Cambria" w:hAnsi="Cambria"/>
          <w:sz w:val="20"/>
          <w:szCs w:val="20"/>
        </w:rPr>
        <w:t xml:space="preserve">2000, </w:t>
      </w:r>
      <w:r w:rsidR="00160CFE" w:rsidRPr="00C54196">
        <w:rPr>
          <w:rFonts w:ascii="Cambria" w:hAnsi="Cambria"/>
          <w:sz w:val="20"/>
          <w:szCs w:val="20"/>
        </w:rPr>
        <w:t>the relatives filed an appeal petition</w:t>
      </w:r>
      <w:r w:rsidR="00DE27F4" w:rsidRPr="00C54196">
        <w:rPr>
          <w:rFonts w:ascii="Cambria" w:hAnsi="Cambria"/>
          <w:sz w:val="20"/>
          <w:szCs w:val="20"/>
        </w:rPr>
        <w:t xml:space="preserve"> </w:t>
      </w:r>
      <w:r w:rsidR="00160CFE" w:rsidRPr="00C54196">
        <w:rPr>
          <w:rFonts w:ascii="Cambria" w:hAnsi="Cambria"/>
          <w:sz w:val="20"/>
          <w:szCs w:val="20"/>
        </w:rPr>
        <w:t>for failure to acknowledge pecuniary</w:t>
      </w:r>
      <w:r w:rsidR="00DE27F4" w:rsidRPr="00C54196">
        <w:rPr>
          <w:rFonts w:ascii="Cambria" w:hAnsi="Cambria"/>
          <w:sz w:val="20"/>
          <w:szCs w:val="20"/>
        </w:rPr>
        <w:t xml:space="preserve"> </w:t>
      </w:r>
      <w:r w:rsidR="00160CFE" w:rsidRPr="00C54196">
        <w:rPr>
          <w:rFonts w:ascii="Cambria" w:hAnsi="Cambria"/>
          <w:sz w:val="20"/>
          <w:szCs w:val="20"/>
        </w:rPr>
        <w:t>damages upon</w:t>
      </w:r>
      <w:r w:rsidR="00DE27F4" w:rsidRPr="00C54196">
        <w:rPr>
          <w:rFonts w:ascii="Cambria" w:hAnsi="Cambria"/>
          <w:sz w:val="20"/>
          <w:szCs w:val="20"/>
        </w:rPr>
        <w:t xml:space="preserve"> </w:t>
      </w:r>
      <w:r w:rsidR="00160CFE" w:rsidRPr="00C54196">
        <w:rPr>
          <w:rFonts w:ascii="Cambria" w:hAnsi="Cambria"/>
          <w:sz w:val="20"/>
          <w:szCs w:val="20"/>
        </w:rPr>
        <w:t>the other siblings of the deceased</w:t>
      </w:r>
      <w:r w:rsidR="00DE27F4" w:rsidRPr="00C54196">
        <w:rPr>
          <w:rFonts w:ascii="Cambria" w:hAnsi="Cambria"/>
          <w:sz w:val="20"/>
          <w:szCs w:val="20"/>
        </w:rPr>
        <w:t xml:space="preserve">. </w:t>
      </w:r>
      <w:r w:rsidR="00160CFE" w:rsidRPr="00C54196">
        <w:rPr>
          <w:rFonts w:ascii="Cambria" w:hAnsi="Cambria"/>
          <w:sz w:val="20"/>
          <w:szCs w:val="20"/>
        </w:rPr>
        <w:t>However</w:t>
      </w:r>
      <w:r w:rsidR="00DE27F4" w:rsidRPr="00C54196">
        <w:rPr>
          <w:rFonts w:ascii="Cambria" w:hAnsi="Cambria"/>
          <w:sz w:val="20"/>
          <w:szCs w:val="20"/>
        </w:rPr>
        <w:t xml:space="preserve">, </w:t>
      </w:r>
      <w:r w:rsidR="00160CFE" w:rsidRPr="00C54196">
        <w:rPr>
          <w:rFonts w:ascii="Cambria" w:hAnsi="Cambria"/>
          <w:sz w:val="20"/>
          <w:szCs w:val="20"/>
        </w:rPr>
        <w:t>as soon as the appeal was filed</w:t>
      </w:r>
      <w:r w:rsidR="00DE27F4" w:rsidRPr="00C54196">
        <w:rPr>
          <w:rFonts w:ascii="Cambria" w:hAnsi="Cambria"/>
          <w:sz w:val="20"/>
          <w:szCs w:val="20"/>
        </w:rPr>
        <w:t xml:space="preserve">, </w:t>
      </w:r>
      <w:r w:rsidR="00160CFE" w:rsidRPr="00C54196">
        <w:rPr>
          <w:rFonts w:ascii="Cambria" w:hAnsi="Cambria"/>
          <w:sz w:val="20"/>
          <w:szCs w:val="20"/>
        </w:rPr>
        <w:t>they requested a withdrawal</w:t>
      </w:r>
      <w:r w:rsidR="00DE27F4" w:rsidRPr="00C54196">
        <w:rPr>
          <w:rFonts w:ascii="Cambria" w:hAnsi="Cambria"/>
          <w:sz w:val="20"/>
          <w:szCs w:val="20"/>
        </w:rPr>
        <w:t xml:space="preserve">, </w:t>
      </w:r>
      <w:r w:rsidR="00160CFE" w:rsidRPr="00C54196">
        <w:rPr>
          <w:rFonts w:ascii="Cambria" w:hAnsi="Cambria"/>
          <w:sz w:val="20"/>
          <w:szCs w:val="20"/>
        </w:rPr>
        <w:t>which was accepted by the court on</w:t>
      </w:r>
      <w:r w:rsidR="00DE27F4" w:rsidRPr="00C54196">
        <w:rPr>
          <w:rFonts w:ascii="Cambria" w:hAnsi="Cambria"/>
          <w:sz w:val="20"/>
          <w:szCs w:val="20"/>
        </w:rPr>
        <w:t xml:space="preserve"> </w:t>
      </w:r>
      <w:r w:rsidR="00160CFE" w:rsidRPr="00C54196">
        <w:rPr>
          <w:rFonts w:ascii="Cambria" w:hAnsi="Cambria"/>
          <w:sz w:val="20"/>
          <w:szCs w:val="20"/>
        </w:rPr>
        <w:t>November</w:t>
      </w:r>
      <w:r w:rsidR="00DE27F4" w:rsidRPr="00C54196">
        <w:rPr>
          <w:rFonts w:ascii="Cambria" w:hAnsi="Cambria"/>
          <w:sz w:val="20"/>
          <w:szCs w:val="20"/>
        </w:rPr>
        <w:t xml:space="preserve"> 1</w:t>
      </w:r>
      <w:r w:rsidR="00160CFE" w:rsidRPr="00C54196">
        <w:rPr>
          <w:rFonts w:ascii="Cambria" w:hAnsi="Cambria"/>
          <w:sz w:val="20"/>
          <w:szCs w:val="20"/>
          <w:vertAlign w:val="superscript"/>
        </w:rPr>
        <w:t>st</w:t>
      </w:r>
      <w:r w:rsidR="00160CFE" w:rsidRPr="00C54196">
        <w:rPr>
          <w:rFonts w:ascii="Cambria" w:hAnsi="Cambria"/>
          <w:sz w:val="20"/>
          <w:szCs w:val="20"/>
        </w:rPr>
        <w:t xml:space="preserve"> </w:t>
      </w:r>
      <w:r w:rsidR="00DE27F4" w:rsidRPr="00C54196">
        <w:rPr>
          <w:rFonts w:ascii="Cambria" w:hAnsi="Cambria"/>
          <w:sz w:val="20"/>
          <w:szCs w:val="20"/>
        </w:rPr>
        <w:t xml:space="preserve">2000, </w:t>
      </w:r>
      <w:r w:rsidR="00160CFE" w:rsidRPr="00C54196">
        <w:rPr>
          <w:rFonts w:ascii="Cambria" w:hAnsi="Cambria"/>
          <w:sz w:val="20"/>
          <w:szCs w:val="20"/>
        </w:rPr>
        <w:t>which caused the case to be archived and affirmed the monetary sanction to be paid to the</w:t>
      </w:r>
      <w:r w:rsidR="00DE27F4" w:rsidRPr="00C54196">
        <w:rPr>
          <w:rFonts w:ascii="Cambria" w:hAnsi="Cambria"/>
          <w:sz w:val="20"/>
          <w:szCs w:val="20"/>
        </w:rPr>
        <w:t xml:space="preserve"> </w:t>
      </w:r>
      <w:r w:rsidR="00160CFE" w:rsidRPr="00C54196">
        <w:rPr>
          <w:rFonts w:ascii="Cambria" w:hAnsi="Cambria"/>
          <w:sz w:val="20"/>
          <w:szCs w:val="20"/>
        </w:rPr>
        <w:t>person</w:t>
      </w:r>
      <w:r w:rsidR="00DE27F4" w:rsidRPr="00C54196">
        <w:rPr>
          <w:rFonts w:ascii="Cambria" w:hAnsi="Cambria"/>
          <w:sz w:val="20"/>
          <w:szCs w:val="20"/>
        </w:rPr>
        <w:t xml:space="preserve">s </w:t>
      </w:r>
      <w:r w:rsidR="00160CFE" w:rsidRPr="00C54196">
        <w:rPr>
          <w:rFonts w:ascii="Cambria" w:hAnsi="Cambria"/>
          <w:sz w:val="20"/>
          <w:szCs w:val="20"/>
        </w:rPr>
        <w:t>acknowledged as</w:t>
      </w:r>
      <w:r w:rsidR="00DE27F4" w:rsidRPr="00C54196">
        <w:rPr>
          <w:rFonts w:ascii="Cambria" w:hAnsi="Cambria"/>
          <w:sz w:val="20"/>
          <w:szCs w:val="20"/>
        </w:rPr>
        <w:t xml:space="preserve"> </w:t>
      </w:r>
      <w:r w:rsidR="00160CFE" w:rsidRPr="00C54196">
        <w:rPr>
          <w:rFonts w:ascii="Cambria" w:hAnsi="Cambria"/>
          <w:sz w:val="20"/>
          <w:szCs w:val="20"/>
        </w:rPr>
        <w:t>victims</w:t>
      </w:r>
      <w:r w:rsidR="00DE27F4" w:rsidRPr="00C54196">
        <w:rPr>
          <w:rFonts w:ascii="Cambria" w:hAnsi="Cambria"/>
          <w:sz w:val="20"/>
          <w:szCs w:val="20"/>
        </w:rPr>
        <w:t xml:space="preserve"> </w:t>
      </w:r>
      <w:r w:rsidR="00160CFE" w:rsidRPr="00C54196">
        <w:rPr>
          <w:rFonts w:ascii="Cambria" w:hAnsi="Cambria"/>
          <w:sz w:val="20"/>
          <w:szCs w:val="20"/>
        </w:rPr>
        <w:t xml:space="preserve">with the sentence issued on April </w:t>
      </w:r>
      <w:r w:rsidR="00DE27F4" w:rsidRPr="00C54196">
        <w:rPr>
          <w:rFonts w:ascii="Cambria" w:hAnsi="Cambria"/>
          <w:sz w:val="20"/>
          <w:szCs w:val="20"/>
        </w:rPr>
        <w:t>28</w:t>
      </w:r>
      <w:r w:rsidR="00160CFE" w:rsidRPr="00C54196">
        <w:rPr>
          <w:rFonts w:ascii="Cambria" w:hAnsi="Cambria"/>
          <w:sz w:val="20"/>
          <w:szCs w:val="20"/>
          <w:vertAlign w:val="superscript"/>
        </w:rPr>
        <w:t>th</w:t>
      </w:r>
      <w:r w:rsidR="00160CFE" w:rsidRPr="00C54196">
        <w:rPr>
          <w:rFonts w:ascii="Cambria" w:hAnsi="Cambria"/>
          <w:sz w:val="20"/>
          <w:szCs w:val="20"/>
        </w:rPr>
        <w:t xml:space="preserve"> </w:t>
      </w:r>
      <w:r w:rsidR="00DE27F4" w:rsidRPr="00C54196">
        <w:rPr>
          <w:rFonts w:ascii="Cambria" w:hAnsi="Cambria"/>
          <w:sz w:val="20"/>
          <w:szCs w:val="20"/>
        </w:rPr>
        <w:t>2000.</w:t>
      </w:r>
    </w:p>
    <w:p w14:paraId="106BBA37" w14:textId="7E210E66" w:rsidR="00DE27F4" w:rsidRPr="00C54196" w:rsidRDefault="000F112D" w:rsidP="00DE27F4">
      <w:pPr>
        <w:pStyle w:val="ListParagraph"/>
        <w:numPr>
          <w:ilvl w:val="0"/>
          <w:numId w:val="103"/>
        </w:numPr>
        <w:jc w:val="both"/>
        <w:rPr>
          <w:rFonts w:eastAsia="Arial Unicode MS" w:cs="Times New Roman"/>
          <w:color w:val="auto"/>
          <w:sz w:val="20"/>
          <w:szCs w:val="20"/>
          <w:lang w:eastAsia="en-US"/>
        </w:rPr>
      </w:pPr>
      <w:r w:rsidRPr="00C54196">
        <w:rPr>
          <w:sz w:val="20"/>
          <w:szCs w:val="20"/>
        </w:rPr>
        <w:t>The petitionary informs that</w:t>
      </w:r>
      <w:r w:rsidR="00DE27F4" w:rsidRPr="00C54196">
        <w:rPr>
          <w:sz w:val="20"/>
          <w:szCs w:val="20"/>
        </w:rPr>
        <w:t xml:space="preserve"> </w:t>
      </w:r>
      <w:r w:rsidRPr="00C54196">
        <w:rPr>
          <w:sz w:val="20"/>
          <w:szCs w:val="20"/>
        </w:rPr>
        <w:t>on September</w:t>
      </w:r>
      <w:r w:rsidR="00DE27F4" w:rsidRPr="00C54196">
        <w:rPr>
          <w:sz w:val="20"/>
          <w:szCs w:val="20"/>
        </w:rPr>
        <w:t xml:space="preserve"> 11</w:t>
      </w:r>
      <w:r w:rsidRPr="00C54196">
        <w:rPr>
          <w:sz w:val="20"/>
          <w:szCs w:val="20"/>
          <w:vertAlign w:val="superscript"/>
        </w:rPr>
        <w:t>th</w:t>
      </w:r>
      <w:r w:rsidRPr="00C54196">
        <w:rPr>
          <w:sz w:val="20"/>
          <w:szCs w:val="20"/>
        </w:rPr>
        <w:t xml:space="preserve"> </w:t>
      </w:r>
      <w:r w:rsidR="00DE27F4" w:rsidRPr="00C54196">
        <w:rPr>
          <w:sz w:val="20"/>
          <w:szCs w:val="20"/>
        </w:rPr>
        <w:t xml:space="preserve">2001 </w:t>
      </w:r>
      <w:r w:rsidRPr="00C54196">
        <w:rPr>
          <w:sz w:val="20"/>
          <w:szCs w:val="20"/>
        </w:rPr>
        <w:t xml:space="preserve">the Administrative Court </w:t>
      </w:r>
      <w:r w:rsidR="00DE27F4" w:rsidRPr="00C54196">
        <w:rPr>
          <w:sz w:val="20"/>
          <w:szCs w:val="20"/>
        </w:rPr>
        <w:t>admit</w:t>
      </w:r>
      <w:r w:rsidRPr="00C54196">
        <w:rPr>
          <w:sz w:val="20"/>
          <w:szCs w:val="20"/>
        </w:rPr>
        <w:t>ted</w:t>
      </w:r>
      <w:r w:rsidR="00DE27F4" w:rsidRPr="00C54196">
        <w:rPr>
          <w:sz w:val="20"/>
          <w:szCs w:val="20"/>
        </w:rPr>
        <w:t xml:space="preserve"> </w:t>
      </w:r>
      <w:r w:rsidR="00161099" w:rsidRPr="00C54196">
        <w:rPr>
          <w:sz w:val="20"/>
          <w:szCs w:val="20"/>
        </w:rPr>
        <w:t>the condemnatory sentence as a consultation before the</w:t>
      </w:r>
      <w:r w:rsidR="00DE27F4" w:rsidRPr="00C54196">
        <w:rPr>
          <w:sz w:val="20"/>
          <w:szCs w:val="20"/>
        </w:rPr>
        <w:t xml:space="preserve"> </w:t>
      </w:r>
      <w:r w:rsidR="00161099" w:rsidRPr="00C54196">
        <w:rPr>
          <w:sz w:val="20"/>
          <w:szCs w:val="20"/>
        </w:rPr>
        <w:t>State Council</w:t>
      </w:r>
      <w:r w:rsidR="00DE27F4" w:rsidRPr="00C54196">
        <w:rPr>
          <w:sz w:val="20"/>
          <w:szCs w:val="20"/>
        </w:rPr>
        <w:t xml:space="preserve">, </w:t>
      </w:r>
      <w:r w:rsidR="00161099" w:rsidRPr="00C54196">
        <w:rPr>
          <w:sz w:val="20"/>
          <w:szCs w:val="20"/>
        </w:rPr>
        <w:t>since the amount of the monetary indemnity</w:t>
      </w:r>
      <w:r w:rsidR="00DE27F4" w:rsidRPr="00C54196">
        <w:rPr>
          <w:sz w:val="20"/>
          <w:szCs w:val="20"/>
        </w:rPr>
        <w:t xml:space="preserve"> </w:t>
      </w:r>
      <w:r w:rsidR="00161099" w:rsidRPr="00C54196">
        <w:rPr>
          <w:sz w:val="20"/>
          <w:szCs w:val="20"/>
        </w:rPr>
        <w:t>surpassed the minimum</w:t>
      </w:r>
      <w:r w:rsidR="00DE27F4" w:rsidRPr="00C54196">
        <w:rPr>
          <w:sz w:val="20"/>
          <w:szCs w:val="20"/>
        </w:rPr>
        <w:t xml:space="preserve">. </w:t>
      </w:r>
      <w:r w:rsidR="00161099" w:rsidRPr="00C54196">
        <w:rPr>
          <w:sz w:val="20"/>
          <w:szCs w:val="20"/>
        </w:rPr>
        <w:t>The aforementioned was based on L</w:t>
      </w:r>
      <w:r w:rsidR="00DE27F4" w:rsidRPr="00C54196">
        <w:rPr>
          <w:sz w:val="20"/>
          <w:szCs w:val="20"/>
        </w:rPr>
        <w:t>a</w:t>
      </w:r>
      <w:r w:rsidR="00161099" w:rsidRPr="00C54196">
        <w:rPr>
          <w:sz w:val="20"/>
          <w:szCs w:val="20"/>
        </w:rPr>
        <w:t>w</w:t>
      </w:r>
      <w:r w:rsidR="00DE27F4" w:rsidRPr="00C54196">
        <w:rPr>
          <w:sz w:val="20"/>
          <w:szCs w:val="20"/>
        </w:rPr>
        <w:t xml:space="preserve"> 446 </w:t>
      </w:r>
      <w:r w:rsidR="00161099" w:rsidRPr="00C54196">
        <w:rPr>
          <w:sz w:val="20"/>
          <w:szCs w:val="20"/>
        </w:rPr>
        <w:t>from</w:t>
      </w:r>
      <w:r w:rsidR="00DE27F4" w:rsidRPr="00C54196">
        <w:rPr>
          <w:sz w:val="20"/>
          <w:szCs w:val="20"/>
        </w:rPr>
        <w:t xml:space="preserve"> 1998 </w:t>
      </w:r>
      <w:r w:rsidR="00161099" w:rsidRPr="00C54196">
        <w:rPr>
          <w:sz w:val="20"/>
          <w:szCs w:val="20"/>
        </w:rPr>
        <w:t>which states that whenever the payment of a monetary indemnity</w:t>
      </w:r>
      <w:r w:rsidR="00DE27F4" w:rsidRPr="00C54196">
        <w:rPr>
          <w:sz w:val="20"/>
          <w:szCs w:val="20"/>
        </w:rPr>
        <w:t xml:space="preserve"> </w:t>
      </w:r>
      <w:r w:rsidR="00161099" w:rsidRPr="00C54196">
        <w:rPr>
          <w:sz w:val="20"/>
          <w:szCs w:val="20"/>
        </w:rPr>
        <w:t>surpasses</w:t>
      </w:r>
      <w:r w:rsidR="00DE27F4" w:rsidRPr="00C54196">
        <w:rPr>
          <w:sz w:val="20"/>
          <w:szCs w:val="20"/>
        </w:rPr>
        <w:t xml:space="preserve"> 300 </w:t>
      </w:r>
      <w:r w:rsidR="00161099" w:rsidRPr="00C54196">
        <w:rPr>
          <w:sz w:val="20"/>
          <w:szCs w:val="20"/>
        </w:rPr>
        <w:t>minimum wages</w:t>
      </w:r>
      <w:r w:rsidR="00DE27F4" w:rsidRPr="00C54196">
        <w:rPr>
          <w:sz w:val="20"/>
          <w:szCs w:val="20"/>
        </w:rPr>
        <w:t xml:space="preserve">, </w:t>
      </w:r>
      <w:r w:rsidR="00161099" w:rsidRPr="00C54196">
        <w:rPr>
          <w:sz w:val="20"/>
          <w:szCs w:val="20"/>
        </w:rPr>
        <w:t>it is to be consulted with the</w:t>
      </w:r>
      <w:r w:rsidR="00DE27F4" w:rsidRPr="00C54196">
        <w:rPr>
          <w:sz w:val="20"/>
          <w:szCs w:val="20"/>
        </w:rPr>
        <w:t xml:space="preserve"> superior </w:t>
      </w:r>
      <w:r w:rsidR="00161099" w:rsidRPr="00C54196">
        <w:rPr>
          <w:sz w:val="20"/>
          <w:szCs w:val="20"/>
        </w:rPr>
        <w:t>even without appeal</w:t>
      </w:r>
      <w:r w:rsidR="00DE27F4" w:rsidRPr="00C54196">
        <w:rPr>
          <w:sz w:val="20"/>
          <w:szCs w:val="20"/>
        </w:rPr>
        <w:t xml:space="preserve">. </w:t>
      </w:r>
      <w:r w:rsidR="00DE27F4" w:rsidRPr="00C54196">
        <w:t xml:space="preserve"> </w:t>
      </w:r>
      <w:r w:rsidR="00161099" w:rsidRPr="00C54196">
        <w:rPr>
          <w:rFonts w:eastAsia="Arial Unicode MS" w:cs="Times New Roman"/>
          <w:color w:val="auto"/>
          <w:sz w:val="20"/>
          <w:szCs w:val="20"/>
          <w:lang w:eastAsia="en-US"/>
        </w:rPr>
        <w:t>The petitionary affirms that on November</w:t>
      </w:r>
      <w:r w:rsidR="00DE27F4" w:rsidRPr="00C54196">
        <w:rPr>
          <w:rFonts w:eastAsia="Arial Unicode MS" w:cs="Times New Roman"/>
          <w:color w:val="auto"/>
          <w:sz w:val="20"/>
          <w:szCs w:val="20"/>
          <w:lang w:eastAsia="en-US"/>
        </w:rPr>
        <w:t xml:space="preserve"> 22</w:t>
      </w:r>
      <w:r w:rsidR="00161099" w:rsidRPr="00C54196">
        <w:rPr>
          <w:rFonts w:eastAsia="Arial Unicode MS" w:cs="Times New Roman"/>
          <w:color w:val="auto"/>
          <w:sz w:val="20"/>
          <w:szCs w:val="20"/>
          <w:vertAlign w:val="superscript"/>
          <w:lang w:eastAsia="en-US"/>
        </w:rPr>
        <w:t>nd</w:t>
      </w:r>
      <w:r w:rsidR="00161099" w:rsidRPr="00C54196">
        <w:rPr>
          <w:rFonts w:eastAsia="Arial Unicode MS" w:cs="Times New Roman"/>
          <w:color w:val="auto"/>
          <w:sz w:val="20"/>
          <w:szCs w:val="20"/>
          <w:lang w:eastAsia="en-US"/>
        </w:rPr>
        <w:t xml:space="preserve"> </w:t>
      </w:r>
      <w:r w:rsidR="00DE27F4" w:rsidRPr="00C54196">
        <w:rPr>
          <w:rFonts w:eastAsia="Arial Unicode MS" w:cs="Times New Roman"/>
          <w:color w:val="auto"/>
          <w:sz w:val="20"/>
          <w:szCs w:val="20"/>
          <w:lang w:eastAsia="en-US"/>
        </w:rPr>
        <w:t xml:space="preserve">2001 </w:t>
      </w:r>
      <w:r w:rsidR="00161099" w:rsidRPr="00C54196">
        <w:rPr>
          <w:rFonts w:eastAsia="Arial Unicode MS" w:cs="Times New Roman"/>
          <w:color w:val="auto"/>
          <w:sz w:val="20"/>
          <w:szCs w:val="20"/>
          <w:lang w:eastAsia="en-US"/>
        </w:rPr>
        <w:t>a reposition petition was filed and on November</w:t>
      </w:r>
      <w:r w:rsidR="00DE27F4" w:rsidRPr="00C54196">
        <w:rPr>
          <w:rFonts w:eastAsia="Arial Unicode MS" w:cs="Times New Roman"/>
          <w:color w:val="auto"/>
          <w:sz w:val="20"/>
          <w:szCs w:val="20"/>
          <w:lang w:eastAsia="en-US"/>
        </w:rPr>
        <w:t xml:space="preserve"> 27</w:t>
      </w:r>
      <w:r w:rsidR="00161099" w:rsidRPr="00C54196">
        <w:rPr>
          <w:rFonts w:eastAsia="Arial Unicode MS" w:cs="Times New Roman"/>
          <w:color w:val="auto"/>
          <w:sz w:val="20"/>
          <w:szCs w:val="20"/>
          <w:vertAlign w:val="superscript"/>
          <w:lang w:eastAsia="en-US"/>
        </w:rPr>
        <w:t>th</w:t>
      </w:r>
      <w:r w:rsidR="00161099" w:rsidRPr="00C54196">
        <w:rPr>
          <w:rFonts w:eastAsia="Arial Unicode MS" w:cs="Times New Roman"/>
          <w:color w:val="auto"/>
          <w:sz w:val="20"/>
          <w:szCs w:val="20"/>
          <w:lang w:eastAsia="en-US"/>
        </w:rPr>
        <w:t xml:space="preserve"> </w:t>
      </w:r>
      <w:r w:rsidR="00DE27F4" w:rsidRPr="00C54196">
        <w:rPr>
          <w:rFonts w:eastAsia="Arial Unicode MS" w:cs="Times New Roman"/>
          <w:color w:val="auto"/>
          <w:sz w:val="20"/>
          <w:szCs w:val="20"/>
          <w:lang w:eastAsia="en-US"/>
        </w:rPr>
        <w:t xml:space="preserve">2001 </w:t>
      </w:r>
      <w:r w:rsidR="00161099" w:rsidRPr="00C54196">
        <w:rPr>
          <w:rFonts w:eastAsia="Arial Unicode MS" w:cs="Times New Roman"/>
          <w:color w:val="auto"/>
          <w:sz w:val="20"/>
          <w:szCs w:val="20"/>
          <w:lang w:eastAsia="en-US"/>
        </w:rPr>
        <w:t>as well as an appeal versus the decision of the</w:t>
      </w:r>
      <w:r w:rsidR="00DE27F4" w:rsidRPr="00C54196">
        <w:rPr>
          <w:rFonts w:eastAsia="Arial Unicode MS" w:cs="Times New Roman"/>
          <w:color w:val="auto"/>
          <w:sz w:val="20"/>
          <w:szCs w:val="20"/>
          <w:lang w:eastAsia="en-US"/>
        </w:rPr>
        <w:t xml:space="preserve"> </w:t>
      </w:r>
      <w:r w:rsidR="00590C59">
        <w:rPr>
          <w:rFonts w:eastAsia="Arial Unicode MS" w:cs="Times New Roman"/>
          <w:color w:val="auto"/>
          <w:sz w:val="20"/>
          <w:szCs w:val="20"/>
          <w:lang w:eastAsia="en-US"/>
        </w:rPr>
        <w:t>Administrative Court</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Also</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an action for protection was filed</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but the</w:t>
      </w:r>
      <w:r w:rsidR="00DE27F4" w:rsidRPr="00C54196">
        <w:rPr>
          <w:rFonts w:eastAsia="Arial Unicode MS" w:cs="Times New Roman"/>
          <w:color w:val="auto"/>
          <w:sz w:val="20"/>
          <w:szCs w:val="20"/>
          <w:lang w:eastAsia="en-US"/>
        </w:rPr>
        <w:t xml:space="preserve"> </w:t>
      </w:r>
      <w:r w:rsidR="00590C59">
        <w:rPr>
          <w:rFonts w:eastAsia="Arial Unicode MS" w:cs="Times New Roman"/>
          <w:color w:val="auto"/>
          <w:sz w:val="20"/>
          <w:szCs w:val="20"/>
          <w:lang w:eastAsia="en-US"/>
        </w:rPr>
        <w:t>Administrative Court</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declared it non-applicable</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on June</w:t>
      </w:r>
      <w:r w:rsidR="00DE27F4" w:rsidRPr="00C54196">
        <w:rPr>
          <w:rFonts w:eastAsia="Arial Unicode MS" w:cs="Times New Roman"/>
          <w:color w:val="auto"/>
          <w:sz w:val="20"/>
          <w:szCs w:val="20"/>
          <w:lang w:eastAsia="en-US"/>
        </w:rPr>
        <w:t xml:space="preserve"> 21</w:t>
      </w:r>
      <w:r w:rsidR="003536DF" w:rsidRPr="00C54196">
        <w:rPr>
          <w:rFonts w:eastAsia="Arial Unicode MS" w:cs="Times New Roman"/>
          <w:color w:val="auto"/>
          <w:sz w:val="20"/>
          <w:szCs w:val="20"/>
          <w:vertAlign w:val="superscript"/>
          <w:lang w:eastAsia="en-US"/>
        </w:rPr>
        <w:t>st</w:t>
      </w:r>
      <w:r w:rsidR="003536DF" w:rsidRPr="00C54196">
        <w:rPr>
          <w:rFonts w:eastAsia="Arial Unicode MS" w:cs="Times New Roman"/>
          <w:color w:val="auto"/>
          <w:sz w:val="20"/>
          <w:szCs w:val="20"/>
          <w:lang w:eastAsia="en-US"/>
        </w:rPr>
        <w:t xml:space="preserve"> 2</w:t>
      </w:r>
      <w:r w:rsidR="00DE27F4" w:rsidRPr="00C54196">
        <w:rPr>
          <w:rFonts w:eastAsia="Arial Unicode MS" w:cs="Times New Roman"/>
          <w:color w:val="auto"/>
          <w:sz w:val="20"/>
          <w:szCs w:val="20"/>
          <w:lang w:eastAsia="en-US"/>
        </w:rPr>
        <w:t xml:space="preserve">002; </w:t>
      </w:r>
      <w:r w:rsidR="003536DF" w:rsidRPr="00C54196">
        <w:rPr>
          <w:rFonts w:eastAsia="Arial Unicode MS" w:cs="Times New Roman"/>
          <w:color w:val="auto"/>
          <w:sz w:val="20"/>
          <w:szCs w:val="20"/>
          <w:lang w:eastAsia="en-US"/>
        </w:rPr>
        <w:t>on the decision</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of reposition petition</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it maintained the criteria</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in that it needed to be consulted before the</w:t>
      </w:r>
      <w:r w:rsidR="00DE27F4" w:rsidRPr="00C54196">
        <w:rPr>
          <w:rFonts w:eastAsia="Arial Unicode MS" w:cs="Times New Roman"/>
          <w:color w:val="auto"/>
          <w:sz w:val="20"/>
          <w:szCs w:val="20"/>
          <w:lang w:eastAsia="en-US"/>
        </w:rPr>
        <w:t xml:space="preserve"> </w:t>
      </w:r>
      <w:r w:rsidR="003536DF" w:rsidRPr="00C54196">
        <w:rPr>
          <w:rFonts w:eastAsia="Arial Unicode MS" w:cs="Times New Roman"/>
          <w:color w:val="auto"/>
          <w:sz w:val="20"/>
          <w:szCs w:val="20"/>
          <w:lang w:eastAsia="en-US"/>
        </w:rPr>
        <w:t>State Council due to the amount of the indemnity</w:t>
      </w:r>
      <w:r w:rsidR="00DE27F4" w:rsidRPr="00C54196">
        <w:rPr>
          <w:rFonts w:eastAsia="Arial Unicode MS" w:cs="Times New Roman"/>
          <w:color w:val="auto"/>
          <w:sz w:val="20"/>
          <w:szCs w:val="20"/>
          <w:lang w:eastAsia="en-US"/>
        </w:rPr>
        <w:t>.</w:t>
      </w:r>
    </w:p>
    <w:p w14:paraId="0FD38974" w14:textId="77777777" w:rsidR="00DE27F4" w:rsidRPr="00C54196" w:rsidRDefault="00DE27F4" w:rsidP="00DE27F4">
      <w:pPr>
        <w:pStyle w:val="ListParagraph"/>
        <w:jc w:val="both"/>
        <w:rPr>
          <w:sz w:val="20"/>
          <w:szCs w:val="20"/>
        </w:rPr>
      </w:pPr>
    </w:p>
    <w:p w14:paraId="414CE6D4" w14:textId="0303CF35" w:rsidR="00DE27F4" w:rsidRPr="00C54196" w:rsidRDefault="0002217F" w:rsidP="00DE27F4">
      <w:pPr>
        <w:pStyle w:val="ListParagraph"/>
        <w:numPr>
          <w:ilvl w:val="0"/>
          <w:numId w:val="103"/>
        </w:numPr>
        <w:jc w:val="both"/>
        <w:rPr>
          <w:rFonts w:eastAsia="Arial Unicode MS" w:cs="Times New Roman"/>
          <w:color w:val="auto"/>
          <w:sz w:val="20"/>
          <w:szCs w:val="20"/>
          <w:lang w:eastAsia="en-US"/>
        </w:rPr>
      </w:pPr>
      <w:r w:rsidRPr="00C54196">
        <w:rPr>
          <w:sz w:val="20"/>
          <w:szCs w:val="20"/>
        </w:rPr>
        <w:t>On November 15</w:t>
      </w:r>
      <w:r w:rsidRPr="00C54196">
        <w:rPr>
          <w:sz w:val="20"/>
          <w:szCs w:val="20"/>
          <w:vertAlign w:val="superscript"/>
        </w:rPr>
        <w:t>th</w:t>
      </w:r>
      <w:r w:rsidRPr="00C54196">
        <w:rPr>
          <w:sz w:val="20"/>
          <w:szCs w:val="20"/>
        </w:rPr>
        <w:t xml:space="preserve"> </w:t>
      </w:r>
      <w:r w:rsidR="00DE27F4" w:rsidRPr="00C54196">
        <w:rPr>
          <w:sz w:val="20"/>
          <w:szCs w:val="20"/>
        </w:rPr>
        <w:t xml:space="preserve">2002 </w:t>
      </w:r>
      <w:r w:rsidRPr="00C54196">
        <w:rPr>
          <w:sz w:val="20"/>
          <w:szCs w:val="20"/>
        </w:rPr>
        <w:t>another</w:t>
      </w:r>
      <w:r w:rsidR="00DE27F4" w:rsidRPr="00C54196">
        <w:rPr>
          <w:sz w:val="20"/>
          <w:szCs w:val="20"/>
        </w:rPr>
        <w:t xml:space="preserve"> </w:t>
      </w:r>
      <w:r w:rsidRPr="00C54196">
        <w:rPr>
          <w:sz w:val="20"/>
          <w:szCs w:val="20"/>
        </w:rPr>
        <w:t>reposition</w:t>
      </w:r>
      <w:r w:rsidR="00DE27F4" w:rsidRPr="00C54196">
        <w:rPr>
          <w:sz w:val="20"/>
          <w:szCs w:val="20"/>
        </w:rPr>
        <w:t xml:space="preserve"> </w:t>
      </w:r>
      <w:r w:rsidRPr="00C54196">
        <w:rPr>
          <w:sz w:val="20"/>
          <w:szCs w:val="20"/>
        </w:rPr>
        <w:t>motion was filed before the</w:t>
      </w:r>
      <w:r w:rsidR="00DE27F4" w:rsidRPr="00C54196">
        <w:rPr>
          <w:sz w:val="20"/>
          <w:szCs w:val="20"/>
        </w:rPr>
        <w:t xml:space="preserve"> </w:t>
      </w:r>
      <w:r w:rsidRPr="00C54196">
        <w:rPr>
          <w:sz w:val="20"/>
          <w:szCs w:val="20"/>
        </w:rPr>
        <w:t>State Council against the order which admitted the consultation degree</w:t>
      </w:r>
      <w:r w:rsidR="00DE27F4" w:rsidRPr="00C54196">
        <w:rPr>
          <w:sz w:val="20"/>
          <w:szCs w:val="20"/>
        </w:rPr>
        <w:t xml:space="preserve">, </w:t>
      </w:r>
      <w:r w:rsidRPr="00C54196">
        <w:rPr>
          <w:sz w:val="20"/>
          <w:szCs w:val="20"/>
        </w:rPr>
        <w:t>which was also dismissed due to the amount of the indemnity</w:t>
      </w:r>
      <w:r w:rsidR="00DE27F4" w:rsidRPr="00C54196">
        <w:rPr>
          <w:sz w:val="20"/>
          <w:szCs w:val="20"/>
        </w:rPr>
        <w:t xml:space="preserve">. </w:t>
      </w:r>
      <w:r w:rsidRPr="00C54196">
        <w:rPr>
          <w:sz w:val="20"/>
          <w:szCs w:val="20"/>
        </w:rPr>
        <w:t>On May 30</w:t>
      </w:r>
      <w:r w:rsidRPr="00C54196">
        <w:rPr>
          <w:sz w:val="20"/>
          <w:szCs w:val="20"/>
          <w:vertAlign w:val="superscript"/>
        </w:rPr>
        <w:t>th</w:t>
      </w:r>
      <w:r w:rsidRPr="00C54196">
        <w:rPr>
          <w:sz w:val="20"/>
          <w:szCs w:val="20"/>
        </w:rPr>
        <w:t xml:space="preserve"> </w:t>
      </w:r>
      <w:r w:rsidR="00DE27F4" w:rsidRPr="00C54196">
        <w:rPr>
          <w:sz w:val="20"/>
          <w:szCs w:val="20"/>
        </w:rPr>
        <w:t xml:space="preserve">2003 </w:t>
      </w:r>
      <w:r w:rsidRPr="00C54196">
        <w:rPr>
          <w:sz w:val="20"/>
          <w:szCs w:val="20"/>
        </w:rPr>
        <w:t xml:space="preserve">the </w:t>
      </w:r>
      <w:r w:rsidR="00590C59">
        <w:rPr>
          <w:sz w:val="20"/>
          <w:szCs w:val="20"/>
        </w:rPr>
        <w:t>State Council</w:t>
      </w:r>
      <w:r w:rsidR="00DE27F4" w:rsidRPr="00C54196">
        <w:rPr>
          <w:sz w:val="20"/>
          <w:szCs w:val="20"/>
        </w:rPr>
        <w:t xml:space="preserve"> </w:t>
      </w:r>
      <w:r w:rsidRPr="00C54196">
        <w:rPr>
          <w:sz w:val="20"/>
          <w:szCs w:val="20"/>
        </w:rPr>
        <w:t xml:space="preserve">was requested to amend the current proceeding </w:t>
      </w:r>
      <w:r w:rsidR="00A15F8D" w:rsidRPr="00C54196">
        <w:rPr>
          <w:sz w:val="20"/>
          <w:szCs w:val="20"/>
        </w:rPr>
        <w:t>which permitted the disclosure of the case</w:t>
      </w:r>
      <w:r w:rsidR="00DE27F4" w:rsidRPr="00C54196">
        <w:rPr>
          <w:sz w:val="20"/>
          <w:szCs w:val="20"/>
        </w:rPr>
        <w:t xml:space="preserve">, </w:t>
      </w:r>
      <w:r w:rsidR="00A15F8D" w:rsidRPr="00C54196">
        <w:rPr>
          <w:sz w:val="20"/>
          <w:szCs w:val="20"/>
        </w:rPr>
        <w:t>but it was also rejected on Se</w:t>
      </w:r>
      <w:r w:rsidR="00590C59">
        <w:rPr>
          <w:sz w:val="20"/>
          <w:szCs w:val="20"/>
        </w:rPr>
        <w:t>p</w:t>
      </w:r>
      <w:r w:rsidR="00A15F8D" w:rsidRPr="00C54196">
        <w:rPr>
          <w:sz w:val="20"/>
          <w:szCs w:val="20"/>
        </w:rPr>
        <w:t>tember</w:t>
      </w:r>
      <w:r w:rsidR="00DE27F4" w:rsidRPr="00C54196">
        <w:rPr>
          <w:sz w:val="20"/>
          <w:szCs w:val="20"/>
        </w:rPr>
        <w:t xml:space="preserve"> 11</w:t>
      </w:r>
      <w:r w:rsidR="00A15F8D" w:rsidRPr="00C54196">
        <w:rPr>
          <w:sz w:val="20"/>
          <w:szCs w:val="20"/>
          <w:vertAlign w:val="superscript"/>
        </w:rPr>
        <w:t>th</w:t>
      </w:r>
      <w:r w:rsidR="00A15F8D" w:rsidRPr="00C54196">
        <w:rPr>
          <w:sz w:val="20"/>
          <w:szCs w:val="20"/>
        </w:rPr>
        <w:t xml:space="preserve"> </w:t>
      </w:r>
      <w:r w:rsidR="00DE27F4" w:rsidRPr="00C54196">
        <w:rPr>
          <w:sz w:val="20"/>
          <w:szCs w:val="20"/>
        </w:rPr>
        <w:t>2003. Final</w:t>
      </w:r>
      <w:r w:rsidR="00A15F8D" w:rsidRPr="00C54196">
        <w:rPr>
          <w:sz w:val="20"/>
          <w:szCs w:val="20"/>
        </w:rPr>
        <w:t>ly</w:t>
      </w:r>
      <w:r w:rsidR="00DE27F4" w:rsidRPr="00C54196">
        <w:rPr>
          <w:sz w:val="20"/>
          <w:szCs w:val="20"/>
        </w:rPr>
        <w:t xml:space="preserve">, </w:t>
      </w:r>
      <w:r w:rsidR="00A15F8D" w:rsidRPr="00C54196">
        <w:rPr>
          <w:sz w:val="20"/>
          <w:szCs w:val="20"/>
        </w:rPr>
        <w:t>on May</w:t>
      </w:r>
      <w:r w:rsidR="00DE27F4" w:rsidRPr="00C54196">
        <w:rPr>
          <w:sz w:val="20"/>
          <w:szCs w:val="20"/>
        </w:rPr>
        <w:t xml:space="preserve"> 9</w:t>
      </w:r>
      <w:r w:rsidR="00A15F8D" w:rsidRPr="00C54196">
        <w:rPr>
          <w:sz w:val="20"/>
          <w:szCs w:val="20"/>
          <w:vertAlign w:val="superscript"/>
        </w:rPr>
        <w:t>th</w:t>
      </w:r>
      <w:r w:rsidR="00A15F8D" w:rsidRPr="00C54196">
        <w:rPr>
          <w:sz w:val="20"/>
          <w:szCs w:val="20"/>
        </w:rPr>
        <w:t xml:space="preserve"> </w:t>
      </w:r>
      <w:r w:rsidR="00DE27F4" w:rsidRPr="00C54196">
        <w:rPr>
          <w:sz w:val="20"/>
          <w:szCs w:val="20"/>
        </w:rPr>
        <w:t xml:space="preserve">2012 </w:t>
      </w:r>
      <w:r w:rsidR="00A15F8D" w:rsidRPr="00C54196">
        <w:rPr>
          <w:sz w:val="20"/>
          <w:szCs w:val="20"/>
        </w:rPr>
        <w:t>the</w:t>
      </w:r>
      <w:r w:rsidR="00DE27F4" w:rsidRPr="00C54196">
        <w:rPr>
          <w:sz w:val="20"/>
          <w:szCs w:val="20"/>
        </w:rPr>
        <w:t xml:space="preserve"> </w:t>
      </w:r>
      <w:r w:rsidR="00590C59">
        <w:rPr>
          <w:sz w:val="20"/>
          <w:szCs w:val="20"/>
        </w:rPr>
        <w:t>State Council</w:t>
      </w:r>
      <w:r w:rsidR="00DE27F4" w:rsidRPr="00C54196">
        <w:rPr>
          <w:sz w:val="20"/>
          <w:szCs w:val="20"/>
        </w:rPr>
        <w:t xml:space="preserve"> </w:t>
      </w:r>
      <w:r w:rsidR="00A15F8D" w:rsidRPr="00C54196">
        <w:rPr>
          <w:sz w:val="20"/>
          <w:szCs w:val="20"/>
        </w:rPr>
        <w:t>ruled against the plaintiffs of the direct remedy process</w:t>
      </w:r>
      <w:r w:rsidR="00DE27F4" w:rsidRPr="00C54196">
        <w:rPr>
          <w:sz w:val="20"/>
          <w:szCs w:val="20"/>
        </w:rPr>
        <w:t>; orde</w:t>
      </w:r>
      <w:r w:rsidR="00A15F8D" w:rsidRPr="00C54196">
        <w:rPr>
          <w:sz w:val="20"/>
          <w:szCs w:val="20"/>
        </w:rPr>
        <w:t>red</w:t>
      </w:r>
      <w:r w:rsidR="00DE27F4" w:rsidRPr="00C54196">
        <w:rPr>
          <w:sz w:val="20"/>
          <w:szCs w:val="20"/>
        </w:rPr>
        <w:t xml:space="preserve"> </w:t>
      </w:r>
      <w:r w:rsidR="00A15F8D" w:rsidRPr="00C54196">
        <w:rPr>
          <w:sz w:val="20"/>
          <w:szCs w:val="20"/>
        </w:rPr>
        <w:t>the revocation of the sentence of April</w:t>
      </w:r>
      <w:r w:rsidR="00DE27F4" w:rsidRPr="00C54196">
        <w:rPr>
          <w:sz w:val="20"/>
          <w:szCs w:val="20"/>
        </w:rPr>
        <w:t xml:space="preserve"> 28</w:t>
      </w:r>
      <w:r w:rsidR="00A15F8D" w:rsidRPr="00C54196">
        <w:rPr>
          <w:sz w:val="20"/>
          <w:szCs w:val="20"/>
          <w:vertAlign w:val="superscript"/>
        </w:rPr>
        <w:t>th</w:t>
      </w:r>
      <w:r w:rsidR="00A15F8D" w:rsidRPr="00C54196">
        <w:rPr>
          <w:sz w:val="20"/>
          <w:szCs w:val="20"/>
        </w:rPr>
        <w:t xml:space="preserve"> </w:t>
      </w:r>
      <w:r w:rsidR="00DE27F4" w:rsidRPr="00C54196">
        <w:rPr>
          <w:sz w:val="20"/>
          <w:szCs w:val="20"/>
        </w:rPr>
        <w:t xml:space="preserve">2000 </w:t>
      </w:r>
      <w:r w:rsidR="00A15F8D" w:rsidRPr="00C54196">
        <w:rPr>
          <w:sz w:val="20"/>
          <w:szCs w:val="20"/>
        </w:rPr>
        <w:t xml:space="preserve">by the </w:t>
      </w:r>
      <w:r w:rsidR="00590C59">
        <w:rPr>
          <w:sz w:val="20"/>
          <w:szCs w:val="20"/>
        </w:rPr>
        <w:t>Administrative Court</w:t>
      </w:r>
      <w:r w:rsidR="00DE27F4" w:rsidRPr="00C54196">
        <w:rPr>
          <w:sz w:val="20"/>
          <w:szCs w:val="20"/>
        </w:rPr>
        <w:t xml:space="preserve"> </w:t>
      </w:r>
      <w:r w:rsidR="00A15F8D" w:rsidRPr="00C54196">
        <w:rPr>
          <w:sz w:val="20"/>
          <w:szCs w:val="20"/>
        </w:rPr>
        <w:t>of</w:t>
      </w:r>
      <w:r w:rsidR="00DE27F4" w:rsidRPr="00C54196">
        <w:rPr>
          <w:sz w:val="20"/>
          <w:szCs w:val="20"/>
        </w:rPr>
        <w:t xml:space="preserve"> Antioquia; </w:t>
      </w:r>
      <w:r w:rsidR="00A15F8D" w:rsidRPr="00C54196">
        <w:rPr>
          <w:sz w:val="20"/>
          <w:szCs w:val="20"/>
        </w:rPr>
        <w:t>and declared acquittal</w:t>
      </w:r>
      <w:r w:rsidR="00DE27F4" w:rsidRPr="00C54196">
        <w:rPr>
          <w:sz w:val="20"/>
          <w:szCs w:val="20"/>
        </w:rPr>
        <w:t xml:space="preserve"> </w:t>
      </w:r>
      <w:r w:rsidR="00A15F8D" w:rsidRPr="00C54196">
        <w:rPr>
          <w:sz w:val="20"/>
          <w:szCs w:val="20"/>
        </w:rPr>
        <w:t>of the entities sentenced to</w:t>
      </w:r>
      <w:r w:rsidR="00DE27F4" w:rsidRPr="00C54196">
        <w:rPr>
          <w:sz w:val="20"/>
          <w:szCs w:val="20"/>
        </w:rPr>
        <w:t xml:space="preserve"> </w:t>
      </w:r>
      <w:r w:rsidR="00A15F8D" w:rsidRPr="00C54196">
        <w:rPr>
          <w:sz w:val="20"/>
          <w:szCs w:val="20"/>
        </w:rPr>
        <w:t>pay the indemnity</w:t>
      </w:r>
      <w:r w:rsidR="00DE27F4" w:rsidRPr="00C54196">
        <w:rPr>
          <w:sz w:val="20"/>
          <w:szCs w:val="20"/>
        </w:rPr>
        <w:t xml:space="preserve"> </w:t>
      </w:r>
      <w:r w:rsidR="00A15F8D" w:rsidRPr="00C54196">
        <w:rPr>
          <w:sz w:val="20"/>
          <w:szCs w:val="20"/>
        </w:rPr>
        <w:t>assessed previously on first instance</w:t>
      </w:r>
      <w:r w:rsidR="00DE27F4" w:rsidRPr="00C54196">
        <w:rPr>
          <w:sz w:val="20"/>
          <w:szCs w:val="20"/>
        </w:rPr>
        <w:t xml:space="preserve">. </w:t>
      </w:r>
    </w:p>
    <w:p w14:paraId="3E403BFE" w14:textId="77777777" w:rsidR="00DE27F4" w:rsidRPr="00C54196" w:rsidRDefault="00DE27F4" w:rsidP="00DE27F4">
      <w:pPr>
        <w:pStyle w:val="ListParagraph"/>
        <w:rPr>
          <w:sz w:val="20"/>
          <w:szCs w:val="20"/>
        </w:rPr>
      </w:pPr>
    </w:p>
    <w:p w14:paraId="414A451B" w14:textId="38D687E5" w:rsidR="00DE27F4" w:rsidRPr="00C54196" w:rsidRDefault="00145C6C" w:rsidP="00DE27F4">
      <w:pPr>
        <w:pStyle w:val="ListParagraph"/>
        <w:numPr>
          <w:ilvl w:val="0"/>
          <w:numId w:val="103"/>
        </w:numPr>
        <w:jc w:val="both"/>
        <w:rPr>
          <w:rFonts w:eastAsia="Arial Unicode MS" w:cs="Times New Roman"/>
          <w:color w:val="auto"/>
          <w:sz w:val="20"/>
          <w:szCs w:val="20"/>
          <w:lang w:eastAsia="en-US"/>
        </w:rPr>
      </w:pPr>
      <w:r w:rsidRPr="00C54196">
        <w:rPr>
          <w:sz w:val="20"/>
          <w:szCs w:val="20"/>
        </w:rPr>
        <w:t xml:space="preserve">The </w:t>
      </w:r>
      <w:r w:rsidR="00590C59">
        <w:rPr>
          <w:sz w:val="20"/>
          <w:szCs w:val="20"/>
        </w:rPr>
        <w:t>State Council</w:t>
      </w:r>
      <w:r w:rsidR="00DE27F4" w:rsidRPr="00C54196">
        <w:rPr>
          <w:sz w:val="20"/>
          <w:szCs w:val="20"/>
        </w:rPr>
        <w:t xml:space="preserve"> determin</w:t>
      </w:r>
      <w:r w:rsidRPr="00C54196">
        <w:rPr>
          <w:sz w:val="20"/>
          <w:szCs w:val="20"/>
        </w:rPr>
        <w:t>ed</w:t>
      </w:r>
      <w:r w:rsidR="00DE27F4" w:rsidRPr="00C54196">
        <w:rPr>
          <w:sz w:val="20"/>
          <w:szCs w:val="20"/>
        </w:rPr>
        <w:t xml:space="preserve"> </w:t>
      </w:r>
      <w:r w:rsidRPr="00C54196">
        <w:rPr>
          <w:sz w:val="20"/>
          <w:szCs w:val="20"/>
        </w:rPr>
        <w:t>that the suit lacked</w:t>
      </w:r>
      <w:r w:rsidR="00DE27F4" w:rsidRPr="00C54196">
        <w:rPr>
          <w:sz w:val="20"/>
          <w:szCs w:val="20"/>
        </w:rPr>
        <w:t xml:space="preserve"> </w:t>
      </w:r>
      <w:r w:rsidRPr="00C54196">
        <w:rPr>
          <w:sz w:val="20"/>
          <w:szCs w:val="20"/>
        </w:rPr>
        <w:t>legitimation</w:t>
      </w:r>
      <w:r w:rsidR="00DE27F4" w:rsidRPr="00C54196">
        <w:rPr>
          <w:sz w:val="20"/>
          <w:szCs w:val="20"/>
        </w:rPr>
        <w:t xml:space="preserve">, </w:t>
      </w:r>
      <w:r w:rsidRPr="00C54196">
        <w:rPr>
          <w:sz w:val="20"/>
          <w:szCs w:val="20"/>
        </w:rPr>
        <w:t>since the</w:t>
      </w:r>
      <w:r w:rsidR="00DE27F4" w:rsidRPr="00C54196">
        <w:rPr>
          <w:sz w:val="20"/>
          <w:szCs w:val="20"/>
        </w:rPr>
        <w:t xml:space="preserve"> </w:t>
      </w:r>
      <w:r w:rsidRPr="00C54196">
        <w:rPr>
          <w:sz w:val="20"/>
          <w:szCs w:val="20"/>
        </w:rPr>
        <w:t>obligations</w:t>
      </w:r>
      <w:r w:rsidR="00DE27F4" w:rsidRPr="00C54196">
        <w:rPr>
          <w:sz w:val="20"/>
          <w:szCs w:val="20"/>
        </w:rPr>
        <w:t xml:space="preserve"> </w:t>
      </w:r>
      <w:r w:rsidR="001E785F" w:rsidRPr="00C54196">
        <w:rPr>
          <w:sz w:val="20"/>
          <w:szCs w:val="20"/>
        </w:rPr>
        <w:t>to</w:t>
      </w:r>
      <w:r w:rsidRPr="00C54196">
        <w:rPr>
          <w:sz w:val="20"/>
          <w:szCs w:val="20"/>
        </w:rPr>
        <w:t xml:space="preserve"> guard and care</w:t>
      </w:r>
      <w:r w:rsidR="00DE27F4" w:rsidRPr="00C54196">
        <w:rPr>
          <w:sz w:val="20"/>
          <w:szCs w:val="20"/>
        </w:rPr>
        <w:t xml:space="preserve"> </w:t>
      </w:r>
      <w:r w:rsidR="001E785F" w:rsidRPr="00C54196">
        <w:rPr>
          <w:sz w:val="20"/>
          <w:szCs w:val="20"/>
        </w:rPr>
        <w:t>of the detained</w:t>
      </w:r>
      <w:r w:rsidR="00DE27F4" w:rsidRPr="00C54196">
        <w:rPr>
          <w:sz w:val="20"/>
          <w:szCs w:val="20"/>
        </w:rPr>
        <w:t xml:space="preserve"> </w:t>
      </w:r>
      <w:r w:rsidR="001E785F" w:rsidRPr="00C54196">
        <w:rPr>
          <w:sz w:val="20"/>
          <w:szCs w:val="20"/>
        </w:rPr>
        <w:t>pertained municipal prison authorities and not the</w:t>
      </w:r>
      <w:r w:rsidR="00DE27F4" w:rsidRPr="00C54196">
        <w:rPr>
          <w:sz w:val="20"/>
          <w:szCs w:val="20"/>
        </w:rPr>
        <w:t xml:space="preserve"> </w:t>
      </w:r>
      <w:r w:rsidR="001E785F" w:rsidRPr="00C54196">
        <w:rPr>
          <w:sz w:val="20"/>
          <w:szCs w:val="20"/>
        </w:rPr>
        <w:t>National Police</w:t>
      </w:r>
      <w:r w:rsidR="00DE27F4" w:rsidRPr="00C54196">
        <w:rPr>
          <w:sz w:val="20"/>
          <w:szCs w:val="20"/>
        </w:rPr>
        <w:t xml:space="preserve">, </w:t>
      </w:r>
      <w:r w:rsidR="001E785F" w:rsidRPr="00C54196">
        <w:rPr>
          <w:sz w:val="20"/>
          <w:szCs w:val="20"/>
        </w:rPr>
        <w:t>whose function was to look after the safety and protection of</w:t>
      </w:r>
      <w:r w:rsidR="00DE27F4" w:rsidRPr="00C54196">
        <w:rPr>
          <w:sz w:val="20"/>
          <w:szCs w:val="20"/>
        </w:rPr>
        <w:t xml:space="preserve"> </w:t>
      </w:r>
      <w:r w:rsidR="001E785F" w:rsidRPr="00C54196">
        <w:rPr>
          <w:sz w:val="20"/>
          <w:szCs w:val="20"/>
        </w:rPr>
        <w:t>inhabitants within the national territory</w:t>
      </w:r>
      <w:r w:rsidR="00DE27F4" w:rsidRPr="00C54196">
        <w:rPr>
          <w:sz w:val="20"/>
          <w:szCs w:val="20"/>
        </w:rPr>
        <w:t xml:space="preserve">; </w:t>
      </w:r>
      <w:r w:rsidR="001E785F" w:rsidRPr="00C54196">
        <w:rPr>
          <w:sz w:val="20"/>
          <w:szCs w:val="20"/>
        </w:rPr>
        <w:t>it also established of the</w:t>
      </w:r>
      <w:r w:rsidR="00DE27F4" w:rsidRPr="00C54196">
        <w:rPr>
          <w:sz w:val="20"/>
          <w:szCs w:val="20"/>
        </w:rPr>
        <w:t xml:space="preserve"> </w:t>
      </w:r>
      <w:r w:rsidR="00590C59">
        <w:rPr>
          <w:sz w:val="20"/>
          <w:szCs w:val="20"/>
        </w:rPr>
        <w:t xml:space="preserve">National Police </w:t>
      </w:r>
      <w:r w:rsidR="001E785F" w:rsidRPr="00C54196">
        <w:rPr>
          <w:sz w:val="20"/>
          <w:szCs w:val="20"/>
        </w:rPr>
        <w:t>had been diligent in informing</w:t>
      </w:r>
      <w:r w:rsidR="00DE27F4" w:rsidRPr="00C54196">
        <w:rPr>
          <w:sz w:val="20"/>
          <w:szCs w:val="20"/>
        </w:rPr>
        <w:t xml:space="preserve"> </w:t>
      </w:r>
      <w:r w:rsidR="001E785F" w:rsidRPr="00C54196">
        <w:rPr>
          <w:sz w:val="20"/>
          <w:szCs w:val="20"/>
        </w:rPr>
        <w:t>the</w:t>
      </w:r>
      <w:r w:rsidR="00DE27F4" w:rsidRPr="00C54196">
        <w:rPr>
          <w:sz w:val="20"/>
          <w:szCs w:val="20"/>
        </w:rPr>
        <w:t xml:space="preserve"> Director </w:t>
      </w:r>
      <w:r w:rsidR="001E785F" w:rsidRPr="00C54196">
        <w:rPr>
          <w:sz w:val="20"/>
          <w:szCs w:val="20"/>
        </w:rPr>
        <w:t>of the</w:t>
      </w:r>
      <w:r w:rsidR="00DE27F4" w:rsidRPr="00C54196">
        <w:rPr>
          <w:sz w:val="20"/>
          <w:szCs w:val="20"/>
        </w:rPr>
        <w:t xml:space="preserve"> Municipal</w:t>
      </w:r>
      <w:r w:rsidR="00590C59">
        <w:rPr>
          <w:sz w:val="20"/>
          <w:szCs w:val="20"/>
        </w:rPr>
        <w:t xml:space="preserve"> Prison</w:t>
      </w:r>
      <w:r w:rsidR="00DE27F4" w:rsidRPr="00C54196">
        <w:rPr>
          <w:sz w:val="20"/>
          <w:szCs w:val="20"/>
        </w:rPr>
        <w:t xml:space="preserve"> </w:t>
      </w:r>
      <w:r w:rsidR="001E785F" w:rsidRPr="00C54196">
        <w:rPr>
          <w:sz w:val="20"/>
          <w:szCs w:val="20"/>
        </w:rPr>
        <w:t>regarding the</w:t>
      </w:r>
      <w:r w:rsidR="00DE27F4" w:rsidRPr="00C54196">
        <w:rPr>
          <w:sz w:val="20"/>
          <w:szCs w:val="20"/>
        </w:rPr>
        <w:t xml:space="preserve"> irregulari</w:t>
      </w:r>
      <w:r w:rsidR="001E785F" w:rsidRPr="00C54196">
        <w:rPr>
          <w:sz w:val="20"/>
          <w:szCs w:val="20"/>
        </w:rPr>
        <w:t>ti</w:t>
      </w:r>
      <w:r w:rsidR="00DE27F4" w:rsidRPr="00C54196">
        <w:rPr>
          <w:sz w:val="20"/>
          <w:szCs w:val="20"/>
        </w:rPr>
        <w:t xml:space="preserve">es </w:t>
      </w:r>
      <w:r w:rsidR="001E785F" w:rsidRPr="00C54196">
        <w:rPr>
          <w:sz w:val="20"/>
          <w:szCs w:val="20"/>
        </w:rPr>
        <w:t>which took place in that facility</w:t>
      </w:r>
      <w:r w:rsidR="00DE27F4" w:rsidRPr="00C54196">
        <w:rPr>
          <w:sz w:val="20"/>
          <w:szCs w:val="20"/>
        </w:rPr>
        <w:t>. Final</w:t>
      </w:r>
      <w:r w:rsidR="001E785F" w:rsidRPr="00C54196">
        <w:rPr>
          <w:sz w:val="20"/>
          <w:szCs w:val="20"/>
        </w:rPr>
        <w:t>ly</w:t>
      </w:r>
      <w:r w:rsidR="00DE27F4" w:rsidRPr="00C54196">
        <w:rPr>
          <w:sz w:val="20"/>
          <w:szCs w:val="20"/>
        </w:rPr>
        <w:t xml:space="preserve">, </w:t>
      </w:r>
      <w:r w:rsidR="001E785F" w:rsidRPr="00C54196">
        <w:rPr>
          <w:sz w:val="20"/>
          <w:szCs w:val="20"/>
        </w:rPr>
        <w:t>the</w:t>
      </w:r>
      <w:r w:rsidR="00DE27F4" w:rsidRPr="00C54196">
        <w:rPr>
          <w:sz w:val="20"/>
          <w:szCs w:val="20"/>
        </w:rPr>
        <w:t xml:space="preserve"> </w:t>
      </w:r>
      <w:r w:rsidR="00590C59">
        <w:rPr>
          <w:sz w:val="20"/>
          <w:szCs w:val="20"/>
        </w:rPr>
        <w:t xml:space="preserve">State Council </w:t>
      </w:r>
      <w:r w:rsidR="001E785F" w:rsidRPr="00C54196">
        <w:rPr>
          <w:sz w:val="20"/>
          <w:szCs w:val="20"/>
        </w:rPr>
        <w:t>clarified that the</w:t>
      </w:r>
      <w:r w:rsidR="00DE27F4" w:rsidRPr="00C54196">
        <w:rPr>
          <w:sz w:val="20"/>
          <w:szCs w:val="20"/>
        </w:rPr>
        <w:t xml:space="preserve"> </w:t>
      </w:r>
      <w:r w:rsidR="001E785F" w:rsidRPr="00C54196">
        <w:rPr>
          <w:sz w:val="20"/>
          <w:szCs w:val="20"/>
        </w:rPr>
        <w:t>creation</w:t>
      </w:r>
      <w:r w:rsidR="00DE27F4" w:rsidRPr="00C54196">
        <w:rPr>
          <w:sz w:val="20"/>
          <w:szCs w:val="20"/>
        </w:rPr>
        <w:t xml:space="preserve">, </w:t>
      </w:r>
      <w:r w:rsidR="001E785F" w:rsidRPr="00C54196">
        <w:rPr>
          <w:sz w:val="20"/>
          <w:szCs w:val="20"/>
        </w:rPr>
        <w:t>direction</w:t>
      </w:r>
      <w:r w:rsidR="00DE27F4" w:rsidRPr="00C54196">
        <w:rPr>
          <w:sz w:val="20"/>
          <w:szCs w:val="20"/>
        </w:rPr>
        <w:t xml:space="preserve">, </w:t>
      </w:r>
      <w:r w:rsidR="001E785F" w:rsidRPr="00C54196">
        <w:rPr>
          <w:sz w:val="20"/>
          <w:szCs w:val="20"/>
        </w:rPr>
        <w:t>organization</w:t>
      </w:r>
      <w:r w:rsidR="00DE27F4" w:rsidRPr="00C54196">
        <w:rPr>
          <w:sz w:val="20"/>
          <w:szCs w:val="20"/>
        </w:rPr>
        <w:t xml:space="preserve">, </w:t>
      </w:r>
      <w:r w:rsidR="001E785F" w:rsidRPr="00C54196">
        <w:rPr>
          <w:sz w:val="20"/>
          <w:szCs w:val="20"/>
        </w:rPr>
        <w:t>administration</w:t>
      </w:r>
      <w:r w:rsidR="00DE27F4" w:rsidRPr="00C54196">
        <w:rPr>
          <w:sz w:val="20"/>
          <w:szCs w:val="20"/>
        </w:rPr>
        <w:t xml:space="preserve"> </w:t>
      </w:r>
      <w:r w:rsidR="001E785F" w:rsidRPr="00C54196">
        <w:rPr>
          <w:sz w:val="20"/>
          <w:szCs w:val="20"/>
        </w:rPr>
        <w:t>and</w:t>
      </w:r>
      <w:r w:rsidR="00DE27F4" w:rsidRPr="00C54196">
        <w:rPr>
          <w:sz w:val="20"/>
          <w:szCs w:val="20"/>
        </w:rPr>
        <w:t xml:space="preserve"> </w:t>
      </w:r>
      <w:r w:rsidR="001E785F" w:rsidRPr="00C54196">
        <w:rPr>
          <w:sz w:val="20"/>
          <w:szCs w:val="20"/>
        </w:rPr>
        <w:t>surveillance</w:t>
      </w:r>
      <w:r w:rsidR="00DE27F4" w:rsidRPr="00C54196">
        <w:rPr>
          <w:sz w:val="20"/>
          <w:szCs w:val="20"/>
        </w:rPr>
        <w:t xml:space="preserve"> </w:t>
      </w:r>
      <w:r w:rsidR="001E785F" w:rsidRPr="00C54196">
        <w:rPr>
          <w:sz w:val="20"/>
          <w:szCs w:val="20"/>
        </w:rPr>
        <w:t>of</w:t>
      </w:r>
      <w:r w:rsidR="00DE27F4" w:rsidRPr="00C54196">
        <w:rPr>
          <w:sz w:val="20"/>
          <w:szCs w:val="20"/>
        </w:rPr>
        <w:t xml:space="preserve"> </w:t>
      </w:r>
      <w:r w:rsidR="00590C59" w:rsidRPr="00C54196">
        <w:rPr>
          <w:sz w:val="20"/>
          <w:szCs w:val="20"/>
        </w:rPr>
        <w:t>departmental</w:t>
      </w:r>
      <w:r w:rsidR="001E785F" w:rsidRPr="00C54196">
        <w:rPr>
          <w:sz w:val="20"/>
          <w:szCs w:val="20"/>
        </w:rPr>
        <w:t xml:space="preserve"> and municipal prisons were dependent on the</w:t>
      </w:r>
      <w:r w:rsidR="00DE27F4" w:rsidRPr="00C54196">
        <w:rPr>
          <w:sz w:val="20"/>
          <w:szCs w:val="20"/>
        </w:rPr>
        <w:t xml:space="preserve"> respectiv</w:t>
      </w:r>
      <w:r w:rsidR="001E785F" w:rsidRPr="00C54196">
        <w:rPr>
          <w:sz w:val="20"/>
          <w:szCs w:val="20"/>
        </w:rPr>
        <w:t>e</w:t>
      </w:r>
      <w:r w:rsidR="00DE27F4" w:rsidRPr="00C54196">
        <w:rPr>
          <w:sz w:val="20"/>
          <w:szCs w:val="20"/>
        </w:rPr>
        <w:t xml:space="preserve"> </w:t>
      </w:r>
      <w:r w:rsidR="001E785F" w:rsidRPr="00C54196">
        <w:rPr>
          <w:sz w:val="20"/>
          <w:szCs w:val="20"/>
        </w:rPr>
        <w:lastRenderedPageBreak/>
        <w:t>Departments</w:t>
      </w:r>
      <w:r w:rsidR="00DE27F4" w:rsidRPr="00C54196">
        <w:rPr>
          <w:sz w:val="20"/>
          <w:szCs w:val="20"/>
        </w:rPr>
        <w:t xml:space="preserve"> </w:t>
      </w:r>
      <w:r w:rsidR="001E785F" w:rsidRPr="00C54196">
        <w:rPr>
          <w:sz w:val="20"/>
          <w:szCs w:val="20"/>
        </w:rPr>
        <w:t>and</w:t>
      </w:r>
      <w:r w:rsidR="00DE27F4" w:rsidRPr="00C54196">
        <w:rPr>
          <w:sz w:val="20"/>
          <w:szCs w:val="20"/>
        </w:rPr>
        <w:t xml:space="preserve"> Municip</w:t>
      </w:r>
      <w:r w:rsidR="001E785F" w:rsidRPr="00C54196">
        <w:rPr>
          <w:sz w:val="20"/>
          <w:szCs w:val="20"/>
        </w:rPr>
        <w:t>alitie</w:t>
      </w:r>
      <w:r w:rsidR="00DE27F4" w:rsidRPr="00C54196">
        <w:rPr>
          <w:sz w:val="20"/>
          <w:szCs w:val="20"/>
        </w:rPr>
        <w:t xml:space="preserve">s; </w:t>
      </w:r>
      <w:r w:rsidR="001E785F" w:rsidRPr="00C54196">
        <w:rPr>
          <w:sz w:val="20"/>
          <w:szCs w:val="20"/>
        </w:rPr>
        <w:t>and that the</w:t>
      </w:r>
      <w:r w:rsidR="00DE27F4" w:rsidRPr="00C54196">
        <w:rPr>
          <w:sz w:val="20"/>
          <w:szCs w:val="20"/>
        </w:rPr>
        <w:t xml:space="preserve"> Municip</w:t>
      </w:r>
      <w:r w:rsidR="009E0F30" w:rsidRPr="00C54196">
        <w:rPr>
          <w:sz w:val="20"/>
          <w:szCs w:val="20"/>
        </w:rPr>
        <w:t>ality</w:t>
      </w:r>
      <w:r w:rsidR="00DE27F4" w:rsidRPr="00C54196">
        <w:rPr>
          <w:sz w:val="20"/>
          <w:szCs w:val="20"/>
        </w:rPr>
        <w:t xml:space="preserve"> </w:t>
      </w:r>
      <w:r w:rsidR="009E0F30" w:rsidRPr="00C54196">
        <w:rPr>
          <w:sz w:val="20"/>
          <w:szCs w:val="20"/>
        </w:rPr>
        <w:t>had not been included in the direct remedial suit</w:t>
      </w:r>
      <w:r w:rsidR="00DE27F4" w:rsidRPr="00C54196">
        <w:rPr>
          <w:sz w:val="20"/>
          <w:szCs w:val="20"/>
        </w:rPr>
        <w:t xml:space="preserve"> </w:t>
      </w:r>
      <w:r w:rsidR="009E0F30" w:rsidRPr="00C54196">
        <w:rPr>
          <w:sz w:val="20"/>
          <w:szCs w:val="20"/>
        </w:rPr>
        <w:t>instated</w:t>
      </w:r>
      <w:r w:rsidR="00DE27F4" w:rsidRPr="00C54196">
        <w:rPr>
          <w:sz w:val="20"/>
          <w:szCs w:val="20"/>
        </w:rPr>
        <w:t>.</w:t>
      </w:r>
    </w:p>
    <w:p w14:paraId="594A01BC" w14:textId="77777777" w:rsidR="00DE27F4" w:rsidRPr="00C54196" w:rsidRDefault="00DE27F4" w:rsidP="00DE27F4">
      <w:pPr>
        <w:pStyle w:val="ListParagraph"/>
        <w:jc w:val="both"/>
        <w:rPr>
          <w:sz w:val="20"/>
          <w:szCs w:val="20"/>
        </w:rPr>
      </w:pPr>
    </w:p>
    <w:p w14:paraId="07317CD7" w14:textId="38CC6F2E" w:rsidR="00DE27F4" w:rsidRPr="00C54196" w:rsidRDefault="00E443E6"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The petitionary</w:t>
      </w:r>
      <w:r w:rsidR="00DE27F4" w:rsidRPr="00C54196">
        <w:rPr>
          <w:rFonts w:ascii="Cambria" w:hAnsi="Cambria"/>
          <w:sz w:val="20"/>
          <w:szCs w:val="20"/>
        </w:rPr>
        <w:t xml:space="preserve"> inform</w:t>
      </w:r>
      <w:r w:rsidRPr="00C54196">
        <w:rPr>
          <w:rFonts w:ascii="Cambria" w:hAnsi="Cambria"/>
          <w:sz w:val="20"/>
          <w:szCs w:val="20"/>
        </w:rPr>
        <w:t>s</w:t>
      </w:r>
      <w:r w:rsidR="00DE27F4" w:rsidRPr="00C54196">
        <w:rPr>
          <w:rFonts w:ascii="Cambria" w:hAnsi="Cambria"/>
          <w:sz w:val="20"/>
          <w:szCs w:val="20"/>
        </w:rPr>
        <w:t xml:space="preserve"> </w:t>
      </w:r>
      <w:r w:rsidRPr="00C54196">
        <w:rPr>
          <w:rFonts w:ascii="Cambria" w:hAnsi="Cambria"/>
          <w:sz w:val="20"/>
          <w:szCs w:val="20"/>
        </w:rPr>
        <w:t>that Mrs.</w:t>
      </w:r>
      <w:r w:rsidR="00DE27F4" w:rsidRPr="00C54196">
        <w:rPr>
          <w:rFonts w:ascii="Cambria" w:hAnsi="Cambria"/>
          <w:sz w:val="20"/>
          <w:szCs w:val="20"/>
        </w:rPr>
        <w:t xml:space="preserve"> </w:t>
      </w:r>
      <w:proofErr w:type="spellStart"/>
      <w:r w:rsidR="00DE27F4" w:rsidRPr="00C54196">
        <w:rPr>
          <w:rFonts w:ascii="Cambria" w:hAnsi="Cambria"/>
          <w:sz w:val="20"/>
          <w:szCs w:val="20"/>
        </w:rPr>
        <w:t>Arnovia</w:t>
      </w:r>
      <w:proofErr w:type="spellEnd"/>
      <w:r w:rsidR="00DE27F4" w:rsidRPr="00C54196">
        <w:rPr>
          <w:rFonts w:ascii="Cambria" w:hAnsi="Cambria"/>
          <w:sz w:val="20"/>
          <w:szCs w:val="20"/>
        </w:rPr>
        <w:t xml:space="preserve"> del Socorro Cardona Escobar, </w:t>
      </w:r>
      <w:r w:rsidRPr="00C54196">
        <w:rPr>
          <w:rFonts w:ascii="Cambria" w:hAnsi="Cambria"/>
          <w:sz w:val="20"/>
          <w:szCs w:val="20"/>
        </w:rPr>
        <w:t xml:space="preserve">relative of </w:t>
      </w:r>
      <w:r w:rsidR="00DE27F4" w:rsidRPr="00C54196">
        <w:rPr>
          <w:rFonts w:ascii="Cambria" w:hAnsi="Cambria"/>
          <w:sz w:val="20"/>
          <w:szCs w:val="20"/>
        </w:rPr>
        <w:t xml:space="preserve">Isidro León Ramírez Ciro, </w:t>
      </w:r>
      <w:r w:rsidRPr="00C54196">
        <w:rPr>
          <w:rFonts w:ascii="Cambria" w:hAnsi="Cambria"/>
          <w:sz w:val="20"/>
          <w:szCs w:val="20"/>
        </w:rPr>
        <w:t>another detained</w:t>
      </w:r>
      <w:r w:rsidR="00DE27F4" w:rsidRPr="00C54196">
        <w:rPr>
          <w:rFonts w:ascii="Cambria" w:hAnsi="Cambria"/>
          <w:sz w:val="20"/>
          <w:szCs w:val="20"/>
        </w:rPr>
        <w:t xml:space="preserve"> </w:t>
      </w:r>
      <w:r w:rsidRPr="00C54196">
        <w:rPr>
          <w:rFonts w:ascii="Cambria" w:hAnsi="Cambria"/>
          <w:sz w:val="20"/>
          <w:szCs w:val="20"/>
        </w:rPr>
        <w:t>who was kidnapped and murdered under the same circumstances as the</w:t>
      </w:r>
      <w:r w:rsidR="00DE27F4" w:rsidRPr="00C54196">
        <w:rPr>
          <w:rFonts w:ascii="Cambria" w:hAnsi="Cambria"/>
          <w:sz w:val="20"/>
          <w:szCs w:val="20"/>
        </w:rPr>
        <w:t xml:space="preserve"> Zapata Álvarez</w:t>
      </w:r>
      <w:r w:rsidRPr="00C54196">
        <w:rPr>
          <w:rFonts w:ascii="Cambria" w:hAnsi="Cambria"/>
          <w:sz w:val="20"/>
          <w:szCs w:val="20"/>
        </w:rPr>
        <w:t xml:space="preserve"> brothers</w:t>
      </w:r>
      <w:r w:rsidR="00DE27F4" w:rsidRPr="00C54196">
        <w:rPr>
          <w:rFonts w:ascii="Cambria" w:hAnsi="Cambria"/>
          <w:sz w:val="20"/>
          <w:szCs w:val="20"/>
        </w:rPr>
        <w:t xml:space="preserve">, </w:t>
      </w:r>
      <w:r w:rsidRPr="00C54196">
        <w:rPr>
          <w:rFonts w:ascii="Cambria" w:hAnsi="Cambria"/>
          <w:sz w:val="20"/>
          <w:szCs w:val="20"/>
        </w:rPr>
        <w:t>also filed a direct remedy suit</w:t>
      </w:r>
      <w:r w:rsidR="00DE27F4" w:rsidRPr="00C54196">
        <w:rPr>
          <w:rFonts w:ascii="Cambria" w:hAnsi="Cambria"/>
          <w:sz w:val="20"/>
          <w:szCs w:val="20"/>
        </w:rPr>
        <w:t xml:space="preserve">. </w:t>
      </w:r>
      <w:r w:rsidRPr="00C54196">
        <w:rPr>
          <w:rFonts w:ascii="Cambria" w:hAnsi="Cambria"/>
          <w:sz w:val="20"/>
          <w:szCs w:val="20"/>
        </w:rPr>
        <w:t>Such case was studied by the State Council</w:t>
      </w:r>
      <w:r w:rsidR="00DE27F4" w:rsidRPr="00C54196">
        <w:rPr>
          <w:rFonts w:ascii="Cambria" w:hAnsi="Cambria"/>
          <w:sz w:val="20"/>
          <w:szCs w:val="20"/>
        </w:rPr>
        <w:t xml:space="preserve">, </w:t>
      </w:r>
      <w:r w:rsidRPr="00C54196">
        <w:rPr>
          <w:rFonts w:ascii="Cambria" w:hAnsi="Cambria"/>
          <w:sz w:val="20"/>
          <w:szCs w:val="20"/>
        </w:rPr>
        <w:t xml:space="preserve">which ruled </w:t>
      </w:r>
      <w:r w:rsidR="00DE27F4" w:rsidRPr="00C54196">
        <w:rPr>
          <w:rFonts w:ascii="Cambria" w:hAnsi="Cambria"/>
          <w:sz w:val="20"/>
          <w:szCs w:val="20"/>
        </w:rPr>
        <w:t>diametr</w:t>
      </w:r>
      <w:r w:rsidRPr="00C54196">
        <w:rPr>
          <w:rFonts w:ascii="Cambria" w:hAnsi="Cambria"/>
          <w:sz w:val="20"/>
          <w:szCs w:val="20"/>
        </w:rPr>
        <w:t>ic</w:t>
      </w:r>
      <w:r w:rsidR="00DE27F4" w:rsidRPr="00C54196">
        <w:rPr>
          <w:rFonts w:ascii="Cambria" w:hAnsi="Cambria"/>
          <w:sz w:val="20"/>
          <w:szCs w:val="20"/>
        </w:rPr>
        <w:t>al</w:t>
      </w:r>
      <w:r w:rsidRPr="00C54196">
        <w:rPr>
          <w:rFonts w:ascii="Cambria" w:hAnsi="Cambria"/>
          <w:sz w:val="20"/>
          <w:szCs w:val="20"/>
        </w:rPr>
        <w:t>ly different upon admitting to relatives of Mr.</w:t>
      </w:r>
      <w:r w:rsidR="00DE27F4" w:rsidRPr="00C54196">
        <w:rPr>
          <w:rFonts w:ascii="Cambria" w:hAnsi="Cambria"/>
          <w:sz w:val="20"/>
          <w:szCs w:val="20"/>
        </w:rPr>
        <w:t xml:space="preserve"> Ramírez Ciro </w:t>
      </w:r>
      <w:r w:rsidRPr="00C54196">
        <w:rPr>
          <w:rFonts w:ascii="Cambria" w:hAnsi="Cambria"/>
          <w:sz w:val="20"/>
          <w:szCs w:val="20"/>
        </w:rPr>
        <w:t>the payment of the monetary indemnity</w:t>
      </w:r>
      <w:r w:rsidR="00DE27F4" w:rsidRPr="00C54196">
        <w:rPr>
          <w:rFonts w:ascii="Cambria" w:hAnsi="Cambria"/>
          <w:sz w:val="20"/>
          <w:szCs w:val="20"/>
        </w:rPr>
        <w:t xml:space="preserve">. </w:t>
      </w:r>
      <w:r w:rsidRPr="00C54196">
        <w:rPr>
          <w:rFonts w:ascii="Cambria" w:hAnsi="Cambria"/>
          <w:sz w:val="20"/>
          <w:szCs w:val="20"/>
        </w:rPr>
        <w:t>The petitionary</w:t>
      </w:r>
      <w:r w:rsidR="00DE27F4" w:rsidRPr="00C54196">
        <w:rPr>
          <w:rFonts w:ascii="Cambria" w:hAnsi="Cambria"/>
          <w:sz w:val="20"/>
          <w:szCs w:val="20"/>
        </w:rPr>
        <w:t xml:space="preserve"> consider</w:t>
      </w:r>
      <w:r w:rsidRPr="00C54196">
        <w:rPr>
          <w:rFonts w:ascii="Cambria" w:hAnsi="Cambria"/>
          <w:sz w:val="20"/>
          <w:szCs w:val="20"/>
        </w:rPr>
        <w:t>s</w:t>
      </w:r>
      <w:r w:rsidR="00DE27F4" w:rsidRPr="00C54196">
        <w:rPr>
          <w:rFonts w:ascii="Cambria" w:hAnsi="Cambria"/>
          <w:sz w:val="20"/>
          <w:szCs w:val="20"/>
        </w:rPr>
        <w:t xml:space="preserve"> </w:t>
      </w:r>
      <w:r w:rsidRPr="00C54196">
        <w:rPr>
          <w:rFonts w:ascii="Cambria" w:hAnsi="Cambria"/>
          <w:sz w:val="20"/>
          <w:szCs w:val="20"/>
        </w:rPr>
        <w:t>that such</w:t>
      </w:r>
      <w:r w:rsidR="00DE27F4" w:rsidRPr="00C54196">
        <w:rPr>
          <w:rFonts w:ascii="Cambria" w:hAnsi="Cambria"/>
          <w:sz w:val="20"/>
          <w:szCs w:val="20"/>
        </w:rPr>
        <w:t xml:space="preserve"> </w:t>
      </w:r>
      <w:r w:rsidRPr="00C54196">
        <w:rPr>
          <w:rFonts w:ascii="Cambria" w:hAnsi="Cambria"/>
          <w:sz w:val="20"/>
          <w:szCs w:val="20"/>
        </w:rPr>
        <w:t xml:space="preserve">measures </w:t>
      </w:r>
      <w:r w:rsidR="00DE27F4" w:rsidRPr="00C54196">
        <w:rPr>
          <w:rFonts w:ascii="Cambria" w:hAnsi="Cambria"/>
          <w:sz w:val="20"/>
          <w:szCs w:val="20"/>
        </w:rPr>
        <w:t>represent</w:t>
      </w:r>
      <w:r w:rsidRPr="00C54196">
        <w:rPr>
          <w:rFonts w:ascii="Cambria" w:hAnsi="Cambria"/>
          <w:sz w:val="20"/>
          <w:szCs w:val="20"/>
        </w:rPr>
        <w:t xml:space="preserve"> </w:t>
      </w:r>
      <w:r w:rsidR="00DE27F4" w:rsidRPr="00C54196">
        <w:rPr>
          <w:rFonts w:ascii="Cambria" w:hAnsi="Cambria"/>
          <w:sz w:val="20"/>
          <w:szCs w:val="20"/>
        </w:rPr>
        <w:t xml:space="preserve">a </w:t>
      </w:r>
      <w:r w:rsidRPr="00C54196">
        <w:rPr>
          <w:rFonts w:ascii="Cambria" w:hAnsi="Cambria"/>
          <w:sz w:val="20"/>
          <w:szCs w:val="20"/>
        </w:rPr>
        <w:t>violation</w:t>
      </w:r>
      <w:r w:rsidR="00DE27F4" w:rsidRPr="00C54196">
        <w:rPr>
          <w:rFonts w:ascii="Cambria" w:hAnsi="Cambria"/>
          <w:sz w:val="20"/>
          <w:szCs w:val="20"/>
        </w:rPr>
        <w:t xml:space="preserve"> </w:t>
      </w:r>
      <w:r w:rsidRPr="00C54196">
        <w:rPr>
          <w:rFonts w:ascii="Cambria" w:hAnsi="Cambria"/>
          <w:sz w:val="20"/>
          <w:szCs w:val="20"/>
        </w:rPr>
        <w:t>to the rights of the due process</w:t>
      </w:r>
      <w:r w:rsidR="00DE27F4" w:rsidRPr="00C54196">
        <w:rPr>
          <w:rFonts w:ascii="Cambria" w:hAnsi="Cambria"/>
          <w:sz w:val="20"/>
          <w:szCs w:val="20"/>
        </w:rPr>
        <w:t xml:space="preserve"> </w:t>
      </w:r>
      <w:r w:rsidRPr="00C54196">
        <w:rPr>
          <w:rFonts w:ascii="Cambria" w:hAnsi="Cambria"/>
          <w:sz w:val="20"/>
          <w:szCs w:val="20"/>
        </w:rPr>
        <w:t>and to equality before the law</w:t>
      </w:r>
      <w:r w:rsidR="00DE27F4" w:rsidRPr="00C54196">
        <w:rPr>
          <w:rFonts w:ascii="Cambria" w:hAnsi="Cambria"/>
          <w:sz w:val="20"/>
          <w:szCs w:val="20"/>
        </w:rPr>
        <w:t xml:space="preserve">, </w:t>
      </w:r>
      <w:r w:rsidRPr="00C54196">
        <w:rPr>
          <w:rFonts w:ascii="Cambria" w:hAnsi="Cambria"/>
          <w:sz w:val="20"/>
          <w:szCs w:val="20"/>
        </w:rPr>
        <w:t>since the</w:t>
      </w:r>
      <w:r w:rsidR="00DE27F4" w:rsidRPr="00C54196">
        <w:rPr>
          <w:rFonts w:ascii="Cambria" w:hAnsi="Cambria"/>
          <w:sz w:val="20"/>
          <w:szCs w:val="20"/>
        </w:rPr>
        <w:t xml:space="preserve"> </w:t>
      </w:r>
      <w:r w:rsidRPr="00C54196">
        <w:rPr>
          <w:rFonts w:ascii="Cambria" w:hAnsi="Cambria"/>
          <w:sz w:val="20"/>
          <w:szCs w:val="20"/>
        </w:rPr>
        <w:t xml:space="preserve">first instance </w:t>
      </w:r>
      <w:r w:rsidR="00DE27F4" w:rsidRPr="00C54196">
        <w:rPr>
          <w:rFonts w:ascii="Cambria" w:hAnsi="Cambria"/>
          <w:sz w:val="20"/>
          <w:szCs w:val="20"/>
        </w:rPr>
        <w:t>sentenc</w:t>
      </w:r>
      <w:r w:rsidRPr="00C54196">
        <w:rPr>
          <w:rFonts w:ascii="Cambria" w:hAnsi="Cambria"/>
          <w:sz w:val="20"/>
          <w:szCs w:val="20"/>
        </w:rPr>
        <w:t>e</w:t>
      </w:r>
      <w:r w:rsidR="00DE27F4" w:rsidRPr="00C54196">
        <w:rPr>
          <w:rFonts w:ascii="Cambria" w:hAnsi="Cambria"/>
          <w:sz w:val="20"/>
          <w:szCs w:val="20"/>
        </w:rPr>
        <w:t xml:space="preserve"> </w:t>
      </w:r>
      <w:r w:rsidRPr="00C54196">
        <w:rPr>
          <w:rFonts w:ascii="Cambria" w:hAnsi="Cambria"/>
          <w:sz w:val="20"/>
          <w:szCs w:val="20"/>
        </w:rPr>
        <w:t xml:space="preserve">was already </w:t>
      </w:r>
      <w:r w:rsidR="001966DE" w:rsidRPr="00C54196">
        <w:rPr>
          <w:rFonts w:ascii="Cambria" w:hAnsi="Cambria"/>
          <w:sz w:val="20"/>
          <w:szCs w:val="20"/>
        </w:rPr>
        <w:t>enforceable</w:t>
      </w:r>
      <w:r w:rsidR="00DE27F4" w:rsidRPr="00C54196">
        <w:rPr>
          <w:rFonts w:ascii="Cambria" w:hAnsi="Cambria"/>
          <w:sz w:val="20"/>
          <w:szCs w:val="20"/>
        </w:rPr>
        <w:t xml:space="preserve">; </w:t>
      </w:r>
      <w:r w:rsidR="001966DE" w:rsidRPr="00C54196">
        <w:rPr>
          <w:rFonts w:ascii="Cambria" w:hAnsi="Cambria"/>
          <w:sz w:val="20"/>
          <w:szCs w:val="20"/>
        </w:rPr>
        <w:t>and that</w:t>
      </w:r>
      <w:r w:rsidR="00DE27F4" w:rsidRPr="00C54196">
        <w:rPr>
          <w:rFonts w:ascii="Cambria" w:hAnsi="Cambria"/>
          <w:sz w:val="20"/>
          <w:szCs w:val="20"/>
        </w:rPr>
        <w:t xml:space="preserve">, </w:t>
      </w:r>
      <w:r w:rsidR="001966DE" w:rsidRPr="00C54196">
        <w:rPr>
          <w:rFonts w:ascii="Cambria" w:hAnsi="Cambria"/>
          <w:sz w:val="20"/>
          <w:szCs w:val="20"/>
        </w:rPr>
        <w:t>finally</w:t>
      </w:r>
      <w:r w:rsidR="00DE27F4" w:rsidRPr="00C54196">
        <w:rPr>
          <w:rFonts w:ascii="Cambria" w:hAnsi="Cambria"/>
          <w:sz w:val="20"/>
          <w:szCs w:val="20"/>
        </w:rPr>
        <w:t xml:space="preserve">, </w:t>
      </w:r>
      <w:r w:rsidR="001966DE" w:rsidRPr="00C54196">
        <w:rPr>
          <w:rFonts w:ascii="Cambria" w:hAnsi="Cambria"/>
          <w:sz w:val="20"/>
          <w:szCs w:val="20"/>
        </w:rPr>
        <w:t>the permissive attitude from the State’s officials</w:t>
      </w:r>
      <w:r w:rsidR="00DE27F4" w:rsidRPr="00C54196">
        <w:rPr>
          <w:rFonts w:ascii="Cambria" w:hAnsi="Cambria"/>
          <w:sz w:val="20"/>
          <w:szCs w:val="20"/>
        </w:rPr>
        <w:t xml:space="preserve"> </w:t>
      </w:r>
      <w:r w:rsidR="001966DE" w:rsidRPr="00C54196">
        <w:rPr>
          <w:rFonts w:ascii="Cambria" w:hAnsi="Cambria"/>
          <w:sz w:val="20"/>
          <w:szCs w:val="20"/>
        </w:rPr>
        <w:t>originated the</w:t>
      </w:r>
      <w:r w:rsidR="00DE27F4" w:rsidRPr="00C54196">
        <w:rPr>
          <w:rFonts w:ascii="Cambria" w:hAnsi="Cambria"/>
          <w:sz w:val="20"/>
          <w:szCs w:val="20"/>
        </w:rPr>
        <w:t xml:space="preserve"> </w:t>
      </w:r>
      <w:r w:rsidR="001966DE" w:rsidRPr="00C54196">
        <w:rPr>
          <w:rFonts w:ascii="Cambria" w:hAnsi="Cambria"/>
          <w:sz w:val="20"/>
          <w:szCs w:val="20"/>
        </w:rPr>
        <w:t>breach of the</w:t>
      </w:r>
      <w:r w:rsidR="00DE27F4" w:rsidRPr="00C54196">
        <w:rPr>
          <w:rFonts w:ascii="Cambria" w:hAnsi="Cambria"/>
          <w:sz w:val="20"/>
          <w:szCs w:val="20"/>
        </w:rPr>
        <w:t xml:space="preserve"> </w:t>
      </w:r>
      <w:r w:rsidR="001966DE" w:rsidRPr="00C54196">
        <w:rPr>
          <w:rFonts w:ascii="Cambria" w:hAnsi="Cambria"/>
          <w:sz w:val="20"/>
          <w:szCs w:val="20"/>
        </w:rPr>
        <w:t>rights to life</w:t>
      </w:r>
      <w:r w:rsidR="00DE27F4" w:rsidRPr="00C54196">
        <w:rPr>
          <w:rFonts w:ascii="Cambria" w:hAnsi="Cambria"/>
          <w:sz w:val="20"/>
          <w:szCs w:val="20"/>
        </w:rPr>
        <w:t xml:space="preserve"> </w:t>
      </w:r>
      <w:r w:rsidR="001966DE" w:rsidRPr="00C54196">
        <w:rPr>
          <w:rFonts w:ascii="Cambria" w:hAnsi="Cambria"/>
          <w:sz w:val="20"/>
          <w:szCs w:val="20"/>
        </w:rPr>
        <w:t>and personal integrity of the detained people</w:t>
      </w:r>
      <w:r w:rsidR="00DE27F4" w:rsidRPr="00C54196">
        <w:rPr>
          <w:rFonts w:ascii="Cambria" w:hAnsi="Cambria"/>
          <w:sz w:val="20"/>
          <w:szCs w:val="20"/>
        </w:rPr>
        <w:t>.</w:t>
      </w:r>
    </w:p>
    <w:p w14:paraId="108EFB08" w14:textId="7530E9B9" w:rsidR="00DE27F4" w:rsidRPr="00C54196" w:rsidRDefault="00A05E13"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On their part</w:t>
      </w:r>
      <w:r w:rsidR="00DE27F4" w:rsidRPr="00C54196">
        <w:rPr>
          <w:rFonts w:ascii="Cambria" w:hAnsi="Cambria"/>
          <w:sz w:val="20"/>
          <w:szCs w:val="20"/>
        </w:rPr>
        <w:t xml:space="preserve">, </w:t>
      </w:r>
      <w:r w:rsidRPr="00C54196">
        <w:rPr>
          <w:rFonts w:ascii="Cambria" w:hAnsi="Cambria"/>
          <w:sz w:val="20"/>
          <w:szCs w:val="20"/>
        </w:rPr>
        <w:t>the State argues improper exhaustion of domestic remedies</w:t>
      </w:r>
      <w:r w:rsidR="00DE27F4" w:rsidRPr="00C54196">
        <w:rPr>
          <w:rFonts w:ascii="Cambria" w:hAnsi="Cambria"/>
          <w:sz w:val="20"/>
          <w:szCs w:val="20"/>
        </w:rPr>
        <w:t xml:space="preserve">, </w:t>
      </w:r>
      <w:r w:rsidRPr="00C54196">
        <w:rPr>
          <w:rFonts w:ascii="Cambria" w:hAnsi="Cambria"/>
          <w:sz w:val="20"/>
          <w:szCs w:val="20"/>
        </w:rPr>
        <w:t>since the relatives of the</w:t>
      </w:r>
      <w:r w:rsidR="00DE27F4" w:rsidRPr="00C54196">
        <w:rPr>
          <w:rFonts w:ascii="Cambria" w:hAnsi="Cambria"/>
          <w:sz w:val="20"/>
          <w:szCs w:val="20"/>
        </w:rPr>
        <w:t xml:space="preserve"> Zapata Álvarez </w:t>
      </w:r>
      <w:r w:rsidRPr="00C54196">
        <w:rPr>
          <w:rFonts w:ascii="Cambria" w:hAnsi="Cambria"/>
          <w:sz w:val="20"/>
          <w:szCs w:val="20"/>
        </w:rPr>
        <w:t>brothers sued the wrong State entities</w:t>
      </w:r>
      <w:r w:rsidR="00DE27F4" w:rsidRPr="00C54196">
        <w:rPr>
          <w:rFonts w:ascii="Cambria" w:hAnsi="Cambria"/>
          <w:sz w:val="20"/>
          <w:szCs w:val="20"/>
        </w:rPr>
        <w:t xml:space="preserve"> </w:t>
      </w:r>
      <w:r w:rsidRPr="00C54196">
        <w:rPr>
          <w:rFonts w:ascii="Cambria" w:hAnsi="Cambria"/>
          <w:sz w:val="20"/>
          <w:szCs w:val="20"/>
        </w:rPr>
        <w:t>in their direct remedy action</w:t>
      </w:r>
      <w:r w:rsidR="00DE27F4" w:rsidRPr="00C54196">
        <w:rPr>
          <w:rFonts w:ascii="Cambria" w:hAnsi="Cambria"/>
          <w:sz w:val="20"/>
          <w:szCs w:val="20"/>
        </w:rPr>
        <w:t xml:space="preserve"> </w:t>
      </w:r>
      <w:r w:rsidRPr="00C54196">
        <w:rPr>
          <w:rFonts w:ascii="Cambria" w:hAnsi="Cambria"/>
          <w:sz w:val="20"/>
          <w:szCs w:val="20"/>
        </w:rPr>
        <w:t>before the</w:t>
      </w:r>
      <w:r w:rsidR="001941CF">
        <w:rPr>
          <w:rFonts w:ascii="Cambria" w:hAnsi="Cambria"/>
          <w:sz w:val="20"/>
          <w:szCs w:val="20"/>
        </w:rPr>
        <w:t xml:space="preserve"> </w:t>
      </w:r>
      <w:r w:rsidRPr="00C54196">
        <w:rPr>
          <w:rFonts w:ascii="Cambria" w:hAnsi="Cambria"/>
          <w:sz w:val="20"/>
          <w:szCs w:val="20"/>
        </w:rPr>
        <w:t>Administrative Court of</w:t>
      </w:r>
      <w:r w:rsidR="00DE27F4" w:rsidRPr="00C54196">
        <w:rPr>
          <w:rFonts w:ascii="Cambria" w:hAnsi="Cambria"/>
          <w:sz w:val="20"/>
          <w:szCs w:val="20"/>
        </w:rPr>
        <w:t xml:space="preserve"> Antioquia </w:t>
      </w:r>
      <w:r w:rsidRPr="00C54196">
        <w:rPr>
          <w:rFonts w:ascii="Cambria" w:hAnsi="Cambria"/>
          <w:sz w:val="20"/>
          <w:szCs w:val="20"/>
        </w:rPr>
        <w:t>in early</w:t>
      </w:r>
      <w:r w:rsidR="00DE27F4" w:rsidRPr="00C54196">
        <w:rPr>
          <w:rFonts w:ascii="Cambria" w:hAnsi="Cambria"/>
          <w:sz w:val="20"/>
          <w:szCs w:val="20"/>
        </w:rPr>
        <w:t xml:space="preserve"> 1995, </w:t>
      </w:r>
      <w:r w:rsidRPr="00C54196">
        <w:rPr>
          <w:rFonts w:ascii="Cambria" w:hAnsi="Cambria"/>
          <w:sz w:val="20"/>
          <w:szCs w:val="20"/>
        </w:rPr>
        <w:t>which is why they incurred in a passive lack of legitimation</w:t>
      </w:r>
      <w:r w:rsidR="00DE27F4" w:rsidRPr="00C54196">
        <w:rPr>
          <w:rFonts w:ascii="Cambria" w:hAnsi="Cambria"/>
          <w:sz w:val="20"/>
          <w:szCs w:val="20"/>
        </w:rPr>
        <w:t xml:space="preserve">. </w:t>
      </w:r>
      <w:r w:rsidRPr="00C54196">
        <w:rPr>
          <w:rFonts w:ascii="Cambria" w:hAnsi="Cambria"/>
          <w:sz w:val="20"/>
          <w:szCs w:val="20"/>
        </w:rPr>
        <w:t xml:space="preserve">In its sentence of April </w:t>
      </w:r>
      <w:r w:rsidR="00DE27F4" w:rsidRPr="00C54196">
        <w:rPr>
          <w:rFonts w:ascii="Cambria" w:hAnsi="Cambria"/>
          <w:sz w:val="20"/>
          <w:szCs w:val="20"/>
        </w:rPr>
        <w:t>8</w:t>
      </w:r>
      <w:r w:rsidRPr="00C54196">
        <w:rPr>
          <w:rFonts w:ascii="Cambria" w:hAnsi="Cambria"/>
          <w:sz w:val="20"/>
          <w:szCs w:val="20"/>
          <w:vertAlign w:val="superscript"/>
        </w:rPr>
        <w:t>th</w:t>
      </w:r>
      <w:r w:rsidRPr="00C54196">
        <w:rPr>
          <w:rFonts w:ascii="Cambria" w:hAnsi="Cambria"/>
          <w:sz w:val="20"/>
          <w:szCs w:val="20"/>
        </w:rPr>
        <w:t xml:space="preserve"> </w:t>
      </w:r>
      <w:r w:rsidR="00DE27F4" w:rsidRPr="00C54196">
        <w:rPr>
          <w:rFonts w:ascii="Cambria" w:hAnsi="Cambria"/>
          <w:sz w:val="20"/>
          <w:szCs w:val="20"/>
        </w:rPr>
        <w:t xml:space="preserve">2000, </w:t>
      </w:r>
      <w:r w:rsidRPr="00C54196">
        <w:rPr>
          <w:rFonts w:ascii="Cambria" w:hAnsi="Cambria"/>
          <w:sz w:val="20"/>
          <w:szCs w:val="20"/>
        </w:rPr>
        <w:t>such</w:t>
      </w:r>
      <w:r w:rsidR="00DE27F4" w:rsidRPr="00C54196">
        <w:rPr>
          <w:rFonts w:ascii="Cambria" w:hAnsi="Cambria"/>
          <w:sz w:val="20"/>
          <w:szCs w:val="20"/>
        </w:rPr>
        <w:t xml:space="preserve"> tribunal declar</w:t>
      </w:r>
      <w:r w:rsidRPr="00C54196">
        <w:rPr>
          <w:rFonts w:ascii="Cambria" w:hAnsi="Cambria"/>
          <w:sz w:val="20"/>
          <w:szCs w:val="20"/>
        </w:rPr>
        <w:t>ed the Nation as solidar</w:t>
      </w:r>
      <w:r w:rsidR="00DE27F4" w:rsidRPr="00C54196">
        <w:rPr>
          <w:rFonts w:ascii="Cambria" w:hAnsi="Cambria"/>
          <w:sz w:val="20"/>
          <w:szCs w:val="20"/>
        </w:rPr>
        <w:t xml:space="preserve">y </w:t>
      </w:r>
      <w:r w:rsidRPr="00C54196">
        <w:rPr>
          <w:rFonts w:ascii="Cambria" w:hAnsi="Cambria"/>
          <w:sz w:val="20"/>
          <w:szCs w:val="20"/>
        </w:rPr>
        <w:t>and mater</w:t>
      </w:r>
      <w:r w:rsidR="00DE27F4" w:rsidRPr="00C54196">
        <w:rPr>
          <w:rFonts w:ascii="Cambria" w:hAnsi="Cambria"/>
          <w:sz w:val="20"/>
          <w:szCs w:val="20"/>
        </w:rPr>
        <w:t>ial</w:t>
      </w:r>
      <w:r w:rsidRPr="00C54196">
        <w:rPr>
          <w:rFonts w:ascii="Cambria" w:hAnsi="Cambria"/>
          <w:sz w:val="20"/>
          <w:szCs w:val="20"/>
        </w:rPr>
        <w:t>ly liable</w:t>
      </w:r>
      <w:r w:rsidR="00DE27F4" w:rsidRPr="00C54196">
        <w:rPr>
          <w:rFonts w:ascii="Cambria" w:hAnsi="Cambria"/>
          <w:sz w:val="20"/>
          <w:szCs w:val="20"/>
        </w:rPr>
        <w:t xml:space="preserve">, </w:t>
      </w:r>
      <w:r w:rsidRPr="00C54196">
        <w:rPr>
          <w:rFonts w:ascii="Cambria" w:hAnsi="Cambria"/>
          <w:sz w:val="20"/>
          <w:szCs w:val="20"/>
        </w:rPr>
        <w:t>the Ministry of Defense</w:t>
      </w:r>
      <w:r w:rsidR="00DE27F4" w:rsidRPr="00C54196">
        <w:rPr>
          <w:rFonts w:ascii="Cambria" w:hAnsi="Cambria"/>
          <w:sz w:val="20"/>
          <w:szCs w:val="20"/>
        </w:rPr>
        <w:t xml:space="preserve">, </w:t>
      </w:r>
      <w:r w:rsidRPr="00C54196">
        <w:rPr>
          <w:rFonts w:ascii="Cambria" w:hAnsi="Cambria"/>
          <w:sz w:val="20"/>
          <w:szCs w:val="20"/>
        </w:rPr>
        <w:t>the</w:t>
      </w:r>
      <w:r w:rsidR="00DE27F4" w:rsidRPr="00C54196">
        <w:rPr>
          <w:rFonts w:ascii="Cambria" w:hAnsi="Cambria"/>
          <w:sz w:val="20"/>
          <w:szCs w:val="20"/>
        </w:rPr>
        <w:t xml:space="preserve"> </w:t>
      </w:r>
      <w:r w:rsidR="002764AB" w:rsidRPr="00C54196">
        <w:rPr>
          <w:rFonts w:ascii="Cambria" w:hAnsi="Cambria"/>
          <w:sz w:val="20"/>
          <w:szCs w:val="20"/>
        </w:rPr>
        <w:t>National Penitentiary and Incarceration Institute–INPEC</w:t>
      </w:r>
      <w:r w:rsidR="00DE27F4" w:rsidRPr="00C54196">
        <w:rPr>
          <w:rFonts w:ascii="Cambria" w:hAnsi="Cambria"/>
          <w:sz w:val="20"/>
          <w:szCs w:val="20"/>
        </w:rPr>
        <w:t xml:space="preserve">, </w:t>
      </w:r>
      <w:r w:rsidR="002764AB" w:rsidRPr="00C54196">
        <w:rPr>
          <w:rFonts w:ascii="Cambria" w:hAnsi="Cambria"/>
          <w:sz w:val="20"/>
          <w:szCs w:val="20"/>
        </w:rPr>
        <w:t>since the death of the six people</w:t>
      </w:r>
      <w:r w:rsidR="00DE27F4" w:rsidRPr="00C54196">
        <w:rPr>
          <w:rFonts w:ascii="Cambria" w:hAnsi="Cambria"/>
          <w:sz w:val="20"/>
          <w:szCs w:val="20"/>
        </w:rPr>
        <w:t xml:space="preserve"> </w:t>
      </w:r>
      <w:r w:rsidR="002764AB" w:rsidRPr="00C54196">
        <w:rPr>
          <w:rFonts w:ascii="Cambria" w:hAnsi="Cambria"/>
          <w:sz w:val="20"/>
          <w:szCs w:val="20"/>
        </w:rPr>
        <w:t>had been produced from the omission from such</w:t>
      </w:r>
      <w:r w:rsidR="00DE27F4" w:rsidRPr="00C54196">
        <w:rPr>
          <w:rFonts w:ascii="Cambria" w:hAnsi="Cambria"/>
          <w:sz w:val="20"/>
          <w:szCs w:val="20"/>
        </w:rPr>
        <w:t xml:space="preserve"> </w:t>
      </w:r>
      <w:r w:rsidR="002764AB" w:rsidRPr="00C54196">
        <w:rPr>
          <w:rFonts w:ascii="Cambria" w:hAnsi="Cambria"/>
          <w:sz w:val="20"/>
          <w:szCs w:val="20"/>
        </w:rPr>
        <w:t>authorities to provide surveillance and</w:t>
      </w:r>
      <w:r w:rsidR="00DE27F4" w:rsidRPr="00C54196">
        <w:rPr>
          <w:rFonts w:ascii="Cambria" w:hAnsi="Cambria"/>
          <w:sz w:val="20"/>
          <w:szCs w:val="20"/>
        </w:rPr>
        <w:t xml:space="preserve"> </w:t>
      </w:r>
      <w:r w:rsidR="002764AB" w:rsidRPr="00C54196">
        <w:rPr>
          <w:rFonts w:ascii="Cambria" w:hAnsi="Cambria"/>
          <w:sz w:val="20"/>
          <w:szCs w:val="20"/>
        </w:rPr>
        <w:t>protection</w:t>
      </w:r>
      <w:r w:rsidR="00DE27F4" w:rsidRPr="00C54196">
        <w:rPr>
          <w:rFonts w:ascii="Cambria" w:hAnsi="Cambria"/>
          <w:sz w:val="20"/>
          <w:szCs w:val="20"/>
        </w:rPr>
        <w:t xml:space="preserve">, </w:t>
      </w:r>
      <w:r w:rsidR="002764AB" w:rsidRPr="00C54196">
        <w:rPr>
          <w:rFonts w:ascii="Cambria" w:hAnsi="Cambria"/>
          <w:sz w:val="20"/>
          <w:szCs w:val="20"/>
        </w:rPr>
        <w:t>which would have prevented the kidnap</w:t>
      </w:r>
      <w:r w:rsidR="00DE27F4" w:rsidRPr="00C54196">
        <w:rPr>
          <w:rFonts w:ascii="Cambria" w:hAnsi="Cambria"/>
          <w:sz w:val="20"/>
          <w:szCs w:val="20"/>
        </w:rPr>
        <w:t xml:space="preserve"> </w:t>
      </w:r>
      <w:r w:rsidR="002764AB" w:rsidRPr="00C54196">
        <w:rPr>
          <w:rFonts w:ascii="Cambria" w:hAnsi="Cambria"/>
          <w:sz w:val="20"/>
          <w:szCs w:val="20"/>
        </w:rPr>
        <w:t>and latter murder</w:t>
      </w:r>
      <w:r w:rsidR="00DE27F4" w:rsidRPr="00C54196">
        <w:rPr>
          <w:rFonts w:ascii="Cambria" w:hAnsi="Cambria"/>
          <w:sz w:val="20"/>
          <w:szCs w:val="20"/>
        </w:rPr>
        <w:t xml:space="preserve"> </w:t>
      </w:r>
      <w:r w:rsidR="002764AB" w:rsidRPr="00C54196">
        <w:rPr>
          <w:rFonts w:ascii="Cambria" w:hAnsi="Cambria"/>
          <w:sz w:val="20"/>
          <w:szCs w:val="20"/>
        </w:rPr>
        <w:t>of the detained</w:t>
      </w:r>
      <w:r w:rsidR="00DE27F4" w:rsidRPr="00C54196">
        <w:rPr>
          <w:rFonts w:ascii="Cambria" w:hAnsi="Cambria"/>
          <w:sz w:val="20"/>
          <w:szCs w:val="20"/>
        </w:rPr>
        <w:t xml:space="preserve">. </w:t>
      </w:r>
      <w:r w:rsidR="002764AB" w:rsidRPr="00C54196">
        <w:rPr>
          <w:rFonts w:ascii="Cambria" w:hAnsi="Cambria"/>
          <w:sz w:val="20"/>
          <w:szCs w:val="20"/>
        </w:rPr>
        <w:t>The Court sent the ruling</w:t>
      </w:r>
      <w:r w:rsidR="00DE27F4" w:rsidRPr="00C54196">
        <w:rPr>
          <w:rFonts w:ascii="Cambria" w:hAnsi="Cambria"/>
          <w:sz w:val="20"/>
          <w:szCs w:val="20"/>
        </w:rPr>
        <w:t xml:space="preserve"> </w:t>
      </w:r>
      <w:r w:rsidR="002764AB" w:rsidRPr="00C54196">
        <w:rPr>
          <w:rFonts w:ascii="Cambria" w:hAnsi="Cambria"/>
          <w:sz w:val="20"/>
          <w:szCs w:val="20"/>
        </w:rPr>
        <w:t>as consultation to the State Council</w:t>
      </w:r>
      <w:r w:rsidR="00DE27F4" w:rsidRPr="00C54196">
        <w:rPr>
          <w:rFonts w:ascii="Cambria" w:hAnsi="Cambria"/>
          <w:sz w:val="20"/>
          <w:szCs w:val="20"/>
        </w:rPr>
        <w:t xml:space="preserve">, </w:t>
      </w:r>
      <w:r w:rsidR="002764AB" w:rsidRPr="00C54196">
        <w:rPr>
          <w:rFonts w:ascii="Cambria" w:hAnsi="Cambria"/>
          <w:sz w:val="20"/>
          <w:szCs w:val="20"/>
        </w:rPr>
        <w:t>which claimed the exception</w:t>
      </w:r>
      <w:r w:rsidR="00DE27F4" w:rsidRPr="00C54196">
        <w:rPr>
          <w:rFonts w:ascii="Cambria" w:hAnsi="Cambria"/>
          <w:sz w:val="20"/>
          <w:szCs w:val="20"/>
        </w:rPr>
        <w:t xml:space="preserve"> </w:t>
      </w:r>
      <w:r w:rsidR="002764AB" w:rsidRPr="00C54196">
        <w:rPr>
          <w:rFonts w:ascii="Cambria" w:hAnsi="Cambria"/>
          <w:sz w:val="20"/>
          <w:szCs w:val="20"/>
        </w:rPr>
        <w:t>of passive lack of legitimation</w:t>
      </w:r>
      <w:r w:rsidR="00DE27F4" w:rsidRPr="00C54196">
        <w:rPr>
          <w:rFonts w:ascii="Cambria" w:hAnsi="Cambria"/>
          <w:sz w:val="20"/>
          <w:szCs w:val="20"/>
        </w:rPr>
        <w:t xml:space="preserve"> </w:t>
      </w:r>
      <w:r w:rsidR="002764AB" w:rsidRPr="00C54196">
        <w:rPr>
          <w:rFonts w:ascii="Cambria" w:hAnsi="Cambria"/>
          <w:sz w:val="20"/>
          <w:szCs w:val="20"/>
        </w:rPr>
        <w:t>in the cause as proven</w:t>
      </w:r>
      <w:r w:rsidR="00DE27F4" w:rsidRPr="00C54196">
        <w:rPr>
          <w:rFonts w:ascii="Cambria" w:hAnsi="Cambria"/>
          <w:sz w:val="20"/>
          <w:szCs w:val="20"/>
        </w:rPr>
        <w:t xml:space="preserve"> </w:t>
      </w:r>
      <w:r w:rsidR="002764AB" w:rsidRPr="00C54196">
        <w:rPr>
          <w:rFonts w:ascii="Cambria" w:hAnsi="Cambria"/>
          <w:sz w:val="20"/>
          <w:szCs w:val="20"/>
        </w:rPr>
        <w:t>and thus</w:t>
      </w:r>
      <w:r w:rsidR="00DE27F4" w:rsidRPr="00C54196">
        <w:rPr>
          <w:rFonts w:ascii="Cambria" w:hAnsi="Cambria"/>
          <w:sz w:val="20"/>
          <w:szCs w:val="20"/>
        </w:rPr>
        <w:t>, revo</w:t>
      </w:r>
      <w:r w:rsidR="002764AB" w:rsidRPr="00C54196">
        <w:rPr>
          <w:rFonts w:ascii="Cambria" w:hAnsi="Cambria"/>
          <w:sz w:val="20"/>
          <w:szCs w:val="20"/>
        </w:rPr>
        <w:t>ked</w:t>
      </w:r>
      <w:r w:rsidR="00DE27F4" w:rsidRPr="00C54196">
        <w:rPr>
          <w:rFonts w:ascii="Cambria" w:hAnsi="Cambria"/>
          <w:sz w:val="20"/>
          <w:szCs w:val="20"/>
        </w:rPr>
        <w:t xml:space="preserve"> </w:t>
      </w:r>
      <w:r w:rsidR="002764AB" w:rsidRPr="00C54196">
        <w:rPr>
          <w:rFonts w:ascii="Cambria" w:hAnsi="Cambria"/>
          <w:sz w:val="20"/>
          <w:szCs w:val="20"/>
        </w:rPr>
        <w:t>the first instance sentence</w:t>
      </w:r>
      <w:r w:rsidR="00DE27F4" w:rsidRPr="00C54196">
        <w:rPr>
          <w:rFonts w:ascii="Cambria" w:hAnsi="Cambria"/>
          <w:sz w:val="20"/>
          <w:szCs w:val="20"/>
        </w:rPr>
        <w:t>.</w:t>
      </w:r>
    </w:p>
    <w:p w14:paraId="58411ADA" w14:textId="0CB2E2B9" w:rsidR="00DE27F4" w:rsidRPr="00C54196" w:rsidRDefault="00795A9D"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Even if the</w:t>
      </w:r>
      <w:r w:rsidR="00DE27F4" w:rsidRPr="00C54196">
        <w:rPr>
          <w:rFonts w:ascii="Cambria" w:hAnsi="Cambria"/>
          <w:sz w:val="20"/>
          <w:szCs w:val="20"/>
        </w:rPr>
        <w:t xml:space="preserve"> </w:t>
      </w:r>
      <w:r w:rsidRPr="00C54196">
        <w:rPr>
          <w:rFonts w:ascii="Cambria" w:hAnsi="Cambria"/>
          <w:sz w:val="20"/>
          <w:szCs w:val="20"/>
        </w:rPr>
        <w:t>State Council had admitted that the State</w:t>
      </w:r>
      <w:r w:rsidR="00DE27F4" w:rsidRPr="00C54196">
        <w:rPr>
          <w:rFonts w:ascii="Cambria" w:hAnsi="Cambria"/>
          <w:sz w:val="20"/>
          <w:szCs w:val="20"/>
        </w:rPr>
        <w:t xml:space="preserve"> </w:t>
      </w:r>
      <w:r w:rsidRPr="00C54196">
        <w:rPr>
          <w:rFonts w:ascii="Cambria" w:hAnsi="Cambria"/>
          <w:sz w:val="20"/>
          <w:szCs w:val="20"/>
        </w:rPr>
        <w:t>held custody of the inmates</w:t>
      </w:r>
      <w:r w:rsidR="00DE27F4" w:rsidRPr="00C54196">
        <w:rPr>
          <w:rFonts w:ascii="Cambria" w:hAnsi="Cambria"/>
          <w:sz w:val="20"/>
          <w:szCs w:val="20"/>
        </w:rPr>
        <w:t xml:space="preserve"> </w:t>
      </w:r>
      <w:r w:rsidRPr="00C54196">
        <w:rPr>
          <w:rFonts w:ascii="Cambria" w:hAnsi="Cambria"/>
          <w:sz w:val="20"/>
          <w:szCs w:val="20"/>
        </w:rPr>
        <w:t>at the time of being forcefully extracted</w:t>
      </w:r>
      <w:r w:rsidR="00DE27F4" w:rsidRPr="00C54196">
        <w:rPr>
          <w:rFonts w:ascii="Cambria" w:hAnsi="Cambria"/>
          <w:sz w:val="20"/>
          <w:szCs w:val="20"/>
        </w:rPr>
        <w:t xml:space="preserve"> </w:t>
      </w:r>
      <w:r w:rsidRPr="00C54196">
        <w:rPr>
          <w:rFonts w:ascii="Cambria" w:hAnsi="Cambria"/>
          <w:sz w:val="20"/>
          <w:szCs w:val="20"/>
        </w:rPr>
        <w:t>from the prison</w:t>
      </w:r>
      <w:r w:rsidR="00DE27F4" w:rsidRPr="00C54196">
        <w:rPr>
          <w:rFonts w:ascii="Cambria" w:hAnsi="Cambria"/>
          <w:sz w:val="20"/>
          <w:szCs w:val="20"/>
        </w:rPr>
        <w:t xml:space="preserve"> </w:t>
      </w:r>
      <w:r w:rsidRPr="00C54196">
        <w:rPr>
          <w:rFonts w:ascii="Cambria" w:hAnsi="Cambria"/>
          <w:sz w:val="20"/>
          <w:szCs w:val="20"/>
        </w:rPr>
        <w:t>to be murdered</w:t>
      </w:r>
      <w:r w:rsidR="00DE27F4" w:rsidRPr="00C54196">
        <w:rPr>
          <w:rFonts w:ascii="Cambria" w:hAnsi="Cambria"/>
          <w:sz w:val="20"/>
          <w:szCs w:val="20"/>
        </w:rPr>
        <w:t xml:space="preserve">, </w:t>
      </w:r>
      <w:r w:rsidR="00D64110" w:rsidRPr="00C54196">
        <w:rPr>
          <w:rFonts w:ascii="Cambria" w:hAnsi="Cambria"/>
          <w:sz w:val="20"/>
          <w:szCs w:val="20"/>
        </w:rPr>
        <w:t>the State argues that the plaintiffs had the obligation</w:t>
      </w:r>
      <w:r w:rsidR="00DE27F4" w:rsidRPr="00C54196">
        <w:rPr>
          <w:rFonts w:ascii="Cambria" w:hAnsi="Cambria"/>
          <w:sz w:val="20"/>
          <w:szCs w:val="20"/>
        </w:rPr>
        <w:t xml:space="preserve"> </w:t>
      </w:r>
      <w:r w:rsidR="00D64110" w:rsidRPr="00C54196">
        <w:rPr>
          <w:rFonts w:ascii="Cambria" w:hAnsi="Cambria"/>
          <w:sz w:val="20"/>
          <w:szCs w:val="20"/>
        </w:rPr>
        <w:t>to include the</w:t>
      </w:r>
      <w:r w:rsidR="00DE27F4" w:rsidRPr="00C54196">
        <w:rPr>
          <w:rFonts w:ascii="Cambria" w:hAnsi="Cambria"/>
          <w:sz w:val="20"/>
          <w:szCs w:val="20"/>
        </w:rPr>
        <w:t xml:space="preserve"> </w:t>
      </w:r>
      <w:r w:rsidR="00D64110" w:rsidRPr="00C54196">
        <w:rPr>
          <w:rFonts w:ascii="Cambria" w:hAnsi="Cambria"/>
          <w:sz w:val="20"/>
          <w:szCs w:val="20"/>
        </w:rPr>
        <w:t>District of Granada in their action</w:t>
      </w:r>
      <w:r w:rsidR="00DE27F4" w:rsidRPr="00C54196">
        <w:rPr>
          <w:rFonts w:ascii="Cambria" w:hAnsi="Cambria"/>
          <w:sz w:val="20"/>
          <w:szCs w:val="20"/>
        </w:rPr>
        <w:t xml:space="preserve">; </w:t>
      </w:r>
      <w:r w:rsidR="00D64110" w:rsidRPr="00C54196">
        <w:rPr>
          <w:rFonts w:ascii="Cambria" w:hAnsi="Cambria"/>
          <w:sz w:val="20"/>
          <w:szCs w:val="20"/>
        </w:rPr>
        <w:t>and that the consequence of such omission</w:t>
      </w:r>
      <w:r w:rsidR="00DE27F4" w:rsidRPr="00C54196">
        <w:rPr>
          <w:rFonts w:ascii="Cambria" w:hAnsi="Cambria"/>
          <w:sz w:val="20"/>
          <w:szCs w:val="20"/>
        </w:rPr>
        <w:t xml:space="preserve"> </w:t>
      </w:r>
      <w:r w:rsidR="00D64110" w:rsidRPr="00C54196">
        <w:rPr>
          <w:rFonts w:ascii="Cambria" w:hAnsi="Cambria"/>
          <w:sz w:val="20"/>
          <w:szCs w:val="20"/>
        </w:rPr>
        <w:t>was that the exception of passive lack of legitimation be found proven</w:t>
      </w:r>
      <w:r w:rsidR="00DE27F4" w:rsidRPr="00C54196">
        <w:rPr>
          <w:rFonts w:ascii="Cambria" w:hAnsi="Cambria"/>
          <w:sz w:val="20"/>
          <w:szCs w:val="20"/>
        </w:rPr>
        <w:t xml:space="preserve">. </w:t>
      </w:r>
      <w:r w:rsidR="00D64110" w:rsidRPr="00C54196">
        <w:rPr>
          <w:rFonts w:ascii="Cambria" w:hAnsi="Cambria"/>
          <w:sz w:val="20"/>
          <w:szCs w:val="20"/>
        </w:rPr>
        <w:t>The</w:t>
      </w:r>
      <w:r w:rsidR="00DE27F4" w:rsidRPr="00C54196">
        <w:rPr>
          <w:rFonts w:ascii="Cambria" w:hAnsi="Cambria"/>
          <w:sz w:val="20"/>
          <w:szCs w:val="20"/>
        </w:rPr>
        <w:t xml:space="preserve"> </w:t>
      </w:r>
      <w:r w:rsidR="008776F7">
        <w:rPr>
          <w:rFonts w:ascii="Cambria" w:hAnsi="Cambria"/>
          <w:sz w:val="20"/>
          <w:szCs w:val="20"/>
        </w:rPr>
        <w:t>State Council</w:t>
      </w:r>
      <w:r w:rsidR="00DE27F4" w:rsidRPr="00C54196">
        <w:rPr>
          <w:rFonts w:ascii="Cambria" w:hAnsi="Cambria"/>
          <w:sz w:val="20"/>
          <w:szCs w:val="20"/>
        </w:rPr>
        <w:t xml:space="preserve"> </w:t>
      </w:r>
      <w:r w:rsidR="00D64110" w:rsidRPr="00C54196">
        <w:rPr>
          <w:rFonts w:ascii="Cambria" w:hAnsi="Cambria"/>
          <w:sz w:val="20"/>
          <w:szCs w:val="20"/>
        </w:rPr>
        <w:t>confirmed</w:t>
      </w:r>
      <w:r w:rsidR="00DE27F4" w:rsidRPr="00C54196">
        <w:rPr>
          <w:rFonts w:ascii="Cambria" w:hAnsi="Cambria"/>
          <w:sz w:val="20"/>
          <w:szCs w:val="20"/>
        </w:rPr>
        <w:t xml:space="preserve"> </w:t>
      </w:r>
      <w:r w:rsidR="00D64110" w:rsidRPr="00C54196">
        <w:rPr>
          <w:rFonts w:ascii="Cambria" w:hAnsi="Cambria"/>
          <w:sz w:val="20"/>
          <w:szCs w:val="20"/>
        </w:rPr>
        <w:t>that the</w:t>
      </w:r>
      <w:r w:rsidR="00DE27F4" w:rsidRPr="00C54196">
        <w:rPr>
          <w:rFonts w:ascii="Cambria" w:hAnsi="Cambria"/>
          <w:sz w:val="20"/>
          <w:szCs w:val="20"/>
        </w:rPr>
        <w:t xml:space="preserve"> integri</w:t>
      </w:r>
      <w:r w:rsidR="00D64110" w:rsidRPr="00C54196">
        <w:rPr>
          <w:rFonts w:ascii="Cambria" w:hAnsi="Cambria"/>
          <w:sz w:val="20"/>
          <w:szCs w:val="20"/>
        </w:rPr>
        <w:t>ty</w:t>
      </w:r>
      <w:r w:rsidR="00DE27F4" w:rsidRPr="00C54196">
        <w:rPr>
          <w:rFonts w:ascii="Cambria" w:hAnsi="Cambria"/>
          <w:sz w:val="20"/>
          <w:szCs w:val="20"/>
        </w:rPr>
        <w:t xml:space="preserve"> </w:t>
      </w:r>
      <w:r w:rsidR="00D64110" w:rsidRPr="00C54196">
        <w:rPr>
          <w:rFonts w:ascii="Cambria" w:hAnsi="Cambria"/>
          <w:sz w:val="20"/>
          <w:szCs w:val="20"/>
        </w:rPr>
        <w:t>of the murdered brothers</w:t>
      </w:r>
      <w:r w:rsidR="00BD3D3D" w:rsidRPr="00C54196">
        <w:rPr>
          <w:rFonts w:ascii="Cambria" w:hAnsi="Cambria"/>
          <w:sz w:val="20"/>
          <w:szCs w:val="20"/>
        </w:rPr>
        <w:t xml:space="preserve"> </w:t>
      </w:r>
      <w:r w:rsidR="00DA2CA0" w:rsidRPr="00C54196">
        <w:rPr>
          <w:rFonts w:ascii="Cambria" w:hAnsi="Cambria"/>
          <w:sz w:val="20"/>
          <w:szCs w:val="20"/>
        </w:rPr>
        <w:t>concer</w:t>
      </w:r>
      <w:r w:rsidR="00BD3D3D" w:rsidRPr="00C54196">
        <w:rPr>
          <w:rFonts w:ascii="Cambria" w:hAnsi="Cambria"/>
          <w:sz w:val="20"/>
          <w:szCs w:val="20"/>
        </w:rPr>
        <w:t xml:space="preserve">ned </w:t>
      </w:r>
      <w:r w:rsidR="00D64110" w:rsidRPr="00C54196">
        <w:rPr>
          <w:rFonts w:ascii="Cambria" w:hAnsi="Cambria"/>
          <w:sz w:val="20"/>
          <w:szCs w:val="20"/>
        </w:rPr>
        <w:t>Municipality</w:t>
      </w:r>
      <w:r w:rsidR="00DE27F4" w:rsidRPr="00C54196">
        <w:rPr>
          <w:rFonts w:ascii="Cambria" w:hAnsi="Cambria"/>
          <w:sz w:val="20"/>
          <w:szCs w:val="20"/>
        </w:rPr>
        <w:t xml:space="preserve"> </w:t>
      </w:r>
      <w:r w:rsidR="00D64110" w:rsidRPr="00C54196">
        <w:rPr>
          <w:rFonts w:ascii="Cambria" w:hAnsi="Cambria"/>
          <w:sz w:val="20"/>
          <w:szCs w:val="20"/>
        </w:rPr>
        <w:t>since</w:t>
      </w:r>
      <w:r w:rsidR="00DE27F4" w:rsidRPr="00C54196">
        <w:rPr>
          <w:rFonts w:ascii="Cambria" w:hAnsi="Cambria"/>
          <w:sz w:val="20"/>
          <w:szCs w:val="20"/>
        </w:rPr>
        <w:t xml:space="preserve">, </w:t>
      </w:r>
      <w:r w:rsidR="00D64110" w:rsidRPr="00C54196">
        <w:rPr>
          <w:rFonts w:ascii="Cambria" w:hAnsi="Cambria"/>
          <w:sz w:val="20"/>
          <w:szCs w:val="20"/>
        </w:rPr>
        <w:t xml:space="preserve">in conformity with domestic legislation </w:t>
      </w:r>
      <w:r w:rsidR="00BD3D3D" w:rsidRPr="00C54196">
        <w:rPr>
          <w:rFonts w:ascii="Cambria" w:hAnsi="Cambria"/>
          <w:sz w:val="20"/>
          <w:szCs w:val="20"/>
        </w:rPr>
        <w:t>it was in charge of the</w:t>
      </w:r>
      <w:r w:rsidR="00DE27F4" w:rsidRPr="00C54196">
        <w:rPr>
          <w:rFonts w:ascii="Cambria" w:hAnsi="Cambria"/>
          <w:sz w:val="20"/>
          <w:szCs w:val="20"/>
        </w:rPr>
        <w:t xml:space="preserve"> </w:t>
      </w:r>
      <w:r w:rsidR="00BD3D3D" w:rsidRPr="00C54196">
        <w:rPr>
          <w:rFonts w:ascii="Cambria" w:hAnsi="Cambria"/>
          <w:sz w:val="20"/>
          <w:szCs w:val="20"/>
        </w:rPr>
        <w:t>administration</w:t>
      </w:r>
      <w:r w:rsidR="00DE27F4" w:rsidRPr="00C54196">
        <w:rPr>
          <w:rFonts w:ascii="Cambria" w:hAnsi="Cambria"/>
          <w:sz w:val="20"/>
          <w:szCs w:val="20"/>
        </w:rPr>
        <w:t xml:space="preserve"> </w:t>
      </w:r>
      <w:r w:rsidR="00BD3D3D" w:rsidRPr="00C54196">
        <w:rPr>
          <w:rFonts w:ascii="Cambria" w:hAnsi="Cambria"/>
          <w:sz w:val="20"/>
          <w:szCs w:val="20"/>
        </w:rPr>
        <w:t>of the</w:t>
      </w:r>
      <w:r w:rsidR="00DE27F4" w:rsidRPr="00C54196">
        <w:rPr>
          <w:rFonts w:ascii="Cambria" w:hAnsi="Cambria"/>
          <w:sz w:val="20"/>
          <w:szCs w:val="20"/>
        </w:rPr>
        <w:t xml:space="preserve"> municipal</w:t>
      </w:r>
      <w:r w:rsidR="00BD3D3D" w:rsidRPr="00C54196">
        <w:rPr>
          <w:rFonts w:ascii="Cambria" w:hAnsi="Cambria"/>
          <w:sz w:val="20"/>
          <w:szCs w:val="20"/>
        </w:rPr>
        <w:t xml:space="preserve"> prison</w:t>
      </w:r>
      <w:r w:rsidR="00DE27F4" w:rsidRPr="00C54196">
        <w:rPr>
          <w:rFonts w:ascii="Cambria" w:hAnsi="Cambria"/>
          <w:sz w:val="20"/>
          <w:szCs w:val="20"/>
        </w:rPr>
        <w:t xml:space="preserve">. </w:t>
      </w:r>
      <w:r w:rsidR="00BD3D3D" w:rsidRPr="00C54196">
        <w:rPr>
          <w:rFonts w:ascii="Cambria" w:hAnsi="Cambria"/>
          <w:sz w:val="20"/>
          <w:szCs w:val="20"/>
        </w:rPr>
        <w:t>The</w:t>
      </w:r>
      <w:r w:rsidR="00DE27F4" w:rsidRPr="00C54196">
        <w:rPr>
          <w:rFonts w:ascii="Cambria" w:hAnsi="Cambria"/>
          <w:sz w:val="20"/>
          <w:szCs w:val="20"/>
        </w:rPr>
        <w:t xml:space="preserve"> </w:t>
      </w:r>
      <w:r w:rsidR="00BD3D3D" w:rsidRPr="00C54196">
        <w:rPr>
          <w:rFonts w:ascii="Cambria" w:hAnsi="Cambria"/>
          <w:sz w:val="20"/>
          <w:szCs w:val="20"/>
        </w:rPr>
        <w:t>State</w:t>
      </w:r>
      <w:r w:rsidR="00DE27F4" w:rsidRPr="00C54196">
        <w:rPr>
          <w:rFonts w:ascii="Cambria" w:hAnsi="Cambria"/>
          <w:sz w:val="20"/>
          <w:szCs w:val="20"/>
        </w:rPr>
        <w:t xml:space="preserve"> </w:t>
      </w:r>
      <w:r w:rsidR="00BD3D3D" w:rsidRPr="00C54196">
        <w:rPr>
          <w:rFonts w:ascii="Cambria" w:hAnsi="Cambria"/>
          <w:sz w:val="20"/>
          <w:szCs w:val="20"/>
        </w:rPr>
        <w:t>deems</w:t>
      </w:r>
      <w:r w:rsidR="00DE27F4" w:rsidRPr="00C54196">
        <w:rPr>
          <w:rFonts w:ascii="Cambria" w:hAnsi="Cambria"/>
          <w:sz w:val="20"/>
          <w:szCs w:val="20"/>
        </w:rPr>
        <w:t xml:space="preserve"> </w:t>
      </w:r>
      <w:r w:rsidR="00BD3D3D" w:rsidRPr="00C54196">
        <w:rPr>
          <w:rFonts w:ascii="Cambria" w:hAnsi="Cambria"/>
          <w:sz w:val="20"/>
          <w:szCs w:val="20"/>
        </w:rPr>
        <w:t>that with that being proven</w:t>
      </w:r>
      <w:r w:rsidR="00DE27F4" w:rsidRPr="00C54196">
        <w:rPr>
          <w:rFonts w:ascii="Cambria" w:hAnsi="Cambria"/>
          <w:sz w:val="20"/>
          <w:szCs w:val="20"/>
        </w:rPr>
        <w:t xml:space="preserve"> </w:t>
      </w:r>
      <w:r w:rsidR="00DA2CA0" w:rsidRPr="00C54196">
        <w:rPr>
          <w:rFonts w:ascii="Cambria" w:hAnsi="Cambria"/>
          <w:sz w:val="20"/>
          <w:szCs w:val="20"/>
        </w:rPr>
        <w:t>the relatives exhausted the proper</w:t>
      </w:r>
      <w:r w:rsidR="00DE27F4" w:rsidRPr="00C54196">
        <w:rPr>
          <w:rFonts w:ascii="Cambria" w:hAnsi="Cambria"/>
          <w:sz w:val="20"/>
          <w:szCs w:val="20"/>
        </w:rPr>
        <w:t xml:space="preserve"> </w:t>
      </w:r>
      <w:r w:rsidR="00DA2CA0" w:rsidRPr="00C54196">
        <w:rPr>
          <w:rFonts w:ascii="Cambria" w:hAnsi="Cambria"/>
          <w:sz w:val="20"/>
          <w:szCs w:val="20"/>
        </w:rPr>
        <w:t>and effective remedies</w:t>
      </w:r>
      <w:r w:rsidR="00DE27F4" w:rsidRPr="00C54196">
        <w:rPr>
          <w:rFonts w:ascii="Cambria" w:hAnsi="Cambria"/>
          <w:sz w:val="20"/>
          <w:szCs w:val="20"/>
        </w:rPr>
        <w:t xml:space="preserve">, </w:t>
      </w:r>
      <w:r w:rsidR="00DA2CA0" w:rsidRPr="00C54196">
        <w:rPr>
          <w:rFonts w:ascii="Cambria" w:hAnsi="Cambria"/>
          <w:sz w:val="20"/>
          <w:szCs w:val="20"/>
        </w:rPr>
        <w:t>but improperly since they filed them</w:t>
      </w:r>
      <w:r w:rsidR="00DE27F4" w:rsidRPr="00C54196">
        <w:rPr>
          <w:rFonts w:ascii="Cambria" w:hAnsi="Cambria"/>
          <w:sz w:val="20"/>
          <w:szCs w:val="20"/>
        </w:rPr>
        <w:t xml:space="preserve"> </w:t>
      </w:r>
      <w:r w:rsidR="00DA2CA0" w:rsidRPr="00C54196">
        <w:rPr>
          <w:rFonts w:ascii="Cambria" w:hAnsi="Cambria"/>
          <w:sz w:val="20"/>
          <w:szCs w:val="20"/>
        </w:rPr>
        <w:t>versus a passive subject that had no relation with the case</w:t>
      </w:r>
      <w:r w:rsidR="00DE27F4" w:rsidRPr="00C54196">
        <w:rPr>
          <w:rFonts w:ascii="Cambria" w:hAnsi="Cambria"/>
          <w:sz w:val="20"/>
          <w:szCs w:val="20"/>
        </w:rPr>
        <w:t>.</w:t>
      </w:r>
    </w:p>
    <w:p w14:paraId="54AFF8D5" w14:textId="6337DBCD" w:rsidR="00DE27F4" w:rsidRPr="00C54196" w:rsidRDefault="00B41625"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On the other hand</w:t>
      </w:r>
      <w:r w:rsidR="00DE27F4" w:rsidRPr="00C54196">
        <w:rPr>
          <w:rFonts w:ascii="Cambria" w:hAnsi="Cambria"/>
          <w:sz w:val="20"/>
          <w:szCs w:val="20"/>
        </w:rPr>
        <w:t xml:space="preserve">, </w:t>
      </w:r>
      <w:r w:rsidRPr="00C54196">
        <w:rPr>
          <w:rFonts w:ascii="Cambria" w:hAnsi="Cambria"/>
          <w:sz w:val="20"/>
          <w:szCs w:val="20"/>
        </w:rPr>
        <w:t>the State</w:t>
      </w:r>
      <w:r w:rsidR="00DE27F4" w:rsidRPr="00C54196">
        <w:rPr>
          <w:rFonts w:ascii="Cambria" w:hAnsi="Cambria"/>
          <w:sz w:val="20"/>
          <w:szCs w:val="20"/>
        </w:rPr>
        <w:t xml:space="preserve"> </w:t>
      </w:r>
      <w:r w:rsidR="00FE7EB6" w:rsidRPr="00C54196">
        <w:rPr>
          <w:rFonts w:ascii="Cambria" w:hAnsi="Cambria"/>
          <w:sz w:val="20"/>
          <w:szCs w:val="20"/>
        </w:rPr>
        <w:t>clarifies that in the suit filed by Mrs.</w:t>
      </w:r>
      <w:r w:rsidR="00DE27F4" w:rsidRPr="00C54196">
        <w:rPr>
          <w:rFonts w:ascii="Cambria" w:hAnsi="Cambria"/>
          <w:sz w:val="20"/>
          <w:szCs w:val="20"/>
        </w:rPr>
        <w:t xml:space="preserve"> Cardona Escobar, </w:t>
      </w:r>
      <w:r w:rsidR="00FE7EB6" w:rsidRPr="00C54196">
        <w:rPr>
          <w:rFonts w:ascii="Cambria" w:hAnsi="Cambria"/>
          <w:sz w:val="20"/>
          <w:szCs w:val="20"/>
        </w:rPr>
        <w:t>the sentence by the</w:t>
      </w:r>
      <w:r w:rsidR="00DE27F4" w:rsidRPr="00C54196">
        <w:rPr>
          <w:rFonts w:ascii="Cambria" w:hAnsi="Cambria"/>
          <w:sz w:val="20"/>
          <w:szCs w:val="20"/>
        </w:rPr>
        <w:t xml:space="preserve"> </w:t>
      </w:r>
      <w:r w:rsidR="00FE7EB6" w:rsidRPr="00C54196">
        <w:rPr>
          <w:rFonts w:ascii="Cambria" w:hAnsi="Cambria"/>
          <w:sz w:val="20"/>
          <w:szCs w:val="20"/>
        </w:rPr>
        <w:t xml:space="preserve">State Council </w:t>
      </w:r>
      <w:r w:rsidR="00D60629" w:rsidRPr="00C54196">
        <w:rPr>
          <w:rFonts w:ascii="Cambria" w:hAnsi="Cambria"/>
          <w:sz w:val="20"/>
          <w:szCs w:val="20"/>
        </w:rPr>
        <w:t xml:space="preserve">partially </w:t>
      </w:r>
      <w:r w:rsidR="00DE27F4" w:rsidRPr="00C54196">
        <w:rPr>
          <w:rFonts w:ascii="Cambria" w:hAnsi="Cambria"/>
          <w:sz w:val="20"/>
          <w:szCs w:val="20"/>
        </w:rPr>
        <w:t>modifi</w:t>
      </w:r>
      <w:r w:rsidR="00FE7EB6" w:rsidRPr="00C54196">
        <w:rPr>
          <w:rFonts w:ascii="Cambria" w:hAnsi="Cambria"/>
          <w:sz w:val="20"/>
          <w:szCs w:val="20"/>
        </w:rPr>
        <w:t>ed</w:t>
      </w:r>
      <w:r w:rsidR="00DE27F4" w:rsidRPr="00C54196">
        <w:rPr>
          <w:rFonts w:ascii="Cambria" w:hAnsi="Cambria"/>
          <w:sz w:val="20"/>
          <w:szCs w:val="20"/>
        </w:rPr>
        <w:t xml:space="preserve"> </w:t>
      </w:r>
      <w:r w:rsidR="005D2D27" w:rsidRPr="00C54196">
        <w:rPr>
          <w:rFonts w:ascii="Cambria" w:hAnsi="Cambria"/>
          <w:sz w:val="20"/>
          <w:szCs w:val="20"/>
        </w:rPr>
        <w:t xml:space="preserve">the </w:t>
      </w:r>
      <w:r w:rsidR="00D60629" w:rsidRPr="00C54196">
        <w:rPr>
          <w:rFonts w:ascii="Cambria" w:hAnsi="Cambria"/>
          <w:sz w:val="20"/>
          <w:szCs w:val="20"/>
        </w:rPr>
        <w:t>first instance sentence</w:t>
      </w:r>
      <w:r w:rsidR="00DE27F4" w:rsidRPr="00C54196">
        <w:rPr>
          <w:rFonts w:ascii="Cambria" w:hAnsi="Cambria"/>
          <w:sz w:val="20"/>
          <w:szCs w:val="20"/>
        </w:rPr>
        <w:t xml:space="preserve">, </w:t>
      </w:r>
      <w:r w:rsidR="00D60629" w:rsidRPr="00C54196">
        <w:rPr>
          <w:rFonts w:ascii="Cambria" w:hAnsi="Cambria"/>
          <w:sz w:val="20"/>
          <w:szCs w:val="20"/>
        </w:rPr>
        <w:t>and once again assessed the damages</w:t>
      </w:r>
      <w:r w:rsidR="00DE27F4" w:rsidRPr="00C54196">
        <w:rPr>
          <w:rFonts w:ascii="Cambria" w:hAnsi="Cambria"/>
          <w:sz w:val="20"/>
          <w:szCs w:val="20"/>
        </w:rPr>
        <w:t xml:space="preserve">; </w:t>
      </w:r>
      <w:r w:rsidR="00D60629" w:rsidRPr="00C54196">
        <w:rPr>
          <w:rFonts w:ascii="Cambria" w:hAnsi="Cambria"/>
          <w:sz w:val="20"/>
          <w:szCs w:val="20"/>
        </w:rPr>
        <w:t>that the case got to the</w:t>
      </w:r>
      <w:r w:rsidR="00DE27F4" w:rsidRPr="00C54196">
        <w:rPr>
          <w:rFonts w:ascii="Cambria" w:hAnsi="Cambria"/>
          <w:sz w:val="20"/>
          <w:szCs w:val="20"/>
        </w:rPr>
        <w:t xml:space="preserve"> </w:t>
      </w:r>
      <w:r w:rsidR="0087499B">
        <w:rPr>
          <w:rFonts w:ascii="Cambria" w:hAnsi="Cambria"/>
          <w:sz w:val="20"/>
          <w:szCs w:val="20"/>
        </w:rPr>
        <w:t>State Council</w:t>
      </w:r>
      <w:r w:rsidR="00DE27F4" w:rsidRPr="00C54196">
        <w:rPr>
          <w:rFonts w:ascii="Cambria" w:hAnsi="Cambria"/>
          <w:sz w:val="20"/>
          <w:szCs w:val="20"/>
        </w:rPr>
        <w:t xml:space="preserve"> </w:t>
      </w:r>
      <w:r w:rsidR="00D60629" w:rsidRPr="00C54196">
        <w:rPr>
          <w:rFonts w:ascii="Cambria" w:hAnsi="Cambria"/>
          <w:sz w:val="20"/>
          <w:szCs w:val="20"/>
        </w:rPr>
        <w:t>due to the appeal filed by Mrs.</w:t>
      </w:r>
      <w:r w:rsidR="00DE27F4" w:rsidRPr="00C54196">
        <w:rPr>
          <w:rFonts w:ascii="Cambria" w:hAnsi="Cambria"/>
          <w:sz w:val="20"/>
          <w:szCs w:val="20"/>
        </w:rPr>
        <w:t xml:space="preserve"> Cardona Escobar, </w:t>
      </w:r>
      <w:r w:rsidR="00D60629" w:rsidRPr="00C54196">
        <w:rPr>
          <w:rFonts w:ascii="Cambria" w:hAnsi="Cambria"/>
          <w:sz w:val="20"/>
          <w:szCs w:val="20"/>
        </w:rPr>
        <w:t>which allowed to revise</w:t>
      </w:r>
      <w:r w:rsidR="00DE27F4" w:rsidRPr="00C54196">
        <w:rPr>
          <w:rFonts w:ascii="Cambria" w:hAnsi="Cambria"/>
          <w:sz w:val="20"/>
          <w:szCs w:val="20"/>
        </w:rPr>
        <w:t xml:space="preserve"> </w:t>
      </w:r>
      <w:r w:rsidR="00D60629" w:rsidRPr="00C54196">
        <w:rPr>
          <w:rFonts w:ascii="Cambria" w:hAnsi="Cambria"/>
          <w:sz w:val="20"/>
          <w:szCs w:val="20"/>
        </w:rPr>
        <w:t>the</w:t>
      </w:r>
      <w:r w:rsidR="00DE27F4" w:rsidRPr="00C54196">
        <w:rPr>
          <w:rFonts w:ascii="Cambria" w:hAnsi="Cambria"/>
          <w:sz w:val="20"/>
          <w:szCs w:val="20"/>
        </w:rPr>
        <w:t xml:space="preserve"> aspects </w:t>
      </w:r>
      <w:r w:rsidR="00D60629" w:rsidRPr="00C54196">
        <w:rPr>
          <w:rFonts w:ascii="Cambria" w:hAnsi="Cambria"/>
          <w:sz w:val="20"/>
          <w:szCs w:val="20"/>
        </w:rPr>
        <w:t>of the ruling which produced inconformity</w:t>
      </w:r>
      <w:r w:rsidR="00DE27F4" w:rsidRPr="00C54196">
        <w:rPr>
          <w:rFonts w:ascii="Cambria" w:hAnsi="Cambria"/>
          <w:sz w:val="20"/>
          <w:szCs w:val="20"/>
        </w:rPr>
        <w:t xml:space="preserve">; </w:t>
      </w:r>
      <w:r w:rsidR="00D60629" w:rsidRPr="00C54196">
        <w:rPr>
          <w:rFonts w:ascii="Cambria" w:hAnsi="Cambria"/>
          <w:sz w:val="20"/>
          <w:szCs w:val="20"/>
        </w:rPr>
        <w:t>and that which was not addressed by the plaintiff was not matter of revision</w:t>
      </w:r>
      <w:r w:rsidR="00DE27F4" w:rsidRPr="00C54196">
        <w:rPr>
          <w:rFonts w:ascii="Cambria" w:hAnsi="Cambria"/>
          <w:sz w:val="20"/>
          <w:szCs w:val="20"/>
        </w:rPr>
        <w:t xml:space="preserve">. </w:t>
      </w:r>
      <w:r w:rsidR="00D60629" w:rsidRPr="00C54196">
        <w:rPr>
          <w:rFonts w:ascii="Cambria" w:hAnsi="Cambria"/>
          <w:sz w:val="20"/>
          <w:szCs w:val="20"/>
        </w:rPr>
        <w:t>On the other hand</w:t>
      </w:r>
      <w:r w:rsidR="00DE27F4" w:rsidRPr="00C54196">
        <w:rPr>
          <w:rFonts w:ascii="Cambria" w:hAnsi="Cambria"/>
          <w:sz w:val="20"/>
          <w:szCs w:val="20"/>
        </w:rPr>
        <w:t xml:space="preserve">, </w:t>
      </w:r>
      <w:r w:rsidR="00D60629" w:rsidRPr="00C54196">
        <w:rPr>
          <w:rFonts w:ascii="Cambria" w:hAnsi="Cambria"/>
          <w:sz w:val="20"/>
          <w:szCs w:val="20"/>
        </w:rPr>
        <w:t xml:space="preserve">in the case presented by Mrs. </w:t>
      </w:r>
      <w:proofErr w:type="spellStart"/>
      <w:r w:rsidR="00DE27F4" w:rsidRPr="00C54196">
        <w:rPr>
          <w:rFonts w:ascii="Cambria" w:hAnsi="Cambria"/>
          <w:sz w:val="20"/>
          <w:szCs w:val="20"/>
        </w:rPr>
        <w:t>Ocampo</w:t>
      </w:r>
      <w:proofErr w:type="spellEnd"/>
      <w:r w:rsidR="00DE27F4" w:rsidRPr="00C54196">
        <w:rPr>
          <w:rFonts w:ascii="Cambria" w:hAnsi="Cambria"/>
          <w:sz w:val="20"/>
          <w:szCs w:val="20"/>
        </w:rPr>
        <w:t xml:space="preserve"> </w:t>
      </w:r>
      <w:proofErr w:type="spellStart"/>
      <w:r w:rsidR="00DE27F4" w:rsidRPr="00C54196">
        <w:rPr>
          <w:rFonts w:ascii="Cambria" w:hAnsi="Cambria"/>
          <w:sz w:val="20"/>
          <w:szCs w:val="20"/>
        </w:rPr>
        <w:t>Loaiza</w:t>
      </w:r>
      <w:proofErr w:type="spellEnd"/>
      <w:r w:rsidR="00DE27F4" w:rsidRPr="00C54196">
        <w:rPr>
          <w:rFonts w:ascii="Cambria" w:hAnsi="Cambria"/>
          <w:sz w:val="20"/>
          <w:szCs w:val="20"/>
        </w:rPr>
        <w:t xml:space="preserve"> </w:t>
      </w:r>
      <w:r w:rsidR="005033B0" w:rsidRPr="00C54196">
        <w:rPr>
          <w:rFonts w:ascii="Cambria" w:hAnsi="Cambria"/>
          <w:sz w:val="20"/>
          <w:szCs w:val="20"/>
        </w:rPr>
        <w:t>the first instance sentence was revoked</w:t>
      </w:r>
      <w:r w:rsidR="00DE27F4" w:rsidRPr="00C54196">
        <w:rPr>
          <w:rFonts w:ascii="Cambria" w:hAnsi="Cambria"/>
          <w:sz w:val="20"/>
          <w:szCs w:val="20"/>
        </w:rPr>
        <w:t xml:space="preserve">, </w:t>
      </w:r>
      <w:r w:rsidR="00843CEB" w:rsidRPr="00C54196">
        <w:rPr>
          <w:rFonts w:ascii="Cambria" w:hAnsi="Cambria"/>
          <w:sz w:val="20"/>
          <w:szCs w:val="20"/>
        </w:rPr>
        <w:t>since the</w:t>
      </w:r>
      <w:r w:rsidR="00DE27F4" w:rsidRPr="00C54196">
        <w:rPr>
          <w:rFonts w:ascii="Cambria" w:hAnsi="Cambria"/>
          <w:sz w:val="20"/>
          <w:szCs w:val="20"/>
        </w:rPr>
        <w:t xml:space="preserve"> </w:t>
      </w:r>
      <w:r w:rsidR="00843CEB" w:rsidRPr="00C54196">
        <w:rPr>
          <w:rFonts w:ascii="Cambria" w:hAnsi="Cambria"/>
          <w:sz w:val="20"/>
          <w:szCs w:val="20"/>
        </w:rPr>
        <w:t>State Council was fully entitled to perform an</w:t>
      </w:r>
      <w:r w:rsidR="00DE27F4" w:rsidRPr="00C54196">
        <w:rPr>
          <w:rFonts w:ascii="Cambria" w:hAnsi="Cambria"/>
          <w:sz w:val="20"/>
          <w:szCs w:val="20"/>
        </w:rPr>
        <w:t xml:space="preserve"> </w:t>
      </w:r>
      <w:r w:rsidR="00843CEB" w:rsidRPr="00C54196">
        <w:rPr>
          <w:rFonts w:ascii="Cambria" w:hAnsi="Cambria"/>
          <w:sz w:val="20"/>
          <w:szCs w:val="20"/>
        </w:rPr>
        <w:t>integral analysis</w:t>
      </w:r>
      <w:r w:rsidR="00DE27F4" w:rsidRPr="00C54196">
        <w:rPr>
          <w:rFonts w:ascii="Cambria" w:hAnsi="Cambria"/>
          <w:sz w:val="20"/>
          <w:szCs w:val="20"/>
        </w:rPr>
        <w:t xml:space="preserve"> </w:t>
      </w:r>
      <w:r w:rsidR="00843CEB" w:rsidRPr="00C54196">
        <w:rPr>
          <w:rFonts w:ascii="Cambria" w:hAnsi="Cambria"/>
          <w:sz w:val="20"/>
          <w:szCs w:val="20"/>
        </w:rPr>
        <w:t>of the</w:t>
      </w:r>
      <w:r w:rsidR="00DE27F4" w:rsidRPr="00C54196">
        <w:rPr>
          <w:rFonts w:ascii="Cambria" w:hAnsi="Cambria"/>
          <w:sz w:val="20"/>
          <w:szCs w:val="20"/>
        </w:rPr>
        <w:t xml:space="preserve"> </w:t>
      </w:r>
      <w:r w:rsidR="00843CEB" w:rsidRPr="00C54196">
        <w:rPr>
          <w:rFonts w:ascii="Cambria" w:hAnsi="Cambria"/>
          <w:sz w:val="20"/>
          <w:szCs w:val="20"/>
        </w:rPr>
        <w:t xml:space="preserve">previous </w:t>
      </w:r>
      <w:r w:rsidR="00DE27F4" w:rsidRPr="00C54196">
        <w:rPr>
          <w:rFonts w:ascii="Cambria" w:hAnsi="Cambria"/>
          <w:sz w:val="20"/>
          <w:szCs w:val="20"/>
        </w:rPr>
        <w:t xml:space="preserve">judicial </w:t>
      </w:r>
      <w:r w:rsidR="00843CEB" w:rsidRPr="00C54196">
        <w:rPr>
          <w:rFonts w:ascii="Cambria" w:hAnsi="Cambria"/>
          <w:sz w:val="20"/>
          <w:szCs w:val="20"/>
        </w:rPr>
        <w:t>instance</w:t>
      </w:r>
      <w:r w:rsidR="00DE27F4" w:rsidRPr="00C54196">
        <w:rPr>
          <w:rFonts w:ascii="Cambria" w:hAnsi="Cambria"/>
          <w:sz w:val="20"/>
          <w:szCs w:val="20"/>
        </w:rPr>
        <w:t xml:space="preserve">, </w:t>
      </w:r>
      <w:r w:rsidR="00843CEB" w:rsidRPr="00C54196">
        <w:rPr>
          <w:rFonts w:ascii="Cambria" w:hAnsi="Cambria"/>
          <w:sz w:val="20"/>
          <w:szCs w:val="20"/>
        </w:rPr>
        <w:t>due to the amount of the indemnity</w:t>
      </w:r>
      <w:r w:rsidR="00DE27F4" w:rsidRPr="00C54196">
        <w:rPr>
          <w:rFonts w:ascii="Cambria" w:hAnsi="Cambria"/>
          <w:sz w:val="20"/>
          <w:szCs w:val="20"/>
        </w:rPr>
        <w:t xml:space="preserve">. </w:t>
      </w:r>
      <w:r w:rsidR="00843CEB" w:rsidRPr="00C54196">
        <w:rPr>
          <w:rFonts w:ascii="Cambria" w:hAnsi="Cambria"/>
          <w:sz w:val="20"/>
          <w:szCs w:val="20"/>
        </w:rPr>
        <w:t>Also</w:t>
      </w:r>
      <w:r w:rsidR="00DE27F4" w:rsidRPr="00C54196">
        <w:rPr>
          <w:rFonts w:ascii="Cambria" w:hAnsi="Cambria"/>
          <w:sz w:val="20"/>
          <w:szCs w:val="20"/>
        </w:rPr>
        <w:t xml:space="preserve">, </w:t>
      </w:r>
      <w:r w:rsidR="00843CEB" w:rsidRPr="00C54196">
        <w:rPr>
          <w:rFonts w:ascii="Cambria" w:hAnsi="Cambria"/>
          <w:sz w:val="20"/>
          <w:szCs w:val="20"/>
        </w:rPr>
        <w:t>the</w:t>
      </w:r>
      <w:r w:rsidR="00DE27F4" w:rsidRPr="00C54196">
        <w:rPr>
          <w:rFonts w:ascii="Cambria" w:hAnsi="Cambria"/>
          <w:sz w:val="20"/>
          <w:szCs w:val="20"/>
        </w:rPr>
        <w:t xml:space="preserve"> </w:t>
      </w:r>
      <w:r w:rsidR="00843CEB" w:rsidRPr="00C54196">
        <w:rPr>
          <w:rFonts w:ascii="Cambria" w:hAnsi="Cambria"/>
          <w:sz w:val="20"/>
          <w:szCs w:val="20"/>
        </w:rPr>
        <w:t>State</w:t>
      </w:r>
      <w:r w:rsidR="00DE27F4" w:rsidRPr="00C54196">
        <w:rPr>
          <w:rFonts w:ascii="Cambria" w:hAnsi="Cambria"/>
          <w:sz w:val="20"/>
          <w:szCs w:val="20"/>
        </w:rPr>
        <w:t xml:space="preserve"> </w:t>
      </w:r>
      <w:r w:rsidR="00843CEB" w:rsidRPr="00C54196">
        <w:rPr>
          <w:rFonts w:ascii="Cambria" w:hAnsi="Cambria"/>
          <w:sz w:val="20"/>
          <w:szCs w:val="20"/>
        </w:rPr>
        <w:t>acknowledged that a determined timeframe had elapsed</w:t>
      </w:r>
      <w:r w:rsidR="00DE27F4" w:rsidRPr="00C54196">
        <w:rPr>
          <w:rFonts w:ascii="Cambria" w:hAnsi="Cambria"/>
          <w:sz w:val="20"/>
          <w:szCs w:val="20"/>
        </w:rPr>
        <w:t xml:space="preserve"> </w:t>
      </w:r>
      <w:r w:rsidR="00843CEB" w:rsidRPr="00C54196">
        <w:rPr>
          <w:rFonts w:ascii="Cambria" w:hAnsi="Cambria"/>
          <w:sz w:val="20"/>
          <w:szCs w:val="20"/>
        </w:rPr>
        <w:t>between the date of the</w:t>
      </w:r>
      <w:r w:rsidR="00DE27F4" w:rsidRPr="00C54196">
        <w:rPr>
          <w:rFonts w:ascii="Cambria" w:hAnsi="Cambria"/>
          <w:sz w:val="20"/>
          <w:szCs w:val="20"/>
        </w:rPr>
        <w:t xml:space="preserve"> </w:t>
      </w:r>
      <w:r w:rsidR="00843CEB" w:rsidRPr="00C54196">
        <w:rPr>
          <w:rFonts w:ascii="Cambria" w:hAnsi="Cambria"/>
          <w:sz w:val="20"/>
          <w:szCs w:val="20"/>
        </w:rPr>
        <w:t xml:space="preserve">first instance </w:t>
      </w:r>
      <w:r w:rsidR="00DE27F4" w:rsidRPr="00C54196">
        <w:rPr>
          <w:rFonts w:ascii="Cambria" w:hAnsi="Cambria"/>
          <w:sz w:val="20"/>
          <w:szCs w:val="20"/>
        </w:rPr>
        <w:t>sentenc</w:t>
      </w:r>
      <w:r w:rsidR="00843CEB" w:rsidRPr="00C54196">
        <w:rPr>
          <w:rFonts w:ascii="Cambria" w:hAnsi="Cambria"/>
          <w:sz w:val="20"/>
          <w:szCs w:val="20"/>
        </w:rPr>
        <w:t>e</w:t>
      </w:r>
      <w:r w:rsidR="00DE27F4" w:rsidRPr="00C54196">
        <w:rPr>
          <w:rFonts w:ascii="Cambria" w:hAnsi="Cambria"/>
          <w:sz w:val="20"/>
          <w:szCs w:val="20"/>
        </w:rPr>
        <w:t xml:space="preserve"> </w:t>
      </w:r>
      <w:r w:rsidR="00843CEB" w:rsidRPr="00C54196">
        <w:rPr>
          <w:rFonts w:ascii="Cambria" w:hAnsi="Cambria"/>
          <w:sz w:val="20"/>
          <w:szCs w:val="20"/>
        </w:rPr>
        <w:t>and the time when the</w:t>
      </w:r>
      <w:r w:rsidR="00DE27F4" w:rsidRPr="00C54196">
        <w:rPr>
          <w:rFonts w:ascii="Cambria" w:hAnsi="Cambria"/>
          <w:sz w:val="20"/>
          <w:szCs w:val="20"/>
        </w:rPr>
        <w:t xml:space="preserve"> </w:t>
      </w:r>
      <w:r w:rsidR="0087499B">
        <w:rPr>
          <w:rFonts w:ascii="Cambria" w:hAnsi="Cambria"/>
          <w:sz w:val="20"/>
          <w:szCs w:val="20"/>
        </w:rPr>
        <w:t>State Council</w:t>
      </w:r>
      <w:r w:rsidR="00DE27F4" w:rsidRPr="00C54196">
        <w:rPr>
          <w:rFonts w:ascii="Cambria" w:hAnsi="Cambria"/>
          <w:sz w:val="20"/>
          <w:szCs w:val="20"/>
        </w:rPr>
        <w:t xml:space="preserve"> </w:t>
      </w:r>
      <w:r w:rsidR="00241001" w:rsidRPr="00C54196">
        <w:rPr>
          <w:rFonts w:ascii="Cambria" w:hAnsi="Cambria"/>
          <w:sz w:val="20"/>
          <w:szCs w:val="20"/>
        </w:rPr>
        <w:t>became aware of the</w:t>
      </w:r>
      <w:r w:rsidR="00DE27F4" w:rsidRPr="00C54196">
        <w:rPr>
          <w:rFonts w:ascii="Cambria" w:hAnsi="Cambria"/>
          <w:sz w:val="20"/>
          <w:szCs w:val="20"/>
        </w:rPr>
        <w:t xml:space="preserve"> cas</w:t>
      </w:r>
      <w:r w:rsidR="00241001" w:rsidRPr="00C54196">
        <w:rPr>
          <w:rFonts w:ascii="Cambria" w:hAnsi="Cambria"/>
          <w:sz w:val="20"/>
          <w:szCs w:val="20"/>
        </w:rPr>
        <w:t>e</w:t>
      </w:r>
      <w:r w:rsidR="00DE27F4" w:rsidRPr="00C54196">
        <w:rPr>
          <w:rFonts w:ascii="Cambria" w:hAnsi="Cambria"/>
          <w:sz w:val="20"/>
          <w:szCs w:val="20"/>
        </w:rPr>
        <w:t xml:space="preserve">; </w:t>
      </w:r>
      <w:r w:rsidR="00BB7FC9" w:rsidRPr="00C54196">
        <w:rPr>
          <w:rFonts w:ascii="Cambria" w:hAnsi="Cambria"/>
          <w:sz w:val="20"/>
          <w:szCs w:val="20"/>
        </w:rPr>
        <w:t>yet argues this was no reason to infer</w:t>
      </w:r>
      <w:r w:rsidR="00DE27F4" w:rsidRPr="00C54196">
        <w:rPr>
          <w:rFonts w:ascii="Cambria" w:hAnsi="Cambria"/>
          <w:sz w:val="20"/>
          <w:szCs w:val="20"/>
        </w:rPr>
        <w:t xml:space="preserve"> </w:t>
      </w:r>
      <w:r w:rsidR="00BB7FC9" w:rsidRPr="00C54196">
        <w:rPr>
          <w:rFonts w:ascii="Cambria" w:hAnsi="Cambria"/>
          <w:sz w:val="20"/>
          <w:szCs w:val="20"/>
        </w:rPr>
        <w:t>it was</w:t>
      </w:r>
      <w:r w:rsidR="00DE27F4" w:rsidRPr="00C54196">
        <w:rPr>
          <w:rFonts w:ascii="Cambria" w:hAnsi="Cambria"/>
          <w:sz w:val="20"/>
          <w:szCs w:val="20"/>
        </w:rPr>
        <w:t xml:space="preserve"> </w:t>
      </w:r>
      <w:r w:rsidR="00BB7FC9" w:rsidRPr="00C54196">
        <w:rPr>
          <w:rFonts w:ascii="Cambria" w:hAnsi="Cambria"/>
          <w:sz w:val="20"/>
          <w:szCs w:val="20"/>
        </w:rPr>
        <w:t>enforceable</w:t>
      </w:r>
      <w:r w:rsidR="00DE27F4" w:rsidRPr="00C54196">
        <w:rPr>
          <w:rFonts w:ascii="Cambria" w:hAnsi="Cambria"/>
          <w:sz w:val="20"/>
          <w:szCs w:val="20"/>
        </w:rPr>
        <w:t xml:space="preserve"> </w:t>
      </w:r>
      <w:r w:rsidR="00BB7FC9" w:rsidRPr="00C54196">
        <w:rPr>
          <w:rFonts w:ascii="Cambria" w:hAnsi="Cambria"/>
          <w:sz w:val="20"/>
          <w:szCs w:val="20"/>
        </w:rPr>
        <w:t>since the case was automatically subject to consultation</w:t>
      </w:r>
      <w:r w:rsidR="00DE27F4" w:rsidRPr="00C54196">
        <w:rPr>
          <w:rFonts w:ascii="Cambria" w:hAnsi="Cambria"/>
          <w:sz w:val="20"/>
          <w:szCs w:val="20"/>
        </w:rPr>
        <w:t>.</w:t>
      </w:r>
    </w:p>
    <w:p w14:paraId="7DE9E2D6" w14:textId="665A4D08" w:rsidR="00DE27F4" w:rsidRPr="00C54196" w:rsidRDefault="00617D66"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As for the criminal process for kidnap</w:t>
      </w:r>
      <w:r w:rsidR="00DE27F4" w:rsidRPr="00C54196">
        <w:rPr>
          <w:rFonts w:ascii="Cambria" w:hAnsi="Cambria"/>
          <w:sz w:val="20"/>
          <w:szCs w:val="20"/>
        </w:rPr>
        <w:t xml:space="preserve"> </w:t>
      </w:r>
      <w:r w:rsidRPr="00C54196">
        <w:rPr>
          <w:rFonts w:ascii="Cambria" w:hAnsi="Cambria"/>
          <w:sz w:val="20"/>
          <w:szCs w:val="20"/>
        </w:rPr>
        <w:t>and</w:t>
      </w:r>
      <w:r w:rsidR="00DE27F4" w:rsidRPr="00C54196">
        <w:rPr>
          <w:rFonts w:ascii="Cambria" w:hAnsi="Cambria"/>
          <w:sz w:val="20"/>
          <w:szCs w:val="20"/>
        </w:rPr>
        <w:t xml:space="preserve"> homicid</w:t>
      </w:r>
      <w:r w:rsidRPr="00C54196">
        <w:rPr>
          <w:rFonts w:ascii="Cambria" w:hAnsi="Cambria"/>
          <w:sz w:val="20"/>
          <w:szCs w:val="20"/>
        </w:rPr>
        <w:t>e</w:t>
      </w:r>
      <w:r w:rsidR="00DE27F4" w:rsidRPr="00C54196">
        <w:rPr>
          <w:rFonts w:ascii="Cambria" w:hAnsi="Cambria"/>
          <w:sz w:val="20"/>
          <w:szCs w:val="20"/>
        </w:rPr>
        <w:t xml:space="preserve"> </w:t>
      </w:r>
      <w:r w:rsidRPr="00C54196">
        <w:rPr>
          <w:rFonts w:ascii="Cambria" w:hAnsi="Cambria"/>
          <w:sz w:val="20"/>
          <w:szCs w:val="20"/>
        </w:rPr>
        <w:t>of the</w:t>
      </w:r>
      <w:r w:rsidR="00DE27F4" w:rsidRPr="00C54196">
        <w:rPr>
          <w:rFonts w:ascii="Cambria" w:hAnsi="Cambria"/>
          <w:sz w:val="20"/>
          <w:szCs w:val="20"/>
        </w:rPr>
        <w:t xml:space="preserve"> Zapata Álvarez</w:t>
      </w:r>
      <w:r w:rsidRPr="00C54196">
        <w:rPr>
          <w:rFonts w:ascii="Cambria" w:hAnsi="Cambria"/>
          <w:sz w:val="20"/>
          <w:szCs w:val="20"/>
        </w:rPr>
        <w:t xml:space="preserve"> brothers</w:t>
      </w:r>
      <w:r w:rsidR="00DE27F4" w:rsidRPr="00C54196">
        <w:rPr>
          <w:rFonts w:ascii="Cambria" w:hAnsi="Cambria"/>
          <w:sz w:val="20"/>
          <w:szCs w:val="20"/>
        </w:rPr>
        <w:t xml:space="preserve">, </w:t>
      </w:r>
      <w:r w:rsidRPr="00C54196">
        <w:rPr>
          <w:rFonts w:ascii="Cambria" w:hAnsi="Cambria"/>
          <w:sz w:val="20"/>
          <w:szCs w:val="20"/>
        </w:rPr>
        <w:t>the</w:t>
      </w:r>
      <w:r w:rsidR="00DE27F4" w:rsidRPr="00C54196">
        <w:rPr>
          <w:rFonts w:ascii="Cambria" w:hAnsi="Cambria"/>
          <w:sz w:val="20"/>
          <w:szCs w:val="20"/>
        </w:rPr>
        <w:t xml:space="preserve"> </w:t>
      </w:r>
      <w:r w:rsidRPr="00C54196">
        <w:rPr>
          <w:rFonts w:ascii="Cambria" w:hAnsi="Cambria"/>
          <w:sz w:val="20"/>
          <w:szCs w:val="20"/>
        </w:rPr>
        <w:t>State</w:t>
      </w:r>
      <w:r w:rsidR="00DE27F4" w:rsidRPr="00C54196">
        <w:rPr>
          <w:rFonts w:ascii="Cambria" w:hAnsi="Cambria"/>
          <w:sz w:val="20"/>
          <w:szCs w:val="20"/>
        </w:rPr>
        <w:t xml:space="preserve"> </w:t>
      </w:r>
      <w:r w:rsidRPr="00C54196">
        <w:rPr>
          <w:rFonts w:ascii="Cambria" w:hAnsi="Cambria"/>
          <w:sz w:val="20"/>
          <w:szCs w:val="20"/>
        </w:rPr>
        <w:t>points out that there is an ongoing investigation</w:t>
      </w:r>
      <w:r w:rsidR="00DE27F4" w:rsidRPr="00C54196">
        <w:rPr>
          <w:rFonts w:ascii="Cambria" w:hAnsi="Cambria"/>
          <w:sz w:val="20"/>
          <w:szCs w:val="20"/>
        </w:rPr>
        <w:t xml:space="preserve"> </w:t>
      </w:r>
      <w:r w:rsidRPr="00C54196">
        <w:rPr>
          <w:rFonts w:ascii="Cambria" w:hAnsi="Cambria"/>
          <w:sz w:val="20"/>
          <w:szCs w:val="20"/>
        </w:rPr>
        <w:t>in charge of the Nation’s Prosecutor under</w:t>
      </w:r>
      <w:r w:rsidR="00DE27F4" w:rsidRPr="00C54196">
        <w:rPr>
          <w:rFonts w:ascii="Cambria" w:hAnsi="Cambria"/>
          <w:sz w:val="20"/>
          <w:szCs w:val="20"/>
        </w:rPr>
        <w:t xml:space="preserve"> No. 157.788.  </w:t>
      </w:r>
      <w:r w:rsidRPr="00C54196">
        <w:rPr>
          <w:rFonts w:ascii="Cambria" w:hAnsi="Cambria"/>
          <w:sz w:val="20"/>
          <w:szCs w:val="20"/>
        </w:rPr>
        <w:t>It adds that</w:t>
      </w:r>
      <w:r w:rsidR="00DE27F4" w:rsidRPr="00C54196">
        <w:rPr>
          <w:rFonts w:ascii="Cambria" w:hAnsi="Cambria"/>
          <w:sz w:val="20"/>
          <w:szCs w:val="20"/>
        </w:rPr>
        <w:t xml:space="preserve">, </w:t>
      </w:r>
      <w:r w:rsidRPr="00C54196">
        <w:rPr>
          <w:rFonts w:ascii="Cambria" w:hAnsi="Cambria"/>
          <w:sz w:val="20"/>
          <w:szCs w:val="20"/>
        </w:rPr>
        <w:t>according to proof and</w:t>
      </w:r>
      <w:r w:rsidR="00DE27F4" w:rsidRPr="00C54196">
        <w:rPr>
          <w:rFonts w:ascii="Cambria" w:hAnsi="Cambria"/>
          <w:sz w:val="20"/>
          <w:szCs w:val="20"/>
        </w:rPr>
        <w:t xml:space="preserve"> y testimoni</w:t>
      </w:r>
      <w:r w:rsidRPr="00C54196">
        <w:rPr>
          <w:rFonts w:ascii="Cambria" w:hAnsi="Cambria"/>
          <w:sz w:val="20"/>
          <w:szCs w:val="20"/>
        </w:rPr>
        <w:t>e</w:t>
      </w:r>
      <w:r w:rsidR="00DE27F4" w:rsidRPr="00C54196">
        <w:rPr>
          <w:rFonts w:ascii="Cambria" w:hAnsi="Cambria"/>
          <w:sz w:val="20"/>
          <w:szCs w:val="20"/>
        </w:rPr>
        <w:t xml:space="preserve">s </w:t>
      </w:r>
      <w:r w:rsidRPr="00C54196">
        <w:rPr>
          <w:rFonts w:ascii="Cambria" w:hAnsi="Cambria"/>
          <w:sz w:val="20"/>
          <w:szCs w:val="20"/>
        </w:rPr>
        <w:t>collected by the</w:t>
      </w:r>
      <w:r w:rsidR="00DE27F4" w:rsidRPr="00C54196">
        <w:rPr>
          <w:rFonts w:ascii="Cambria" w:hAnsi="Cambria"/>
          <w:sz w:val="20"/>
          <w:szCs w:val="20"/>
        </w:rPr>
        <w:t xml:space="preserve"> </w:t>
      </w:r>
      <w:r w:rsidR="0087499B">
        <w:rPr>
          <w:rFonts w:ascii="Cambria" w:hAnsi="Cambria"/>
          <w:sz w:val="20"/>
          <w:szCs w:val="20"/>
        </w:rPr>
        <w:t>Prosecutor</w:t>
      </w:r>
      <w:r w:rsidR="00DE27F4" w:rsidRPr="00C54196">
        <w:rPr>
          <w:rFonts w:ascii="Cambria" w:hAnsi="Cambria"/>
          <w:sz w:val="20"/>
          <w:szCs w:val="20"/>
        </w:rPr>
        <w:t xml:space="preserve">, </w:t>
      </w:r>
      <w:r w:rsidRPr="00C54196">
        <w:rPr>
          <w:rFonts w:ascii="Cambria" w:hAnsi="Cambria"/>
          <w:sz w:val="20"/>
          <w:szCs w:val="20"/>
        </w:rPr>
        <w:t>one of the authors of the</w:t>
      </w:r>
      <w:r w:rsidR="00DE27F4" w:rsidRPr="00C54196">
        <w:rPr>
          <w:rFonts w:ascii="Cambria" w:hAnsi="Cambria"/>
          <w:sz w:val="20"/>
          <w:szCs w:val="20"/>
        </w:rPr>
        <w:t xml:space="preserve"> </w:t>
      </w:r>
      <w:r w:rsidRPr="00C54196">
        <w:rPr>
          <w:rFonts w:ascii="Cambria" w:hAnsi="Cambria"/>
          <w:sz w:val="20"/>
          <w:szCs w:val="20"/>
        </w:rPr>
        <w:t>multiple</w:t>
      </w:r>
      <w:r w:rsidR="00DE27F4" w:rsidRPr="00C54196">
        <w:rPr>
          <w:rFonts w:ascii="Cambria" w:hAnsi="Cambria"/>
          <w:sz w:val="20"/>
          <w:szCs w:val="20"/>
        </w:rPr>
        <w:t xml:space="preserve"> </w:t>
      </w:r>
      <w:r w:rsidRPr="00C54196">
        <w:rPr>
          <w:rFonts w:ascii="Cambria" w:hAnsi="Cambria"/>
          <w:sz w:val="20"/>
          <w:szCs w:val="20"/>
        </w:rPr>
        <w:t>homicide</w:t>
      </w:r>
      <w:r w:rsidR="00DE27F4" w:rsidRPr="00C54196">
        <w:rPr>
          <w:rFonts w:ascii="Cambria" w:hAnsi="Cambria"/>
          <w:sz w:val="20"/>
          <w:szCs w:val="20"/>
        </w:rPr>
        <w:t xml:space="preserve"> </w:t>
      </w:r>
      <w:r w:rsidRPr="00C54196">
        <w:rPr>
          <w:rFonts w:ascii="Cambria" w:hAnsi="Cambria"/>
          <w:sz w:val="20"/>
          <w:szCs w:val="20"/>
        </w:rPr>
        <w:t>is incarcerated</w:t>
      </w:r>
      <w:r w:rsidR="00DE27F4" w:rsidRPr="00C54196">
        <w:rPr>
          <w:rFonts w:ascii="Cambria" w:hAnsi="Cambria"/>
          <w:sz w:val="20"/>
          <w:szCs w:val="20"/>
        </w:rPr>
        <w:t xml:space="preserve"> </w:t>
      </w:r>
      <w:r w:rsidR="008C3BA3" w:rsidRPr="00C54196">
        <w:rPr>
          <w:rFonts w:ascii="Cambria" w:hAnsi="Cambria"/>
          <w:sz w:val="20"/>
          <w:szCs w:val="20"/>
        </w:rPr>
        <w:t xml:space="preserve">in the </w:t>
      </w:r>
      <w:r w:rsidR="00232EE2" w:rsidRPr="00C54196">
        <w:rPr>
          <w:rFonts w:ascii="Cambria" w:hAnsi="Cambria"/>
          <w:sz w:val="20"/>
          <w:szCs w:val="20"/>
        </w:rPr>
        <w:t>Maximum-Security</w:t>
      </w:r>
      <w:r w:rsidR="008C3BA3" w:rsidRPr="00C54196">
        <w:rPr>
          <w:rFonts w:ascii="Cambria" w:hAnsi="Cambria"/>
          <w:sz w:val="20"/>
          <w:szCs w:val="20"/>
        </w:rPr>
        <w:t xml:space="preserve"> Prison of</w:t>
      </w:r>
      <w:r w:rsidR="00DE27F4" w:rsidRPr="00C54196">
        <w:rPr>
          <w:rFonts w:ascii="Cambria" w:hAnsi="Cambria"/>
          <w:sz w:val="20"/>
          <w:szCs w:val="20"/>
        </w:rPr>
        <w:t xml:space="preserve"> </w:t>
      </w:r>
      <w:proofErr w:type="spellStart"/>
      <w:r w:rsidR="00DE27F4" w:rsidRPr="00C54196">
        <w:rPr>
          <w:rFonts w:ascii="Cambria" w:hAnsi="Cambria"/>
          <w:sz w:val="20"/>
          <w:szCs w:val="20"/>
        </w:rPr>
        <w:t>Itagüí</w:t>
      </w:r>
      <w:proofErr w:type="spellEnd"/>
      <w:r w:rsidR="00DE27F4" w:rsidRPr="00C54196">
        <w:rPr>
          <w:rFonts w:ascii="Cambria" w:hAnsi="Cambria"/>
          <w:sz w:val="20"/>
          <w:szCs w:val="20"/>
        </w:rPr>
        <w:t xml:space="preserve">. </w:t>
      </w:r>
      <w:r w:rsidR="008C3BA3" w:rsidRPr="00C54196">
        <w:rPr>
          <w:rFonts w:ascii="Cambria" w:hAnsi="Cambria"/>
          <w:sz w:val="20"/>
          <w:szCs w:val="20"/>
        </w:rPr>
        <w:t>Because of being a demobilized member of the</w:t>
      </w:r>
      <w:r w:rsidR="00DE27F4" w:rsidRPr="00C54196">
        <w:rPr>
          <w:rFonts w:ascii="Cambria" w:hAnsi="Cambria"/>
          <w:sz w:val="20"/>
          <w:szCs w:val="20"/>
        </w:rPr>
        <w:t xml:space="preserve"> </w:t>
      </w:r>
      <w:r w:rsidR="003872FC" w:rsidRPr="00C54196">
        <w:rPr>
          <w:rFonts w:ascii="Cambria" w:hAnsi="Cambria"/>
          <w:sz w:val="20"/>
          <w:szCs w:val="20"/>
        </w:rPr>
        <w:t xml:space="preserve">Subversive </w:t>
      </w:r>
      <w:r w:rsidR="0087499B" w:rsidRPr="00C54196">
        <w:rPr>
          <w:rFonts w:ascii="Cambria" w:hAnsi="Cambria"/>
          <w:sz w:val="20"/>
          <w:szCs w:val="20"/>
        </w:rPr>
        <w:t>Front</w:t>
      </w:r>
      <w:r w:rsidR="003872FC" w:rsidRPr="00C54196">
        <w:rPr>
          <w:rFonts w:ascii="Cambria" w:hAnsi="Cambria"/>
          <w:sz w:val="20"/>
          <w:szCs w:val="20"/>
        </w:rPr>
        <w:t xml:space="preserve"> </w:t>
      </w:r>
      <w:r w:rsidR="00DE27F4" w:rsidRPr="00C54196">
        <w:rPr>
          <w:rFonts w:ascii="Cambria" w:hAnsi="Cambria"/>
          <w:sz w:val="20"/>
          <w:szCs w:val="20"/>
        </w:rPr>
        <w:t xml:space="preserve">Carlos Alirio Buitrago </w:t>
      </w:r>
      <w:r w:rsidR="003872FC" w:rsidRPr="00C54196">
        <w:rPr>
          <w:rFonts w:ascii="Cambria" w:hAnsi="Cambria"/>
          <w:sz w:val="20"/>
          <w:szCs w:val="20"/>
        </w:rPr>
        <w:t>of the</w:t>
      </w:r>
      <w:r w:rsidR="00DE27F4" w:rsidRPr="00C54196">
        <w:rPr>
          <w:rFonts w:ascii="Cambria" w:hAnsi="Cambria"/>
          <w:sz w:val="20"/>
          <w:szCs w:val="20"/>
        </w:rPr>
        <w:t xml:space="preserve"> </w:t>
      </w:r>
      <w:r w:rsidR="003872FC" w:rsidRPr="00C54196">
        <w:rPr>
          <w:rFonts w:ascii="Cambria" w:hAnsi="Cambria"/>
          <w:sz w:val="20"/>
          <w:szCs w:val="20"/>
        </w:rPr>
        <w:t>National Liberation Army</w:t>
      </w:r>
      <w:r w:rsidR="0087499B">
        <w:rPr>
          <w:rFonts w:ascii="Cambria" w:hAnsi="Cambria"/>
          <w:sz w:val="20"/>
          <w:szCs w:val="20"/>
        </w:rPr>
        <w:t>-ELN</w:t>
      </w:r>
      <w:r w:rsidR="00DE27F4" w:rsidRPr="00C54196">
        <w:rPr>
          <w:rFonts w:ascii="Cambria" w:hAnsi="Cambria"/>
          <w:sz w:val="20"/>
          <w:szCs w:val="20"/>
        </w:rPr>
        <w:t xml:space="preserve">, </w:t>
      </w:r>
      <w:r w:rsidR="003872FC" w:rsidRPr="00C54196">
        <w:rPr>
          <w:rFonts w:ascii="Cambria" w:hAnsi="Cambria"/>
          <w:sz w:val="20"/>
          <w:szCs w:val="20"/>
        </w:rPr>
        <w:t>such</w:t>
      </w:r>
      <w:r w:rsidR="00DE27F4" w:rsidRPr="00C54196">
        <w:rPr>
          <w:rFonts w:ascii="Cambria" w:hAnsi="Cambria"/>
          <w:sz w:val="20"/>
          <w:szCs w:val="20"/>
        </w:rPr>
        <w:t xml:space="preserve"> person </w:t>
      </w:r>
      <w:r w:rsidR="003872FC" w:rsidRPr="00C54196">
        <w:rPr>
          <w:rFonts w:ascii="Cambria" w:hAnsi="Cambria"/>
          <w:sz w:val="20"/>
          <w:szCs w:val="20"/>
        </w:rPr>
        <w:t>is under the Justice and Peace System before the</w:t>
      </w:r>
      <w:r w:rsidR="00DE27F4" w:rsidRPr="00C54196">
        <w:rPr>
          <w:rFonts w:ascii="Cambria" w:hAnsi="Cambria"/>
          <w:sz w:val="20"/>
          <w:szCs w:val="20"/>
        </w:rPr>
        <w:t xml:space="preserve"> </w:t>
      </w:r>
      <w:r w:rsidR="003872FC" w:rsidRPr="00C54196">
        <w:rPr>
          <w:rFonts w:ascii="Cambria" w:hAnsi="Cambria"/>
          <w:sz w:val="20"/>
          <w:szCs w:val="20"/>
        </w:rPr>
        <w:t xml:space="preserve">Prosecutor </w:t>
      </w:r>
      <w:r w:rsidR="00DE27F4" w:rsidRPr="00C54196">
        <w:rPr>
          <w:rFonts w:ascii="Cambria" w:hAnsi="Cambria"/>
          <w:sz w:val="20"/>
          <w:szCs w:val="20"/>
        </w:rPr>
        <w:t>68.</w:t>
      </w:r>
      <w:r w:rsidR="00DE27F4" w:rsidRPr="00C54196" w:rsidDel="00573F6F">
        <w:rPr>
          <w:rFonts w:ascii="Cambria" w:hAnsi="Cambria"/>
          <w:sz w:val="20"/>
          <w:szCs w:val="20"/>
        </w:rPr>
        <w:t xml:space="preserve"> </w:t>
      </w:r>
      <w:r w:rsidR="003872FC" w:rsidRPr="00C54196">
        <w:rPr>
          <w:rFonts w:ascii="Cambria" w:hAnsi="Cambria"/>
          <w:sz w:val="20"/>
          <w:szCs w:val="20"/>
        </w:rPr>
        <w:t>The State clarifies that such person</w:t>
      </w:r>
      <w:r w:rsidR="00DE27F4" w:rsidRPr="00C54196">
        <w:rPr>
          <w:rFonts w:ascii="Cambria" w:hAnsi="Cambria"/>
          <w:sz w:val="20"/>
          <w:szCs w:val="20"/>
        </w:rPr>
        <w:t xml:space="preserve"> </w:t>
      </w:r>
      <w:r w:rsidR="003872FC" w:rsidRPr="00C54196">
        <w:rPr>
          <w:rFonts w:ascii="Cambria" w:hAnsi="Cambria"/>
          <w:sz w:val="20"/>
          <w:szCs w:val="20"/>
        </w:rPr>
        <w:t>is not imprisoned due to the kidnap and murder of the</w:t>
      </w:r>
      <w:r w:rsidR="00DE27F4" w:rsidRPr="00C54196">
        <w:rPr>
          <w:rFonts w:ascii="Cambria" w:hAnsi="Cambria"/>
          <w:sz w:val="20"/>
          <w:szCs w:val="20"/>
        </w:rPr>
        <w:t xml:space="preserve"> Hermanos Zapata Álvarez</w:t>
      </w:r>
      <w:r w:rsidR="003872FC" w:rsidRPr="00C54196">
        <w:rPr>
          <w:rFonts w:ascii="Cambria" w:hAnsi="Cambria"/>
          <w:sz w:val="20"/>
          <w:szCs w:val="20"/>
        </w:rPr>
        <w:t xml:space="preserve"> brothers</w:t>
      </w:r>
      <w:r w:rsidR="00DE27F4" w:rsidRPr="00C54196">
        <w:rPr>
          <w:rFonts w:ascii="Cambria" w:hAnsi="Cambria"/>
          <w:sz w:val="20"/>
          <w:szCs w:val="20"/>
        </w:rPr>
        <w:t xml:space="preserve">; </w:t>
      </w:r>
      <w:r w:rsidR="003872FC" w:rsidRPr="00C54196">
        <w:rPr>
          <w:rFonts w:ascii="Cambria" w:hAnsi="Cambria"/>
          <w:sz w:val="20"/>
          <w:szCs w:val="20"/>
        </w:rPr>
        <w:t>but that he confessed that during his</w:t>
      </w:r>
      <w:r w:rsidR="00DE27F4" w:rsidRPr="00C54196">
        <w:rPr>
          <w:rFonts w:ascii="Cambria" w:hAnsi="Cambria"/>
          <w:sz w:val="20"/>
          <w:szCs w:val="20"/>
        </w:rPr>
        <w:t xml:space="preserve"> </w:t>
      </w:r>
      <w:r w:rsidR="003872FC" w:rsidRPr="00C54196">
        <w:rPr>
          <w:rFonts w:ascii="Cambria" w:hAnsi="Cambria"/>
          <w:sz w:val="20"/>
          <w:szCs w:val="20"/>
        </w:rPr>
        <w:t xml:space="preserve">militancy in the aforesaid </w:t>
      </w:r>
      <w:r w:rsidR="00DE27F4" w:rsidRPr="00C54196">
        <w:rPr>
          <w:rFonts w:ascii="Cambria" w:hAnsi="Cambria"/>
          <w:sz w:val="20"/>
          <w:szCs w:val="20"/>
        </w:rPr>
        <w:t>criminal</w:t>
      </w:r>
      <w:r w:rsidR="003872FC" w:rsidRPr="00C54196">
        <w:rPr>
          <w:rFonts w:ascii="Cambria" w:hAnsi="Cambria"/>
          <w:sz w:val="20"/>
          <w:szCs w:val="20"/>
        </w:rPr>
        <w:t xml:space="preserve"> organization</w:t>
      </w:r>
      <w:r w:rsidR="00DE27F4" w:rsidRPr="00C54196">
        <w:rPr>
          <w:rFonts w:ascii="Cambria" w:hAnsi="Cambria"/>
          <w:sz w:val="20"/>
          <w:szCs w:val="20"/>
        </w:rPr>
        <w:t xml:space="preserve">, </w:t>
      </w:r>
      <w:r w:rsidR="003872FC" w:rsidRPr="00C54196">
        <w:rPr>
          <w:rFonts w:ascii="Cambria" w:hAnsi="Cambria"/>
          <w:sz w:val="20"/>
          <w:szCs w:val="20"/>
        </w:rPr>
        <w:t>he committed several</w:t>
      </w:r>
      <w:r w:rsidR="00DE27F4" w:rsidRPr="00C54196">
        <w:rPr>
          <w:rFonts w:ascii="Cambria" w:hAnsi="Cambria"/>
          <w:sz w:val="20"/>
          <w:szCs w:val="20"/>
        </w:rPr>
        <w:t xml:space="preserve"> </w:t>
      </w:r>
      <w:r w:rsidR="003872FC" w:rsidRPr="00C54196">
        <w:rPr>
          <w:rFonts w:ascii="Cambria" w:hAnsi="Cambria"/>
          <w:sz w:val="20"/>
          <w:szCs w:val="20"/>
        </w:rPr>
        <w:t xml:space="preserve">punishable </w:t>
      </w:r>
      <w:r w:rsidR="00DE27F4" w:rsidRPr="00C54196">
        <w:rPr>
          <w:rFonts w:ascii="Cambria" w:hAnsi="Cambria"/>
          <w:sz w:val="20"/>
          <w:szCs w:val="20"/>
        </w:rPr>
        <w:t xml:space="preserve">conducts </w:t>
      </w:r>
      <w:r w:rsidR="003872FC" w:rsidRPr="00C54196">
        <w:rPr>
          <w:rFonts w:ascii="Cambria" w:hAnsi="Cambria"/>
          <w:sz w:val="20"/>
          <w:szCs w:val="20"/>
        </w:rPr>
        <w:t>i</w:t>
      </w:r>
      <w:r w:rsidR="00DE27F4" w:rsidRPr="00C54196">
        <w:rPr>
          <w:rFonts w:ascii="Cambria" w:hAnsi="Cambria"/>
          <w:sz w:val="20"/>
          <w:szCs w:val="20"/>
        </w:rPr>
        <w:t xml:space="preserve">n 1993 </w:t>
      </w:r>
      <w:r w:rsidR="003872FC" w:rsidRPr="00C54196">
        <w:rPr>
          <w:rFonts w:ascii="Cambria" w:hAnsi="Cambria"/>
          <w:sz w:val="20"/>
          <w:szCs w:val="20"/>
        </w:rPr>
        <w:t>in the District of</w:t>
      </w:r>
      <w:r w:rsidR="00DE27F4" w:rsidRPr="00C54196">
        <w:rPr>
          <w:rFonts w:ascii="Cambria" w:hAnsi="Cambria"/>
          <w:sz w:val="20"/>
          <w:szCs w:val="20"/>
        </w:rPr>
        <w:t xml:space="preserve"> Granada, </w:t>
      </w:r>
      <w:r w:rsidR="003872FC" w:rsidRPr="00C54196">
        <w:rPr>
          <w:rFonts w:ascii="Cambria" w:hAnsi="Cambria"/>
          <w:sz w:val="20"/>
          <w:szCs w:val="20"/>
        </w:rPr>
        <w:t>and that one of them had been the kidnap and</w:t>
      </w:r>
      <w:r w:rsidR="00DE27F4" w:rsidRPr="00C54196">
        <w:rPr>
          <w:rFonts w:ascii="Cambria" w:hAnsi="Cambria"/>
          <w:sz w:val="20"/>
          <w:szCs w:val="20"/>
        </w:rPr>
        <w:t xml:space="preserve"> </w:t>
      </w:r>
      <w:r w:rsidR="003872FC" w:rsidRPr="00C54196">
        <w:rPr>
          <w:rFonts w:ascii="Cambria" w:hAnsi="Cambria"/>
          <w:sz w:val="20"/>
          <w:szCs w:val="20"/>
        </w:rPr>
        <w:t>murder of six inmates from the</w:t>
      </w:r>
      <w:r w:rsidR="00DE27F4" w:rsidRPr="00C54196">
        <w:rPr>
          <w:rFonts w:ascii="Cambria" w:hAnsi="Cambria"/>
          <w:sz w:val="20"/>
          <w:szCs w:val="20"/>
        </w:rPr>
        <w:t xml:space="preserve"> municipal</w:t>
      </w:r>
      <w:r w:rsidR="003872FC" w:rsidRPr="00C54196">
        <w:rPr>
          <w:rFonts w:ascii="Cambria" w:hAnsi="Cambria"/>
          <w:sz w:val="20"/>
          <w:szCs w:val="20"/>
        </w:rPr>
        <w:t xml:space="preserve"> prison</w:t>
      </w:r>
      <w:r w:rsidR="00DE27F4" w:rsidRPr="00C54196">
        <w:rPr>
          <w:rFonts w:ascii="Cambria" w:hAnsi="Cambria"/>
          <w:sz w:val="20"/>
          <w:szCs w:val="20"/>
        </w:rPr>
        <w:t xml:space="preserve">.  </w:t>
      </w:r>
      <w:r w:rsidR="003872FC" w:rsidRPr="00C54196">
        <w:rPr>
          <w:rFonts w:ascii="Cambria" w:hAnsi="Cambria"/>
          <w:sz w:val="20"/>
          <w:szCs w:val="20"/>
        </w:rPr>
        <w:t>Additionally</w:t>
      </w:r>
      <w:r w:rsidR="00DE27F4" w:rsidRPr="00C54196">
        <w:rPr>
          <w:rFonts w:ascii="Cambria" w:hAnsi="Cambria"/>
          <w:sz w:val="20"/>
          <w:szCs w:val="20"/>
        </w:rPr>
        <w:t xml:space="preserve">, </w:t>
      </w:r>
      <w:r w:rsidR="003872FC" w:rsidRPr="00C54196">
        <w:rPr>
          <w:rFonts w:ascii="Cambria" w:hAnsi="Cambria"/>
          <w:sz w:val="20"/>
          <w:szCs w:val="20"/>
        </w:rPr>
        <w:t>the State does not mention</w:t>
      </w:r>
      <w:r w:rsidR="00DE27F4" w:rsidRPr="00C54196">
        <w:rPr>
          <w:rFonts w:ascii="Cambria" w:hAnsi="Cambria"/>
          <w:sz w:val="20"/>
          <w:szCs w:val="20"/>
        </w:rPr>
        <w:t xml:space="preserve"> </w:t>
      </w:r>
      <w:r w:rsidR="003872FC" w:rsidRPr="00C54196">
        <w:rPr>
          <w:rFonts w:ascii="Cambria" w:hAnsi="Cambria"/>
          <w:sz w:val="20"/>
          <w:szCs w:val="20"/>
        </w:rPr>
        <w:t xml:space="preserve">any disciplinary process whatsoever versus </w:t>
      </w:r>
      <w:r w:rsidR="00DE27F4" w:rsidRPr="00C54196">
        <w:rPr>
          <w:rFonts w:ascii="Cambria" w:hAnsi="Cambria"/>
          <w:sz w:val="20"/>
          <w:szCs w:val="20"/>
        </w:rPr>
        <w:t>aut</w:t>
      </w:r>
      <w:r w:rsidR="003872FC" w:rsidRPr="00C54196">
        <w:rPr>
          <w:rFonts w:ascii="Cambria" w:hAnsi="Cambria"/>
          <w:sz w:val="20"/>
          <w:szCs w:val="20"/>
        </w:rPr>
        <w:t>h</w:t>
      </w:r>
      <w:r w:rsidR="00DE27F4" w:rsidRPr="00C54196">
        <w:rPr>
          <w:rFonts w:ascii="Cambria" w:hAnsi="Cambria"/>
          <w:sz w:val="20"/>
          <w:szCs w:val="20"/>
        </w:rPr>
        <w:t>ori</w:t>
      </w:r>
      <w:r w:rsidR="003872FC" w:rsidRPr="00C54196">
        <w:rPr>
          <w:rFonts w:ascii="Cambria" w:hAnsi="Cambria"/>
          <w:sz w:val="20"/>
          <w:szCs w:val="20"/>
        </w:rPr>
        <w:t>ti</w:t>
      </w:r>
      <w:r w:rsidR="00DE27F4" w:rsidRPr="00C54196">
        <w:rPr>
          <w:rFonts w:ascii="Cambria" w:hAnsi="Cambria"/>
          <w:sz w:val="20"/>
          <w:szCs w:val="20"/>
        </w:rPr>
        <w:t xml:space="preserve">es </w:t>
      </w:r>
      <w:r w:rsidR="003872FC" w:rsidRPr="00C54196">
        <w:rPr>
          <w:rFonts w:ascii="Cambria" w:hAnsi="Cambria"/>
          <w:sz w:val="20"/>
          <w:szCs w:val="20"/>
        </w:rPr>
        <w:t>who were guarding the</w:t>
      </w:r>
      <w:r w:rsidR="00DE27F4" w:rsidRPr="00C54196">
        <w:rPr>
          <w:rFonts w:ascii="Cambria" w:hAnsi="Cambria"/>
          <w:sz w:val="20"/>
          <w:szCs w:val="20"/>
        </w:rPr>
        <w:t xml:space="preserve"> municipal </w:t>
      </w:r>
      <w:r w:rsidR="003872FC" w:rsidRPr="00C54196">
        <w:rPr>
          <w:rFonts w:ascii="Cambria" w:hAnsi="Cambria"/>
          <w:sz w:val="20"/>
          <w:szCs w:val="20"/>
        </w:rPr>
        <w:t>prison at the time of the reported facts</w:t>
      </w:r>
      <w:r w:rsidR="00DE27F4" w:rsidRPr="00C54196">
        <w:rPr>
          <w:rFonts w:ascii="Cambria" w:hAnsi="Cambria"/>
          <w:sz w:val="20"/>
          <w:szCs w:val="20"/>
        </w:rPr>
        <w:t>.</w:t>
      </w:r>
    </w:p>
    <w:p w14:paraId="6953F7A4" w14:textId="1B377051" w:rsidR="00F621C3" w:rsidRPr="00C54196" w:rsidRDefault="00DE27F4" w:rsidP="00DE2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lastRenderedPageBreak/>
        <w:t>Final</w:t>
      </w:r>
      <w:r w:rsidR="003872FC" w:rsidRPr="00C54196">
        <w:rPr>
          <w:rFonts w:ascii="Cambria" w:hAnsi="Cambria"/>
          <w:sz w:val="20"/>
          <w:szCs w:val="20"/>
        </w:rPr>
        <w:t>ly</w:t>
      </w:r>
      <w:r w:rsidRPr="00C54196">
        <w:rPr>
          <w:rFonts w:ascii="Cambria" w:hAnsi="Cambria"/>
          <w:sz w:val="20"/>
          <w:szCs w:val="20"/>
        </w:rPr>
        <w:t xml:space="preserve">, </w:t>
      </w:r>
      <w:r w:rsidR="003872FC" w:rsidRPr="00C54196">
        <w:rPr>
          <w:rFonts w:ascii="Cambria" w:hAnsi="Cambria"/>
          <w:sz w:val="20"/>
          <w:szCs w:val="20"/>
        </w:rPr>
        <w:t>the</w:t>
      </w:r>
      <w:r w:rsidRPr="00C54196">
        <w:rPr>
          <w:rFonts w:ascii="Cambria" w:hAnsi="Cambria"/>
          <w:sz w:val="20"/>
          <w:szCs w:val="20"/>
        </w:rPr>
        <w:t xml:space="preserve"> </w:t>
      </w:r>
      <w:r w:rsidR="003872FC" w:rsidRPr="00C54196">
        <w:rPr>
          <w:rFonts w:ascii="Cambria" w:hAnsi="Cambria"/>
          <w:sz w:val="20"/>
          <w:szCs w:val="20"/>
        </w:rPr>
        <w:t>State</w:t>
      </w:r>
      <w:r w:rsidRPr="00C54196">
        <w:rPr>
          <w:rFonts w:ascii="Cambria" w:hAnsi="Cambria"/>
          <w:sz w:val="20"/>
          <w:szCs w:val="20"/>
        </w:rPr>
        <w:t xml:space="preserve"> af</w:t>
      </w:r>
      <w:r w:rsidR="003872FC" w:rsidRPr="00C54196">
        <w:rPr>
          <w:rFonts w:ascii="Cambria" w:hAnsi="Cambria"/>
          <w:sz w:val="20"/>
          <w:szCs w:val="20"/>
        </w:rPr>
        <w:t>f</w:t>
      </w:r>
      <w:r w:rsidRPr="00C54196">
        <w:rPr>
          <w:rFonts w:ascii="Cambria" w:hAnsi="Cambria"/>
          <w:sz w:val="20"/>
          <w:szCs w:val="20"/>
        </w:rPr>
        <w:t>irm</w:t>
      </w:r>
      <w:r w:rsidR="003872FC" w:rsidRPr="00C54196">
        <w:rPr>
          <w:rFonts w:ascii="Cambria" w:hAnsi="Cambria"/>
          <w:sz w:val="20"/>
          <w:szCs w:val="20"/>
        </w:rPr>
        <w:t>s</w:t>
      </w:r>
      <w:r w:rsidRPr="00C54196">
        <w:rPr>
          <w:rFonts w:ascii="Cambria" w:hAnsi="Cambria"/>
          <w:sz w:val="20"/>
          <w:szCs w:val="20"/>
        </w:rPr>
        <w:t xml:space="preserve"> </w:t>
      </w:r>
      <w:r w:rsidR="003872FC" w:rsidRPr="00C54196">
        <w:rPr>
          <w:rFonts w:ascii="Cambria" w:hAnsi="Cambria"/>
          <w:sz w:val="20"/>
          <w:szCs w:val="20"/>
        </w:rPr>
        <w:t>that the function of the</w:t>
      </w:r>
      <w:r w:rsidRPr="00C54196">
        <w:rPr>
          <w:rFonts w:ascii="Cambria" w:hAnsi="Cambria"/>
          <w:sz w:val="20"/>
          <w:szCs w:val="20"/>
        </w:rPr>
        <w:t xml:space="preserve"> </w:t>
      </w:r>
      <w:r w:rsidR="003872FC" w:rsidRPr="00C54196">
        <w:rPr>
          <w:rFonts w:ascii="Cambria" w:hAnsi="Cambria"/>
          <w:sz w:val="20"/>
          <w:szCs w:val="20"/>
        </w:rPr>
        <w:t>Commission</w:t>
      </w:r>
      <w:r w:rsidRPr="00C54196">
        <w:rPr>
          <w:rFonts w:ascii="Cambria" w:hAnsi="Cambria"/>
          <w:sz w:val="20"/>
          <w:szCs w:val="20"/>
        </w:rPr>
        <w:t xml:space="preserve"> </w:t>
      </w:r>
      <w:r w:rsidR="003872FC" w:rsidRPr="00C54196">
        <w:rPr>
          <w:rFonts w:ascii="Cambria" w:hAnsi="Cambria"/>
          <w:sz w:val="20"/>
          <w:szCs w:val="20"/>
        </w:rPr>
        <w:t xml:space="preserve">is to </w:t>
      </w:r>
      <w:r w:rsidR="0072304E" w:rsidRPr="00C54196">
        <w:rPr>
          <w:rFonts w:ascii="Cambria" w:hAnsi="Cambria"/>
          <w:sz w:val="20"/>
          <w:szCs w:val="20"/>
        </w:rPr>
        <w:t>g</w:t>
      </w:r>
      <w:r w:rsidR="003872FC" w:rsidRPr="00C54196">
        <w:rPr>
          <w:rFonts w:ascii="Cambria" w:hAnsi="Cambria"/>
          <w:sz w:val="20"/>
          <w:szCs w:val="20"/>
        </w:rPr>
        <w:t>uarantee</w:t>
      </w:r>
      <w:r w:rsidRPr="00C54196">
        <w:rPr>
          <w:rFonts w:ascii="Cambria" w:hAnsi="Cambria"/>
          <w:sz w:val="20"/>
          <w:szCs w:val="20"/>
        </w:rPr>
        <w:t xml:space="preserve"> </w:t>
      </w:r>
      <w:r w:rsidR="0072304E" w:rsidRPr="00C54196">
        <w:rPr>
          <w:rFonts w:ascii="Cambria" w:hAnsi="Cambria"/>
          <w:sz w:val="20"/>
          <w:szCs w:val="20"/>
        </w:rPr>
        <w:t>the observance</w:t>
      </w:r>
      <w:r w:rsidRPr="00C54196">
        <w:rPr>
          <w:rFonts w:ascii="Cambria" w:hAnsi="Cambria"/>
          <w:sz w:val="20"/>
          <w:szCs w:val="20"/>
        </w:rPr>
        <w:t xml:space="preserve"> </w:t>
      </w:r>
      <w:r w:rsidR="0072304E" w:rsidRPr="00C54196">
        <w:rPr>
          <w:rFonts w:ascii="Cambria" w:hAnsi="Cambria"/>
          <w:sz w:val="20"/>
          <w:szCs w:val="20"/>
        </w:rPr>
        <w:t>of the</w:t>
      </w:r>
      <w:r w:rsidRPr="00C54196">
        <w:rPr>
          <w:rFonts w:ascii="Cambria" w:hAnsi="Cambria"/>
          <w:sz w:val="20"/>
          <w:szCs w:val="20"/>
        </w:rPr>
        <w:t xml:space="preserve"> </w:t>
      </w:r>
      <w:r w:rsidR="0072304E" w:rsidRPr="00C54196">
        <w:rPr>
          <w:rFonts w:ascii="Cambria" w:hAnsi="Cambria"/>
          <w:sz w:val="20"/>
          <w:szCs w:val="20"/>
        </w:rPr>
        <w:t>obligations</w:t>
      </w:r>
      <w:r w:rsidRPr="00C54196">
        <w:rPr>
          <w:rFonts w:ascii="Cambria" w:hAnsi="Cambria"/>
          <w:sz w:val="20"/>
          <w:szCs w:val="20"/>
        </w:rPr>
        <w:t xml:space="preserve"> as</w:t>
      </w:r>
      <w:r w:rsidR="0072304E" w:rsidRPr="00C54196">
        <w:rPr>
          <w:rFonts w:ascii="Cambria" w:hAnsi="Cambria"/>
          <w:sz w:val="20"/>
          <w:szCs w:val="20"/>
        </w:rPr>
        <w:t>s</w:t>
      </w:r>
      <w:r w:rsidRPr="00C54196">
        <w:rPr>
          <w:rFonts w:ascii="Cambria" w:hAnsi="Cambria"/>
          <w:sz w:val="20"/>
          <w:szCs w:val="20"/>
        </w:rPr>
        <w:t>um</w:t>
      </w:r>
      <w:r w:rsidR="0072304E" w:rsidRPr="00C54196">
        <w:rPr>
          <w:rFonts w:ascii="Cambria" w:hAnsi="Cambria"/>
          <w:sz w:val="20"/>
          <w:szCs w:val="20"/>
        </w:rPr>
        <w:t>ed</w:t>
      </w:r>
      <w:r w:rsidRPr="00C54196">
        <w:rPr>
          <w:rFonts w:ascii="Cambria" w:hAnsi="Cambria"/>
          <w:sz w:val="20"/>
          <w:szCs w:val="20"/>
        </w:rPr>
        <w:t xml:space="preserve"> </w:t>
      </w:r>
      <w:r w:rsidR="0072304E" w:rsidRPr="00C54196">
        <w:rPr>
          <w:rFonts w:ascii="Cambria" w:hAnsi="Cambria"/>
          <w:sz w:val="20"/>
          <w:szCs w:val="20"/>
        </w:rPr>
        <w:t>by the</w:t>
      </w:r>
      <w:r w:rsidRPr="00C54196">
        <w:rPr>
          <w:rFonts w:ascii="Cambria" w:hAnsi="Cambria"/>
          <w:sz w:val="20"/>
          <w:szCs w:val="20"/>
        </w:rPr>
        <w:t xml:space="preserve"> </w:t>
      </w:r>
      <w:r w:rsidR="0072304E" w:rsidRPr="00C54196">
        <w:rPr>
          <w:rFonts w:ascii="Cambria" w:hAnsi="Cambria"/>
          <w:sz w:val="20"/>
          <w:szCs w:val="20"/>
        </w:rPr>
        <w:t>States</w:t>
      </w:r>
      <w:r w:rsidRPr="00C54196">
        <w:rPr>
          <w:rFonts w:ascii="Cambria" w:hAnsi="Cambria"/>
          <w:sz w:val="20"/>
          <w:szCs w:val="20"/>
        </w:rPr>
        <w:t xml:space="preserve"> </w:t>
      </w:r>
      <w:r w:rsidR="0072304E" w:rsidRPr="00C54196">
        <w:rPr>
          <w:rFonts w:ascii="Cambria" w:hAnsi="Cambria"/>
          <w:sz w:val="20"/>
          <w:szCs w:val="20"/>
        </w:rPr>
        <w:t>adhered to the</w:t>
      </w:r>
      <w:r w:rsidRPr="00C54196">
        <w:rPr>
          <w:rFonts w:ascii="Cambria" w:hAnsi="Cambria"/>
          <w:sz w:val="20"/>
          <w:szCs w:val="20"/>
        </w:rPr>
        <w:t xml:space="preserve"> </w:t>
      </w:r>
      <w:r w:rsidR="0072304E" w:rsidRPr="00C54196">
        <w:rPr>
          <w:rFonts w:ascii="Cambria" w:hAnsi="Cambria"/>
          <w:sz w:val="20"/>
          <w:szCs w:val="20"/>
        </w:rPr>
        <w:t>Convention</w:t>
      </w:r>
      <w:r w:rsidRPr="00C54196">
        <w:rPr>
          <w:rFonts w:ascii="Cambria" w:hAnsi="Cambria"/>
          <w:sz w:val="20"/>
          <w:szCs w:val="20"/>
        </w:rPr>
        <w:t xml:space="preserve">, </w:t>
      </w:r>
      <w:r w:rsidR="0072304E" w:rsidRPr="00C54196">
        <w:rPr>
          <w:rFonts w:ascii="Cambria" w:hAnsi="Cambria"/>
          <w:sz w:val="20"/>
          <w:szCs w:val="20"/>
        </w:rPr>
        <w:t>but it is not entitled to</w:t>
      </w:r>
      <w:r w:rsidRPr="00C54196">
        <w:rPr>
          <w:rFonts w:ascii="Cambria" w:hAnsi="Cambria"/>
          <w:sz w:val="20"/>
          <w:szCs w:val="20"/>
        </w:rPr>
        <w:t xml:space="preserve"> </w:t>
      </w:r>
      <w:r w:rsidR="0072304E" w:rsidRPr="00C54196">
        <w:rPr>
          <w:rFonts w:ascii="Cambria" w:hAnsi="Cambria"/>
          <w:sz w:val="20"/>
          <w:szCs w:val="20"/>
        </w:rPr>
        <w:t>act as</w:t>
      </w:r>
      <w:r w:rsidRPr="00C54196">
        <w:rPr>
          <w:rFonts w:ascii="Cambria" w:hAnsi="Cambria"/>
          <w:sz w:val="20"/>
          <w:szCs w:val="20"/>
        </w:rPr>
        <w:t xml:space="preserve"> </w:t>
      </w:r>
      <w:r w:rsidR="0072304E" w:rsidRPr="00C54196">
        <w:rPr>
          <w:rFonts w:ascii="Cambria" w:hAnsi="Cambria"/>
          <w:sz w:val="20"/>
          <w:szCs w:val="20"/>
        </w:rPr>
        <w:t>a higher court and analyze</w:t>
      </w:r>
      <w:r w:rsidRPr="00C54196">
        <w:rPr>
          <w:rFonts w:ascii="Cambria" w:hAnsi="Cambria"/>
          <w:sz w:val="20"/>
          <w:szCs w:val="20"/>
        </w:rPr>
        <w:t xml:space="preserve"> </w:t>
      </w:r>
      <w:r w:rsidR="0072304E" w:rsidRPr="00C54196">
        <w:rPr>
          <w:rFonts w:ascii="Cambria" w:hAnsi="Cambria"/>
          <w:sz w:val="20"/>
          <w:szCs w:val="20"/>
        </w:rPr>
        <w:t>alleged</w:t>
      </w:r>
      <w:r w:rsidRPr="00C54196">
        <w:rPr>
          <w:rFonts w:ascii="Cambria" w:hAnsi="Cambria"/>
          <w:sz w:val="20"/>
          <w:szCs w:val="20"/>
        </w:rPr>
        <w:t xml:space="preserve"> errors </w:t>
      </w:r>
      <w:r w:rsidR="0072304E" w:rsidRPr="00C54196">
        <w:rPr>
          <w:rFonts w:ascii="Cambria" w:hAnsi="Cambria"/>
          <w:sz w:val="20"/>
          <w:szCs w:val="20"/>
        </w:rPr>
        <w:t>of fact or right</w:t>
      </w:r>
      <w:r w:rsidRPr="00C54196">
        <w:rPr>
          <w:rFonts w:ascii="Cambria" w:hAnsi="Cambria"/>
          <w:sz w:val="20"/>
          <w:szCs w:val="20"/>
        </w:rPr>
        <w:t xml:space="preserve"> </w:t>
      </w:r>
      <w:r w:rsidR="0072304E" w:rsidRPr="00C54196">
        <w:rPr>
          <w:rFonts w:ascii="Cambria" w:hAnsi="Cambria"/>
          <w:sz w:val="20"/>
          <w:szCs w:val="20"/>
        </w:rPr>
        <w:t>which may have taken place during the development of the process.</w:t>
      </w:r>
    </w:p>
    <w:p w14:paraId="55505107" w14:textId="28153572" w:rsidR="00F621C3" w:rsidRPr="00C54196" w:rsidRDefault="00F621C3" w:rsidP="00F621C3">
      <w:pPr>
        <w:spacing w:before="240" w:after="240"/>
        <w:ind w:firstLine="720"/>
        <w:jc w:val="both"/>
        <w:rPr>
          <w:rFonts w:ascii="Cambria" w:hAnsi="Cambria"/>
          <w:sz w:val="20"/>
          <w:szCs w:val="20"/>
        </w:rPr>
      </w:pPr>
      <w:r w:rsidRPr="00C54196">
        <w:rPr>
          <w:rFonts w:asciiTheme="majorHAnsi" w:eastAsia="Cambria" w:hAnsiTheme="majorHAnsi" w:cs="Cambria"/>
          <w:b/>
          <w:bCs/>
          <w:color w:val="000000"/>
          <w:sz w:val="20"/>
          <w:szCs w:val="20"/>
          <w:u w:color="000000"/>
          <w:lang w:eastAsia="es-ES"/>
        </w:rPr>
        <w:t>VI.</w:t>
      </w:r>
      <w:r w:rsidRPr="00C54196">
        <w:rPr>
          <w:rFonts w:asciiTheme="majorHAnsi" w:eastAsia="Cambria" w:hAnsiTheme="majorHAnsi" w:cs="Cambria"/>
          <w:b/>
          <w:bCs/>
          <w:color w:val="000000"/>
          <w:sz w:val="20"/>
          <w:szCs w:val="20"/>
          <w:u w:color="000000"/>
          <w:lang w:eastAsia="es-ES"/>
        </w:rPr>
        <w:tab/>
      </w:r>
      <w:r w:rsidR="001F1902" w:rsidRPr="00C54196">
        <w:rPr>
          <w:rFonts w:asciiTheme="majorHAnsi" w:hAnsiTheme="majorHAnsi"/>
          <w:b/>
          <w:bCs/>
          <w:sz w:val="20"/>
          <w:szCs w:val="20"/>
        </w:rPr>
        <w:t xml:space="preserve">ANALYSIS OF </w:t>
      </w:r>
      <w:r w:rsidRPr="00C54196">
        <w:rPr>
          <w:rFonts w:asciiTheme="majorHAnsi" w:hAnsiTheme="majorHAnsi"/>
          <w:b/>
          <w:sz w:val="20"/>
          <w:szCs w:val="20"/>
        </w:rPr>
        <w:t>EXHAUSTION OF DOMESTIC REMEDIES AND TIMELINESS OF THE PETITION</w:t>
      </w:r>
      <w:r w:rsidRPr="00C54196">
        <w:rPr>
          <w:rFonts w:asciiTheme="majorHAnsi" w:eastAsia="Cambria" w:hAnsiTheme="majorHAnsi" w:cs="Cambria"/>
          <w:b/>
          <w:bCs/>
          <w:color w:val="000000"/>
          <w:sz w:val="20"/>
          <w:szCs w:val="20"/>
          <w:u w:color="000000"/>
          <w:lang w:eastAsia="es-ES"/>
        </w:rPr>
        <w:t xml:space="preserve"> </w:t>
      </w:r>
    </w:p>
    <w:p w14:paraId="224B5E41" w14:textId="76A00183" w:rsidR="00294C77" w:rsidRPr="00C54196" w:rsidRDefault="00334971" w:rsidP="00294C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The petitionary reports lack of access</w:t>
      </w:r>
      <w:r w:rsidR="00294C77" w:rsidRPr="00C54196">
        <w:rPr>
          <w:rFonts w:ascii="Cambria" w:hAnsi="Cambria"/>
          <w:sz w:val="20"/>
          <w:szCs w:val="20"/>
        </w:rPr>
        <w:t xml:space="preserve"> </w:t>
      </w:r>
      <w:r w:rsidRPr="00C54196">
        <w:rPr>
          <w:rFonts w:ascii="Cambria" w:hAnsi="Cambria"/>
          <w:sz w:val="20"/>
          <w:szCs w:val="20"/>
        </w:rPr>
        <w:t>to an</w:t>
      </w:r>
      <w:r w:rsidR="00294C77" w:rsidRPr="00C54196">
        <w:rPr>
          <w:rFonts w:ascii="Cambria" w:hAnsi="Cambria"/>
          <w:sz w:val="20"/>
          <w:szCs w:val="20"/>
        </w:rPr>
        <w:t xml:space="preserve"> administrativ</w:t>
      </w:r>
      <w:r w:rsidRPr="00C54196">
        <w:rPr>
          <w:rFonts w:ascii="Cambria" w:hAnsi="Cambria"/>
          <w:sz w:val="20"/>
          <w:szCs w:val="20"/>
        </w:rPr>
        <w:t>e</w:t>
      </w:r>
      <w:r w:rsidR="00294C77" w:rsidRPr="00C54196">
        <w:rPr>
          <w:rFonts w:ascii="Cambria" w:hAnsi="Cambria"/>
          <w:sz w:val="20"/>
          <w:szCs w:val="20"/>
        </w:rPr>
        <w:t xml:space="preserve"> </w:t>
      </w:r>
      <w:r w:rsidRPr="00C54196">
        <w:rPr>
          <w:rFonts w:ascii="Cambria" w:hAnsi="Cambria"/>
          <w:sz w:val="20"/>
          <w:szCs w:val="20"/>
        </w:rPr>
        <w:t>remedy for the relatives of the</w:t>
      </w:r>
      <w:r w:rsidR="00294C77" w:rsidRPr="00C54196">
        <w:rPr>
          <w:rFonts w:ascii="Cambria" w:hAnsi="Cambria"/>
          <w:sz w:val="20"/>
          <w:szCs w:val="20"/>
        </w:rPr>
        <w:t xml:space="preserve"> Zapata Álvarez</w:t>
      </w:r>
      <w:r w:rsidRPr="00C54196">
        <w:rPr>
          <w:rFonts w:ascii="Cambria" w:hAnsi="Cambria"/>
          <w:sz w:val="20"/>
          <w:szCs w:val="20"/>
        </w:rPr>
        <w:t xml:space="preserve"> brothers</w:t>
      </w:r>
      <w:r w:rsidR="00294C77" w:rsidRPr="00C54196">
        <w:rPr>
          <w:rFonts w:ascii="Cambria" w:hAnsi="Cambria"/>
          <w:sz w:val="20"/>
          <w:szCs w:val="20"/>
        </w:rPr>
        <w:t xml:space="preserve">, </w:t>
      </w:r>
      <w:r w:rsidRPr="00C54196">
        <w:rPr>
          <w:rFonts w:ascii="Cambria" w:hAnsi="Cambria"/>
          <w:sz w:val="20"/>
          <w:szCs w:val="20"/>
        </w:rPr>
        <w:t>kidnapped when they were held in custody of the State and later</w:t>
      </w:r>
      <w:r w:rsidR="00294C77" w:rsidRPr="00C54196">
        <w:rPr>
          <w:rFonts w:ascii="Cambria" w:hAnsi="Cambria"/>
          <w:sz w:val="20"/>
          <w:szCs w:val="20"/>
        </w:rPr>
        <w:t xml:space="preserve"> </w:t>
      </w:r>
      <w:r w:rsidRPr="00C54196">
        <w:rPr>
          <w:rFonts w:ascii="Cambria" w:hAnsi="Cambria"/>
          <w:sz w:val="20"/>
          <w:szCs w:val="20"/>
        </w:rPr>
        <w:t>murdered</w:t>
      </w:r>
      <w:r w:rsidR="00294C77" w:rsidRPr="00C54196">
        <w:rPr>
          <w:rFonts w:ascii="Cambria" w:hAnsi="Cambria"/>
          <w:sz w:val="20"/>
          <w:szCs w:val="20"/>
        </w:rPr>
        <w:t>. Ad</w:t>
      </w:r>
      <w:r w:rsidR="00C734A3" w:rsidRPr="00C54196">
        <w:rPr>
          <w:rFonts w:ascii="Cambria" w:hAnsi="Cambria"/>
          <w:sz w:val="20"/>
          <w:szCs w:val="20"/>
        </w:rPr>
        <w:t>ditionally</w:t>
      </w:r>
      <w:r w:rsidR="00294C77" w:rsidRPr="00C54196">
        <w:rPr>
          <w:rFonts w:ascii="Cambria" w:hAnsi="Cambria"/>
          <w:sz w:val="20"/>
          <w:szCs w:val="20"/>
        </w:rPr>
        <w:t xml:space="preserve">, </w:t>
      </w:r>
      <w:r w:rsidR="00C734A3" w:rsidRPr="00C54196">
        <w:rPr>
          <w:rFonts w:ascii="Cambria" w:hAnsi="Cambria"/>
          <w:sz w:val="20"/>
          <w:szCs w:val="20"/>
        </w:rPr>
        <w:t xml:space="preserve">claims lack of criminal </w:t>
      </w:r>
      <w:r w:rsidR="00294C77" w:rsidRPr="00C54196">
        <w:rPr>
          <w:rFonts w:ascii="Cambria" w:hAnsi="Cambria"/>
          <w:sz w:val="20"/>
          <w:szCs w:val="20"/>
        </w:rPr>
        <w:t>investiga</w:t>
      </w:r>
      <w:r w:rsidR="00C734A3" w:rsidRPr="00C54196">
        <w:rPr>
          <w:rFonts w:ascii="Cambria" w:hAnsi="Cambria"/>
          <w:sz w:val="20"/>
          <w:szCs w:val="20"/>
        </w:rPr>
        <w:t>tion</w:t>
      </w:r>
      <w:r w:rsidR="00294C77" w:rsidRPr="00C54196">
        <w:rPr>
          <w:rFonts w:ascii="Cambria" w:hAnsi="Cambria"/>
          <w:sz w:val="20"/>
          <w:szCs w:val="20"/>
        </w:rPr>
        <w:t xml:space="preserve"> </w:t>
      </w:r>
      <w:r w:rsidR="00275005" w:rsidRPr="00C54196">
        <w:rPr>
          <w:rFonts w:ascii="Cambria" w:hAnsi="Cambria"/>
          <w:sz w:val="20"/>
          <w:szCs w:val="20"/>
        </w:rPr>
        <w:t>by the</w:t>
      </w:r>
      <w:r w:rsidR="00294C77" w:rsidRPr="00C54196">
        <w:rPr>
          <w:rFonts w:ascii="Cambria" w:hAnsi="Cambria"/>
          <w:sz w:val="20"/>
          <w:szCs w:val="20"/>
        </w:rPr>
        <w:t xml:space="preserve"> </w:t>
      </w:r>
      <w:r w:rsidR="00275005" w:rsidRPr="00C54196">
        <w:rPr>
          <w:rFonts w:ascii="Cambria" w:hAnsi="Cambria"/>
          <w:sz w:val="20"/>
          <w:szCs w:val="20"/>
        </w:rPr>
        <w:t>State</w:t>
      </w:r>
      <w:r w:rsidR="00294C77" w:rsidRPr="00C54196">
        <w:rPr>
          <w:rFonts w:ascii="Cambria" w:hAnsi="Cambria"/>
          <w:sz w:val="20"/>
          <w:szCs w:val="20"/>
        </w:rPr>
        <w:t xml:space="preserve"> </w:t>
      </w:r>
      <w:r w:rsidR="00275005" w:rsidRPr="00C54196">
        <w:rPr>
          <w:rFonts w:ascii="Cambria" w:hAnsi="Cambria"/>
          <w:sz w:val="20"/>
          <w:szCs w:val="20"/>
        </w:rPr>
        <w:t>regarding such facts</w:t>
      </w:r>
      <w:r w:rsidR="00294C77" w:rsidRPr="00C54196">
        <w:rPr>
          <w:rFonts w:ascii="Cambria" w:hAnsi="Cambria"/>
          <w:sz w:val="20"/>
          <w:szCs w:val="20"/>
        </w:rPr>
        <w:t xml:space="preserve">. </w:t>
      </w:r>
      <w:r w:rsidR="00275005" w:rsidRPr="00C54196">
        <w:rPr>
          <w:rFonts w:ascii="Cambria" w:hAnsi="Cambria"/>
          <w:sz w:val="20"/>
          <w:szCs w:val="20"/>
        </w:rPr>
        <w:t>On their part</w:t>
      </w:r>
      <w:r w:rsidR="00294C77" w:rsidRPr="00C54196">
        <w:rPr>
          <w:rFonts w:ascii="Cambria" w:hAnsi="Cambria"/>
          <w:sz w:val="20"/>
          <w:szCs w:val="20"/>
        </w:rPr>
        <w:t xml:space="preserve">, </w:t>
      </w:r>
      <w:r w:rsidR="00275005" w:rsidRPr="00C54196">
        <w:rPr>
          <w:rFonts w:ascii="Cambria" w:hAnsi="Cambria"/>
          <w:sz w:val="20"/>
          <w:szCs w:val="20"/>
        </w:rPr>
        <w:t>the</w:t>
      </w:r>
      <w:r w:rsidR="00294C77" w:rsidRPr="00C54196">
        <w:rPr>
          <w:rFonts w:ascii="Cambria" w:hAnsi="Cambria"/>
          <w:sz w:val="20"/>
          <w:szCs w:val="20"/>
        </w:rPr>
        <w:t xml:space="preserve"> </w:t>
      </w:r>
      <w:r w:rsidR="00275005" w:rsidRPr="00C54196">
        <w:rPr>
          <w:rFonts w:ascii="Cambria" w:hAnsi="Cambria"/>
          <w:sz w:val="20"/>
          <w:szCs w:val="20"/>
        </w:rPr>
        <w:t>Commission</w:t>
      </w:r>
      <w:r w:rsidR="00294C77" w:rsidRPr="00C54196">
        <w:rPr>
          <w:rFonts w:ascii="Cambria" w:hAnsi="Cambria"/>
          <w:sz w:val="20"/>
          <w:szCs w:val="20"/>
        </w:rPr>
        <w:t xml:space="preserve"> observ</w:t>
      </w:r>
      <w:r w:rsidR="00275005" w:rsidRPr="00C54196">
        <w:rPr>
          <w:rFonts w:ascii="Cambria" w:hAnsi="Cambria"/>
          <w:sz w:val="20"/>
          <w:szCs w:val="20"/>
        </w:rPr>
        <w:t>es</w:t>
      </w:r>
      <w:r w:rsidR="00294C77" w:rsidRPr="00C54196">
        <w:rPr>
          <w:rFonts w:ascii="Cambria" w:hAnsi="Cambria"/>
          <w:sz w:val="20"/>
          <w:szCs w:val="20"/>
        </w:rPr>
        <w:t xml:space="preserve"> </w:t>
      </w:r>
      <w:r w:rsidR="00275005" w:rsidRPr="00C54196">
        <w:rPr>
          <w:rFonts w:ascii="Cambria" w:hAnsi="Cambria"/>
          <w:sz w:val="20"/>
          <w:szCs w:val="20"/>
        </w:rPr>
        <w:t>that the direct remedy suit</w:t>
      </w:r>
      <w:r w:rsidR="00294C77" w:rsidRPr="00C54196">
        <w:rPr>
          <w:rFonts w:ascii="Cambria" w:hAnsi="Cambria"/>
          <w:sz w:val="20"/>
          <w:szCs w:val="20"/>
        </w:rPr>
        <w:t xml:space="preserve"> </w:t>
      </w:r>
      <w:r w:rsidR="00275005" w:rsidRPr="00C54196">
        <w:rPr>
          <w:rFonts w:ascii="Cambria" w:hAnsi="Cambria"/>
          <w:sz w:val="20"/>
          <w:szCs w:val="20"/>
        </w:rPr>
        <w:t>filed before the</w:t>
      </w:r>
      <w:r w:rsidR="00294C77" w:rsidRPr="00C54196">
        <w:rPr>
          <w:rFonts w:ascii="Cambria" w:hAnsi="Cambria"/>
          <w:sz w:val="20"/>
          <w:szCs w:val="20"/>
        </w:rPr>
        <w:t xml:space="preserve"> </w:t>
      </w:r>
      <w:r w:rsidR="009A1C7C" w:rsidRPr="00C54196">
        <w:rPr>
          <w:rFonts w:ascii="Cambria" w:hAnsi="Cambria"/>
          <w:sz w:val="20"/>
          <w:szCs w:val="20"/>
        </w:rPr>
        <w:t>Conte</w:t>
      </w:r>
      <w:r w:rsidR="009A1C7C">
        <w:rPr>
          <w:rFonts w:ascii="Cambria" w:hAnsi="Cambria"/>
          <w:sz w:val="20"/>
          <w:szCs w:val="20"/>
        </w:rPr>
        <w:t>n</w:t>
      </w:r>
      <w:r w:rsidR="009A1C7C" w:rsidRPr="00C54196">
        <w:rPr>
          <w:rFonts w:ascii="Cambria" w:hAnsi="Cambria"/>
          <w:sz w:val="20"/>
          <w:szCs w:val="20"/>
        </w:rPr>
        <w:t>tious</w:t>
      </w:r>
      <w:r w:rsidR="00275005" w:rsidRPr="00C54196">
        <w:rPr>
          <w:rFonts w:ascii="Cambria" w:hAnsi="Cambria"/>
          <w:sz w:val="20"/>
          <w:szCs w:val="20"/>
        </w:rPr>
        <w:t xml:space="preserve"> Administrative Court of </w:t>
      </w:r>
      <w:r w:rsidR="00294C77" w:rsidRPr="00C54196">
        <w:rPr>
          <w:rFonts w:ascii="Cambria" w:hAnsi="Cambria"/>
          <w:sz w:val="20"/>
          <w:szCs w:val="20"/>
        </w:rPr>
        <w:t xml:space="preserve">Antioquia </w:t>
      </w:r>
      <w:r w:rsidR="00275005" w:rsidRPr="00C54196">
        <w:rPr>
          <w:rFonts w:ascii="Cambria" w:hAnsi="Cambria"/>
          <w:sz w:val="20"/>
          <w:szCs w:val="20"/>
        </w:rPr>
        <w:t>on the abduction and death of the brothers</w:t>
      </w:r>
      <w:r w:rsidR="00294C77" w:rsidRPr="00C54196">
        <w:rPr>
          <w:rFonts w:ascii="Cambria" w:hAnsi="Cambria"/>
          <w:sz w:val="20"/>
          <w:szCs w:val="20"/>
        </w:rPr>
        <w:t xml:space="preserve"> </w:t>
      </w:r>
      <w:r w:rsidR="00275005" w:rsidRPr="00C54196">
        <w:rPr>
          <w:rFonts w:ascii="Cambria" w:hAnsi="Cambria"/>
          <w:sz w:val="20"/>
          <w:szCs w:val="20"/>
        </w:rPr>
        <w:t>was ruled in favor of the</w:t>
      </w:r>
      <w:r w:rsidR="00294C77" w:rsidRPr="00C54196">
        <w:rPr>
          <w:rFonts w:ascii="Cambria" w:hAnsi="Cambria"/>
          <w:sz w:val="20"/>
          <w:szCs w:val="20"/>
        </w:rPr>
        <w:t xml:space="preserve"> </w:t>
      </w:r>
      <w:r w:rsidR="00275005" w:rsidRPr="00C54196">
        <w:rPr>
          <w:rFonts w:ascii="Cambria" w:hAnsi="Cambria"/>
          <w:sz w:val="20"/>
          <w:szCs w:val="20"/>
        </w:rPr>
        <w:t>plaintiff</w:t>
      </w:r>
      <w:r w:rsidR="00294C77" w:rsidRPr="00C54196">
        <w:rPr>
          <w:rFonts w:ascii="Cambria" w:hAnsi="Cambria"/>
          <w:sz w:val="20"/>
          <w:szCs w:val="20"/>
        </w:rPr>
        <w:t xml:space="preserve"> </w:t>
      </w:r>
      <w:r w:rsidR="00275005" w:rsidRPr="00C54196">
        <w:rPr>
          <w:rFonts w:ascii="Cambria" w:hAnsi="Cambria"/>
          <w:sz w:val="20"/>
          <w:szCs w:val="20"/>
        </w:rPr>
        <w:t xml:space="preserve">on the sentence of April </w:t>
      </w:r>
      <w:r w:rsidR="00294C77" w:rsidRPr="00C54196">
        <w:rPr>
          <w:rFonts w:ascii="Cambria" w:hAnsi="Cambria"/>
          <w:sz w:val="20"/>
          <w:szCs w:val="20"/>
        </w:rPr>
        <w:t>28</w:t>
      </w:r>
      <w:r w:rsidR="00275005" w:rsidRPr="00C54196">
        <w:rPr>
          <w:rFonts w:ascii="Cambria" w:hAnsi="Cambria"/>
          <w:sz w:val="20"/>
          <w:szCs w:val="20"/>
          <w:vertAlign w:val="superscript"/>
        </w:rPr>
        <w:t>th</w:t>
      </w:r>
      <w:r w:rsidR="00275005" w:rsidRPr="00C54196">
        <w:rPr>
          <w:rFonts w:ascii="Cambria" w:hAnsi="Cambria"/>
          <w:sz w:val="20"/>
          <w:szCs w:val="20"/>
        </w:rPr>
        <w:t xml:space="preserve"> </w:t>
      </w:r>
      <w:r w:rsidR="00294C77" w:rsidRPr="00C54196">
        <w:rPr>
          <w:rFonts w:ascii="Cambria" w:hAnsi="Cambria"/>
          <w:sz w:val="20"/>
          <w:szCs w:val="20"/>
        </w:rPr>
        <w:t xml:space="preserve">2000. </w:t>
      </w:r>
      <w:r w:rsidR="00275005" w:rsidRPr="00C54196">
        <w:rPr>
          <w:rFonts w:ascii="Cambria" w:hAnsi="Cambria"/>
          <w:sz w:val="20"/>
          <w:szCs w:val="20"/>
        </w:rPr>
        <w:t>The family of the</w:t>
      </w:r>
      <w:r w:rsidR="00294C77" w:rsidRPr="00C54196">
        <w:rPr>
          <w:rFonts w:ascii="Cambria" w:hAnsi="Cambria"/>
          <w:sz w:val="20"/>
          <w:szCs w:val="20"/>
        </w:rPr>
        <w:t xml:space="preserve"> Zapata Álvarez</w:t>
      </w:r>
      <w:r w:rsidR="00294C77" w:rsidRPr="00C54196" w:rsidDel="004124A2">
        <w:rPr>
          <w:rFonts w:ascii="Cambria" w:hAnsi="Cambria"/>
          <w:sz w:val="20"/>
          <w:szCs w:val="20"/>
        </w:rPr>
        <w:t xml:space="preserve"> </w:t>
      </w:r>
      <w:r w:rsidR="00275005" w:rsidRPr="00C54196">
        <w:rPr>
          <w:rFonts w:ascii="Cambria" w:hAnsi="Cambria"/>
          <w:sz w:val="20"/>
          <w:szCs w:val="20"/>
        </w:rPr>
        <w:t>brothers filed a reposition petition</w:t>
      </w:r>
      <w:r w:rsidR="00294C77" w:rsidRPr="00C54196">
        <w:rPr>
          <w:rFonts w:ascii="Cambria" w:hAnsi="Cambria"/>
          <w:sz w:val="20"/>
          <w:szCs w:val="20"/>
        </w:rPr>
        <w:t xml:space="preserve"> </w:t>
      </w:r>
      <w:r w:rsidR="00275005" w:rsidRPr="00C54196">
        <w:rPr>
          <w:rFonts w:ascii="Cambria" w:hAnsi="Cambria"/>
          <w:sz w:val="20"/>
          <w:szCs w:val="20"/>
        </w:rPr>
        <w:t>on November</w:t>
      </w:r>
      <w:r w:rsidR="00294C77" w:rsidRPr="00C54196">
        <w:rPr>
          <w:rFonts w:ascii="Cambria" w:hAnsi="Cambria"/>
          <w:sz w:val="20"/>
          <w:szCs w:val="20"/>
        </w:rPr>
        <w:t xml:space="preserve"> 22</w:t>
      </w:r>
      <w:r w:rsidR="00275005" w:rsidRPr="00C54196">
        <w:rPr>
          <w:rFonts w:ascii="Cambria" w:hAnsi="Cambria"/>
          <w:sz w:val="20"/>
          <w:szCs w:val="20"/>
          <w:vertAlign w:val="superscript"/>
        </w:rPr>
        <w:t>nd</w:t>
      </w:r>
      <w:r w:rsidR="00275005" w:rsidRPr="00C54196">
        <w:rPr>
          <w:rFonts w:ascii="Cambria" w:hAnsi="Cambria"/>
          <w:sz w:val="20"/>
          <w:szCs w:val="20"/>
        </w:rPr>
        <w:t xml:space="preserve"> </w:t>
      </w:r>
      <w:r w:rsidR="00294C77" w:rsidRPr="00C54196">
        <w:rPr>
          <w:rFonts w:ascii="Cambria" w:hAnsi="Cambria"/>
          <w:sz w:val="20"/>
          <w:szCs w:val="20"/>
        </w:rPr>
        <w:t xml:space="preserve">2001 </w:t>
      </w:r>
      <w:r w:rsidR="00275005" w:rsidRPr="00C54196">
        <w:rPr>
          <w:rFonts w:ascii="Cambria" w:hAnsi="Cambria"/>
          <w:sz w:val="20"/>
          <w:szCs w:val="20"/>
        </w:rPr>
        <w:t>against the decision of the</w:t>
      </w:r>
      <w:r w:rsidR="00294C77" w:rsidRPr="00C54196">
        <w:rPr>
          <w:rFonts w:ascii="Cambria" w:hAnsi="Cambria"/>
          <w:sz w:val="20"/>
          <w:szCs w:val="20"/>
        </w:rPr>
        <w:t xml:space="preserve"> </w:t>
      </w:r>
      <w:r w:rsidR="00275005" w:rsidRPr="00C54196">
        <w:rPr>
          <w:rFonts w:ascii="Cambria" w:hAnsi="Cambria"/>
          <w:sz w:val="20"/>
          <w:szCs w:val="20"/>
        </w:rPr>
        <w:t xml:space="preserve">State Council of </w:t>
      </w:r>
      <w:r w:rsidR="00294C77" w:rsidRPr="00C54196">
        <w:rPr>
          <w:rFonts w:ascii="Cambria" w:hAnsi="Cambria"/>
          <w:sz w:val="20"/>
          <w:szCs w:val="20"/>
        </w:rPr>
        <w:t>admit</w:t>
      </w:r>
      <w:r w:rsidR="00275005" w:rsidRPr="00C54196">
        <w:rPr>
          <w:rFonts w:ascii="Cambria" w:hAnsi="Cambria"/>
          <w:sz w:val="20"/>
          <w:szCs w:val="20"/>
        </w:rPr>
        <w:t>ting</w:t>
      </w:r>
      <w:r w:rsidR="00294C77" w:rsidRPr="00C54196">
        <w:rPr>
          <w:rFonts w:ascii="Cambria" w:hAnsi="Cambria"/>
          <w:sz w:val="20"/>
          <w:szCs w:val="20"/>
        </w:rPr>
        <w:t xml:space="preserve"> </w:t>
      </w:r>
      <w:r w:rsidR="00275005" w:rsidRPr="00C54196">
        <w:rPr>
          <w:rFonts w:ascii="Cambria" w:hAnsi="Cambria"/>
          <w:sz w:val="20"/>
          <w:szCs w:val="20"/>
        </w:rPr>
        <w:t>the suit</w:t>
      </w:r>
      <w:r w:rsidR="00294C77" w:rsidRPr="00C54196">
        <w:rPr>
          <w:rFonts w:ascii="Cambria" w:hAnsi="Cambria"/>
          <w:sz w:val="20"/>
          <w:szCs w:val="20"/>
        </w:rPr>
        <w:t xml:space="preserve"> </w:t>
      </w:r>
      <w:r w:rsidR="00275005" w:rsidRPr="00C54196">
        <w:rPr>
          <w:rFonts w:ascii="Cambria" w:hAnsi="Cambria"/>
          <w:sz w:val="20"/>
          <w:szCs w:val="20"/>
        </w:rPr>
        <w:t>as consultation</w:t>
      </w:r>
      <w:r w:rsidR="00294C77" w:rsidRPr="00C54196">
        <w:rPr>
          <w:rFonts w:ascii="Cambria" w:hAnsi="Cambria"/>
          <w:sz w:val="20"/>
          <w:szCs w:val="20"/>
        </w:rPr>
        <w:t xml:space="preserve">; </w:t>
      </w:r>
      <w:r w:rsidR="00E423DC" w:rsidRPr="00C54196">
        <w:rPr>
          <w:rFonts w:ascii="Cambria" w:hAnsi="Cambria"/>
          <w:sz w:val="20"/>
          <w:szCs w:val="20"/>
        </w:rPr>
        <w:t>then filed an appeal</w:t>
      </w:r>
      <w:r w:rsidR="008478EF" w:rsidRPr="00C54196">
        <w:rPr>
          <w:rFonts w:ascii="Cambria" w:hAnsi="Cambria"/>
          <w:sz w:val="20"/>
          <w:szCs w:val="20"/>
        </w:rPr>
        <w:t xml:space="preserve"> on November</w:t>
      </w:r>
      <w:r w:rsidR="00294C77" w:rsidRPr="00C54196">
        <w:rPr>
          <w:rFonts w:ascii="Cambria" w:hAnsi="Cambria"/>
          <w:sz w:val="20"/>
          <w:szCs w:val="20"/>
        </w:rPr>
        <w:t xml:space="preserve"> 27</w:t>
      </w:r>
      <w:r w:rsidR="008478EF" w:rsidRPr="00C54196">
        <w:rPr>
          <w:rFonts w:ascii="Cambria" w:hAnsi="Cambria"/>
          <w:sz w:val="20"/>
          <w:szCs w:val="20"/>
          <w:vertAlign w:val="superscript"/>
        </w:rPr>
        <w:t>th</w:t>
      </w:r>
      <w:r w:rsidR="008478EF" w:rsidRPr="00C54196">
        <w:rPr>
          <w:rFonts w:ascii="Cambria" w:hAnsi="Cambria"/>
          <w:sz w:val="20"/>
          <w:szCs w:val="20"/>
        </w:rPr>
        <w:t xml:space="preserve"> </w:t>
      </w:r>
      <w:r w:rsidR="00294C77" w:rsidRPr="00C54196">
        <w:rPr>
          <w:rFonts w:ascii="Cambria" w:hAnsi="Cambria"/>
          <w:sz w:val="20"/>
          <w:szCs w:val="20"/>
        </w:rPr>
        <w:t xml:space="preserve">2001; </w:t>
      </w:r>
      <w:r w:rsidR="008478EF" w:rsidRPr="00C54196">
        <w:rPr>
          <w:rFonts w:ascii="Cambria" w:hAnsi="Cambria"/>
          <w:sz w:val="20"/>
          <w:szCs w:val="20"/>
        </w:rPr>
        <w:t>and then an action for protection</w:t>
      </w:r>
      <w:r w:rsidR="00294C77" w:rsidRPr="00C54196">
        <w:rPr>
          <w:rFonts w:ascii="Cambria" w:hAnsi="Cambria"/>
          <w:sz w:val="20"/>
          <w:szCs w:val="20"/>
        </w:rPr>
        <w:t xml:space="preserve">. </w:t>
      </w:r>
      <w:r w:rsidR="008478EF" w:rsidRPr="00C54196">
        <w:rPr>
          <w:rFonts w:ascii="Cambria" w:hAnsi="Cambria"/>
          <w:sz w:val="20"/>
          <w:szCs w:val="20"/>
        </w:rPr>
        <w:t xml:space="preserve">On May </w:t>
      </w:r>
      <w:r w:rsidR="00294C77" w:rsidRPr="00C54196">
        <w:rPr>
          <w:rFonts w:ascii="Cambria" w:hAnsi="Cambria"/>
          <w:sz w:val="20"/>
          <w:szCs w:val="20"/>
        </w:rPr>
        <w:t>30</w:t>
      </w:r>
      <w:r w:rsidR="008478EF" w:rsidRPr="00C54196">
        <w:rPr>
          <w:rFonts w:ascii="Cambria" w:hAnsi="Cambria"/>
          <w:sz w:val="20"/>
          <w:szCs w:val="20"/>
          <w:vertAlign w:val="superscript"/>
        </w:rPr>
        <w:t>th</w:t>
      </w:r>
      <w:r w:rsidR="008478EF" w:rsidRPr="00C54196">
        <w:rPr>
          <w:rFonts w:ascii="Cambria" w:hAnsi="Cambria"/>
          <w:sz w:val="20"/>
          <w:szCs w:val="20"/>
        </w:rPr>
        <w:t xml:space="preserve"> </w:t>
      </w:r>
      <w:r w:rsidR="00294C77" w:rsidRPr="00C54196">
        <w:rPr>
          <w:rFonts w:ascii="Cambria" w:hAnsi="Cambria"/>
          <w:sz w:val="20"/>
          <w:szCs w:val="20"/>
        </w:rPr>
        <w:t xml:space="preserve">2003 </w:t>
      </w:r>
      <w:r w:rsidR="008478EF" w:rsidRPr="00C54196">
        <w:rPr>
          <w:rFonts w:ascii="Cambria" w:hAnsi="Cambria"/>
          <w:sz w:val="20"/>
          <w:szCs w:val="20"/>
        </w:rPr>
        <w:t>the</w:t>
      </w:r>
      <w:r w:rsidR="00294C77" w:rsidRPr="00C54196">
        <w:rPr>
          <w:rFonts w:ascii="Cambria" w:hAnsi="Cambria"/>
          <w:sz w:val="20"/>
          <w:szCs w:val="20"/>
        </w:rPr>
        <w:t xml:space="preserve"> </w:t>
      </w:r>
      <w:r w:rsidR="008478EF" w:rsidRPr="00C54196">
        <w:rPr>
          <w:rFonts w:ascii="Cambria" w:hAnsi="Cambria"/>
          <w:sz w:val="20"/>
          <w:szCs w:val="20"/>
        </w:rPr>
        <w:t>State Council was requested to amend the alleged</w:t>
      </w:r>
      <w:r w:rsidR="00294C77" w:rsidRPr="00C54196">
        <w:rPr>
          <w:rFonts w:ascii="Cambria" w:hAnsi="Cambria"/>
          <w:sz w:val="20"/>
          <w:szCs w:val="20"/>
        </w:rPr>
        <w:t xml:space="preserve"> error com</w:t>
      </w:r>
      <w:r w:rsidR="008478EF" w:rsidRPr="00C54196">
        <w:rPr>
          <w:rFonts w:ascii="Cambria" w:hAnsi="Cambria"/>
          <w:sz w:val="20"/>
          <w:szCs w:val="20"/>
        </w:rPr>
        <w:t>mi</w:t>
      </w:r>
      <w:r w:rsidR="00294C77" w:rsidRPr="00C54196">
        <w:rPr>
          <w:rFonts w:ascii="Cambria" w:hAnsi="Cambria"/>
          <w:sz w:val="20"/>
          <w:szCs w:val="20"/>
        </w:rPr>
        <w:t>t</w:t>
      </w:r>
      <w:r w:rsidR="008478EF" w:rsidRPr="00C54196">
        <w:rPr>
          <w:rFonts w:ascii="Cambria" w:hAnsi="Cambria"/>
          <w:sz w:val="20"/>
          <w:szCs w:val="20"/>
        </w:rPr>
        <w:t>te</w:t>
      </w:r>
      <w:r w:rsidR="00294C77" w:rsidRPr="00C54196">
        <w:rPr>
          <w:rFonts w:ascii="Cambria" w:hAnsi="Cambria"/>
          <w:sz w:val="20"/>
          <w:szCs w:val="20"/>
        </w:rPr>
        <w:t xml:space="preserve">d </w:t>
      </w:r>
      <w:r w:rsidR="008478EF" w:rsidRPr="00C54196">
        <w:rPr>
          <w:rFonts w:ascii="Cambria" w:hAnsi="Cambria"/>
          <w:sz w:val="20"/>
          <w:szCs w:val="20"/>
        </w:rPr>
        <w:t>with the consultation order</w:t>
      </w:r>
      <w:r w:rsidR="00294C77" w:rsidRPr="00C54196">
        <w:rPr>
          <w:rFonts w:ascii="Cambria" w:hAnsi="Cambria"/>
          <w:sz w:val="20"/>
          <w:szCs w:val="20"/>
        </w:rPr>
        <w:t xml:space="preserve">, </w:t>
      </w:r>
      <w:r w:rsidR="008478EF" w:rsidRPr="00C54196">
        <w:rPr>
          <w:rFonts w:ascii="Cambria" w:hAnsi="Cambria"/>
          <w:sz w:val="20"/>
          <w:szCs w:val="20"/>
        </w:rPr>
        <w:t>but the request was rejected on September</w:t>
      </w:r>
      <w:r w:rsidR="00294C77" w:rsidRPr="00C54196">
        <w:rPr>
          <w:rFonts w:ascii="Cambria" w:hAnsi="Cambria"/>
          <w:sz w:val="20"/>
          <w:szCs w:val="20"/>
        </w:rPr>
        <w:t xml:space="preserve"> 11</w:t>
      </w:r>
      <w:r w:rsidR="008478EF" w:rsidRPr="00C54196">
        <w:rPr>
          <w:rFonts w:ascii="Cambria" w:hAnsi="Cambria"/>
          <w:sz w:val="20"/>
          <w:szCs w:val="20"/>
          <w:vertAlign w:val="superscript"/>
        </w:rPr>
        <w:t>th</w:t>
      </w:r>
      <w:r w:rsidR="008478EF" w:rsidRPr="00C54196">
        <w:rPr>
          <w:rFonts w:ascii="Cambria" w:hAnsi="Cambria"/>
          <w:sz w:val="20"/>
          <w:szCs w:val="20"/>
        </w:rPr>
        <w:t xml:space="preserve"> </w:t>
      </w:r>
      <w:r w:rsidR="00294C77" w:rsidRPr="00C54196">
        <w:rPr>
          <w:rFonts w:ascii="Cambria" w:hAnsi="Cambria"/>
          <w:sz w:val="20"/>
          <w:szCs w:val="20"/>
        </w:rPr>
        <w:t>2003. Final</w:t>
      </w:r>
      <w:r w:rsidR="008478EF" w:rsidRPr="00C54196">
        <w:rPr>
          <w:rFonts w:ascii="Cambria" w:hAnsi="Cambria"/>
          <w:sz w:val="20"/>
          <w:szCs w:val="20"/>
        </w:rPr>
        <w:t>ly</w:t>
      </w:r>
      <w:r w:rsidR="00294C77" w:rsidRPr="00C54196">
        <w:rPr>
          <w:rFonts w:ascii="Cambria" w:hAnsi="Cambria"/>
          <w:sz w:val="20"/>
          <w:szCs w:val="20"/>
        </w:rPr>
        <w:t xml:space="preserve">, </w:t>
      </w:r>
      <w:r w:rsidR="008478EF" w:rsidRPr="00C54196">
        <w:rPr>
          <w:rFonts w:ascii="Cambria" w:hAnsi="Cambria"/>
          <w:sz w:val="20"/>
          <w:szCs w:val="20"/>
        </w:rPr>
        <w:t xml:space="preserve">on May </w:t>
      </w:r>
      <w:r w:rsidR="00294C77" w:rsidRPr="00C54196">
        <w:rPr>
          <w:rFonts w:ascii="Cambria" w:hAnsi="Cambria"/>
          <w:sz w:val="20"/>
          <w:szCs w:val="20"/>
        </w:rPr>
        <w:t>9</w:t>
      </w:r>
      <w:r w:rsidR="008478EF" w:rsidRPr="00C54196">
        <w:rPr>
          <w:rFonts w:ascii="Cambria" w:hAnsi="Cambria"/>
          <w:sz w:val="20"/>
          <w:szCs w:val="20"/>
          <w:vertAlign w:val="superscript"/>
        </w:rPr>
        <w:t>th</w:t>
      </w:r>
      <w:r w:rsidR="008478EF" w:rsidRPr="00C54196">
        <w:rPr>
          <w:rFonts w:ascii="Cambria" w:hAnsi="Cambria"/>
          <w:sz w:val="20"/>
          <w:szCs w:val="20"/>
        </w:rPr>
        <w:t xml:space="preserve"> </w:t>
      </w:r>
      <w:r w:rsidR="00294C77" w:rsidRPr="00C54196">
        <w:rPr>
          <w:rFonts w:ascii="Cambria" w:hAnsi="Cambria"/>
          <w:sz w:val="20"/>
          <w:szCs w:val="20"/>
        </w:rPr>
        <w:t xml:space="preserve">2012 </w:t>
      </w:r>
      <w:r w:rsidR="008478EF" w:rsidRPr="00C54196">
        <w:rPr>
          <w:rFonts w:ascii="Cambria" w:hAnsi="Cambria"/>
          <w:sz w:val="20"/>
          <w:szCs w:val="20"/>
        </w:rPr>
        <w:t>the State Council ruled</w:t>
      </w:r>
      <w:r w:rsidR="00294C77" w:rsidRPr="00C54196">
        <w:rPr>
          <w:rFonts w:ascii="Cambria" w:hAnsi="Cambria"/>
          <w:sz w:val="20"/>
          <w:szCs w:val="20"/>
        </w:rPr>
        <w:t xml:space="preserve"> </w:t>
      </w:r>
      <w:r w:rsidR="008478EF" w:rsidRPr="00C54196">
        <w:rPr>
          <w:rFonts w:ascii="Cambria" w:hAnsi="Cambria"/>
          <w:sz w:val="20"/>
          <w:szCs w:val="20"/>
        </w:rPr>
        <w:t>against the plaintiff</w:t>
      </w:r>
      <w:r w:rsidR="00294C77" w:rsidRPr="00C54196">
        <w:rPr>
          <w:rFonts w:ascii="Cambria" w:hAnsi="Cambria"/>
          <w:sz w:val="20"/>
          <w:szCs w:val="20"/>
        </w:rPr>
        <w:t xml:space="preserve"> </w:t>
      </w:r>
      <w:r w:rsidR="008478EF" w:rsidRPr="00C54196">
        <w:rPr>
          <w:rFonts w:ascii="Cambria" w:hAnsi="Cambria"/>
          <w:sz w:val="20"/>
          <w:szCs w:val="20"/>
        </w:rPr>
        <w:t>based on the passive lack of</w:t>
      </w:r>
      <w:r w:rsidR="00294C77" w:rsidRPr="00C54196">
        <w:rPr>
          <w:rFonts w:ascii="Cambria" w:hAnsi="Cambria"/>
          <w:sz w:val="20"/>
          <w:szCs w:val="20"/>
        </w:rPr>
        <w:t xml:space="preserve"> </w:t>
      </w:r>
      <w:r w:rsidR="008478EF" w:rsidRPr="00C54196">
        <w:rPr>
          <w:rFonts w:ascii="Cambria" w:hAnsi="Cambria"/>
          <w:sz w:val="20"/>
          <w:szCs w:val="20"/>
        </w:rPr>
        <w:t>legitimation</w:t>
      </w:r>
      <w:r w:rsidR="00294C77" w:rsidRPr="00C54196">
        <w:rPr>
          <w:rFonts w:ascii="Cambria" w:hAnsi="Cambria"/>
          <w:sz w:val="20"/>
          <w:szCs w:val="20"/>
        </w:rPr>
        <w:t xml:space="preserve">, </w:t>
      </w:r>
      <w:r w:rsidR="008478EF" w:rsidRPr="00C54196">
        <w:rPr>
          <w:rFonts w:ascii="Cambria" w:hAnsi="Cambria"/>
          <w:sz w:val="20"/>
          <w:szCs w:val="20"/>
        </w:rPr>
        <w:t>since the</w:t>
      </w:r>
      <w:r w:rsidR="00294C77" w:rsidRPr="00C54196">
        <w:rPr>
          <w:rFonts w:ascii="Cambria" w:hAnsi="Cambria"/>
          <w:sz w:val="20"/>
          <w:szCs w:val="20"/>
        </w:rPr>
        <w:t xml:space="preserve"> </w:t>
      </w:r>
      <w:r w:rsidR="008478EF" w:rsidRPr="00C54196">
        <w:rPr>
          <w:rFonts w:ascii="Cambria" w:hAnsi="Cambria"/>
          <w:sz w:val="20"/>
          <w:szCs w:val="20"/>
        </w:rPr>
        <w:t>Municipality</w:t>
      </w:r>
      <w:r w:rsidR="00294C77" w:rsidRPr="00C54196">
        <w:rPr>
          <w:rFonts w:ascii="Cambria" w:hAnsi="Cambria"/>
          <w:sz w:val="20"/>
          <w:szCs w:val="20"/>
        </w:rPr>
        <w:t xml:space="preserve"> </w:t>
      </w:r>
      <w:r w:rsidR="008478EF" w:rsidRPr="00C54196">
        <w:rPr>
          <w:rFonts w:ascii="Cambria" w:hAnsi="Cambria"/>
          <w:sz w:val="20"/>
          <w:szCs w:val="20"/>
        </w:rPr>
        <w:t>of</w:t>
      </w:r>
      <w:r w:rsidR="00294C77" w:rsidRPr="00C54196">
        <w:rPr>
          <w:rFonts w:ascii="Cambria" w:hAnsi="Cambria"/>
          <w:sz w:val="20"/>
          <w:szCs w:val="20"/>
        </w:rPr>
        <w:t xml:space="preserve"> Granada </w:t>
      </w:r>
      <w:r w:rsidR="008478EF" w:rsidRPr="00C54196">
        <w:rPr>
          <w:rFonts w:ascii="Cambria" w:hAnsi="Cambria"/>
          <w:sz w:val="20"/>
          <w:szCs w:val="20"/>
        </w:rPr>
        <w:t>had not been sued</w:t>
      </w:r>
      <w:r w:rsidR="00294C77" w:rsidRPr="00C54196">
        <w:rPr>
          <w:rFonts w:ascii="Cambria" w:hAnsi="Cambria"/>
          <w:sz w:val="20"/>
          <w:szCs w:val="20"/>
        </w:rPr>
        <w:t>.</w:t>
      </w:r>
    </w:p>
    <w:p w14:paraId="406BB669" w14:textId="498044CE" w:rsidR="00294C77" w:rsidRPr="00C54196" w:rsidRDefault="00494FB8" w:rsidP="00294C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Regarding such process of</w:t>
      </w:r>
      <w:r w:rsidR="00294C77" w:rsidRPr="00C54196">
        <w:rPr>
          <w:rFonts w:ascii="Cambria" w:hAnsi="Cambria"/>
          <w:sz w:val="20"/>
          <w:szCs w:val="20"/>
        </w:rPr>
        <w:t xml:space="preserve"> </w:t>
      </w:r>
      <w:r w:rsidRPr="00C54196">
        <w:rPr>
          <w:rFonts w:ascii="Cambria" w:hAnsi="Cambria"/>
          <w:sz w:val="20"/>
          <w:szCs w:val="20"/>
        </w:rPr>
        <w:t xml:space="preserve">direct </w:t>
      </w:r>
      <w:r w:rsidR="00294C77" w:rsidRPr="00C54196">
        <w:rPr>
          <w:rFonts w:ascii="Cambria" w:hAnsi="Cambria"/>
          <w:sz w:val="20"/>
          <w:szCs w:val="20"/>
        </w:rPr>
        <w:t>re</w:t>
      </w:r>
      <w:r w:rsidRPr="00C54196">
        <w:rPr>
          <w:rFonts w:ascii="Cambria" w:hAnsi="Cambria"/>
          <w:sz w:val="20"/>
          <w:szCs w:val="20"/>
        </w:rPr>
        <w:t>medy</w:t>
      </w:r>
      <w:r w:rsidR="00294C77" w:rsidRPr="00C54196">
        <w:rPr>
          <w:rFonts w:ascii="Cambria" w:hAnsi="Cambria"/>
          <w:sz w:val="20"/>
          <w:szCs w:val="20"/>
        </w:rPr>
        <w:t xml:space="preserve"> </w:t>
      </w:r>
      <w:r w:rsidRPr="00C54196">
        <w:rPr>
          <w:rFonts w:ascii="Cambria" w:hAnsi="Cambria"/>
          <w:sz w:val="20"/>
          <w:szCs w:val="20"/>
        </w:rPr>
        <w:t>and the alleged improper</w:t>
      </w:r>
      <w:r w:rsidR="00294C77" w:rsidRPr="00C54196">
        <w:rPr>
          <w:rFonts w:ascii="Cambria" w:hAnsi="Cambria"/>
          <w:sz w:val="20"/>
          <w:szCs w:val="20"/>
        </w:rPr>
        <w:t xml:space="preserve"> </w:t>
      </w:r>
      <w:r w:rsidRPr="00C54196">
        <w:rPr>
          <w:rFonts w:ascii="Cambria" w:hAnsi="Cambria"/>
          <w:sz w:val="20"/>
          <w:szCs w:val="20"/>
        </w:rPr>
        <w:t>exhaustion of domestic remedies</w:t>
      </w:r>
      <w:r w:rsidR="00294C77" w:rsidRPr="00C54196">
        <w:rPr>
          <w:rFonts w:ascii="Cambria" w:hAnsi="Cambria"/>
          <w:sz w:val="20"/>
          <w:szCs w:val="20"/>
        </w:rPr>
        <w:t xml:space="preserve">, </w:t>
      </w:r>
      <w:r w:rsidRPr="00C54196">
        <w:rPr>
          <w:rFonts w:ascii="Cambria" w:hAnsi="Cambria"/>
          <w:sz w:val="20"/>
          <w:szCs w:val="20"/>
        </w:rPr>
        <w:t>the</w:t>
      </w:r>
      <w:r w:rsidR="00294C77" w:rsidRPr="00C54196">
        <w:rPr>
          <w:rFonts w:ascii="Cambria" w:hAnsi="Cambria"/>
          <w:sz w:val="20"/>
          <w:szCs w:val="20"/>
        </w:rPr>
        <w:t xml:space="preserve"> </w:t>
      </w:r>
      <w:r w:rsidRPr="00C54196">
        <w:rPr>
          <w:rFonts w:ascii="Cambria" w:hAnsi="Cambria"/>
          <w:sz w:val="20"/>
          <w:szCs w:val="20"/>
        </w:rPr>
        <w:t>Commission</w:t>
      </w:r>
      <w:r w:rsidR="00294C77" w:rsidRPr="00C54196">
        <w:rPr>
          <w:rFonts w:ascii="Cambria" w:hAnsi="Cambria"/>
          <w:sz w:val="20"/>
          <w:szCs w:val="20"/>
        </w:rPr>
        <w:t xml:space="preserve"> ha</w:t>
      </w:r>
      <w:r w:rsidRPr="00C54196">
        <w:rPr>
          <w:rFonts w:ascii="Cambria" w:hAnsi="Cambria"/>
          <w:sz w:val="20"/>
          <w:szCs w:val="20"/>
        </w:rPr>
        <w:t>s</w:t>
      </w:r>
      <w:r w:rsidR="00294C77" w:rsidRPr="00C54196">
        <w:rPr>
          <w:rFonts w:ascii="Cambria" w:hAnsi="Cambria"/>
          <w:sz w:val="20"/>
          <w:szCs w:val="20"/>
        </w:rPr>
        <w:t xml:space="preserve"> </w:t>
      </w:r>
      <w:r w:rsidR="00445A12" w:rsidRPr="00C54196">
        <w:rPr>
          <w:rFonts w:ascii="Cambria" w:hAnsi="Cambria"/>
          <w:sz w:val="20"/>
          <w:szCs w:val="20"/>
        </w:rPr>
        <w:t>r</w:t>
      </w:r>
      <w:r w:rsidRPr="00C54196">
        <w:rPr>
          <w:rFonts w:ascii="Cambria" w:hAnsi="Cambria"/>
          <w:sz w:val="20"/>
          <w:szCs w:val="20"/>
        </w:rPr>
        <w:t>epeatedly sustained</w:t>
      </w:r>
      <w:r w:rsidR="00294C77" w:rsidRPr="00C54196">
        <w:rPr>
          <w:rFonts w:ascii="Cambria" w:hAnsi="Cambria"/>
          <w:sz w:val="20"/>
          <w:szCs w:val="20"/>
        </w:rPr>
        <w:t xml:space="preserve"> </w:t>
      </w:r>
      <w:r w:rsidR="00445A12" w:rsidRPr="00C54196">
        <w:rPr>
          <w:rFonts w:ascii="Cambria" w:hAnsi="Cambria"/>
          <w:sz w:val="20"/>
          <w:szCs w:val="20"/>
        </w:rPr>
        <w:t>that the contemptuous administrative channel</w:t>
      </w:r>
      <w:r w:rsidR="00294C77" w:rsidRPr="00C54196">
        <w:rPr>
          <w:rFonts w:ascii="Cambria" w:hAnsi="Cambria"/>
          <w:sz w:val="20"/>
          <w:szCs w:val="20"/>
        </w:rPr>
        <w:t xml:space="preserve"> </w:t>
      </w:r>
      <w:r w:rsidR="00445A12" w:rsidRPr="00C54196">
        <w:rPr>
          <w:rFonts w:ascii="Cambria" w:hAnsi="Cambria"/>
          <w:sz w:val="20"/>
          <w:szCs w:val="20"/>
        </w:rPr>
        <w:t>is not a suitable resort in order to</w:t>
      </w:r>
      <w:r w:rsidR="00294C77" w:rsidRPr="00C54196">
        <w:rPr>
          <w:rFonts w:ascii="Cambria" w:hAnsi="Cambria"/>
          <w:sz w:val="20"/>
          <w:szCs w:val="20"/>
        </w:rPr>
        <w:t xml:space="preserve"> </w:t>
      </w:r>
      <w:r w:rsidR="00445A12" w:rsidRPr="00C54196">
        <w:rPr>
          <w:rFonts w:ascii="Cambria" w:hAnsi="Cambria"/>
          <w:sz w:val="20"/>
          <w:szCs w:val="20"/>
        </w:rPr>
        <w:t>analyze</w:t>
      </w:r>
      <w:r w:rsidR="00294C77" w:rsidRPr="00C54196">
        <w:rPr>
          <w:rFonts w:ascii="Cambria" w:hAnsi="Cambria"/>
          <w:sz w:val="20"/>
          <w:szCs w:val="20"/>
        </w:rPr>
        <w:t xml:space="preserve"> </w:t>
      </w:r>
      <w:r w:rsidR="00445A12" w:rsidRPr="00C54196">
        <w:rPr>
          <w:rFonts w:ascii="Cambria" w:hAnsi="Cambria"/>
          <w:sz w:val="20"/>
          <w:szCs w:val="20"/>
        </w:rPr>
        <w:t>the admissibility</w:t>
      </w:r>
      <w:r w:rsidR="00294C77" w:rsidRPr="00C54196">
        <w:rPr>
          <w:rFonts w:ascii="Cambria" w:hAnsi="Cambria"/>
          <w:sz w:val="20"/>
          <w:szCs w:val="20"/>
        </w:rPr>
        <w:t xml:space="preserve"> </w:t>
      </w:r>
      <w:r w:rsidR="00445A12" w:rsidRPr="00C54196">
        <w:rPr>
          <w:rFonts w:ascii="Cambria" w:hAnsi="Cambria"/>
          <w:sz w:val="20"/>
          <w:szCs w:val="20"/>
        </w:rPr>
        <w:t>of a complaint such as the present one</w:t>
      </w:r>
      <w:r w:rsidR="00294C77" w:rsidRPr="00C54196">
        <w:rPr>
          <w:rFonts w:ascii="Cambria" w:hAnsi="Cambria"/>
          <w:sz w:val="20"/>
          <w:szCs w:val="20"/>
        </w:rPr>
        <w:t xml:space="preserve">. </w:t>
      </w:r>
      <w:r w:rsidR="00445A12" w:rsidRPr="00C54196">
        <w:rPr>
          <w:rFonts w:ascii="Cambria" w:hAnsi="Cambria"/>
          <w:sz w:val="20"/>
          <w:szCs w:val="20"/>
        </w:rPr>
        <w:t>This because such form is not appropriate</w:t>
      </w:r>
      <w:r w:rsidR="00294C77" w:rsidRPr="00C54196">
        <w:rPr>
          <w:rFonts w:ascii="Cambria" w:hAnsi="Cambria"/>
          <w:sz w:val="20"/>
          <w:szCs w:val="20"/>
        </w:rPr>
        <w:t xml:space="preserve"> </w:t>
      </w:r>
      <w:r w:rsidR="00445A12" w:rsidRPr="00C54196">
        <w:rPr>
          <w:rFonts w:ascii="Cambria" w:hAnsi="Cambria"/>
          <w:sz w:val="20"/>
          <w:szCs w:val="20"/>
        </w:rPr>
        <w:t>to grant an i</w:t>
      </w:r>
      <w:r w:rsidR="00294C77" w:rsidRPr="00C54196">
        <w:rPr>
          <w:rFonts w:ascii="Cambria" w:hAnsi="Cambria"/>
          <w:sz w:val="20"/>
          <w:szCs w:val="20"/>
        </w:rPr>
        <w:t xml:space="preserve">ntegral </w:t>
      </w:r>
      <w:r w:rsidR="00445A12" w:rsidRPr="00C54196">
        <w:rPr>
          <w:rFonts w:ascii="Cambria" w:hAnsi="Cambria"/>
          <w:sz w:val="20"/>
          <w:szCs w:val="20"/>
        </w:rPr>
        <w:t xml:space="preserve">remedy and </w:t>
      </w:r>
      <w:r w:rsidR="00294C77" w:rsidRPr="00C54196">
        <w:rPr>
          <w:rFonts w:ascii="Cambria" w:hAnsi="Cambria"/>
          <w:sz w:val="20"/>
          <w:szCs w:val="20"/>
        </w:rPr>
        <w:t>justic</w:t>
      </w:r>
      <w:r w:rsidR="00445A12" w:rsidRPr="00C54196">
        <w:rPr>
          <w:rFonts w:ascii="Cambria" w:hAnsi="Cambria"/>
          <w:sz w:val="20"/>
          <w:szCs w:val="20"/>
        </w:rPr>
        <w:t>e</w:t>
      </w:r>
      <w:r w:rsidR="00294C77" w:rsidRPr="00C54196">
        <w:rPr>
          <w:rFonts w:ascii="Cambria" w:hAnsi="Cambria"/>
          <w:sz w:val="20"/>
          <w:szCs w:val="20"/>
        </w:rPr>
        <w:t xml:space="preserve"> </w:t>
      </w:r>
      <w:r w:rsidR="00445A12" w:rsidRPr="00C54196">
        <w:rPr>
          <w:rFonts w:ascii="Cambria" w:hAnsi="Cambria"/>
          <w:sz w:val="20"/>
          <w:szCs w:val="20"/>
        </w:rPr>
        <w:t>to the relatives of the murdered brothers</w:t>
      </w:r>
      <w:r w:rsidR="00294C77" w:rsidRPr="00C54196">
        <w:rPr>
          <w:rFonts w:ascii="Cambria" w:hAnsi="Cambria"/>
          <w:sz w:val="20"/>
          <w:szCs w:val="20"/>
        </w:rPr>
        <w:t xml:space="preserve">. </w:t>
      </w:r>
      <w:r w:rsidR="00445A12" w:rsidRPr="00C54196">
        <w:rPr>
          <w:rFonts w:ascii="Cambria" w:hAnsi="Cambria"/>
          <w:sz w:val="20"/>
          <w:szCs w:val="20"/>
        </w:rPr>
        <w:t>Notwithstanding the above</w:t>
      </w:r>
      <w:r w:rsidR="00294C77" w:rsidRPr="00C54196">
        <w:rPr>
          <w:rFonts w:ascii="Cambria" w:hAnsi="Cambria"/>
          <w:sz w:val="20"/>
          <w:szCs w:val="20"/>
        </w:rPr>
        <w:t xml:space="preserve">, </w:t>
      </w:r>
      <w:r w:rsidR="00445A12" w:rsidRPr="00C54196">
        <w:rPr>
          <w:rFonts w:ascii="Cambria" w:hAnsi="Cambria"/>
          <w:sz w:val="20"/>
          <w:szCs w:val="20"/>
        </w:rPr>
        <w:t>at the</w:t>
      </w:r>
      <w:r w:rsidR="00294C77" w:rsidRPr="00C54196">
        <w:rPr>
          <w:rFonts w:ascii="Cambria" w:hAnsi="Cambria"/>
          <w:sz w:val="20"/>
          <w:szCs w:val="20"/>
        </w:rPr>
        <w:t xml:space="preserve"> present case</w:t>
      </w:r>
      <w:r w:rsidR="00445A12" w:rsidRPr="00C54196">
        <w:rPr>
          <w:rFonts w:ascii="Cambria" w:hAnsi="Cambria"/>
          <w:sz w:val="20"/>
          <w:szCs w:val="20"/>
        </w:rPr>
        <w:t xml:space="preserve"> the</w:t>
      </w:r>
      <w:r w:rsidR="00294C77" w:rsidRPr="00C54196">
        <w:rPr>
          <w:rFonts w:ascii="Cambria" w:hAnsi="Cambria"/>
          <w:sz w:val="20"/>
          <w:szCs w:val="20"/>
        </w:rPr>
        <w:t xml:space="preserve"> </w:t>
      </w:r>
      <w:r w:rsidR="00445A12" w:rsidRPr="00C54196">
        <w:rPr>
          <w:rFonts w:ascii="Cambria" w:hAnsi="Cambria"/>
          <w:sz w:val="20"/>
          <w:szCs w:val="20"/>
        </w:rPr>
        <w:t>petitionary</w:t>
      </w:r>
      <w:r w:rsidR="00294C77" w:rsidRPr="00C54196">
        <w:rPr>
          <w:rFonts w:ascii="Cambria" w:hAnsi="Cambria"/>
          <w:sz w:val="20"/>
          <w:szCs w:val="20"/>
        </w:rPr>
        <w:t xml:space="preserve"> </w:t>
      </w:r>
      <w:r w:rsidR="00445A12" w:rsidRPr="00C54196">
        <w:rPr>
          <w:rFonts w:ascii="Cambria" w:hAnsi="Cambria"/>
          <w:sz w:val="20"/>
          <w:szCs w:val="20"/>
        </w:rPr>
        <w:t>alleges</w:t>
      </w:r>
      <w:r w:rsidR="00294C77" w:rsidRPr="00C54196">
        <w:rPr>
          <w:rFonts w:ascii="Cambria" w:hAnsi="Cambria"/>
          <w:sz w:val="20"/>
          <w:szCs w:val="20"/>
        </w:rPr>
        <w:t xml:space="preserve"> </w:t>
      </w:r>
      <w:r w:rsidR="00445A12" w:rsidRPr="00C54196">
        <w:rPr>
          <w:rFonts w:ascii="Cambria" w:hAnsi="Cambria"/>
          <w:sz w:val="20"/>
          <w:szCs w:val="20"/>
        </w:rPr>
        <w:t>further</w:t>
      </w:r>
      <w:r w:rsidR="00294C77" w:rsidRPr="00C54196">
        <w:rPr>
          <w:rFonts w:ascii="Cambria" w:hAnsi="Cambria"/>
          <w:sz w:val="20"/>
          <w:szCs w:val="20"/>
        </w:rPr>
        <w:t xml:space="preserve"> </w:t>
      </w:r>
      <w:r w:rsidR="00445A12" w:rsidRPr="00C54196">
        <w:rPr>
          <w:rFonts w:ascii="Cambria" w:hAnsi="Cambria"/>
          <w:sz w:val="20"/>
          <w:szCs w:val="20"/>
        </w:rPr>
        <w:t>violations</w:t>
      </w:r>
      <w:r w:rsidR="00294C77" w:rsidRPr="00C54196">
        <w:rPr>
          <w:rFonts w:ascii="Cambria" w:hAnsi="Cambria"/>
          <w:sz w:val="20"/>
          <w:szCs w:val="20"/>
        </w:rPr>
        <w:t xml:space="preserve"> </w:t>
      </w:r>
      <w:r w:rsidR="00445A12" w:rsidRPr="00C54196">
        <w:rPr>
          <w:rFonts w:ascii="Cambria" w:hAnsi="Cambria"/>
          <w:sz w:val="20"/>
          <w:szCs w:val="20"/>
        </w:rPr>
        <w:t>of access to</w:t>
      </w:r>
      <w:r w:rsidR="00294C77" w:rsidRPr="00C54196">
        <w:rPr>
          <w:rFonts w:ascii="Cambria" w:hAnsi="Cambria"/>
          <w:sz w:val="20"/>
          <w:szCs w:val="20"/>
        </w:rPr>
        <w:t xml:space="preserve"> justic</w:t>
      </w:r>
      <w:r w:rsidR="00445A12" w:rsidRPr="00C54196">
        <w:rPr>
          <w:rFonts w:ascii="Cambria" w:hAnsi="Cambria"/>
          <w:sz w:val="20"/>
          <w:szCs w:val="20"/>
        </w:rPr>
        <w:t>e</w:t>
      </w:r>
      <w:r w:rsidR="00294C77" w:rsidRPr="00C54196">
        <w:rPr>
          <w:rFonts w:ascii="Cambria" w:hAnsi="Cambria"/>
          <w:sz w:val="20"/>
          <w:szCs w:val="20"/>
        </w:rPr>
        <w:t xml:space="preserve"> </w:t>
      </w:r>
      <w:r w:rsidR="00445A12" w:rsidRPr="00C54196">
        <w:rPr>
          <w:rFonts w:ascii="Cambria" w:hAnsi="Cambria"/>
          <w:sz w:val="20"/>
          <w:szCs w:val="20"/>
        </w:rPr>
        <w:t>and judicial guaranties</w:t>
      </w:r>
      <w:r w:rsidR="00294C77" w:rsidRPr="00C54196">
        <w:rPr>
          <w:rFonts w:ascii="Cambria" w:hAnsi="Cambria"/>
          <w:sz w:val="20"/>
          <w:szCs w:val="20"/>
        </w:rPr>
        <w:t xml:space="preserve"> </w:t>
      </w:r>
      <w:r w:rsidR="00D9371B" w:rsidRPr="00C54196">
        <w:rPr>
          <w:rFonts w:ascii="Cambria" w:hAnsi="Cambria"/>
          <w:sz w:val="20"/>
          <w:szCs w:val="20"/>
        </w:rPr>
        <w:t>in the context of direct remedy</w:t>
      </w:r>
      <w:r w:rsidR="00294C77" w:rsidRPr="00C54196">
        <w:rPr>
          <w:rFonts w:ascii="Cambria" w:hAnsi="Cambria"/>
          <w:sz w:val="20"/>
          <w:szCs w:val="20"/>
        </w:rPr>
        <w:t xml:space="preserve">.  </w:t>
      </w:r>
      <w:r w:rsidR="00D9371B" w:rsidRPr="00C54196">
        <w:rPr>
          <w:rFonts w:ascii="Cambria" w:hAnsi="Cambria"/>
          <w:sz w:val="20"/>
          <w:szCs w:val="20"/>
        </w:rPr>
        <w:t>Given the link between the</w:t>
      </w:r>
      <w:r w:rsidR="00294C77" w:rsidRPr="00C54196">
        <w:rPr>
          <w:rFonts w:ascii="Cambria" w:hAnsi="Cambria"/>
          <w:sz w:val="20"/>
          <w:szCs w:val="20"/>
        </w:rPr>
        <w:t xml:space="preserve"> </w:t>
      </w:r>
      <w:r w:rsidR="00D9371B" w:rsidRPr="00C54196">
        <w:rPr>
          <w:rFonts w:ascii="Cambria" w:hAnsi="Cambria"/>
          <w:sz w:val="20"/>
          <w:szCs w:val="20"/>
        </w:rPr>
        <w:t>direct remedy process and</w:t>
      </w:r>
      <w:r w:rsidR="00294C77" w:rsidRPr="00C54196">
        <w:rPr>
          <w:rFonts w:ascii="Cambria" w:hAnsi="Cambria"/>
          <w:sz w:val="20"/>
          <w:szCs w:val="20"/>
        </w:rPr>
        <w:t xml:space="preserve"> </w:t>
      </w:r>
      <w:r w:rsidR="00D9371B" w:rsidRPr="00C54196">
        <w:rPr>
          <w:rFonts w:ascii="Cambria" w:hAnsi="Cambria"/>
          <w:sz w:val="20"/>
          <w:szCs w:val="20"/>
        </w:rPr>
        <w:t>the criminal process on the present matter</w:t>
      </w:r>
      <w:r w:rsidR="00294C77" w:rsidRPr="00C54196">
        <w:rPr>
          <w:rFonts w:ascii="Cambria" w:hAnsi="Cambria"/>
          <w:sz w:val="20"/>
          <w:szCs w:val="20"/>
        </w:rPr>
        <w:t xml:space="preserve">, </w:t>
      </w:r>
      <w:r w:rsidR="00D9371B" w:rsidRPr="00C54196">
        <w:rPr>
          <w:rFonts w:ascii="Cambria" w:hAnsi="Cambria"/>
          <w:sz w:val="20"/>
          <w:szCs w:val="20"/>
        </w:rPr>
        <w:t>the</w:t>
      </w:r>
      <w:r w:rsidR="00294C77" w:rsidRPr="00C54196">
        <w:rPr>
          <w:rFonts w:ascii="Cambria" w:hAnsi="Cambria"/>
          <w:sz w:val="20"/>
          <w:szCs w:val="20"/>
        </w:rPr>
        <w:t xml:space="preserve"> </w:t>
      </w:r>
      <w:r w:rsidR="00D9371B" w:rsidRPr="00C54196">
        <w:rPr>
          <w:rFonts w:ascii="Cambria" w:hAnsi="Cambria"/>
          <w:sz w:val="20"/>
          <w:szCs w:val="20"/>
        </w:rPr>
        <w:t>Commission</w:t>
      </w:r>
      <w:r w:rsidR="00294C77" w:rsidRPr="00C54196">
        <w:rPr>
          <w:rFonts w:ascii="Cambria" w:hAnsi="Cambria"/>
          <w:sz w:val="20"/>
          <w:szCs w:val="20"/>
        </w:rPr>
        <w:t xml:space="preserve"> consider</w:t>
      </w:r>
      <w:r w:rsidR="00D9371B" w:rsidRPr="00C54196">
        <w:rPr>
          <w:rFonts w:ascii="Cambria" w:hAnsi="Cambria"/>
          <w:sz w:val="20"/>
          <w:szCs w:val="20"/>
        </w:rPr>
        <w:t>s</w:t>
      </w:r>
      <w:r w:rsidR="00294C77" w:rsidRPr="00C54196">
        <w:rPr>
          <w:rFonts w:ascii="Cambria" w:hAnsi="Cambria"/>
          <w:sz w:val="20"/>
          <w:szCs w:val="20"/>
        </w:rPr>
        <w:t xml:space="preserve"> </w:t>
      </w:r>
      <w:r w:rsidR="00D9371B" w:rsidRPr="00C54196">
        <w:rPr>
          <w:rFonts w:ascii="Cambria" w:hAnsi="Cambria"/>
          <w:sz w:val="20"/>
          <w:szCs w:val="20"/>
        </w:rPr>
        <w:t>that internal remedies were exhausted</w:t>
      </w:r>
      <w:r w:rsidR="00294C77" w:rsidRPr="00C54196">
        <w:rPr>
          <w:rFonts w:ascii="Cambria" w:hAnsi="Cambria"/>
          <w:sz w:val="20"/>
          <w:szCs w:val="20"/>
        </w:rPr>
        <w:t xml:space="preserve"> </w:t>
      </w:r>
      <w:r w:rsidR="00D9371B" w:rsidRPr="00C54196">
        <w:rPr>
          <w:rFonts w:ascii="Cambria" w:hAnsi="Cambria"/>
          <w:sz w:val="20"/>
          <w:szCs w:val="20"/>
        </w:rPr>
        <w:t>upon decision on May</w:t>
      </w:r>
      <w:r w:rsidR="00294C77" w:rsidRPr="00C54196">
        <w:rPr>
          <w:rFonts w:ascii="Cambria" w:hAnsi="Cambria"/>
          <w:sz w:val="20"/>
          <w:szCs w:val="20"/>
        </w:rPr>
        <w:t xml:space="preserve"> 9</w:t>
      </w:r>
      <w:r w:rsidR="00D9371B" w:rsidRPr="00C54196">
        <w:rPr>
          <w:rFonts w:ascii="Cambria" w:hAnsi="Cambria"/>
          <w:sz w:val="20"/>
          <w:szCs w:val="20"/>
          <w:vertAlign w:val="superscript"/>
        </w:rPr>
        <w:t>th</w:t>
      </w:r>
      <w:r w:rsidR="00D9371B" w:rsidRPr="00C54196">
        <w:rPr>
          <w:rFonts w:ascii="Cambria" w:hAnsi="Cambria"/>
          <w:sz w:val="20"/>
          <w:szCs w:val="20"/>
        </w:rPr>
        <w:t xml:space="preserve"> </w:t>
      </w:r>
      <w:r w:rsidR="00294C77" w:rsidRPr="00C54196">
        <w:rPr>
          <w:rFonts w:ascii="Cambria" w:hAnsi="Cambria"/>
          <w:sz w:val="20"/>
          <w:szCs w:val="20"/>
        </w:rPr>
        <w:t xml:space="preserve">2012 </w:t>
      </w:r>
      <w:r w:rsidR="00D9371B" w:rsidRPr="00C54196">
        <w:rPr>
          <w:rFonts w:ascii="Cambria" w:hAnsi="Cambria"/>
          <w:sz w:val="20"/>
          <w:szCs w:val="20"/>
        </w:rPr>
        <w:t>by the Supreme Court of Justice</w:t>
      </w:r>
      <w:r w:rsidR="00294C77" w:rsidRPr="00C54196">
        <w:rPr>
          <w:rFonts w:ascii="Cambria" w:hAnsi="Cambria"/>
          <w:sz w:val="20"/>
          <w:szCs w:val="20"/>
        </w:rPr>
        <w:t xml:space="preserve">; </w:t>
      </w:r>
      <w:r w:rsidR="00807050" w:rsidRPr="00C54196">
        <w:rPr>
          <w:rFonts w:ascii="Cambria" w:hAnsi="Cambria"/>
          <w:sz w:val="20"/>
          <w:szCs w:val="20"/>
        </w:rPr>
        <w:t>the petition was presented on November</w:t>
      </w:r>
      <w:r w:rsidR="00294C77" w:rsidRPr="00C54196">
        <w:rPr>
          <w:rFonts w:ascii="Cambria" w:hAnsi="Cambria"/>
          <w:sz w:val="20"/>
          <w:szCs w:val="20"/>
        </w:rPr>
        <w:t xml:space="preserve"> 7</w:t>
      </w:r>
      <w:r w:rsidR="00807050" w:rsidRPr="00C54196">
        <w:rPr>
          <w:rFonts w:ascii="Cambria" w:hAnsi="Cambria"/>
          <w:sz w:val="20"/>
          <w:szCs w:val="20"/>
          <w:vertAlign w:val="superscript"/>
        </w:rPr>
        <w:t>th</w:t>
      </w:r>
      <w:r w:rsidR="00807050" w:rsidRPr="00C54196">
        <w:rPr>
          <w:rFonts w:ascii="Cambria" w:hAnsi="Cambria"/>
          <w:sz w:val="20"/>
          <w:szCs w:val="20"/>
        </w:rPr>
        <w:t xml:space="preserve"> </w:t>
      </w:r>
      <w:r w:rsidR="00294C77" w:rsidRPr="00C54196">
        <w:rPr>
          <w:rFonts w:ascii="Cambria" w:hAnsi="Cambria"/>
          <w:sz w:val="20"/>
          <w:szCs w:val="20"/>
        </w:rPr>
        <w:t xml:space="preserve">2008, </w:t>
      </w:r>
      <w:r w:rsidR="00807050" w:rsidRPr="00C54196">
        <w:rPr>
          <w:rFonts w:ascii="Cambria" w:hAnsi="Cambria"/>
          <w:sz w:val="20"/>
          <w:szCs w:val="20"/>
        </w:rPr>
        <w:t>which means</w:t>
      </w:r>
      <w:r w:rsidR="00294C77" w:rsidRPr="00C54196">
        <w:rPr>
          <w:rFonts w:ascii="Cambria" w:hAnsi="Cambria"/>
          <w:sz w:val="20"/>
          <w:szCs w:val="20"/>
        </w:rPr>
        <w:t xml:space="preserve">, </w:t>
      </w:r>
      <w:r w:rsidR="00807050" w:rsidRPr="00C54196">
        <w:rPr>
          <w:rFonts w:ascii="Cambria" w:hAnsi="Cambria"/>
          <w:sz w:val="20"/>
          <w:szCs w:val="20"/>
        </w:rPr>
        <w:t>during an ongoing admissibility phase</w:t>
      </w:r>
      <w:r w:rsidR="00294C77" w:rsidRPr="00C54196">
        <w:rPr>
          <w:rFonts w:ascii="Cambria" w:hAnsi="Cambria"/>
          <w:sz w:val="20"/>
          <w:szCs w:val="20"/>
        </w:rPr>
        <w:t xml:space="preserve">. </w:t>
      </w:r>
      <w:r w:rsidR="00807050" w:rsidRPr="00C54196">
        <w:rPr>
          <w:rFonts w:ascii="Cambria" w:hAnsi="Cambria"/>
          <w:sz w:val="20"/>
          <w:szCs w:val="20"/>
        </w:rPr>
        <w:t>The Commission has</w:t>
      </w:r>
      <w:r w:rsidR="00294C77" w:rsidRPr="00C54196">
        <w:rPr>
          <w:rFonts w:ascii="Cambria" w:hAnsi="Cambria"/>
          <w:sz w:val="20"/>
          <w:szCs w:val="20"/>
        </w:rPr>
        <w:t xml:space="preserve"> </w:t>
      </w:r>
      <w:r w:rsidR="00807050" w:rsidRPr="00C54196">
        <w:rPr>
          <w:rFonts w:ascii="Cambria" w:hAnsi="Cambria"/>
          <w:sz w:val="20"/>
          <w:szCs w:val="20"/>
        </w:rPr>
        <w:t>affirmed that the analysis</w:t>
      </w:r>
      <w:r w:rsidR="00294C77" w:rsidRPr="00C54196">
        <w:rPr>
          <w:rFonts w:ascii="Cambria" w:hAnsi="Cambria"/>
          <w:sz w:val="20"/>
          <w:szCs w:val="20"/>
        </w:rPr>
        <w:t xml:space="preserve"> </w:t>
      </w:r>
      <w:r w:rsidR="00807050" w:rsidRPr="00C54196">
        <w:rPr>
          <w:rFonts w:ascii="Cambria" w:hAnsi="Cambria"/>
          <w:sz w:val="20"/>
          <w:szCs w:val="20"/>
        </w:rPr>
        <w:t>of the requirements of articles</w:t>
      </w:r>
      <w:r w:rsidR="00294C77" w:rsidRPr="00C54196">
        <w:rPr>
          <w:rFonts w:ascii="Cambria" w:hAnsi="Cambria"/>
          <w:sz w:val="20"/>
          <w:szCs w:val="20"/>
        </w:rPr>
        <w:t xml:space="preserve"> 46 </w:t>
      </w:r>
      <w:r w:rsidR="00807050" w:rsidRPr="00C54196">
        <w:rPr>
          <w:rFonts w:ascii="Cambria" w:hAnsi="Cambria"/>
          <w:sz w:val="20"/>
          <w:szCs w:val="20"/>
        </w:rPr>
        <w:t>and</w:t>
      </w:r>
      <w:r w:rsidR="00294C77" w:rsidRPr="00C54196">
        <w:rPr>
          <w:rFonts w:ascii="Cambria" w:hAnsi="Cambria"/>
          <w:sz w:val="20"/>
          <w:szCs w:val="20"/>
        </w:rPr>
        <w:t xml:space="preserve"> 47 </w:t>
      </w:r>
      <w:r w:rsidR="00807050" w:rsidRPr="00C54196">
        <w:rPr>
          <w:rFonts w:ascii="Cambria" w:hAnsi="Cambria"/>
          <w:sz w:val="20"/>
          <w:szCs w:val="20"/>
        </w:rPr>
        <w:t>of the American Convention</w:t>
      </w:r>
      <w:r w:rsidR="00294C77" w:rsidRPr="00C54196">
        <w:rPr>
          <w:rFonts w:ascii="Cambria" w:hAnsi="Cambria"/>
          <w:sz w:val="20"/>
          <w:szCs w:val="20"/>
        </w:rPr>
        <w:t xml:space="preserve"> </w:t>
      </w:r>
      <w:r w:rsidR="00807050" w:rsidRPr="00C54196">
        <w:rPr>
          <w:rFonts w:ascii="Cambria" w:hAnsi="Cambria"/>
          <w:sz w:val="20"/>
          <w:szCs w:val="20"/>
        </w:rPr>
        <w:t>must be performed in the light of the current situation at the</w:t>
      </w:r>
      <w:r w:rsidR="00294C77" w:rsidRPr="00C54196">
        <w:rPr>
          <w:rFonts w:ascii="Cambria" w:hAnsi="Cambria"/>
          <w:sz w:val="20"/>
          <w:szCs w:val="20"/>
        </w:rPr>
        <w:t xml:space="preserve"> moment</w:t>
      </w:r>
      <w:r w:rsidR="00807050" w:rsidRPr="00C54196">
        <w:rPr>
          <w:rFonts w:ascii="Cambria" w:hAnsi="Cambria"/>
          <w:sz w:val="20"/>
          <w:szCs w:val="20"/>
        </w:rPr>
        <w:t xml:space="preserve"> </w:t>
      </w:r>
      <w:r w:rsidR="00294C77" w:rsidRPr="00C54196">
        <w:rPr>
          <w:rFonts w:ascii="Cambria" w:hAnsi="Cambria"/>
          <w:sz w:val="20"/>
          <w:szCs w:val="20"/>
        </w:rPr>
        <w:t>o</w:t>
      </w:r>
      <w:r w:rsidR="00807050" w:rsidRPr="00C54196">
        <w:rPr>
          <w:rFonts w:ascii="Cambria" w:hAnsi="Cambria"/>
          <w:sz w:val="20"/>
          <w:szCs w:val="20"/>
        </w:rPr>
        <w:t>f</w:t>
      </w:r>
      <w:r w:rsidR="00294C77" w:rsidRPr="00C54196">
        <w:rPr>
          <w:rFonts w:ascii="Cambria" w:hAnsi="Cambria"/>
          <w:sz w:val="20"/>
          <w:szCs w:val="20"/>
        </w:rPr>
        <w:t xml:space="preserve"> </w:t>
      </w:r>
      <w:r w:rsidR="00807050" w:rsidRPr="00C54196">
        <w:rPr>
          <w:rFonts w:ascii="Cambria" w:hAnsi="Cambria"/>
          <w:sz w:val="20"/>
          <w:szCs w:val="20"/>
        </w:rPr>
        <w:t>resolving as to the</w:t>
      </w:r>
      <w:r w:rsidR="00294C77" w:rsidRPr="00C54196">
        <w:rPr>
          <w:rFonts w:ascii="Cambria" w:hAnsi="Cambria"/>
          <w:sz w:val="20"/>
          <w:szCs w:val="20"/>
        </w:rPr>
        <w:t xml:space="preserve"> admis</w:t>
      </w:r>
      <w:r w:rsidR="00807050" w:rsidRPr="00C54196">
        <w:rPr>
          <w:rFonts w:ascii="Cambria" w:hAnsi="Cambria"/>
          <w:sz w:val="20"/>
          <w:szCs w:val="20"/>
        </w:rPr>
        <w:t>s</w:t>
      </w:r>
      <w:r w:rsidR="00294C77" w:rsidRPr="00C54196">
        <w:rPr>
          <w:rFonts w:ascii="Cambria" w:hAnsi="Cambria"/>
          <w:sz w:val="20"/>
          <w:szCs w:val="20"/>
        </w:rPr>
        <w:t>ibili</w:t>
      </w:r>
      <w:r w:rsidR="00807050" w:rsidRPr="00C54196">
        <w:rPr>
          <w:rFonts w:ascii="Cambria" w:hAnsi="Cambria"/>
          <w:sz w:val="20"/>
          <w:szCs w:val="20"/>
        </w:rPr>
        <w:t>ty</w:t>
      </w:r>
      <w:r w:rsidR="00294C77" w:rsidRPr="00C54196">
        <w:rPr>
          <w:rFonts w:ascii="Cambria" w:hAnsi="Cambria"/>
          <w:sz w:val="20"/>
          <w:szCs w:val="20"/>
        </w:rPr>
        <w:t xml:space="preserve"> </w:t>
      </w:r>
      <w:r w:rsidR="00807050" w:rsidRPr="00C54196">
        <w:rPr>
          <w:rFonts w:ascii="Cambria" w:hAnsi="Cambria"/>
          <w:sz w:val="20"/>
          <w:szCs w:val="20"/>
        </w:rPr>
        <w:t>of the complaint</w:t>
      </w:r>
      <w:r w:rsidR="00294C77" w:rsidRPr="00C54196">
        <w:rPr>
          <w:rFonts w:ascii="Cambria" w:hAnsi="Cambria"/>
          <w:sz w:val="20"/>
          <w:szCs w:val="20"/>
        </w:rPr>
        <w:t xml:space="preserve">, </w:t>
      </w:r>
      <w:r w:rsidR="00807050" w:rsidRPr="00C54196">
        <w:rPr>
          <w:rFonts w:ascii="Cambria" w:hAnsi="Cambria"/>
          <w:sz w:val="20"/>
          <w:szCs w:val="20"/>
        </w:rPr>
        <w:t>in order to ensure that the parties</w:t>
      </w:r>
      <w:r w:rsidR="00294C77" w:rsidRPr="00C54196">
        <w:rPr>
          <w:rFonts w:ascii="Cambria" w:hAnsi="Cambria"/>
          <w:sz w:val="20"/>
          <w:szCs w:val="20"/>
        </w:rPr>
        <w:t xml:space="preserve"> </w:t>
      </w:r>
      <w:r w:rsidR="00807050" w:rsidRPr="00C54196">
        <w:rPr>
          <w:rFonts w:ascii="Cambria" w:hAnsi="Cambria"/>
          <w:sz w:val="20"/>
          <w:szCs w:val="20"/>
        </w:rPr>
        <w:t>have full opportunity to</w:t>
      </w:r>
      <w:r w:rsidR="00294C77" w:rsidRPr="00C54196">
        <w:rPr>
          <w:rFonts w:ascii="Cambria" w:hAnsi="Cambria"/>
          <w:sz w:val="20"/>
          <w:szCs w:val="20"/>
        </w:rPr>
        <w:t xml:space="preserve"> </w:t>
      </w:r>
      <w:r w:rsidR="00807050" w:rsidRPr="00C54196">
        <w:rPr>
          <w:rFonts w:ascii="Cambria" w:hAnsi="Cambria"/>
          <w:sz w:val="20"/>
          <w:szCs w:val="20"/>
        </w:rPr>
        <w:t>submit information and actions</w:t>
      </w:r>
      <w:r w:rsidR="00294C77" w:rsidRPr="00C54196">
        <w:rPr>
          <w:rStyle w:val="FootnoteReference"/>
          <w:rFonts w:ascii="Cambria" w:hAnsi="Cambria"/>
          <w:sz w:val="20"/>
          <w:szCs w:val="20"/>
        </w:rPr>
        <w:footnoteReference w:id="4"/>
      </w:r>
      <w:r w:rsidR="00294C77" w:rsidRPr="00C54196">
        <w:rPr>
          <w:rFonts w:ascii="Cambria" w:hAnsi="Cambria"/>
          <w:sz w:val="20"/>
          <w:szCs w:val="20"/>
        </w:rPr>
        <w:t xml:space="preserve">. </w:t>
      </w:r>
      <w:r w:rsidR="00807050" w:rsidRPr="00C54196">
        <w:rPr>
          <w:rFonts w:ascii="Cambria" w:hAnsi="Cambria"/>
          <w:sz w:val="20"/>
          <w:szCs w:val="20"/>
        </w:rPr>
        <w:t>Therefore</w:t>
      </w:r>
      <w:r w:rsidR="00294C77" w:rsidRPr="00C54196">
        <w:rPr>
          <w:rFonts w:ascii="Cambria" w:hAnsi="Cambria"/>
          <w:sz w:val="20"/>
          <w:szCs w:val="20"/>
        </w:rPr>
        <w:t xml:space="preserve">, </w:t>
      </w:r>
      <w:r w:rsidR="00807050" w:rsidRPr="00C54196">
        <w:rPr>
          <w:rFonts w:ascii="Cambria" w:hAnsi="Cambria"/>
          <w:sz w:val="20"/>
          <w:szCs w:val="20"/>
        </w:rPr>
        <w:t>the</w:t>
      </w:r>
      <w:r w:rsidR="00294C77" w:rsidRPr="00C54196">
        <w:rPr>
          <w:rFonts w:ascii="Cambria" w:hAnsi="Cambria"/>
          <w:sz w:val="20"/>
          <w:szCs w:val="20"/>
        </w:rPr>
        <w:t xml:space="preserve"> </w:t>
      </w:r>
      <w:r w:rsidR="00807050" w:rsidRPr="00C54196">
        <w:rPr>
          <w:rFonts w:ascii="Cambria" w:hAnsi="Cambria"/>
          <w:sz w:val="20"/>
          <w:szCs w:val="20"/>
        </w:rPr>
        <w:t>Commission</w:t>
      </w:r>
      <w:r w:rsidR="00294C77" w:rsidRPr="00C54196">
        <w:rPr>
          <w:rFonts w:ascii="Cambria" w:hAnsi="Cambria"/>
          <w:sz w:val="20"/>
          <w:szCs w:val="20"/>
        </w:rPr>
        <w:t xml:space="preserve"> determin</w:t>
      </w:r>
      <w:r w:rsidR="00807050" w:rsidRPr="00C54196">
        <w:rPr>
          <w:rFonts w:ascii="Cambria" w:hAnsi="Cambria"/>
          <w:sz w:val="20"/>
          <w:szCs w:val="20"/>
        </w:rPr>
        <w:t>es</w:t>
      </w:r>
      <w:r w:rsidR="00294C77" w:rsidRPr="00C54196">
        <w:rPr>
          <w:rFonts w:ascii="Cambria" w:hAnsi="Cambria"/>
          <w:sz w:val="20"/>
          <w:szCs w:val="20"/>
        </w:rPr>
        <w:t xml:space="preserve"> </w:t>
      </w:r>
      <w:r w:rsidR="00807050" w:rsidRPr="00C54196">
        <w:rPr>
          <w:rFonts w:ascii="Cambria" w:hAnsi="Cambria"/>
          <w:sz w:val="20"/>
          <w:szCs w:val="20"/>
        </w:rPr>
        <w:t>that the present petition complies</w:t>
      </w:r>
      <w:r w:rsidR="00294C77" w:rsidRPr="00C54196">
        <w:rPr>
          <w:rFonts w:ascii="Cambria" w:hAnsi="Cambria"/>
          <w:sz w:val="20"/>
          <w:szCs w:val="20"/>
        </w:rPr>
        <w:t xml:space="preserve"> </w:t>
      </w:r>
      <w:r w:rsidR="00807050" w:rsidRPr="00C54196">
        <w:rPr>
          <w:rFonts w:ascii="Cambria" w:hAnsi="Cambria"/>
          <w:sz w:val="20"/>
          <w:szCs w:val="20"/>
        </w:rPr>
        <w:t>with the requirement set forth in articles</w:t>
      </w:r>
      <w:r w:rsidR="00294C77" w:rsidRPr="00C54196">
        <w:rPr>
          <w:rFonts w:ascii="Cambria" w:hAnsi="Cambria"/>
          <w:sz w:val="20"/>
          <w:szCs w:val="20"/>
        </w:rPr>
        <w:t xml:space="preserve"> 46.1.a </w:t>
      </w:r>
      <w:r w:rsidR="00807050" w:rsidRPr="00C54196">
        <w:rPr>
          <w:rFonts w:ascii="Cambria" w:hAnsi="Cambria"/>
          <w:sz w:val="20"/>
          <w:szCs w:val="20"/>
        </w:rPr>
        <w:t>and</w:t>
      </w:r>
      <w:r w:rsidR="00294C77" w:rsidRPr="00C54196">
        <w:rPr>
          <w:rFonts w:ascii="Cambria" w:hAnsi="Cambria"/>
          <w:sz w:val="20"/>
          <w:szCs w:val="20"/>
        </w:rPr>
        <w:t xml:space="preserve"> b </w:t>
      </w:r>
      <w:r w:rsidR="00807050" w:rsidRPr="00C54196">
        <w:rPr>
          <w:rFonts w:ascii="Cambria" w:hAnsi="Cambria"/>
          <w:sz w:val="20"/>
          <w:szCs w:val="20"/>
        </w:rPr>
        <w:t>of the American Convention</w:t>
      </w:r>
      <w:r w:rsidR="00294C77" w:rsidRPr="00C54196">
        <w:rPr>
          <w:rFonts w:ascii="Cambria" w:hAnsi="Cambria"/>
          <w:sz w:val="20"/>
          <w:szCs w:val="20"/>
        </w:rPr>
        <w:t>.</w:t>
      </w:r>
    </w:p>
    <w:p w14:paraId="7F41A8F7" w14:textId="27FAAEA7" w:rsidR="00294C77" w:rsidRPr="00C54196" w:rsidRDefault="002B678F" w:rsidP="00294C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On the other hand</w:t>
      </w:r>
      <w:r w:rsidR="00294C77" w:rsidRPr="00C54196">
        <w:rPr>
          <w:rFonts w:ascii="Cambria" w:hAnsi="Cambria"/>
          <w:sz w:val="20"/>
          <w:szCs w:val="20"/>
        </w:rPr>
        <w:t xml:space="preserve">, </w:t>
      </w:r>
      <w:r w:rsidRPr="00C54196">
        <w:rPr>
          <w:rFonts w:ascii="Cambria" w:hAnsi="Cambria"/>
          <w:sz w:val="20"/>
          <w:szCs w:val="20"/>
        </w:rPr>
        <w:t>the Commission</w:t>
      </w:r>
      <w:r w:rsidR="00294C77" w:rsidRPr="00C54196">
        <w:rPr>
          <w:rFonts w:ascii="Cambria" w:hAnsi="Cambria"/>
          <w:sz w:val="20"/>
          <w:szCs w:val="20"/>
        </w:rPr>
        <w:t xml:space="preserve"> observ</w:t>
      </w:r>
      <w:r w:rsidRPr="00C54196">
        <w:rPr>
          <w:rFonts w:ascii="Cambria" w:hAnsi="Cambria"/>
          <w:sz w:val="20"/>
          <w:szCs w:val="20"/>
        </w:rPr>
        <w:t>es</w:t>
      </w:r>
      <w:r w:rsidR="00294C77" w:rsidRPr="00C54196">
        <w:rPr>
          <w:rFonts w:ascii="Cambria" w:hAnsi="Cambria"/>
          <w:sz w:val="20"/>
          <w:szCs w:val="20"/>
        </w:rPr>
        <w:t xml:space="preserve"> </w:t>
      </w:r>
      <w:r w:rsidRPr="00C54196">
        <w:rPr>
          <w:rFonts w:ascii="Cambria" w:hAnsi="Cambria"/>
          <w:sz w:val="20"/>
          <w:szCs w:val="20"/>
        </w:rPr>
        <w:t>that the criminal process for murder of the</w:t>
      </w:r>
      <w:r w:rsidR="00294C77" w:rsidRPr="00C54196">
        <w:rPr>
          <w:rFonts w:ascii="Cambria" w:hAnsi="Cambria"/>
          <w:sz w:val="20"/>
          <w:szCs w:val="20"/>
        </w:rPr>
        <w:t xml:space="preserve"> Zapata Álvarez </w:t>
      </w:r>
      <w:r w:rsidRPr="00C54196">
        <w:rPr>
          <w:rFonts w:ascii="Cambria" w:hAnsi="Cambria"/>
          <w:sz w:val="20"/>
          <w:szCs w:val="20"/>
        </w:rPr>
        <w:t>brothers is still under investigation</w:t>
      </w:r>
      <w:r w:rsidR="00294C77" w:rsidRPr="00C54196">
        <w:rPr>
          <w:rFonts w:ascii="Cambria" w:hAnsi="Cambria"/>
          <w:sz w:val="20"/>
          <w:szCs w:val="20"/>
        </w:rPr>
        <w:t xml:space="preserve">, </w:t>
      </w:r>
      <w:r w:rsidRPr="00C54196">
        <w:rPr>
          <w:rFonts w:ascii="Cambria" w:hAnsi="Cambria"/>
          <w:sz w:val="20"/>
          <w:szCs w:val="20"/>
        </w:rPr>
        <w:t>and that all diligences concerning the case have been done</w:t>
      </w:r>
      <w:r w:rsidR="00294C77" w:rsidRPr="00C54196">
        <w:rPr>
          <w:rFonts w:ascii="Cambria" w:hAnsi="Cambria"/>
          <w:sz w:val="20"/>
          <w:szCs w:val="20"/>
        </w:rPr>
        <w:t xml:space="preserve">, </w:t>
      </w:r>
      <w:r w:rsidRPr="00C54196">
        <w:rPr>
          <w:rFonts w:ascii="Cambria" w:hAnsi="Cambria"/>
          <w:sz w:val="20"/>
          <w:szCs w:val="20"/>
        </w:rPr>
        <w:t>to the point that one of the alleged perpetrators of such</w:t>
      </w:r>
      <w:r w:rsidR="00294C77" w:rsidRPr="00C54196">
        <w:rPr>
          <w:rFonts w:ascii="Cambria" w:hAnsi="Cambria"/>
          <w:sz w:val="20"/>
          <w:szCs w:val="20"/>
        </w:rPr>
        <w:t xml:space="preserve"> </w:t>
      </w:r>
      <w:r w:rsidRPr="00C54196">
        <w:rPr>
          <w:rFonts w:ascii="Cambria" w:hAnsi="Cambria"/>
          <w:sz w:val="20"/>
          <w:szCs w:val="20"/>
        </w:rPr>
        <w:t>actions is already under custody</w:t>
      </w:r>
      <w:r w:rsidR="00294C77" w:rsidRPr="00C54196">
        <w:rPr>
          <w:rFonts w:ascii="Cambria" w:hAnsi="Cambria"/>
          <w:sz w:val="20"/>
          <w:szCs w:val="20"/>
        </w:rPr>
        <w:t xml:space="preserve"> </w:t>
      </w:r>
      <w:r w:rsidRPr="00C54196">
        <w:rPr>
          <w:rFonts w:ascii="Cambria" w:hAnsi="Cambria"/>
          <w:sz w:val="20"/>
          <w:szCs w:val="20"/>
        </w:rPr>
        <w:t>of prison authorities</w:t>
      </w:r>
      <w:r w:rsidR="00294C77" w:rsidRPr="00C54196">
        <w:rPr>
          <w:rFonts w:ascii="Cambria" w:hAnsi="Cambria"/>
          <w:sz w:val="20"/>
          <w:szCs w:val="20"/>
        </w:rPr>
        <w:t xml:space="preserve">. </w:t>
      </w:r>
      <w:r w:rsidRPr="00C54196">
        <w:rPr>
          <w:rFonts w:ascii="Cambria" w:hAnsi="Cambria"/>
          <w:sz w:val="20"/>
          <w:szCs w:val="20"/>
        </w:rPr>
        <w:t>The State indicated</w:t>
      </w:r>
      <w:r w:rsidR="00294C77" w:rsidRPr="00C54196">
        <w:rPr>
          <w:rFonts w:ascii="Cambria" w:hAnsi="Cambria"/>
          <w:sz w:val="20"/>
          <w:szCs w:val="20"/>
        </w:rPr>
        <w:t xml:space="preserve"> </w:t>
      </w:r>
      <w:r w:rsidRPr="00C54196">
        <w:rPr>
          <w:rFonts w:ascii="Cambria" w:hAnsi="Cambria"/>
          <w:sz w:val="20"/>
          <w:szCs w:val="20"/>
        </w:rPr>
        <w:t xml:space="preserve">by this means the </w:t>
      </w:r>
      <w:r w:rsidR="003C1D85" w:rsidRPr="00C54196">
        <w:rPr>
          <w:rFonts w:ascii="Cambria" w:hAnsi="Cambria"/>
          <w:sz w:val="20"/>
          <w:szCs w:val="20"/>
        </w:rPr>
        <w:t>criminal investigation in</w:t>
      </w:r>
      <w:r w:rsidR="00294C77" w:rsidRPr="00C54196">
        <w:rPr>
          <w:rFonts w:ascii="Cambria" w:hAnsi="Cambria"/>
          <w:sz w:val="20"/>
          <w:szCs w:val="20"/>
        </w:rPr>
        <w:t xml:space="preserve"> 1993 </w:t>
      </w:r>
      <w:r w:rsidR="003C1D85" w:rsidRPr="00C54196">
        <w:rPr>
          <w:rFonts w:ascii="Cambria" w:hAnsi="Cambria"/>
          <w:sz w:val="20"/>
          <w:szCs w:val="20"/>
        </w:rPr>
        <w:t>and up to this date has no precise information</w:t>
      </w:r>
      <w:r w:rsidR="00294C77" w:rsidRPr="00C54196">
        <w:rPr>
          <w:rFonts w:ascii="Cambria" w:hAnsi="Cambria"/>
          <w:sz w:val="20"/>
          <w:szCs w:val="20"/>
        </w:rPr>
        <w:t xml:space="preserve">, </w:t>
      </w:r>
      <w:r w:rsidR="006B5617" w:rsidRPr="00C54196">
        <w:rPr>
          <w:rFonts w:ascii="Cambria" w:hAnsi="Cambria"/>
          <w:sz w:val="20"/>
          <w:szCs w:val="20"/>
        </w:rPr>
        <w:t>nor has there been a concrete</w:t>
      </w:r>
      <w:r w:rsidR="00294C77" w:rsidRPr="00C54196">
        <w:rPr>
          <w:rFonts w:ascii="Cambria" w:hAnsi="Cambria"/>
          <w:sz w:val="20"/>
          <w:szCs w:val="20"/>
        </w:rPr>
        <w:t xml:space="preserve"> </w:t>
      </w:r>
      <w:r w:rsidR="006B5617" w:rsidRPr="00C54196">
        <w:rPr>
          <w:rFonts w:ascii="Cambria" w:hAnsi="Cambria"/>
          <w:sz w:val="20"/>
          <w:szCs w:val="20"/>
        </w:rPr>
        <w:t>individualization</w:t>
      </w:r>
      <w:r w:rsidR="00294C77" w:rsidRPr="00C54196">
        <w:rPr>
          <w:rFonts w:ascii="Cambria" w:hAnsi="Cambria"/>
          <w:sz w:val="20"/>
          <w:szCs w:val="20"/>
        </w:rPr>
        <w:t xml:space="preserve"> </w:t>
      </w:r>
      <w:r w:rsidR="006B5617" w:rsidRPr="00C54196">
        <w:rPr>
          <w:rFonts w:ascii="Cambria" w:hAnsi="Cambria"/>
          <w:sz w:val="20"/>
          <w:szCs w:val="20"/>
        </w:rPr>
        <w:t>of the</w:t>
      </w:r>
      <w:r w:rsidR="00294C77" w:rsidRPr="00C54196">
        <w:rPr>
          <w:rFonts w:ascii="Cambria" w:hAnsi="Cambria"/>
          <w:sz w:val="20"/>
          <w:szCs w:val="20"/>
        </w:rPr>
        <w:t xml:space="preserve"> </w:t>
      </w:r>
      <w:r w:rsidR="006B5617" w:rsidRPr="00C54196">
        <w:rPr>
          <w:rFonts w:ascii="Cambria" w:hAnsi="Cambria"/>
          <w:sz w:val="20"/>
          <w:szCs w:val="20"/>
        </w:rPr>
        <w:t>perpetrators</w:t>
      </w:r>
      <w:r w:rsidR="00294C77" w:rsidRPr="00C54196">
        <w:rPr>
          <w:rFonts w:ascii="Cambria" w:hAnsi="Cambria"/>
          <w:sz w:val="20"/>
          <w:szCs w:val="20"/>
        </w:rPr>
        <w:t xml:space="preserve">, </w:t>
      </w:r>
      <w:r w:rsidR="006B5617" w:rsidRPr="00C54196">
        <w:rPr>
          <w:rFonts w:ascii="Cambria" w:hAnsi="Cambria"/>
          <w:sz w:val="20"/>
          <w:szCs w:val="20"/>
        </w:rPr>
        <w:t>since the arrest of one of the alleged murderers did not occur within the criminal investigation of the case</w:t>
      </w:r>
      <w:r w:rsidR="00294C77" w:rsidRPr="00C54196">
        <w:rPr>
          <w:rFonts w:ascii="Cambria" w:hAnsi="Cambria"/>
          <w:sz w:val="20"/>
          <w:szCs w:val="20"/>
        </w:rPr>
        <w:t xml:space="preserve"> </w:t>
      </w:r>
      <w:r w:rsidR="006B5617" w:rsidRPr="00C54196">
        <w:rPr>
          <w:rFonts w:ascii="Cambria" w:hAnsi="Cambria"/>
          <w:sz w:val="20"/>
          <w:szCs w:val="20"/>
        </w:rPr>
        <w:t>of the</w:t>
      </w:r>
      <w:r w:rsidR="00294C77" w:rsidRPr="00C54196">
        <w:rPr>
          <w:rFonts w:ascii="Cambria" w:hAnsi="Cambria"/>
          <w:sz w:val="20"/>
          <w:szCs w:val="20"/>
        </w:rPr>
        <w:t xml:space="preserve"> Zapata Álvarez</w:t>
      </w:r>
      <w:r w:rsidR="006B5617" w:rsidRPr="00C54196">
        <w:rPr>
          <w:rFonts w:ascii="Cambria" w:hAnsi="Cambria"/>
          <w:sz w:val="20"/>
          <w:szCs w:val="20"/>
        </w:rPr>
        <w:t xml:space="preserve"> brothers</w:t>
      </w:r>
      <w:r w:rsidR="00294C77" w:rsidRPr="00C54196">
        <w:rPr>
          <w:rFonts w:ascii="Cambria" w:hAnsi="Cambria"/>
          <w:sz w:val="20"/>
          <w:szCs w:val="20"/>
        </w:rPr>
        <w:t xml:space="preserve">, </w:t>
      </w:r>
      <w:r w:rsidR="006B5617" w:rsidRPr="00C54196">
        <w:rPr>
          <w:rFonts w:ascii="Cambria" w:hAnsi="Cambria"/>
          <w:sz w:val="20"/>
          <w:szCs w:val="20"/>
        </w:rPr>
        <w:t>but as a consequence of a demobilization process</w:t>
      </w:r>
      <w:r w:rsidR="00294C77" w:rsidRPr="00C54196">
        <w:rPr>
          <w:rFonts w:ascii="Cambria" w:hAnsi="Cambria"/>
          <w:sz w:val="20"/>
          <w:szCs w:val="20"/>
        </w:rPr>
        <w:t xml:space="preserve"> </w:t>
      </w:r>
      <w:r w:rsidR="006B5617" w:rsidRPr="00C54196">
        <w:rPr>
          <w:rFonts w:ascii="Cambria" w:hAnsi="Cambria"/>
          <w:sz w:val="20"/>
          <w:szCs w:val="20"/>
        </w:rPr>
        <w:t>of an armed group</w:t>
      </w:r>
      <w:r w:rsidR="00294C77" w:rsidRPr="00C54196">
        <w:rPr>
          <w:rFonts w:ascii="Cambria" w:hAnsi="Cambria"/>
          <w:sz w:val="20"/>
          <w:szCs w:val="20"/>
        </w:rPr>
        <w:t xml:space="preserve">. </w:t>
      </w:r>
      <w:r w:rsidR="006B5617" w:rsidRPr="00C54196">
        <w:rPr>
          <w:rFonts w:ascii="Cambria" w:hAnsi="Cambria"/>
          <w:sz w:val="20"/>
          <w:szCs w:val="20"/>
        </w:rPr>
        <w:t>Therefore</w:t>
      </w:r>
      <w:r w:rsidR="00294C77" w:rsidRPr="00C54196">
        <w:rPr>
          <w:rFonts w:ascii="Cambria" w:hAnsi="Cambria"/>
          <w:sz w:val="20"/>
          <w:szCs w:val="20"/>
        </w:rPr>
        <w:t xml:space="preserve">, </w:t>
      </w:r>
      <w:r w:rsidR="006B5617" w:rsidRPr="00C54196">
        <w:rPr>
          <w:rFonts w:ascii="Cambria" w:hAnsi="Cambria"/>
          <w:sz w:val="20"/>
          <w:szCs w:val="20"/>
        </w:rPr>
        <w:t>the</w:t>
      </w:r>
      <w:r w:rsidR="00294C77" w:rsidRPr="00C54196">
        <w:rPr>
          <w:rFonts w:ascii="Cambria" w:hAnsi="Cambria"/>
          <w:sz w:val="20"/>
          <w:szCs w:val="20"/>
        </w:rPr>
        <w:t xml:space="preserve"> </w:t>
      </w:r>
      <w:r w:rsidR="006B5617" w:rsidRPr="00C54196">
        <w:rPr>
          <w:rFonts w:ascii="Cambria" w:hAnsi="Cambria"/>
          <w:sz w:val="20"/>
          <w:szCs w:val="20"/>
        </w:rPr>
        <w:t>IACHR</w:t>
      </w:r>
      <w:r w:rsidR="00294C77" w:rsidRPr="00C54196">
        <w:rPr>
          <w:rFonts w:ascii="Cambria" w:hAnsi="Cambria"/>
          <w:sz w:val="20"/>
          <w:szCs w:val="20"/>
        </w:rPr>
        <w:t xml:space="preserve"> conclu</w:t>
      </w:r>
      <w:r w:rsidR="006B5617" w:rsidRPr="00C54196">
        <w:rPr>
          <w:rFonts w:ascii="Cambria" w:hAnsi="Cambria"/>
          <w:sz w:val="20"/>
          <w:szCs w:val="20"/>
        </w:rPr>
        <w:t>des</w:t>
      </w:r>
      <w:r w:rsidR="00294C77" w:rsidRPr="00C54196">
        <w:rPr>
          <w:rFonts w:ascii="Cambria" w:hAnsi="Cambria"/>
          <w:sz w:val="20"/>
          <w:szCs w:val="20"/>
        </w:rPr>
        <w:t xml:space="preserve"> </w:t>
      </w:r>
      <w:r w:rsidR="006B5617" w:rsidRPr="00C54196">
        <w:rPr>
          <w:rFonts w:ascii="Cambria" w:hAnsi="Cambria"/>
          <w:sz w:val="20"/>
          <w:szCs w:val="20"/>
        </w:rPr>
        <w:t>that</w:t>
      </w:r>
      <w:r w:rsidR="00294C77" w:rsidRPr="00C54196">
        <w:rPr>
          <w:rFonts w:ascii="Cambria" w:hAnsi="Cambria"/>
          <w:sz w:val="20"/>
          <w:szCs w:val="20"/>
        </w:rPr>
        <w:t xml:space="preserve">, </w:t>
      </w:r>
      <w:r w:rsidR="006B5617" w:rsidRPr="00C54196">
        <w:rPr>
          <w:rFonts w:ascii="Cambria" w:hAnsi="Cambria"/>
          <w:sz w:val="20"/>
          <w:szCs w:val="20"/>
        </w:rPr>
        <w:t>regarding the execution of the penal action</w:t>
      </w:r>
      <w:r w:rsidR="00294C77" w:rsidRPr="00C54196">
        <w:rPr>
          <w:rFonts w:ascii="Cambria" w:hAnsi="Cambria"/>
          <w:sz w:val="20"/>
          <w:szCs w:val="20"/>
        </w:rPr>
        <w:t xml:space="preserve">, </w:t>
      </w:r>
      <w:r w:rsidR="006B5617" w:rsidRPr="00C54196">
        <w:rPr>
          <w:rFonts w:ascii="Cambria" w:hAnsi="Cambria"/>
          <w:sz w:val="20"/>
          <w:szCs w:val="20"/>
        </w:rPr>
        <w:t>the exception of exhaustion of domestic remedies proceeds in accordance with</w:t>
      </w:r>
      <w:r w:rsidR="00294C77" w:rsidRPr="00C54196">
        <w:rPr>
          <w:rFonts w:ascii="Cambria" w:hAnsi="Cambria"/>
          <w:sz w:val="20"/>
          <w:szCs w:val="20"/>
        </w:rPr>
        <w:t xml:space="preserve"> </w:t>
      </w:r>
      <w:r w:rsidR="006B5617" w:rsidRPr="00C54196">
        <w:rPr>
          <w:rFonts w:ascii="Cambria" w:hAnsi="Cambria"/>
          <w:sz w:val="20"/>
          <w:szCs w:val="20"/>
        </w:rPr>
        <w:t>what is set forth in articles</w:t>
      </w:r>
      <w:r w:rsidR="00294C77" w:rsidRPr="00C54196">
        <w:rPr>
          <w:rFonts w:ascii="Cambria" w:hAnsi="Cambria"/>
          <w:sz w:val="20"/>
          <w:szCs w:val="20"/>
        </w:rPr>
        <w:t xml:space="preserve"> 46(2)(c) </w:t>
      </w:r>
      <w:r w:rsidR="006B5617" w:rsidRPr="00C54196">
        <w:rPr>
          <w:rFonts w:ascii="Cambria" w:hAnsi="Cambria"/>
          <w:sz w:val="20"/>
          <w:szCs w:val="20"/>
        </w:rPr>
        <w:t>of the American Convention</w:t>
      </w:r>
      <w:r w:rsidR="00294C77" w:rsidRPr="00C54196">
        <w:rPr>
          <w:rFonts w:ascii="Cambria" w:hAnsi="Cambria"/>
          <w:sz w:val="20"/>
          <w:szCs w:val="20"/>
        </w:rPr>
        <w:t>.</w:t>
      </w:r>
    </w:p>
    <w:p w14:paraId="05415C74" w14:textId="15980895" w:rsidR="00F621C3" w:rsidRPr="00C8486A" w:rsidRDefault="00E066AC"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The Commission finally observes that</w:t>
      </w:r>
      <w:r w:rsidR="00294C77" w:rsidRPr="00C54196">
        <w:rPr>
          <w:rFonts w:ascii="Cambria" w:hAnsi="Cambria"/>
          <w:sz w:val="20"/>
          <w:szCs w:val="20"/>
        </w:rPr>
        <w:t xml:space="preserve"> </w:t>
      </w:r>
      <w:r w:rsidRPr="00C54196">
        <w:rPr>
          <w:rFonts w:ascii="Cambria" w:hAnsi="Cambria"/>
          <w:sz w:val="20"/>
          <w:szCs w:val="20"/>
        </w:rPr>
        <w:t>although the facts have taken place since</w:t>
      </w:r>
      <w:r w:rsidR="00294C77" w:rsidRPr="00C54196">
        <w:rPr>
          <w:rFonts w:ascii="Cambria" w:hAnsi="Cambria"/>
          <w:sz w:val="20"/>
          <w:szCs w:val="20"/>
        </w:rPr>
        <w:t xml:space="preserve"> 1993 </w:t>
      </w:r>
      <w:r w:rsidRPr="00C54196">
        <w:rPr>
          <w:rFonts w:ascii="Cambria" w:hAnsi="Cambria"/>
          <w:sz w:val="20"/>
          <w:szCs w:val="20"/>
        </w:rPr>
        <w:t>and the petition was received in</w:t>
      </w:r>
      <w:r w:rsidR="00294C77" w:rsidRPr="00C54196">
        <w:rPr>
          <w:rFonts w:ascii="Cambria" w:hAnsi="Cambria"/>
          <w:sz w:val="20"/>
          <w:szCs w:val="20"/>
        </w:rPr>
        <w:t xml:space="preserve"> 2008, </w:t>
      </w:r>
      <w:r w:rsidRPr="00C54196">
        <w:rPr>
          <w:rFonts w:ascii="Cambria" w:hAnsi="Cambria"/>
          <w:sz w:val="20"/>
          <w:szCs w:val="20"/>
        </w:rPr>
        <w:t>some of its effects</w:t>
      </w:r>
      <w:r w:rsidR="00294C77" w:rsidRPr="00C54196">
        <w:rPr>
          <w:rFonts w:ascii="Cambria" w:hAnsi="Cambria"/>
          <w:sz w:val="20"/>
          <w:szCs w:val="20"/>
        </w:rPr>
        <w:t xml:space="preserve"> </w:t>
      </w:r>
      <w:r w:rsidR="00E51E8D" w:rsidRPr="00C54196">
        <w:rPr>
          <w:rFonts w:ascii="Cambria" w:hAnsi="Cambria"/>
          <w:sz w:val="20"/>
          <w:szCs w:val="20"/>
        </w:rPr>
        <w:t>–such as the lack of access to justice</w:t>
      </w:r>
      <w:r w:rsidR="00294C77" w:rsidRPr="00C54196">
        <w:rPr>
          <w:rFonts w:ascii="Cambria" w:hAnsi="Cambria"/>
          <w:sz w:val="20"/>
          <w:szCs w:val="20"/>
        </w:rPr>
        <w:t xml:space="preserve">, </w:t>
      </w:r>
      <w:r w:rsidR="00E51E8D" w:rsidRPr="00C54196">
        <w:rPr>
          <w:rFonts w:ascii="Cambria" w:hAnsi="Cambria"/>
          <w:sz w:val="20"/>
          <w:szCs w:val="20"/>
        </w:rPr>
        <w:t>the</w:t>
      </w:r>
      <w:r w:rsidR="00294C77" w:rsidRPr="00C54196">
        <w:rPr>
          <w:rFonts w:ascii="Cambria" w:hAnsi="Cambria"/>
          <w:sz w:val="20"/>
          <w:szCs w:val="20"/>
        </w:rPr>
        <w:t xml:space="preserve"> </w:t>
      </w:r>
      <w:r w:rsidR="00E51E8D" w:rsidRPr="00C54196">
        <w:rPr>
          <w:rFonts w:ascii="Cambria" w:hAnsi="Cambria"/>
          <w:sz w:val="20"/>
          <w:szCs w:val="20"/>
        </w:rPr>
        <w:t>individualization</w:t>
      </w:r>
      <w:r w:rsidR="00294C77" w:rsidRPr="00C54196">
        <w:rPr>
          <w:rFonts w:ascii="Cambria" w:hAnsi="Cambria"/>
          <w:sz w:val="20"/>
          <w:szCs w:val="20"/>
        </w:rPr>
        <w:t xml:space="preserve"> </w:t>
      </w:r>
      <w:r w:rsidR="00E51E8D" w:rsidRPr="00C54196">
        <w:rPr>
          <w:rFonts w:ascii="Cambria" w:hAnsi="Cambria"/>
          <w:sz w:val="20"/>
          <w:szCs w:val="20"/>
        </w:rPr>
        <w:t>of those responsible and the lack of indemnity</w:t>
      </w:r>
      <w:r w:rsidR="00294C77" w:rsidRPr="00C54196">
        <w:rPr>
          <w:rFonts w:ascii="Cambria" w:hAnsi="Cambria"/>
          <w:sz w:val="20"/>
          <w:szCs w:val="20"/>
        </w:rPr>
        <w:t xml:space="preserve"> </w:t>
      </w:r>
      <w:r w:rsidR="00E51E8D" w:rsidRPr="00C54196">
        <w:rPr>
          <w:rFonts w:ascii="Cambria" w:hAnsi="Cambria"/>
          <w:sz w:val="20"/>
          <w:szCs w:val="20"/>
        </w:rPr>
        <w:t>to the alleged victims—would persist until today</w:t>
      </w:r>
      <w:r w:rsidR="00294C77" w:rsidRPr="00C54196">
        <w:rPr>
          <w:rFonts w:ascii="Cambria" w:hAnsi="Cambria"/>
          <w:sz w:val="20"/>
          <w:szCs w:val="20"/>
        </w:rPr>
        <w:t xml:space="preserve">. </w:t>
      </w:r>
      <w:r w:rsidR="00E51E8D" w:rsidRPr="00C54196">
        <w:rPr>
          <w:rFonts w:ascii="Cambria" w:hAnsi="Cambria"/>
          <w:sz w:val="20"/>
          <w:szCs w:val="20"/>
        </w:rPr>
        <w:t>Considering the context and the characteristics of the facts analyzed</w:t>
      </w:r>
      <w:r w:rsidR="00294C77" w:rsidRPr="00C54196">
        <w:rPr>
          <w:rFonts w:ascii="Cambria" w:hAnsi="Cambria"/>
          <w:sz w:val="20"/>
          <w:szCs w:val="20"/>
        </w:rPr>
        <w:t xml:space="preserve"> </w:t>
      </w:r>
      <w:r w:rsidR="00E51E8D" w:rsidRPr="00C54196">
        <w:rPr>
          <w:rFonts w:ascii="Cambria" w:hAnsi="Cambria"/>
          <w:sz w:val="20"/>
          <w:szCs w:val="20"/>
        </w:rPr>
        <w:t>in the present report</w:t>
      </w:r>
      <w:r w:rsidR="00294C77" w:rsidRPr="00C54196">
        <w:rPr>
          <w:rFonts w:ascii="Cambria" w:hAnsi="Cambria"/>
          <w:sz w:val="20"/>
          <w:szCs w:val="20"/>
        </w:rPr>
        <w:t xml:space="preserve">, </w:t>
      </w:r>
      <w:r w:rsidR="00E51E8D" w:rsidRPr="00C54196">
        <w:rPr>
          <w:rFonts w:ascii="Cambria" w:hAnsi="Cambria"/>
          <w:sz w:val="20"/>
          <w:szCs w:val="20"/>
        </w:rPr>
        <w:t>the</w:t>
      </w:r>
      <w:r w:rsidR="00294C77" w:rsidRPr="00C54196">
        <w:rPr>
          <w:rFonts w:ascii="Cambria" w:hAnsi="Cambria"/>
          <w:sz w:val="20"/>
          <w:szCs w:val="20"/>
        </w:rPr>
        <w:t xml:space="preserve"> </w:t>
      </w:r>
      <w:r w:rsidR="00E51E8D" w:rsidRPr="00C54196">
        <w:rPr>
          <w:rFonts w:ascii="Cambria" w:hAnsi="Cambria"/>
          <w:sz w:val="20"/>
          <w:szCs w:val="20"/>
        </w:rPr>
        <w:t>Commission</w:t>
      </w:r>
      <w:r w:rsidR="00294C77" w:rsidRPr="00C54196">
        <w:rPr>
          <w:rFonts w:ascii="Cambria" w:hAnsi="Cambria"/>
          <w:sz w:val="20"/>
          <w:szCs w:val="20"/>
        </w:rPr>
        <w:t xml:space="preserve"> </w:t>
      </w:r>
      <w:r w:rsidR="00E51E8D" w:rsidRPr="00C54196">
        <w:rPr>
          <w:rFonts w:ascii="Cambria" w:hAnsi="Cambria"/>
          <w:sz w:val="20"/>
          <w:szCs w:val="20"/>
        </w:rPr>
        <w:t>regards the</w:t>
      </w:r>
      <w:r w:rsidR="00294C77" w:rsidRPr="00C54196">
        <w:rPr>
          <w:rFonts w:ascii="Cambria" w:hAnsi="Cambria"/>
          <w:sz w:val="20"/>
          <w:szCs w:val="20"/>
        </w:rPr>
        <w:t xml:space="preserve"> </w:t>
      </w:r>
      <w:r w:rsidR="00E51E8D" w:rsidRPr="00C54196">
        <w:rPr>
          <w:rFonts w:ascii="Cambria" w:hAnsi="Cambria"/>
          <w:sz w:val="20"/>
          <w:szCs w:val="20"/>
        </w:rPr>
        <w:t>petition</w:t>
      </w:r>
      <w:r w:rsidR="00294C77" w:rsidRPr="00C54196">
        <w:rPr>
          <w:rFonts w:ascii="Cambria" w:hAnsi="Cambria"/>
          <w:sz w:val="20"/>
          <w:szCs w:val="20"/>
        </w:rPr>
        <w:t xml:space="preserve"> </w:t>
      </w:r>
      <w:r w:rsidR="00E51E8D" w:rsidRPr="00C54196">
        <w:rPr>
          <w:rFonts w:ascii="Cambria" w:hAnsi="Cambria"/>
          <w:sz w:val="20"/>
          <w:szCs w:val="20"/>
        </w:rPr>
        <w:t>was presented within a reasonable timeframe</w:t>
      </w:r>
      <w:r w:rsidR="00294C77" w:rsidRPr="00C54196">
        <w:rPr>
          <w:rFonts w:ascii="Cambria" w:hAnsi="Cambria"/>
          <w:sz w:val="20"/>
          <w:szCs w:val="20"/>
        </w:rPr>
        <w:t xml:space="preserve"> </w:t>
      </w:r>
      <w:r w:rsidR="00E51E8D" w:rsidRPr="00C54196">
        <w:rPr>
          <w:rFonts w:ascii="Cambria" w:hAnsi="Cambria"/>
          <w:sz w:val="20"/>
          <w:szCs w:val="20"/>
        </w:rPr>
        <w:t>and that the requirement regarding deadline for submittal should be considered met</w:t>
      </w:r>
      <w:r w:rsidR="00294C77" w:rsidRPr="00C54196">
        <w:rPr>
          <w:rFonts w:ascii="Cambria" w:hAnsi="Cambria"/>
          <w:sz w:val="20"/>
          <w:szCs w:val="20"/>
        </w:rPr>
        <w:t>.</w:t>
      </w:r>
    </w:p>
    <w:p w14:paraId="1CC3D439" w14:textId="77777777" w:rsidR="00C21464" w:rsidRDefault="00C21464">
      <w:pPr>
        <w:rPr>
          <w:rFonts w:asciiTheme="majorHAnsi" w:eastAsia="Cambria" w:hAnsiTheme="majorHAnsi" w:cs="Cambria"/>
          <w:b/>
          <w:bCs/>
          <w:color w:val="000000"/>
          <w:sz w:val="20"/>
          <w:szCs w:val="20"/>
          <w:u w:color="000000"/>
          <w:lang w:eastAsia="es-ES"/>
        </w:rPr>
      </w:pPr>
      <w:r>
        <w:rPr>
          <w:rFonts w:asciiTheme="majorHAnsi" w:hAnsiTheme="majorHAnsi"/>
          <w:b/>
          <w:bCs/>
          <w:sz w:val="20"/>
          <w:szCs w:val="20"/>
        </w:rPr>
        <w:br w:type="page"/>
      </w:r>
    </w:p>
    <w:p w14:paraId="378478A0" w14:textId="24A6597D" w:rsidR="00F621C3" w:rsidRPr="00C54196" w:rsidRDefault="00F621C3" w:rsidP="00F621C3">
      <w:pPr>
        <w:pStyle w:val="ListParagraph"/>
        <w:spacing w:before="240" w:after="240"/>
        <w:jc w:val="both"/>
        <w:rPr>
          <w:rFonts w:asciiTheme="majorHAnsi" w:hAnsiTheme="majorHAnsi"/>
          <w:b/>
          <w:sz w:val="20"/>
          <w:szCs w:val="20"/>
        </w:rPr>
      </w:pPr>
      <w:r w:rsidRPr="00C54196">
        <w:rPr>
          <w:rFonts w:asciiTheme="majorHAnsi" w:hAnsiTheme="majorHAnsi"/>
          <w:b/>
          <w:bCs/>
          <w:sz w:val="20"/>
          <w:szCs w:val="20"/>
        </w:rPr>
        <w:lastRenderedPageBreak/>
        <w:t>VII.</w:t>
      </w:r>
      <w:r w:rsidRPr="00C54196">
        <w:rPr>
          <w:rFonts w:asciiTheme="majorHAnsi" w:hAnsiTheme="majorHAnsi"/>
          <w:b/>
          <w:bCs/>
          <w:sz w:val="20"/>
          <w:szCs w:val="20"/>
        </w:rPr>
        <w:tab/>
      </w:r>
      <w:r w:rsidR="001F1902" w:rsidRPr="00C54196">
        <w:rPr>
          <w:rFonts w:asciiTheme="majorHAnsi" w:hAnsiTheme="majorHAnsi"/>
          <w:b/>
          <w:bCs/>
          <w:sz w:val="20"/>
          <w:szCs w:val="20"/>
        </w:rPr>
        <w:t xml:space="preserve">ANALYSIS OF </w:t>
      </w:r>
      <w:r w:rsidRPr="00C54196">
        <w:rPr>
          <w:rFonts w:asciiTheme="majorHAnsi" w:hAnsiTheme="majorHAnsi"/>
          <w:b/>
          <w:bCs/>
          <w:sz w:val="20"/>
          <w:szCs w:val="20"/>
        </w:rPr>
        <w:t>COLORABLE CLAIM</w:t>
      </w:r>
    </w:p>
    <w:p w14:paraId="2B6E21A4" w14:textId="47169EEB" w:rsidR="00C54196" w:rsidRPr="00C54196" w:rsidRDefault="00C54196"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 xml:space="preserve">The present petition includes </w:t>
      </w:r>
      <w:r>
        <w:rPr>
          <w:rFonts w:ascii="Cambria" w:hAnsi="Cambria"/>
          <w:sz w:val="20"/>
          <w:szCs w:val="20"/>
        </w:rPr>
        <w:t>claims regarding lack of</w:t>
      </w:r>
      <w:r w:rsidRPr="00C54196">
        <w:rPr>
          <w:rFonts w:ascii="Cambria" w:hAnsi="Cambria"/>
          <w:sz w:val="20"/>
          <w:szCs w:val="20"/>
        </w:rPr>
        <w:t xml:space="preserve"> investigation </w:t>
      </w:r>
      <w:r>
        <w:rPr>
          <w:rFonts w:ascii="Cambria" w:hAnsi="Cambria"/>
          <w:sz w:val="20"/>
          <w:szCs w:val="20"/>
        </w:rPr>
        <w:t>and due</w:t>
      </w:r>
      <w:r w:rsidRPr="00C54196">
        <w:rPr>
          <w:rFonts w:ascii="Cambria" w:hAnsi="Cambria"/>
          <w:sz w:val="20"/>
          <w:szCs w:val="20"/>
        </w:rPr>
        <w:t xml:space="preserve"> judicial protection </w:t>
      </w:r>
      <w:r>
        <w:rPr>
          <w:rFonts w:ascii="Cambria" w:hAnsi="Cambria"/>
          <w:sz w:val="20"/>
          <w:szCs w:val="20"/>
        </w:rPr>
        <w:t>from the State</w:t>
      </w:r>
      <w:r w:rsidRPr="00C54196">
        <w:rPr>
          <w:rFonts w:ascii="Cambria" w:hAnsi="Cambria"/>
          <w:sz w:val="20"/>
          <w:szCs w:val="20"/>
        </w:rPr>
        <w:t xml:space="preserve"> </w:t>
      </w:r>
      <w:r>
        <w:rPr>
          <w:rFonts w:ascii="Cambria" w:hAnsi="Cambria"/>
          <w:sz w:val="20"/>
          <w:szCs w:val="20"/>
        </w:rPr>
        <w:t>regarding the people who were under its custody</w:t>
      </w:r>
      <w:r w:rsidRPr="00C54196">
        <w:rPr>
          <w:rFonts w:ascii="Cambria" w:hAnsi="Cambria"/>
          <w:sz w:val="20"/>
          <w:szCs w:val="20"/>
        </w:rPr>
        <w:t xml:space="preserve"> </w:t>
      </w:r>
      <w:r>
        <w:rPr>
          <w:rFonts w:ascii="Cambria" w:hAnsi="Cambria"/>
          <w:sz w:val="20"/>
          <w:szCs w:val="20"/>
        </w:rPr>
        <w:t>and were kidnapped</w:t>
      </w:r>
      <w:r w:rsidRPr="00C54196">
        <w:rPr>
          <w:rFonts w:ascii="Cambria" w:hAnsi="Cambria"/>
          <w:sz w:val="20"/>
          <w:szCs w:val="20"/>
        </w:rPr>
        <w:t xml:space="preserve"> </w:t>
      </w:r>
      <w:r>
        <w:rPr>
          <w:rFonts w:ascii="Cambria" w:hAnsi="Cambria"/>
          <w:sz w:val="20"/>
          <w:szCs w:val="20"/>
        </w:rPr>
        <w:t>and</w:t>
      </w:r>
      <w:r w:rsidRPr="00C54196">
        <w:rPr>
          <w:rFonts w:ascii="Cambria" w:hAnsi="Cambria"/>
          <w:sz w:val="20"/>
          <w:szCs w:val="20"/>
        </w:rPr>
        <w:t xml:space="preserve"> </w:t>
      </w:r>
      <w:r>
        <w:rPr>
          <w:rFonts w:ascii="Cambria" w:hAnsi="Cambria"/>
          <w:sz w:val="20"/>
          <w:szCs w:val="20"/>
        </w:rPr>
        <w:t>murdered</w:t>
      </w:r>
      <w:r w:rsidRPr="00C54196">
        <w:rPr>
          <w:rFonts w:ascii="Cambria" w:hAnsi="Cambria"/>
          <w:sz w:val="20"/>
          <w:szCs w:val="20"/>
        </w:rPr>
        <w:t xml:space="preserve"> </w:t>
      </w:r>
      <w:r>
        <w:rPr>
          <w:rFonts w:ascii="Cambria" w:hAnsi="Cambria"/>
          <w:sz w:val="20"/>
          <w:szCs w:val="20"/>
        </w:rPr>
        <w:t xml:space="preserve">by a </w:t>
      </w:r>
      <w:r w:rsidR="000D78D9">
        <w:rPr>
          <w:rFonts w:ascii="Cambria" w:hAnsi="Cambria"/>
          <w:sz w:val="20"/>
          <w:szCs w:val="20"/>
        </w:rPr>
        <w:t>g</w:t>
      </w:r>
      <w:r>
        <w:rPr>
          <w:rFonts w:ascii="Cambria" w:hAnsi="Cambria"/>
          <w:sz w:val="20"/>
          <w:szCs w:val="20"/>
        </w:rPr>
        <w:t xml:space="preserve">roup of men who broke </w:t>
      </w:r>
      <w:r w:rsidR="000D78D9">
        <w:rPr>
          <w:rFonts w:ascii="Cambria" w:hAnsi="Cambria"/>
          <w:sz w:val="20"/>
          <w:szCs w:val="20"/>
        </w:rPr>
        <w:t>violently into the</w:t>
      </w:r>
      <w:r w:rsidRPr="00C54196">
        <w:rPr>
          <w:rFonts w:ascii="Cambria" w:hAnsi="Cambria"/>
          <w:sz w:val="20"/>
          <w:szCs w:val="20"/>
        </w:rPr>
        <w:t xml:space="preserve"> </w:t>
      </w:r>
      <w:r w:rsidR="000D78D9">
        <w:rPr>
          <w:rFonts w:ascii="Cambria" w:hAnsi="Cambria"/>
          <w:sz w:val="20"/>
          <w:szCs w:val="20"/>
        </w:rPr>
        <w:t>Municipal Prison of</w:t>
      </w:r>
      <w:r w:rsidRPr="00C54196">
        <w:rPr>
          <w:rFonts w:ascii="Cambria" w:hAnsi="Cambria"/>
          <w:sz w:val="20"/>
          <w:szCs w:val="20"/>
        </w:rPr>
        <w:t xml:space="preserve"> Granada. </w:t>
      </w:r>
      <w:r w:rsidR="000D78D9">
        <w:rPr>
          <w:rFonts w:ascii="Cambria" w:hAnsi="Cambria"/>
          <w:sz w:val="20"/>
          <w:szCs w:val="20"/>
        </w:rPr>
        <w:t>Likewise</w:t>
      </w:r>
      <w:r w:rsidRPr="00C54196">
        <w:rPr>
          <w:rFonts w:ascii="Cambria" w:hAnsi="Cambria"/>
          <w:sz w:val="20"/>
          <w:szCs w:val="20"/>
        </w:rPr>
        <w:t xml:space="preserve">, </w:t>
      </w:r>
      <w:r w:rsidR="000D4E8C">
        <w:rPr>
          <w:rFonts w:ascii="Cambria" w:hAnsi="Cambria"/>
          <w:sz w:val="20"/>
          <w:szCs w:val="20"/>
        </w:rPr>
        <w:t>the alleged victim argues that the principle of matter being judged was breached</w:t>
      </w:r>
      <w:r w:rsidRPr="00C54196">
        <w:rPr>
          <w:rFonts w:ascii="Cambria" w:hAnsi="Cambria"/>
          <w:sz w:val="20"/>
          <w:szCs w:val="20"/>
        </w:rPr>
        <w:t xml:space="preserve"> </w:t>
      </w:r>
      <w:r w:rsidR="000D4E8C">
        <w:rPr>
          <w:rFonts w:ascii="Cambria" w:hAnsi="Cambria"/>
          <w:sz w:val="20"/>
          <w:szCs w:val="20"/>
        </w:rPr>
        <w:t>due to the revoking of the first instance sentence</w:t>
      </w:r>
      <w:r w:rsidRPr="00C54196">
        <w:rPr>
          <w:rFonts w:ascii="Cambria" w:hAnsi="Cambria"/>
          <w:sz w:val="20"/>
          <w:szCs w:val="20"/>
        </w:rPr>
        <w:t xml:space="preserve"> </w:t>
      </w:r>
      <w:r w:rsidR="000D4E8C">
        <w:rPr>
          <w:rFonts w:ascii="Cambria" w:hAnsi="Cambria"/>
          <w:sz w:val="20"/>
          <w:szCs w:val="20"/>
        </w:rPr>
        <w:t>by the</w:t>
      </w:r>
      <w:r w:rsidRPr="00C54196">
        <w:rPr>
          <w:rFonts w:ascii="Cambria" w:hAnsi="Cambria"/>
          <w:sz w:val="20"/>
          <w:szCs w:val="20"/>
        </w:rPr>
        <w:t xml:space="preserve"> Tribunal de lo </w:t>
      </w:r>
      <w:r w:rsidR="000D4E8C" w:rsidRPr="00C54196">
        <w:rPr>
          <w:rFonts w:ascii="Cambria" w:hAnsi="Cambria"/>
          <w:sz w:val="20"/>
          <w:szCs w:val="20"/>
        </w:rPr>
        <w:t>Conte</w:t>
      </w:r>
      <w:r w:rsidR="009A1C7C">
        <w:rPr>
          <w:rFonts w:ascii="Cambria" w:hAnsi="Cambria"/>
          <w:sz w:val="20"/>
          <w:szCs w:val="20"/>
        </w:rPr>
        <w:t>n</w:t>
      </w:r>
      <w:r w:rsidR="000D4E8C" w:rsidRPr="00C54196">
        <w:rPr>
          <w:rFonts w:ascii="Cambria" w:hAnsi="Cambria"/>
          <w:sz w:val="20"/>
          <w:szCs w:val="20"/>
        </w:rPr>
        <w:t>tious Administrative Court</w:t>
      </w:r>
      <w:r w:rsidRPr="00C54196">
        <w:rPr>
          <w:rFonts w:ascii="Cambria" w:hAnsi="Cambria"/>
          <w:sz w:val="20"/>
          <w:szCs w:val="20"/>
        </w:rPr>
        <w:t xml:space="preserve"> </w:t>
      </w:r>
      <w:r w:rsidR="000D4E8C">
        <w:rPr>
          <w:rFonts w:ascii="Cambria" w:hAnsi="Cambria"/>
          <w:sz w:val="20"/>
          <w:szCs w:val="20"/>
        </w:rPr>
        <w:t>of</w:t>
      </w:r>
      <w:r w:rsidRPr="00C54196">
        <w:rPr>
          <w:rFonts w:ascii="Cambria" w:hAnsi="Cambria"/>
          <w:sz w:val="20"/>
          <w:szCs w:val="20"/>
        </w:rPr>
        <w:t xml:space="preserve"> Antioquia </w:t>
      </w:r>
      <w:r w:rsidR="000D4E8C">
        <w:rPr>
          <w:rFonts w:ascii="Cambria" w:hAnsi="Cambria"/>
          <w:sz w:val="20"/>
          <w:szCs w:val="20"/>
        </w:rPr>
        <w:t>as a consequence of the resolution issued by the</w:t>
      </w:r>
      <w:r w:rsidRPr="00C54196">
        <w:rPr>
          <w:rFonts w:ascii="Cambria" w:hAnsi="Cambria"/>
          <w:sz w:val="20"/>
          <w:szCs w:val="20"/>
        </w:rPr>
        <w:t xml:space="preserve"> </w:t>
      </w:r>
      <w:r w:rsidR="000D4E8C">
        <w:rPr>
          <w:rFonts w:ascii="Cambria" w:hAnsi="Cambria"/>
          <w:sz w:val="20"/>
          <w:szCs w:val="20"/>
        </w:rPr>
        <w:t>State Council which determined a passive lack of legitimation</w:t>
      </w:r>
      <w:r w:rsidRPr="00C54196">
        <w:rPr>
          <w:rFonts w:ascii="Cambria" w:hAnsi="Cambria"/>
          <w:sz w:val="20"/>
          <w:szCs w:val="20"/>
        </w:rPr>
        <w:t xml:space="preserve">. </w:t>
      </w:r>
      <w:r w:rsidR="000D4E8C">
        <w:rPr>
          <w:rFonts w:ascii="Cambria" w:hAnsi="Cambria"/>
          <w:sz w:val="20"/>
          <w:szCs w:val="20"/>
        </w:rPr>
        <w:t>The State argues that the</w:t>
      </w:r>
      <w:r w:rsidRPr="00C54196">
        <w:rPr>
          <w:rFonts w:ascii="Cambria" w:hAnsi="Cambria"/>
          <w:sz w:val="20"/>
          <w:szCs w:val="20"/>
        </w:rPr>
        <w:t xml:space="preserve"> </w:t>
      </w:r>
      <w:r w:rsidR="000D4E8C" w:rsidRPr="00C54196">
        <w:rPr>
          <w:rFonts w:ascii="Cambria" w:hAnsi="Cambria"/>
          <w:sz w:val="20"/>
          <w:szCs w:val="20"/>
        </w:rPr>
        <w:t>Commission</w:t>
      </w:r>
      <w:r w:rsidRPr="00C54196">
        <w:rPr>
          <w:rFonts w:ascii="Cambria" w:hAnsi="Cambria"/>
          <w:sz w:val="20"/>
          <w:szCs w:val="20"/>
        </w:rPr>
        <w:t xml:space="preserve"> </w:t>
      </w:r>
      <w:r w:rsidR="000D4E8C">
        <w:rPr>
          <w:rFonts w:ascii="Cambria" w:hAnsi="Cambria"/>
          <w:sz w:val="20"/>
          <w:szCs w:val="20"/>
        </w:rPr>
        <w:t>lacks</w:t>
      </w:r>
      <w:r w:rsidRPr="00C54196">
        <w:rPr>
          <w:rFonts w:ascii="Cambria" w:hAnsi="Cambria"/>
          <w:sz w:val="20"/>
          <w:szCs w:val="20"/>
        </w:rPr>
        <w:t xml:space="preserve"> competenc</w:t>
      </w:r>
      <w:r w:rsidR="000D4E8C">
        <w:rPr>
          <w:rFonts w:ascii="Cambria" w:hAnsi="Cambria"/>
          <w:sz w:val="20"/>
          <w:szCs w:val="20"/>
        </w:rPr>
        <w:t>e</w:t>
      </w:r>
      <w:r w:rsidRPr="00C54196">
        <w:rPr>
          <w:rFonts w:ascii="Cambria" w:hAnsi="Cambria"/>
          <w:sz w:val="20"/>
          <w:szCs w:val="20"/>
        </w:rPr>
        <w:t xml:space="preserve"> </w:t>
      </w:r>
      <w:r w:rsidR="000D4E8C">
        <w:rPr>
          <w:rFonts w:ascii="Cambria" w:hAnsi="Cambria"/>
          <w:sz w:val="20"/>
          <w:szCs w:val="20"/>
        </w:rPr>
        <w:t>to revise rendered resolutions on the present mater by national tribunals</w:t>
      </w:r>
      <w:r w:rsidRPr="00C54196">
        <w:rPr>
          <w:rFonts w:ascii="Cambria" w:hAnsi="Cambria"/>
          <w:sz w:val="20"/>
          <w:szCs w:val="20"/>
        </w:rPr>
        <w:t xml:space="preserve">, </w:t>
      </w:r>
      <w:r w:rsidR="000D4E8C">
        <w:rPr>
          <w:rFonts w:ascii="Cambria" w:hAnsi="Cambria"/>
          <w:sz w:val="20"/>
          <w:szCs w:val="20"/>
        </w:rPr>
        <w:t>since it would be acting as a higher court</w:t>
      </w:r>
      <w:r w:rsidRPr="00C54196">
        <w:rPr>
          <w:rFonts w:ascii="Cambria" w:hAnsi="Cambria"/>
          <w:sz w:val="20"/>
          <w:szCs w:val="20"/>
        </w:rPr>
        <w:t xml:space="preserve">. </w:t>
      </w:r>
      <w:r w:rsidR="000D4E8C">
        <w:rPr>
          <w:rFonts w:ascii="Cambria" w:hAnsi="Cambria"/>
          <w:sz w:val="20"/>
          <w:szCs w:val="20"/>
        </w:rPr>
        <w:t>Also</w:t>
      </w:r>
      <w:r w:rsidRPr="00C54196">
        <w:rPr>
          <w:rFonts w:ascii="Cambria" w:hAnsi="Cambria"/>
          <w:sz w:val="20"/>
          <w:szCs w:val="20"/>
        </w:rPr>
        <w:t xml:space="preserve">, </w:t>
      </w:r>
      <w:r w:rsidR="000D4E8C">
        <w:rPr>
          <w:rFonts w:ascii="Cambria" w:hAnsi="Cambria"/>
          <w:sz w:val="20"/>
          <w:szCs w:val="20"/>
        </w:rPr>
        <w:t>the State</w:t>
      </w:r>
      <w:r w:rsidRPr="00C54196">
        <w:rPr>
          <w:rFonts w:ascii="Cambria" w:hAnsi="Cambria"/>
          <w:sz w:val="20"/>
          <w:szCs w:val="20"/>
        </w:rPr>
        <w:t xml:space="preserve"> </w:t>
      </w:r>
      <w:r w:rsidR="000D4E8C">
        <w:rPr>
          <w:rFonts w:ascii="Cambria" w:hAnsi="Cambria"/>
          <w:sz w:val="20"/>
          <w:szCs w:val="20"/>
        </w:rPr>
        <w:t>sustains it is not possible to</w:t>
      </w:r>
      <w:r w:rsidRPr="00C54196">
        <w:rPr>
          <w:rFonts w:ascii="Cambria" w:hAnsi="Cambria"/>
          <w:sz w:val="20"/>
          <w:szCs w:val="20"/>
        </w:rPr>
        <w:t xml:space="preserve"> </w:t>
      </w:r>
      <w:r w:rsidR="000D4E8C">
        <w:rPr>
          <w:rFonts w:ascii="Cambria" w:hAnsi="Cambria"/>
          <w:sz w:val="20"/>
          <w:szCs w:val="20"/>
        </w:rPr>
        <w:t>take blame for the fact that the alleged victim</w:t>
      </w:r>
      <w:r w:rsidRPr="00C54196">
        <w:rPr>
          <w:rFonts w:ascii="Cambria" w:hAnsi="Cambria"/>
          <w:sz w:val="20"/>
          <w:szCs w:val="20"/>
        </w:rPr>
        <w:t xml:space="preserve"> </w:t>
      </w:r>
      <w:r w:rsidR="000D4E8C">
        <w:rPr>
          <w:rFonts w:ascii="Cambria" w:hAnsi="Cambria"/>
          <w:sz w:val="20"/>
          <w:szCs w:val="20"/>
        </w:rPr>
        <w:t>did not include the directly responsible entity in the suit</w:t>
      </w:r>
      <w:r w:rsidRPr="00C54196">
        <w:rPr>
          <w:rFonts w:ascii="Cambria" w:hAnsi="Cambria"/>
          <w:sz w:val="20"/>
          <w:szCs w:val="20"/>
        </w:rPr>
        <w:t>.</w:t>
      </w:r>
    </w:p>
    <w:p w14:paraId="1981B1E8" w14:textId="49DB7BEE" w:rsidR="00C54196" w:rsidRPr="00C54196" w:rsidRDefault="000D4E8C"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Firstly</w:t>
      </w:r>
      <w:r w:rsidR="00C54196" w:rsidRPr="00C54196">
        <w:rPr>
          <w:rFonts w:ascii="Cambria" w:hAnsi="Cambria"/>
          <w:sz w:val="20"/>
          <w:szCs w:val="20"/>
        </w:rPr>
        <w:t xml:space="preserve">, </w:t>
      </w:r>
      <w:r w:rsidR="00B577E1">
        <w:rPr>
          <w:rFonts w:ascii="Cambria" w:hAnsi="Cambria"/>
          <w:sz w:val="20"/>
          <w:szCs w:val="20"/>
        </w:rPr>
        <w:t>regarding the State’s duty to protect</w:t>
      </w:r>
      <w:r w:rsidR="00C54196" w:rsidRPr="00C54196">
        <w:rPr>
          <w:rFonts w:ascii="Cambria" w:hAnsi="Cambria"/>
          <w:sz w:val="20"/>
          <w:szCs w:val="20"/>
        </w:rPr>
        <w:t xml:space="preserve"> </w:t>
      </w:r>
      <w:r w:rsidR="00B577E1">
        <w:rPr>
          <w:rFonts w:ascii="Cambria" w:hAnsi="Cambria"/>
          <w:sz w:val="20"/>
          <w:szCs w:val="20"/>
        </w:rPr>
        <w:t>in the case of persons deprived from liberty</w:t>
      </w:r>
      <w:r w:rsidR="00C54196" w:rsidRPr="00C54196">
        <w:rPr>
          <w:rFonts w:ascii="Cambria" w:hAnsi="Cambria"/>
          <w:sz w:val="20"/>
          <w:szCs w:val="20"/>
        </w:rPr>
        <w:t xml:space="preserve">, </w:t>
      </w:r>
      <w:r w:rsidR="00B577E1">
        <w:rPr>
          <w:rFonts w:ascii="Cambria" w:hAnsi="Cambria"/>
          <w:sz w:val="20"/>
          <w:szCs w:val="20"/>
        </w:rPr>
        <w:t>the</w:t>
      </w:r>
      <w:r w:rsidR="00C54196" w:rsidRPr="00C54196">
        <w:rPr>
          <w:rFonts w:ascii="Cambria" w:hAnsi="Cambria"/>
          <w:sz w:val="20"/>
          <w:szCs w:val="20"/>
        </w:rPr>
        <w:t xml:space="preserve"> </w:t>
      </w:r>
      <w:r w:rsidR="00B577E1" w:rsidRPr="00C54196">
        <w:rPr>
          <w:rFonts w:ascii="Cambria" w:hAnsi="Cambria"/>
          <w:sz w:val="20"/>
          <w:szCs w:val="20"/>
        </w:rPr>
        <w:t>Commission</w:t>
      </w:r>
      <w:r w:rsidR="00C54196" w:rsidRPr="00C54196">
        <w:rPr>
          <w:rFonts w:ascii="Cambria" w:hAnsi="Cambria"/>
          <w:sz w:val="20"/>
          <w:szCs w:val="20"/>
        </w:rPr>
        <w:t xml:space="preserve"> ha</w:t>
      </w:r>
      <w:r w:rsidR="00B577E1">
        <w:rPr>
          <w:rFonts w:ascii="Cambria" w:hAnsi="Cambria"/>
          <w:sz w:val="20"/>
          <w:szCs w:val="20"/>
        </w:rPr>
        <w:t>s</w:t>
      </w:r>
      <w:r w:rsidR="00C54196" w:rsidRPr="00C54196">
        <w:rPr>
          <w:rFonts w:ascii="Cambria" w:hAnsi="Cambria"/>
          <w:sz w:val="20"/>
          <w:szCs w:val="20"/>
        </w:rPr>
        <w:t xml:space="preserve"> establ</w:t>
      </w:r>
      <w:r w:rsidR="00B577E1">
        <w:rPr>
          <w:rFonts w:ascii="Cambria" w:hAnsi="Cambria"/>
          <w:sz w:val="20"/>
          <w:szCs w:val="20"/>
        </w:rPr>
        <w:t>ished</w:t>
      </w:r>
      <w:r w:rsidR="00C54196" w:rsidRPr="00C54196">
        <w:rPr>
          <w:rFonts w:ascii="Cambria" w:hAnsi="Cambria"/>
          <w:sz w:val="20"/>
          <w:szCs w:val="20"/>
        </w:rPr>
        <w:t xml:space="preserve"> </w:t>
      </w:r>
      <w:r w:rsidR="00B577E1">
        <w:rPr>
          <w:rFonts w:ascii="Cambria" w:hAnsi="Cambria"/>
          <w:sz w:val="20"/>
          <w:szCs w:val="20"/>
        </w:rPr>
        <w:t>that the position of</w:t>
      </w:r>
      <w:r w:rsidR="00C54196" w:rsidRPr="00C54196">
        <w:rPr>
          <w:rFonts w:ascii="Cambria" w:hAnsi="Cambria"/>
          <w:sz w:val="20"/>
          <w:szCs w:val="20"/>
        </w:rPr>
        <w:t xml:space="preserve"> </w:t>
      </w:r>
      <w:r w:rsidR="00B577E1">
        <w:rPr>
          <w:rFonts w:ascii="Cambria" w:hAnsi="Cambria"/>
          <w:sz w:val="20"/>
          <w:szCs w:val="20"/>
        </w:rPr>
        <w:t>guarantor toward</w:t>
      </w:r>
      <w:r w:rsidR="00C54196" w:rsidRPr="00C54196">
        <w:rPr>
          <w:rFonts w:ascii="Cambria" w:hAnsi="Cambria"/>
          <w:sz w:val="20"/>
          <w:szCs w:val="20"/>
        </w:rPr>
        <w:t xml:space="preserve"> </w:t>
      </w:r>
      <w:r w:rsidR="00B577E1">
        <w:rPr>
          <w:rFonts w:ascii="Cambria" w:hAnsi="Cambria"/>
          <w:sz w:val="20"/>
          <w:szCs w:val="20"/>
        </w:rPr>
        <w:t>such groups regarded as vulnerable corresponds to the State</w:t>
      </w:r>
      <w:r w:rsidR="00C54196" w:rsidRPr="00C54196">
        <w:rPr>
          <w:rFonts w:ascii="Cambria" w:hAnsi="Cambria"/>
          <w:sz w:val="20"/>
          <w:szCs w:val="20"/>
        </w:rPr>
        <w:t xml:space="preserve">, </w:t>
      </w:r>
      <w:r w:rsidR="00B577E1">
        <w:rPr>
          <w:rFonts w:ascii="Cambria" w:hAnsi="Cambria"/>
          <w:sz w:val="20"/>
          <w:szCs w:val="20"/>
        </w:rPr>
        <w:t>and therefore the latter is who must prevent</w:t>
      </w:r>
      <w:r w:rsidR="00C54196" w:rsidRPr="00C54196">
        <w:rPr>
          <w:rFonts w:ascii="Cambria" w:hAnsi="Cambria"/>
          <w:sz w:val="20"/>
          <w:szCs w:val="20"/>
        </w:rPr>
        <w:t xml:space="preserve"> </w:t>
      </w:r>
      <w:r w:rsidR="00B577E1">
        <w:rPr>
          <w:rFonts w:ascii="Cambria" w:hAnsi="Cambria"/>
          <w:sz w:val="20"/>
          <w:szCs w:val="20"/>
        </w:rPr>
        <w:t>all acts which could result in breach of the right to life</w:t>
      </w:r>
      <w:r w:rsidR="00C54196" w:rsidRPr="00C54196">
        <w:rPr>
          <w:rFonts w:ascii="Cambria" w:hAnsi="Cambria"/>
          <w:sz w:val="20"/>
          <w:szCs w:val="20"/>
        </w:rPr>
        <w:t xml:space="preserve"> </w:t>
      </w:r>
      <w:r w:rsidR="00B577E1">
        <w:rPr>
          <w:rFonts w:ascii="Cambria" w:hAnsi="Cambria"/>
          <w:sz w:val="20"/>
          <w:szCs w:val="20"/>
        </w:rPr>
        <w:t>of people deprived from liberty</w:t>
      </w:r>
      <w:r w:rsidR="00C54196" w:rsidRPr="00C54196">
        <w:rPr>
          <w:rStyle w:val="FootnoteReference"/>
          <w:rFonts w:ascii="Cambria" w:hAnsi="Cambria"/>
          <w:sz w:val="20"/>
          <w:szCs w:val="20"/>
        </w:rPr>
        <w:footnoteReference w:id="5"/>
      </w:r>
      <w:r w:rsidR="00C54196" w:rsidRPr="00C54196">
        <w:rPr>
          <w:rFonts w:ascii="Cambria" w:hAnsi="Cambria"/>
          <w:sz w:val="20"/>
          <w:szCs w:val="20"/>
        </w:rPr>
        <w:t xml:space="preserve"> . </w:t>
      </w:r>
      <w:r w:rsidR="00B577E1">
        <w:rPr>
          <w:rFonts w:ascii="Cambria" w:hAnsi="Cambria"/>
          <w:sz w:val="20"/>
          <w:szCs w:val="20"/>
        </w:rPr>
        <w:t>This is why</w:t>
      </w:r>
      <w:r w:rsidR="00C54196" w:rsidRPr="00C54196">
        <w:rPr>
          <w:rFonts w:ascii="Cambria" w:hAnsi="Cambria"/>
          <w:sz w:val="20"/>
          <w:szCs w:val="20"/>
        </w:rPr>
        <w:t xml:space="preserve">, </w:t>
      </w:r>
      <w:r w:rsidR="00B577E1">
        <w:rPr>
          <w:rFonts w:ascii="Cambria" w:hAnsi="Cambria"/>
          <w:sz w:val="20"/>
          <w:szCs w:val="20"/>
        </w:rPr>
        <w:t xml:space="preserve">it is </w:t>
      </w:r>
      <w:r w:rsidR="00C54196" w:rsidRPr="00C54196">
        <w:rPr>
          <w:rFonts w:ascii="Cambria" w:hAnsi="Cambria"/>
          <w:sz w:val="20"/>
          <w:szCs w:val="20"/>
        </w:rPr>
        <w:t xml:space="preserve">indispensable </w:t>
      </w:r>
      <w:r w:rsidR="00B577E1">
        <w:rPr>
          <w:rFonts w:ascii="Cambria" w:hAnsi="Cambria"/>
          <w:sz w:val="20"/>
          <w:szCs w:val="20"/>
        </w:rPr>
        <w:t>to undergo all necessary actions</w:t>
      </w:r>
      <w:r w:rsidR="00C54196" w:rsidRPr="00C54196">
        <w:rPr>
          <w:rFonts w:ascii="Cambria" w:hAnsi="Cambria"/>
          <w:sz w:val="20"/>
          <w:szCs w:val="20"/>
        </w:rPr>
        <w:t xml:space="preserve"> </w:t>
      </w:r>
      <w:r w:rsidR="00B577E1">
        <w:rPr>
          <w:rFonts w:ascii="Cambria" w:hAnsi="Cambria"/>
          <w:sz w:val="20"/>
          <w:szCs w:val="20"/>
        </w:rPr>
        <w:t>to develop a diligent and thorough investigation</w:t>
      </w:r>
      <w:r w:rsidR="00C54196" w:rsidRPr="00C54196">
        <w:rPr>
          <w:rFonts w:ascii="Cambria" w:hAnsi="Cambria"/>
          <w:sz w:val="20"/>
          <w:szCs w:val="20"/>
        </w:rPr>
        <w:t xml:space="preserve"> </w:t>
      </w:r>
      <w:r w:rsidR="00B577E1">
        <w:rPr>
          <w:rFonts w:ascii="Cambria" w:hAnsi="Cambria"/>
          <w:sz w:val="20"/>
          <w:szCs w:val="20"/>
        </w:rPr>
        <w:t>from the State</w:t>
      </w:r>
      <w:r w:rsidR="00C54196" w:rsidRPr="00C54196">
        <w:rPr>
          <w:rFonts w:ascii="Cambria" w:hAnsi="Cambria"/>
          <w:sz w:val="20"/>
          <w:szCs w:val="20"/>
        </w:rPr>
        <w:t xml:space="preserve"> </w:t>
      </w:r>
      <w:r w:rsidR="00B577E1">
        <w:rPr>
          <w:rFonts w:ascii="Cambria" w:hAnsi="Cambria"/>
          <w:sz w:val="20"/>
          <w:szCs w:val="20"/>
        </w:rPr>
        <w:t>aiming to pursue the restoration</w:t>
      </w:r>
      <w:r w:rsidR="00C54196" w:rsidRPr="00C54196">
        <w:rPr>
          <w:rFonts w:ascii="Cambria" w:hAnsi="Cambria"/>
          <w:sz w:val="20"/>
          <w:szCs w:val="20"/>
        </w:rPr>
        <w:t xml:space="preserve"> </w:t>
      </w:r>
      <w:r w:rsidR="00B577E1">
        <w:rPr>
          <w:rFonts w:ascii="Cambria" w:hAnsi="Cambria"/>
          <w:sz w:val="20"/>
          <w:szCs w:val="20"/>
        </w:rPr>
        <w:t>of the violated rights</w:t>
      </w:r>
      <w:r w:rsidR="00C54196" w:rsidRPr="00C54196">
        <w:rPr>
          <w:rFonts w:ascii="Cambria" w:hAnsi="Cambria"/>
          <w:sz w:val="20"/>
          <w:szCs w:val="20"/>
        </w:rPr>
        <w:t xml:space="preserve">, </w:t>
      </w:r>
      <w:r w:rsidR="00B577E1">
        <w:rPr>
          <w:rFonts w:ascii="Cambria" w:hAnsi="Cambria"/>
          <w:sz w:val="20"/>
          <w:szCs w:val="20"/>
        </w:rPr>
        <w:t>and in this case</w:t>
      </w:r>
      <w:r w:rsidR="00C54196" w:rsidRPr="00C54196">
        <w:rPr>
          <w:rFonts w:ascii="Cambria" w:hAnsi="Cambria"/>
          <w:sz w:val="20"/>
          <w:szCs w:val="20"/>
        </w:rPr>
        <w:t xml:space="preserve">, </w:t>
      </w:r>
      <w:r w:rsidR="00B577E1">
        <w:rPr>
          <w:rFonts w:ascii="Cambria" w:hAnsi="Cambria"/>
          <w:sz w:val="20"/>
          <w:szCs w:val="20"/>
        </w:rPr>
        <w:t>the remedies for the damages produced</w:t>
      </w:r>
      <w:r w:rsidR="00C54196" w:rsidRPr="00C54196">
        <w:rPr>
          <w:rFonts w:ascii="Cambria" w:hAnsi="Cambria"/>
          <w:sz w:val="20"/>
          <w:szCs w:val="20"/>
        </w:rPr>
        <w:t xml:space="preserve"> </w:t>
      </w:r>
      <w:r w:rsidR="00B577E1">
        <w:rPr>
          <w:rFonts w:ascii="Cambria" w:hAnsi="Cambria"/>
          <w:sz w:val="20"/>
          <w:szCs w:val="20"/>
        </w:rPr>
        <w:t xml:space="preserve">by </w:t>
      </w:r>
      <w:r w:rsidR="00C8180B">
        <w:rPr>
          <w:rFonts w:ascii="Cambria" w:hAnsi="Cambria"/>
          <w:sz w:val="20"/>
          <w:szCs w:val="20"/>
        </w:rPr>
        <w:t>such</w:t>
      </w:r>
      <w:r w:rsidR="00C54196" w:rsidRPr="00C54196">
        <w:rPr>
          <w:rFonts w:ascii="Cambria" w:hAnsi="Cambria"/>
          <w:sz w:val="20"/>
          <w:szCs w:val="20"/>
        </w:rPr>
        <w:t xml:space="preserve"> </w:t>
      </w:r>
      <w:r w:rsidR="00B577E1" w:rsidRPr="00C54196">
        <w:rPr>
          <w:rFonts w:ascii="Cambria" w:hAnsi="Cambria"/>
          <w:sz w:val="20"/>
          <w:szCs w:val="20"/>
        </w:rPr>
        <w:t>violation</w:t>
      </w:r>
      <w:r w:rsidR="00C54196" w:rsidRPr="00C54196">
        <w:rPr>
          <w:rFonts w:ascii="Cambria" w:hAnsi="Cambria"/>
          <w:sz w:val="20"/>
          <w:szCs w:val="20"/>
        </w:rPr>
        <w:t xml:space="preserve"> </w:t>
      </w:r>
      <w:r w:rsidR="00B577E1" w:rsidRPr="00C54196">
        <w:rPr>
          <w:rFonts w:ascii="Cambria" w:hAnsi="Cambria"/>
          <w:sz w:val="20"/>
          <w:szCs w:val="20"/>
        </w:rPr>
        <w:t>indistinctive</w:t>
      </w:r>
      <w:r w:rsidR="00B577E1">
        <w:rPr>
          <w:rFonts w:ascii="Cambria" w:hAnsi="Cambria"/>
          <w:sz w:val="20"/>
          <w:szCs w:val="20"/>
        </w:rPr>
        <w:t>ly</w:t>
      </w:r>
      <w:r w:rsidR="00C54196" w:rsidRPr="00C54196">
        <w:rPr>
          <w:rFonts w:ascii="Cambria" w:hAnsi="Cambria"/>
          <w:sz w:val="20"/>
          <w:szCs w:val="20"/>
        </w:rPr>
        <w:t xml:space="preserve"> </w:t>
      </w:r>
      <w:r w:rsidR="00B577E1">
        <w:rPr>
          <w:rFonts w:ascii="Cambria" w:hAnsi="Cambria"/>
          <w:sz w:val="20"/>
          <w:szCs w:val="20"/>
        </w:rPr>
        <w:t>form the civil actions that may have been filed</w:t>
      </w:r>
      <w:r w:rsidR="00C54196" w:rsidRPr="00C54196">
        <w:rPr>
          <w:rFonts w:ascii="Cambria" w:hAnsi="Cambria"/>
          <w:sz w:val="20"/>
          <w:szCs w:val="20"/>
        </w:rPr>
        <w:t>.</w:t>
      </w:r>
    </w:p>
    <w:p w14:paraId="4AC50D3B" w14:textId="042E3C25" w:rsidR="00C54196" w:rsidRPr="00C54196" w:rsidRDefault="00C8180B"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Secondly</w:t>
      </w:r>
      <w:r w:rsidR="00C54196" w:rsidRPr="00C54196">
        <w:rPr>
          <w:rFonts w:ascii="Cambria" w:hAnsi="Cambria"/>
          <w:sz w:val="20"/>
          <w:szCs w:val="20"/>
        </w:rPr>
        <w:t>, re</w:t>
      </w:r>
      <w:r>
        <w:rPr>
          <w:rFonts w:ascii="Cambria" w:hAnsi="Cambria"/>
          <w:sz w:val="20"/>
          <w:szCs w:val="20"/>
        </w:rPr>
        <w:t>garding the</w:t>
      </w:r>
      <w:r w:rsidR="00C54196" w:rsidRPr="00C54196">
        <w:rPr>
          <w:rFonts w:ascii="Cambria" w:hAnsi="Cambria"/>
          <w:sz w:val="20"/>
          <w:szCs w:val="20"/>
        </w:rPr>
        <w:t xml:space="preserve"> </w:t>
      </w:r>
      <w:r>
        <w:rPr>
          <w:rFonts w:ascii="Cambria" w:hAnsi="Cambria"/>
          <w:sz w:val="20"/>
          <w:szCs w:val="20"/>
        </w:rPr>
        <w:t>allegation of breach to the right of</w:t>
      </w:r>
      <w:r w:rsidR="00C54196" w:rsidRPr="00C54196">
        <w:rPr>
          <w:rFonts w:ascii="Cambria" w:hAnsi="Cambria"/>
          <w:sz w:val="20"/>
          <w:szCs w:val="20"/>
        </w:rPr>
        <w:t xml:space="preserve"> </w:t>
      </w:r>
      <w:r w:rsidR="00966CAD">
        <w:rPr>
          <w:rFonts w:ascii="Cambria" w:hAnsi="Cambria"/>
          <w:sz w:val="20"/>
          <w:szCs w:val="20"/>
        </w:rPr>
        <w:t>equality before the law</w:t>
      </w:r>
      <w:r w:rsidR="00C54196" w:rsidRPr="00C54196">
        <w:rPr>
          <w:rFonts w:ascii="Cambria" w:hAnsi="Cambria"/>
          <w:sz w:val="20"/>
          <w:szCs w:val="20"/>
        </w:rPr>
        <w:t xml:space="preserve"> </w:t>
      </w:r>
      <w:r w:rsidR="00966CAD">
        <w:rPr>
          <w:rFonts w:ascii="Cambria" w:hAnsi="Cambria"/>
          <w:sz w:val="20"/>
          <w:szCs w:val="20"/>
        </w:rPr>
        <w:t>in the process of direct remedy</w:t>
      </w:r>
      <w:r w:rsidR="00C54196" w:rsidRPr="00C54196">
        <w:rPr>
          <w:rFonts w:ascii="Cambria" w:hAnsi="Cambria"/>
          <w:sz w:val="20"/>
          <w:szCs w:val="20"/>
        </w:rPr>
        <w:t xml:space="preserve">, </w:t>
      </w:r>
      <w:r w:rsidR="00966CAD">
        <w:rPr>
          <w:rFonts w:ascii="Cambria" w:hAnsi="Cambria"/>
          <w:sz w:val="20"/>
          <w:szCs w:val="20"/>
        </w:rPr>
        <w:t>the</w:t>
      </w:r>
      <w:r w:rsidR="00C54196" w:rsidRPr="00C54196">
        <w:rPr>
          <w:rFonts w:ascii="Cambria" w:hAnsi="Cambria"/>
          <w:sz w:val="20"/>
          <w:szCs w:val="20"/>
        </w:rPr>
        <w:t xml:space="preserve"> </w:t>
      </w:r>
      <w:r w:rsidR="00966CAD" w:rsidRPr="00C54196">
        <w:rPr>
          <w:rFonts w:ascii="Cambria" w:hAnsi="Cambria"/>
          <w:sz w:val="20"/>
          <w:szCs w:val="20"/>
        </w:rPr>
        <w:t>Inter</w:t>
      </w:r>
      <w:r w:rsidR="00966CAD">
        <w:rPr>
          <w:rFonts w:ascii="Cambria" w:hAnsi="Cambria"/>
          <w:sz w:val="20"/>
          <w:szCs w:val="20"/>
        </w:rPr>
        <w:t xml:space="preserve"> A</w:t>
      </w:r>
      <w:r w:rsidR="00966CAD" w:rsidRPr="00C54196">
        <w:rPr>
          <w:rFonts w:ascii="Cambria" w:hAnsi="Cambria"/>
          <w:sz w:val="20"/>
          <w:szCs w:val="20"/>
        </w:rPr>
        <w:t>merican</w:t>
      </w:r>
      <w:r w:rsidR="00C54196" w:rsidRPr="00C54196">
        <w:rPr>
          <w:rFonts w:ascii="Cambria" w:hAnsi="Cambria"/>
          <w:sz w:val="20"/>
          <w:szCs w:val="20"/>
        </w:rPr>
        <w:t xml:space="preserve"> </w:t>
      </w:r>
      <w:r w:rsidR="00966CAD" w:rsidRPr="00C54196">
        <w:rPr>
          <w:rFonts w:ascii="Cambria" w:hAnsi="Cambria"/>
          <w:sz w:val="20"/>
          <w:szCs w:val="20"/>
        </w:rPr>
        <w:t>Co</w:t>
      </w:r>
      <w:r w:rsidR="00966CAD">
        <w:rPr>
          <w:rFonts w:ascii="Cambria" w:hAnsi="Cambria"/>
          <w:sz w:val="20"/>
          <w:szCs w:val="20"/>
        </w:rPr>
        <w:t>u</w:t>
      </w:r>
      <w:r w:rsidR="00966CAD" w:rsidRPr="00C54196">
        <w:rPr>
          <w:rFonts w:ascii="Cambria" w:hAnsi="Cambria"/>
          <w:sz w:val="20"/>
          <w:szCs w:val="20"/>
        </w:rPr>
        <w:t xml:space="preserve">rt </w:t>
      </w:r>
      <w:r w:rsidR="00966CAD">
        <w:rPr>
          <w:rFonts w:ascii="Cambria" w:hAnsi="Cambria"/>
          <w:sz w:val="20"/>
          <w:szCs w:val="20"/>
        </w:rPr>
        <w:t>on Human Rights</w:t>
      </w:r>
      <w:r w:rsidR="00C54196" w:rsidRPr="00C54196">
        <w:rPr>
          <w:rFonts w:ascii="Cambria" w:hAnsi="Cambria"/>
          <w:sz w:val="20"/>
          <w:szCs w:val="20"/>
        </w:rPr>
        <w:t xml:space="preserve"> ha</w:t>
      </w:r>
      <w:r w:rsidR="00966CAD">
        <w:rPr>
          <w:rFonts w:ascii="Cambria" w:hAnsi="Cambria"/>
          <w:sz w:val="20"/>
          <w:szCs w:val="20"/>
        </w:rPr>
        <w:t>s</w:t>
      </w:r>
      <w:r w:rsidR="00C54196" w:rsidRPr="00C54196">
        <w:rPr>
          <w:rFonts w:ascii="Cambria" w:hAnsi="Cambria"/>
          <w:sz w:val="20"/>
          <w:szCs w:val="20"/>
        </w:rPr>
        <w:t xml:space="preserve"> </w:t>
      </w:r>
      <w:r w:rsidR="00966CAD">
        <w:rPr>
          <w:rFonts w:ascii="Cambria" w:hAnsi="Cambria"/>
          <w:sz w:val="20"/>
          <w:szCs w:val="20"/>
        </w:rPr>
        <w:t>established that it cannot be affirmed that there is a breach of such right when</w:t>
      </w:r>
      <w:r w:rsidR="00C54196" w:rsidRPr="00C54196">
        <w:rPr>
          <w:rFonts w:ascii="Cambria" w:hAnsi="Cambria"/>
          <w:sz w:val="20"/>
          <w:szCs w:val="20"/>
        </w:rPr>
        <w:t xml:space="preserve"> </w:t>
      </w:r>
      <w:r w:rsidR="00966CAD">
        <w:rPr>
          <w:rFonts w:ascii="Cambria" w:hAnsi="Cambria"/>
          <w:sz w:val="20"/>
          <w:szCs w:val="20"/>
        </w:rPr>
        <w:t>the State</w:t>
      </w:r>
      <w:r w:rsidR="00C54196" w:rsidRPr="00C54196">
        <w:rPr>
          <w:rFonts w:ascii="Cambria" w:hAnsi="Cambria"/>
          <w:sz w:val="20"/>
          <w:szCs w:val="20"/>
        </w:rPr>
        <w:t xml:space="preserve"> </w:t>
      </w:r>
      <w:r w:rsidR="00E83310">
        <w:rPr>
          <w:rFonts w:ascii="Cambria" w:hAnsi="Cambria"/>
          <w:sz w:val="20"/>
          <w:szCs w:val="20"/>
        </w:rPr>
        <w:t>offers differentiated treatment to certain individuals</w:t>
      </w:r>
      <w:r w:rsidR="00C54196" w:rsidRPr="00C54196">
        <w:rPr>
          <w:rFonts w:ascii="Cambria" w:hAnsi="Cambria"/>
          <w:sz w:val="20"/>
          <w:szCs w:val="20"/>
        </w:rPr>
        <w:t xml:space="preserve">, </w:t>
      </w:r>
      <w:r w:rsidR="00E83310">
        <w:rPr>
          <w:rFonts w:ascii="Cambria" w:hAnsi="Cambria"/>
          <w:sz w:val="20"/>
          <w:szCs w:val="20"/>
        </w:rPr>
        <w:t>provided such distinction stems from</w:t>
      </w:r>
      <w:r w:rsidR="00C54196" w:rsidRPr="00C54196">
        <w:rPr>
          <w:rFonts w:ascii="Cambria" w:hAnsi="Cambria"/>
          <w:sz w:val="20"/>
          <w:szCs w:val="20"/>
        </w:rPr>
        <w:t xml:space="preserve"> </w:t>
      </w:r>
      <w:r w:rsidR="00E83310" w:rsidRPr="00C54196">
        <w:rPr>
          <w:rFonts w:ascii="Cambria" w:hAnsi="Cambria"/>
          <w:sz w:val="20"/>
          <w:szCs w:val="20"/>
        </w:rPr>
        <w:t>su</w:t>
      </w:r>
      <w:r w:rsidR="00E83310">
        <w:rPr>
          <w:rFonts w:ascii="Cambria" w:hAnsi="Cambria"/>
          <w:sz w:val="20"/>
          <w:szCs w:val="20"/>
        </w:rPr>
        <w:t>b</w:t>
      </w:r>
      <w:r w:rsidR="00E83310" w:rsidRPr="00C54196">
        <w:rPr>
          <w:rFonts w:ascii="Cambria" w:hAnsi="Cambria"/>
          <w:sz w:val="20"/>
          <w:szCs w:val="20"/>
        </w:rPr>
        <w:t>stan</w:t>
      </w:r>
      <w:r w:rsidR="00E83310">
        <w:rPr>
          <w:rFonts w:ascii="Cambria" w:hAnsi="Cambria"/>
          <w:sz w:val="20"/>
          <w:szCs w:val="20"/>
        </w:rPr>
        <w:t>t</w:t>
      </w:r>
      <w:r w:rsidR="00E83310" w:rsidRPr="00C54196">
        <w:rPr>
          <w:rFonts w:ascii="Cambria" w:hAnsi="Cambria"/>
          <w:sz w:val="20"/>
          <w:szCs w:val="20"/>
        </w:rPr>
        <w:t>ial</w:t>
      </w:r>
      <w:r w:rsidR="00E83310">
        <w:rPr>
          <w:rFonts w:ascii="Cambria" w:hAnsi="Cambria"/>
          <w:sz w:val="20"/>
          <w:szCs w:val="20"/>
        </w:rPr>
        <w:t>ly</w:t>
      </w:r>
      <w:r w:rsidR="00E83310" w:rsidRPr="00C54196">
        <w:rPr>
          <w:rFonts w:ascii="Cambria" w:hAnsi="Cambria"/>
          <w:sz w:val="20"/>
          <w:szCs w:val="20"/>
        </w:rPr>
        <w:t xml:space="preserve"> dif</w:t>
      </w:r>
      <w:r w:rsidR="00E83310">
        <w:rPr>
          <w:rFonts w:ascii="Cambria" w:hAnsi="Cambria"/>
          <w:sz w:val="20"/>
          <w:szCs w:val="20"/>
        </w:rPr>
        <w:t>f</w:t>
      </w:r>
      <w:r w:rsidR="00E83310" w:rsidRPr="00C54196">
        <w:rPr>
          <w:rFonts w:ascii="Cambria" w:hAnsi="Cambria"/>
          <w:sz w:val="20"/>
          <w:szCs w:val="20"/>
        </w:rPr>
        <w:t xml:space="preserve">erent </w:t>
      </w:r>
      <w:r w:rsidR="00C54196" w:rsidRPr="00C54196">
        <w:rPr>
          <w:rFonts w:ascii="Cambria" w:hAnsi="Cambria"/>
          <w:sz w:val="20"/>
          <w:szCs w:val="20"/>
        </w:rPr>
        <w:t>sup</w:t>
      </w:r>
      <w:r w:rsidR="00E83310">
        <w:rPr>
          <w:rFonts w:ascii="Cambria" w:hAnsi="Cambria"/>
          <w:sz w:val="20"/>
          <w:szCs w:val="20"/>
        </w:rPr>
        <w:t>position</w:t>
      </w:r>
      <w:r w:rsidR="00C54196" w:rsidRPr="00C54196">
        <w:rPr>
          <w:rFonts w:ascii="Cambria" w:hAnsi="Cambria"/>
          <w:sz w:val="20"/>
          <w:szCs w:val="20"/>
        </w:rPr>
        <w:t xml:space="preserve">s </w:t>
      </w:r>
      <w:r w:rsidR="00E83310">
        <w:rPr>
          <w:rFonts w:ascii="Cambria" w:hAnsi="Cambria"/>
          <w:sz w:val="20"/>
          <w:szCs w:val="20"/>
        </w:rPr>
        <w:t>of fact</w:t>
      </w:r>
      <w:r w:rsidR="00C54196" w:rsidRPr="00C54196">
        <w:rPr>
          <w:rFonts w:ascii="Cambria" w:hAnsi="Cambria"/>
          <w:sz w:val="20"/>
          <w:szCs w:val="20"/>
        </w:rPr>
        <w:t xml:space="preserve"> </w:t>
      </w:r>
      <w:r w:rsidR="00E83310">
        <w:rPr>
          <w:rFonts w:ascii="Cambria" w:hAnsi="Cambria"/>
          <w:sz w:val="20"/>
          <w:szCs w:val="20"/>
        </w:rPr>
        <w:t>and that express in a proportioned manner</w:t>
      </w:r>
      <w:r w:rsidR="00C54196" w:rsidRPr="00C54196">
        <w:rPr>
          <w:rFonts w:ascii="Cambria" w:hAnsi="Cambria"/>
          <w:sz w:val="20"/>
          <w:szCs w:val="20"/>
        </w:rPr>
        <w:t xml:space="preserve"> </w:t>
      </w:r>
      <w:r w:rsidR="00E83310">
        <w:rPr>
          <w:rFonts w:ascii="Cambria" w:hAnsi="Cambria"/>
          <w:sz w:val="20"/>
          <w:szCs w:val="20"/>
        </w:rPr>
        <w:t>a based connection between such differences and the</w:t>
      </w:r>
      <w:r w:rsidR="00C54196" w:rsidRPr="00C54196">
        <w:rPr>
          <w:rFonts w:ascii="Cambria" w:hAnsi="Cambria"/>
          <w:sz w:val="20"/>
          <w:szCs w:val="20"/>
        </w:rPr>
        <w:t xml:space="preserve"> </w:t>
      </w:r>
      <w:r w:rsidR="00E83310">
        <w:rPr>
          <w:rFonts w:ascii="Cambria" w:hAnsi="Cambria"/>
          <w:sz w:val="20"/>
          <w:szCs w:val="20"/>
        </w:rPr>
        <w:t>goals of the norm</w:t>
      </w:r>
      <w:r w:rsidR="00C54196" w:rsidRPr="00C54196">
        <w:rPr>
          <w:rStyle w:val="FootnoteReference"/>
          <w:rFonts w:ascii="Cambria" w:hAnsi="Cambria"/>
          <w:sz w:val="20"/>
          <w:szCs w:val="20"/>
        </w:rPr>
        <w:footnoteReference w:id="6"/>
      </w:r>
      <w:r w:rsidR="00C54196" w:rsidRPr="00C54196">
        <w:rPr>
          <w:rFonts w:ascii="Cambria" w:hAnsi="Cambria"/>
          <w:sz w:val="20"/>
          <w:szCs w:val="20"/>
        </w:rPr>
        <w:t xml:space="preserve">. </w:t>
      </w:r>
      <w:r w:rsidR="00E83310">
        <w:rPr>
          <w:rFonts w:ascii="Cambria" w:hAnsi="Cambria"/>
          <w:sz w:val="20"/>
          <w:szCs w:val="20"/>
        </w:rPr>
        <w:t>Also</w:t>
      </w:r>
      <w:r w:rsidR="00C54196" w:rsidRPr="00C54196">
        <w:rPr>
          <w:rFonts w:ascii="Cambria" w:hAnsi="Cambria"/>
          <w:sz w:val="20"/>
          <w:szCs w:val="20"/>
        </w:rPr>
        <w:t xml:space="preserve">, </w:t>
      </w:r>
      <w:r w:rsidR="00E83310">
        <w:rPr>
          <w:rFonts w:ascii="Cambria" w:hAnsi="Cambria"/>
          <w:sz w:val="20"/>
          <w:szCs w:val="20"/>
        </w:rPr>
        <w:t>the</w:t>
      </w:r>
      <w:r w:rsidR="00C54196" w:rsidRPr="00C54196">
        <w:rPr>
          <w:rFonts w:ascii="Cambria" w:hAnsi="Cambria"/>
          <w:sz w:val="20"/>
          <w:szCs w:val="20"/>
        </w:rPr>
        <w:t xml:space="preserve"> </w:t>
      </w:r>
      <w:r w:rsidR="00E83310" w:rsidRPr="00C54196">
        <w:rPr>
          <w:rFonts w:ascii="Cambria" w:hAnsi="Cambria"/>
          <w:sz w:val="20"/>
          <w:szCs w:val="20"/>
        </w:rPr>
        <w:t>Com</w:t>
      </w:r>
      <w:r w:rsidR="00E83310">
        <w:rPr>
          <w:rFonts w:ascii="Cambria" w:hAnsi="Cambria"/>
          <w:sz w:val="20"/>
          <w:szCs w:val="20"/>
        </w:rPr>
        <w:t>m</w:t>
      </w:r>
      <w:r w:rsidR="00E83310" w:rsidRPr="00C54196">
        <w:rPr>
          <w:rFonts w:ascii="Cambria" w:hAnsi="Cambria"/>
          <w:sz w:val="20"/>
          <w:szCs w:val="20"/>
        </w:rPr>
        <w:t>ission</w:t>
      </w:r>
      <w:r w:rsidR="00C54196" w:rsidRPr="00C54196">
        <w:rPr>
          <w:rFonts w:ascii="Cambria" w:hAnsi="Cambria"/>
          <w:sz w:val="20"/>
          <w:szCs w:val="20"/>
        </w:rPr>
        <w:t xml:space="preserve"> ha</w:t>
      </w:r>
      <w:r w:rsidR="00E83310">
        <w:rPr>
          <w:rFonts w:ascii="Cambria" w:hAnsi="Cambria"/>
          <w:sz w:val="20"/>
          <w:szCs w:val="20"/>
        </w:rPr>
        <w:t>s</w:t>
      </w:r>
      <w:r w:rsidR="00C54196" w:rsidRPr="00C54196">
        <w:rPr>
          <w:rFonts w:ascii="Cambria" w:hAnsi="Cambria"/>
          <w:sz w:val="20"/>
          <w:szCs w:val="20"/>
        </w:rPr>
        <w:t xml:space="preserve"> consider</w:t>
      </w:r>
      <w:r w:rsidR="00E83310">
        <w:rPr>
          <w:rFonts w:ascii="Cambria" w:hAnsi="Cambria"/>
          <w:sz w:val="20"/>
          <w:szCs w:val="20"/>
        </w:rPr>
        <w:t>ed</w:t>
      </w:r>
      <w:r w:rsidR="00C54196" w:rsidRPr="00C54196">
        <w:rPr>
          <w:rFonts w:ascii="Cambria" w:hAnsi="Cambria"/>
          <w:sz w:val="20"/>
          <w:szCs w:val="20"/>
        </w:rPr>
        <w:t xml:space="preserve"> </w:t>
      </w:r>
      <w:r w:rsidR="00E83310">
        <w:rPr>
          <w:rFonts w:ascii="Cambria" w:hAnsi="Cambria"/>
          <w:sz w:val="20"/>
          <w:szCs w:val="20"/>
        </w:rPr>
        <w:t xml:space="preserve">that when it comes to </w:t>
      </w:r>
      <w:r w:rsidR="00E83310" w:rsidRPr="00C54196">
        <w:rPr>
          <w:rFonts w:ascii="Cambria" w:hAnsi="Cambria"/>
          <w:sz w:val="20"/>
          <w:szCs w:val="20"/>
        </w:rPr>
        <w:t>superior instanc</w:t>
      </w:r>
      <w:r w:rsidR="00E83310">
        <w:rPr>
          <w:rFonts w:ascii="Cambria" w:hAnsi="Cambria"/>
          <w:sz w:val="20"/>
          <w:szCs w:val="20"/>
        </w:rPr>
        <w:t>es</w:t>
      </w:r>
      <w:r w:rsidR="00E83310" w:rsidRPr="00C54196">
        <w:rPr>
          <w:rFonts w:ascii="Cambria" w:hAnsi="Cambria"/>
          <w:sz w:val="20"/>
          <w:szCs w:val="20"/>
        </w:rPr>
        <w:t xml:space="preserve"> </w:t>
      </w:r>
      <w:r w:rsidR="00E83310">
        <w:rPr>
          <w:rFonts w:ascii="Cambria" w:hAnsi="Cambria"/>
          <w:sz w:val="20"/>
          <w:szCs w:val="20"/>
        </w:rPr>
        <w:t>revising</w:t>
      </w:r>
      <w:r w:rsidR="00C54196" w:rsidRPr="00C54196">
        <w:rPr>
          <w:rFonts w:ascii="Cambria" w:hAnsi="Cambria"/>
          <w:sz w:val="20"/>
          <w:szCs w:val="20"/>
        </w:rPr>
        <w:t xml:space="preserve"> sentenc</w:t>
      </w:r>
      <w:r w:rsidR="00E83310">
        <w:rPr>
          <w:rFonts w:ascii="Cambria" w:hAnsi="Cambria"/>
          <w:sz w:val="20"/>
          <w:szCs w:val="20"/>
        </w:rPr>
        <w:t>e</w:t>
      </w:r>
      <w:r w:rsidR="00C54196" w:rsidRPr="00C54196">
        <w:rPr>
          <w:rFonts w:ascii="Cambria" w:hAnsi="Cambria"/>
          <w:sz w:val="20"/>
          <w:szCs w:val="20"/>
        </w:rPr>
        <w:t>s</w:t>
      </w:r>
      <w:r w:rsidR="00E83310">
        <w:rPr>
          <w:rFonts w:ascii="Cambria" w:hAnsi="Cambria"/>
          <w:sz w:val="20"/>
          <w:szCs w:val="20"/>
        </w:rPr>
        <w:t>,</w:t>
      </w:r>
      <w:r w:rsidR="00C54196" w:rsidRPr="00C54196">
        <w:rPr>
          <w:rFonts w:ascii="Cambria" w:hAnsi="Cambria"/>
          <w:sz w:val="20"/>
          <w:szCs w:val="20"/>
        </w:rPr>
        <w:t xml:space="preserve"> </w:t>
      </w:r>
      <w:r w:rsidR="00E83310">
        <w:rPr>
          <w:rFonts w:ascii="Cambria" w:hAnsi="Cambria"/>
          <w:sz w:val="20"/>
          <w:szCs w:val="20"/>
        </w:rPr>
        <w:t>judges must maintain</w:t>
      </w:r>
      <w:r w:rsidR="00C54196" w:rsidRPr="00C54196">
        <w:rPr>
          <w:rFonts w:ascii="Cambria" w:hAnsi="Cambria"/>
          <w:sz w:val="20"/>
          <w:szCs w:val="20"/>
        </w:rPr>
        <w:t xml:space="preserve">, </w:t>
      </w:r>
      <w:r w:rsidR="00E83310">
        <w:rPr>
          <w:rFonts w:ascii="Cambria" w:hAnsi="Cambria"/>
          <w:sz w:val="20"/>
          <w:szCs w:val="20"/>
        </w:rPr>
        <w:t>at least</w:t>
      </w:r>
      <w:r w:rsidR="00C54196" w:rsidRPr="00C54196">
        <w:rPr>
          <w:rFonts w:ascii="Cambria" w:hAnsi="Cambria"/>
          <w:sz w:val="20"/>
          <w:szCs w:val="20"/>
        </w:rPr>
        <w:t xml:space="preserve">, </w:t>
      </w:r>
      <w:r w:rsidR="00E83310">
        <w:rPr>
          <w:rFonts w:ascii="Cambria" w:hAnsi="Cambria"/>
          <w:sz w:val="20"/>
          <w:szCs w:val="20"/>
        </w:rPr>
        <w:t>a basic</w:t>
      </w:r>
      <w:r w:rsidR="00C54196" w:rsidRPr="00C54196">
        <w:rPr>
          <w:rFonts w:ascii="Cambria" w:hAnsi="Cambria"/>
          <w:sz w:val="20"/>
          <w:szCs w:val="20"/>
        </w:rPr>
        <w:t xml:space="preserve"> </w:t>
      </w:r>
      <w:r w:rsidR="00E83310" w:rsidRPr="00C54196">
        <w:rPr>
          <w:rFonts w:ascii="Cambria" w:hAnsi="Cambria"/>
          <w:sz w:val="20"/>
          <w:szCs w:val="20"/>
        </w:rPr>
        <w:t>supervision</w:t>
      </w:r>
      <w:r w:rsidR="00C54196" w:rsidRPr="00C54196">
        <w:rPr>
          <w:rFonts w:ascii="Cambria" w:hAnsi="Cambria"/>
          <w:sz w:val="20"/>
          <w:szCs w:val="20"/>
        </w:rPr>
        <w:t xml:space="preserve"> </w:t>
      </w:r>
      <w:r w:rsidR="00E83310">
        <w:rPr>
          <w:rFonts w:ascii="Cambria" w:hAnsi="Cambria"/>
          <w:sz w:val="20"/>
          <w:szCs w:val="20"/>
        </w:rPr>
        <w:t>of the administrative law’s decisions’ legality and rationality</w:t>
      </w:r>
      <w:r w:rsidR="00C54196" w:rsidRPr="00C54196">
        <w:rPr>
          <w:rFonts w:ascii="Cambria" w:hAnsi="Cambria"/>
          <w:sz w:val="20"/>
          <w:szCs w:val="20"/>
        </w:rPr>
        <w:t xml:space="preserve"> </w:t>
      </w:r>
      <w:r w:rsidR="00E83310">
        <w:rPr>
          <w:rFonts w:ascii="Cambria" w:hAnsi="Cambria"/>
          <w:sz w:val="20"/>
          <w:szCs w:val="20"/>
        </w:rPr>
        <w:t>in order to comply with the guarantees</w:t>
      </w:r>
      <w:r w:rsidR="00C54196" w:rsidRPr="00C54196">
        <w:rPr>
          <w:rFonts w:ascii="Cambria" w:hAnsi="Cambria"/>
          <w:sz w:val="20"/>
          <w:szCs w:val="20"/>
        </w:rPr>
        <w:t xml:space="preserve"> </w:t>
      </w:r>
      <w:r w:rsidR="00E83310">
        <w:rPr>
          <w:rFonts w:ascii="Cambria" w:hAnsi="Cambria"/>
          <w:sz w:val="20"/>
          <w:szCs w:val="20"/>
        </w:rPr>
        <w:t>stipulated in the</w:t>
      </w:r>
      <w:r w:rsidR="00C54196" w:rsidRPr="00C54196">
        <w:rPr>
          <w:rFonts w:ascii="Cambria" w:hAnsi="Cambria"/>
          <w:sz w:val="20"/>
          <w:szCs w:val="20"/>
        </w:rPr>
        <w:t xml:space="preserve"> </w:t>
      </w:r>
      <w:r w:rsidR="00E83310" w:rsidRPr="00C54196">
        <w:rPr>
          <w:rFonts w:ascii="Cambria" w:hAnsi="Cambria"/>
          <w:sz w:val="20"/>
          <w:szCs w:val="20"/>
        </w:rPr>
        <w:t xml:space="preserve">American </w:t>
      </w:r>
      <w:r w:rsidR="00C54196" w:rsidRPr="00C54196">
        <w:rPr>
          <w:rFonts w:ascii="Cambria" w:hAnsi="Cambria"/>
          <w:sz w:val="20"/>
          <w:szCs w:val="20"/>
        </w:rPr>
        <w:t>Conven</w:t>
      </w:r>
      <w:r w:rsidR="00E83310">
        <w:rPr>
          <w:rFonts w:ascii="Cambria" w:hAnsi="Cambria"/>
          <w:sz w:val="20"/>
          <w:szCs w:val="20"/>
        </w:rPr>
        <w:t>tio</w:t>
      </w:r>
      <w:r w:rsidR="00C54196" w:rsidRPr="00C54196">
        <w:rPr>
          <w:rFonts w:ascii="Cambria" w:hAnsi="Cambria"/>
          <w:sz w:val="20"/>
          <w:szCs w:val="20"/>
        </w:rPr>
        <w:t xml:space="preserve">n. </w:t>
      </w:r>
      <w:r w:rsidR="00E83310">
        <w:rPr>
          <w:rFonts w:ascii="Cambria" w:hAnsi="Cambria"/>
          <w:sz w:val="20"/>
          <w:szCs w:val="20"/>
        </w:rPr>
        <w:t>In so doing</w:t>
      </w:r>
      <w:r w:rsidR="00C54196" w:rsidRPr="00C54196">
        <w:rPr>
          <w:rFonts w:ascii="Cambria" w:hAnsi="Cambria"/>
          <w:sz w:val="20"/>
          <w:szCs w:val="20"/>
        </w:rPr>
        <w:t xml:space="preserve">, </w:t>
      </w:r>
      <w:r w:rsidR="00E83310">
        <w:rPr>
          <w:rFonts w:ascii="Cambria" w:hAnsi="Cambria"/>
          <w:sz w:val="20"/>
          <w:szCs w:val="20"/>
        </w:rPr>
        <w:t>when revising cases</w:t>
      </w:r>
      <w:r w:rsidR="00C54196" w:rsidRPr="00C54196">
        <w:rPr>
          <w:rFonts w:ascii="Cambria" w:hAnsi="Cambria"/>
          <w:sz w:val="20"/>
          <w:szCs w:val="20"/>
        </w:rPr>
        <w:t xml:space="preserve">, </w:t>
      </w:r>
      <w:r w:rsidR="00E83310">
        <w:rPr>
          <w:rFonts w:ascii="Cambria" w:hAnsi="Cambria"/>
          <w:sz w:val="20"/>
          <w:szCs w:val="20"/>
        </w:rPr>
        <w:t>regardless of the judicial action which originated it</w:t>
      </w:r>
      <w:r w:rsidR="00C54196" w:rsidRPr="00C54196">
        <w:rPr>
          <w:rFonts w:ascii="Cambria" w:hAnsi="Cambria"/>
          <w:sz w:val="20"/>
          <w:szCs w:val="20"/>
        </w:rPr>
        <w:t xml:space="preserve">, </w:t>
      </w:r>
      <w:r w:rsidR="00E83310">
        <w:rPr>
          <w:rFonts w:ascii="Cambria" w:hAnsi="Cambria"/>
          <w:sz w:val="20"/>
          <w:szCs w:val="20"/>
        </w:rPr>
        <w:t>the juridical operators</w:t>
      </w:r>
      <w:r w:rsidR="00C54196" w:rsidRPr="00C54196">
        <w:rPr>
          <w:rFonts w:ascii="Cambria" w:hAnsi="Cambria"/>
          <w:sz w:val="20"/>
          <w:szCs w:val="20"/>
        </w:rPr>
        <w:t xml:space="preserve"> </w:t>
      </w:r>
      <w:r w:rsidR="00E83310">
        <w:rPr>
          <w:rFonts w:ascii="Cambria" w:hAnsi="Cambria"/>
          <w:sz w:val="20"/>
          <w:szCs w:val="20"/>
        </w:rPr>
        <w:t>must guarantee the alleged victims</w:t>
      </w:r>
      <w:r w:rsidR="00C54196" w:rsidRPr="00C54196">
        <w:rPr>
          <w:rFonts w:ascii="Cambria" w:hAnsi="Cambria"/>
          <w:sz w:val="20"/>
          <w:szCs w:val="20"/>
        </w:rPr>
        <w:t xml:space="preserve"> </w:t>
      </w:r>
      <w:r w:rsidR="00E83310">
        <w:rPr>
          <w:rFonts w:ascii="Cambria" w:hAnsi="Cambria"/>
          <w:sz w:val="20"/>
          <w:szCs w:val="20"/>
        </w:rPr>
        <w:t>the right to a decision based on</w:t>
      </w:r>
      <w:r w:rsidR="00C54196" w:rsidRPr="00C54196">
        <w:rPr>
          <w:rFonts w:ascii="Cambria" w:hAnsi="Cambria"/>
          <w:sz w:val="20"/>
          <w:szCs w:val="20"/>
        </w:rPr>
        <w:t xml:space="preserve"> </w:t>
      </w:r>
      <w:r w:rsidR="00E83310">
        <w:rPr>
          <w:rFonts w:ascii="Cambria" w:hAnsi="Cambria"/>
          <w:sz w:val="20"/>
          <w:szCs w:val="20"/>
        </w:rPr>
        <w:t>the bottom of the matter</w:t>
      </w:r>
      <w:r w:rsidR="00C54196" w:rsidRPr="00C54196">
        <w:rPr>
          <w:rFonts w:ascii="Cambria" w:hAnsi="Cambria"/>
          <w:sz w:val="20"/>
          <w:szCs w:val="20"/>
        </w:rPr>
        <w:t xml:space="preserve"> </w:t>
      </w:r>
      <w:r w:rsidR="00ED62A6">
        <w:rPr>
          <w:rFonts w:ascii="Cambria" w:hAnsi="Cambria"/>
          <w:sz w:val="20"/>
          <w:szCs w:val="20"/>
        </w:rPr>
        <w:t>and not on mere form appraisals</w:t>
      </w:r>
      <w:r w:rsidR="00C54196" w:rsidRPr="00C54196">
        <w:rPr>
          <w:rFonts w:ascii="Cambria" w:hAnsi="Cambria"/>
          <w:sz w:val="20"/>
          <w:szCs w:val="20"/>
        </w:rPr>
        <w:t>.</w:t>
      </w:r>
    </w:p>
    <w:p w14:paraId="04997CC9" w14:textId="705A0AAB" w:rsidR="00C54196" w:rsidRPr="00C54196" w:rsidRDefault="00C54196"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Cambria" w:hAnsi="Cambria"/>
          <w:sz w:val="20"/>
          <w:szCs w:val="20"/>
        </w:rPr>
        <w:t>Final</w:t>
      </w:r>
      <w:r w:rsidR="00ED62A6">
        <w:rPr>
          <w:rFonts w:ascii="Cambria" w:hAnsi="Cambria"/>
          <w:sz w:val="20"/>
          <w:szCs w:val="20"/>
        </w:rPr>
        <w:t>ly</w:t>
      </w:r>
      <w:r w:rsidRPr="00C54196">
        <w:rPr>
          <w:rFonts w:ascii="Cambria" w:hAnsi="Cambria"/>
          <w:sz w:val="20"/>
          <w:szCs w:val="20"/>
        </w:rPr>
        <w:t xml:space="preserve">, </w:t>
      </w:r>
      <w:r w:rsidR="00ED62A6">
        <w:rPr>
          <w:rFonts w:ascii="Cambria" w:hAnsi="Cambria"/>
          <w:sz w:val="20"/>
          <w:szCs w:val="20"/>
        </w:rPr>
        <w:t>before the alleged lack of liability by the State</w:t>
      </w:r>
      <w:r w:rsidRPr="00C54196">
        <w:rPr>
          <w:rFonts w:ascii="Cambria" w:hAnsi="Cambria"/>
          <w:sz w:val="20"/>
          <w:szCs w:val="20"/>
        </w:rPr>
        <w:t xml:space="preserve"> </w:t>
      </w:r>
      <w:r w:rsidR="00ED62A6">
        <w:rPr>
          <w:rFonts w:ascii="Cambria" w:hAnsi="Cambria"/>
          <w:sz w:val="20"/>
          <w:szCs w:val="20"/>
        </w:rPr>
        <w:t xml:space="preserve">due to lack of </w:t>
      </w:r>
      <w:r w:rsidR="00ED62A6" w:rsidRPr="00C54196">
        <w:rPr>
          <w:rFonts w:ascii="Cambria" w:hAnsi="Cambria"/>
          <w:sz w:val="20"/>
          <w:szCs w:val="20"/>
        </w:rPr>
        <w:t>legitimation</w:t>
      </w:r>
      <w:r w:rsidRPr="00C54196">
        <w:rPr>
          <w:rFonts w:ascii="Cambria" w:hAnsi="Cambria"/>
          <w:sz w:val="20"/>
          <w:szCs w:val="20"/>
        </w:rPr>
        <w:t xml:space="preserve"> </w:t>
      </w:r>
      <w:r w:rsidR="00ED62A6">
        <w:rPr>
          <w:rFonts w:ascii="Cambria" w:hAnsi="Cambria"/>
          <w:sz w:val="20"/>
          <w:szCs w:val="20"/>
        </w:rPr>
        <w:t>in the</w:t>
      </w:r>
      <w:r w:rsidRPr="00C54196">
        <w:rPr>
          <w:rFonts w:ascii="Cambria" w:hAnsi="Cambria"/>
          <w:sz w:val="20"/>
          <w:szCs w:val="20"/>
        </w:rPr>
        <w:t xml:space="preserve"> caus</w:t>
      </w:r>
      <w:r w:rsidR="00ED62A6">
        <w:rPr>
          <w:rFonts w:ascii="Cambria" w:hAnsi="Cambria"/>
          <w:sz w:val="20"/>
          <w:szCs w:val="20"/>
        </w:rPr>
        <w:t>e</w:t>
      </w:r>
      <w:r w:rsidRPr="00C54196">
        <w:rPr>
          <w:rFonts w:ascii="Cambria" w:hAnsi="Cambria"/>
          <w:sz w:val="20"/>
          <w:szCs w:val="20"/>
        </w:rPr>
        <w:t xml:space="preserve">, </w:t>
      </w:r>
      <w:r w:rsidR="00ED62A6">
        <w:rPr>
          <w:rFonts w:ascii="Cambria" w:hAnsi="Cambria"/>
          <w:sz w:val="20"/>
          <w:szCs w:val="20"/>
        </w:rPr>
        <w:t>the</w:t>
      </w:r>
      <w:r w:rsidRPr="00C54196">
        <w:rPr>
          <w:rFonts w:ascii="Cambria" w:hAnsi="Cambria"/>
          <w:sz w:val="20"/>
          <w:szCs w:val="20"/>
        </w:rPr>
        <w:t xml:space="preserve"> </w:t>
      </w:r>
      <w:r w:rsidR="00ED62A6" w:rsidRPr="00C54196">
        <w:rPr>
          <w:rFonts w:ascii="Cambria" w:hAnsi="Cambria"/>
          <w:sz w:val="20"/>
          <w:szCs w:val="20"/>
        </w:rPr>
        <w:t>Commission</w:t>
      </w:r>
      <w:r w:rsidRPr="00C54196">
        <w:rPr>
          <w:rFonts w:ascii="Cambria" w:hAnsi="Cambria"/>
          <w:sz w:val="20"/>
          <w:szCs w:val="20"/>
        </w:rPr>
        <w:t xml:space="preserve"> ha</w:t>
      </w:r>
      <w:r w:rsidR="00ED62A6">
        <w:rPr>
          <w:rFonts w:ascii="Cambria" w:hAnsi="Cambria"/>
          <w:sz w:val="20"/>
          <w:szCs w:val="20"/>
        </w:rPr>
        <w:t>s</w:t>
      </w:r>
      <w:r w:rsidRPr="00C54196">
        <w:rPr>
          <w:rFonts w:ascii="Cambria" w:hAnsi="Cambria"/>
          <w:sz w:val="20"/>
          <w:szCs w:val="20"/>
        </w:rPr>
        <w:t xml:space="preserve"> manifest</w:t>
      </w:r>
      <w:r w:rsidR="00ED62A6">
        <w:rPr>
          <w:rFonts w:ascii="Cambria" w:hAnsi="Cambria"/>
          <w:sz w:val="20"/>
          <w:szCs w:val="20"/>
        </w:rPr>
        <w:t>ed</w:t>
      </w:r>
      <w:r w:rsidRPr="00C54196">
        <w:rPr>
          <w:rFonts w:ascii="Cambria" w:hAnsi="Cambria"/>
          <w:sz w:val="20"/>
          <w:szCs w:val="20"/>
        </w:rPr>
        <w:t xml:space="preserve"> </w:t>
      </w:r>
      <w:r w:rsidR="00ED62A6">
        <w:rPr>
          <w:rFonts w:ascii="Cambria" w:hAnsi="Cambria"/>
          <w:sz w:val="20"/>
          <w:szCs w:val="20"/>
        </w:rPr>
        <w:t>that certain human rights violations</w:t>
      </w:r>
      <w:r w:rsidRPr="00C54196">
        <w:rPr>
          <w:rFonts w:ascii="Cambria" w:hAnsi="Cambria"/>
          <w:sz w:val="20"/>
          <w:szCs w:val="20"/>
        </w:rPr>
        <w:t xml:space="preserve"> </w:t>
      </w:r>
      <w:r w:rsidR="00FD5234">
        <w:rPr>
          <w:rFonts w:ascii="Cambria" w:hAnsi="Cambria"/>
          <w:sz w:val="20"/>
          <w:szCs w:val="20"/>
        </w:rPr>
        <w:t>which at first appear non-attributable to the State</w:t>
      </w:r>
      <w:r w:rsidRPr="00C54196">
        <w:rPr>
          <w:rFonts w:ascii="Cambria" w:hAnsi="Cambria"/>
          <w:sz w:val="20"/>
          <w:szCs w:val="20"/>
        </w:rPr>
        <w:t xml:space="preserve">, </w:t>
      </w:r>
      <w:r w:rsidR="00FD5234">
        <w:rPr>
          <w:rFonts w:ascii="Cambria" w:hAnsi="Cambria"/>
          <w:sz w:val="20"/>
          <w:szCs w:val="20"/>
        </w:rPr>
        <w:t>may entail its responsibility due to the lack of due diligence</w:t>
      </w:r>
      <w:r w:rsidRPr="00C54196">
        <w:rPr>
          <w:rFonts w:ascii="Cambria" w:hAnsi="Cambria"/>
          <w:sz w:val="20"/>
          <w:szCs w:val="20"/>
        </w:rPr>
        <w:t xml:space="preserve"> </w:t>
      </w:r>
      <w:r w:rsidR="00FD5234">
        <w:rPr>
          <w:rFonts w:ascii="Cambria" w:hAnsi="Cambria"/>
          <w:sz w:val="20"/>
          <w:szCs w:val="20"/>
        </w:rPr>
        <w:t>of its agents to warn them</w:t>
      </w:r>
      <w:r w:rsidRPr="00C54196">
        <w:rPr>
          <w:rFonts w:ascii="Cambria" w:hAnsi="Cambria"/>
          <w:sz w:val="20"/>
          <w:szCs w:val="20"/>
        </w:rPr>
        <w:t xml:space="preserve">. </w:t>
      </w:r>
      <w:r w:rsidR="00FD5234">
        <w:rPr>
          <w:rFonts w:ascii="Cambria" w:hAnsi="Cambria"/>
          <w:sz w:val="20"/>
          <w:szCs w:val="20"/>
        </w:rPr>
        <w:t>Additionally</w:t>
      </w:r>
      <w:r w:rsidRPr="00C54196">
        <w:rPr>
          <w:rFonts w:ascii="Cambria" w:hAnsi="Cambria"/>
          <w:sz w:val="20"/>
          <w:szCs w:val="20"/>
        </w:rPr>
        <w:t xml:space="preserve">, </w:t>
      </w:r>
      <w:r w:rsidR="00FD5234">
        <w:rPr>
          <w:rFonts w:ascii="Cambria" w:hAnsi="Cambria"/>
          <w:sz w:val="20"/>
          <w:szCs w:val="20"/>
        </w:rPr>
        <w:t>the</w:t>
      </w:r>
      <w:r w:rsidRPr="00C54196">
        <w:rPr>
          <w:rFonts w:ascii="Cambria" w:hAnsi="Cambria"/>
          <w:sz w:val="20"/>
          <w:szCs w:val="20"/>
        </w:rPr>
        <w:t xml:space="preserve"> </w:t>
      </w:r>
      <w:r w:rsidR="00FD5234" w:rsidRPr="00C54196">
        <w:rPr>
          <w:rFonts w:ascii="Cambria" w:hAnsi="Cambria"/>
          <w:sz w:val="20"/>
          <w:szCs w:val="20"/>
        </w:rPr>
        <w:t>Commission</w:t>
      </w:r>
      <w:r w:rsidRPr="00C54196">
        <w:rPr>
          <w:rFonts w:ascii="Cambria" w:hAnsi="Cambria"/>
          <w:sz w:val="20"/>
          <w:szCs w:val="20"/>
        </w:rPr>
        <w:t xml:space="preserve"> </w:t>
      </w:r>
      <w:r w:rsidRPr="00C54196">
        <w:rPr>
          <w:rFonts w:ascii="Cambria" w:hAnsi="Cambria" w:cs="Calibri"/>
          <w:sz w:val="20"/>
          <w:szCs w:val="20"/>
        </w:rPr>
        <w:t>ha</w:t>
      </w:r>
      <w:r w:rsidR="00FD5234">
        <w:rPr>
          <w:rFonts w:ascii="Cambria" w:hAnsi="Cambria" w:cs="Calibri"/>
          <w:sz w:val="20"/>
          <w:szCs w:val="20"/>
        </w:rPr>
        <w:t>s</w:t>
      </w:r>
      <w:r w:rsidRPr="00C54196">
        <w:rPr>
          <w:rFonts w:ascii="Cambria" w:hAnsi="Cambria" w:cs="Calibri"/>
          <w:sz w:val="20"/>
          <w:szCs w:val="20"/>
        </w:rPr>
        <w:t xml:space="preserve"> </w:t>
      </w:r>
      <w:r w:rsidR="00FD5234">
        <w:rPr>
          <w:rFonts w:ascii="Cambria" w:hAnsi="Cambria" w:cs="Calibri"/>
          <w:sz w:val="20"/>
          <w:szCs w:val="20"/>
        </w:rPr>
        <w:t>sustained that the liability for human rights violations committed</w:t>
      </w:r>
      <w:r w:rsidRPr="00C54196">
        <w:rPr>
          <w:rFonts w:ascii="Cambria" w:hAnsi="Cambria" w:cs="Calibri"/>
          <w:sz w:val="20"/>
          <w:szCs w:val="20"/>
        </w:rPr>
        <w:t xml:space="preserve"> </w:t>
      </w:r>
      <w:r w:rsidR="00FD5234">
        <w:rPr>
          <w:rFonts w:ascii="Cambria" w:hAnsi="Cambria" w:cs="Calibri"/>
          <w:sz w:val="20"/>
          <w:szCs w:val="20"/>
        </w:rPr>
        <w:t xml:space="preserve">by State agents </w:t>
      </w:r>
      <w:r w:rsidR="00822A8A">
        <w:rPr>
          <w:rFonts w:ascii="Cambria" w:hAnsi="Cambria" w:cs="Calibri"/>
          <w:sz w:val="20"/>
          <w:szCs w:val="20"/>
        </w:rPr>
        <w:t xml:space="preserve">or </w:t>
      </w:r>
      <w:r w:rsidR="00822A8A" w:rsidRPr="00C54196">
        <w:rPr>
          <w:rFonts w:ascii="Cambria" w:hAnsi="Cambria" w:cs="Calibri"/>
          <w:sz w:val="20"/>
          <w:szCs w:val="20"/>
        </w:rPr>
        <w:t>institutions</w:t>
      </w:r>
      <w:r w:rsidRPr="00C54196">
        <w:rPr>
          <w:rFonts w:ascii="Cambria" w:hAnsi="Cambria" w:cs="Calibri"/>
          <w:sz w:val="20"/>
          <w:szCs w:val="20"/>
        </w:rPr>
        <w:t xml:space="preserve">, </w:t>
      </w:r>
      <w:r w:rsidR="00FD5234">
        <w:rPr>
          <w:rFonts w:ascii="Cambria" w:hAnsi="Cambria" w:cs="Calibri"/>
          <w:sz w:val="20"/>
          <w:szCs w:val="20"/>
        </w:rPr>
        <w:t>falls upon the State instead of such agents or institutions</w:t>
      </w:r>
      <w:r w:rsidRPr="00C54196" w:rsidDel="00D20439">
        <w:rPr>
          <w:rFonts w:ascii="Cambria" w:hAnsi="Cambria" w:cs="Calibri"/>
          <w:sz w:val="20"/>
          <w:szCs w:val="20"/>
        </w:rPr>
        <w:t>.</w:t>
      </w:r>
    </w:p>
    <w:p w14:paraId="0F54D129" w14:textId="6CCC5C1A" w:rsidR="00C54196" w:rsidRPr="00C54196" w:rsidRDefault="00FD5234"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Taking these considerations into account and</w:t>
      </w:r>
      <w:r w:rsidR="00C54196" w:rsidRPr="00C54196">
        <w:rPr>
          <w:rFonts w:ascii="Cambria" w:hAnsi="Cambria"/>
          <w:sz w:val="20"/>
          <w:szCs w:val="20"/>
        </w:rPr>
        <w:t xml:space="preserve"> </w:t>
      </w:r>
      <w:r>
        <w:rPr>
          <w:rFonts w:ascii="Cambria" w:hAnsi="Cambria"/>
          <w:sz w:val="20"/>
          <w:szCs w:val="20"/>
        </w:rPr>
        <w:t>after examining the elem</w:t>
      </w:r>
      <w:r w:rsidR="00822A8A">
        <w:rPr>
          <w:rFonts w:ascii="Cambria" w:hAnsi="Cambria"/>
          <w:sz w:val="20"/>
          <w:szCs w:val="20"/>
        </w:rPr>
        <w:t>e</w:t>
      </w:r>
      <w:r>
        <w:rPr>
          <w:rFonts w:ascii="Cambria" w:hAnsi="Cambria"/>
          <w:sz w:val="20"/>
          <w:szCs w:val="20"/>
        </w:rPr>
        <w:t>nts of fact</w:t>
      </w:r>
      <w:r w:rsidR="00C54196" w:rsidRPr="00C54196">
        <w:rPr>
          <w:rFonts w:ascii="Cambria" w:hAnsi="Cambria"/>
          <w:sz w:val="20"/>
          <w:szCs w:val="20"/>
        </w:rPr>
        <w:t xml:space="preserve"> </w:t>
      </w:r>
      <w:r>
        <w:rPr>
          <w:rFonts w:ascii="Cambria" w:hAnsi="Cambria"/>
          <w:sz w:val="20"/>
          <w:szCs w:val="20"/>
        </w:rPr>
        <w:t xml:space="preserve">and law  exposed by the </w:t>
      </w:r>
      <w:r w:rsidR="00C54196" w:rsidRPr="00C54196">
        <w:rPr>
          <w:rFonts w:ascii="Cambria" w:hAnsi="Cambria"/>
          <w:sz w:val="20"/>
          <w:szCs w:val="20"/>
        </w:rPr>
        <w:t>part</w:t>
      </w:r>
      <w:r>
        <w:rPr>
          <w:rFonts w:ascii="Cambria" w:hAnsi="Cambria"/>
          <w:sz w:val="20"/>
          <w:szCs w:val="20"/>
        </w:rPr>
        <w:t>i</w:t>
      </w:r>
      <w:r w:rsidR="00C54196" w:rsidRPr="00C54196">
        <w:rPr>
          <w:rFonts w:ascii="Cambria" w:hAnsi="Cambria"/>
          <w:sz w:val="20"/>
          <w:szCs w:val="20"/>
        </w:rPr>
        <w:t xml:space="preserve">es, </w:t>
      </w:r>
      <w:r>
        <w:rPr>
          <w:rFonts w:ascii="Cambria" w:hAnsi="Cambria"/>
          <w:sz w:val="20"/>
          <w:szCs w:val="20"/>
        </w:rPr>
        <w:t>the</w:t>
      </w:r>
      <w:r w:rsidR="00C54196" w:rsidRPr="00C54196">
        <w:rPr>
          <w:rFonts w:ascii="Cambria" w:hAnsi="Cambria"/>
          <w:sz w:val="20"/>
          <w:szCs w:val="20"/>
        </w:rPr>
        <w:t xml:space="preserve"> </w:t>
      </w:r>
      <w:r w:rsidRPr="00C54196">
        <w:rPr>
          <w:rFonts w:ascii="Cambria" w:hAnsi="Cambria"/>
          <w:sz w:val="20"/>
          <w:szCs w:val="20"/>
        </w:rPr>
        <w:t>Commission</w:t>
      </w:r>
      <w:r w:rsidR="00C54196" w:rsidRPr="00C54196">
        <w:rPr>
          <w:rFonts w:ascii="Cambria" w:hAnsi="Cambria"/>
          <w:sz w:val="20"/>
          <w:szCs w:val="20"/>
        </w:rPr>
        <w:t xml:space="preserve"> </w:t>
      </w:r>
      <w:r w:rsidR="00822A8A">
        <w:rPr>
          <w:rFonts w:ascii="Cambria" w:hAnsi="Cambria"/>
          <w:sz w:val="20"/>
          <w:szCs w:val="20"/>
        </w:rPr>
        <w:t>deems that</w:t>
      </w:r>
      <w:r w:rsidR="00C54196" w:rsidRPr="00C54196">
        <w:rPr>
          <w:rFonts w:ascii="Cambria" w:hAnsi="Cambria"/>
          <w:sz w:val="20"/>
          <w:szCs w:val="20"/>
        </w:rPr>
        <w:t xml:space="preserve"> </w:t>
      </w:r>
      <w:r w:rsidR="00822A8A">
        <w:rPr>
          <w:rFonts w:ascii="Cambria" w:hAnsi="Cambria"/>
          <w:sz w:val="20"/>
          <w:szCs w:val="20"/>
        </w:rPr>
        <w:t>the petitioner’s allegations</w:t>
      </w:r>
      <w:r w:rsidR="00C54196" w:rsidRPr="00C54196">
        <w:rPr>
          <w:rFonts w:ascii="Cambria" w:hAnsi="Cambria"/>
          <w:sz w:val="20"/>
          <w:szCs w:val="20"/>
        </w:rPr>
        <w:t xml:space="preserve"> </w:t>
      </w:r>
      <w:r w:rsidR="00822A8A">
        <w:rPr>
          <w:rFonts w:ascii="Cambria" w:hAnsi="Cambria"/>
          <w:sz w:val="20"/>
          <w:szCs w:val="20"/>
        </w:rPr>
        <w:t>arguing lack of due diligence</w:t>
      </w:r>
      <w:r w:rsidR="009A1C7C">
        <w:rPr>
          <w:rFonts w:ascii="Cambria" w:hAnsi="Cambria"/>
          <w:sz w:val="20"/>
          <w:szCs w:val="20"/>
        </w:rPr>
        <w:t xml:space="preserve"> </w:t>
      </w:r>
      <w:r w:rsidR="00822A8A">
        <w:rPr>
          <w:rFonts w:ascii="Cambria" w:hAnsi="Cambria"/>
          <w:sz w:val="20"/>
          <w:szCs w:val="20"/>
        </w:rPr>
        <w:t>from the State</w:t>
      </w:r>
      <w:r w:rsidR="00C54196" w:rsidRPr="00C54196">
        <w:rPr>
          <w:rFonts w:ascii="Cambria" w:hAnsi="Cambria"/>
          <w:sz w:val="20"/>
          <w:szCs w:val="20"/>
        </w:rPr>
        <w:t xml:space="preserve"> </w:t>
      </w:r>
      <w:r w:rsidR="00822A8A">
        <w:rPr>
          <w:rFonts w:ascii="Cambria" w:hAnsi="Cambria"/>
          <w:sz w:val="20"/>
          <w:szCs w:val="20"/>
        </w:rPr>
        <w:t>for the care and custody of the</w:t>
      </w:r>
      <w:r w:rsidR="00C54196" w:rsidRPr="00C54196">
        <w:rPr>
          <w:rFonts w:ascii="Cambria" w:hAnsi="Cambria"/>
          <w:sz w:val="20"/>
          <w:szCs w:val="20"/>
        </w:rPr>
        <w:t xml:space="preserve"> Zapata Álvarez </w:t>
      </w:r>
      <w:r w:rsidR="00822A8A">
        <w:rPr>
          <w:rFonts w:ascii="Cambria" w:hAnsi="Cambria"/>
          <w:sz w:val="20"/>
          <w:szCs w:val="20"/>
        </w:rPr>
        <w:t xml:space="preserve">brothers while they were held prisoners in the </w:t>
      </w:r>
      <w:r w:rsidR="00C54196" w:rsidRPr="00C54196">
        <w:rPr>
          <w:rFonts w:ascii="Cambria" w:hAnsi="Cambria"/>
          <w:sz w:val="20"/>
          <w:szCs w:val="20"/>
        </w:rPr>
        <w:t>municipal</w:t>
      </w:r>
      <w:r w:rsidR="00822A8A">
        <w:rPr>
          <w:rFonts w:ascii="Cambria" w:hAnsi="Cambria"/>
          <w:sz w:val="20"/>
          <w:szCs w:val="20"/>
        </w:rPr>
        <w:t xml:space="preserve"> prison</w:t>
      </w:r>
      <w:r w:rsidR="00C54196" w:rsidRPr="00C54196">
        <w:rPr>
          <w:rFonts w:ascii="Cambria" w:hAnsi="Cambria"/>
          <w:sz w:val="20"/>
          <w:szCs w:val="20"/>
        </w:rPr>
        <w:t xml:space="preserve">; </w:t>
      </w:r>
      <w:r w:rsidR="00822A8A">
        <w:rPr>
          <w:rFonts w:ascii="Cambria" w:hAnsi="Cambria"/>
          <w:sz w:val="20"/>
          <w:szCs w:val="20"/>
        </w:rPr>
        <w:t>the violation of the right to equality</w:t>
      </w:r>
      <w:r w:rsidR="00C54196" w:rsidRPr="00C54196">
        <w:rPr>
          <w:rFonts w:ascii="Cambria" w:hAnsi="Cambria"/>
          <w:sz w:val="20"/>
          <w:szCs w:val="20"/>
        </w:rPr>
        <w:t xml:space="preserve"> </w:t>
      </w:r>
      <w:r w:rsidR="00822A8A">
        <w:rPr>
          <w:rFonts w:ascii="Cambria" w:hAnsi="Cambria"/>
          <w:sz w:val="20"/>
          <w:szCs w:val="20"/>
        </w:rPr>
        <w:t>before the law of the alleged victims</w:t>
      </w:r>
      <w:r w:rsidR="00C54196" w:rsidRPr="00C54196">
        <w:rPr>
          <w:rFonts w:ascii="Cambria" w:hAnsi="Cambria"/>
          <w:sz w:val="20"/>
          <w:szCs w:val="20"/>
        </w:rPr>
        <w:t xml:space="preserve">; </w:t>
      </w:r>
      <w:r w:rsidR="00822A8A">
        <w:rPr>
          <w:rFonts w:ascii="Cambria" w:hAnsi="Cambria"/>
          <w:sz w:val="20"/>
          <w:szCs w:val="20"/>
        </w:rPr>
        <w:t>and the absence of judicial guarantees during the process</w:t>
      </w:r>
      <w:r w:rsidR="00C54196" w:rsidRPr="00C54196">
        <w:rPr>
          <w:rFonts w:ascii="Cambria" w:hAnsi="Cambria"/>
          <w:sz w:val="20"/>
          <w:szCs w:val="20"/>
        </w:rPr>
        <w:t xml:space="preserve"> </w:t>
      </w:r>
      <w:r w:rsidR="00822A8A">
        <w:rPr>
          <w:rFonts w:ascii="Cambria" w:hAnsi="Cambria"/>
          <w:sz w:val="20"/>
          <w:szCs w:val="20"/>
        </w:rPr>
        <w:t>of direct remedy</w:t>
      </w:r>
      <w:r w:rsidR="00C54196" w:rsidRPr="00C54196">
        <w:rPr>
          <w:rFonts w:ascii="Cambria" w:hAnsi="Cambria"/>
          <w:sz w:val="20"/>
          <w:szCs w:val="20"/>
        </w:rPr>
        <w:t xml:space="preserve"> </w:t>
      </w:r>
      <w:r w:rsidR="00822A8A">
        <w:rPr>
          <w:rFonts w:ascii="Cambria" w:hAnsi="Cambria"/>
          <w:sz w:val="20"/>
          <w:szCs w:val="20"/>
        </w:rPr>
        <w:t>are not entirely</w:t>
      </w:r>
      <w:r w:rsidR="00C54196" w:rsidRPr="00C54196">
        <w:rPr>
          <w:rFonts w:ascii="Cambria" w:hAnsi="Cambria"/>
          <w:sz w:val="20"/>
          <w:szCs w:val="20"/>
        </w:rPr>
        <w:t xml:space="preserve"> </w:t>
      </w:r>
      <w:r w:rsidR="00822A8A">
        <w:rPr>
          <w:rFonts w:ascii="Cambria" w:hAnsi="Cambria"/>
          <w:sz w:val="20"/>
          <w:szCs w:val="20"/>
        </w:rPr>
        <w:t>baseless and require a thorough study since the reported facts</w:t>
      </w:r>
      <w:r w:rsidR="00C54196" w:rsidRPr="00C54196">
        <w:rPr>
          <w:rFonts w:ascii="Cambria" w:hAnsi="Cambria"/>
          <w:sz w:val="20"/>
          <w:szCs w:val="20"/>
        </w:rPr>
        <w:t xml:space="preserve">, </w:t>
      </w:r>
      <w:r w:rsidR="00822A8A">
        <w:rPr>
          <w:rFonts w:ascii="Cambria" w:hAnsi="Cambria"/>
          <w:sz w:val="20"/>
          <w:szCs w:val="20"/>
        </w:rPr>
        <w:t>if proven true</w:t>
      </w:r>
      <w:r w:rsidR="00C54196" w:rsidRPr="00C54196">
        <w:rPr>
          <w:rFonts w:ascii="Cambria" w:hAnsi="Cambria"/>
          <w:sz w:val="20"/>
          <w:szCs w:val="20"/>
        </w:rPr>
        <w:t xml:space="preserve"> </w:t>
      </w:r>
      <w:r w:rsidR="00822A8A">
        <w:rPr>
          <w:rFonts w:ascii="Cambria" w:hAnsi="Cambria"/>
          <w:sz w:val="20"/>
          <w:szCs w:val="20"/>
        </w:rPr>
        <w:t>may qualify as violations to articles</w:t>
      </w:r>
      <w:r w:rsidR="00C54196" w:rsidRPr="00C54196">
        <w:rPr>
          <w:rFonts w:ascii="Cambria" w:hAnsi="Cambria"/>
          <w:sz w:val="20"/>
          <w:szCs w:val="20"/>
        </w:rPr>
        <w:t xml:space="preserve"> 4 (</w:t>
      </w:r>
      <w:r w:rsidR="00822A8A">
        <w:rPr>
          <w:rFonts w:ascii="Cambria" w:hAnsi="Cambria"/>
          <w:sz w:val="20"/>
          <w:szCs w:val="20"/>
        </w:rPr>
        <w:t>life</w:t>
      </w:r>
      <w:r w:rsidR="00C54196" w:rsidRPr="00C54196">
        <w:rPr>
          <w:rFonts w:ascii="Cambria" w:hAnsi="Cambria"/>
          <w:sz w:val="20"/>
          <w:szCs w:val="20"/>
        </w:rPr>
        <w:t>), 5 (integri</w:t>
      </w:r>
      <w:r w:rsidR="00822A8A">
        <w:rPr>
          <w:rFonts w:ascii="Cambria" w:hAnsi="Cambria"/>
          <w:sz w:val="20"/>
          <w:szCs w:val="20"/>
        </w:rPr>
        <w:t>ty</w:t>
      </w:r>
      <w:r w:rsidR="00C54196" w:rsidRPr="00C54196">
        <w:rPr>
          <w:rFonts w:ascii="Cambria" w:hAnsi="Cambria"/>
          <w:sz w:val="20"/>
          <w:szCs w:val="20"/>
        </w:rPr>
        <w:t>), 8 (</w:t>
      </w:r>
      <w:r w:rsidR="00822A8A">
        <w:rPr>
          <w:rFonts w:ascii="Cambria" w:hAnsi="Cambria"/>
          <w:sz w:val="20"/>
          <w:szCs w:val="20"/>
        </w:rPr>
        <w:t>j</w:t>
      </w:r>
      <w:r w:rsidR="00C54196" w:rsidRPr="00C54196">
        <w:rPr>
          <w:rFonts w:ascii="Cambria" w:hAnsi="Cambria"/>
          <w:sz w:val="20"/>
          <w:szCs w:val="20"/>
        </w:rPr>
        <w:t>udicial</w:t>
      </w:r>
      <w:r w:rsidR="00822A8A">
        <w:rPr>
          <w:rFonts w:ascii="Cambria" w:hAnsi="Cambria"/>
          <w:sz w:val="20"/>
          <w:szCs w:val="20"/>
        </w:rPr>
        <w:t xml:space="preserve"> guaranti</w:t>
      </w:r>
      <w:r w:rsidR="00C54196" w:rsidRPr="00C54196">
        <w:rPr>
          <w:rFonts w:ascii="Cambria" w:hAnsi="Cambria"/>
          <w:sz w:val="20"/>
          <w:szCs w:val="20"/>
        </w:rPr>
        <w:t>es), 24 (</w:t>
      </w:r>
      <w:r w:rsidR="00822A8A">
        <w:rPr>
          <w:rFonts w:ascii="Cambria" w:hAnsi="Cambria"/>
          <w:sz w:val="20"/>
          <w:szCs w:val="20"/>
        </w:rPr>
        <w:t>equality before the law</w:t>
      </w:r>
      <w:r w:rsidR="00C54196" w:rsidRPr="00C54196">
        <w:rPr>
          <w:rFonts w:ascii="Cambria" w:hAnsi="Cambria"/>
          <w:sz w:val="20"/>
          <w:szCs w:val="20"/>
        </w:rPr>
        <w:t>)</w:t>
      </w:r>
      <w:r w:rsidR="00C54196" w:rsidRPr="00C54196">
        <w:t xml:space="preserve"> </w:t>
      </w:r>
      <w:r w:rsidR="00822A8A">
        <w:rPr>
          <w:rFonts w:ascii="Cambria" w:hAnsi="Cambria"/>
          <w:sz w:val="20"/>
          <w:szCs w:val="20"/>
        </w:rPr>
        <w:t>and</w:t>
      </w:r>
      <w:r w:rsidR="00C54196" w:rsidRPr="00C54196">
        <w:rPr>
          <w:rFonts w:ascii="Cambria" w:hAnsi="Cambria"/>
          <w:sz w:val="20"/>
          <w:szCs w:val="20"/>
        </w:rPr>
        <w:t xml:space="preserve"> 25 (</w:t>
      </w:r>
      <w:r w:rsidR="00822A8A" w:rsidRPr="00C54196">
        <w:rPr>
          <w:rFonts w:ascii="Cambria" w:hAnsi="Cambria"/>
          <w:sz w:val="20"/>
          <w:szCs w:val="20"/>
        </w:rPr>
        <w:t>judicial protection</w:t>
      </w:r>
      <w:r w:rsidR="00C54196" w:rsidRPr="00C54196">
        <w:rPr>
          <w:rFonts w:ascii="Cambria" w:hAnsi="Cambria"/>
          <w:sz w:val="20"/>
          <w:szCs w:val="20"/>
        </w:rPr>
        <w:t>)</w:t>
      </w:r>
      <w:r w:rsidR="00C54196" w:rsidRPr="00C54196">
        <w:t xml:space="preserve"> </w:t>
      </w:r>
      <w:r w:rsidR="00822A8A">
        <w:rPr>
          <w:rFonts w:ascii="Cambria" w:hAnsi="Cambria"/>
          <w:sz w:val="20"/>
          <w:szCs w:val="20"/>
        </w:rPr>
        <w:t>of the</w:t>
      </w:r>
      <w:r w:rsidR="00C54196" w:rsidRPr="00C54196">
        <w:rPr>
          <w:rFonts w:ascii="Cambria" w:hAnsi="Cambria"/>
          <w:sz w:val="20"/>
          <w:szCs w:val="20"/>
        </w:rPr>
        <w:t xml:space="preserve"> American</w:t>
      </w:r>
      <w:r w:rsidR="00822A8A">
        <w:rPr>
          <w:rFonts w:ascii="Cambria" w:hAnsi="Cambria"/>
          <w:sz w:val="20"/>
          <w:szCs w:val="20"/>
        </w:rPr>
        <w:t xml:space="preserve"> </w:t>
      </w:r>
      <w:r w:rsidR="00822A8A" w:rsidRPr="00C54196">
        <w:rPr>
          <w:rFonts w:ascii="Cambria" w:hAnsi="Cambria"/>
          <w:sz w:val="20"/>
          <w:szCs w:val="20"/>
        </w:rPr>
        <w:t xml:space="preserve">Convention </w:t>
      </w:r>
      <w:r w:rsidR="00822A8A">
        <w:rPr>
          <w:rFonts w:ascii="Cambria" w:hAnsi="Cambria"/>
          <w:sz w:val="20"/>
          <w:szCs w:val="20"/>
        </w:rPr>
        <w:t>in accordance with article</w:t>
      </w:r>
      <w:r w:rsidR="00C54196" w:rsidRPr="00C54196">
        <w:rPr>
          <w:rFonts w:ascii="Cambria" w:hAnsi="Cambria"/>
          <w:sz w:val="20"/>
          <w:szCs w:val="20"/>
        </w:rPr>
        <w:t xml:space="preserve"> 1.1 del </w:t>
      </w:r>
      <w:r w:rsidR="00822A8A">
        <w:rPr>
          <w:rFonts w:ascii="Cambria" w:hAnsi="Cambria"/>
          <w:sz w:val="20"/>
          <w:szCs w:val="20"/>
        </w:rPr>
        <w:t>df the same</w:t>
      </w:r>
      <w:r w:rsidR="00C54196" w:rsidRPr="00C54196">
        <w:rPr>
          <w:rFonts w:ascii="Cambria" w:hAnsi="Cambria"/>
          <w:sz w:val="20"/>
          <w:szCs w:val="20"/>
        </w:rPr>
        <w:t xml:space="preserve"> </w:t>
      </w:r>
      <w:r w:rsidR="00822A8A" w:rsidRPr="00C54196">
        <w:rPr>
          <w:rFonts w:ascii="Cambria" w:hAnsi="Cambria"/>
          <w:sz w:val="20"/>
          <w:szCs w:val="20"/>
        </w:rPr>
        <w:t>instrument</w:t>
      </w:r>
      <w:r w:rsidR="00C54196" w:rsidRPr="00C54196">
        <w:rPr>
          <w:rFonts w:ascii="Cambria" w:hAnsi="Cambria"/>
          <w:sz w:val="20"/>
          <w:szCs w:val="20"/>
        </w:rPr>
        <w:t xml:space="preserve">. </w:t>
      </w:r>
    </w:p>
    <w:p w14:paraId="43E8D6D4" w14:textId="2E062923" w:rsidR="00C54196" w:rsidRPr="00C54196" w:rsidRDefault="008F007A"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for the claims on right to an indemnity</w:t>
      </w:r>
      <w:r w:rsidR="00C54196" w:rsidRPr="00C54196">
        <w:rPr>
          <w:rFonts w:ascii="Cambria" w:hAnsi="Cambria"/>
          <w:sz w:val="20"/>
          <w:szCs w:val="20"/>
        </w:rPr>
        <w:t xml:space="preserve"> </w:t>
      </w:r>
      <w:r>
        <w:rPr>
          <w:rFonts w:ascii="Cambria" w:hAnsi="Cambria"/>
          <w:sz w:val="20"/>
          <w:szCs w:val="20"/>
        </w:rPr>
        <w:t xml:space="preserve">for a </w:t>
      </w:r>
      <w:r w:rsidR="00C54196" w:rsidRPr="00C54196">
        <w:rPr>
          <w:rFonts w:ascii="Cambria" w:hAnsi="Cambria"/>
          <w:sz w:val="20"/>
          <w:szCs w:val="20"/>
        </w:rPr>
        <w:t>judicial</w:t>
      </w:r>
      <w:r w:rsidRPr="008F007A">
        <w:rPr>
          <w:rFonts w:ascii="Cambria" w:hAnsi="Cambria"/>
          <w:sz w:val="20"/>
          <w:szCs w:val="20"/>
        </w:rPr>
        <w:t xml:space="preserve"> </w:t>
      </w:r>
      <w:r w:rsidRPr="00C54196">
        <w:rPr>
          <w:rFonts w:ascii="Cambria" w:hAnsi="Cambria"/>
          <w:sz w:val="20"/>
          <w:szCs w:val="20"/>
        </w:rPr>
        <w:t>error</w:t>
      </w:r>
      <w:r w:rsidR="00C54196" w:rsidRPr="00C54196">
        <w:rPr>
          <w:rFonts w:ascii="Cambria" w:hAnsi="Cambria"/>
          <w:sz w:val="20"/>
          <w:szCs w:val="20"/>
        </w:rPr>
        <w:t xml:space="preserve">, </w:t>
      </w:r>
      <w:r>
        <w:rPr>
          <w:rFonts w:ascii="Cambria" w:hAnsi="Cambria"/>
          <w:sz w:val="20"/>
          <w:szCs w:val="20"/>
        </w:rPr>
        <w:t>the</w:t>
      </w:r>
      <w:r w:rsidR="00C54196" w:rsidRPr="00C54196">
        <w:rPr>
          <w:rFonts w:ascii="Cambria" w:hAnsi="Cambria"/>
          <w:sz w:val="20"/>
          <w:szCs w:val="20"/>
        </w:rPr>
        <w:t xml:space="preserve"> </w:t>
      </w:r>
      <w:r w:rsidRPr="00C54196">
        <w:rPr>
          <w:rFonts w:ascii="Cambria" w:hAnsi="Cambria"/>
          <w:sz w:val="20"/>
          <w:szCs w:val="20"/>
        </w:rPr>
        <w:t>American Convention</w:t>
      </w:r>
      <w:r w:rsidR="00C54196" w:rsidRPr="00C54196">
        <w:rPr>
          <w:rFonts w:ascii="Cambria" w:hAnsi="Cambria"/>
          <w:sz w:val="20"/>
          <w:szCs w:val="20"/>
        </w:rPr>
        <w:t xml:space="preserve"> establ</w:t>
      </w:r>
      <w:r>
        <w:rPr>
          <w:rFonts w:ascii="Cambria" w:hAnsi="Cambria"/>
          <w:sz w:val="20"/>
          <w:szCs w:val="20"/>
        </w:rPr>
        <w:t>ishes the requirement</w:t>
      </w:r>
      <w:r w:rsidR="00C54196" w:rsidRPr="00C54196">
        <w:rPr>
          <w:rFonts w:ascii="Cambria" w:hAnsi="Cambria"/>
          <w:sz w:val="20"/>
          <w:szCs w:val="20"/>
        </w:rPr>
        <w:t xml:space="preserve"> </w:t>
      </w:r>
      <w:r>
        <w:rPr>
          <w:rFonts w:ascii="Cambria" w:hAnsi="Cambria"/>
          <w:sz w:val="20"/>
          <w:szCs w:val="20"/>
        </w:rPr>
        <w:t>that such mistake being stated on a firm sentence</w:t>
      </w:r>
      <w:r w:rsidR="00C54196" w:rsidRPr="00C54196">
        <w:rPr>
          <w:rFonts w:ascii="Cambria" w:hAnsi="Cambria"/>
          <w:sz w:val="20"/>
          <w:szCs w:val="20"/>
        </w:rPr>
        <w:t xml:space="preserve">. </w:t>
      </w:r>
      <w:r>
        <w:rPr>
          <w:rFonts w:ascii="Cambria" w:hAnsi="Cambria"/>
          <w:sz w:val="20"/>
          <w:szCs w:val="20"/>
        </w:rPr>
        <w:t xml:space="preserve">The </w:t>
      </w:r>
      <w:r w:rsidRPr="00C54196">
        <w:rPr>
          <w:rFonts w:ascii="Cambria" w:hAnsi="Cambria"/>
          <w:sz w:val="20"/>
          <w:szCs w:val="20"/>
        </w:rPr>
        <w:t>Commission</w:t>
      </w:r>
      <w:r w:rsidR="00C54196" w:rsidRPr="00C54196">
        <w:rPr>
          <w:rFonts w:ascii="Cambria" w:hAnsi="Cambria"/>
          <w:sz w:val="20"/>
          <w:szCs w:val="20"/>
        </w:rPr>
        <w:t xml:space="preserve"> observ</w:t>
      </w:r>
      <w:r>
        <w:rPr>
          <w:rFonts w:ascii="Cambria" w:hAnsi="Cambria"/>
          <w:sz w:val="20"/>
          <w:szCs w:val="20"/>
        </w:rPr>
        <w:t>es</w:t>
      </w:r>
      <w:r w:rsidR="00C54196" w:rsidRPr="00C54196">
        <w:rPr>
          <w:rFonts w:ascii="Cambria" w:hAnsi="Cambria"/>
          <w:sz w:val="20"/>
          <w:szCs w:val="20"/>
        </w:rPr>
        <w:t xml:space="preserve"> </w:t>
      </w:r>
      <w:r>
        <w:rPr>
          <w:rFonts w:ascii="Cambria" w:hAnsi="Cambria"/>
          <w:sz w:val="20"/>
          <w:szCs w:val="20"/>
        </w:rPr>
        <w:t>that in the present case the</w:t>
      </w:r>
      <w:r w:rsidR="00C54196" w:rsidRPr="00C54196">
        <w:rPr>
          <w:rFonts w:ascii="Cambria" w:hAnsi="Cambria"/>
          <w:sz w:val="20"/>
          <w:szCs w:val="20"/>
        </w:rPr>
        <w:t xml:space="preserve"> sentenc</w:t>
      </w:r>
      <w:r>
        <w:rPr>
          <w:rFonts w:ascii="Cambria" w:hAnsi="Cambria"/>
          <w:sz w:val="20"/>
          <w:szCs w:val="20"/>
        </w:rPr>
        <w:t>e</w:t>
      </w:r>
      <w:r w:rsidR="00C54196" w:rsidRPr="00C54196">
        <w:rPr>
          <w:rFonts w:ascii="Cambria" w:hAnsi="Cambria"/>
          <w:sz w:val="20"/>
          <w:szCs w:val="20"/>
        </w:rPr>
        <w:t xml:space="preserve"> </w:t>
      </w:r>
      <w:r>
        <w:rPr>
          <w:rFonts w:ascii="Cambria" w:hAnsi="Cambria"/>
          <w:sz w:val="20"/>
          <w:szCs w:val="20"/>
        </w:rPr>
        <w:t>which recognized the payment of an</w:t>
      </w:r>
      <w:r w:rsidR="00C54196" w:rsidRPr="00C54196">
        <w:rPr>
          <w:rFonts w:ascii="Cambria" w:hAnsi="Cambria"/>
          <w:sz w:val="20"/>
          <w:szCs w:val="20"/>
        </w:rPr>
        <w:t xml:space="preserve"> indemni</w:t>
      </w:r>
      <w:r>
        <w:rPr>
          <w:rFonts w:ascii="Cambria" w:hAnsi="Cambria"/>
          <w:sz w:val="20"/>
          <w:szCs w:val="20"/>
        </w:rPr>
        <w:t>ty was</w:t>
      </w:r>
      <w:r w:rsidR="00C54196" w:rsidRPr="00C54196">
        <w:rPr>
          <w:rFonts w:ascii="Cambria" w:hAnsi="Cambria"/>
          <w:sz w:val="20"/>
          <w:szCs w:val="20"/>
        </w:rPr>
        <w:t xml:space="preserve"> </w:t>
      </w:r>
      <w:r w:rsidRPr="00C54196">
        <w:rPr>
          <w:rFonts w:ascii="Cambria" w:hAnsi="Cambria"/>
          <w:sz w:val="20"/>
          <w:szCs w:val="20"/>
        </w:rPr>
        <w:t>revoked</w:t>
      </w:r>
      <w:r w:rsidR="00C54196" w:rsidRPr="00C54196">
        <w:rPr>
          <w:rFonts w:ascii="Cambria" w:hAnsi="Cambria"/>
          <w:sz w:val="20"/>
          <w:szCs w:val="20"/>
        </w:rPr>
        <w:t xml:space="preserve">, </w:t>
      </w:r>
      <w:r>
        <w:rPr>
          <w:rFonts w:ascii="Cambria" w:hAnsi="Cambria"/>
          <w:sz w:val="20"/>
          <w:szCs w:val="20"/>
        </w:rPr>
        <w:t>which in conclusion does not constitute</w:t>
      </w:r>
      <w:r w:rsidR="00C54196" w:rsidRPr="00C54196">
        <w:rPr>
          <w:rFonts w:ascii="Cambria" w:hAnsi="Cambria"/>
          <w:sz w:val="20"/>
          <w:szCs w:val="20"/>
        </w:rPr>
        <w:t xml:space="preserve"> </w:t>
      </w:r>
      <w:r w:rsidR="00C54196" w:rsidRPr="00C54196">
        <w:rPr>
          <w:rFonts w:ascii="Cambria" w:hAnsi="Cambria"/>
          <w:i/>
          <w:sz w:val="20"/>
          <w:szCs w:val="20"/>
        </w:rPr>
        <w:t>prima facie</w:t>
      </w:r>
      <w:r w:rsidR="00C54196" w:rsidRPr="00C54196">
        <w:rPr>
          <w:rFonts w:ascii="Cambria" w:hAnsi="Cambria"/>
          <w:sz w:val="20"/>
          <w:szCs w:val="20"/>
        </w:rPr>
        <w:t xml:space="preserve">, </w:t>
      </w:r>
      <w:r>
        <w:rPr>
          <w:rFonts w:ascii="Cambria" w:hAnsi="Cambria"/>
          <w:sz w:val="20"/>
          <w:szCs w:val="20"/>
        </w:rPr>
        <w:t>a possible violation of article</w:t>
      </w:r>
      <w:r w:rsidR="00C54196" w:rsidRPr="00C54196">
        <w:rPr>
          <w:rFonts w:ascii="Cambria" w:hAnsi="Cambria"/>
          <w:sz w:val="20"/>
          <w:szCs w:val="20"/>
        </w:rPr>
        <w:t xml:space="preserve"> 10 </w:t>
      </w:r>
      <w:r>
        <w:rPr>
          <w:rFonts w:ascii="Cambria" w:hAnsi="Cambria"/>
          <w:sz w:val="20"/>
          <w:szCs w:val="20"/>
        </w:rPr>
        <w:t>of the</w:t>
      </w:r>
      <w:r w:rsidR="00C54196" w:rsidRPr="00C54196">
        <w:rPr>
          <w:rFonts w:ascii="Cambria" w:hAnsi="Cambria"/>
          <w:sz w:val="20"/>
          <w:szCs w:val="20"/>
        </w:rPr>
        <w:t xml:space="preserve"> American</w:t>
      </w:r>
      <w:r w:rsidRPr="008F007A">
        <w:rPr>
          <w:rFonts w:ascii="Cambria" w:hAnsi="Cambria"/>
          <w:sz w:val="20"/>
          <w:szCs w:val="20"/>
        </w:rPr>
        <w:t xml:space="preserve"> </w:t>
      </w:r>
      <w:r w:rsidRPr="00C54196">
        <w:rPr>
          <w:rFonts w:ascii="Cambria" w:hAnsi="Cambria"/>
          <w:sz w:val="20"/>
          <w:szCs w:val="20"/>
        </w:rPr>
        <w:t>Convention</w:t>
      </w:r>
      <w:r w:rsidR="00C54196" w:rsidRPr="00C54196">
        <w:rPr>
          <w:rFonts w:ascii="Cambria" w:hAnsi="Cambria"/>
          <w:sz w:val="20"/>
          <w:szCs w:val="20"/>
        </w:rPr>
        <w:t>.</w:t>
      </w:r>
      <w:r w:rsidR="00C54196" w:rsidRPr="00C54196">
        <w:t xml:space="preserve"> </w:t>
      </w:r>
    </w:p>
    <w:p w14:paraId="70146B96" w14:textId="28EA4E62" w:rsidR="00F621C3" w:rsidRPr="00C54196" w:rsidRDefault="008F007A" w:rsidP="00C541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In regards to the allegations</w:t>
      </w:r>
      <w:r w:rsidR="00C54196" w:rsidRPr="00C54196">
        <w:rPr>
          <w:rFonts w:ascii="Cambria" w:hAnsi="Cambria"/>
          <w:sz w:val="20"/>
          <w:szCs w:val="20"/>
        </w:rPr>
        <w:t xml:space="preserve"> </w:t>
      </w:r>
      <w:r>
        <w:rPr>
          <w:rFonts w:ascii="Cambria" w:hAnsi="Cambria"/>
          <w:sz w:val="20"/>
          <w:szCs w:val="20"/>
        </w:rPr>
        <w:t>from the</w:t>
      </w:r>
      <w:r w:rsidR="00C54196" w:rsidRPr="00C54196">
        <w:rPr>
          <w:rFonts w:ascii="Cambria" w:hAnsi="Cambria"/>
          <w:sz w:val="20"/>
          <w:szCs w:val="20"/>
        </w:rPr>
        <w:t xml:space="preserve"> </w:t>
      </w:r>
      <w:r>
        <w:rPr>
          <w:rFonts w:ascii="Cambria" w:hAnsi="Cambria"/>
          <w:sz w:val="20"/>
          <w:szCs w:val="20"/>
        </w:rPr>
        <w:t>State</w:t>
      </w:r>
      <w:r w:rsidR="00C54196" w:rsidRPr="00C54196">
        <w:rPr>
          <w:rFonts w:ascii="Cambria" w:hAnsi="Cambria"/>
          <w:sz w:val="20"/>
          <w:szCs w:val="20"/>
        </w:rPr>
        <w:t xml:space="preserve"> </w:t>
      </w:r>
      <w:r>
        <w:rPr>
          <w:rFonts w:ascii="Cambria" w:hAnsi="Cambria"/>
          <w:sz w:val="20"/>
          <w:szCs w:val="20"/>
        </w:rPr>
        <w:t>concerning the</w:t>
      </w:r>
      <w:r w:rsidR="00C54196" w:rsidRPr="00C54196">
        <w:rPr>
          <w:rFonts w:ascii="Cambria" w:hAnsi="Cambria"/>
          <w:sz w:val="20"/>
          <w:szCs w:val="20"/>
        </w:rPr>
        <w:t xml:space="preserve"> </w:t>
      </w:r>
      <w:r>
        <w:rPr>
          <w:rFonts w:ascii="Cambria" w:hAnsi="Cambria"/>
          <w:sz w:val="20"/>
          <w:szCs w:val="20"/>
        </w:rPr>
        <w:t xml:space="preserve">fourth instance </w:t>
      </w:r>
      <w:r w:rsidRPr="00C54196">
        <w:rPr>
          <w:rFonts w:ascii="Cambria" w:hAnsi="Cambria"/>
          <w:sz w:val="20"/>
          <w:szCs w:val="20"/>
        </w:rPr>
        <w:t>formula</w:t>
      </w:r>
      <w:r w:rsidR="00C54196" w:rsidRPr="00C54196">
        <w:rPr>
          <w:rFonts w:ascii="Cambria" w:hAnsi="Cambria"/>
          <w:sz w:val="20"/>
          <w:szCs w:val="20"/>
        </w:rPr>
        <w:t xml:space="preserve">, </w:t>
      </w:r>
      <w:r>
        <w:rPr>
          <w:rFonts w:ascii="Cambria" w:hAnsi="Cambria"/>
          <w:sz w:val="20"/>
          <w:szCs w:val="20"/>
        </w:rPr>
        <w:t>the</w:t>
      </w:r>
      <w:r w:rsidR="00C54196" w:rsidRPr="00C54196">
        <w:rPr>
          <w:rFonts w:ascii="Cambria" w:hAnsi="Cambria"/>
          <w:sz w:val="20"/>
          <w:szCs w:val="20"/>
        </w:rPr>
        <w:t xml:space="preserve"> </w:t>
      </w:r>
      <w:r w:rsidRPr="00C54196">
        <w:rPr>
          <w:rFonts w:ascii="Cambria" w:hAnsi="Cambria"/>
          <w:sz w:val="20"/>
          <w:szCs w:val="20"/>
        </w:rPr>
        <w:t>Commission</w:t>
      </w:r>
      <w:r w:rsidR="00C54196" w:rsidRPr="00C54196">
        <w:rPr>
          <w:rFonts w:ascii="Cambria" w:hAnsi="Cambria"/>
          <w:sz w:val="20"/>
          <w:szCs w:val="20"/>
        </w:rPr>
        <w:t xml:space="preserve"> </w:t>
      </w:r>
      <w:r>
        <w:rPr>
          <w:rFonts w:ascii="Cambria" w:hAnsi="Cambria"/>
          <w:sz w:val="20"/>
          <w:szCs w:val="20"/>
        </w:rPr>
        <w:t>insists that within the frame of its</w:t>
      </w:r>
      <w:r w:rsidR="00472254">
        <w:rPr>
          <w:rFonts w:ascii="Cambria" w:hAnsi="Cambria"/>
          <w:sz w:val="20"/>
          <w:szCs w:val="20"/>
        </w:rPr>
        <w:t xml:space="preserve"> empowerment</w:t>
      </w:r>
      <w:r w:rsidR="00C54196" w:rsidRPr="00C54196">
        <w:rPr>
          <w:rFonts w:ascii="Cambria" w:hAnsi="Cambria"/>
          <w:sz w:val="20"/>
          <w:szCs w:val="20"/>
        </w:rPr>
        <w:t xml:space="preserve"> </w:t>
      </w:r>
      <w:r w:rsidR="00472254">
        <w:rPr>
          <w:rFonts w:ascii="Cambria" w:hAnsi="Cambria"/>
          <w:sz w:val="20"/>
          <w:szCs w:val="20"/>
        </w:rPr>
        <w:t>it is competent to declare a petition</w:t>
      </w:r>
      <w:r w:rsidR="00C54196" w:rsidRPr="00C54196">
        <w:rPr>
          <w:rFonts w:ascii="Cambria" w:hAnsi="Cambria"/>
          <w:sz w:val="20"/>
          <w:szCs w:val="20"/>
        </w:rPr>
        <w:t xml:space="preserve"> admi</w:t>
      </w:r>
      <w:r w:rsidR="00472254">
        <w:rPr>
          <w:rFonts w:ascii="Cambria" w:hAnsi="Cambria"/>
          <w:sz w:val="20"/>
          <w:szCs w:val="20"/>
        </w:rPr>
        <w:t>s</w:t>
      </w:r>
      <w:r w:rsidR="00C54196" w:rsidRPr="00C54196">
        <w:rPr>
          <w:rFonts w:ascii="Cambria" w:hAnsi="Cambria"/>
          <w:sz w:val="20"/>
          <w:szCs w:val="20"/>
        </w:rPr>
        <w:t xml:space="preserve">sible </w:t>
      </w:r>
      <w:r w:rsidR="00472254">
        <w:rPr>
          <w:rFonts w:ascii="Cambria" w:hAnsi="Cambria"/>
          <w:sz w:val="20"/>
          <w:szCs w:val="20"/>
        </w:rPr>
        <w:t xml:space="preserve">and to resolve over the core </w:t>
      </w:r>
      <w:r w:rsidR="00C54196" w:rsidRPr="00C54196">
        <w:rPr>
          <w:rFonts w:ascii="Cambria" w:hAnsi="Cambria"/>
          <w:sz w:val="20"/>
          <w:szCs w:val="20"/>
        </w:rPr>
        <w:t xml:space="preserve"> </w:t>
      </w:r>
      <w:r w:rsidR="00472254">
        <w:rPr>
          <w:rFonts w:ascii="Cambria" w:hAnsi="Cambria"/>
          <w:sz w:val="20"/>
          <w:szCs w:val="20"/>
        </w:rPr>
        <w:t>when it refers to domestic processes</w:t>
      </w:r>
      <w:r w:rsidR="00C54196" w:rsidRPr="00C54196">
        <w:rPr>
          <w:rFonts w:ascii="Cambria" w:hAnsi="Cambria"/>
          <w:sz w:val="20"/>
          <w:szCs w:val="20"/>
        </w:rPr>
        <w:t xml:space="preserve"> </w:t>
      </w:r>
      <w:r w:rsidR="00472254">
        <w:rPr>
          <w:rFonts w:ascii="Cambria" w:hAnsi="Cambria"/>
          <w:sz w:val="20"/>
          <w:szCs w:val="20"/>
        </w:rPr>
        <w:t>that could be in violation</w:t>
      </w:r>
      <w:r w:rsidR="00C54196" w:rsidRPr="00C54196">
        <w:rPr>
          <w:rFonts w:ascii="Cambria" w:hAnsi="Cambria"/>
          <w:sz w:val="20"/>
          <w:szCs w:val="20"/>
        </w:rPr>
        <w:t xml:space="preserve"> </w:t>
      </w:r>
      <w:r w:rsidR="00472254">
        <w:rPr>
          <w:rFonts w:ascii="Cambria" w:hAnsi="Cambria"/>
          <w:sz w:val="20"/>
          <w:szCs w:val="20"/>
        </w:rPr>
        <w:t>of rights guaranteed by the</w:t>
      </w:r>
      <w:r w:rsidR="00C54196" w:rsidRPr="00C54196">
        <w:rPr>
          <w:rFonts w:ascii="Cambria" w:hAnsi="Cambria"/>
          <w:sz w:val="20"/>
          <w:szCs w:val="20"/>
        </w:rPr>
        <w:t xml:space="preserve"> </w:t>
      </w:r>
      <w:r w:rsidR="00472254" w:rsidRPr="00C54196">
        <w:rPr>
          <w:rFonts w:ascii="Cambria" w:hAnsi="Cambria"/>
          <w:sz w:val="20"/>
          <w:szCs w:val="20"/>
        </w:rPr>
        <w:t>American Convention</w:t>
      </w:r>
      <w:r w:rsidR="00C54196" w:rsidRPr="00C54196">
        <w:rPr>
          <w:rFonts w:ascii="Cambria" w:hAnsi="Cambria"/>
          <w:sz w:val="20"/>
          <w:szCs w:val="20"/>
        </w:rPr>
        <w:t>.</w:t>
      </w:r>
    </w:p>
    <w:p w14:paraId="5A70550C" w14:textId="77777777" w:rsidR="00F621C3" w:rsidRPr="00C54196" w:rsidRDefault="00F621C3" w:rsidP="00F621C3">
      <w:pPr>
        <w:pStyle w:val="ListParagraph"/>
        <w:spacing w:before="240" w:after="240"/>
        <w:jc w:val="both"/>
        <w:rPr>
          <w:rFonts w:asciiTheme="majorHAnsi" w:hAnsiTheme="majorHAnsi"/>
          <w:b/>
          <w:bCs/>
          <w:sz w:val="20"/>
          <w:szCs w:val="20"/>
        </w:rPr>
      </w:pPr>
      <w:r w:rsidRPr="00C54196">
        <w:rPr>
          <w:rFonts w:asciiTheme="majorHAnsi" w:hAnsiTheme="majorHAnsi"/>
          <w:b/>
          <w:bCs/>
          <w:sz w:val="20"/>
          <w:szCs w:val="20"/>
        </w:rPr>
        <w:t xml:space="preserve">VIII. </w:t>
      </w:r>
      <w:r w:rsidRPr="00C54196">
        <w:rPr>
          <w:rFonts w:asciiTheme="majorHAnsi" w:hAnsiTheme="majorHAnsi"/>
          <w:b/>
          <w:bCs/>
          <w:sz w:val="20"/>
          <w:szCs w:val="20"/>
        </w:rPr>
        <w:tab/>
        <w:t>DECISION</w:t>
      </w:r>
    </w:p>
    <w:p w14:paraId="227B9B6E" w14:textId="0EA8F078" w:rsidR="00F621C3" w:rsidRPr="00C54196"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Theme="majorHAnsi" w:hAnsiTheme="majorHAnsi"/>
          <w:sz w:val="20"/>
          <w:szCs w:val="20"/>
        </w:rPr>
        <w:t xml:space="preserve">To find the instant petition admissible in relation to Articles </w:t>
      </w:r>
      <w:r w:rsidR="004E1635" w:rsidRPr="00C8486A">
        <w:rPr>
          <w:rFonts w:asciiTheme="majorHAnsi" w:hAnsiTheme="majorHAnsi"/>
          <w:sz w:val="20"/>
          <w:szCs w:val="20"/>
        </w:rPr>
        <w:t>4, 5, 8, 24 and 25</w:t>
      </w:r>
      <w:r w:rsidRPr="00C54196">
        <w:rPr>
          <w:rFonts w:asciiTheme="majorHAnsi" w:hAnsiTheme="majorHAnsi"/>
          <w:sz w:val="20"/>
          <w:szCs w:val="20"/>
        </w:rPr>
        <w:t>;</w:t>
      </w:r>
    </w:p>
    <w:p w14:paraId="7B069E47" w14:textId="2988B1CF" w:rsidR="00F621C3" w:rsidRPr="00C54196" w:rsidRDefault="00F621C3" w:rsidP="00F621C3">
      <w:pPr>
        <w:pStyle w:val="ListParagraph"/>
        <w:numPr>
          <w:ilvl w:val="0"/>
          <w:numId w:val="105"/>
        </w:numPr>
        <w:rPr>
          <w:rFonts w:eastAsia="Arial Unicode MS" w:cs="Times New Roman"/>
          <w:color w:val="auto"/>
          <w:sz w:val="20"/>
          <w:szCs w:val="20"/>
          <w:lang w:eastAsia="en-US"/>
        </w:rPr>
      </w:pPr>
      <w:r w:rsidRPr="00C54196">
        <w:rPr>
          <w:rFonts w:asciiTheme="majorHAnsi" w:hAnsiTheme="majorHAnsi"/>
          <w:sz w:val="20"/>
          <w:szCs w:val="20"/>
        </w:rPr>
        <w:t xml:space="preserve">To find the instant </w:t>
      </w:r>
      <w:r w:rsidRPr="00232EE2">
        <w:rPr>
          <w:rFonts w:asciiTheme="majorHAnsi" w:hAnsiTheme="majorHAnsi"/>
          <w:color w:val="auto"/>
          <w:sz w:val="20"/>
          <w:szCs w:val="20"/>
        </w:rPr>
        <w:t xml:space="preserve">petition inadmissible in relation </w:t>
      </w:r>
      <w:r w:rsidRPr="00C54196">
        <w:rPr>
          <w:rFonts w:asciiTheme="majorHAnsi" w:hAnsiTheme="majorHAnsi"/>
          <w:sz w:val="20"/>
          <w:szCs w:val="20"/>
        </w:rPr>
        <w:t xml:space="preserve">to Article </w:t>
      </w:r>
      <w:r w:rsidR="004E1635">
        <w:rPr>
          <w:rFonts w:eastAsia="Arial Unicode MS" w:cs="Times New Roman"/>
          <w:color w:val="auto"/>
          <w:sz w:val="20"/>
          <w:szCs w:val="20"/>
          <w:lang w:eastAsia="en-US"/>
        </w:rPr>
        <w:t>10</w:t>
      </w:r>
      <w:r w:rsidRPr="00C54196">
        <w:rPr>
          <w:rFonts w:eastAsia="Arial Unicode MS" w:cs="Times New Roman"/>
          <w:color w:val="auto"/>
          <w:sz w:val="20"/>
          <w:szCs w:val="20"/>
          <w:lang w:eastAsia="en-US"/>
        </w:rPr>
        <w:t>;</w:t>
      </w:r>
      <w:r w:rsidR="001F1902" w:rsidRPr="00C54196">
        <w:rPr>
          <w:rFonts w:eastAsia="Arial Unicode MS" w:cs="Times New Roman"/>
          <w:color w:val="auto"/>
          <w:sz w:val="20"/>
          <w:szCs w:val="20"/>
          <w:lang w:eastAsia="en-US"/>
        </w:rPr>
        <w:t xml:space="preserve"> and</w:t>
      </w:r>
    </w:p>
    <w:p w14:paraId="47F30965" w14:textId="77777777" w:rsidR="00F621C3" w:rsidRPr="00C54196" w:rsidRDefault="00F621C3" w:rsidP="00F621C3">
      <w:pPr>
        <w:pStyle w:val="ListParagraph"/>
        <w:rPr>
          <w:rFonts w:eastAsia="Arial Unicode MS" w:cs="Times New Roman"/>
          <w:color w:val="auto"/>
          <w:sz w:val="20"/>
          <w:szCs w:val="20"/>
          <w:lang w:eastAsia="en-US"/>
        </w:rPr>
      </w:pPr>
    </w:p>
    <w:p w14:paraId="22CC8DDA" w14:textId="51ED6D8B" w:rsidR="00F621C3" w:rsidRPr="00C54196"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4196">
        <w:rPr>
          <w:rFonts w:asciiTheme="majorHAnsi" w:hAnsiTheme="majorHAnsi"/>
          <w:sz w:val="20"/>
          <w:szCs w:val="20"/>
        </w:rPr>
        <w:t>To notify the parties of this decision;</w:t>
      </w:r>
      <w:r w:rsidR="001F1902" w:rsidRPr="00C54196">
        <w:rPr>
          <w:rFonts w:asciiTheme="majorHAnsi" w:hAnsiTheme="majorHAnsi"/>
          <w:sz w:val="20"/>
          <w:szCs w:val="20"/>
        </w:rPr>
        <w:t xml:space="preserve"> t</w:t>
      </w:r>
      <w:r w:rsidRPr="00C54196">
        <w:rPr>
          <w:rFonts w:asciiTheme="majorHAnsi" w:hAnsiTheme="majorHAnsi"/>
          <w:sz w:val="20"/>
          <w:szCs w:val="20"/>
        </w:rPr>
        <w:t xml:space="preserve">o continue with the analysis on the merits; and </w:t>
      </w:r>
      <w:r w:rsidR="001F1902" w:rsidRPr="00C54196">
        <w:rPr>
          <w:rFonts w:asciiTheme="majorHAnsi" w:hAnsiTheme="majorHAnsi"/>
          <w:sz w:val="20"/>
          <w:szCs w:val="20"/>
        </w:rPr>
        <w:t>t</w:t>
      </w:r>
      <w:r w:rsidRPr="00C54196">
        <w:rPr>
          <w:rFonts w:asciiTheme="majorHAnsi" w:hAnsiTheme="majorHAnsi"/>
          <w:sz w:val="20"/>
          <w:szCs w:val="20"/>
        </w:rPr>
        <w:t>o publish this decision and include it in its Annual Report to the General Assembly of the Organization of American States.</w:t>
      </w:r>
    </w:p>
    <w:p w14:paraId="55745EC1" w14:textId="2A99CCA4" w:rsidR="00C21464" w:rsidRDefault="00C21464" w:rsidP="00C21464">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w:t>
      </w:r>
      <w:r w:rsidRPr="00C21464">
        <w:rPr>
          <w:rFonts w:ascii="Cambria" w:hAnsi="Cambria"/>
          <w:spacing w:val="-2"/>
          <w:sz w:val="20"/>
          <w:vertAlign w:val="superscript"/>
        </w:rPr>
        <w:t>st</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C2146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CC18C" w14:textId="77777777" w:rsidR="00F42E9E" w:rsidRDefault="00F42E9E" w:rsidP="00036A8A">
      <w:r>
        <w:separator/>
      </w:r>
    </w:p>
  </w:endnote>
  <w:endnote w:type="continuationSeparator" w:id="0">
    <w:p w14:paraId="439D4BBC" w14:textId="77777777" w:rsidR="00F42E9E" w:rsidRDefault="00F42E9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EED9" w14:textId="77777777" w:rsidR="00BA1148" w:rsidRDefault="00BA1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861BFF3" w:rsidR="008F007A" w:rsidRPr="006311DA" w:rsidRDefault="008F007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A1148">
          <w:rPr>
            <w:noProof/>
            <w:sz w:val="16"/>
          </w:rPr>
          <w:t>1</w:t>
        </w:r>
        <w:r w:rsidRPr="006311DA">
          <w:rPr>
            <w:noProof/>
            <w:sz w:val="16"/>
          </w:rPr>
          <w:fldChar w:fldCharType="end"/>
        </w:r>
      </w:p>
    </w:sdtContent>
  </w:sdt>
  <w:p w14:paraId="767961CB" w14:textId="77777777" w:rsidR="008F007A" w:rsidRDefault="008F00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8F007A" w:rsidRDefault="008F007A">
    <w:pPr>
      <w:pStyle w:val="Footer"/>
      <w:jc w:val="center"/>
    </w:pPr>
  </w:p>
  <w:p w14:paraId="2699B8C1" w14:textId="77777777" w:rsidR="008F007A" w:rsidRDefault="008F0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EFEC7" w14:textId="77777777" w:rsidR="00F42E9E" w:rsidRPr="00036A8A" w:rsidRDefault="00F42E9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CCAA129" w14:textId="77777777" w:rsidR="00F42E9E" w:rsidRPr="00036A8A" w:rsidRDefault="00F42E9E" w:rsidP="00036A8A">
      <w:pPr>
        <w:rPr>
          <w:rFonts w:asciiTheme="majorHAnsi" w:hAnsiTheme="majorHAnsi"/>
          <w:sz w:val="16"/>
          <w:szCs w:val="16"/>
        </w:rPr>
      </w:pPr>
      <w:r w:rsidRPr="00036A8A">
        <w:rPr>
          <w:rFonts w:asciiTheme="majorHAnsi" w:hAnsiTheme="majorHAnsi"/>
          <w:sz w:val="16"/>
          <w:szCs w:val="16"/>
        </w:rPr>
        <w:separator/>
      </w:r>
    </w:p>
    <w:p w14:paraId="749567BA" w14:textId="77777777" w:rsidR="00F42E9E" w:rsidRPr="00036A8A" w:rsidRDefault="00F42E9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5600EC1" w14:textId="77777777" w:rsidR="00F42E9E" w:rsidRPr="0093441A" w:rsidRDefault="00F42E9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51A4A1E" w14:textId="479E9BC9" w:rsidR="008F007A" w:rsidRPr="00C8486A" w:rsidRDefault="00C21464" w:rsidP="00F610D0">
      <w:pPr>
        <w:pStyle w:val="FootnoteText"/>
        <w:rPr>
          <w:rFonts w:asciiTheme="majorHAnsi" w:hAnsiTheme="majorHAnsi"/>
          <w:sz w:val="16"/>
          <w:szCs w:val="16"/>
        </w:rPr>
      </w:pPr>
      <w:r>
        <w:rPr>
          <w:rFonts w:ascii="Cambria" w:hAnsi="Cambria"/>
          <w:sz w:val="16"/>
          <w:szCs w:val="16"/>
        </w:rPr>
        <w:tab/>
      </w:r>
      <w:r w:rsidR="008F007A">
        <w:rPr>
          <w:rStyle w:val="FootnoteReference"/>
          <w:rFonts w:ascii="Cambria" w:hAnsi="Cambria"/>
          <w:sz w:val="16"/>
          <w:szCs w:val="16"/>
        </w:rPr>
        <w:footnoteRef/>
      </w:r>
      <w:r w:rsidR="008F007A" w:rsidRPr="00F958A9">
        <w:rPr>
          <w:rFonts w:ascii="Cambria" w:hAnsi="Cambria"/>
          <w:sz w:val="16"/>
          <w:szCs w:val="16"/>
        </w:rPr>
        <w:t xml:space="preserve"> Hereinafter “the American Convention” or “the Conven</w:t>
      </w:r>
      <w:r w:rsidR="008F007A">
        <w:rPr>
          <w:rFonts w:ascii="Cambria" w:hAnsi="Cambria"/>
          <w:sz w:val="16"/>
          <w:szCs w:val="16"/>
        </w:rPr>
        <w:t>tio</w:t>
      </w:r>
      <w:r w:rsidR="008F007A" w:rsidRPr="00F958A9">
        <w:rPr>
          <w:rFonts w:ascii="Cambria" w:hAnsi="Cambria"/>
          <w:sz w:val="16"/>
          <w:szCs w:val="16"/>
        </w:rPr>
        <w:t>n”.</w:t>
      </w:r>
    </w:p>
  </w:footnote>
  <w:footnote w:id="3">
    <w:p w14:paraId="6F51BDAF" w14:textId="5F4755E7" w:rsidR="008F007A" w:rsidRPr="000B6B7A" w:rsidRDefault="008F007A"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4">
    <w:p w14:paraId="24E11BE2" w14:textId="3DFF3F32" w:rsidR="008F007A" w:rsidRPr="00E51E8D" w:rsidRDefault="00C21464" w:rsidP="00294C77">
      <w:pPr>
        <w:pStyle w:val="FootnoteText"/>
      </w:pPr>
      <w:r>
        <w:tab/>
      </w:r>
      <w:r w:rsidR="008F007A" w:rsidRPr="00E51E8D">
        <w:rPr>
          <w:rStyle w:val="FootnoteReference"/>
        </w:rPr>
        <w:footnoteRef/>
      </w:r>
      <w:r w:rsidR="008F007A" w:rsidRPr="00E51E8D">
        <w:t xml:space="preserve"> </w:t>
      </w:r>
      <w:r w:rsidR="008F007A" w:rsidRPr="00E51E8D">
        <w:rPr>
          <w:rFonts w:asciiTheme="majorHAnsi" w:hAnsiTheme="majorHAnsi"/>
          <w:sz w:val="16"/>
          <w:szCs w:val="16"/>
        </w:rPr>
        <w:t xml:space="preserve">CIDH, Report No 35/16, Petition 4480-02. Admissibility. </w:t>
      </w:r>
      <w:r w:rsidR="008F007A" w:rsidRPr="00BA1148">
        <w:rPr>
          <w:rFonts w:asciiTheme="majorHAnsi" w:hAnsiTheme="majorHAnsi"/>
          <w:sz w:val="16"/>
          <w:szCs w:val="16"/>
          <w:lang w:val="es-US"/>
        </w:rPr>
        <w:t xml:space="preserve">Carlos Manuel Veraza Urtusuástegui. Mexico. </w:t>
      </w:r>
      <w:r w:rsidR="008F007A" w:rsidRPr="00E51E8D">
        <w:rPr>
          <w:rFonts w:asciiTheme="majorHAnsi" w:hAnsiTheme="majorHAnsi"/>
          <w:sz w:val="16"/>
          <w:szCs w:val="16"/>
        </w:rPr>
        <w:t>July 9th 2016, p</w:t>
      </w:r>
      <w:r w:rsidR="008F007A">
        <w:rPr>
          <w:rFonts w:asciiTheme="majorHAnsi" w:hAnsiTheme="majorHAnsi"/>
          <w:sz w:val="16"/>
          <w:szCs w:val="16"/>
        </w:rPr>
        <w:t>a</w:t>
      </w:r>
      <w:r w:rsidR="008F007A" w:rsidRPr="00E51E8D">
        <w:rPr>
          <w:rFonts w:asciiTheme="majorHAnsi" w:hAnsiTheme="majorHAnsi"/>
          <w:sz w:val="16"/>
          <w:szCs w:val="16"/>
        </w:rPr>
        <w:t>r.33</w:t>
      </w:r>
    </w:p>
  </w:footnote>
  <w:footnote w:id="5">
    <w:p w14:paraId="1F92C6C8" w14:textId="143B1514" w:rsidR="008F007A" w:rsidRPr="00822A8A" w:rsidRDefault="00C21464" w:rsidP="00C54196">
      <w:pPr>
        <w:pStyle w:val="FootnoteText"/>
      </w:pPr>
      <w:r>
        <w:tab/>
      </w:r>
      <w:r w:rsidR="008F007A">
        <w:rPr>
          <w:rStyle w:val="FootnoteReference"/>
        </w:rPr>
        <w:footnoteRef/>
      </w:r>
      <w:r w:rsidR="008F007A" w:rsidRPr="00C8486A">
        <w:t xml:space="preserve"> </w:t>
      </w:r>
      <w:r w:rsidR="008F007A" w:rsidRPr="00822A8A">
        <w:rPr>
          <w:rFonts w:asciiTheme="majorHAnsi" w:hAnsiTheme="majorHAnsi"/>
          <w:sz w:val="16"/>
          <w:szCs w:val="16"/>
        </w:rPr>
        <w:t>Co</w:t>
      </w:r>
      <w:r w:rsidR="008F007A">
        <w:rPr>
          <w:rFonts w:asciiTheme="majorHAnsi" w:hAnsiTheme="majorHAnsi"/>
          <w:sz w:val="16"/>
          <w:szCs w:val="16"/>
        </w:rPr>
        <w:t xml:space="preserve">urt </w:t>
      </w:r>
      <w:r w:rsidR="008F007A" w:rsidRPr="00822A8A">
        <w:rPr>
          <w:rFonts w:asciiTheme="majorHAnsi" w:hAnsiTheme="majorHAnsi"/>
          <w:sz w:val="16"/>
          <w:szCs w:val="16"/>
        </w:rPr>
        <w:t xml:space="preserve">I.D.H., </w:t>
      </w:r>
      <w:r w:rsidR="008F007A" w:rsidRPr="00822A8A">
        <w:rPr>
          <w:rFonts w:asciiTheme="majorHAnsi" w:hAnsiTheme="majorHAnsi"/>
          <w:i/>
          <w:sz w:val="16"/>
          <w:szCs w:val="16"/>
        </w:rPr>
        <w:t xml:space="preserve">Case Juan Humberto Sánchez vs. Honduras. </w:t>
      </w:r>
      <w:r w:rsidR="008F007A" w:rsidRPr="00822A8A">
        <w:rPr>
          <w:rFonts w:asciiTheme="majorHAnsi" w:hAnsiTheme="majorHAnsi"/>
          <w:sz w:val="16"/>
          <w:szCs w:val="16"/>
        </w:rPr>
        <w:t>Sentenc</w:t>
      </w:r>
      <w:r w:rsidR="008F007A">
        <w:rPr>
          <w:rFonts w:asciiTheme="majorHAnsi" w:hAnsiTheme="majorHAnsi"/>
          <w:sz w:val="16"/>
          <w:szCs w:val="16"/>
        </w:rPr>
        <w:t>e</w:t>
      </w:r>
      <w:r w:rsidR="008F007A" w:rsidRPr="00822A8A">
        <w:rPr>
          <w:rFonts w:asciiTheme="majorHAnsi" w:hAnsiTheme="majorHAnsi"/>
          <w:sz w:val="16"/>
          <w:szCs w:val="16"/>
        </w:rPr>
        <w:t xml:space="preserve"> </w:t>
      </w:r>
      <w:r w:rsidR="008F007A">
        <w:rPr>
          <w:rFonts w:asciiTheme="majorHAnsi" w:hAnsiTheme="majorHAnsi"/>
          <w:sz w:val="16"/>
          <w:szCs w:val="16"/>
        </w:rPr>
        <w:t xml:space="preserve">June </w:t>
      </w:r>
      <w:r w:rsidR="008F007A" w:rsidRPr="00822A8A">
        <w:rPr>
          <w:rFonts w:asciiTheme="majorHAnsi" w:hAnsiTheme="majorHAnsi"/>
          <w:sz w:val="16"/>
          <w:szCs w:val="16"/>
        </w:rPr>
        <w:t>7</w:t>
      </w:r>
      <w:r w:rsidR="008F007A" w:rsidRPr="00822A8A">
        <w:rPr>
          <w:rFonts w:asciiTheme="majorHAnsi" w:hAnsiTheme="majorHAnsi"/>
          <w:sz w:val="16"/>
          <w:szCs w:val="16"/>
          <w:vertAlign w:val="superscript"/>
        </w:rPr>
        <w:t>th</w:t>
      </w:r>
      <w:r w:rsidR="008F007A">
        <w:rPr>
          <w:rFonts w:asciiTheme="majorHAnsi" w:hAnsiTheme="majorHAnsi"/>
          <w:sz w:val="16"/>
          <w:szCs w:val="16"/>
        </w:rPr>
        <w:t xml:space="preserve"> </w:t>
      </w:r>
      <w:r w:rsidR="008F007A" w:rsidRPr="00822A8A">
        <w:rPr>
          <w:rFonts w:asciiTheme="majorHAnsi" w:hAnsiTheme="majorHAnsi"/>
          <w:sz w:val="16"/>
          <w:szCs w:val="16"/>
        </w:rPr>
        <w:t>2003. Serie</w:t>
      </w:r>
      <w:r w:rsidR="008F007A">
        <w:rPr>
          <w:rFonts w:asciiTheme="majorHAnsi" w:hAnsiTheme="majorHAnsi"/>
          <w:sz w:val="16"/>
          <w:szCs w:val="16"/>
        </w:rPr>
        <w:t>s</w:t>
      </w:r>
      <w:r w:rsidR="008F007A" w:rsidRPr="00822A8A">
        <w:rPr>
          <w:rFonts w:asciiTheme="majorHAnsi" w:hAnsiTheme="majorHAnsi"/>
          <w:sz w:val="16"/>
          <w:szCs w:val="16"/>
        </w:rPr>
        <w:t xml:space="preserve"> C N. 99, p</w:t>
      </w:r>
      <w:r w:rsidR="008F007A">
        <w:rPr>
          <w:rFonts w:asciiTheme="majorHAnsi" w:hAnsiTheme="majorHAnsi"/>
          <w:sz w:val="16"/>
          <w:szCs w:val="16"/>
        </w:rPr>
        <w:t>a</w:t>
      </w:r>
      <w:r w:rsidR="008F007A" w:rsidRPr="00822A8A">
        <w:rPr>
          <w:rFonts w:asciiTheme="majorHAnsi" w:hAnsiTheme="majorHAnsi"/>
          <w:sz w:val="16"/>
          <w:szCs w:val="16"/>
        </w:rPr>
        <w:t>r.111.</w:t>
      </w:r>
    </w:p>
  </w:footnote>
  <w:footnote w:id="6">
    <w:p w14:paraId="7C4607FC" w14:textId="412F49EE" w:rsidR="008F007A" w:rsidRPr="00822A8A" w:rsidRDefault="00C21464" w:rsidP="00C54196">
      <w:pPr>
        <w:pStyle w:val="FootnoteText"/>
        <w:rPr>
          <w:rFonts w:ascii="Cambria" w:hAnsi="Cambria"/>
        </w:rPr>
      </w:pPr>
      <w:r>
        <w:rPr>
          <w:rFonts w:ascii="Cambria" w:hAnsi="Cambria"/>
        </w:rPr>
        <w:tab/>
      </w:r>
      <w:r w:rsidR="008F007A" w:rsidRPr="00822A8A">
        <w:rPr>
          <w:rStyle w:val="FootnoteReference"/>
          <w:rFonts w:ascii="Cambria" w:hAnsi="Cambria"/>
        </w:rPr>
        <w:footnoteRef/>
      </w:r>
      <w:r w:rsidR="008F007A" w:rsidRPr="00822A8A">
        <w:rPr>
          <w:rFonts w:ascii="Cambria" w:hAnsi="Cambria"/>
        </w:rPr>
        <w:t xml:space="preserve"> </w:t>
      </w:r>
      <w:r w:rsidR="008F007A">
        <w:rPr>
          <w:rFonts w:ascii="Cambria" w:hAnsi="Cambria"/>
          <w:sz w:val="16"/>
          <w:szCs w:val="16"/>
        </w:rPr>
        <w:t>Advisory Opinion</w:t>
      </w:r>
      <w:r w:rsidR="008F007A" w:rsidRPr="00822A8A">
        <w:rPr>
          <w:rFonts w:ascii="Cambria" w:hAnsi="Cambria"/>
          <w:sz w:val="16"/>
          <w:szCs w:val="16"/>
        </w:rPr>
        <w:t xml:space="preserve"> OC-4/84 del </w:t>
      </w:r>
      <w:r w:rsidR="008F007A">
        <w:rPr>
          <w:rFonts w:ascii="Cambria" w:hAnsi="Cambria"/>
          <w:sz w:val="16"/>
          <w:szCs w:val="16"/>
        </w:rPr>
        <w:t xml:space="preserve">January </w:t>
      </w:r>
      <w:r w:rsidR="008F007A" w:rsidRPr="00822A8A">
        <w:rPr>
          <w:rFonts w:ascii="Cambria" w:hAnsi="Cambria"/>
          <w:sz w:val="16"/>
          <w:szCs w:val="16"/>
        </w:rPr>
        <w:t>19</w:t>
      </w:r>
      <w:r w:rsidR="008F007A" w:rsidRPr="008F007A">
        <w:rPr>
          <w:rFonts w:ascii="Cambria" w:hAnsi="Cambria"/>
          <w:sz w:val="16"/>
          <w:szCs w:val="16"/>
          <w:vertAlign w:val="superscript"/>
        </w:rPr>
        <w:t>th</w:t>
      </w:r>
      <w:r w:rsidR="008F007A">
        <w:rPr>
          <w:rFonts w:ascii="Cambria" w:hAnsi="Cambria"/>
          <w:sz w:val="16"/>
          <w:szCs w:val="16"/>
        </w:rPr>
        <w:t xml:space="preserve"> </w:t>
      </w:r>
      <w:r w:rsidR="008F007A" w:rsidRPr="00822A8A">
        <w:rPr>
          <w:rFonts w:ascii="Cambria" w:hAnsi="Cambria"/>
          <w:sz w:val="16"/>
          <w:szCs w:val="16"/>
        </w:rPr>
        <w:t>1984, p</w:t>
      </w:r>
      <w:r w:rsidR="008F007A">
        <w:rPr>
          <w:rFonts w:ascii="Cambria" w:hAnsi="Cambria"/>
          <w:sz w:val="16"/>
          <w:szCs w:val="16"/>
        </w:rPr>
        <w:t>aragraph</w:t>
      </w:r>
      <w:r w:rsidR="008F007A" w:rsidRPr="00822A8A">
        <w:rPr>
          <w:rFonts w:ascii="Cambria" w:hAnsi="Cambria"/>
          <w:sz w:val="16"/>
          <w:szCs w:val="16"/>
        </w:rPr>
        <w:t xml:space="preserve">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8F007A" w:rsidRDefault="008F007A" w:rsidP="00CA64B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8F007A" w:rsidRDefault="008F0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8F007A" w:rsidRDefault="008F007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8F007A" w:rsidRPr="00EC7D62" w:rsidRDefault="00F42E9E"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BAEBA" w14:textId="77777777" w:rsidR="00BA1148" w:rsidRDefault="00BA1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17F"/>
    <w:rsid w:val="00022CF5"/>
    <w:rsid w:val="00036A8A"/>
    <w:rsid w:val="00040C3A"/>
    <w:rsid w:val="000639C0"/>
    <w:rsid w:val="00070F3A"/>
    <w:rsid w:val="000716C5"/>
    <w:rsid w:val="00072099"/>
    <w:rsid w:val="00075E23"/>
    <w:rsid w:val="00092F32"/>
    <w:rsid w:val="0009344A"/>
    <w:rsid w:val="00093D98"/>
    <w:rsid w:val="000A55F2"/>
    <w:rsid w:val="000A575F"/>
    <w:rsid w:val="000C4365"/>
    <w:rsid w:val="000D10DB"/>
    <w:rsid w:val="000D4E8C"/>
    <w:rsid w:val="000D6B09"/>
    <w:rsid w:val="000D78D9"/>
    <w:rsid w:val="000F112D"/>
    <w:rsid w:val="00106F4C"/>
    <w:rsid w:val="00124116"/>
    <w:rsid w:val="0013104F"/>
    <w:rsid w:val="00137EBA"/>
    <w:rsid w:val="00145C6C"/>
    <w:rsid w:val="00145EDC"/>
    <w:rsid w:val="00153084"/>
    <w:rsid w:val="00160CFE"/>
    <w:rsid w:val="00161099"/>
    <w:rsid w:val="00167A34"/>
    <w:rsid w:val="001714B4"/>
    <w:rsid w:val="00176E5F"/>
    <w:rsid w:val="0018037F"/>
    <w:rsid w:val="001941CF"/>
    <w:rsid w:val="001966DE"/>
    <w:rsid w:val="001A5F27"/>
    <w:rsid w:val="001A65E4"/>
    <w:rsid w:val="001A7870"/>
    <w:rsid w:val="001C1B41"/>
    <w:rsid w:val="001E366B"/>
    <w:rsid w:val="001E785F"/>
    <w:rsid w:val="001F1902"/>
    <w:rsid w:val="001F6ACE"/>
    <w:rsid w:val="00210E0E"/>
    <w:rsid w:val="00210F4B"/>
    <w:rsid w:val="00230163"/>
    <w:rsid w:val="00232EE2"/>
    <w:rsid w:val="0023351C"/>
    <w:rsid w:val="00241001"/>
    <w:rsid w:val="00247403"/>
    <w:rsid w:val="00247542"/>
    <w:rsid w:val="00257893"/>
    <w:rsid w:val="00266092"/>
    <w:rsid w:val="00266B61"/>
    <w:rsid w:val="0026712A"/>
    <w:rsid w:val="002704DB"/>
    <w:rsid w:val="00275005"/>
    <w:rsid w:val="002760CE"/>
    <w:rsid w:val="002764AB"/>
    <w:rsid w:val="00294C77"/>
    <w:rsid w:val="002B678F"/>
    <w:rsid w:val="002B7A85"/>
    <w:rsid w:val="002C1641"/>
    <w:rsid w:val="002D7EA2"/>
    <w:rsid w:val="002E15DF"/>
    <w:rsid w:val="002E187C"/>
    <w:rsid w:val="002E6E57"/>
    <w:rsid w:val="00301075"/>
    <w:rsid w:val="00302733"/>
    <w:rsid w:val="00303647"/>
    <w:rsid w:val="00311A4F"/>
    <w:rsid w:val="00314078"/>
    <w:rsid w:val="00321AFD"/>
    <w:rsid w:val="00322450"/>
    <w:rsid w:val="003246B5"/>
    <w:rsid w:val="0033169F"/>
    <w:rsid w:val="00334971"/>
    <w:rsid w:val="003414AC"/>
    <w:rsid w:val="003536DF"/>
    <w:rsid w:val="00356185"/>
    <w:rsid w:val="00360380"/>
    <w:rsid w:val="003632F1"/>
    <w:rsid w:val="00364F35"/>
    <w:rsid w:val="003771A3"/>
    <w:rsid w:val="00386CF0"/>
    <w:rsid w:val="003872FC"/>
    <w:rsid w:val="00387874"/>
    <w:rsid w:val="003A18A7"/>
    <w:rsid w:val="003A4348"/>
    <w:rsid w:val="003C1D85"/>
    <w:rsid w:val="003C32BC"/>
    <w:rsid w:val="003E3E03"/>
    <w:rsid w:val="003F1BBF"/>
    <w:rsid w:val="004162B1"/>
    <w:rsid w:val="004165C2"/>
    <w:rsid w:val="00445A12"/>
    <w:rsid w:val="00450A4A"/>
    <w:rsid w:val="004666FB"/>
    <w:rsid w:val="00466D0B"/>
    <w:rsid w:val="00467B7E"/>
    <w:rsid w:val="00472254"/>
    <w:rsid w:val="004759DD"/>
    <w:rsid w:val="0049419D"/>
    <w:rsid w:val="00494FB8"/>
    <w:rsid w:val="004B2762"/>
    <w:rsid w:val="004B7EB6"/>
    <w:rsid w:val="004C2FB6"/>
    <w:rsid w:val="004C41DE"/>
    <w:rsid w:val="004C4B62"/>
    <w:rsid w:val="004C7A36"/>
    <w:rsid w:val="004D6025"/>
    <w:rsid w:val="004D72BC"/>
    <w:rsid w:val="004E1635"/>
    <w:rsid w:val="004F6B67"/>
    <w:rsid w:val="00501399"/>
    <w:rsid w:val="005033B0"/>
    <w:rsid w:val="00507BC4"/>
    <w:rsid w:val="005128E4"/>
    <w:rsid w:val="00525560"/>
    <w:rsid w:val="00534AC8"/>
    <w:rsid w:val="005357A6"/>
    <w:rsid w:val="00537FE8"/>
    <w:rsid w:val="005406C2"/>
    <w:rsid w:val="00544C49"/>
    <w:rsid w:val="0057402A"/>
    <w:rsid w:val="005771D0"/>
    <w:rsid w:val="005816E5"/>
    <w:rsid w:val="00590C59"/>
    <w:rsid w:val="0059191A"/>
    <w:rsid w:val="005921FF"/>
    <w:rsid w:val="00592718"/>
    <w:rsid w:val="005A6D0E"/>
    <w:rsid w:val="005B222D"/>
    <w:rsid w:val="005B2BB1"/>
    <w:rsid w:val="005B52B0"/>
    <w:rsid w:val="005B6806"/>
    <w:rsid w:val="005C00F9"/>
    <w:rsid w:val="005C4225"/>
    <w:rsid w:val="005D2D27"/>
    <w:rsid w:val="005F0F33"/>
    <w:rsid w:val="00600DEB"/>
    <w:rsid w:val="00605DE2"/>
    <w:rsid w:val="00613027"/>
    <w:rsid w:val="00617D66"/>
    <w:rsid w:val="00627C9F"/>
    <w:rsid w:val="006311DA"/>
    <w:rsid w:val="006311E9"/>
    <w:rsid w:val="006318B2"/>
    <w:rsid w:val="00632354"/>
    <w:rsid w:val="00642810"/>
    <w:rsid w:val="00652333"/>
    <w:rsid w:val="00653EA6"/>
    <w:rsid w:val="006614CA"/>
    <w:rsid w:val="0068009E"/>
    <w:rsid w:val="006A17D2"/>
    <w:rsid w:val="006A73E6"/>
    <w:rsid w:val="006B2D5C"/>
    <w:rsid w:val="006B5617"/>
    <w:rsid w:val="006C4EB1"/>
    <w:rsid w:val="006D4707"/>
    <w:rsid w:val="006E0166"/>
    <w:rsid w:val="006E7B34"/>
    <w:rsid w:val="006F5C11"/>
    <w:rsid w:val="00701B24"/>
    <w:rsid w:val="0071495F"/>
    <w:rsid w:val="0072304E"/>
    <w:rsid w:val="0073798E"/>
    <w:rsid w:val="00745899"/>
    <w:rsid w:val="00746E6F"/>
    <w:rsid w:val="007607C4"/>
    <w:rsid w:val="0076643F"/>
    <w:rsid w:val="00781653"/>
    <w:rsid w:val="00790DA1"/>
    <w:rsid w:val="00795A9D"/>
    <w:rsid w:val="007A2F70"/>
    <w:rsid w:val="007C3334"/>
    <w:rsid w:val="007C52BB"/>
    <w:rsid w:val="007D2B98"/>
    <w:rsid w:val="007F196E"/>
    <w:rsid w:val="008016FB"/>
    <w:rsid w:val="00803F1C"/>
    <w:rsid w:val="0080600E"/>
    <w:rsid w:val="00807050"/>
    <w:rsid w:val="00817612"/>
    <w:rsid w:val="00822A8A"/>
    <w:rsid w:val="008335ED"/>
    <w:rsid w:val="00837C45"/>
    <w:rsid w:val="00843CEB"/>
    <w:rsid w:val="008478EF"/>
    <w:rsid w:val="00853419"/>
    <w:rsid w:val="0087499B"/>
    <w:rsid w:val="008776F7"/>
    <w:rsid w:val="00897E12"/>
    <w:rsid w:val="008C3BA3"/>
    <w:rsid w:val="008D43BA"/>
    <w:rsid w:val="008E0047"/>
    <w:rsid w:val="008E3759"/>
    <w:rsid w:val="008F007A"/>
    <w:rsid w:val="009041DC"/>
    <w:rsid w:val="009104B4"/>
    <w:rsid w:val="009228DA"/>
    <w:rsid w:val="00925FCD"/>
    <w:rsid w:val="0093441A"/>
    <w:rsid w:val="00954BF7"/>
    <w:rsid w:val="00966CAD"/>
    <w:rsid w:val="0096706E"/>
    <w:rsid w:val="00981FBA"/>
    <w:rsid w:val="009A1C7C"/>
    <w:rsid w:val="009B381B"/>
    <w:rsid w:val="009D7611"/>
    <w:rsid w:val="009E0F30"/>
    <w:rsid w:val="009E53DE"/>
    <w:rsid w:val="009E566A"/>
    <w:rsid w:val="00A05E13"/>
    <w:rsid w:val="00A12DBC"/>
    <w:rsid w:val="00A15F8D"/>
    <w:rsid w:val="00A43458"/>
    <w:rsid w:val="00A528D1"/>
    <w:rsid w:val="00A66BE5"/>
    <w:rsid w:val="00AD37C1"/>
    <w:rsid w:val="00AE66EC"/>
    <w:rsid w:val="00AE6F91"/>
    <w:rsid w:val="00AF5571"/>
    <w:rsid w:val="00B06BB7"/>
    <w:rsid w:val="00B167E9"/>
    <w:rsid w:val="00B179ED"/>
    <w:rsid w:val="00B314DB"/>
    <w:rsid w:val="00B31EBE"/>
    <w:rsid w:val="00B3718B"/>
    <w:rsid w:val="00B41625"/>
    <w:rsid w:val="00B44B23"/>
    <w:rsid w:val="00B4632A"/>
    <w:rsid w:val="00B577E1"/>
    <w:rsid w:val="00B92E49"/>
    <w:rsid w:val="00BA1148"/>
    <w:rsid w:val="00BA276C"/>
    <w:rsid w:val="00BB306F"/>
    <w:rsid w:val="00BB7FC9"/>
    <w:rsid w:val="00BC4B46"/>
    <w:rsid w:val="00BD232B"/>
    <w:rsid w:val="00BD2E42"/>
    <w:rsid w:val="00BD3D3D"/>
    <w:rsid w:val="00BD4B89"/>
    <w:rsid w:val="00BE1FB2"/>
    <w:rsid w:val="00C21464"/>
    <w:rsid w:val="00C21762"/>
    <w:rsid w:val="00C24543"/>
    <w:rsid w:val="00C256A2"/>
    <w:rsid w:val="00C3492D"/>
    <w:rsid w:val="00C54196"/>
    <w:rsid w:val="00C55560"/>
    <w:rsid w:val="00C66B72"/>
    <w:rsid w:val="00C734A3"/>
    <w:rsid w:val="00C8180B"/>
    <w:rsid w:val="00C8486A"/>
    <w:rsid w:val="00C9567A"/>
    <w:rsid w:val="00CA64B5"/>
    <w:rsid w:val="00CA6577"/>
    <w:rsid w:val="00CB2660"/>
    <w:rsid w:val="00CC5E90"/>
    <w:rsid w:val="00CD046C"/>
    <w:rsid w:val="00CE5199"/>
    <w:rsid w:val="00CE66D5"/>
    <w:rsid w:val="00D31BA5"/>
    <w:rsid w:val="00D34786"/>
    <w:rsid w:val="00D37298"/>
    <w:rsid w:val="00D40A1E"/>
    <w:rsid w:val="00D533C0"/>
    <w:rsid w:val="00D60629"/>
    <w:rsid w:val="00D64110"/>
    <w:rsid w:val="00D712D3"/>
    <w:rsid w:val="00D71422"/>
    <w:rsid w:val="00D7145E"/>
    <w:rsid w:val="00D75084"/>
    <w:rsid w:val="00D7558D"/>
    <w:rsid w:val="00D81D92"/>
    <w:rsid w:val="00D93446"/>
    <w:rsid w:val="00D9371B"/>
    <w:rsid w:val="00D95C53"/>
    <w:rsid w:val="00DA2CA0"/>
    <w:rsid w:val="00DA7B5F"/>
    <w:rsid w:val="00DE27F4"/>
    <w:rsid w:val="00DF078B"/>
    <w:rsid w:val="00DF350D"/>
    <w:rsid w:val="00E066AC"/>
    <w:rsid w:val="00E227C1"/>
    <w:rsid w:val="00E422E8"/>
    <w:rsid w:val="00E423DC"/>
    <w:rsid w:val="00E43157"/>
    <w:rsid w:val="00E443E6"/>
    <w:rsid w:val="00E47F3D"/>
    <w:rsid w:val="00E51E8D"/>
    <w:rsid w:val="00E52AE3"/>
    <w:rsid w:val="00E533FF"/>
    <w:rsid w:val="00E709B3"/>
    <w:rsid w:val="00E7588C"/>
    <w:rsid w:val="00E83310"/>
    <w:rsid w:val="00E850B6"/>
    <w:rsid w:val="00E8789F"/>
    <w:rsid w:val="00E90498"/>
    <w:rsid w:val="00E97B71"/>
    <w:rsid w:val="00EB454D"/>
    <w:rsid w:val="00ED0D1B"/>
    <w:rsid w:val="00ED62A6"/>
    <w:rsid w:val="00EE3522"/>
    <w:rsid w:val="00EF619B"/>
    <w:rsid w:val="00F00B55"/>
    <w:rsid w:val="00F1380F"/>
    <w:rsid w:val="00F14F0E"/>
    <w:rsid w:val="00F15A3B"/>
    <w:rsid w:val="00F170A8"/>
    <w:rsid w:val="00F24C29"/>
    <w:rsid w:val="00F253CC"/>
    <w:rsid w:val="00F42B71"/>
    <w:rsid w:val="00F42E9E"/>
    <w:rsid w:val="00F56BA5"/>
    <w:rsid w:val="00F610D0"/>
    <w:rsid w:val="00F621C3"/>
    <w:rsid w:val="00F644E6"/>
    <w:rsid w:val="00F9653B"/>
    <w:rsid w:val="00FB62CF"/>
    <w:rsid w:val="00FC3EB4"/>
    <w:rsid w:val="00FC6C58"/>
    <w:rsid w:val="00FD5234"/>
    <w:rsid w:val="00FE6B45"/>
    <w:rsid w:val="00FE7EB6"/>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14807"/>
    <w:rsid w:val="000B46AA"/>
    <w:rsid w:val="004108B1"/>
    <w:rsid w:val="004A19B7"/>
    <w:rsid w:val="00547634"/>
    <w:rsid w:val="00627E38"/>
    <w:rsid w:val="006C0533"/>
    <w:rsid w:val="007152BB"/>
    <w:rsid w:val="00733948"/>
    <w:rsid w:val="007823D5"/>
    <w:rsid w:val="009C7579"/>
    <w:rsid w:val="00AB44F1"/>
    <w:rsid w:val="00B173DE"/>
    <w:rsid w:val="00E715BD"/>
    <w:rsid w:val="00EA0868"/>
    <w:rsid w:val="00EA651D"/>
    <w:rsid w:val="00EC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A209-2E5B-4399-8138-02949D18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3273</Words>
  <Characters>17745</Characters>
  <Application>Microsoft Office Word</Application>
  <DocSecurity>0</DocSecurity>
  <Lines>369</Lines>
  <Paragraphs>114</Paragraphs>
  <ScaleCrop>false</ScaleCrop>
  <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133/20</dc:title>
  <dc:subject/>
  <dc:creator/>
  <cp:keywords/>
  <dc:description/>
  <cp:lastModifiedBy/>
  <cp:revision>1</cp:revision>
  <dcterms:created xsi:type="dcterms:W3CDTF">2020-07-13T15:37:00Z</dcterms:created>
  <dcterms:modified xsi:type="dcterms:W3CDTF">2020-07-13T15:38:00Z</dcterms:modified>
</cp:coreProperties>
</file>