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999E156" w14:textId="77777777" w:rsidR="00040C3A" w:rsidRPr="00671C66" w:rsidRDefault="006311DA" w:rsidP="00627C9F">
      <w:pPr>
        <w:jc w:val="both"/>
        <w:rPr>
          <w:rFonts w:asciiTheme="majorHAnsi" w:hAnsiTheme="majorHAnsi" w:cs="Univers"/>
          <w:b/>
          <w:bCs/>
          <w:sz w:val="22"/>
          <w:szCs w:val="22"/>
          <w:lang w:val="es-ES_tradnl"/>
        </w:rPr>
      </w:pPr>
      <w:r w:rsidRPr="00671C6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6766CA0D"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671C6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CB2660" w:rsidRDefault="002C1641">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3F665A89" w14:textId="77777777" w:rsidR="00040C3A" w:rsidRPr="00671C66" w:rsidRDefault="00040C3A" w:rsidP="00040C3A">
      <w:pPr>
        <w:tabs>
          <w:tab w:val="center" w:pos="5400"/>
        </w:tabs>
        <w:suppressAutoHyphens/>
        <w:jc w:val="both"/>
        <w:rPr>
          <w:rFonts w:asciiTheme="majorHAnsi" w:hAnsiTheme="majorHAnsi"/>
          <w:sz w:val="22"/>
          <w:szCs w:val="22"/>
          <w:lang w:val="es-ES"/>
        </w:rPr>
      </w:pPr>
    </w:p>
    <w:p w14:paraId="54AC1FBF" w14:textId="77777777" w:rsidR="00040C3A" w:rsidRPr="00671C66" w:rsidRDefault="00040C3A" w:rsidP="00040C3A">
      <w:pPr>
        <w:tabs>
          <w:tab w:val="center" w:pos="5400"/>
        </w:tabs>
        <w:suppressAutoHyphens/>
        <w:jc w:val="both"/>
        <w:rPr>
          <w:rFonts w:asciiTheme="majorHAnsi" w:hAnsiTheme="majorHAnsi"/>
          <w:sz w:val="22"/>
          <w:szCs w:val="22"/>
          <w:lang w:val="es-ES"/>
        </w:rPr>
      </w:pPr>
    </w:p>
    <w:p w14:paraId="6A4AC464" w14:textId="77777777" w:rsidR="005128E4" w:rsidRPr="00671C66" w:rsidRDefault="005128E4" w:rsidP="00040C3A">
      <w:pPr>
        <w:tabs>
          <w:tab w:val="center" w:pos="5400"/>
        </w:tabs>
        <w:suppressAutoHyphens/>
        <w:rPr>
          <w:rFonts w:asciiTheme="majorHAnsi" w:hAnsiTheme="majorHAnsi"/>
          <w:sz w:val="22"/>
          <w:szCs w:val="22"/>
          <w:lang w:val="es-ES_tradnl"/>
        </w:rPr>
      </w:pPr>
    </w:p>
    <w:p w14:paraId="515D20A5" w14:textId="77777777" w:rsidR="005128E4" w:rsidRPr="00671C66" w:rsidRDefault="005128E4" w:rsidP="00040C3A">
      <w:pPr>
        <w:tabs>
          <w:tab w:val="center" w:pos="5400"/>
        </w:tabs>
        <w:suppressAutoHyphens/>
        <w:rPr>
          <w:rFonts w:asciiTheme="majorHAnsi" w:hAnsiTheme="majorHAnsi"/>
          <w:sz w:val="22"/>
          <w:szCs w:val="22"/>
          <w:lang w:val="es-ES_tradnl"/>
        </w:rPr>
      </w:pPr>
    </w:p>
    <w:p w14:paraId="7CBA3E7E" w14:textId="77777777" w:rsidR="005128E4" w:rsidRPr="00671C66" w:rsidRDefault="005128E4" w:rsidP="00040C3A">
      <w:pPr>
        <w:tabs>
          <w:tab w:val="center" w:pos="5400"/>
        </w:tabs>
        <w:suppressAutoHyphens/>
        <w:rPr>
          <w:rFonts w:asciiTheme="majorHAnsi" w:hAnsiTheme="majorHAnsi"/>
          <w:sz w:val="22"/>
          <w:szCs w:val="22"/>
          <w:lang w:val="es-ES_tradnl"/>
        </w:rPr>
      </w:pPr>
    </w:p>
    <w:p w14:paraId="0FFC5ED6" w14:textId="77777777" w:rsidR="00040C3A" w:rsidRPr="00671C66" w:rsidRDefault="00040C3A" w:rsidP="005128E4">
      <w:pPr>
        <w:tabs>
          <w:tab w:val="center" w:pos="5400"/>
        </w:tabs>
        <w:suppressAutoHyphens/>
        <w:jc w:val="center"/>
        <w:rPr>
          <w:rFonts w:asciiTheme="majorHAnsi" w:hAnsiTheme="majorHAnsi"/>
          <w:sz w:val="22"/>
          <w:szCs w:val="22"/>
          <w:lang w:val="es-ES_tradnl"/>
        </w:rPr>
      </w:pPr>
    </w:p>
    <w:p w14:paraId="5FCF0358" w14:textId="77777777" w:rsidR="00040C3A" w:rsidRPr="00671C66" w:rsidRDefault="00040C3A" w:rsidP="005128E4">
      <w:pPr>
        <w:tabs>
          <w:tab w:val="center" w:pos="5400"/>
        </w:tabs>
        <w:suppressAutoHyphens/>
        <w:jc w:val="center"/>
        <w:rPr>
          <w:rFonts w:asciiTheme="majorHAnsi" w:hAnsiTheme="majorHAnsi"/>
          <w:sz w:val="22"/>
          <w:szCs w:val="22"/>
          <w:lang w:val="es-ES_tradnl"/>
        </w:rPr>
      </w:pPr>
    </w:p>
    <w:p w14:paraId="23C02B60" w14:textId="77777777" w:rsidR="005B52B0" w:rsidRPr="00671C66" w:rsidRDefault="005B52B0" w:rsidP="005128E4">
      <w:pPr>
        <w:tabs>
          <w:tab w:val="center" w:pos="5400"/>
        </w:tabs>
        <w:suppressAutoHyphens/>
        <w:jc w:val="center"/>
        <w:rPr>
          <w:rFonts w:asciiTheme="majorHAnsi" w:hAnsiTheme="majorHAnsi"/>
          <w:sz w:val="22"/>
          <w:szCs w:val="22"/>
          <w:lang w:val="es-ES_tradnl"/>
        </w:rPr>
      </w:pPr>
    </w:p>
    <w:p w14:paraId="1E4CC4A3" w14:textId="77777777" w:rsidR="005B52B0" w:rsidRPr="00671C66" w:rsidRDefault="005B52B0" w:rsidP="005128E4">
      <w:pPr>
        <w:tabs>
          <w:tab w:val="center" w:pos="5400"/>
        </w:tabs>
        <w:suppressAutoHyphens/>
        <w:jc w:val="center"/>
        <w:rPr>
          <w:rFonts w:asciiTheme="majorHAnsi" w:hAnsiTheme="majorHAnsi"/>
          <w:sz w:val="22"/>
          <w:szCs w:val="22"/>
          <w:lang w:val="es-ES_tradnl"/>
        </w:rPr>
      </w:pPr>
    </w:p>
    <w:p w14:paraId="022074FD" w14:textId="77777777" w:rsidR="005B52B0" w:rsidRPr="00671C66" w:rsidRDefault="005B52B0" w:rsidP="005128E4">
      <w:pPr>
        <w:tabs>
          <w:tab w:val="center" w:pos="5400"/>
        </w:tabs>
        <w:suppressAutoHyphens/>
        <w:jc w:val="center"/>
        <w:rPr>
          <w:rFonts w:asciiTheme="majorHAnsi" w:hAnsiTheme="majorHAnsi"/>
          <w:sz w:val="22"/>
          <w:szCs w:val="22"/>
          <w:lang w:val="es-ES_tradnl"/>
        </w:rPr>
      </w:pPr>
    </w:p>
    <w:p w14:paraId="3234C43C" w14:textId="77777777" w:rsidR="00040C3A" w:rsidRPr="00671C66" w:rsidRDefault="00040C3A" w:rsidP="00040C3A">
      <w:pPr>
        <w:tabs>
          <w:tab w:val="center" w:pos="5400"/>
        </w:tabs>
        <w:suppressAutoHyphens/>
        <w:jc w:val="center"/>
        <w:rPr>
          <w:rFonts w:asciiTheme="majorHAnsi" w:hAnsiTheme="majorHAnsi"/>
          <w:sz w:val="22"/>
          <w:szCs w:val="22"/>
          <w:lang w:val="es-ES_tradnl"/>
        </w:rPr>
      </w:pPr>
    </w:p>
    <w:p w14:paraId="2D58FFBA" w14:textId="77777777" w:rsidR="00040C3A" w:rsidRPr="00671C66" w:rsidRDefault="00040C3A" w:rsidP="00040C3A">
      <w:pPr>
        <w:tabs>
          <w:tab w:val="center" w:pos="5400"/>
        </w:tabs>
        <w:suppressAutoHyphens/>
        <w:jc w:val="center"/>
        <w:rPr>
          <w:rFonts w:asciiTheme="majorHAnsi" w:hAnsiTheme="majorHAnsi"/>
          <w:sz w:val="22"/>
          <w:szCs w:val="22"/>
          <w:lang w:val="es-ES_tradnl"/>
        </w:rPr>
      </w:pPr>
    </w:p>
    <w:p w14:paraId="4A574974" w14:textId="77777777" w:rsidR="00040C3A" w:rsidRPr="00671C66" w:rsidRDefault="00040C3A" w:rsidP="00040C3A">
      <w:pPr>
        <w:tabs>
          <w:tab w:val="center" w:pos="5400"/>
        </w:tabs>
        <w:suppressAutoHyphens/>
        <w:jc w:val="center"/>
        <w:rPr>
          <w:rFonts w:asciiTheme="majorHAnsi" w:hAnsiTheme="majorHAnsi"/>
          <w:sz w:val="22"/>
          <w:szCs w:val="22"/>
          <w:lang w:val="es-ES_tradnl"/>
        </w:rPr>
      </w:pPr>
    </w:p>
    <w:p w14:paraId="11A9BA8A" w14:textId="77777777" w:rsidR="00040C3A" w:rsidRPr="00671C66" w:rsidRDefault="00E533FF" w:rsidP="00040C3A">
      <w:pPr>
        <w:tabs>
          <w:tab w:val="center" w:pos="5400"/>
        </w:tabs>
        <w:suppressAutoHyphens/>
        <w:jc w:val="center"/>
        <w:rPr>
          <w:rFonts w:asciiTheme="majorHAnsi" w:hAnsiTheme="majorHAnsi"/>
          <w:sz w:val="22"/>
          <w:szCs w:val="22"/>
          <w:lang w:val="es-ES_tradnl"/>
        </w:rPr>
      </w:pPr>
      <w:r w:rsidRPr="00671C6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DC3080" w14:textId="380E3B15" w:rsidR="008B5693" w:rsidRPr="008B5693" w:rsidRDefault="008B5693" w:rsidP="008B5693">
                            <w:pPr>
                              <w:spacing w:line="276" w:lineRule="auto"/>
                              <w:rPr>
                                <w:rFonts w:asciiTheme="majorHAnsi" w:hAnsiTheme="majorHAnsi" w:cs="Arial"/>
                                <w:b/>
                                <w:bCs/>
                                <w:color w:val="0D0D0D" w:themeColor="text1" w:themeTint="F2"/>
                                <w:sz w:val="36"/>
                                <w:szCs w:val="40"/>
                                <w:lang w:val="es-ES_tradnl"/>
                              </w:rPr>
                            </w:pPr>
                            <w:r w:rsidRPr="008B5693">
                              <w:rPr>
                                <w:rFonts w:asciiTheme="majorHAnsi" w:hAnsiTheme="majorHAnsi" w:cs="Arial"/>
                                <w:b/>
                                <w:bCs/>
                                <w:color w:val="0D0D0D" w:themeColor="text1" w:themeTint="F2"/>
                                <w:sz w:val="36"/>
                                <w:szCs w:val="40"/>
                                <w:lang w:val="es-ES_tradnl"/>
                              </w:rPr>
                              <w:t xml:space="preserve">INFORME No. </w:t>
                            </w:r>
                            <w:r w:rsidR="00AC6482">
                              <w:rPr>
                                <w:rFonts w:asciiTheme="majorHAnsi" w:hAnsiTheme="majorHAnsi" w:cs="Arial"/>
                                <w:b/>
                                <w:bCs/>
                                <w:color w:val="0D0D0D" w:themeColor="text1" w:themeTint="F2"/>
                                <w:sz w:val="36"/>
                                <w:szCs w:val="40"/>
                                <w:lang w:val="es-ES_tradnl"/>
                              </w:rPr>
                              <w:t>42</w:t>
                            </w:r>
                            <w:r w:rsidRPr="008B5693">
                              <w:rPr>
                                <w:rFonts w:asciiTheme="majorHAnsi" w:hAnsiTheme="majorHAnsi" w:cs="Arial"/>
                                <w:b/>
                                <w:bCs/>
                                <w:color w:val="0D0D0D" w:themeColor="text1" w:themeTint="F2"/>
                                <w:sz w:val="36"/>
                                <w:szCs w:val="40"/>
                                <w:lang w:val="es-ES_tradnl"/>
                              </w:rPr>
                              <w:t>/20</w:t>
                            </w:r>
                          </w:p>
                          <w:p w14:paraId="673D7D6F" w14:textId="77777777" w:rsidR="008B5693" w:rsidRPr="008B5693" w:rsidRDefault="008B5693" w:rsidP="008B5693">
                            <w:pPr>
                              <w:spacing w:line="276" w:lineRule="auto"/>
                              <w:rPr>
                                <w:rFonts w:asciiTheme="majorHAnsi" w:hAnsiTheme="majorHAnsi" w:cs="Arial"/>
                                <w:b/>
                                <w:bCs/>
                                <w:color w:val="0D0D0D" w:themeColor="text1" w:themeTint="F2"/>
                                <w:sz w:val="36"/>
                                <w:szCs w:val="40"/>
                                <w:lang w:val="es-ES_tradnl"/>
                              </w:rPr>
                            </w:pPr>
                            <w:r w:rsidRPr="008B5693">
                              <w:rPr>
                                <w:rFonts w:asciiTheme="majorHAnsi" w:hAnsiTheme="majorHAnsi" w:cs="Arial"/>
                                <w:b/>
                                <w:bCs/>
                                <w:color w:val="0D0D0D" w:themeColor="text1" w:themeTint="F2"/>
                                <w:sz w:val="36"/>
                                <w:szCs w:val="40"/>
                                <w:lang w:val="es-ES_tradnl"/>
                              </w:rPr>
                              <w:t xml:space="preserve">PETICIÓN 1473-08 </w:t>
                            </w:r>
                          </w:p>
                          <w:p w14:paraId="3D01EA7C" w14:textId="77777777" w:rsidR="008B5693" w:rsidRPr="000E12B4" w:rsidRDefault="008B5693" w:rsidP="008B5693">
                            <w:pPr>
                              <w:spacing w:line="276" w:lineRule="auto"/>
                              <w:rPr>
                                <w:rFonts w:asciiTheme="majorHAnsi" w:hAnsiTheme="majorHAnsi" w:cs="Arial"/>
                                <w:bCs/>
                                <w:color w:val="0D0D0D" w:themeColor="text1" w:themeTint="F2"/>
                                <w:lang w:val="es-ES_tradnl"/>
                              </w:rPr>
                            </w:pPr>
                            <w:r w:rsidRPr="000E12B4">
                              <w:rPr>
                                <w:rFonts w:asciiTheme="majorHAnsi" w:hAnsiTheme="majorHAnsi" w:cs="Arial"/>
                                <w:bCs/>
                                <w:color w:val="0D0D0D" w:themeColor="text1" w:themeTint="F2"/>
                                <w:lang w:val="es-ES_tradnl"/>
                              </w:rPr>
                              <w:t xml:space="preserve">INFORME DE ADMISIBILIDAD </w:t>
                            </w:r>
                          </w:p>
                          <w:p w14:paraId="0D8D64C0" w14:textId="77777777" w:rsidR="008B5693" w:rsidRPr="000E12B4" w:rsidRDefault="008B5693" w:rsidP="008B5693">
                            <w:pPr>
                              <w:spacing w:line="276" w:lineRule="auto"/>
                              <w:rPr>
                                <w:rFonts w:asciiTheme="majorHAnsi" w:hAnsiTheme="majorHAnsi" w:cs="Arial"/>
                                <w:bCs/>
                                <w:color w:val="0D0D0D" w:themeColor="text1" w:themeTint="F2"/>
                                <w:lang w:val="es-ES_tradnl"/>
                              </w:rPr>
                            </w:pPr>
                          </w:p>
                          <w:p w14:paraId="045EDB17" w14:textId="691E7A44" w:rsidR="008B5693" w:rsidRPr="003F7590" w:rsidRDefault="00271DF9" w:rsidP="008B5693">
                            <w:pPr>
                              <w:spacing w:line="276" w:lineRule="auto"/>
                              <w:rPr>
                                <w:rFonts w:asciiTheme="majorHAnsi" w:hAnsiTheme="majorHAnsi" w:cs="Arial"/>
                                <w:bCs/>
                                <w:color w:val="0D0D0D" w:themeColor="text1" w:themeTint="F2"/>
                              </w:rPr>
                            </w:pPr>
                            <w:r w:rsidRPr="003F7590">
                              <w:rPr>
                                <w:rFonts w:asciiTheme="majorHAnsi" w:hAnsiTheme="majorHAnsi" w:cs="Arial"/>
                                <w:bCs/>
                                <w:color w:val="0D0D0D" w:themeColor="text1" w:themeTint="F2"/>
                              </w:rPr>
                              <w:t>GLADYS ELENA JARAMILLO SUÁREZ, OTHERS AND</w:t>
                            </w:r>
                            <w:r w:rsidR="008B5693" w:rsidRPr="003F7590">
                              <w:rPr>
                                <w:rFonts w:asciiTheme="majorHAnsi" w:hAnsiTheme="majorHAnsi" w:cs="Arial"/>
                                <w:bCs/>
                                <w:color w:val="0D0D0D" w:themeColor="text1" w:themeTint="F2"/>
                              </w:rPr>
                              <w:t xml:space="preserve"> FAMILIES</w:t>
                            </w:r>
                          </w:p>
                          <w:p w14:paraId="4607C3D1" w14:textId="77777777" w:rsidR="008B5693" w:rsidRPr="000E12B4" w:rsidRDefault="008B5693" w:rsidP="008B5693">
                            <w:pPr>
                              <w:spacing w:line="276" w:lineRule="auto"/>
                              <w:rPr>
                                <w:rFonts w:asciiTheme="majorHAnsi" w:hAnsiTheme="majorHAnsi" w:cs="Arial"/>
                                <w:bCs/>
                                <w:color w:val="0D0D0D" w:themeColor="text1" w:themeTint="F2"/>
                                <w:lang w:val="es-ES"/>
                              </w:rPr>
                            </w:pPr>
                            <w:r w:rsidRPr="000E12B4">
                              <w:rPr>
                                <w:rFonts w:asciiTheme="majorHAnsi" w:hAnsiTheme="majorHAnsi" w:cs="Arial"/>
                                <w:bCs/>
                                <w:color w:val="0D0D0D" w:themeColor="text1" w:themeTint="F2"/>
                                <w:lang w:val="es-ES_tradnl"/>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31DC3080" w14:textId="380E3B15" w:rsidR="008B5693" w:rsidRPr="008B5693" w:rsidRDefault="008B5693" w:rsidP="008B5693">
                      <w:pPr>
                        <w:spacing w:line="276" w:lineRule="auto"/>
                        <w:rPr>
                          <w:rFonts w:asciiTheme="majorHAnsi" w:hAnsiTheme="majorHAnsi" w:cs="Arial"/>
                          <w:b/>
                          <w:bCs/>
                          <w:color w:val="0D0D0D" w:themeColor="text1" w:themeTint="F2"/>
                          <w:sz w:val="36"/>
                          <w:szCs w:val="40"/>
                          <w:lang w:val="es-ES_tradnl"/>
                        </w:rPr>
                      </w:pPr>
                      <w:r w:rsidRPr="008B5693">
                        <w:rPr>
                          <w:rFonts w:asciiTheme="majorHAnsi" w:hAnsiTheme="majorHAnsi" w:cs="Arial"/>
                          <w:b/>
                          <w:bCs/>
                          <w:color w:val="0D0D0D" w:themeColor="text1" w:themeTint="F2"/>
                          <w:sz w:val="36"/>
                          <w:szCs w:val="40"/>
                          <w:lang w:val="es-ES_tradnl"/>
                        </w:rPr>
                        <w:t xml:space="preserve">INFORME No. </w:t>
                      </w:r>
                      <w:r w:rsidR="00AC6482">
                        <w:rPr>
                          <w:rFonts w:asciiTheme="majorHAnsi" w:hAnsiTheme="majorHAnsi" w:cs="Arial"/>
                          <w:b/>
                          <w:bCs/>
                          <w:color w:val="0D0D0D" w:themeColor="text1" w:themeTint="F2"/>
                          <w:sz w:val="36"/>
                          <w:szCs w:val="40"/>
                          <w:lang w:val="es-ES_tradnl"/>
                        </w:rPr>
                        <w:t>42</w:t>
                      </w:r>
                      <w:r w:rsidRPr="008B5693">
                        <w:rPr>
                          <w:rFonts w:asciiTheme="majorHAnsi" w:hAnsiTheme="majorHAnsi" w:cs="Arial"/>
                          <w:b/>
                          <w:bCs/>
                          <w:color w:val="0D0D0D" w:themeColor="text1" w:themeTint="F2"/>
                          <w:sz w:val="36"/>
                          <w:szCs w:val="40"/>
                          <w:lang w:val="es-ES_tradnl"/>
                        </w:rPr>
                        <w:t>/20</w:t>
                      </w:r>
                    </w:p>
                    <w:p w14:paraId="673D7D6F" w14:textId="77777777" w:rsidR="008B5693" w:rsidRPr="008B5693" w:rsidRDefault="008B5693" w:rsidP="008B5693">
                      <w:pPr>
                        <w:spacing w:line="276" w:lineRule="auto"/>
                        <w:rPr>
                          <w:rFonts w:asciiTheme="majorHAnsi" w:hAnsiTheme="majorHAnsi" w:cs="Arial"/>
                          <w:b/>
                          <w:bCs/>
                          <w:color w:val="0D0D0D" w:themeColor="text1" w:themeTint="F2"/>
                          <w:sz w:val="36"/>
                          <w:szCs w:val="40"/>
                          <w:lang w:val="es-ES_tradnl"/>
                        </w:rPr>
                      </w:pPr>
                      <w:r w:rsidRPr="008B5693">
                        <w:rPr>
                          <w:rFonts w:asciiTheme="majorHAnsi" w:hAnsiTheme="majorHAnsi" w:cs="Arial"/>
                          <w:b/>
                          <w:bCs/>
                          <w:color w:val="0D0D0D" w:themeColor="text1" w:themeTint="F2"/>
                          <w:sz w:val="36"/>
                          <w:szCs w:val="40"/>
                          <w:lang w:val="es-ES_tradnl"/>
                        </w:rPr>
                        <w:t xml:space="preserve">PETICIÓN 1473-08 </w:t>
                      </w:r>
                    </w:p>
                    <w:p w14:paraId="3D01EA7C" w14:textId="77777777" w:rsidR="008B5693" w:rsidRPr="000E12B4" w:rsidRDefault="008B5693" w:rsidP="008B5693">
                      <w:pPr>
                        <w:spacing w:line="276" w:lineRule="auto"/>
                        <w:rPr>
                          <w:rFonts w:asciiTheme="majorHAnsi" w:hAnsiTheme="majorHAnsi" w:cs="Arial"/>
                          <w:bCs/>
                          <w:color w:val="0D0D0D" w:themeColor="text1" w:themeTint="F2"/>
                          <w:lang w:val="es-ES_tradnl"/>
                        </w:rPr>
                      </w:pPr>
                      <w:r w:rsidRPr="000E12B4">
                        <w:rPr>
                          <w:rFonts w:asciiTheme="majorHAnsi" w:hAnsiTheme="majorHAnsi" w:cs="Arial"/>
                          <w:bCs/>
                          <w:color w:val="0D0D0D" w:themeColor="text1" w:themeTint="F2"/>
                          <w:lang w:val="es-ES_tradnl"/>
                        </w:rPr>
                        <w:t xml:space="preserve">INFORME DE ADMISIBILIDAD </w:t>
                      </w:r>
                    </w:p>
                    <w:p w14:paraId="0D8D64C0" w14:textId="77777777" w:rsidR="008B5693" w:rsidRPr="000E12B4" w:rsidRDefault="008B5693" w:rsidP="008B5693">
                      <w:pPr>
                        <w:spacing w:line="276" w:lineRule="auto"/>
                        <w:rPr>
                          <w:rFonts w:asciiTheme="majorHAnsi" w:hAnsiTheme="majorHAnsi" w:cs="Arial"/>
                          <w:bCs/>
                          <w:color w:val="0D0D0D" w:themeColor="text1" w:themeTint="F2"/>
                          <w:lang w:val="es-ES_tradnl"/>
                        </w:rPr>
                      </w:pPr>
                    </w:p>
                    <w:p w14:paraId="045EDB17" w14:textId="691E7A44" w:rsidR="008B5693" w:rsidRPr="00846709" w:rsidRDefault="00271DF9" w:rsidP="008B5693">
                      <w:pPr>
                        <w:spacing w:line="276" w:lineRule="auto"/>
                        <w:rPr>
                          <w:rFonts w:asciiTheme="majorHAnsi" w:hAnsiTheme="majorHAnsi" w:cs="Arial"/>
                          <w:bCs/>
                          <w:color w:val="0D0D0D" w:themeColor="text1" w:themeTint="F2"/>
                          <w:lang w:val="es-419"/>
                        </w:rPr>
                      </w:pPr>
                      <w:r w:rsidRPr="00846709">
                        <w:rPr>
                          <w:rFonts w:asciiTheme="majorHAnsi" w:hAnsiTheme="majorHAnsi" w:cs="Arial"/>
                          <w:bCs/>
                          <w:color w:val="0D0D0D" w:themeColor="text1" w:themeTint="F2"/>
                          <w:lang w:val="es-419"/>
                        </w:rPr>
                        <w:t>GLADYS ELENA JARAMILLO SUÁREZ, OTHERS AND</w:t>
                      </w:r>
                      <w:r w:rsidR="008B5693" w:rsidRPr="00846709">
                        <w:rPr>
                          <w:rFonts w:asciiTheme="majorHAnsi" w:hAnsiTheme="majorHAnsi" w:cs="Arial"/>
                          <w:bCs/>
                          <w:color w:val="0D0D0D" w:themeColor="text1" w:themeTint="F2"/>
                          <w:lang w:val="es-419"/>
                        </w:rPr>
                        <w:t xml:space="preserve"> FAMILIES</w:t>
                      </w:r>
                    </w:p>
                    <w:p w14:paraId="4607C3D1" w14:textId="77777777" w:rsidR="008B5693" w:rsidRPr="000E12B4" w:rsidRDefault="008B5693" w:rsidP="008B5693">
                      <w:pPr>
                        <w:spacing w:line="276" w:lineRule="auto"/>
                        <w:rPr>
                          <w:rFonts w:asciiTheme="majorHAnsi" w:hAnsiTheme="majorHAnsi" w:cs="Arial"/>
                          <w:bCs/>
                          <w:color w:val="0D0D0D" w:themeColor="text1" w:themeTint="F2"/>
                          <w:lang w:val="es-ES"/>
                        </w:rPr>
                      </w:pPr>
                      <w:r w:rsidRPr="000E12B4">
                        <w:rPr>
                          <w:rFonts w:asciiTheme="majorHAnsi" w:hAnsiTheme="majorHAnsi" w:cs="Arial"/>
                          <w:bCs/>
                          <w:color w:val="0D0D0D" w:themeColor="text1" w:themeTint="F2"/>
                          <w:lang w:val="es-ES_tradnl"/>
                        </w:rPr>
                        <w:t>COLOMBIA</w:t>
                      </w:r>
                    </w:p>
                    <w:p w14:paraId="17A89EFB" w14:textId="77777777" w:rsidR="005B52B0" w:rsidRPr="000C4365" w:rsidRDefault="005B52B0" w:rsidP="00F42B71">
                      <w:pPr>
                        <w:spacing w:line="276" w:lineRule="auto"/>
                        <w:rPr>
                          <w:rFonts w:asciiTheme="majorHAnsi" w:hAnsiTheme="majorHAnsi"/>
                          <w:color w:val="0D0D0D" w:themeColor="text1" w:themeTint="F2"/>
                        </w:rPr>
                      </w:pPr>
                    </w:p>
                  </w:txbxContent>
                </v:textbox>
              </v:shape>
            </w:pict>
          </mc:Fallback>
        </mc:AlternateContent>
      </w:r>
      <w:r w:rsidR="004B7EB6" w:rsidRPr="00671C6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3B437774" w:rsidR="00627C9F" w:rsidRPr="00AC6482" w:rsidRDefault="009E566A" w:rsidP="009E566A">
                            <w:pPr>
                              <w:jc w:val="right"/>
                              <w:rPr>
                                <w:rFonts w:asciiTheme="minorHAnsi" w:hAnsiTheme="minorHAnsi"/>
                                <w:color w:val="FFFFFF" w:themeColor="background1"/>
                                <w:sz w:val="22"/>
                                <w:lang w:val="pt-BR"/>
                              </w:rPr>
                            </w:pPr>
                            <w:r w:rsidRPr="00AC6482">
                              <w:rPr>
                                <w:rFonts w:asciiTheme="minorHAnsi" w:hAnsiTheme="minorHAnsi"/>
                                <w:color w:val="FFFFFF" w:themeColor="background1"/>
                                <w:sz w:val="22"/>
                                <w:lang w:val="pt-BR"/>
                              </w:rPr>
                              <w:t>OEA/Ser.L/V/II.</w:t>
                            </w:r>
                          </w:p>
                          <w:p w14:paraId="4AA08A8C" w14:textId="7A8DA960" w:rsidR="00627C9F" w:rsidRPr="00AC6482" w:rsidRDefault="00CA6577" w:rsidP="009E566A">
                            <w:pPr>
                              <w:jc w:val="right"/>
                              <w:rPr>
                                <w:rFonts w:asciiTheme="minorHAnsi" w:hAnsiTheme="minorHAnsi"/>
                                <w:color w:val="FFFFFF" w:themeColor="background1"/>
                                <w:sz w:val="22"/>
                                <w:lang w:val="pt-BR"/>
                              </w:rPr>
                            </w:pPr>
                            <w:r w:rsidRPr="00AC6482">
                              <w:rPr>
                                <w:rFonts w:asciiTheme="minorHAnsi" w:hAnsiTheme="minorHAnsi"/>
                                <w:color w:val="FFFFFF" w:themeColor="background1"/>
                                <w:sz w:val="22"/>
                                <w:lang w:val="pt-BR"/>
                              </w:rPr>
                              <w:t xml:space="preserve">Doc. </w:t>
                            </w:r>
                            <w:r w:rsidR="00AC6482">
                              <w:rPr>
                                <w:rFonts w:asciiTheme="minorHAnsi" w:hAnsiTheme="minorHAnsi"/>
                                <w:color w:val="FFFFFF" w:themeColor="background1"/>
                                <w:sz w:val="22"/>
                                <w:lang w:val="pt-BR"/>
                              </w:rPr>
                              <w:t>52</w:t>
                            </w:r>
                          </w:p>
                          <w:p w14:paraId="0BEFF61A" w14:textId="2612DC67" w:rsidR="00627C9F" w:rsidRPr="00AC6482" w:rsidRDefault="00022CF5" w:rsidP="009E566A">
                            <w:pPr>
                              <w:jc w:val="right"/>
                              <w:rPr>
                                <w:rFonts w:asciiTheme="minorHAnsi" w:hAnsiTheme="minorHAnsi"/>
                                <w:color w:val="FFFFFF" w:themeColor="background1"/>
                                <w:sz w:val="22"/>
                              </w:rPr>
                            </w:pPr>
                            <w:r w:rsidRPr="00AC6482">
                              <w:rPr>
                                <w:rFonts w:asciiTheme="minorHAnsi" w:hAnsiTheme="minorHAnsi"/>
                                <w:color w:val="FFFFFF" w:themeColor="background1"/>
                                <w:sz w:val="22"/>
                                <w:lang w:val="pt-BR"/>
                              </w:rPr>
                              <w:t xml:space="preserve"> </w:t>
                            </w:r>
                            <w:r w:rsidR="00AC6482">
                              <w:rPr>
                                <w:rFonts w:asciiTheme="minorHAnsi" w:hAnsiTheme="minorHAnsi"/>
                                <w:color w:val="FFFFFF" w:themeColor="background1"/>
                                <w:sz w:val="22"/>
                              </w:rPr>
                              <w:t>24 April</w:t>
                            </w:r>
                            <w:r w:rsidR="000C4365" w:rsidRPr="00AC6482">
                              <w:rPr>
                                <w:rFonts w:asciiTheme="minorHAnsi" w:hAnsiTheme="minorHAnsi"/>
                                <w:color w:val="FFFFFF" w:themeColor="background1"/>
                                <w:sz w:val="22"/>
                              </w:rPr>
                              <w:t xml:space="preserve"> </w:t>
                            </w:r>
                            <w:r w:rsidR="006614CA" w:rsidRPr="00AC6482">
                              <w:rPr>
                                <w:rFonts w:asciiTheme="minorHAnsi" w:hAnsiTheme="minorHAnsi"/>
                                <w:color w:val="FFFFFF" w:themeColor="background1"/>
                                <w:sz w:val="22"/>
                              </w:rPr>
                              <w:t>2020</w:t>
                            </w:r>
                          </w:p>
                          <w:p w14:paraId="0FC103BD" w14:textId="1E656DEE" w:rsidR="00627C9F" w:rsidRPr="00AC6482" w:rsidRDefault="00627C9F" w:rsidP="009E566A">
                            <w:pPr>
                              <w:jc w:val="right"/>
                              <w:rPr>
                                <w:rFonts w:asciiTheme="minorHAnsi" w:hAnsiTheme="minorHAnsi"/>
                                <w:color w:val="FFFFFF" w:themeColor="background1"/>
                                <w:sz w:val="22"/>
                              </w:rPr>
                            </w:pPr>
                            <w:r w:rsidRPr="00AC6482">
                              <w:rPr>
                                <w:rFonts w:asciiTheme="minorHAnsi" w:hAnsiTheme="minorHAnsi"/>
                                <w:color w:val="FFFFFF" w:themeColor="background1"/>
                                <w:sz w:val="22"/>
                              </w:rPr>
                              <w:t>Original:</w:t>
                            </w:r>
                            <w:r w:rsidR="002C1641" w:rsidRPr="00AC6482">
                              <w:rPr>
                                <w:rFonts w:asciiTheme="minorHAnsi" w:hAnsiTheme="minorHAnsi"/>
                                <w:color w:val="FFFFFF" w:themeColor="background1"/>
                                <w:sz w:val="22"/>
                              </w:rPr>
                              <w:t xml:space="preserve"> </w:t>
                            </w:r>
                            <w:r w:rsidR="00F42B71" w:rsidRPr="00AC6482">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3B437774" w:rsidR="00627C9F" w:rsidRPr="00AC6482" w:rsidRDefault="009E566A" w:rsidP="009E566A">
                      <w:pPr>
                        <w:jc w:val="right"/>
                        <w:rPr>
                          <w:rFonts w:asciiTheme="minorHAnsi" w:hAnsiTheme="minorHAnsi"/>
                          <w:color w:val="FFFFFF" w:themeColor="background1"/>
                          <w:sz w:val="22"/>
                          <w:lang w:val="pt-BR"/>
                        </w:rPr>
                      </w:pPr>
                      <w:r w:rsidRPr="00AC6482">
                        <w:rPr>
                          <w:rFonts w:asciiTheme="minorHAnsi" w:hAnsiTheme="minorHAnsi"/>
                          <w:color w:val="FFFFFF" w:themeColor="background1"/>
                          <w:sz w:val="22"/>
                          <w:lang w:val="pt-BR"/>
                        </w:rPr>
                        <w:t>OEA/Ser.L/V/II.</w:t>
                      </w:r>
                    </w:p>
                    <w:p w14:paraId="4AA08A8C" w14:textId="7A8DA960" w:rsidR="00627C9F" w:rsidRPr="00AC6482" w:rsidRDefault="00CA6577" w:rsidP="009E566A">
                      <w:pPr>
                        <w:jc w:val="right"/>
                        <w:rPr>
                          <w:rFonts w:asciiTheme="minorHAnsi" w:hAnsiTheme="minorHAnsi"/>
                          <w:color w:val="FFFFFF" w:themeColor="background1"/>
                          <w:sz w:val="22"/>
                          <w:lang w:val="pt-BR"/>
                        </w:rPr>
                      </w:pPr>
                      <w:r w:rsidRPr="00AC6482">
                        <w:rPr>
                          <w:rFonts w:asciiTheme="minorHAnsi" w:hAnsiTheme="minorHAnsi"/>
                          <w:color w:val="FFFFFF" w:themeColor="background1"/>
                          <w:sz w:val="22"/>
                          <w:lang w:val="pt-BR"/>
                        </w:rPr>
                        <w:t xml:space="preserve">Doc. </w:t>
                      </w:r>
                      <w:r w:rsidR="00AC6482">
                        <w:rPr>
                          <w:rFonts w:asciiTheme="minorHAnsi" w:hAnsiTheme="minorHAnsi"/>
                          <w:color w:val="FFFFFF" w:themeColor="background1"/>
                          <w:sz w:val="22"/>
                          <w:lang w:val="pt-BR"/>
                        </w:rPr>
                        <w:t>52</w:t>
                      </w:r>
                    </w:p>
                    <w:p w14:paraId="0BEFF61A" w14:textId="2612DC67" w:rsidR="00627C9F" w:rsidRPr="00AC6482" w:rsidRDefault="00022CF5" w:rsidP="009E566A">
                      <w:pPr>
                        <w:jc w:val="right"/>
                        <w:rPr>
                          <w:rFonts w:asciiTheme="minorHAnsi" w:hAnsiTheme="minorHAnsi"/>
                          <w:color w:val="FFFFFF" w:themeColor="background1"/>
                          <w:sz w:val="22"/>
                        </w:rPr>
                      </w:pPr>
                      <w:r w:rsidRPr="00AC6482">
                        <w:rPr>
                          <w:rFonts w:asciiTheme="minorHAnsi" w:hAnsiTheme="minorHAnsi"/>
                          <w:color w:val="FFFFFF" w:themeColor="background1"/>
                          <w:sz w:val="22"/>
                          <w:lang w:val="pt-BR"/>
                        </w:rPr>
                        <w:t xml:space="preserve"> </w:t>
                      </w:r>
                      <w:r w:rsidR="00AC6482">
                        <w:rPr>
                          <w:rFonts w:asciiTheme="minorHAnsi" w:hAnsiTheme="minorHAnsi"/>
                          <w:color w:val="FFFFFF" w:themeColor="background1"/>
                          <w:sz w:val="22"/>
                        </w:rPr>
                        <w:t>24 April</w:t>
                      </w:r>
                      <w:r w:rsidR="000C4365" w:rsidRPr="00AC6482">
                        <w:rPr>
                          <w:rFonts w:asciiTheme="minorHAnsi" w:hAnsiTheme="minorHAnsi"/>
                          <w:color w:val="FFFFFF" w:themeColor="background1"/>
                          <w:sz w:val="22"/>
                        </w:rPr>
                        <w:t xml:space="preserve"> </w:t>
                      </w:r>
                      <w:r w:rsidR="006614CA" w:rsidRPr="00AC6482">
                        <w:rPr>
                          <w:rFonts w:asciiTheme="minorHAnsi" w:hAnsiTheme="minorHAnsi"/>
                          <w:color w:val="FFFFFF" w:themeColor="background1"/>
                          <w:sz w:val="22"/>
                        </w:rPr>
                        <w:t>2020</w:t>
                      </w:r>
                    </w:p>
                    <w:p w14:paraId="0FC103BD" w14:textId="1E656DEE" w:rsidR="00627C9F" w:rsidRPr="00AC6482" w:rsidRDefault="00627C9F" w:rsidP="009E566A">
                      <w:pPr>
                        <w:jc w:val="right"/>
                        <w:rPr>
                          <w:rFonts w:asciiTheme="minorHAnsi" w:hAnsiTheme="minorHAnsi"/>
                          <w:color w:val="FFFFFF" w:themeColor="background1"/>
                          <w:sz w:val="22"/>
                        </w:rPr>
                      </w:pPr>
                      <w:r w:rsidRPr="00AC6482">
                        <w:rPr>
                          <w:rFonts w:asciiTheme="minorHAnsi" w:hAnsiTheme="minorHAnsi"/>
                          <w:color w:val="FFFFFF" w:themeColor="background1"/>
                          <w:sz w:val="22"/>
                        </w:rPr>
                        <w:t>Original:</w:t>
                      </w:r>
                      <w:r w:rsidR="002C1641" w:rsidRPr="00AC6482">
                        <w:rPr>
                          <w:rFonts w:asciiTheme="minorHAnsi" w:hAnsiTheme="minorHAnsi"/>
                          <w:color w:val="FFFFFF" w:themeColor="background1"/>
                          <w:sz w:val="22"/>
                        </w:rPr>
                        <w:t xml:space="preserve"> </w:t>
                      </w:r>
                      <w:r w:rsidR="00F42B71" w:rsidRPr="00AC6482">
                        <w:rPr>
                          <w:rFonts w:asciiTheme="minorHAnsi" w:hAnsiTheme="minorHAnsi"/>
                          <w:color w:val="FFFFFF" w:themeColor="background1"/>
                          <w:sz w:val="22"/>
                        </w:rPr>
                        <w:t>Spanish</w:t>
                      </w:r>
                    </w:p>
                  </w:txbxContent>
                </v:textbox>
              </v:shape>
            </w:pict>
          </mc:Fallback>
        </mc:AlternateContent>
      </w:r>
    </w:p>
    <w:p w14:paraId="3765F9FA" w14:textId="77777777" w:rsidR="00040C3A" w:rsidRPr="00671C66" w:rsidRDefault="00040C3A" w:rsidP="00040C3A">
      <w:pPr>
        <w:tabs>
          <w:tab w:val="center" w:pos="5400"/>
        </w:tabs>
        <w:suppressAutoHyphens/>
        <w:jc w:val="center"/>
        <w:rPr>
          <w:rFonts w:asciiTheme="majorHAnsi" w:hAnsiTheme="majorHAnsi"/>
          <w:sz w:val="22"/>
          <w:szCs w:val="22"/>
          <w:lang w:val="es-ES_tradnl"/>
        </w:rPr>
      </w:pPr>
    </w:p>
    <w:p w14:paraId="5E33CE59" w14:textId="77777777" w:rsidR="00040C3A" w:rsidRPr="00671C66" w:rsidRDefault="00040C3A" w:rsidP="00040C3A">
      <w:pPr>
        <w:tabs>
          <w:tab w:val="center" w:pos="5400"/>
        </w:tabs>
        <w:suppressAutoHyphens/>
        <w:jc w:val="center"/>
        <w:rPr>
          <w:rFonts w:asciiTheme="majorHAnsi" w:hAnsiTheme="majorHAnsi" w:cs="Arial"/>
          <w:sz w:val="22"/>
          <w:szCs w:val="22"/>
          <w:lang w:val="es-ES_tradnl"/>
        </w:rPr>
      </w:pPr>
    </w:p>
    <w:p w14:paraId="04802712" w14:textId="77777777" w:rsidR="00040C3A" w:rsidRPr="00671C66" w:rsidRDefault="00040C3A" w:rsidP="00040C3A">
      <w:pPr>
        <w:tabs>
          <w:tab w:val="center" w:pos="5400"/>
        </w:tabs>
        <w:suppressAutoHyphens/>
        <w:jc w:val="center"/>
        <w:rPr>
          <w:rFonts w:asciiTheme="majorHAnsi" w:hAnsiTheme="majorHAnsi"/>
          <w:sz w:val="22"/>
          <w:szCs w:val="22"/>
          <w:lang w:val="es-ES_tradnl"/>
        </w:rPr>
      </w:pPr>
    </w:p>
    <w:p w14:paraId="43677EE2" w14:textId="77777777" w:rsidR="00040C3A" w:rsidRPr="00671C66" w:rsidRDefault="00040C3A" w:rsidP="00040C3A">
      <w:pPr>
        <w:tabs>
          <w:tab w:val="center" w:pos="5400"/>
        </w:tabs>
        <w:suppressAutoHyphens/>
        <w:jc w:val="center"/>
        <w:rPr>
          <w:rFonts w:asciiTheme="majorHAnsi" w:hAnsiTheme="majorHAnsi"/>
          <w:sz w:val="22"/>
          <w:szCs w:val="22"/>
          <w:lang w:val="es-ES_tradnl"/>
        </w:rPr>
      </w:pPr>
    </w:p>
    <w:p w14:paraId="747B776B" w14:textId="77777777" w:rsidR="00040C3A" w:rsidRPr="00671C66" w:rsidRDefault="00040C3A" w:rsidP="00040C3A">
      <w:pPr>
        <w:tabs>
          <w:tab w:val="center" w:pos="5400"/>
        </w:tabs>
        <w:suppressAutoHyphens/>
        <w:jc w:val="center"/>
        <w:rPr>
          <w:rFonts w:asciiTheme="majorHAnsi" w:hAnsiTheme="majorHAnsi"/>
          <w:sz w:val="22"/>
          <w:szCs w:val="22"/>
          <w:lang w:val="es-ES_tradnl"/>
        </w:rPr>
      </w:pPr>
    </w:p>
    <w:p w14:paraId="3FA14379" w14:textId="77777777" w:rsidR="00040C3A" w:rsidRPr="00671C66" w:rsidRDefault="00040C3A" w:rsidP="00040C3A">
      <w:pPr>
        <w:tabs>
          <w:tab w:val="center" w:pos="5400"/>
        </w:tabs>
        <w:suppressAutoHyphens/>
        <w:jc w:val="center"/>
        <w:rPr>
          <w:rFonts w:asciiTheme="majorHAnsi" w:hAnsiTheme="majorHAnsi"/>
          <w:sz w:val="22"/>
          <w:szCs w:val="22"/>
          <w:lang w:val="es-ES_tradnl"/>
        </w:rPr>
      </w:pPr>
    </w:p>
    <w:p w14:paraId="28A65FAF" w14:textId="77777777" w:rsidR="005128E4" w:rsidRPr="00671C66" w:rsidRDefault="005128E4" w:rsidP="00040C3A">
      <w:pPr>
        <w:tabs>
          <w:tab w:val="center" w:pos="5400"/>
        </w:tabs>
        <w:suppressAutoHyphens/>
        <w:jc w:val="center"/>
        <w:rPr>
          <w:rFonts w:asciiTheme="majorHAnsi" w:hAnsiTheme="majorHAnsi"/>
          <w:sz w:val="22"/>
          <w:szCs w:val="22"/>
          <w:lang w:val="es-ES_tradnl"/>
        </w:rPr>
      </w:pPr>
    </w:p>
    <w:p w14:paraId="11B1978A" w14:textId="77777777" w:rsidR="00040C3A" w:rsidRPr="00671C66" w:rsidRDefault="00040C3A" w:rsidP="00040C3A">
      <w:pPr>
        <w:tabs>
          <w:tab w:val="center" w:pos="5400"/>
        </w:tabs>
        <w:suppressAutoHyphens/>
        <w:jc w:val="center"/>
        <w:rPr>
          <w:rFonts w:asciiTheme="majorHAnsi" w:hAnsiTheme="majorHAnsi"/>
          <w:sz w:val="22"/>
          <w:szCs w:val="22"/>
          <w:lang w:val="es-ES_tradnl"/>
        </w:rPr>
      </w:pPr>
    </w:p>
    <w:p w14:paraId="650F503D" w14:textId="77777777" w:rsidR="005128E4" w:rsidRPr="00671C66" w:rsidRDefault="005128E4" w:rsidP="00040C3A">
      <w:pPr>
        <w:tabs>
          <w:tab w:val="center" w:pos="5400"/>
        </w:tabs>
        <w:suppressAutoHyphens/>
        <w:jc w:val="center"/>
        <w:rPr>
          <w:rFonts w:asciiTheme="majorHAnsi" w:hAnsiTheme="majorHAnsi"/>
          <w:sz w:val="22"/>
          <w:szCs w:val="22"/>
          <w:lang w:val="es-ES_tradnl"/>
        </w:rPr>
      </w:pPr>
    </w:p>
    <w:p w14:paraId="17861C77" w14:textId="77777777" w:rsidR="005128E4" w:rsidRPr="00671C66" w:rsidRDefault="005128E4" w:rsidP="00040C3A">
      <w:pPr>
        <w:tabs>
          <w:tab w:val="center" w:pos="5400"/>
        </w:tabs>
        <w:suppressAutoHyphens/>
        <w:jc w:val="center"/>
        <w:rPr>
          <w:rFonts w:asciiTheme="majorHAnsi" w:hAnsiTheme="majorHAnsi"/>
          <w:sz w:val="22"/>
          <w:szCs w:val="22"/>
          <w:lang w:val="es-ES_tradnl"/>
        </w:rPr>
      </w:pPr>
    </w:p>
    <w:p w14:paraId="0EFEAEB7" w14:textId="77777777" w:rsidR="005128E4" w:rsidRPr="00671C66" w:rsidRDefault="005128E4" w:rsidP="00040C3A">
      <w:pPr>
        <w:tabs>
          <w:tab w:val="center" w:pos="5400"/>
        </w:tabs>
        <w:suppressAutoHyphens/>
        <w:jc w:val="center"/>
        <w:rPr>
          <w:rFonts w:asciiTheme="majorHAnsi" w:hAnsiTheme="majorHAnsi"/>
          <w:sz w:val="22"/>
          <w:szCs w:val="22"/>
          <w:lang w:val="es-ES_tradnl"/>
        </w:rPr>
      </w:pPr>
    </w:p>
    <w:p w14:paraId="5B815FC5" w14:textId="77777777" w:rsidR="00040C3A" w:rsidRPr="00671C66" w:rsidRDefault="00040C3A" w:rsidP="00040C3A">
      <w:pPr>
        <w:tabs>
          <w:tab w:val="center" w:pos="5400"/>
        </w:tabs>
        <w:suppressAutoHyphens/>
        <w:jc w:val="center"/>
        <w:rPr>
          <w:rFonts w:asciiTheme="majorHAnsi" w:hAnsiTheme="majorHAnsi"/>
          <w:sz w:val="22"/>
          <w:szCs w:val="22"/>
          <w:lang w:val="es-ES_tradnl"/>
        </w:rPr>
      </w:pPr>
    </w:p>
    <w:p w14:paraId="0D43F8BD" w14:textId="77777777" w:rsidR="00040C3A" w:rsidRPr="00671C66" w:rsidRDefault="00040C3A" w:rsidP="00040C3A">
      <w:pPr>
        <w:tabs>
          <w:tab w:val="center" w:pos="5400"/>
        </w:tabs>
        <w:suppressAutoHyphens/>
        <w:jc w:val="center"/>
        <w:rPr>
          <w:rFonts w:asciiTheme="majorHAnsi" w:hAnsiTheme="majorHAnsi"/>
          <w:sz w:val="22"/>
          <w:szCs w:val="22"/>
          <w:lang w:val="es-ES_tradnl"/>
        </w:rPr>
      </w:pPr>
    </w:p>
    <w:p w14:paraId="03AA1AEB"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2FD75BF3"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73EF440E"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3D12B191"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1132D17C"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659B324C"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0DE58CEA"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3A5BB7C9"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6BA67E7F"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6D4FBE3A"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2741AD16"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1D99DBC4"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3290BF94" w14:textId="77777777" w:rsidR="002C1641" w:rsidRPr="00671C66" w:rsidRDefault="003C32BC" w:rsidP="00040C3A">
      <w:pPr>
        <w:tabs>
          <w:tab w:val="center" w:pos="5400"/>
        </w:tabs>
        <w:suppressAutoHyphens/>
        <w:jc w:val="center"/>
        <w:rPr>
          <w:rFonts w:asciiTheme="majorHAnsi" w:hAnsiTheme="majorHAnsi"/>
          <w:sz w:val="18"/>
          <w:szCs w:val="22"/>
          <w:lang w:val="es-ES_tradnl"/>
        </w:rPr>
      </w:pPr>
      <w:r w:rsidRPr="00671C6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4695B99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AC6482">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AC6482">
                              <w:rPr>
                                <w:rFonts w:asciiTheme="majorHAnsi" w:hAnsiTheme="majorHAnsi"/>
                                <w:color w:val="0D0D0D" w:themeColor="text1" w:themeTint="F2"/>
                                <w:sz w:val="18"/>
                                <w:szCs w:val="20"/>
                              </w:rPr>
                              <w:t>April 24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3960F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45188" id="_x0000_t202" coordsize="21600,21600" o:spt="202" path="m,l,21600r21600,l21600,xe">
                <v:stroke joinstyle="miter"/>
                <v:path gradientshapeok="t" o:connecttype="rect"/>
              </v:shapetype>
              <v:shape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4695B99E" w:rsidR="00092F32" w:rsidRPr="003C32BC" w:rsidRDefault="00B167E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w:t>
                      </w:r>
                      <w:r w:rsidR="00AC6482">
                        <w:rPr>
                          <w:rFonts w:asciiTheme="majorHAnsi" w:hAnsiTheme="majorHAnsi"/>
                          <w:color w:val="0D0D0D" w:themeColor="text1" w:themeTint="F2"/>
                          <w:sz w:val="18"/>
                          <w:szCs w:val="20"/>
                        </w:rPr>
                        <w:t xml:space="preserve"> electronically</w:t>
                      </w:r>
                      <w:r w:rsidRPr="003C32BC">
                        <w:rPr>
                          <w:rFonts w:asciiTheme="majorHAnsi" w:hAnsiTheme="majorHAnsi"/>
                          <w:color w:val="0D0D0D" w:themeColor="text1" w:themeTint="F2"/>
                          <w:sz w:val="18"/>
                          <w:szCs w:val="20"/>
                        </w:rPr>
                        <w:t xml:space="preserve"> by the Commission </w:t>
                      </w:r>
                      <w:r w:rsidR="007F196E">
                        <w:rPr>
                          <w:rFonts w:asciiTheme="majorHAnsi" w:hAnsiTheme="majorHAnsi"/>
                          <w:color w:val="0D0D0D" w:themeColor="text1" w:themeTint="F2"/>
                          <w:sz w:val="18"/>
                          <w:szCs w:val="20"/>
                        </w:rPr>
                        <w:t>on</w:t>
                      </w:r>
                      <w:r w:rsidRPr="003C32BC">
                        <w:rPr>
                          <w:rFonts w:asciiTheme="majorHAnsi" w:hAnsiTheme="majorHAnsi"/>
                          <w:color w:val="0D0D0D" w:themeColor="text1" w:themeTint="F2"/>
                          <w:sz w:val="18"/>
                          <w:szCs w:val="20"/>
                        </w:rPr>
                        <w:t xml:space="preserve"> </w:t>
                      </w:r>
                      <w:r w:rsidR="00AC6482">
                        <w:rPr>
                          <w:rFonts w:asciiTheme="majorHAnsi" w:hAnsiTheme="majorHAnsi"/>
                          <w:color w:val="0D0D0D" w:themeColor="text1" w:themeTint="F2"/>
                          <w:sz w:val="18"/>
                          <w:szCs w:val="20"/>
                        </w:rPr>
                        <w:t>April 24</w:t>
                      </w:r>
                      <w:r w:rsidR="000C4365">
                        <w:rPr>
                          <w:rFonts w:asciiTheme="majorHAnsi" w:hAnsiTheme="majorHAnsi"/>
                          <w:color w:val="0D0D0D" w:themeColor="text1" w:themeTint="F2"/>
                          <w:sz w:val="18"/>
                          <w:szCs w:val="20"/>
                        </w:rPr>
                        <w:t xml:space="preserve">, </w:t>
                      </w:r>
                      <w:r w:rsidR="007F196E">
                        <w:rPr>
                          <w:rFonts w:asciiTheme="majorHAnsi" w:hAnsiTheme="majorHAnsi"/>
                          <w:color w:val="0D0D0D" w:themeColor="text1" w:themeTint="F2"/>
                          <w:sz w:val="18"/>
                          <w:szCs w:val="20"/>
                        </w:rPr>
                        <w:t>2020</w:t>
                      </w:r>
                      <w:r w:rsidR="003960F8">
                        <w:rPr>
                          <w:rFonts w:asciiTheme="majorHAnsi" w:hAnsiTheme="majorHAnsi"/>
                          <w:color w:val="0D0D0D" w:themeColor="text1" w:themeTint="F2"/>
                          <w:sz w:val="18"/>
                          <w:szCs w:val="20"/>
                        </w:rPr>
                        <w:t>.</w:t>
                      </w:r>
                      <w:r w:rsidR="004B7EB6" w:rsidRPr="003C32BC">
                        <w:rPr>
                          <w:rFonts w:asciiTheme="majorHAnsi" w:hAnsiTheme="majorHAnsi"/>
                          <w:color w:val="0D0D0D" w:themeColor="text1" w:themeTint="F2"/>
                          <w:sz w:val="18"/>
                          <w:szCs w:val="20"/>
                        </w:rPr>
                        <w:br/>
                      </w:r>
                    </w:p>
                  </w:txbxContent>
                </v:textbox>
              </v:shape>
            </w:pict>
          </mc:Fallback>
        </mc:AlternateContent>
      </w:r>
    </w:p>
    <w:p w14:paraId="76124E47"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3751FEDE"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5FAB54E7"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4AE4FBFB"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4DA3B2C3" w14:textId="77777777" w:rsidR="002C1641" w:rsidRPr="00671C66" w:rsidRDefault="003C32BC" w:rsidP="00040C3A">
      <w:pPr>
        <w:tabs>
          <w:tab w:val="center" w:pos="5400"/>
        </w:tabs>
        <w:suppressAutoHyphens/>
        <w:jc w:val="center"/>
        <w:rPr>
          <w:rFonts w:asciiTheme="majorHAnsi" w:hAnsiTheme="majorHAnsi"/>
          <w:sz w:val="18"/>
          <w:szCs w:val="22"/>
          <w:lang w:val="es-ES_tradnl"/>
        </w:rPr>
      </w:pPr>
      <w:r w:rsidRPr="00671C66">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F5CF747" w:rsidR="00F644E6" w:rsidRPr="003C32BC" w:rsidRDefault="00AC6482"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as: </w:t>
                            </w:r>
                            <w:r w:rsidR="00F644E6"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42</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00F644E6"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Pr>
                                <w:rFonts w:asciiTheme="majorHAnsi" w:hAnsiTheme="majorHAnsi"/>
                                <w:color w:val="595959" w:themeColor="text1" w:themeTint="A6"/>
                                <w:sz w:val="18"/>
                              </w:rPr>
                              <w:t>1473</w:t>
                            </w:r>
                            <w:r w:rsidR="00F621C3">
                              <w:rPr>
                                <w:rFonts w:asciiTheme="majorHAnsi" w:hAnsiTheme="majorHAnsi"/>
                                <w:color w:val="595959" w:themeColor="text1" w:themeTint="A6"/>
                                <w:sz w:val="18"/>
                              </w:rPr>
                              <w:t>-</w:t>
                            </w:r>
                            <w:r>
                              <w:rPr>
                                <w:rFonts w:asciiTheme="majorHAnsi" w:hAnsiTheme="majorHAnsi"/>
                                <w:color w:val="595959" w:themeColor="text1" w:themeTint="A6"/>
                                <w:sz w:val="18"/>
                              </w:rPr>
                              <w:t>08</w:t>
                            </w:r>
                            <w:r w:rsidR="00F644E6"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00F644E6" w:rsidRPr="003C32BC">
                              <w:rPr>
                                <w:rFonts w:asciiTheme="majorHAnsi" w:hAnsiTheme="majorHAnsi"/>
                                <w:color w:val="595959" w:themeColor="text1" w:themeTint="A6"/>
                                <w:sz w:val="18"/>
                              </w:rPr>
                              <w:t xml:space="preserve">. </w:t>
                            </w:r>
                            <w:r w:rsidR="00D210EE">
                              <w:rPr>
                                <w:rFonts w:asciiTheme="majorHAnsi" w:hAnsiTheme="majorHAnsi"/>
                                <w:color w:val="595959" w:themeColor="text1" w:themeTint="A6"/>
                                <w:sz w:val="18"/>
                              </w:rPr>
                              <w:t>Gladys Elena Jaramillo Suárez, others and families</w:t>
                            </w:r>
                            <w:r w:rsidR="00F644E6" w:rsidRPr="003C32BC">
                              <w:rPr>
                                <w:rFonts w:asciiTheme="majorHAnsi" w:hAnsiTheme="majorHAnsi"/>
                                <w:color w:val="595959" w:themeColor="text1" w:themeTint="A6"/>
                                <w:sz w:val="18"/>
                              </w:rPr>
                              <w:t xml:space="preserve">. </w:t>
                            </w:r>
                            <w:r w:rsidR="00D210EE">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D210EE">
                              <w:rPr>
                                <w:rFonts w:asciiTheme="majorHAnsi" w:hAnsiTheme="majorHAnsi"/>
                                <w:color w:val="595959" w:themeColor="text1" w:themeTint="A6"/>
                                <w:sz w:val="18"/>
                              </w:rPr>
                              <w:t>April 14,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F5CF747" w:rsidR="00F644E6" w:rsidRPr="003C32BC" w:rsidRDefault="00AC6482" w:rsidP="00F644E6">
                      <w:pPr>
                        <w:spacing w:line="276" w:lineRule="auto"/>
                        <w:rPr>
                          <w:rFonts w:asciiTheme="majorHAnsi" w:hAnsiTheme="majorHAnsi"/>
                          <w:color w:val="595959" w:themeColor="text1" w:themeTint="A6"/>
                          <w:sz w:val="18"/>
                        </w:rPr>
                      </w:pPr>
                      <w:r>
                        <w:rPr>
                          <w:rFonts w:asciiTheme="majorHAnsi" w:hAnsiTheme="majorHAnsi"/>
                          <w:b/>
                          <w:color w:val="595959" w:themeColor="text1" w:themeTint="A6"/>
                          <w:sz w:val="18"/>
                        </w:rPr>
                        <w:t xml:space="preserve">Cite </w:t>
                      </w:r>
                      <w:proofErr w:type="gramStart"/>
                      <w:r>
                        <w:rPr>
                          <w:rFonts w:asciiTheme="majorHAnsi" w:hAnsiTheme="majorHAnsi"/>
                          <w:b/>
                          <w:color w:val="595959" w:themeColor="text1" w:themeTint="A6"/>
                          <w:sz w:val="18"/>
                        </w:rPr>
                        <w:t>as:</w:t>
                      </w:r>
                      <w:proofErr w:type="gramEnd"/>
                      <w:r>
                        <w:rPr>
                          <w:rFonts w:asciiTheme="majorHAnsi" w:hAnsiTheme="majorHAnsi"/>
                          <w:b/>
                          <w:color w:val="595959" w:themeColor="text1" w:themeTint="A6"/>
                          <w:sz w:val="18"/>
                        </w:rPr>
                        <w:t xml:space="preserve"> </w:t>
                      </w:r>
                      <w:r w:rsidR="00F644E6" w:rsidRPr="003C32BC">
                        <w:rPr>
                          <w:rFonts w:asciiTheme="majorHAnsi" w:hAnsiTheme="majorHAnsi"/>
                          <w:color w:val="595959" w:themeColor="text1" w:themeTint="A6"/>
                          <w:sz w:val="18"/>
                        </w:rPr>
                        <w:t xml:space="preserve">IACHR, Report No. </w:t>
                      </w:r>
                      <w:r>
                        <w:rPr>
                          <w:rFonts w:asciiTheme="majorHAnsi" w:hAnsiTheme="majorHAnsi"/>
                          <w:color w:val="595959" w:themeColor="text1" w:themeTint="A6"/>
                          <w:sz w:val="18"/>
                        </w:rPr>
                        <w:t>42</w:t>
                      </w:r>
                      <w:r w:rsidR="00022CF5">
                        <w:rPr>
                          <w:rFonts w:asciiTheme="majorHAnsi" w:hAnsiTheme="majorHAnsi"/>
                          <w:color w:val="595959" w:themeColor="text1" w:themeTint="A6"/>
                          <w:sz w:val="18"/>
                        </w:rPr>
                        <w:t>/</w:t>
                      </w:r>
                      <w:r w:rsidR="007F196E">
                        <w:rPr>
                          <w:rFonts w:asciiTheme="majorHAnsi" w:hAnsiTheme="majorHAnsi"/>
                          <w:color w:val="595959" w:themeColor="text1" w:themeTint="A6"/>
                          <w:sz w:val="18"/>
                        </w:rPr>
                        <w:t>20</w:t>
                      </w:r>
                      <w:r w:rsidR="00F644E6" w:rsidRPr="003C32BC">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 xml:space="preserve">Petition </w:t>
                      </w:r>
                      <w:r>
                        <w:rPr>
                          <w:rFonts w:asciiTheme="majorHAnsi" w:hAnsiTheme="majorHAnsi"/>
                          <w:color w:val="595959" w:themeColor="text1" w:themeTint="A6"/>
                          <w:sz w:val="18"/>
                        </w:rPr>
                        <w:t>1473</w:t>
                      </w:r>
                      <w:r w:rsidR="00F621C3">
                        <w:rPr>
                          <w:rFonts w:asciiTheme="majorHAnsi" w:hAnsiTheme="majorHAnsi"/>
                          <w:color w:val="595959" w:themeColor="text1" w:themeTint="A6"/>
                          <w:sz w:val="18"/>
                        </w:rPr>
                        <w:t>-</w:t>
                      </w:r>
                      <w:r>
                        <w:rPr>
                          <w:rFonts w:asciiTheme="majorHAnsi" w:hAnsiTheme="majorHAnsi"/>
                          <w:color w:val="595959" w:themeColor="text1" w:themeTint="A6"/>
                          <w:sz w:val="18"/>
                        </w:rPr>
                        <w:t>08</w:t>
                      </w:r>
                      <w:r w:rsidR="00F644E6" w:rsidRPr="003C32BC">
                        <w:rPr>
                          <w:rFonts w:asciiTheme="majorHAnsi" w:hAnsiTheme="majorHAnsi"/>
                          <w:color w:val="595959" w:themeColor="text1" w:themeTint="A6"/>
                          <w:sz w:val="18"/>
                        </w:rPr>
                        <w:t>.</w:t>
                      </w:r>
                      <w:r w:rsidR="009E566A">
                        <w:rPr>
                          <w:rFonts w:asciiTheme="majorHAnsi" w:hAnsiTheme="majorHAnsi"/>
                          <w:color w:val="595959" w:themeColor="text1" w:themeTint="A6"/>
                          <w:sz w:val="18"/>
                        </w:rPr>
                        <w:t xml:space="preserve"> </w:t>
                      </w:r>
                      <w:r w:rsidR="00F42B71">
                        <w:rPr>
                          <w:rFonts w:asciiTheme="majorHAnsi" w:hAnsiTheme="majorHAnsi"/>
                          <w:color w:val="595959" w:themeColor="text1" w:themeTint="A6"/>
                          <w:sz w:val="18"/>
                        </w:rPr>
                        <w:t>Admissibility</w:t>
                      </w:r>
                      <w:r w:rsidR="00F644E6" w:rsidRPr="003C32BC">
                        <w:rPr>
                          <w:rFonts w:asciiTheme="majorHAnsi" w:hAnsiTheme="majorHAnsi"/>
                          <w:color w:val="595959" w:themeColor="text1" w:themeTint="A6"/>
                          <w:sz w:val="18"/>
                        </w:rPr>
                        <w:t xml:space="preserve">. </w:t>
                      </w:r>
                      <w:r w:rsidR="00D210EE">
                        <w:rPr>
                          <w:rFonts w:asciiTheme="majorHAnsi" w:hAnsiTheme="majorHAnsi"/>
                          <w:color w:val="595959" w:themeColor="text1" w:themeTint="A6"/>
                          <w:sz w:val="18"/>
                        </w:rPr>
                        <w:t>Gladys Elena Jaramillo Suárez, others and families</w:t>
                      </w:r>
                      <w:r w:rsidR="00F644E6" w:rsidRPr="003C32BC">
                        <w:rPr>
                          <w:rFonts w:asciiTheme="majorHAnsi" w:hAnsiTheme="majorHAnsi"/>
                          <w:color w:val="595959" w:themeColor="text1" w:themeTint="A6"/>
                          <w:sz w:val="18"/>
                        </w:rPr>
                        <w:t xml:space="preserve">. </w:t>
                      </w:r>
                      <w:r w:rsidR="00D210EE">
                        <w:rPr>
                          <w:rFonts w:asciiTheme="majorHAnsi" w:hAnsiTheme="majorHAnsi"/>
                          <w:color w:val="595959" w:themeColor="text1" w:themeTint="A6"/>
                          <w:sz w:val="18"/>
                        </w:rPr>
                        <w:t>Colombia</w:t>
                      </w:r>
                      <w:r w:rsidR="00022CF5">
                        <w:rPr>
                          <w:rFonts w:asciiTheme="majorHAnsi" w:hAnsiTheme="majorHAnsi"/>
                          <w:color w:val="595959" w:themeColor="text1" w:themeTint="A6"/>
                          <w:sz w:val="18"/>
                        </w:rPr>
                        <w:t xml:space="preserve">. </w:t>
                      </w:r>
                      <w:r w:rsidR="00D210EE">
                        <w:rPr>
                          <w:rFonts w:asciiTheme="majorHAnsi" w:hAnsiTheme="majorHAnsi"/>
                          <w:color w:val="595959" w:themeColor="text1" w:themeTint="A6"/>
                          <w:sz w:val="18"/>
                        </w:rPr>
                        <w:t>April 14, 2020</w:t>
                      </w:r>
                    </w:p>
                  </w:txbxContent>
                </v:textbox>
              </v:shape>
            </w:pict>
          </mc:Fallback>
        </mc:AlternateContent>
      </w:r>
    </w:p>
    <w:p w14:paraId="1C0DAFDE"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5420A6FF" w14:textId="77777777" w:rsidR="002C1641" w:rsidRPr="00671C66" w:rsidRDefault="002C1641" w:rsidP="00040C3A">
      <w:pPr>
        <w:tabs>
          <w:tab w:val="center" w:pos="5400"/>
        </w:tabs>
        <w:suppressAutoHyphens/>
        <w:jc w:val="center"/>
        <w:rPr>
          <w:rFonts w:asciiTheme="majorHAnsi" w:hAnsiTheme="majorHAnsi"/>
          <w:sz w:val="18"/>
          <w:szCs w:val="22"/>
          <w:lang w:val="es-ES_tradnl"/>
        </w:rPr>
      </w:pPr>
    </w:p>
    <w:p w14:paraId="03B36C31" w14:textId="77777777" w:rsidR="003C32BC" w:rsidRPr="00671C66" w:rsidRDefault="003C32BC" w:rsidP="003C32BC">
      <w:pPr>
        <w:tabs>
          <w:tab w:val="center" w:pos="5400"/>
        </w:tabs>
        <w:suppressAutoHyphens/>
        <w:jc w:val="center"/>
        <w:rPr>
          <w:rFonts w:asciiTheme="majorHAnsi" w:hAnsiTheme="majorHAnsi"/>
          <w:sz w:val="18"/>
          <w:szCs w:val="22"/>
        </w:rPr>
      </w:pPr>
    </w:p>
    <w:p w14:paraId="154A4854" w14:textId="77777777" w:rsidR="003C32BC" w:rsidRPr="00671C66" w:rsidRDefault="006311DA" w:rsidP="003C32BC">
      <w:pPr>
        <w:tabs>
          <w:tab w:val="center" w:pos="5400"/>
        </w:tabs>
        <w:suppressAutoHyphens/>
        <w:jc w:val="center"/>
        <w:rPr>
          <w:rFonts w:asciiTheme="majorHAnsi" w:hAnsiTheme="majorHAnsi"/>
          <w:sz w:val="18"/>
          <w:szCs w:val="22"/>
        </w:rPr>
      </w:pPr>
      <w:r w:rsidRPr="00671C66">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58693EBB"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7F196E">
                        <w:rPr>
                          <w:rFonts w:asciiTheme="minorHAnsi" w:hAnsiTheme="minorHAnsi"/>
                          <w:b/>
                          <w:color w:val="FFFFFF" w:themeColor="background1"/>
                          <w:lang w:val="pt-BR"/>
                        </w:rPr>
                        <w:t>iachr</w:t>
                      </w:r>
                      <w:r w:rsidRPr="004B7EB6">
                        <w:rPr>
                          <w:rFonts w:asciiTheme="minorHAnsi" w:hAnsiTheme="minorHAnsi"/>
                          <w:b/>
                          <w:color w:val="FFFFFF" w:themeColor="background1"/>
                          <w:lang w:val="pt-BR"/>
                        </w:rPr>
                        <w:t>.org</w:t>
                      </w:r>
                    </w:p>
                  </w:txbxContent>
                </v:textbox>
              </v:shape>
            </w:pict>
          </mc:Fallback>
        </mc:AlternateContent>
      </w:r>
      <w:r w:rsidRPr="00671C66">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1C1891A6">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68521452" w:rsidR="003C32BC" w:rsidRDefault="005406C2">
                      <w:r>
                        <w:rPr>
                          <w:noProof/>
                        </w:rPr>
                        <w:drawing>
                          <wp:inline distT="0" distB="0" distL="0" distR="0" wp14:anchorId="2FE289A6" wp14:editId="2BD8C8A8">
                            <wp:extent cx="1519555" cy="387985"/>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EA-ENG-Main-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9555" cy="387985"/>
                                    </a:xfrm>
                                    <a:prstGeom prst="rect">
                                      <a:avLst/>
                                    </a:prstGeom>
                                  </pic:spPr>
                                </pic:pic>
                              </a:graphicData>
                            </a:graphic>
                          </wp:inline>
                        </w:drawing>
                      </w:r>
                    </w:p>
                  </w:txbxContent>
                </v:textbox>
              </v:shape>
            </w:pict>
          </mc:Fallback>
        </mc:AlternateContent>
      </w:r>
    </w:p>
    <w:p w14:paraId="5DC57EA7" w14:textId="77777777" w:rsidR="007607C4" w:rsidRPr="00671C66" w:rsidRDefault="007607C4" w:rsidP="003C32BC">
      <w:pPr>
        <w:tabs>
          <w:tab w:val="center" w:pos="5400"/>
        </w:tabs>
        <w:suppressAutoHyphens/>
        <w:jc w:val="center"/>
        <w:rPr>
          <w:rFonts w:asciiTheme="majorHAnsi" w:hAnsiTheme="majorHAnsi"/>
          <w:sz w:val="18"/>
          <w:szCs w:val="22"/>
        </w:rPr>
        <w:sectPr w:rsidR="007607C4" w:rsidRPr="00671C66" w:rsidSect="00853419">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F6C9F39" w14:textId="237FA7B4" w:rsidR="00F621C3" w:rsidRPr="00671C66" w:rsidRDefault="00F621C3" w:rsidP="00F621C3">
      <w:pPr>
        <w:spacing w:after="240"/>
        <w:ind w:firstLine="720"/>
        <w:jc w:val="both"/>
        <w:rPr>
          <w:rFonts w:asciiTheme="majorHAnsi" w:hAnsiTheme="majorHAnsi"/>
          <w:b/>
          <w:bCs/>
          <w:sz w:val="20"/>
          <w:szCs w:val="20"/>
        </w:rPr>
      </w:pPr>
      <w:r w:rsidRPr="00671C66">
        <w:rPr>
          <w:rFonts w:asciiTheme="majorHAnsi" w:hAnsiTheme="majorHAnsi"/>
          <w:b/>
          <w:bCs/>
          <w:sz w:val="20"/>
          <w:szCs w:val="20"/>
        </w:rPr>
        <w:lastRenderedPageBreak/>
        <w:t>I.</w:t>
      </w:r>
      <w:r w:rsidRPr="00671C66">
        <w:rPr>
          <w:rFonts w:asciiTheme="majorHAnsi" w:hAnsiTheme="majorHAnsi"/>
          <w:b/>
          <w:bCs/>
          <w:sz w:val="20"/>
          <w:szCs w:val="20"/>
        </w:rPr>
        <w:tab/>
      </w:r>
      <w:r w:rsidR="00592718" w:rsidRPr="00671C66">
        <w:rPr>
          <w:rFonts w:asciiTheme="majorHAnsi" w:hAnsiTheme="majorHAnsi"/>
          <w:b/>
          <w:bCs/>
          <w:sz w:val="20"/>
          <w:szCs w:val="20"/>
        </w:rPr>
        <w:t>INFORMATION ABOUT THE PETITION</w:t>
      </w:r>
      <w:r w:rsidRPr="00671C66">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071AC" w:rsidRPr="00671C66" w14:paraId="491E8196" w14:textId="77777777" w:rsidTr="00A071AC">
        <w:tc>
          <w:tcPr>
            <w:tcW w:w="3690" w:type="dxa"/>
            <w:tcBorders>
              <w:top w:val="single" w:sz="4" w:space="0" w:color="auto"/>
              <w:bottom w:val="single" w:sz="6" w:space="0" w:color="auto"/>
            </w:tcBorders>
            <w:shd w:val="clear" w:color="auto" w:fill="67AE3C"/>
            <w:vAlign w:val="center"/>
          </w:tcPr>
          <w:p w14:paraId="5524F917" w14:textId="2D6C5F0F"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Petitioner:</w:t>
            </w:r>
          </w:p>
        </w:tc>
        <w:tc>
          <w:tcPr>
            <w:tcW w:w="5670" w:type="dxa"/>
            <w:vAlign w:val="center"/>
          </w:tcPr>
          <w:p w14:paraId="1A0437E8" w14:textId="259993D4" w:rsidR="00A071AC" w:rsidRPr="00671C66" w:rsidRDefault="00A071AC" w:rsidP="008B5693">
            <w:pPr>
              <w:jc w:val="both"/>
              <w:rPr>
                <w:rFonts w:ascii="Cambria" w:hAnsi="Cambria"/>
                <w:bCs/>
                <w:sz w:val="20"/>
                <w:szCs w:val="20"/>
              </w:rPr>
            </w:pPr>
            <w:r w:rsidRPr="00671C66">
              <w:rPr>
                <w:rFonts w:ascii="Cambria" w:hAnsi="Cambria"/>
                <w:bCs/>
                <w:sz w:val="20"/>
                <w:szCs w:val="20"/>
              </w:rPr>
              <w:t>Oscar Dario Villegas Posada</w:t>
            </w:r>
          </w:p>
        </w:tc>
      </w:tr>
      <w:tr w:rsidR="00A071AC" w:rsidRPr="00671C66" w14:paraId="0F4A57A0" w14:textId="77777777" w:rsidTr="00A071AC">
        <w:tc>
          <w:tcPr>
            <w:tcW w:w="3690" w:type="dxa"/>
            <w:tcBorders>
              <w:top w:val="single" w:sz="6" w:space="0" w:color="auto"/>
              <w:bottom w:val="single" w:sz="6" w:space="0" w:color="auto"/>
            </w:tcBorders>
            <w:shd w:val="clear" w:color="auto" w:fill="67AE3C"/>
            <w:vAlign w:val="center"/>
          </w:tcPr>
          <w:p w14:paraId="325E239F" w14:textId="5CA6565C" w:rsidR="00A071AC" w:rsidRPr="00671C66" w:rsidRDefault="008819D8" w:rsidP="008B569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5000C6A1CC3F4C21ACB112D17A318513"/>
                </w:placeholder>
                <w:dropDownList>
                  <w:listItem w:value="Choose an item."/>
                  <w:listItem w:displayText="Alleged victim" w:value="Alleged victim"/>
                  <w:listItem w:displayText="Alleged victims" w:value="Alleged victims"/>
                </w:dropDownList>
              </w:sdtPr>
              <w:sdtEndPr/>
              <w:sdtContent>
                <w:r w:rsidR="00A071AC" w:rsidRPr="00671C66">
                  <w:rPr>
                    <w:rFonts w:ascii="Cambria" w:hAnsi="Cambria"/>
                    <w:b/>
                    <w:bCs/>
                    <w:color w:val="FFFFFF" w:themeColor="background1"/>
                    <w:sz w:val="20"/>
                    <w:szCs w:val="20"/>
                  </w:rPr>
                  <w:t>Alleged victim</w:t>
                </w:r>
              </w:sdtContent>
            </w:sdt>
            <w:r w:rsidR="00A071AC" w:rsidRPr="00671C66">
              <w:rPr>
                <w:rFonts w:ascii="Cambria" w:hAnsi="Cambria"/>
                <w:b/>
                <w:bCs/>
                <w:color w:val="FFFFFF" w:themeColor="background1"/>
                <w:sz w:val="20"/>
                <w:szCs w:val="20"/>
              </w:rPr>
              <w:t>:</w:t>
            </w:r>
          </w:p>
        </w:tc>
        <w:tc>
          <w:tcPr>
            <w:tcW w:w="5670" w:type="dxa"/>
            <w:vAlign w:val="center"/>
          </w:tcPr>
          <w:p w14:paraId="1BF077A6" w14:textId="225EE4C2" w:rsidR="00A071AC" w:rsidRPr="00671C66" w:rsidRDefault="00A071AC" w:rsidP="008B5693">
            <w:pPr>
              <w:jc w:val="both"/>
              <w:rPr>
                <w:rFonts w:ascii="Cambria" w:hAnsi="Cambria"/>
                <w:bCs/>
                <w:sz w:val="20"/>
                <w:szCs w:val="20"/>
              </w:rPr>
            </w:pPr>
            <w:r w:rsidRPr="00671C66">
              <w:rPr>
                <w:rFonts w:ascii="Cambria" w:hAnsi="Cambria"/>
                <w:bCs/>
                <w:sz w:val="20"/>
                <w:szCs w:val="20"/>
              </w:rPr>
              <w:t>Gladys Elena Jaramillo, others and families</w:t>
            </w:r>
            <w:r w:rsidRPr="00671C66">
              <w:rPr>
                <w:rStyle w:val="FootnoteReference"/>
                <w:rFonts w:ascii="Cambria" w:hAnsi="Cambria"/>
                <w:bCs/>
                <w:sz w:val="20"/>
                <w:szCs w:val="20"/>
              </w:rPr>
              <w:footnoteReference w:id="2"/>
            </w:r>
          </w:p>
        </w:tc>
      </w:tr>
      <w:tr w:rsidR="00A071AC" w:rsidRPr="00671C66" w14:paraId="067638D2" w14:textId="77777777" w:rsidTr="00A071AC">
        <w:tc>
          <w:tcPr>
            <w:tcW w:w="3690" w:type="dxa"/>
            <w:tcBorders>
              <w:top w:val="single" w:sz="6" w:space="0" w:color="auto"/>
              <w:bottom w:val="single" w:sz="6" w:space="0" w:color="auto"/>
            </w:tcBorders>
            <w:shd w:val="clear" w:color="auto" w:fill="67AE3C"/>
            <w:vAlign w:val="center"/>
          </w:tcPr>
          <w:p w14:paraId="32104528" w14:textId="13F57E31"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Respondent State:</w:t>
            </w:r>
          </w:p>
        </w:tc>
        <w:tc>
          <w:tcPr>
            <w:tcW w:w="5670" w:type="dxa"/>
            <w:vAlign w:val="center"/>
          </w:tcPr>
          <w:p w14:paraId="4E008CAC" w14:textId="59D8B2E8" w:rsidR="00A071AC" w:rsidRPr="00671C66" w:rsidRDefault="00A071AC" w:rsidP="008B5693">
            <w:pPr>
              <w:jc w:val="both"/>
              <w:rPr>
                <w:rFonts w:ascii="Cambria" w:hAnsi="Cambria"/>
                <w:bCs/>
                <w:sz w:val="20"/>
                <w:szCs w:val="20"/>
              </w:rPr>
            </w:pPr>
            <w:r w:rsidRPr="00671C66">
              <w:rPr>
                <w:rFonts w:ascii="Cambria" w:hAnsi="Cambria"/>
                <w:bCs/>
                <w:sz w:val="20"/>
                <w:szCs w:val="20"/>
              </w:rPr>
              <w:t>Colombia</w:t>
            </w:r>
          </w:p>
        </w:tc>
      </w:tr>
      <w:tr w:rsidR="00A071AC" w:rsidRPr="00671C66" w14:paraId="57F2C481" w14:textId="77777777" w:rsidTr="00A071AC">
        <w:tc>
          <w:tcPr>
            <w:tcW w:w="3690" w:type="dxa"/>
            <w:tcBorders>
              <w:top w:val="single" w:sz="6" w:space="0" w:color="auto"/>
              <w:bottom w:val="single" w:sz="6" w:space="0" w:color="auto"/>
            </w:tcBorders>
            <w:shd w:val="clear" w:color="auto" w:fill="67AE3C"/>
            <w:vAlign w:val="center"/>
          </w:tcPr>
          <w:p w14:paraId="62BEEF4B" w14:textId="52EAAEA3"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Rights invoked:</w:t>
            </w:r>
          </w:p>
        </w:tc>
        <w:tc>
          <w:tcPr>
            <w:tcW w:w="5670" w:type="dxa"/>
            <w:vAlign w:val="center"/>
          </w:tcPr>
          <w:p w14:paraId="4BBCE411" w14:textId="69544EDD" w:rsidR="00A071AC" w:rsidRPr="00671C66" w:rsidRDefault="00A071AC" w:rsidP="008B5693">
            <w:pPr>
              <w:jc w:val="both"/>
              <w:rPr>
                <w:rFonts w:ascii="Cambria" w:hAnsi="Cambria"/>
                <w:bCs/>
                <w:sz w:val="20"/>
                <w:szCs w:val="20"/>
              </w:rPr>
            </w:pPr>
            <w:r w:rsidRPr="00671C66">
              <w:rPr>
                <w:rFonts w:ascii="Cambria" w:hAnsi="Cambria"/>
                <w:bCs/>
                <w:sz w:val="20"/>
                <w:szCs w:val="20"/>
              </w:rPr>
              <w:t>Art. 5 (humane treatment), 7 (personal liberty), 8 (fair trial), 11 (privacy) of the American Convention on Human Rights</w:t>
            </w:r>
            <w:r w:rsidRPr="00671C66">
              <w:rPr>
                <w:rStyle w:val="FootnoteReference"/>
                <w:rFonts w:ascii="Cambria" w:hAnsi="Cambria"/>
                <w:bCs/>
                <w:sz w:val="20"/>
                <w:szCs w:val="20"/>
              </w:rPr>
              <w:footnoteReference w:id="3"/>
            </w:r>
            <w:r w:rsidRPr="00671C66">
              <w:rPr>
                <w:rFonts w:ascii="Cambria" w:hAnsi="Cambria"/>
                <w:bCs/>
                <w:sz w:val="20"/>
                <w:szCs w:val="20"/>
              </w:rPr>
              <w:t xml:space="preserve"> and; I (life) IV (freedom of investigation, opinion, expression and dissemination),  XVIII (justice), VIII (residence and movement)  and XI (preservation of health and wellbeing) of the American Declaration of the Rights and Duties of Man.</w:t>
            </w:r>
            <w:r w:rsidRPr="00671C66">
              <w:rPr>
                <w:rStyle w:val="FootnoteReference"/>
                <w:rFonts w:ascii="Cambria" w:hAnsi="Cambria"/>
                <w:bCs/>
                <w:sz w:val="20"/>
                <w:szCs w:val="20"/>
              </w:rPr>
              <w:footnoteReference w:id="4"/>
            </w:r>
          </w:p>
        </w:tc>
      </w:tr>
    </w:tbl>
    <w:p w14:paraId="006E8D49" w14:textId="1C646C41" w:rsidR="00F621C3" w:rsidRPr="00671C66" w:rsidRDefault="00F621C3" w:rsidP="00F621C3">
      <w:pPr>
        <w:spacing w:before="240" w:after="240"/>
        <w:ind w:firstLine="720"/>
        <w:jc w:val="both"/>
        <w:rPr>
          <w:rFonts w:asciiTheme="majorHAnsi" w:hAnsiTheme="majorHAnsi"/>
          <w:b/>
          <w:bCs/>
          <w:sz w:val="20"/>
          <w:szCs w:val="20"/>
        </w:rPr>
      </w:pPr>
      <w:r w:rsidRPr="00671C66">
        <w:rPr>
          <w:rFonts w:asciiTheme="majorHAnsi" w:hAnsiTheme="majorHAnsi"/>
          <w:b/>
          <w:bCs/>
          <w:sz w:val="20"/>
          <w:szCs w:val="20"/>
        </w:rPr>
        <w:t>II.</w:t>
      </w:r>
      <w:r w:rsidRPr="00671C66">
        <w:rPr>
          <w:rFonts w:asciiTheme="majorHAnsi" w:hAnsiTheme="majorHAnsi"/>
          <w:b/>
          <w:bCs/>
          <w:sz w:val="20"/>
          <w:szCs w:val="20"/>
        </w:rPr>
        <w:tab/>
        <w:t>PROCE</w:t>
      </w:r>
      <w:r w:rsidR="00321AFD" w:rsidRPr="00671C66">
        <w:rPr>
          <w:rFonts w:asciiTheme="majorHAnsi" w:hAnsiTheme="majorHAnsi"/>
          <w:b/>
          <w:bCs/>
          <w:sz w:val="20"/>
          <w:szCs w:val="20"/>
        </w:rPr>
        <w:t>EDINGS</w:t>
      </w:r>
      <w:r w:rsidRPr="00671C66">
        <w:rPr>
          <w:rFonts w:asciiTheme="majorHAnsi" w:hAnsiTheme="majorHAnsi"/>
          <w:b/>
          <w:bCs/>
          <w:sz w:val="20"/>
          <w:szCs w:val="20"/>
        </w:rPr>
        <w:t xml:space="preserve"> BEFORE THE IACHR</w:t>
      </w:r>
      <w:r w:rsidR="00653EA6" w:rsidRPr="00671C66">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071AC" w:rsidRPr="00671C66" w14:paraId="1CAEC3AF" w14:textId="77777777" w:rsidTr="00A071AC">
        <w:tc>
          <w:tcPr>
            <w:tcW w:w="3690" w:type="dxa"/>
            <w:tcBorders>
              <w:top w:val="single" w:sz="6" w:space="0" w:color="auto"/>
              <w:bottom w:val="single" w:sz="6" w:space="0" w:color="auto"/>
            </w:tcBorders>
            <w:shd w:val="clear" w:color="auto" w:fill="67AE3C"/>
            <w:vAlign w:val="center"/>
          </w:tcPr>
          <w:p w14:paraId="2C2ED774" w14:textId="32BB789E"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Filing of the petition:</w:t>
            </w:r>
          </w:p>
        </w:tc>
        <w:tc>
          <w:tcPr>
            <w:tcW w:w="5670" w:type="dxa"/>
            <w:vAlign w:val="center"/>
          </w:tcPr>
          <w:p w14:paraId="7586E551" w14:textId="06B5CF16" w:rsidR="00A071AC" w:rsidRPr="00671C66" w:rsidRDefault="00A071AC" w:rsidP="008B5693">
            <w:pPr>
              <w:jc w:val="both"/>
              <w:rPr>
                <w:rFonts w:ascii="Cambria" w:hAnsi="Cambria"/>
                <w:bCs/>
                <w:sz w:val="20"/>
                <w:szCs w:val="20"/>
              </w:rPr>
            </w:pPr>
            <w:r w:rsidRPr="00671C66">
              <w:rPr>
                <w:rFonts w:ascii="Cambria" w:hAnsi="Cambria"/>
                <w:bCs/>
                <w:sz w:val="20"/>
                <w:szCs w:val="20"/>
              </w:rPr>
              <w:t>July 1, 2008</w:t>
            </w:r>
          </w:p>
        </w:tc>
      </w:tr>
      <w:tr w:rsidR="00A071AC" w:rsidRPr="00671C66" w14:paraId="700E913D" w14:textId="77777777" w:rsidTr="00A071AC">
        <w:tc>
          <w:tcPr>
            <w:tcW w:w="3690" w:type="dxa"/>
            <w:tcBorders>
              <w:top w:val="single" w:sz="6" w:space="0" w:color="auto"/>
              <w:bottom w:val="single" w:sz="6" w:space="0" w:color="auto"/>
            </w:tcBorders>
            <w:shd w:val="clear" w:color="auto" w:fill="67AE3C"/>
            <w:vAlign w:val="center"/>
          </w:tcPr>
          <w:p w14:paraId="7795D1B9" w14:textId="6A0BC5DB" w:rsidR="00A071AC" w:rsidRPr="00671C66" w:rsidRDefault="00A071AC" w:rsidP="008B5693">
            <w:pPr>
              <w:jc w:val="center"/>
              <w:rPr>
                <w:rFonts w:ascii="Cambria" w:hAnsi="Cambria"/>
                <w:b/>
                <w:color w:val="FFFFFF" w:themeColor="background1"/>
                <w:sz w:val="20"/>
                <w:szCs w:val="20"/>
              </w:rPr>
            </w:pPr>
            <w:r w:rsidRPr="00671C66">
              <w:rPr>
                <w:rFonts w:ascii="Cambria" w:hAnsi="Cambria"/>
                <w:b/>
                <w:color w:val="FFFFFF" w:themeColor="background1"/>
                <w:sz w:val="20"/>
                <w:szCs w:val="20"/>
              </w:rPr>
              <w:t>Additional information received at the stage of initial review:</w:t>
            </w:r>
          </w:p>
        </w:tc>
        <w:tc>
          <w:tcPr>
            <w:tcW w:w="5670" w:type="dxa"/>
            <w:vAlign w:val="center"/>
          </w:tcPr>
          <w:p w14:paraId="664883AF" w14:textId="07D625BC" w:rsidR="00A071AC" w:rsidRPr="00671C66" w:rsidRDefault="00A071AC" w:rsidP="008B5693">
            <w:pPr>
              <w:jc w:val="both"/>
              <w:rPr>
                <w:rFonts w:ascii="Cambria" w:hAnsi="Cambria"/>
                <w:bCs/>
                <w:sz w:val="20"/>
                <w:szCs w:val="20"/>
              </w:rPr>
            </w:pPr>
            <w:r w:rsidRPr="00671C66">
              <w:rPr>
                <w:rFonts w:ascii="Cambria" w:hAnsi="Cambria"/>
                <w:bCs/>
                <w:sz w:val="20"/>
                <w:szCs w:val="20"/>
              </w:rPr>
              <w:t>December 2, 2010</w:t>
            </w:r>
          </w:p>
        </w:tc>
      </w:tr>
      <w:tr w:rsidR="00A071AC" w:rsidRPr="00671C66" w14:paraId="7EAB2BD7" w14:textId="77777777" w:rsidTr="00A071AC">
        <w:tc>
          <w:tcPr>
            <w:tcW w:w="3690" w:type="dxa"/>
            <w:tcBorders>
              <w:top w:val="single" w:sz="6" w:space="0" w:color="auto"/>
              <w:bottom w:val="single" w:sz="6" w:space="0" w:color="auto"/>
            </w:tcBorders>
            <w:shd w:val="clear" w:color="auto" w:fill="67AE3C"/>
            <w:vAlign w:val="center"/>
          </w:tcPr>
          <w:p w14:paraId="79E6B4A9" w14:textId="542A8588" w:rsidR="00A071AC" w:rsidRPr="00671C66" w:rsidRDefault="00A071AC" w:rsidP="008B5693">
            <w:pPr>
              <w:jc w:val="center"/>
              <w:rPr>
                <w:rFonts w:ascii="Cambria" w:hAnsi="Cambria"/>
                <w:b/>
                <w:bCs/>
                <w:color w:val="FFFFFF" w:themeColor="background1"/>
                <w:sz w:val="20"/>
                <w:szCs w:val="20"/>
              </w:rPr>
            </w:pPr>
            <w:r w:rsidRPr="00671C66">
              <w:rPr>
                <w:rFonts w:ascii="Cambria" w:hAnsi="Cambria"/>
                <w:b/>
                <w:color w:val="FFFFFF" w:themeColor="background1"/>
                <w:sz w:val="20"/>
                <w:szCs w:val="20"/>
              </w:rPr>
              <w:t>Notification of the petition to the State:</w:t>
            </w:r>
          </w:p>
        </w:tc>
        <w:tc>
          <w:tcPr>
            <w:tcW w:w="5670" w:type="dxa"/>
            <w:vAlign w:val="center"/>
          </w:tcPr>
          <w:p w14:paraId="5BBD7F8C" w14:textId="3D724D40" w:rsidR="00A071AC" w:rsidRPr="00671C66" w:rsidRDefault="00A071AC" w:rsidP="008B5693">
            <w:pPr>
              <w:jc w:val="both"/>
              <w:rPr>
                <w:rFonts w:ascii="Cambria" w:hAnsi="Cambria"/>
                <w:bCs/>
                <w:sz w:val="20"/>
                <w:szCs w:val="20"/>
              </w:rPr>
            </w:pPr>
            <w:r w:rsidRPr="00671C66">
              <w:rPr>
                <w:rFonts w:ascii="Cambria" w:hAnsi="Cambria"/>
                <w:bCs/>
                <w:sz w:val="20"/>
                <w:szCs w:val="20"/>
              </w:rPr>
              <w:t>February 10, 2014</w:t>
            </w:r>
          </w:p>
        </w:tc>
      </w:tr>
      <w:tr w:rsidR="00A071AC" w:rsidRPr="00671C66" w14:paraId="56560AE1" w14:textId="77777777" w:rsidTr="00A071AC">
        <w:trPr>
          <w:trHeight w:val="264"/>
        </w:trPr>
        <w:tc>
          <w:tcPr>
            <w:tcW w:w="3690" w:type="dxa"/>
            <w:tcBorders>
              <w:top w:val="single" w:sz="6" w:space="0" w:color="auto"/>
              <w:bottom w:val="single" w:sz="6" w:space="0" w:color="auto"/>
            </w:tcBorders>
            <w:shd w:val="clear" w:color="auto" w:fill="67AE3C"/>
            <w:vAlign w:val="center"/>
          </w:tcPr>
          <w:p w14:paraId="07BDDCA2" w14:textId="4272A20D" w:rsidR="00A071AC" w:rsidRPr="00671C66" w:rsidRDefault="00A071AC" w:rsidP="008B5693">
            <w:pPr>
              <w:jc w:val="center"/>
              <w:rPr>
                <w:rFonts w:ascii="Cambria" w:hAnsi="Cambria"/>
                <w:b/>
                <w:bCs/>
                <w:color w:val="FFFFFF" w:themeColor="background1"/>
                <w:sz w:val="20"/>
                <w:szCs w:val="20"/>
              </w:rPr>
            </w:pPr>
            <w:r w:rsidRPr="00671C66">
              <w:rPr>
                <w:rFonts w:ascii="Cambria" w:hAnsi="Cambria"/>
                <w:b/>
                <w:color w:val="FFFFFF" w:themeColor="background1"/>
                <w:sz w:val="20"/>
                <w:szCs w:val="20"/>
              </w:rPr>
              <w:t>State’s first response:</w:t>
            </w:r>
          </w:p>
        </w:tc>
        <w:tc>
          <w:tcPr>
            <w:tcW w:w="5670" w:type="dxa"/>
            <w:vAlign w:val="center"/>
          </w:tcPr>
          <w:p w14:paraId="2C8C3328" w14:textId="650A73AE" w:rsidR="00A071AC" w:rsidRPr="00671C66" w:rsidRDefault="00A071AC" w:rsidP="008B5693">
            <w:pPr>
              <w:jc w:val="both"/>
              <w:rPr>
                <w:rFonts w:ascii="Cambria" w:hAnsi="Cambria"/>
                <w:bCs/>
                <w:sz w:val="20"/>
                <w:szCs w:val="20"/>
              </w:rPr>
            </w:pPr>
            <w:r w:rsidRPr="00671C66">
              <w:rPr>
                <w:rFonts w:ascii="Cambria" w:hAnsi="Cambria"/>
                <w:bCs/>
                <w:sz w:val="20"/>
                <w:szCs w:val="20"/>
              </w:rPr>
              <w:t>June 12, 2014 and October 22, 2014</w:t>
            </w:r>
          </w:p>
        </w:tc>
      </w:tr>
      <w:tr w:rsidR="00A071AC" w:rsidRPr="00671C66" w14:paraId="7A8A8A3C" w14:textId="77777777" w:rsidTr="00A071AC">
        <w:tc>
          <w:tcPr>
            <w:tcW w:w="3690" w:type="dxa"/>
            <w:tcBorders>
              <w:top w:val="single" w:sz="6" w:space="0" w:color="auto"/>
              <w:bottom w:val="single" w:sz="6" w:space="0" w:color="auto"/>
            </w:tcBorders>
            <w:shd w:val="clear" w:color="auto" w:fill="67AE3C"/>
            <w:vAlign w:val="center"/>
          </w:tcPr>
          <w:p w14:paraId="3DEC3A52" w14:textId="4AD4BFB0"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Additional observations from the petitioner:</w:t>
            </w:r>
          </w:p>
        </w:tc>
        <w:tc>
          <w:tcPr>
            <w:tcW w:w="5670" w:type="dxa"/>
            <w:vAlign w:val="center"/>
          </w:tcPr>
          <w:p w14:paraId="43434DC4" w14:textId="5D04B579" w:rsidR="00A071AC" w:rsidRPr="00671C66" w:rsidRDefault="00A071AC" w:rsidP="008B5693">
            <w:pPr>
              <w:jc w:val="both"/>
              <w:rPr>
                <w:rFonts w:ascii="Cambria" w:hAnsi="Cambria"/>
                <w:bCs/>
                <w:sz w:val="20"/>
                <w:szCs w:val="20"/>
              </w:rPr>
            </w:pPr>
            <w:r w:rsidRPr="00671C66">
              <w:rPr>
                <w:rFonts w:ascii="Cambria" w:hAnsi="Cambria"/>
                <w:bCs/>
                <w:sz w:val="20"/>
                <w:szCs w:val="20"/>
              </w:rPr>
              <w:t>July 17 and December 29, 2014</w:t>
            </w:r>
          </w:p>
        </w:tc>
      </w:tr>
      <w:tr w:rsidR="00A071AC" w:rsidRPr="00671C66" w14:paraId="3D79AA57" w14:textId="77777777" w:rsidTr="00A071AC">
        <w:tc>
          <w:tcPr>
            <w:tcW w:w="3690" w:type="dxa"/>
            <w:tcBorders>
              <w:top w:val="single" w:sz="6" w:space="0" w:color="auto"/>
              <w:bottom w:val="single" w:sz="6" w:space="0" w:color="auto"/>
            </w:tcBorders>
            <w:shd w:val="clear" w:color="auto" w:fill="67AE3C"/>
            <w:vAlign w:val="center"/>
          </w:tcPr>
          <w:p w14:paraId="2FE60FBE" w14:textId="11BD82D3"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Additional observations from the State:</w:t>
            </w:r>
          </w:p>
        </w:tc>
        <w:tc>
          <w:tcPr>
            <w:tcW w:w="5670" w:type="dxa"/>
            <w:vAlign w:val="center"/>
          </w:tcPr>
          <w:p w14:paraId="2EFC13A5" w14:textId="18B2C5F1" w:rsidR="00A071AC" w:rsidRPr="00671C66" w:rsidRDefault="00A071AC" w:rsidP="008B5693">
            <w:pPr>
              <w:jc w:val="both"/>
              <w:rPr>
                <w:rFonts w:ascii="Cambria" w:hAnsi="Cambria"/>
                <w:bCs/>
                <w:sz w:val="20"/>
                <w:szCs w:val="20"/>
              </w:rPr>
            </w:pPr>
            <w:r w:rsidRPr="00671C66">
              <w:rPr>
                <w:rFonts w:ascii="Cambria" w:hAnsi="Cambria"/>
                <w:bCs/>
                <w:sz w:val="20"/>
                <w:szCs w:val="20"/>
              </w:rPr>
              <w:t xml:space="preserve">October 22, 2014 and May 12, 2015 </w:t>
            </w:r>
          </w:p>
        </w:tc>
      </w:tr>
      <w:tr w:rsidR="00A071AC" w:rsidRPr="00671C66" w14:paraId="718737D9" w14:textId="77777777" w:rsidTr="00A071AC">
        <w:tc>
          <w:tcPr>
            <w:tcW w:w="3690" w:type="dxa"/>
            <w:tcBorders>
              <w:top w:val="single" w:sz="6" w:space="0" w:color="auto"/>
              <w:bottom w:val="single" w:sz="6" w:space="0" w:color="auto"/>
            </w:tcBorders>
            <w:shd w:val="clear" w:color="auto" w:fill="67AE3C"/>
            <w:vAlign w:val="center"/>
          </w:tcPr>
          <w:p w14:paraId="2F925819" w14:textId="25BD6B09"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Notification of the possible archiving of the petition:</w:t>
            </w:r>
          </w:p>
        </w:tc>
        <w:tc>
          <w:tcPr>
            <w:tcW w:w="5670" w:type="dxa"/>
            <w:vAlign w:val="center"/>
          </w:tcPr>
          <w:p w14:paraId="361F41A2" w14:textId="1D606002" w:rsidR="00A071AC" w:rsidRPr="00671C66" w:rsidRDefault="00A071AC" w:rsidP="008B5693">
            <w:pPr>
              <w:jc w:val="both"/>
              <w:rPr>
                <w:rFonts w:ascii="Cambria" w:hAnsi="Cambria"/>
                <w:bCs/>
                <w:sz w:val="20"/>
                <w:szCs w:val="20"/>
              </w:rPr>
            </w:pPr>
            <w:r w:rsidRPr="00671C66">
              <w:rPr>
                <w:rFonts w:ascii="Cambria" w:hAnsi="Cambria"/>
                <w:bCs/>
                <w:sz w:val="20"/>
                <w:szCs w:val="20"/>
              </w:rPr>
              <w:t>November 9, 2018</w:t>
            </w:r>
          </w:p>
        </w:tc>
      </w:tr>
      <w:tr w:rsidR="00A071AC" w:rsidRPr="00671C66" w14:paraId="09808A81" w14:textId="77777777" w:rsidTr="00A071AC">
        <w:tc>
          <w:tcPr>
            <w:tcW w:w="3690" w:type="dxa"/>
            <w:tcBorders>
              <w:top w:val="single" w:sz="6" w:space="0" w:color="auto"/>
              <w:bottom w:val="single" w:sz="6" w:space="0" w:color="auto"/>
            </w:tcBorders>
            <w:shd w:val="clear" w:color="auto" w:fill="67AE3C"/>
            <w:vAlign w:val="center"/>
          </w:tcPr>
          <w:p w14:paraId="49BCEA0B" w14:textId="18455F02"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Petitioner’s response to the notification regarding the possible archiving of the petition:</w:t>
            </w:r>
          </w:p>
        </w:tc>
        <w:tc>
          <w:tcPr>
            <w:tcW w:w="5670" w:type="dxa"/>
            <w:vAlign w:val="center"/>
          </w:tcPr>
          <w:p w14:paraId="076D0932" w14:textId="154FDBB6" w:rsidR="00A071AC" w:rsidRPr="00671C66" w:rsidRDefault="00A071AC" w:rsidP="008B5693">
            <w:pPr>
              <w:jc w:val="both"/>
              <w:rPr>
                <w:rFonts w:ascii="Cambria" w:hAnsi="Cambria"/>
                <w:bCs/>
                <w:sz w:val="20"/>
                <w:szCs w:val="20"/>
              </w:rPr>
            </w:pPr>
            <w:r w:rsidRPr="00671C66">
              <w:rPr>
                <w:rFonts w:ascii="Cambria" w:hAnsi="Cambria"/>
                <w:bCs/>
                <w:sz w:val="20"/>
                <w:szCs w:val="20"/>
              </w:rPr>
              <w:t>December 19, 2018</w:t>
            </w:r>
          </w:p>
        </w:tc>
      </w:tr>
      <w:tr w:rsidR="00A071AC" w:rsidRPr="00671C66" w14:paraId="7DBE6D67" w14:textId="77777777" w:rsidTr="00A071AC">
        <w:tc>
          <w:tcPr>
            <w:tcW w:w="3690" w:type="dxa"/>
            <w:tcBorders>
              <w:top w:val="single" w:sz="6" w:space="0" w:color="auto"/>
              <w:bottom w:val="single" w:sz="6" w:space="0" w:color="auto"/>
            </w:tcBorders>
            <w:shd w:val="clear" w:color="auto" w:fill="67AE3C"/>
            <w:vAlign w:val="center"/>
          </w:tcPr>
          <w:p w14:paraId="472DF345" w14:textId="7FB855CB"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Precautionary measure granted:</w:t>
            </w:r>
          </w:p>
        </w:tc>
        <w:tc>
          <w:tcPr>
            <w:tcW w:w="5670" w:type="dxa"/>
          </w:tcPr>
          <w:p w14:paraId="7E49C8FE" w14:textId="77777777" w:rsidR="00A071AC" w:rsidRPr="00671C66" w:rsidRDefault="00A071AC" w:rsidP="008B5693">
            <w:pPr>
              <w:jc w:val="both"/>
              <w:rPr>
                <w:rFonts w:ascii="Cambria" w:hAnsi="Cambria"/>
                <w:bCs/>
                <w:sz w:val="20"/>
                <w:szCs w:val="20"/>
              </w:rPr>
            </w:pPr>
          </w:p>
        </w:tc>
      </w:tr>
    </w:tbl>
    <w:p w14:paraId="7F88B361" w14:textId="77777777" w:rsidR="00F621C3" w:rsidRPr="00671C66" w:rsidRDefault="00F621C3" w:rsidP="00F621C3">
      <w:pPr>
        <w:spacing w:before="240" w:after="240"/>
        <w:ind w:firstLine="720"/>
        <w:jc w:val="both"/>
        <w:rPr>
          <w:rFonts w:asciiTheme="majorHAnsi" w:hAnsiTheme="majorHAnsi"/>
          <w:b/>
          <w:bCs/>
          <w:sz w:val="20"/>
          <w:szCs w:val="20"/>
        </w:rPr>
      </w:pPr>
      <w:r w:rsidRPr="00671C66">
        <w:rPr>
          <w:rFonts w:asciiTheme="majorHAnsi" w:hAnsiTheme="majorHAnsi"/>
          <w:b/>
          <w:bCs/>
          <w:sz w:val="20"/>
          <w:szCs w:val="20"/>
        </w:rPr>
        <w:t xml:space="preserve">III. </w:t>
      </w:r>
      <w:r w:rsidRPr="00671C66">
        <w:rPr>
          <w:rFonts w:asciiTheme="majorHAnsi" w:hAnsiTheme="majorHAnsi"/>
          <w:b/>
          <w:bCs/>
          <w:sz w:val="20"/>
          <w:szCs w:val="20"/>
        </w:rPr>
        <w:tab/>
        <w:t xml:space="preserve">COMPETENCE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071AC" w:rsidRPr="00671C66" w14:paraId="2F81CC8B" w14:textId="77777777" w:rsidTr="00A071AC">
        <w:trPr>
          <w:cantSplit/>
        </w:trPr>
        <w:tc>
          <w:tcPr>
            <w:tcW w:w="3690" w:type="dxa"/>
            <w:tcBorders>
              <w:top w:val="single" w:sz="4" w:space="0" w:color="auto"/>
              <w:bottom w:val="single" w:sz="6" w:space="0" w:color="auto"/>
            </w:tcBorders>
            <w:shd w:val="clear" w:color="auto" w:fill="67AE3C"/>
            <w:vAlign w:val="center"/>
          </w:tcPr>
          <w:p w14:paraId="3A568008" w14:textId="77777777" w:rsidR="00A071AC" w:rsidRPr="00671C66" w:rsidRDefault="00A071AC" w:rsidP="008B5693">
            <w:pPr>
              <w:jc w:val="center"/>
              <w:rPr>
                <w:rFonts w:ascii="Cambria" w:hAnsi="Cambria"/>
                <w:b/>
                <w:bCs/>
                <w:i/>
                <w:color w:val="FFFFFF" w:themeColor="background1"/>
                <w:sz w:val="20"/>
                <w:szCs w:val="20"/>
              </w:rPr>
            </w:pPr>
            <w:r w:rsidRPr="00671C66">
              <w:rPr>
                <w:rFonts w:ascii="Cambria" w:hAnsi="Cambria"/>
                <w:b/>
                <w:bCs/>
                <w:color w:val="FFFFFF" w:themeColor="background1"/>
                <w:sz w:val="20"/>
                <w:szCs w:val="20"/>
              </w:rPr>
              <w:t>Competence</w:t>
            </w:r>
            <w:r w:rsidRPr="00671C66">
              <w:rPr>
                <w:rFonts w:ascii="Cambria" w:hAnsi="Cambria"/>
                <w:b/>
                <w:bCs/>
                <w:i/>
                <w:color w:val="FFFFFF" w:themeColor="background1"/>
                <w:sz w:val="20"/>
                <w:szCs w:val="20"/>
              </w:rPr>
              <w:t xml:space="preserve"> </w:t>
            </w:r>
            <w:proofErr w:type="spellStart"/>
            <w:r w:rsidRPr="00671C66">
              <w:rPr>
                <w:rFonts w:ascii="Cambria" w:hAnsi="Cambria"/>
                <w:b/>
                <w:bCs/>
                <w:i/>
                <w:color w:val="FFFFFF" w:themeColor="background1"/>
                <w:sz w:val="20"/>
                <w:szCs w:val="20"/>
              </w:rPr>
              <w:t>Ratione</w:t>
            </w:r>
            <w:proofErr w:type="spellEnd"/>
            <w:r w:rsidRPr="00671C66">
              <w:rPr>
                <w:rFonts w:ascii="Cambria" w:hAnsi="Cambria"/>
                <w:b/>
                <w:bCs/>
                <w:i/>
                <w:color w:val="FFFFFF" w:themeColor="background1"/>
                <w:sz w:val="20"/>
                <w:szCs w:val="20"/>
              </w:rPr>
              <w:t xml:space="preserve"> personae:</w:t>
            </w:r>
          </w:p>
        </w:tc>
        <w:tc>
          <w:tcPr>
            <w:tcW w:w="5670" w:type="dxa"/>
            <w:vAlign w:val="center"/>
          </w:tcPr>
          <w:p w14:paraId="28EAE72B" w14:textId="10AFFEF7" w:rsidR="00A071AC" w:rsidRPr="00671C66" w:rsidRDefault="00A071AC" w:rsidP="008B5693">
            <w:pPr>
              <w:rPr>
                <w:rFonts w:asciiTheme="majorHAnsi" w:hAnsiTheme="majorHAnsi"/>
                <w:bCs/>
                <w:sz w:val="20"/>
                <w:szCs w:val="20"/>
              </w:rPr>
            </w:pPr>
            <w:r w:rsidRPr="00671C66">
              <w:rPr>
                <w:rFonts w:ascii="Cambria" w:hAnsi="Cambria"/>
                <w:bCs/>
                <w:sz w:val="20"/>
                <w:szCs w:val="20"/>
              </w:rPr>
              <w:t>Yes</w:t>
            </w:r>
          </w:p>
        </w:tc>
      </w:tr>
      <w:tr w:rsidR="00A071AC" w:rsidRPr="00671C66" w14:paraId="5FE56D1B" w14:textId="77777777" w:rsidTr="00A071AC">
        <w:trPr>
          <w:cantSplit/>
        </w:trPr>
        <w:tc>
          <w:tcPr>
            <w:tcW w:w="3690" w:type="dxa"/>
            <w:tcBorders>
              <w:top w:val="single" w:sz="6" w:space="0" w:color="auto"/>
              <w:bottom w:val="single" w:sz="6" w:space="0" w:color="auto"/>
            </w:tcBorders>
            <w:shd w:val="clear" w:color="auto" w:fill="67AE3C"/>
            <w:vAlign w:val="center"/>
          </w:tcPr>
          <w:p w14:paraId="2190B967" w14:textId="77777777"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Competence</w:t>
            </w:r>
            <w:r w:rsidRPr="00671C66">
              <w:rPr>
                <w:rFonts w:ascii="Cambria" w:hAnsi="Cambria"/>
                <w:b/>
                <w:bCs/>
                <w:i/>
                <w:color w:val="FFFFFF" w:themeColor="background1"/>
                <w:sz w:val="20"/>
                <w:szCs w:val="20"/>
              </w:rPr>
              <w:t xml:space="preserve"> </w:t>
            </w:r>
            <w:proofErr w:type="spellStart"/>
            <w:r w:rsidRPr="00671C66">
              <w:rPr>
                <w:rFonts w:ascii="Cambria" w:hAnsi="Cambria"/>
                <w:b/>
                <w:bCs/>
                <w:i/>
                <w:color w:val="FFFFFF" w:themeColor="background1"/>
                <w:sz w:val="20"/>
                <w:szCs w:val="20"/>
              </w:rPr>
              <w:t>Ratione</w:t>
            </w:r>
            <w:proofErr w:type="spellEnd"/>
            <w:r w:rsidRPr="00671C66">
              <w:rPr>
                <w:rFonts w:ascii="Cambria" w:hAnsi="Cambria"/>
                <w:b/>
                <w:bCs/>
                <w:i/>
                <w:color w:val="FFFFFF" w:themeColor="background1"/>
                <w:sz w:val="20"/>
                <w:szCs w:val="20"/>
              </w:rPr>
              <w:t xml:space="preserve"> loci</w:t>
            </w:r>
            <w:r w:rsidRPr="00671C66">
              <w:rPr>
                <w:rFonts w:ascii="Cambria" w:hAnsi="Cambria"/>
                <w:b/>
                <w:bCs/>
                <w:color w:val="FFFFFF" w:themeColor="background1"/>
                <w:sz w:val="20"/>
                <w:szCs w:val="20"/>
              </w:rPr>
              <w:t>:</w:t>
            </w:r>
          </w:p>
        </w:tc>
        <w:tc>
          <w:tcPr>
            <w:tcW w:w="5670" w:type="dxa"/>
            <w:vAlign w:val="center"/>
          </w:tcPr>
          <w:p w14:paraId="30158E64" w14:textId="4AD50D04" w:rsidR="00A071AC" w:rsidRPr="00671C66" w:rsidRDefault="00A071AC" w:rsidP="008B5693">
            <w:pPr>
              <w:rPr>
                <w:rFonts w:asciiTheme="majorHAnsi" w:hAnsiTheme="majorHAnsi"/>
                <w:bCs/>
                <w:sz w:val="20"/>
                <w:szCs w:val="20"/>
              </w:rPr>
            </w:pPr>
            <w:r w:rsidRPr="00671C66">
              <w:rPr>
                <w:rFonts w:ascii="Cambria" w:hAnsi="Cambria"/>
                <w:bCs/>
                <w:sz w:val="20"/>
                <w:szCs w:val="20"/>
              </w:rPr>
              <w:t xml:space="preserve">Yes </w:t>
            </w:r>
          </w:p>
        </w:tc>
      </w:tr>
      <w:tr w:rsidR="00A071AC" w:rsidRPr="00671C66" w14:paraId="372B5DD8" w14:textId="77777777" w:rsidTr="00A071AC">
        <w:trPr>
          <w:cantSplit/>
        </w:trPr>
        <w:tc>
          <w:tcPr>
            <w:tcW w:w="3690" w:type="dxa"/>
            <w:tcBorders>
              <w:top w:val="single" w:sz="6" w:space="0" w:color="auto"/>
              <w:bottom w:val="single" w:sz="6" w:space="0" w:color="auto"/>
            </w:tcBorders>
            <w:shd w:val="clear" w:color="auto" w:fill="67AE3C"/>
            <w:vAlign w:val="center"/>
          </w:tcPr>
          <w:p w14:paraId="7F979173" w14:textId="77777777"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Competence</w:t>
            </w:r>
            <w:r w:rsidRPr="00671C66">
              <w:rPr>
                <w:rFonts w:ascii="Cambria" w:hAnsi="Cambria"/>
                <w:b/>
                <w:bCs/>
                <w:i/>
                <w:color w:val="FFFFFF" w:themeColor="background1"/>
                <w:sz w:val="20"/>
                <w:szCs w:val="20"/>
              </w:rPr>
              <w:t xml:space="preserve"> </w:t>
            </w:r>
            <w:proofErr w:type="spellStart"/>
            <w:r w:rsidRPr="00671C66">
              <w:rPr>
                <w:rFonts w:ascii="Cambria" w:hAnsi="Cambria"/>
                <w:b/>
                <w:bCs/>
                <w:i/>
                <w:color w:val="FFFFFF" w:themeColor="background1"/>
                <w:sz w:val="20"/>
                <w:szCs w:val="20"/>
              </w:rPr>
              <w:t>Ratione</w:t>
            </w:r>
            <w:proofErr w:type="spellEnd"/>
            <w:r w:rsidRPr="00671C66">
              <w:rPr>
                <w:rFonts w:ascii="Cambria" w:hAnsi="Cambria"/>
                <w:b/>
                <w:bCs/>
                <w:i/>
                <w:color w:val="FFFFFF" w:themeColor="background1"/>
                <w:sz w:val="20"/>
                <w:szCs w:val="20"/>
              </w:rPr>
              <w:t xml:space="preserve"> </w:t>
            </w:r>
            <w:proofErr w:type="spellStart"/>
            <w:r w:rsidRPr="00671C66">
              <w:rPr>
                <w:rFonts w:ascii="Cambria" w:hAnsi="Cambria"/>
                <w:b/>
                <w:bCs/>
                <w:i/>
                <w:color w:val="FFFFFF" w:themeColor="background1"/>
                <w:sz w:val="20"/>
                <w:szCs w:val="20"/>
              </w:rPr>
              <w:t>temporis</w:t>
            </w:r>
            <w:proofErr w:type="spellEnd"/>
            <w:r w:rsidRPr="00671C66">
              <w:rPr>
                <w:rFonts w:ascii="Cambria" w:hAnsi="Cambria"/>
                <w:b/>
                <w:bCs/>
                <w:color w:val="FFFFFF" w:themeColor="background1"/>
                <w:sz w:val="20"/>
                <w:szCs w:val="20"/>
              </w:rPr>
              <w:t>:</w:t>
            </w:r>
          </w:p>
        </w:tc>
        <w:tc>
          <w:tcPr>
            <w:tcW w:w="5670" w:type="dxa"/>
            <w:vAlign w:val="center"/>
          </w:tcPr>
          <w:p w14:paraId="312F90E2" w14:textId="6A6130A3" w:rsidR="00A071AC" w:rsidRPr="00671C66" w:rsidRDefault="00A071AC" w:rsidP="008B5693">
            <w:pPr>
              <w:rPr>
                <w:rFonts w:asciiTheme="majorHAnsi" w:hAnsiTheme="majorHAnsi"/>
                <w:bCs/>
                <w:sz w:val="20"/>
                <w:szCs w:val="20"/>
              </w:rPr>
            </w:pPr>
            <w:r w:rsidRPr="00671C66">
              <w:rPr>
                <w:rFonts w:ascii="Cambria" w:hAnsi="Cambria"/>
                <w:bCs/>
                <w:sz w:val="20"/>
                <w:szCs w:val="20"/>
              </w:rPr>
              <w:t xml:space="preserve">Yes </w:t>
            </w:r>
          </w:p>
        </w:tc>
      </w:tr>
      <w:tr w:rsidR="00A071AC" w:rsidRPr="00671C66" w14:paraId="6648704B" w14:textId="77777777" w:rsidTr="00A071AC">
        <w:trPr>
          <w:cantSplit/>
        </w:trPr>
        <w:tc>
          <w:tcPr>
            <w:tcW w:w="3690" w:type="dxa"/>
            <w:tcBorders>
              <w:top w:val="single" w:sz="6" w:space="0" w:color="auto"/>
              <w:bottom w:val="single" w:sz="6" w:space="0" w:color="auto"/>
            </w:tcBorders>
            <w:shd w:val="clear" w:color="auto" w:fill="67AE3C"/>
            <w:vAlign w:val="center"/>
          </w:tcPr>
          <w:p w14:paraId="15BBE7AF" w14:textId="77777777"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Competence</w:t>
            </w:r>
            <w:r w:rsidRPr="00671C66">
              <w:rPr>
                <w:rFonts w:ascii="Cambria" w:hAnsi="Cambria"/>
                <w:b/>
                <w:bCs/>
                <w:i/>
                <w:color w:val="FFFFFF" w:themeColor="background1"/>
                <w:sz w:val="20"/>
                <w:szCs w:val="20"/>
              </w:rPr>
              <w:t xml:space="preserve"> </w:t>
            </w:r>
            <w:proofErr w:type="spellStart"/>
            <w:r w:rsidRPr="00671C66">
              <w:rPr>
                <w:rFonts w:ascii="Cambria" w:hAnsi="Cambria"/>
                <w:b/>
                <w:bCs/>
                <w:i/>
                <w:color w:val="FFFFFF" w:themeColor="background1"/>
                <w:sz w:val="20"/>
                <w:szCs w:val="20"/>
              </w:rPr>
              <w:t>Ratione</w:t>
            </w:r>
            <w:proofErr w:type="spellEnd"/>
            <w:r w:rsidRPr="00671C66">
              <w:rPr>
                <w:rFonts w:ascii="Cambria" w:hAnsi="Cambria"/>
                <w:b/>
                <w:bCs/>
                <w:i/>
                <w:color w:val="FFFFFF" w:themeColor="background1"/>
                <w:sz w:val="20"/>
                <w:szCs w:val="20"/>
              </w:rPr>
              <w:t xml:space="preserve"> </w:t>
            </w:r>
            <w:proofErr w:type="spellStart"/>
            <w:r w:rsidRPr="00671C66">
              <w:rPr>
                <w:rFonts w:ascii="Cambria" w:hAnsi="Cambria"/>
                <w:b/>
                <w:bCs/>
                <w:i/>
                <w:color w:val="FFFFFF" w:themeColor="background1"/>
                <w:sz w:val="20"/>
                <w:szCs w:val="20"/>
              </w:rPr>
              <w:t>materiae</w:t>
            </w:r>
            <w:proofErr w:type="spellEnd"/>
            <w:r w:rsidRPr="00671C66">
              <w:rPr>
                <w:rFonts w:ascii="Cambria" w:hAnsi="Cambria"/>
                <w:b/>
                <w:bCs/>
                <w:color w:val="FFFFFF" w:themeColor="background1"/>
                <w:sz w:val="20"/>
                <w:szCs w:val="20"/>
              </w:rPr>
              <w:t>:</w:t>
            </w:r>
          </w:p>
        </w:tc>
        <w:tc>
          <w:tcPr>
            <w:tcW w:w="5670" w:type="dxa"/>
            <w:vAlign w:val="center"/>
          </w:tcPr>
          <w:p w14:paraId="13AB54DE" w14:textId="57E4108B" w:rsidR="00A071AC" w:rsidRPr="00671C66" w:rsidRDefault="00A071AC" w:rsidP="008B5693">
            <w:pPr>
              <w:jc w:val="both"/>
              <w:rPr>
                <w:rFonts w:asciiTheme="majorHAnsi" w:hAnsiTheme="majorHAnsi"/>
                <w:bCs/>
                <w:sz w:val="20"/>
                <w:szCs w:val="20"/>
              </w:rPr>
            </w:pPr>
            <w:r w:rsidRPr="00671C66">
              <w:rPr>
                <w:rFonts w:ascii="Cambria" w:hAnsi="Cambria"/>
                <w:bCs/>
                <w:sz w:val="20"/>
                <w:szCs w:val="20"/>
              </w:rPr>
              <w:t>Yes, American Convention (</w:t>
            </w:r>
            <w:r>
              <w:rPr>
                <w:rFonts w:ascii="Cambria" w:hAnsi="Cambria"/>
                <w:bCs/>
                <w:sz w:val="19"/>
                <w:szCs w:val="19"/>
              </w:rPr>
              <w:t>(instrument deposited on July 31, 1973</w:t>
            </w:r>
            <w:r w:rsidRPr="00671C66">
              <w:rPr>
                <w:rFonts w:ascii="Cambria" w:hAnsi="Cambria"/>
                <w:bCs/>
                <w:sz w:val="20"/>
                <w:szCs w:val="20"/>
              </w:rPr>
              <w:t>)</w:t>
            </w:r>
          </w:p>
        </w:tc>
      </w:tr>
    </w:tbl>
    <w:p w14:paraId="0408D4CD" w14:textId="54A61356" w:rsidR="00F621C3" w:rsidRPr="00671C66" w:rsidRDefault="00F621C3" w:rsidP="00F621C3">
      <w:pPr>
        <w:spacing w:before="240" w:after="240"/>
        <w:ind w:firstLine="720"/>
        <w:jc w:val="both"/>
        <w:rPr>
          <w:rFonts w:asciiTheme="majorHAnsi" w:hAnsiTheme="majorHAnsi"/>
          <w:b/>
          <w:bCs/>
          <w:sz w:val="20"/>
          <w:szCs w:val="20"/>
        </w:rPr>
      </w:pPr>
      <w:r w:rsidRPr="00671C66">
        <w:rPr>
          <w:rFonts w:asciiTheme="majorHAnsi" w:hAnsiTheme="majorHAnsi"/>
          <w:b/>
          <w:bCs/>
          <w:sz w:val="20"/>
          <w:szCs w:val="20"/>
        </w:rPr>
        <w:t xml:space="preserve">IV. </w:t>
      </w:r>
      <w:r w:rsidRPr="00671C66">
        <w:rPr>
          <w:rFonts w:asciiTheme="majorHAnsi" w:hAnsiTheme="majorHAnsi"/>
          <w:b/>
          <w:bCs/>
          <w:sz w:val="20"/>
          <w:szCs w:val="20"/>
        </w:rPr>
        <w:tab/>
        <w:t xml:space="preserve">DUPLICATION OF PROCEDURES AND INTERNATIONAL </w:t>
      </w:r>
      <w:r w:rsidRPr="00671C66">
        <w:rPr>
          <w:rFonts w:asciiTheme="majorHAnsi" w:hAnsiTheme="majorHAnsi"/>
          <w:b/>
          <w:bCs/>
          <w:i/>
          <w:sz w:val="20"/>
          <w:szCs w:val="20"/>
        </w:rPr>
        <w:t>RES JUDICATA</w:t>
      </w:r>
      <w:r w:rsidRPr="00671C66">
        <w:rPr>
          <w:rFonts w:asciiTheme="majorHAnsi" w:hAnsiTheme="majorHAnsi"/>
          <w:b/>
          <w:bCs/>
          <w:sz w:val="20"/>
          <w:szCs w:val="20"/>
        </w:rPr>
        <w:t>, COLORABLE CLAIM, EXHAUSTION OF DOMESTIC REMEDIES AND TIMELINESS OF THE PETITION</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A071AC" w:rsidRPr="00671C66" w14:paraId="4091A423" w14:textId="77777777" w:rsidTr="00A071AC">
        <w:trPr>
          <w:cantSplit/>
        </w:trPr>
        <w:tc>
          <w:tcPr>
            <w:tcW w:w="3690" w:type="dxa"/>
            <w:tcBorders>
              <w:top w:val="single" w:sz="4" w:space="0" w:color="auto"/>
              <w:bottom w:val="single" w:sz="6" w:space="0" w:color="auto"/>
            </w:tcBorders>
            <w:shd w:val="clear" w:color="auto" w:fill="67AE3C"/>
            <w:vAlign w:val="center"/>
          </w:tcPr>
          <w:p w14:paraId="61D870FF" w14:textId="77777777"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 xml:space="preserve">Duplication of procedures and International </w:t>
            </w:r>
            <w:r w:rsidRPr="00671C66">
              <w:rPr>
                <w:rFonts w:ascii="Cambria" w:hAnsi="Cambria"/>
                <w:b/>
                <w:bCs/>
                <w:i/>
                <w:color w:val="FFFFFF" w:themeColor="background1"/>
                <w:sz w:val="20"/>
                <w:szCs w:val="20"/>
              </w:rPr>
              <w:t>res judicata</w:t>
            </w:r>
            <w:r w:rsidRPr="00671C66">
              <w:rPr>
                <w:rFonts w:ascii="Cambria" w:hAnsi="Cambria"/>
                <w:b/>
                <w:bCs/>
                <w:color w:val="FFFFFF" w:themeColor="background1"/>
                <w:sz w:val="20"/>
                <w:szCs w:val="20"/>
              </w:rPr>
              <w:t>:</w:t>
            </w:r>
          </w:p>
        </w:tc>
        <w:tc>
          <w:tcPr>
            <w:tcW w:w="5670" w:type="dxa"/>
            <w:vAlign w:val="center"/>
          </w:tcPr>
          <w:p w14:paraId="5599A7A4" w14:textId="4AAA55A6" w:rsidR="00A071AC" w:rsidRPr="00671C66" w:rsidRDefault="00A071AC" w:rsidP="008B5693">
            <w:pPr>
              <w:jc w:val="both"/>
              <w:rPr>
                <w:rFonts w:ascii="Cambria" w:hAnsi="Cambria"/>
                <w:bCs/>
                <w:sz w:val="20"/>
                <w:szCs w:val="20"/>
              </w:rPr>
            </w:pPr>
            <w:r w:rsidRPr="00671C66">
              <w:rPr>
                <w:rFonts w:ascii="Cambria" w:hAnsi="Cambria"/>
                <w:bCs/>
                <w:sz w:val="20"/>
                <w:szCs w:val="20"/>
              </w:rPr>
              <w:t>No</w:t>
            </w:r>
          </w:p>
        </w:tc>
      </w:tr>
      <w:tr w:rsidR="00A071AC" w:rsidRPr="00671C66" w14:paraId="24B3B5A9" w14:textId="77777777" w:rsidTr="00A071AC">
        <w:trPr>
          <w:cantSplit/>
        </w:trPr>
        <w:tc>
          <w:tcPr>
            <w:tcW w:w="3690" w:type="dxa"/>
            <w:tcBorders>
              <w:top w:val="single" w:sz="6" w:space="0" w:color="auto"/>
              <w:bottom w:val="single" w:sz="6" w:space="0" w:color="auto"/>
            </w:tcBorders>
            <w:shd w:val="clear" w:color="auto" w:fill="67AE3C"/>
            <w:vAlign w:val="center"/>
          </w:tcPr>
          <w:p w14:paraId="2E52A630" w14:textId="77777777" w:rsidR="00A071AC" w:rsidRPr="00671C66" w:rsidRDefault="00A071AC" w:rsidP="008B5693">
            <w:pPr>
              <w:jc w:val="center"/>
              <w:rPr>
                <w:rFonts w:ascii="Cambria" w:hAnsi="Cambria"/>
                <w:b/>
                <w:bCs/>
                <w:i/>
                <w:color w:val="FFFFFF" w:themeColor="background1"/>
                <w:sz w:val="20"/>
                <w:szCs w:val="20"/>
              </w:rPr>
            </w:pPr>
            <w:r w:rsidRPr="00671C66">
              <w:rPr>
                <w:rFonts w:ascii="Cambria" w:hAnsi="Cambria"/>
                <w:b/>
                <w:bCs/>
                <w:color w:val="FFFFFF" w:themeColor="background1"/>
                <w:sz w:val="20"/>
                <w:szCs w:val="20"/>
              </w:rPr>
              <w:lastRenderedPageBreak/>
              <w:t>Rights declared admissible</w:t>
            </w:r>
          </w:p>
        </w:tc>
        <w:tc>
          <w:tcPr>
            <w:tcW w:w="5670" w:type="dxa"/>
            <w:vAlign w:val="center"/>
          </w:tcPr>
          <w:p w14:paraId="43CCFE50" w14:textId="0A07B544" w:rsidR="00A071AC" w:rsidRPr="00671C66" w:rsidRDefault="00A071AC" w:rsidP="008B5693">
            <w:pPr>
              <w:jc w:val="both"/>
              <w:rPr>
                <w:rFonts w:ascii="Cambria" w:hAnsi="Cambria"/>
                <w:bCs/>
                <w:sz w:val="20"/>
                <w:szCs w:val="20"/>
              </w:rPr>
            </w:pPr>
            <w:r w:rsidRPr="00671C66">
              <w:rPr>
                <w:rFonts w:ascii="Cambria" w:hAnsi="Cambria"/>
                <w:bCs/>
                <w:sz w:val="20"/>
                <w:szCs w:val="20"/>
              </w:rPr>
              <w:t>Articles 4 (life), 5 (humane treatment), 8 (fair trial</w:t>
            </w:r>
            <w:r w:rsidR="00362A93">
              <w:rPr>
                <w:rFonts w:ascii="Cambria" w:hAnsi="Cambria"/>
                <w:bCs/>
                <w:sz w:val="20"/>
                <w:szCs w:val="20"/>
              </w:rPr>
              <w:t>), 22 (movement and residence), 25 (judicial protection)</w:t>
            </w:r>
            <w:r w:rsidRPr="00671C66">
              <w:rPr>
                <w:rFonts w:ascii="Cambria" w:hAnsi="Cambria"/>
                <w:bCs/>
                <w:sz w:val="20"/>
                <w:szCs w:val="20"/>
              </w:rPr>
              <w:t xml:space="preserve"> and 26 (economic, social and cultural rights) in connection with Articles 1.1 and 2 of the American Convention on Human Rights. </w:t>
            </w:r>
          </w:p>
        </w:tc>
      </w:tr>
      <w:tr w:rsidR="00A071AC" w:rsidRPr="00671C66" w14:paraId="4DFB74FC" w14:textId="77777777" w:rsidTr="00A071AC">
        <w:trPr>
          <w:cantSplit/>
        </w:trPr>
        <w:tc>
          <w:tcPr>
            <w:tcW w:w="3690" w:type="dxa"/>
            <w:tcBorders>
              <w:top w:val="single" w:sz="6" w:space="0" w:color="auto"/>
              <w:bottom w:val="single" w:sz="6" w:space="0" w:color="auto"/>
            </w:tcBorders>
            <w:shd w:val="clear" w:color="auto" w:fill="67AE3C"/>
            <w:vAlign w:val="center"/>
          </w:tcPr>
          <w:p w14:paraId="1D4CE924" w14:textId="77777777"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Exhaustion of domestic remedies or applicability of an exception to the rule:</w:t>
            </w:r>
          </w:p>
        </w:tc>
        <w:tc>
          <w:tcPr>
            <w:tcW w:w="5670" w:type="dxa"/>
            <w:vAlign w:val="center"/>
          </w:tcPr>
          <w:p w14:paraId="3716E23E" w14:textId="5FEBA910" w:rsidR="00A071AC" w:rsidRPr="00671C66" w:rsidRDefault="00A071AC" w:rsidP="008B5693">
            <w:pPr>
              <w:rPr>
                <w:rFonts w:ascii="Cambria" w:hAnsi="Cambria"/>
                <w:bCs/>
                <w:sz w:val="20"/>
                <w:szCs w:val="20"/>
              </w:rPr>
            </w:pPr>
            <w:r w:rsidRPr="00671C66">
              <w:rPr>
                <w:rFonts w:ascii="Cambria" w:hAnsi="Cambria"/>
                <w:bCs/>
                <w:sz w:val="20"/>
                <w:szCs w:val="20"/>
              </w:rPr>
              <w:t xml:space="preserve">Yes, under Section VI </w:t>
            </w:r>
          </w:p>
        </w:tc>
      </w:tr>
      <w:tr w:rsidR="00A071AC" w:rsidRPr="00671C66" w14:paraId="6D900199" w14:textId="77777777" w:rsidTr="00A071AC">
        <w:trPr>
          <w:cantSplit/>
        </w:trPr>
        <w:tc>
          <w:tcPr>
            <w:tcW w:w="3690" w:type="dxa"/>
            <w:tcBorders>
              <w:top w:val="single" w:sz="6" w:space="0" w:color="auto"/>
              <w:bottom w:val="single" w:sz="6" w:space="0" w:color="auto"/>
            </w:tcBorders>
            <w:shd w:val="clear" w:color="auto" w:fill="67AE3C"/>
            <w:vAlign w:val="center"/>
          </w:tcPr>
          <w:p w14:paraId="42C3BC97" w14:textId="77777777" w:rsidR="00A071AC" w:rsidRPr="00671C66" w:rsidRDefault="00A071AC" w:rsidP="008B5693">
            <w:pPr>
              <w:jc w:val="center"/>
              <w:rPr>
                <w:rFonts w:ascii="Cambria" w:hAnsi="Cambria"/>
                <w:b/>
                <w:bCs/>
                <w:color w:val="FFFFFF" w:themeColor="background1"/>
                <w:sz w:val="20"/>
                <w:szCs w:val="20"/>
              </w:rPr>
            </w:pPr>
            <w:r w:rsidRPr="00671C66">
              <w:rPr>
                <w:rFonts w:ascii="Cambria" w:hAnsi="Cambria"/>
                <w:b/>
                <w:bCs/>
                <w:color w:val="FFFFFF" w:themeColor="background1"/>
                <w:sz w:val="20"/>
                <w:szCs w:val="20"/>
              </w:rPr>
              <w:t>Timeliness of the petition:</w:t>
            </w:r>
          </w:p>
        </w:tc>
        <w:tc>
          <w:tcPr>
            <w:tcW w:w="5670" w:type="dxa"/>
            <w:vAlign w:val="center"/>
          </w:tcPr>
          <w:p w14:paraId="7DDF5802" w14:textId="6EC1C64B" w:rsidR="00A071AC" w:rsidRPr="00671C66" w:rsidRDefault="00A071AC" w:rsidP="008B5693">
            <w:pPr>
              <w:rPr>
                <w:rFonts w:asciiTheme="majorHAnsi" w:hAnsiTheme="majorHAnsi"/>
                <w:bCs/>
                <w:sz w:val="20"/>
                <w:szCs w:val="20"/>
              </w:rPr>
            </w:pPr>
            <w:r w:rsidRPr="00671C66">
              <w:rPr>
                <w:rFonts w:ascii="Cambria" w:hAnsi="Cambria"/>
                <w:bCs/>
                <w:sz w:val="20"/>
                <w:szCs w:val="20"/>
              </w:rPr>
              <w:t>Yes, under Section VI</w:t>
            </w:r>
          </w:p>
        </w:tc>
      </w:tr>
    </w:tbl>
    <w:p w14:paraId="54172C4F" w14:textId="11051898" w:rsidR="00B06BB7" w:rsidRPr="00671C66" w:rsidRDefault="00B06BB7">
      <w:pPr>
        <w:rPr>
          <w:rFonts w:asciiTheme="majorHAnsi" w:hAnsiTheme="majorHAnsi"/>
          <w:b/>
          <w:sz w:val="20"/>
          <w:szCs w:val="20"/>
        </w:rPr>
      </w:pPr>
    </w:p>
    <w:p w14:paraId="629E2DE8" w14:textId="62D32F02" w:rsidR="00F621C3" w:rsidRPr="00671C66" w:rsidRDefault="00F621C3" w:rsidP="00F621C3">
      <w:pPr>
        <w:spacing w:before="240" w:after="240"/>
        <w:ind w:firstLine="720"/>
        <w:jc w:val="both"/>
        <w:rPr>
          <w:rFonts w:asciiTheme="majorHAnsi" w:hAnsiTheme="majorHAnsi"/>
          <w:b/>
          <w:sz w:val="20"/>
          <w:szCs w:val="20"/>
        </w:rPr>
      </w:pPr>
      <w:r w:rsidRPr="00671C66">
        <w:rPr>
          <w:rFonts w:asciiTheme="majorHAnsi" w:hAnsiTheme="majorHAnsi"/>
          <w:b/>
          <w:sz w:val="20"/>
          <w:szCs w:val="20"/>
        </w:rPr>
        <w:t xml:space="preserve">V. </w:t>
      </w:r>
      <w:r w:rsidRPr="00671C66">
        <w:rPr>
          <w:rFonts w:asciiTheme="majorHAnsi" w:hAnsiTheme="majorHAnsi"/>
          <w:b/>
          <w:sz w:val="20"/>
          <w:szCs w:val="20"/>
        </w:rPr>
        <w:tab/>
        <w:t xml:space="preserve">FACTS </w:t>
      </w:r>
      <w:r w:rsidR="005816E5" w:rsidRPr="00671C66">
        <w:rPr>
          <w:rFonts w:asciiTheme="majorHAnsi" w:hAnsiTheme="majorHAnsi"/>
          <w:b/>
          <w:sz w:val="20"/>
          <w:szCs w:val="20"/>
        </w:rPr>
        <w:t>ALLEGED</w:t>
      </w:r>
    </w:p>
    <w:p w14:paraId="64A3E8F8" w14:textId="77777777" w:rsidR="008B5693" w:rsidRPr="00671C66" w:rsidRDefault="006318B2" w:rsidP="008B5693">
      <w:pPr>
        <w:pStyle w:val="ListParagraph"/>
        <w:numPr>
          <w:ilvl w:val="0"/>
          <w:numId w:val="106"/>
        </w:numPr>
        <w:suppressAutoHyphens/>
        <w:spacing w:after="240"/>
        <w:ind w:left="0" w:firstLine="720"/>
        <w:jc w:val="both"/>
        <w:rPr>
          <w:sz w:val="20"/>
          <w:szCs w:val="20"/>
        </w:rPr>
      </w:pPr>
      <w:r w:rsidRPr="00671C66">
        <w:rPr>
          <w:sz w:val="20"/>
          <w:szCs w:val="20"/>
        </w:rPr>
        <w:t xml:space="preserve"> </w:t>
      </w:r>
      <w:r w:rsidR="008B5693" w:rsidRPr="00671C66">
        <w:rPr>
          <w:sz w:val="20"/>
          <w:szCs w:val="20"/>
        </w:rPr>
        <w:t xml:space="preserve">The instant petition is about the murders of Luis Holguín </w:t>
      </w:r>
      <w:proofErr w:type="spellStart"/>
      <w:r w:rsidR="008B5693" w:rsidRPr="00671C66">
        <w:rPr>
          <w:sz w:val="20"/>
          <w:szCs w:val="20"/>
        </w:rPr>
        <w:t>Jurado</w:t>
      </w:r>
      <w:proofErr w:type="spellEnd"/>
      <w:r w:rsidR="008B5693" w:rsidRPr="00671C66">
        <w:rPr>
          <w:sz w:val="20"/>
          <w:szCs w:val="20"/>
        </w:rPr>
        <w:t xml:space="preserve">, Oscar </w:t>
      </w:r>
      <w:proofErr w:type="spellStart"/>
      <w:r w:rsidR="008B5693" w:rsidRPr="00671C66">
        <w:rPr>
          <w:sz w:val="20"/>
          <w:szCs w:val="20"/>
        </w:rPr>
        <w:t>Upegui</w:t>
      </w:r>
      <w:proofErr w:type="spellEnd"/>
      <w:r w:rsidR="008B5693" w:rsidRPr="00671C66">
        <w:rPr>
          <w:sz w:val="20"/>
          <w:szCs w:val="20"/>
        </w:rPr>
        <w:t xml:space="preserve"> </w:t>
      </w:r>
      <w:proofErr w:type="spellStart"/>
      <w:r w:rsidR="008B5693" w:rsidRPr="00671C66">
        <w:rPr>
          <w:sz w:val="20"/>
          <w:szCs w:val="20"/>
        </w:rPr>
        <w:t>Saldarriaga</w:t>
      </w:r>
      <w:proofErr w:type="spellEnd"/>
      <w:r w:rsidR="008B5693" w:rsidRPr="00671C66">
        <w:rPr>
          <w:sz w:val="20"/>
          <w:szCs w:val="20"/>
        </w:rPr>
        <w:t xml:space="preserve"> and Carlos </w:t>
      </w:r>
      <w:proofErr w:type="spellStart"/>
      <w:r w:rsidR="008B5693" w:rsidRPr="00671C66">
        <w:rPr>
          <w:sz w:val="20"/>
          <w:szCs w:val="20"/>
        </w:rPr>
        <w:t>Rendón</w:t>
      </w:r>
      <w:proofErr w:type="spellEnd"/>
      <w:r w:rsidR="008B5693" w:rsidRPr="00671C66">
        <w:rPr>
          <w:sz w:val="20"/>
          <w:szCs w:val="20"/>
        </w:rPr>
        <w:t xml:space="preserve"> Naranjo (hereinafter “the alleged victims,” or “Mr. Holguín, “Mr. </w:t>
      </w:r>
      <w:proofErr w:type="spellStart"/>
      <w:r w:rsidR="008B5693" w:rsidRPr="00671C66">
        <w:rPr>
          <w:sz w:val="20"/>
          <w:szCs w:val="20"/>
        </w:rPr>
        <w:t>Upegui</w:t>
      </w:r>
      <w:proofErr w:type="spellEnd"/>
      <w:r w:rsidR="008B5693" w:rsidRPr="00671C66">
        <w:rPr>
          <w:sz w:val="20"/>
          <w:szCs w:val="20"/>
        </w:rPr>
        <w:t xml:space="preserve">,” “Mr. </w:t>
      </w:r>
      <w:proofErr w:type="spellStart"/>
      <w:r w:rsidR="008B5693" w:rsidRPr="00671C66">
        <w:rPr>
          <w:sz w:val="20"/>
          <w:szCs w:val="20"/>
        </w:rPr>
        <w:t>Rendón</w:t>
      </w:r>
      <w:proofErr w:type="spellEnd"/>
      <w:r w:rsidR="008B5693" w:rsidRPr="00671C66">
        <w:rPr>
          <w:sz w:val="20"/>
          <w:szCs w:val="20"/>
        </w:rPr>
        <w:t xml:space="preserve">”) allegedly carried out by the “social cleansing” group known as </w:t>
      </w:r>
      <w:r w:rsidR="008B5693" w:rsidRPr="00671C66">
        <w:rPr>
          <w:i/>
          <w:iCs/>
          <w:sz w:val="20"/>
          <w:szCs w:val="20"/>
        </w:rPr>
        <w:t xml:space="preserve">Los </w:t>
      </w:r>
      <w:proofErr w:type="spellStart"/>
      <w:r w:rsidR="008B5693" w:rsidRPr="00671C66">
        <w:rPr>
          <w:i/>
          <w:iCs/>
          <w:sz w:val="20"/>
          <w:szCs w:val="20"/>
        </w:rPr>
        <w:t>Doce</w:t>
      </w:r>
      <w:proofErr w:type="spellEnd"/>
      <w:r w:rsidR="008B5693" w:rsidRPr="00671C66">
        <w:rPr>
          <w:i/>
          <w:iCs/>
          <w:sz w:val="20"/>
          <w:szCs w:val="20"/>
        </w:rPr>
        <w:t xml:space="preserve"> </w:t>
      </w:r>
      <w:proofErr w:type="spellStart"/>
      <w:r w:rsidR="008B5693" w:rsidRPr="00671C66">
        <w:rPr>
          <w:i/>
          <w:iCs/>
          <w:sz w:val="20"/>
          <w:szCs w:val="20"/>
        </w:rPr>
        <w:t>Apóstoles</w:t>
      </w:r>
      <w:proofErr w:type="spellEnd"/>
      <w:r w:rsidR="008B5693" w:rsidRPr="00671C66">
        <w:rPr>
          <w:sz w:val="20"/>
          <w:szCs w:val="20"/>
        </w:rPr>
        <w:t xml:space="preserve"> or the ‘Twelve Apostles” in 1993 in the municipality of </w:t>
      </w:r>
      <w:proofErr w:type="spellStart"/>
      <w:r w:rsidR="008B5693" w:rsidRPr="00671C66">
        <w:rPr>
          <w:sz w:val="20"/>
          <w:szCs w:val="20"/>
        </w:rPr>
        <w:t>Yarumal</w:t>
      </w:r>
      <w:proofErr w:type="spellEnd"/>
      <w:r w:rsidR="008B5693" w:rsidRPr="00671C66">
        <w:rPr>
          <w:sz w:val="20"/>
          <w:szCs w:val="20"/>
        </w:rPr>
        <w:t xml:space="preserve">, department of Antioquia, Colombia.  The petitioner claims that the Twelve Apostles operated in the region between 1992 and 1994 and was made up of local hitmen, was organized and sponsored by local businessmen and land owners, with ties to the police and the national army in this municipality. He contends that full reparation has not be awarded to the family members of the alleged victims stemming from the crimes charged in the petition and that more than 22 years have elapsed since the crimes were committed and no effective criminal investigation has been conducted to identify all those responsible as actual perpetrators or masterminds. </w:t>
      </w:r>
    </w:p>
    <w:p w14:paraId="7F2D6362" w14:textId="77777777" w:rsidR="008B5693" w:rsidRPr="008B5693" w:rsidRDefault="008B5693" w:rsidP="008B56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u w:val="single"/>
          <w:lang w:val="es-US"/>
        </w:rPr>
      </w:pPr>
      <w:proofErr w:type="spellStart"/>
      <w:r w:rsidRPr="008B5693">
        <w:rPr>
          <w:rFonts w:ascii="Cambria" w:hAnsi="Cambria"/>
          <w:sz w:val="20"/>
          <w:szCs w:val="20"/>
          <w:u w:val="single"/>
          <w:lang w:val="es-US"/>
        </w:rPr>
        <w:t>Allegations</w:t>
      </w:r>
      <w:proofErr w:type="spellEnd"/>
      <w:r w:rsidRPr="008B5693">
        <w:rPr>
          <w:rFonts w:ascii="Cambria" w:hAnsi="Cambria"/>
          <w:sz w:val="20"/>
          <w:szCs w:val="20"/>
          <w:u w:val="single"/>
          <w:lang w:val="es-US"/>
        </w:rPr>
        <w:t xml:space="preserve"> </w:t>
      </w:r>
      <w:proofErr w:type="spellStart"/>
      <w:r w:rsidRPr="008B5693">
        <w:rPr>
          <w:rFonts w:ascii="Cambria" w:hAnsi="Cambria"/>
          <w:sz w:val="20"/>
          <w:szCs w:val="20"/>
          <w:u w:val="single"/>
          <w:lang w:val="es-US"/>
        </w:rPr>
        <w:t>regarding</w:t>
      </w:r>
      <w:proofErr w:type="spellEnd"/>
      <w:r w:rsidRPr="008B5693">
        <w:rPr>
          <w:rFonts w:ascii="Cambria" w:hAnsi="Cambria"/>
          <w:sz w:val="20"/>
          <w:szCs w:val="20"/>
          <w:u w:val="single"/>
          <w:lang w:val="es-US"/>
        </w:rPr>
        <w:t xml:space="preserve"> Luis Armando Holguín Jurado</w:t>
      </w:r>
    </w:p>
    <w:p w14:paraId="0B4A9905" w14:textId="77777777" w:rsidR="008B5693" w:rsidRPr="008B5693"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8B5693">
        <w:rPr>
          <w:rFonts w:ascii="Cambria" w:eastAsia="Cambria" w:hAnsi="Cambria" w:cs="Cambria"/>
          <w:color w:val="000000"/>
          <w:sz w:val="20"/>
          <w:szCs w:val="20"/>
          <w:u w:color="000000"/>
          <w:lang w:eastAsia="es-ES"/>
        </w:rPr>
        <w:t xml:space="preserve">Luis Armando Holguín </w:t>
      </w:r>
      <w:proofErr w:type="spellStart"/>
      <w:r w:rsidRPr="008B5693">
        <w:rPr>
          <w:rFonts w:ascii="Cambria" w:eastAsia="Cambria" w:hAnsi="Cambria" w:cs="Cambria"/>
          <w:color w:val="000000"/>
          <w:sz w:val="20"/>
          <w:szCs w:val="20"/>
          <w:u w:color="000000"/>
          <w:lang w:eastAsia="es-ES"/>
        </w:rPr>
        <w:t>Jurado</w:t>
      </w:r>
      <w:proofErr w:type="spellEnd"/>
      <w:r w:rsidRPr="008B5693">
        <w:rPr>
          <w:rFonts w:ascii="Cambria" w:eastAsia="Cambria" w:hAnsi="Cambria" w:cs="Cambria"/>
          <w:color w:val="000000"/>
          <w:sz w:val="20"/>
          <w:szCs w:val="20"/>
          <w:u w:color="000000"/>
          <w:lang w:eastAsia="es-ES"/>
        </w:rPr>
        <w:t xml:space="preserve"> lived with his family in a squatter’s settlement in </w:t>
      </w:r>
      <w:proofErr w:type="spellStart"/>
      <w:r w:rsidRPr="008B5693">
        <w:rPr>
          <w:rFonts w:ascii="Cambria" w:eastAsia="Cambria" w:hAnsi="Cambria" w:cs="Cambria"/>
          <w:color w:val="000000"/>
          <w:sz w:val="20"/>
          <w:szCs w:val="20"/>
          <w:u w:color="000000"/>
          <w:lang w:eastAsia="es-ES"/>
        </w:rPr>
        <w:t>Yarumal</w:t>
      </w:r>
      <w:proofErr w:type="spellEnd"/>
      <w:r w:rsidRPr="008B5693">
        <w:rPr>
          <w:rFonts w:ascii="Cambria" w:eastAsia="Cambria" w:hAnsi="Cambria" w:cs="Cambria"/>
          <w:color w:val="000000"/>
          <w:sz w:val="20"/>
          <w:szCs w:val="20"/>
          <w:u w:color="000000"/>
          <w:lang w:eastAsia="es-ES"/>
        </w:rPr>
        <w:t xml:space="preserve"> on a plot of land that allegedly belonged to a member of the Twelve Apostles group. According to reports, the night of August 12, 1993, a group of hooded individuals killed Mr. Holguín in front of his family members, his wife went to the Police Headquarters to report the crime, and the police did not go to the scene of the crime to remove the body until the next day.  Mr. Holguín’s wife and children were evicted by the occupants and, because of the murder of Mr. Holguín and threats leveled against them, they feared for their lives and had no other choice than to move to another municipality to not meet the same fate as the alleged victim. </w:t>
      </w:r>
    </w:p>
    <w:p w14:paraId="47DD1661" w14:textId="77777777" w:rsidR="008B5693" w:rsidRPr="008B5693"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8B5693">
        <w:rPr>
          <w:rFonts w:ascii="Cambria" w:eastAsia="Cambria" w:hAnsi="Cambria" w:cs="Cambria"/>
          <w:color w:val="000000"/>
          <w:sz w:val="20"/>
          <w:szCs w:val="20"/>
          <w:u w:color="000000"/>
          <w:lang w:eastAsia="es-ES"/>
        </w:rPr>
        <w:t xml:space="preserve">On August 11, 1995, the family members of the alleged victim resorted to the Administrative Court to file suit for direct reparation. The Court denied their claim in a judgment of June 29, 2001, on the grounds that even though the Twelve Apostles group existed, there was insufficient evidence to claim that the State could be held responsible for such </w:t>
      </w:r>
      <w:proofErr w:type="gramStart"/>
      <w:r w:rsidRPr="008B5693">
        <w:rPr>
          <w:rFonts w:ascii="Cambria" w:eastAsia="Cambria" w:hAnsi="Cambria" w:cs="Cambria"/>
          <w:color w:val="000000"/>
          <w:sz w:val="20"/>
          <w:szCs w:val="20"/>
          <w:u w:color="000000"/>
          <w:lang w:eastAsia="es-ES"/>
        </w:rPr>
        <w:t>an</w:t>
      </w:r>
      <w:proofErr w:type="gramEnd"/>
      <w:r w:rsidRPr="008B5693">
        <w:rPr>
          <w:rFonts w:ascii="Cambria" w:eastAsia="Cambria" w:hAnsi="Cambria" w:cs="Cambria"/>
          <w:color w:val="000000"/>
          <w:sz w:val="20"/>
          <w:szCs w:val="20"/>
          <w:u w:color="000000"/>
          <w:lang w:eastAsia="es-ES"/>
        </w:rPr>
        <w:t xml:space="preserve"> crime, which was an “</w:t>
      </w:r>
      <w:r w:rsidRPr="008B5693">
        <w:rPr>
          <w:rFonts w:ascii="Cambria" w:eastAsia="Cambria" w:hAnsi="Cambria" w:cs="Cambria"/>
          <w:i/>
          <w:iCs/>
          <w:color w:val="000000"/>
          <w:sz w:val="20"/>
          <w:szCs w:val="20"/>
          <w:u w:color="000000"/>
          <w:lang w:eastAsia="es-ES"/>
        </w:rPr>
        <w:t>act of a third party</w:t>
      </w:r>
      <w:r w:rsidRPr="008B5693">
        <w:rPr>
          <w:rFonts w:ascii="Cambria" w:eastAsia="Cambria" w:hAnsi="Cambria" w:cs="Cambria"/>
          <w:color w:val="000000"/>
          <w:sz w:val="20"/>
          <w:szCs w:val="20"/>
          <w:u w:color="000000"/>
          <w:lang w:eastAsia="es-ES"/>
        </w:rPr>
        <w:t xml:space="preserve">.” Additionally, the Court found that there were no reports of threats against their lives or sufficient grounds for the authorities to consider their lives to be at risk. On June 14, 2012, the Council of State, the court of review, heard the case on appeal and overturned the decision of the trial court noting in its judgment “the existence of the “social cleansing” group known by the name “The Twelve Apostles whose criminal conduct was not only tolerated by the members of the public security forces but some of its members belonged to it, sowing death and terror in the municipality of </w:t>
      </w:r>
      <w:proofErr w:type="spellStart"/>
      <w:r w:rsidRPr="008B5693">
        <w:rPr>
          <w:rFonts w:ascii="Cambria" w:eastAsia="Cambria" w:hAnsi="Cambria" w:cs="Cambria"/>
          <w:color w:val="000000"/>
          <w:sz w:val="20"/>
          <w:szCs w:val="20"/>
          <w:u w:color="000000"/>
          <w:lang w:eastAsia="es-ES"/>
        </w:rPr>
        <w:t>Yarumal</w:t>
      </w:r>
      <w:proofErr w:type="spellEnd"/>
      <w:r w:rsidRPr="008B5693">
        <w:rPr>
          <w:rFonts w:ascii="Cambria" w:eastAsia="Cambria" w:hAnsi="Cambria" w:cs="Cambria"/>
          <w:color w:val="000000"/>
          <w:sz w:val="20"/>
          <w:szCs w:val="20"/>
          <w:u w:color="000000"/>
          <w:lang w:eastAsia="es-ES"/>
        </w:rPr>
        <w:t>, department of Antioquia between June 1993 and March 1994.” Based on the aforementioned judgment, it ordered the Ministry of Defense – National Police to: (</w:t>
      </w:r>
      <w:proofErr w:type="spellStart"/>
      <w:r w:rsidRPr="008B5693">
        <w:rPr>
          <w:rFonts w:ascii="Cambria" w:eastAsia="Cambria" w:hAnsi="Cambria" w:cs="Cambria"/>
          <w:color w:val="000000"/>
          <w:sz w:val="20"/>
          <w:szCs w:val="20"/>
          <w:u w:color="000000"/>
          <w:lang w:eastAsia="es-ES"/>
        </w:rPr>
        <w:t>i</w:t>
      </w:r>
      <w:proofErr w:type="spellEnd"/>
      <w:r w:rsidRPr="008B5693">
        <w:rPr>
          <w:rFonts w:ascii="Cambria" w:eastAsia="Cambria" w:hAnsi="Cambria" w:cs="Cambria"/>
          <w:color w:val="000000"/>
          <w:sz w:val="20"/>
          <w:szCs w:val="20"/>
          <w:u w:color="000000"/>
          <w:lang w:eastAsia="es-ES"/>
        </w:rPr>
        <w:t xml:space="preserve">) pay compensation for pecuniary and non-pecuniary damages, (ii) take non-pecuniary measures to fully redress the damages, (iii) provide psychological treatment, (iv) publish the operative portion of the judgment in two widely circulated, national daily newspapers, and, (v) hold a public ceremony of recognition of responsibility, presided over by the Minister of Defense.  </w:t>
      </w:r>
    </w:p>
    <w:p w14:paraId="07B05E9C" w14:textId="77777777" w:rsidR="008B5693" w:rsidRPr="008B5693" w:rsidRDefault="008B5693" w:rsidP="008B56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u w:val="single"/>
        </w:rPr>
      </w:pPr>
      <w:r w:rsidRPr="008B5693">
        <w:rPr>
          <w:rFonts w:ascii="Cambria" w:hAnsi="Cambria"/>
          <w:sz w:val="20"/>
          <w:szCs w:val="20"/>
          <w:u w:val="single"/>
        </w:rPr>
        <w:t xml:space="preserve">Allegations regarding Oscar Hernan </w:t>
      </w:r>
      <w:proofErr w:type="spellStart"/>
      <w:r w:rsidRPr="008B5693">
        <w:rPr>
          <w:rFonts w:ascii="Cambria" w:hAnsi="Cambria"/>
          <w:sz w:val="20"/>
          <w:szCs w:val="20"/>
          <w:u w:val="single"/>
        </w:rPr>
        <w:t>Upegui</w:t>
      </w:r>
      <w:proofErr w:type="spellEnd"/>
      <w:r w:rsidRPr="008B5693">
        <w:rPr>
          <w:rFonts w:ascii="Cambria" w:hAnsi="Cambria"/>
          <w:sz w:val="20"/>
          <w:szCs w:val="20"/>
          <w:u w:val="single"/>
        </w:rPr>
        <w:t xml:space="preserve"> </w:t>
      </w:r>
      <w:proofErr w:type="spellStart"/>
      <w:r w:rsidRPr="008B5693">
        <w:rPr>
          <w:rFonts w:ascii="Cambria" w:hAnsi="Cambria"/>
          <w:sz w:val="20"/>
          <w:szCs w:val="20"/>
          <w:u w:val="single"/>
        </w:rPr>
        <w:t>Saldarriaga</w:t>
      </w:r>
      <w:proofErr w:type="spellEnd"/>
    </w:p>
    <w:p w14:paraId="142A3235" w14:textId="77777777" w:rsidR="008B5693" w:rsidRPr="008B5693"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8B5693">
        <w:rPr>
          <w:rFonts w:ascii="Cambria" w:eastAsia="Cambria" w:hAnsi="Cambria" w:cs="Cambria"/>
          <w:color w:val="000000"/>
          <w:sz w:val="20"/>
          <w:szCs w:val="20"/>
          <w:u w:color="000000"/>
          <w:lang w:eastAsia="es-ES"/>
        </w:rPr>
        <w:t xml:space="preserve"> On September 7, 1993, Oscar Hernan </w:t>
      </w:r>
      <w:proofErr w:type="spellStart"/>
      <w:r w:rsidRPr="008B5693">
        <w:rPr>
          <w:rFonts w:ascii="Cambria" w:eastAsia="Cambria" w:hAnsi="Cambria" w:cs="Cambria"/>
          <w:color w:val="000000"/>
          <w:sz w:val="20"/>
          <w:szCs w:val="20"/>
          <w:u w:color="000000"/>
          <w:lang w:eastAsia="es-ES"/>
        </w:rPr>
        <w:t>Upegui</w:t>
      </w:r>
      <w:proofErr w:type="spellEnd"/>
      <w:r w:rsidRPr="008B5693">
        <w:rPr>
          <w:rFonts w:ascii="Cambria" w:eastAsia="Cambria" w:hAnsi="Cambria" w:cs="Cambria"/>
          <w:color w:val="000000"/>
          <w:sz w:val="20"/>
          <w:szCs w:val="20"/>
          <w:u w:color="000000"/>
          <w:lang w:eastAsia="es-ES"/>
        </w:rPr>
        <w:t xml:space="preserve"> </w:t>
      </w:r>
      <w:proofErr w:type="spellStart"/>
      <w:r w:rsidRPr="008B5693">
        <w:rPr>
          <w:rFonts w:ascii="Cambria" w:eastAsia="Cambria" w:hAnsi="Cambria" w:cs="Cambria"/>
          <w:color w:val="000000"/>
          <w:sz w:val="20"/>
          <w:szCs w:val="20"/>
          <w:u w:color="000000"/>
          <w:lang w:eastAsia="es-ES"/>
        </w:rPr>
        <w:t>Saldarriaga</w:t>
      </w:r>
      <w:proofErr w:type="spellEnd"/>
      <w:r w:rsidRPr="008B5693">
        <w:rPr>
          <w:rFonts w:ascii="Cambria" w:eastAsia="Cambria" w:hAnsi="Cambria" w:cs="Cambria"/>
          <w:color w:val="000000"/>
          <w:sz w:val="20"/>
          <w:szCs w:val="20"/>
          <w:u w:color="000000"/>
          <w:lang w:eastAsia="es-ES"/>
        </w:rPr>
        <w:t xml:space="preserve"> was in his hotel room in </w:t>
      </w:r>
      <w:proofErr w:type="spellStart"/>
      <w:r w:rsidRPr="008B5693">
        <w:rPr>
          <w:rFonts w:ascii="Cambria" w:eastAsia="Cambria" w:hAnsi="Cambria" w:cs="Cambria"/>
          <w:color w:val="000000"/>
          <w:sz w:val="20"/>
          <w:szCs w:val="20"/>
          <w:u w:color="000000"/>
          <w:lang w:eastAsia="es-ES"/>
        </w:rPr>
        <w:t>Yarumal</w:t>
      </w:r>
      <w:proofErr w:type="spellEnd"/>
      <w:r w:rsidRPr="008B5693">
        <w:rPr>
          <w:rFonts w:ascii="Cambria" w:eastAsia="Cambria" w:hAnsi="Cambria" w:cs="Cambria"/>
          <w:color w:val="000000"/>
          <w:sz w:val="20"/>
          <w:szCs w:val="20"/>
          <w:u w:color="000000"/>
          <w:lang w:eastAsia="es-ES"/>
        </w:rPr>
        <w:t xml:space="preserve">, which was located two blocks from the Police Headquarters, in an area patrolled by the police, when he was murdered at night by several hooded individuals. The crime was reported by his father so that his death would </w:t>
      </w:r>
      <w:r w:rsidRPr="008B5693">
        <w:rPr>
          <w:rFonts w:ascii="Cambria" w:eastAsia="Cambria" w:hAnsi="Cambria" w:cs="Cambria"/>
          <w:color w:val="000000"/>
          <w:sz w:val="20"/>
          <w:szCs w:val="20"/>
          <w:u w:color="000000"/>
          <w:lang w:eastAsia="es-ES"/>
        </w:rPr>
        <w:lastRenderedPageBreak/>
        <w:t xml:space="preserve">be investigated, and this situation led to many threats against his father, forcing him to move away from the municipality of </w:t>
      </w:r>
      <w:proofErr w:type="spellStart"/>
      <w:r w:rsidRPr="008B5693">
        <w:rPr>
          <w:rFonts w:ascii="Cambria" w:eastAsia="Cambria" w:hAnsi="Cambria" w:cs="Cambria"/>
          <w:color w:val="000000"/>
          <w:sz w:val="20"/>
          <w:szCs w:val="20"/>
          <w:u w:color="000000"/>
          <w:lang w:eastAsia="es-ES"/>
        </w:rPr>
        <w:t>Yarumal</w:t>
      </w:r>
      <w:proofErr w:type="spellEnd"/>
      <w:r w:rsidRPr="008B5693">
        <w:rPr>
          <w:rFonts w:ascii="Cambria" w:eastAsia="Cambria" w:hAnsi="Cambria" w:cs="Cambria"/>
          <w:color w:val="000000"/>
          <w:sz w:val="20"/>
          <w:szCs w:val="20"/>
          <w:u w:color="000000"/>
          <w:lang w:eastAsia="es-ES"/>
        </w:rPr>
        <w:t xml:space="preserve"> with his whole family to another municipality. </w:t>
      </w:r>
    </w:p>
    <w:p w14:paraId="31D4E330" w14:textId="77777777" w:rsidR="008B5693" w:rsidRPr="008B5693"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8B5693">
        <w:rPr>
          <w:rFonts w:ascii="Cambria" w:eastAsia="Cambria" w:hAnsi="Cambria" w:cs="Cambria"/>
          <w:color w:val="000000"/>
          <w:sz w:val="20"/>
          <w:szCs w:val="20"/>
          <w:u w:color="000000"/>
          <w:lang w:eastAsia="es-ES"/>
        </w:rPr>
        <w:t xml:space="preserve">On November 2, 1995, the alleged victim’s family members filed a claim for direct reparation, which was denied in a judgment of March 13, 2001 by the Court for Administrative Claims, whose grounds were similar to those laid out in the case of Luis Armando Holguín </w:t>
      </w:r>
      <w:proofErr w:type="spellStart"/>
      <w:r w:rsidRPr="008B5693">
        <w:rPr>
          <w:rFonts w:ascii="Cambria" w:eastAsia="Cambria" w:hAnsi="Cambria" w:cs="Cambria"/>
          <w:color w:val="000000"/>
          <w:sz w:val="20"/>
          <w:szCs w:val="20"/>
          <w:u w:color="000000"/>
          <w:lang w:eastAsia="es-ES"/>
        </w:rPr>
        <w:t>Jurado</w:t>
      </w:r>
      <w:proofErr w:type="spellEnd"/>
      <w:r w:rsidRPr="008B5693">
        <w:rPr>
          <w:rFonts w:ascii="Cambria" w:eastAsia="Cambria" w:hAnsi="Cambria" w:cs="Cambria"/>
          <w:color w:val="000000"/>
          <w:sz w:val="20"/>
          <w:szCs w:val="20"/>
          <w:u w:color="000000"/>
          <w:lang w:eastAsia="es-ES"/>
        </w:rPr>
        <w:t xml:space="preserve">.  This judgment was also appealed and it was not until May 28, 2012 that the Council of State ruled against the Ministry of Defense – National Police in both situations, likewise ordering reparation to the families and overturning the trial court judgment. </w:t>
      </w:r>
    </w:p>
    <w:p w14:paraId="4F1C6A4D" w14:textId="77777777" w:rsidR="008B5693" w:rsidRPr="008B5693" w:rsidRDefault="008B5693" w:rsidP="008B56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u w:val="single"/>
        </w:rPr>
      </w:pPr>
      <w:r w:rsidRPr="008B5693">
        <w:rPr>
          <w:rFonts w:ascii="Cambria" w:hAnsi="Cambria"/>
          <w:sz w:val="20"/>
          <w:szCs w:val="20"/>
          <w:u w:val="single"/>
        </w:rPr>
        <w:t xml:space="preserve">Allegations regarding Carlos Emilio </w:t>
      </w:r>
      <w:proofErr w:type="spellStart"/>
      <w:r w:rsidRPr="008B5693">
        <w:rPr>
          <w:rFonts w:ascii="Cambria" w:hAnsi="Cambria"/>
          <w:sz w:val="20"/>
          <w:szCs w:val="20"/>
          <w:u w:val="single"/>
        </w:rPr>
        <w:t>Rendón</w:t>
      </w:r>
      <w:proofErr w:type="spellEnd"/>
      <w:r w:rsidRPr="008B5693">
        <w:rPr>
          <w:rFonts w:ascii="Cambria" w:hAnsi="Cambria"/>
          <w:sz w:val="20"/>
          <w:szCs w:val="20"/>
          <w:u w:val="single"/>
        </w:rPr>
        <w:t xml:space="preserve"> Naranjo</w:t>
      </w:r>
    </w:p>
    <w:p w14:paraId="1026D8DA" w14:textId="77777777" w:rsidR="008B5693" w:rsidRPr="008B5693"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val="single" w:color="000000"/>
          <w:lang w:eastAsia="es-ES"/>
        </w:rPr>
      </w:pPr>
      <w:r w:rsidRPr="008B5693">
        <w:rPr>
          <w:rFonts w:ascii="Cambria" w:eastAsia="Cambria" w:hAnsi="Cambria" w:cs="Cambria"/>
          <w:sz w:val="20"/>
          <w:szCs w:val="20"/>
          <w:u w:color="000000"/>
          <w:lang w:eastAsia="es-ES"/>
        </w:rPr>
        <w:t xml:space="preserve">The petitioner argues that on November 7, 1993, several hooded individuals entered the residence of Carlos Emilio </w:t>
      </w:r>
      <w:proofErr w:type="spellStart"/>
      <w:r w:rsidRPr="008B5693">
        <w:rPr>
          <w:rFonts w:ascii="Cambria" w:eastAsia="Cambria" w:hAnsi="Cambria" w:cs="Cambria"/>
          <w:sz w:val="20"/>
          <w:szCs w:val="20"/>
          <w:u w:color="000000"/>
          <w:lang w:eastAsia="es-ES"/>
        </w:rPr>
        <w:t>Rendón</w:t>
      </w:r>
      <w:proofErr w:type="spellEnd"/>
      <w:r w:rsidRPr="008B5693">
        <w:rPr>
          <w:rFonts w:ascii="Cambria" w:eastAsia="Cambria" w:hAnsi="Cambria" w:cs="Cambria"/>
          <w:sz w:val="20"/>
          <w:szCs w:val="20"/>
          <w:u w:color="000000"/>
          <w:lang w:eastAsia="es-ES"/>
        </w:rPr>
        <w:t xml:space="preserve"> Naranjo, and, in front of his pregnant wife, children and other family members shot him in the head, which caused his death. His family members identified one of the murderers as a member of the F2</w:t>
      </w:r>
      <w:r w:rsidRPr="00671C66">
        <w:rPr>
          <w:rFonts w:ascii="Cambria" w:eastAsia="Cambria" w:hAnsi="Cambria" w:cs="Cambria"/>
          <w:sz w:val="20"/>
          <w:szCs w:val="20"/>
          <w:u w:color="000000"/>
          <w:vertAlign w:val="superscript"/>
          <w:lang w:eastAsia="es-ES"/>
        </w:rPr>
        <w:footnoteReference w:id="6"/>
      </w:r>
      <w:r w:rsidRPr="008B5693">
        <w:rPr>
          <w:rFonts w:ascii="Cambria" w:eastAsia="Cambria" w:hAnsi="Cambria" w:cs="Cambria"/>
          <w:sz w:val="20"/>
          <w:szCs w:val="20"/>
          <w:u w:color="000000"/>
          <w:lang w:eastAsia="es-ES"/>
        </w:rPr>
        <w:t xml:space="preserve"> police division, which allegedly operated within the Twelve Apostles group. </w:t>
      </w:r>
    </w:p>
    <w:p w14:paraId="3D59E49C" w14:textId="77777777" w:rsidR="008B5693" w:rsidRPr="008B5693"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val="single" w:color="000000"/>
          <w:lang w:eastAsia="es-ES"/>
        </w:rPr>
      </w:pPr>
      <w:r w:rsidRPr="008B5693">
        <w:rPr>
          <w:rFonts w:ascii="Cambria" w:eastAsia="Cambria" w:hAnsi="Cambria" w:cs="Cambria"/>
          <w:sz w:val="20"/>
          <w:szCs w:val="20"/>
          <w:u w:color="000000"/>
          <w:lang w:eastAsia="es-ES"/>
        </w:rPr>
        <w:t xml:space="preserve">According to documents attached to the petition, the Investigation Unit of the Judicial Police of </w:t>
      </w:r>
      <w:proofErr w:type="spellStart"/>
      <w:r w:rsidRPr="008B5693">
        <w:rPr>
          <w:rFonts w:ascii="Cambria" w:eastAsia="Cambria" w:hAnsi="Cambria" w:cs="Cambria"/>
          <w:sz w:val="20"/>
          <w:szCs w:val="20"/>
          <w:u w:color="000000"/>
          <w:lang w:eastAsia="es-ES"/>
        </w:rPr>
        <w:t>Yarumal</w:t>
      </w:r>
      <w:proofErr w:type="spellEnd"/>
      <w:r w:rsidRPr="008B5693">
        <w:rPr>
          <w:rFonts w:ascii="Cambria" w:eastAsia="Cambria" w:hAnsi="Cambria" w:cs="Cambria"/>
          <w:sz w:val="20"/>
          <w:szCs w:val="20"/>
          <w:u w:color="000000"/>
          <w:lang w:eastAsia="es-ES"/>
        </w:rPr>
        <w:t xml:space="preserve"> sent the evidence collected from the murder of the alleged victim to the Sectional Unit of the Office of the Attorney General of the Nation, which opened a preliminary investigation into the murder of Mr. </w:t>
      </w:r>
      <w:proofErr w:type="spellStart"/>
      <w:r w:rsidRPr="008B5693">
        <w:rPr>
          <w:rFonts w:ascii="Cambria" w:eastAsia="Cambria" w:hAnsi="Cambria" w:cs="Cambria"/>
          <w:sz w:val="20"/>
          <w:szCs w:val="20"/>
          <w:u w:color="000000"/>
          <w:lang w:eastAsia="es-ES"/>
        </w:rPr>
        <w:t>Rendón</w:t>
      </w:r>
      <w:proofErr w:type="spellEnd"/>
      <w:r w:rsidRPr="008B5693">
        <w:rPr>
          <w:rFonts w:ascii="Cambria" w:eastAsia="Cambria" w:hAnsi="Cambria" w:cs="Cambria"/>
          <w:sz w:val="20"/>
          <w:szCs w:val="20"/>
          <w:u w:color="000000"/>
          <w:lang w:eastAsia="es-ES"/>
        </w:rPr>
        <w:t xml:space="preserve">. In June 2000, Sub Unit Two (terrorism) of the Special Unit of Prosecutor’s Offices of the Sectional Directorate of Prosecutor’s Offices of </w:t>
      </w:r>
      <w:proofErr w:type="spellStart"/>
      <w:r w:rsidRPr="008B5693">
        <w:rPr>
          <w:rFonts w:ascii="Cambria" w:eastAsia="Cambria" w:hAnsi="Cambria" w:cs="Cambria"/>
          <w:sz w:val="20"/>
          <w:szCs w:val="20"/>
          <w:u w:color="000000"/>
          <w:lang w:eastAsia="es-ES"/>
        </w:rPr>
        <w:t>Medellín</w:t>
      </w:r>
      <w:proofErr w:type="spellEnd"/>
      <w:r w:rsidRPr="008B5693">
        <w:rPr>
          <w:rFonts w:ascii="Cambria" w:eastAsia="Cambria" w:hAnsi="Cambria" w:cs="Cambria"/>
          <w:sz w:val="20"/>
          <w:szCs w:val="20"/>
          <w:u w:color="000000"/>
          <w:lang w:eastAsia="es-ES"/>
        </w:rPr>
        <w:t xml:space="preserve"> established that the events under investigation constitute the criminal conduct of homicide and forming illegal armed groups and ordered the arrest of the person allegedly responsible and requested police institutions of the municipality of </w:t>
      </w:r>
      <w:proofErr w:type="spellStart"/>
      <w:r w:rsidRPr="008B5693">
        <w:rPr>
          <w:rFonts w:ascii="Cambria" w:eastAsia="Cambria" w:hAnsi="Cambria" w:cs="Cambria"/>
          <w:sz w:val="20"/>
          <w:szCs w:val="20"/>
          <w:u w:color="000000"/>
          <w:lang w:eastAsia="es-ES"/>
        </w:rPr>
        <w:t>Yarumal</w:t>
      </w:r>
      <w:proofErr w:type="spellEnd"/>
      <w:r w:rsidRPr="008B5693">
        <w:rPr>
          <w:rFonts w:ascii="Cambria" w:eastAsia="Cambria" w:hAnsi="Cambria" w:cs="Cambria"/>
          <w:sz w:val="20"/>
          <w:szCs w:val="20"/>
          <w:u w:color="000000"/>
          <w:lang w:eastAsia="es-ES"/>
        </w:rPr>
        <w:t xml:space="preserve"> to forward a copy of the roster of members of the police corps, who served between 1992 and 1993, among other things.  </w:t>
      </w:r>
    </w:p>
    <w:p w14:paraId="3CA3FE1A" w14:textId="77777777" w:rsidR="008B5693" w:rsidRPr="008B5693"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val="single" w:color="000000"/>
          <w:lang w:eastAsia="es-ES"/>
        </w:rPr>
      </w:pPr>
      <w:r w:rsidRPr="008B5693">
        <w:rPr>
          <w:rFonts w:ascii="Cambria" w:eastAsia="Cambria" w:hAnsi="Cambria" w:cs="Cambria"/>
          <w:sz w:val="20"/>
          <w:szCs w:val="20"/>
          <w:u w:color="000000"/>
          <w:lang w:eastAsia="es-ES"/>
        </w:rPr>
        <w:t xml:space="preserve">On November 2, 1995, the family of the alleged victim filed a claim for direct reparation with the administrative claims court to hold the State responsible. The petitioner notes that on February 3, 2005, the Court of Administrative Claims denied the claims on the grounds that the victim should have gone to the authorities to ask for protection and, as for the positive identification of the alleged police agent, it argued that he did not belong to the police institution at that time. The judgment was appealed; however, we do not have the ruling of the Council of State. </w:t>
      </w:r>
    </w:p>
    <w:p w14:paraId="7A580595" w14:textId="77777777" w:rsidR="008B5693" w:rsidRPr="008B5693" w:rsidRDefault="008B5693" w:rsidP="008B56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u w:val="single"/>
        </w:rPr>
      </w:pPr>
      <w:r w:rsidRPr="008B5693">
        <w:rPr>
          <w:rFonts w:ascii="Cambria" w:hAnsi="Cambria"/>
          <w:sz w:val="20"/>
          <w:szCs w:val="20"/>
          <w:u w:val="single"/>
        </w:rPr>
        <w:t xml:space="preserve">Common allegations of the petitioner </w:t>
      </w:r>
    </w:p>
    <w:p w14:paraId="1DDB12AD" w14:textId="5F2AF1D6" w:rsidR="008B5693" w:rsidRPr="008B5693" w:rsidRDefault="008B5693" w:rsidP="008B5693">
      <w:pPr>
        <w:numPr>
          <w:ilvl w:val="0"/>
          <w:numId w:val="106"/>
        </w:numPr>
        <w:ind w:left="0" w:firstLine="720"/>
        <w:jc w:val="both"/>
        <w:rPr>
          <w:rFonts w:ascii="Cambria" w:eastAsia="Cambria" w:hAnsi="Cambria" w:cs="Cambria"/>
          <w:color w:val="000000" w:themeColor="text1"/>
          <w:sz w:val="20"/>
          <w:szCs w:val="20"/>
          <w:u w:color="000000"/>
          <w:lang w:eastAsia="es-ES"/>
        </w:rPr>
      </w:pPr>
      <w:r w:rsidRPr="008B5693">
        <w:rPr>
          <w:rFonts w:ascii="Cambria" w:eastAsia="Cambria" w:hAnsi="Cambria" w:cs="Cambria"/>
          <w:color w:val="000000" w:themeColor="text1"/>
          <w:sz w:val="20"/>
          <w:szCs w:val="20"/>
          <w:u w:color="000000"/>
          <w:lang w:eastAsia="es-ES"/>
        </w:rPr>
        <w:t xml:space="preserve">The petitioner asserts that the situation of violence in the municipality of </w:t>
      </w:r>
      <w:proofErr w:type="spellStart"/>
      <w:r w:rsidRPr="008B5693">
        <w:rPr>
          <w:rFonts w:ascii="Cambria" w:eastAsia="Cambria" w:hAnsi="Cambria" w:cs="Cambria"/>
          <w:color w:val="000000" w:themeColor="text1"/>
          <w:sz w:val="20"/>
          <w:szCs w:val="20"/>
          <w:u w:color="000000"/>
          <w:lang w:eastAsia="es-ES"/>
        </w:rPr>
        <w:t>Yarumal</w:t>
      </w:r>
      <w:proofErr w:type="spellEnd"/>
      <w:r w:rsidRPr="008B5693">
        <w:rPr>
          <w:rFonts w:ascii="Cambria" w:eastAsia="Cambria" w:hAnsi="Cambria" w:cs="Cambria"/>
          <w:color w:val="000000" w:themeColor="text1"/>
          <w:sz w:val="20"/>
          <w:szCs w:val="20"/>
          <w:u w:color="000000"/>
          <w:lang w:eastAsia="es-ES"/>
        </w:rPr>
        <w:t xml:space="preserve"> and the illegal activities of </w:t>
      </w:r>
      <w:r w:rsidR="009F27E1">
        <w:rPr>
          <w:rFonts w:ascii="Cambria" w:eastAsia="Cambria" w:hAnsi="Cambria" w:cs="Cambria"/>
          <w:color w:val="000000" w:themeColor="text1"/>
          <w:sz w:val="20"/>
          <w:szCs w:val="20"/>
          <w:u w:color="000000"/>
          <w:lang w:eastAsia="es-ES"/>
        </w:rPr>
        <w:t>“</w:t>
      </w:r>
      <w:r w:rsidRPr="008B5693">
        <w:rPr>
          <w:rFonts w:ascii="Cambria" w:eastAsia="Cambria" w:hAnsi="Cambria" w:cs="Cambria"/>
          <w:color w:val="000000" w:themeColor="text1"/>
          <w:sz w:val="20"/>
          <w:szCs w:val="20"/>
          <w:u w:color="000000"/>
          <w:lang w:eastAsia="es-ES"/>
        </w:rPr>
        <w:t>social cleansing</w:t>
      </w:r>
      <w:r w:rsidR="009F27E1">
        <w:rPr>
          <w:rFonts w:ascii="Cambria" w:eastAsia="Cambria" w:hAnsi="Cambria" w:cs="Cambria"/>
          <w:color w:val="000000" w:themeColor="text1"/>
          <w:sz w:val="20"/>
          <w:szCs w:val="20"/>
          <w:u w:color="000000"/>
          <w:lang w:eastAsia="es-ES"/>
        </w:rPr>
        <w:t>”</w:t>
      </w:r>
      <w:r w:rsidRPr="008B5693">
        <w:rPr>
          <w:rFonts w:ascii="Cambria" w:eastAsia="Cambria" w:hAnsi="Cambria" w:cs="Cambria"/>
          <w:color w:val="000000" w:themeColor="text1"/>
          <w:sz w:val="20"/>
          <w:szCs w:val="20"/>
          <w:u w:color="000000"/>
          <w:lang w:eastAsia="es-ES"/>
        </w:rPr>
        <w:t xml:space="preserve"> groups at the time were publicly known and that the involvement of members of the public security forces had been reported prior to and during the time the murders of the alleged victims took place. He contends that, in response to the wave of violent deaths and murders of several people in the municipality of </w:t>
      </w:r>
      <w:proofErr w:type="spellStart"/>
      <w:r w:rsidRPr="008B5693">
        <w:rPr>
          <w:rFonts w:ascii="Cambria" w:eastAsia="Cambria" w:hAnsi="Cambria" w:cs="Cambria"/>
          <w:color w:val="000000" w:themeColor="text1"/>
          <w:sz w:val="20"/>
          <w:szCs w:val="20"/>
          <w:u w:color="000000"/>
          <w:lang w:eastAsia="es-ES"/>
        </w:rPr>
        <w:t>Yarumal</w:t>
      </w:r>
      <w:proofErr w:type="spellEnd"/>
      <w:r w:rsidRPr="008B5693">
        <w:rPr>
          <w:rFonts w:ascii="Cambria" w:eastAsia="Cambria" w:hAnsi="Cambria" w:cs="Cambria"/>
          <w:color w:val="000000" w:themeColor="text1"/>
          <w:sz w:val="20"/>
          <w:szCs w:val="20"/>
          <w:u w:color="000000"/>
          <w:lang w:eastAsia="es-ES"/>
        </w:rPr>
        <w:t xml:space="preserve">, that were perpetrated by the Twelve Apostles group over the period of June 1993 to June 1994, the Office of the Ombudsman of the Municipality of </w:t>
      </w:r>
      <w:proofErr w:type="spellStart"/>
      <w:r w:rsidRPr="008B5693">
        <w:rPr>
          <w:rFonts w:ascii="Cambria" w:eastAsia="Cambria" w:hAnsi="Cambria" w:cs="Cambria"/>
          <w:color w:val="000000" w:themeColor="text1"/>
          <w:sz w:val="20"/>
          <w:szCs w:val="20"/>
          <w:u w:color="000000"/>
          <w:lang w:eastAsia="es-ES"/>
        </w:rPr>
        <w:t>Yarumal</w:t>
      </w:r>
      <w:proofErr w:type="spellEnd"/>
      <w:r w:rsidRPr="008B5693">
        <w:rPr>
          <w:rFonts w:ascii="Cambria" w:eastAsia="Cambria" w:hAnsi="Cambria" w:cs="Cambria"/>
          <w:color w:val="000000" w:themeColor="text1"/>
          <w:sz w:val="20"/>
          <w:szCs w:val="20"/>
          <w:u w:color="000000"/>
          <w:lang w:eastAsia="es-ES"/>
        </w:rPr>
        <w:t xml:space="preserve"> sent a report to the Regional Judges of the Prosecutor’s Office Unit about the increased violent deaths, including information about alleged victims Holguín and </w:t>
      </w:r>
      <w:proofErr w:type="spellStart"/>
      <w:r w:rsidRPr="008B5693">
        <w:rPr>
          <w:rFonts w:ascii="Cambria" w:eastAsia="Cambria" w:hAnsi="Cambria" w:cs="Cambria"/>
          <w:color w:val="000000" w:themeColor="text1"/>
          <w:sz w:val="20"/>
          <w:szCs w:val="20"/>
          <w:u w:color="000000"/>
          <w:lang w:eastAsia="es-ES"/>
        </w:rPr>
        <w:t>Upendi</w:t>
      </w:r>
      <w:proofErr w:type="spellEnd"/>
      <w:r w:rsidRPr="008B5693">
        <w:rPr>
          <w:rFonts w:ascii="Cambria" w:eastAsia="Cambria" w:hAnsi="Cambria" w:cs="Cambria"/>
          <w:color w:val="000000" w:themeColor="text1"/>
          <w:sz w:val="20"/>
          <w:szCs w:val="20"/>
          <w:u w:color="000000"/>
          <w:lang w:eastAsia="es-ES"/>
        </w:rPr>
        <w:t>, in order for an investigation to be opened into repeated human rights violations.  Additionally, together with eye witnesses to the crimes, the Ombudswoman made statements to the Office of Special Investigations of the Office of the Chief Oversight Officer of the Nation (</w:t>
      </w:r>
      <w:proofErr w:type="spellStart"/>
      <w:r w:rsidRPr="008B5693">
        <w:rPr>
          <w:rFonts w:ascii="Cambria" w:eastAsia="Cambria" w:hAnsi="Cambria" w:cs="Cambria"/>
          <w:i/>
          <w:iCs/>
          <w:color w:val="000000" w:themeColor="text1"/>
          <w:sz w:val="20"/>
          <w:szCs w:val="20"/>
          <w:u w:color="000000"/>
          <w:lang w:eastAsia="es-ES"/>
        </w:rPr>
        <w:t>Procuraduría</w:t>
      </w:r>
      <w:proofErr w:type="spellEnd"/>
      <w:r w:rsidRPr="008B5693">
        <w:rPr>
          <w:rFonts w:ascii="Cambria" w:eastAsia="Cambria" w:hAnsi="Cambria" w:cs="Cambria"/>
          <w:i/>
          <w:iCs/>
          <w:color w:val="000000" w:themeColor="text1"/>
          <w:sz w:val="20"/>
          <w:szCs w:val="20"/>
          <w:u w:color="000000"/>
          <w:lang w:eastAsia="es-ES"/>
        </w:rPr>
        <w:t xml:space="preserve"> General de la </w:t>
      </w:r>
      <w:proofErr w:type="spellStart"/>
      <w:r w:rsidRPr="008B5693">
        <w:rPr>
          <w:rFonts w:ascii="Cambria" w:eastAsia="Cambria" w:hAnsi="Cambria" w:cs="Cambria"/>
          <w:i/>
          <w:iCs/>
          <w:color w:val="000000" w:themeColor="text1"/>
          <w:sz w:val="20"/>
          <w:szCs w:val="20"/>
          <w:u w:color="000000"/>
          <w:lang w:eastAsia="es-ES"/>
        </w:rPr>
        <w:t>Nación</w:t>
      </w:r>
      <w:proofErr w:type="spellEnd"/>
      <w:r w:rsidRPr="008B5693">
        <w:rPr>
          <w:rFonts w:ascii="Cambria" w:eastAsia="Cambria" w:hAnsi="Cambria" w:cs="Cambria"/>
          <w:color w:val="000000" w:themeColor="text1"/>
          <w:sz w:val="20"/>
          <w:szCs w:val="20"/>
          <w:u w:color="000000"/>
          <w:lang w:eastAsia="es-ES"/>
        </w:rPr>
        <w:t xml:space="preserve">), providing accounts of the actions of the death squad the Twelve Apostles.  The petitioner contends that despite the efforts of Ombudswoman, because of the Military and Police Forces’ failure to act, the lives of the inhabitants of the town went unprotected, as they were in jeopardy of being killed by the </w:t>
      </w:r>
      <w:r w:rsidR="009F27E1">
        <w:rPr>
          <w:rFonts w:ascii="Cambria" w:eastAsia="Cambria" w:hAnsi="Cambria" w:cs="Cambria"/>
          <w:color w:val="000000" w:themeColor="text1"/>
          <w:sz w:val="20"/>
          <w:szCs w:val="20"/>
          <w:u w:color="000000"/>
          <w:lang w:eastAsia="es-ES"/>
        </w:rPr>
        <w:t>“</w:t>
      </w:r>
      <w:r w:rsidRPr="008B5693">
        <w:rPr>
          <w:rFonts w:ascii="Cambria" w:eastAsia="Cambria" w:hAnsi="Cambria" w:cs="Cambria"/>
          <w:color w:val="000000" w:themeColor="text1"/>
          <w:sz w:val="20"/>
          <w:szCs w:val="20"/>
          <w:u w:color="000000"/>
          <w:lang w:eastAsia="es-ES"/>
        </w:rPr>
        <w:t>social cleansing</w:t>
      </w:r>
      <w:r w:rsidR="009F27E1">
        <w:rPr>
          <w:rFonts w:ascii="Cambria" w:eastAsia="Cambria" w:hAnsi="Cambria" w:cs="Cambria"/>
          <w:color w:val="000000" w:themeColor="text1"/>
          <w:sz w:val="20"/>
          <w:szCs w:val="20"/>
          <w:u w:color="000000"/>
          <w:lang w:eastAsia="es-ES"/>
        </w:rPr>
        <w:t>”</w:t>
      </w:r>
      <w:r w:rsidRPr="008B5693">
        <w:rPr>
          <w:rFonts w:ascii="Cambria" w:eastAsia="Cambria" w:hAnsi="Cambria" w:cs="Cambria"/>
          <w:color w:val="000000" w:themeColor="text1"/>
          <w:sz w:val="20"/>
          <w:szCs w:val="20"/>
          <w:u w:color="000000"/>
          <w:lang w:eastAsia="es-ES"/>
        </w:rPr>
        <w:t xml:space="preserve"> group. He further asserts that the State did not take special measures of protection that were required, it also failed to conduct or was late at conducting the investigations relating to the deaths tied to </w:t>
      </w:r>
      <w:r w:rsidR="009F27E1">
        <w:rPr>
          <w:rFonts w:ascii="Cambria" w:eastAsia="Cambria" w:hAnsi="Cambria" w:cs="Cambria"/>
          <w:color w:val="000000" w:themeColor="text1"/>
          <w:sz w:val="20"/>
          <w:szCs w:val="20"/>
          <w:u w:color="000000"/>
          <w:lang w:eastAsia="es-ES"/>
        </w:rPr>
        <w:t>“</w:t>
      </w:r>
      <w:r w:rsidRPr="008B5693">
        <w:rPr>
          <w:rFonts w:ascii="Cambria" w:eastAsia="Cambria" w:hAnsi="Cambria" w:cs="Cambria"/>
          <w:color w:val="000000" w:themeColor="text1"/>
          <w:sz w:val="20"/>
          <w:szCs w:val="20"/>
          <w:u w:color="000000"/>
          <w:lang w:eastAsia="es-ES"/>
        </w:rPr>
        <w:t>social cleansing</w:t>
      </w:r>
      <w:r w:rsidR="009F27E1">
        <w:rPr>
          <w:rFonts w:ascii="Cambria" w:eastAsia="Cambria" w:hAnsi="Cambria" w:cs="Cambria"/>
          <w:color w:val="000000" w:themeColor="text1"/>
          <w:sz w:val="20"/>
          <w:szCs w:val="20"/>
          <w:u w:color="000000"/>
          <w:lang w:eastAsia="es-ES"/>
        </w:rPr>
        <w:t>”</w:t>
      </w:r>
      <w:r w:rsidRPr="008B5693">
        <w:rPr>
          <w:rFonts w:ascii="Cambria" w:eastAsia="Cambria" w:hAnsi="Cambria" w:cs="Cambria"/>
          <w:color w:val="000000" w:themeColor="text1"/>
          <w:sz w:val="20"/>
          <w:szCs w:val="20"/>
          <w:u w:color="000000"/>
          <w:lang w:eastAsia="es-ES"/>
        </w:rPr>
        <w:t xml:space="preserve"> in the area and, particularly, those of the alleged victims. He also reports that in this context of violence and the lack of State protection, even after the crimes were reported, the Ombudswoman received death threats and was forced to leave her position to protect her own life.  </w:t>
      </w:r>
    </w:p>
    <w:p w14:paraId="78683FE6" w14:textId="77777777" w:rsidR="008B5693" w:rsidRPr="008B5693" w:rsidRDefault="008B5693" w:rsidP="008B5693">
      <w:pPr>
        <w:ind w:left="720"/>
        <w:jc w:val="both"/>
        <w:rPr>
          <w:rFonts w:ascii="Cambria" w:eastAsia="Cambria" w:hAnsi="Cambria" w:cs="Cambria"/>
          <w:color w:val="000000" w:themeColor="text1"/>
          <w:sz w:val="20"/>
          <w:szCs w:val="20"/>
          <w:u w:color="000000"/>
          <w:lang w:eastAsia="es-ES"/>
        </w:rPr>
      </w:pPr>
    </w:p>
    <w:p w14:paraId="52685E94" w14:textId="77777777" w:rsidR="008B5693" w:rsidRPr="008B5693"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FF0000"/>
          <w:sz w:val="20"/>
          <w:szCs w:val="20"/>
          <w:u w:color="000000"/>
          <w:lang w:eastAsia="es-ES"/>
        </w:rPr>
      </w:pPr>
      <w:r w:rsidRPr="008B5693">
        <w:rPr>
          <w:rFonts w:ascii="Cambria" w:eastAsia="Cambria" w:hAnsi="Cambria" w:cs="Cambria"/>
          <w:color w:val="000000" w:themeColor="text1"/>
          <w:sz w:val="20"/>
          <w:szCs w:val="20"/>
          <w:u w:color="000000"/>
          <w:lang w:eastAsia="es-ES"/>
        </w:rPr>
        <w:lastRenderedPageBreak/>
        <w:t xml:space="preserve">According to the documentation appearing in the case file before the Commission, on November 25, 2008 the Office of the Delegate of the </w:t>
      </w:r>
      <w:proofErr w:type="spellStart"/>
      <w:r w:rsidRPr="008B5693">
        <w:rPr>
          <w:rFonts w:ascii="Cambria" w:eastAsia="Cambria" w:hAnsi="Cambria" w:cs="Cambria"/>
          <w:i/>
          <w:iCs/>
          <w:color w:val="000000"/>
          <w:sz w:val="20"/>
          <w:szCs w:val="20"/>
          <w:u w:color="000000"/>
          <w:lang w:eastAsia="es-ES"/>
        </w:rPr>
        <w:t>Procuraduría</w:t>
      </w:r>
      <w:proofErr w:type="spellEnd"/>
      <w:r w:rsidRPr="008B5693">
        <w:rPr>
          <w:rFonts w:ascii="Cambria" w:eastAsia="Cambria" w:hAnsi="Cambria" w:cs="Cambria"/>
          <w:color w:val="000000"/>
          <w:sz w:val="20"/>
          <w:szCs w:val="20"/>
          <w:u w:color="000000"/>
          <w:lang w:eastAsia="es-ES"/>
        </w:rPr>
        <w:t xml:space="preserve"> for the Defense of Human Rights conducted a disciplinary investigation of several agents attached to the </w:t>
      </w:r>
      <w:proofErr w:type="spellStart"/>
      <w:r w:rsidRPr="008B5693">
        <w:rPr>
          <w:rFonts w:ascii="Cambria" w:eastAsia="Cambria" w:hAnsi="Cambria" w:cs="Cambria"/>
          <w:color w:val="000000"/>
          <w:sz w:val="20"/>
          <w:szCs w:val="20"/>
          <w:u w:color="000000"/>
          <w:lang w:eastAsia="es-ES"/>
        </w:rPr>
        <w:t>Yarumal</w:t>
      </w:r>
      <w:proofErr w:type="spellEnd"/>
      <w:r w:rsidRPr="008B5693">
        <w:rPr>
          <w:rFonts w:ascii="Cambria" w:eastAsia="Cambria" w:hAnsi="Cambria" w:cs="Cambria"/>
          <w:color w:val="000000"/>
          <w:sz w:val="20"/>
          <w:szCs w:val="20"/>
          <w:u w:color="000000"/>
          <w:lang w:eastAsia="es-ES"/>
        </w:rPr>
        <w:t xml:space="preserve"> Police Station, for multiple homicides, which took place in that municipality beginning in June 1993.  </w:t>
      </w:r>
      <w:r w:rsidRPr="008B5693">
        <w:rPr>
          <w:rFonts w:ascii="Cambria" w:eastAsia="Cambria" w:hAnsi="Cambria" w:cs="Cambria"/>
          <w:color w:val="000000" w:themeColor="text1"/>
          <w:sz w:val="20"/>
          <w:szCs w:val="20"/>
          <w:u w:color="000000"/>
          <w:lang w:eastAsia="es-ES"/>
        </w:rPr>
        <w:t xml:space="preserve">According to reports, as a result of these disciplinary investigations and recognition that a systematic situation of “extrajudicial executions” existed at the time, involving a number of victims, including Mr. </w:t>
      </w:r>
      <w:r w:rsidRPr="008B5693">
        <w:rPr>
          <w:rFonts w:ascii="Cambria" w:eastAsia="Cambria" w:hAnsi="Cambria" w:cs="Cambria"/>
          <w:color w:val="000000"/>
          <w:sz w:val="20"/>
          <w:szCs w:val="20"/>
          <w:u w:color="000000"/>
          <w:lang w:eastAsia="es-ES"/>
        </w:rPr>
        <w:t xml:space="preserve">Holguín and Mr. </w:t>
      </w:r>
      <w:proofErr w:type="spellStart"/>
      <w:r w:rsidRPr="008B5693">
        <w:rPr>
          <w:rFonts w:ascii="Cambria" w:eastAsia="Cambria" w:hAnsi="Cambria" w:cs="Cambria"/>
          <w:color w:val="000000"/>
          <w:sz w:val="20"/>
          <w:szCs w:val="20"/>
          <w:u w:color="000000"/>
          <w:lang w:eastAsia="es-ES"/>
        </w:rPr>
        <w:t>Upegui</w:t>
      </w:r>
      <w:proofErr w:type="spellEnd"/>
      <w:r w:rsidRPr="008B5693">
        <w:rPr>
          <w:rFonts w:ascii="Cambria" w:eastAsia="Cambria" w:hAnsi="Cambria" w:cs="Cambria"/>
          <w:color w:val="000000"/>
          <w:sz w:val="20"/>
          <w:szCs w:val="20"/>
          <w:u w:color="000000"/>
          <w:lang w:eastAsia="es-ES"/>
        </w:rPr>
        <w:t xml:space="preserve">, four agents of the National Police, who were under investigation, were punished with permanent removal from their post or with a request for removal, except for one of them, who was punished with a 30-day suspension. </w:t>
      </w:r>
    </w:p>
    <w:p w14:paraId="09012FB5" w14:textId="77777777" w:rsidR="008B5693" w:rsidRPr="008B5693"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8B5693">
        <w:rPr>
          <w:rFonts w:ascii="Cambria" w:eastAsia="Cambria" w:hAnsi="Cambria" w:cs="Cambria"/>
          <w:color w:val="000000"/>
          <w:sz w:val="20"/>
          <w:szCs w:val="20"/>
          <w:u w:color="000000"/>
          <w:lang w:eastAsia="es-ES"/>
        </w:rPr>
        <w:t xml:space="preserve">As for the criminal investigation, the petitioner alleges that it has not been effective, because the facts relating to the context and the deaths of Messrs. </w:t>
      </w:r>
      <w:proofErr w:type="spellStart"/>
      <w:r w:rsidRPr="008B5693">
        <w:rPr>
          <w:rFonts w:ascii="Cambria" w:eastAsia="Cambria" w:hAnsi="Cambria" w:cs="Cambria"/>
          <w:color w:val="000000"/>
          <w:sz w:val="20"/>
          <w:szCs w:val="20"/>
          <w:u w:color="000000"/>
          <w:lang w:eastAsia="es-ES"/>
        </w:rPr>
        <w:t>Luís</w:t>
      </w:r>
      <w:proofErr w:type="spellEnd"/>
      <w:r w:rsidRPr="008B5693">
        <w:rPr>
          <w:rFonts w:ascii="Cambria" w:eastAsia="Cambria" w:hAnsi="Cambria" w:cs="Cambria"/>
          <w:color w:val="000000"/>
          <w:sz w:val="20"/>
          <w:szCs w:val="20"/>
          <w:u w:color="000000"/>
          <w:lang w:eastAsia="es-ES"/>
        </w:rPr>
        <w:t xml:space="preserve"> Armando Holguín </w:t>
      </w:r>
      <w:proofErr w:type="spellStart"/>
      <w:r w:rsidRPr="008B5693">
        <w:rPr>
          <w:rFonts w:ascii="Cambria" w:eastAsia="Cambria" w:hAnsi="Cambria" w:cs="Cambria"/>
          <w:color w:val="000000"/>
          <w:sz w:val="20"/>
          <w:szCs w:val="20"/>
          <w:u w:color="000000"/>
          <w:lang w:eastAsia="es-ES"/>
        </w:rPr>
        <w:t>Jurado</w:t>
      </w:r>
      <w:proofErr w:type="spellEnd"/>
      <w:r w:rsidRPr="008B5693">
        <w:rPr>
          <w:rFonts w:ascii="Cambria" w:eastAsia="Cambria" w:hAnsi="Cambria" w:cs="Cambria"/>
          <w:color w:val="000000"/>
          <w:sz w:val="20"/>
          <w:szCs w:val="20"/>
          <w:u w:color="000000"/>
          <w:lang w:eastAsia="es-ES"/>
        </w:rPr>
        <w:t xml:space="preserve">, Oscar </w:t>
      </w:r>
      <w:proofErr w:type="spellStart"/>
      <w:r w:rsidRPr="008B5693">
        <w:rPr>
          <w:rFonts w:ascii="Cambria" w:eastAsia="Cambria" w:hAnsi="Cambria" w:cs="Cambria"/>
          <w:color w:val="000000"/>
          <w:sz w:val="20"/>
          <w:szCs w:val="20"/>
          <w:u w:color="000000"/>
          <w:lang w:eastAsia="es-ES"/>
        </w:rPr>
        <w:t>Hernán</w:t>
      </w:r>
      <w:proofErr w:type="spellEnd"/>
      <w:r w:rsidRPr="008B5693">
        <w:rPr>
          <w:rFonts w:ascii="Cambria" w:eastAsia="Cambria" w:hAnsi="Cambria" w:cs="Cambria"/>
          <w:color w:val="000000"/>
          <w:sz w:val="20"/>
          <w:szCs w:val="20"/>
          <w:u w:color="000000"/>
          <w:lang w:eastAsia="es-ES"/>
        </w:rPr>
        <w:t xml:space="preserve"> </w:t>
      </w:r>
      <w:proofErr w:type="spellStart"/>
      <w:r w:rsidRPr="008B5693">
        <w:rPr>
          <w:rFonts w:ascii="Cambria" w:eastAsia="Cambria" w:hAnsi="Cambria" w:cs="Cambria"/>
          <w:color w:val="000000"/>
          <w:sz w:val="20"/>
          <w:szCs w:val="20"/>
          <w:u w:color="000000"/>
          <w:lang w:eastAsia="es-ES"/>
        </w:rPr>
        <w:t>Upegui</w:t>
      </w:r>
      <w:proofErr w:type="spellEnd"/>
      <w:r w:rsidRPr="008B5693">
        <w:rPr>
          <w:rFonts w:ascii="Cambria" w:eastAsia="Cambria" w:hAnsi="Cambria" w:cs="Cambria"/>
          <w:color w:val="000000"/>
          <w:sz w:val="20"/>
          <w:szCs w:val="20"/>
          <w:u w:color="000000"/>
          <w:lang w:eastAsia="es-ES"/>
        </w:rPr>
        <w:t xml:space="preserve"> </w:t>
      </w:r>
      <w:proofErr w:type="spellStart"/>
      <w:r w:rsidRPr="008B5693">
        <w:rPr>
          <w:rFonts w:ascii="Cambria" w:eastAsia="Cambria" w:hAnsi="Cambria" w:cs="Cambria"/>
          <w:color w:val="000000"/>
          <w:sz w:val="20"/>
          <w:szCs w:val="20"/>
          <w:u w:color="000000"/>
          <w:lang w:eastAsia="es-ES"/>
        </w:rPr>
        <w:t>Saldarriaga</w:t>
      </w:r>
      <w:proofErr w:type="spellEnd"/>
      <w:r w:rsidRPr="008B5693">
        <w:rPr>
          <w:rFonts w:ascii="Cambria" w:eastAsia="Cambria" w:hAnsi="Cambria" w:cs="Cambria"/>
          <w:color w:val="000000"/>
          <w:sz w:val="20"/>
          <w:szCs w:val="20"/>
          <w:u w:color="000000"/>
          <w:lang w:eastAsia="es-ES"/>
        </w:rPr>
        <w:t xml:space="preserve">, and Carlos Emilio </w:t>
      </w:r>
      <w:proofErr w:type="spellStart"/>
      <w:r w:rsidRPr="008B5693">
        <w:rPr>
          <w:rFonts w:ascii="Cambria" w:eastAsia="Cambria" w:hAnsi="Cambria" w:cs="Cambria"/>
          <w:color w:val="000000"/>
          <w:sz w:val="20"/>
          <w:szCs w:val="20"/>
          <w:u w:color="000000"/>
          <w:lang w:eastAsia="es-ES"/>
        </w:rPr>
        <w:t>Rendón</w:t>
      </w:r>
      <w:proofErr w:type="spellEnd"/>
      <w:r w:rsidRPr="008B5693">
        <w:rPr>
          <w:rFonts w:ascii="Cambria" w:eastAsia="Cambria" w:hAnsi="Cambria" w:cs="Cambria"/>
          <w:color w:val="000000"/>
          <w:sz w:val="20"/>
          <w:szCs w:val="20"/>
          <w:u w:color="000000"/>
          <w:lang w:eastAsia="es-ES"/>
        </w:rPr>
        <w:t xml:space="preserve"> Naranjo, have not been elucidated, inasmuch as this case is at the preliminary investigation phase and, as of the present date ,those responsible have not been prosecuted and arrested, even though more than 22 years have elapsed since the date of the crimes that are subject of the petition and despite the precedent of the disciplinary proceeding, the testimonies and reports of the witnesses and the ombudspersons. </w:t>
      </w:r>
    </w:p>
    <w:p w14:paraId="0D8FE15D" w14:textId="3548C571" w:rsidR="008B5693" w:rsidRPr="008B5693"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8B5693">
        <w:rPr>
          <w:rFonts w:ascii="Cambria" w:eastAsia="Cambria" w:hAnsi="Cambria" w:cs="Cambria"/>
          <w:color w:val="000000"/>
          <w:sz w:val="20"/>
          <w:szCs w:val="20"/>
          <w:u w:color="000000"/>
          <w:lang w:eastAsia="es-ES"/>
        </w:rPr>
        <w:t xml:space="preserve">As for the two reparation judgments in the cases of Mr. Holguín and Mr. </w:t>
      </w:r>
      <w:proofErr w:type="spellStart"/>
      <w:r w:rsidRPr="008B5693">
        <w:rPr>
          <w:rFonts w:ascii="Cambria" w:eastAsia="Cambria" w:hAnsi="Cambria" w:cs="Cambria"/>
          <w:color w:val="000000"/>
          <w:sz w:val="20"/>
          <w:szCs w:val="20"/>
          <w:u w:color="000000"/>
          <w:lang w:eastAsia="es-ES"/>
        </w:rPr>
        <w:t>Upegui</w:t>
      </w:r>
      <w:proofErr w:type="spellEnd"/>
      <w:r w:rsidRPr="008B5693">
        <w:rPr>
          <w:rFonts w:ascii="Cambria" w:eastAsia="Cambria" w:hAnsi="Cambria" w:cs="Cambria"/>
          <w:color w:val="000000"/>
          <w:sz w:val="20"/>
          <w:szCs w:val="20"/>
          <w:u w:color="000000"/>
          <w:lang w:eastAsia="es-ES"/>
        </w:rPr>
        <w:t xml:space="preserve">, the petitioner asserted that even though the State was held responsible on appeal for failure in its duty by act </w:t>
      </w:r>
      <w:r w:rsidR="00362A93" w:rsidRPr="008B5693">
        <w:rPr>
          <w:rFonts w:ascii="Cambria" w:eastAsia="Cambria" w:hAnsi="Cambria" w:cs="Cambria"/>
          <w:color w:val="000000"/>
          <w:sz w:val="20"/>
          <w:szCs w:val="20"/>
          <w:u w:color="000000"/>
          <w:lang w:eastAsia="es-ES"/>
        </w:rPr>
        <w:t>and omission</w:t>
      </w:r>
      <w:r w:rsidRPr="008B5693">
        <w:rPr>
          <w:rFonts w:ascii="Cambria" w:eastAsia="Cambria" w:hAnsi="Cambria" w:cs="Cambria"/>
          <w:color w:val="000000"/>
          <w:sz w:val="20"/>
          <w:szCs w:val="20"/>
          <w:u w:color="000000"/>
          <w:lang w:eastAsia="es-ES"/>
        </w:rPr>
        <w:t xml:space="preserve">, he notes that in these judgments no recognition was made of the damages to the lives of the victim and, consequently, full reparation for the harm was not granted. He contends that the damages for their lives were not requested in the direct reparation claim, because when the claims were filed this damage was not recognized in the Colombian State; nonetheless, in recent rulings of the Council of State, it was recognized without it being requested in the claim, under the principle full interpretation of the claim.  Also, as for the direct reparation claim brought by the family of Carlos Emilio </w:t>
      </w:r>
      <w:proofErr w:type="spellStart"/>
      <w:r w:rsidRPr="008B5693">
        <w:rPr>
          <w:rFonts w:ascii="Cambria" w:eastAsia="Cambria" w:hAnsi="Cambria" w:cs="Cambria"/>
          <w:color w:val="000000"/>
          <w:sz w:val="20"/>
          <w:szCs w:val="20"/>
          <w:u w:color="000000"/>
          <w:lang w:eastAsia="es-ES"/>
        </w:rPr>
        <w:t>Rendón</w:t>
      </w:r>
      <w:proofErr w:type="spellEnd"/>
      <w:r w:rsidRPr="008B5693">
        <w:rPr>
          <w:rFonts w:ascii="Cambria" w:eastAsia="Cambria" w:hAnsi="Cambria" w:cs="Cambria"/>
          <w:color w:val="000000"/>
          <w:sz w:val="20"/>
          <w:szCs w:val="20"/>
          <w:u w:color="000000"/>
          <w:lang w:eastAsia="es-ES"/>
        </w:rPr>
        <w:t xml:space="preserve"> Naranjo, the petitioner alleges unwarranted delay on the grounds that as of the present date the Council of State has issued no ruling. </w:t>
      </w:r>
    </w:p>
    <w:p w14:paraId="63C55F82" w14:textId="77777777" w:rsidR="008B5693" w:rsidRPr="008B5693" w:rsidRDefault="008B5693" w:rsidP="008B569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u w:val="single"/>
        </w:rPr>
      </w:pPr>
      <w:r w:rsidRPr="008B5693">
        <w:rPr>
          <w:rFonts w:ascii="Cambria" w:hAnsi="Cambria"/>
          <w:sz w:val="20"/>
          <w:szCs w:val="20"/>
          <w:u w:val="single"/>
        </w:rPr>
        <w:t xml:space="preserve">Allegations of the State </w:t>
      </w:r>
    </w:p>
    <w:p w14:paraId="6FC6FB08" w14:textId="77777777" w:rsidR="008B5693" w:rsidRPr="00671C66"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8B5693">
        <w:rPr>
          <w:rFonts w:ascii="Cambria" w:eastAsia="Cambria" w:hAnsi="Cambria" w:cs="Cambria"/>
          <w:color w:val="000000"/>
          <w:sz w:val="20"/>
          <w:szCs w:val="20"/>
          <w:u w:color="000000"/>
          <w:lang w:eastAsia="es-ES"/>
        </w:rPr>
        <w:t>In its response, the State contests the petitioner’s claims and requests the petition to be declared inadmissible. It argues as its grounds: (</w:t>
      </w:r>
      <w:proofErr w:type="spellStart"/>
      <w:r w:rsidRPr="008B5693">
        <w:rPr>
          <w:rFonts w:ascii="Cambria" w:eastAsia="Cambria" w:hAnsi="Cambria" w:cs="Cambria"/>
          <w:color w:val="000000"/>
          <w:sz w:val="20"/>
          <w:szCs w:val="20"/>
          <w:u w:color="000000"/>
          <w:lang w:eastAsia="es-ES"/>
        </w:rPr>
        <w:t>i</w:t>
      </w:r>
      <w:proofErr w:type="spellEnd"/>
      <w:r w:rsidRPr="008B5693">
        <w:rPr>
          <w:rFonts w:ascii="Cambria" w:eastAsia="Cambria" w:hAnsi="Cambria" w:cs="Cambria"/>
          <w:color w:val="000000"/>
          <w:sz w:val="20"/>
          <w:szCs w:val="20"/>
          <w:u w:color="000000"/>
          <w:lang w:eastAsia="es-ES"/>
        </w:rPr>
        <w:t xml:space="preserve">) lack of competence </w:t>
      </w:r>
      <w:proofErr w:type="spellStart"/>
      <w:r w:rsidRPr="008B5693">
        <w:rPr>
          <w:rFonts w:ascii="Cambria" w:eastAsia="Cambria" w:hAnsi="Cambria" w:cs="Cambria"/>
          <w:i/>
          <w:iCs/>
          <w:color w:val="000000"/>
          <w:sz w:val="20"/>
          <w:szCs w:val="20"/>
          <w:u w:color="000000"/>
          <w:lang w:eastAsia="es-ES"/>
        </w:rPr>
        <w:t>rationae</w:t>
      </w:r>
      <w:proofErr w:type="spellEnd"/>
      <w:r w:rsidRPr="008B5693">
        <w:rPr>
          <w:rFonts w:ascii="Cambria" w:eastAsia="Cambria" w:hAnsi="Cambria" w:cs="Cambria"/>
          <w:i/>
          <w:iCs/>
          <w:color w:val="000000"/>
          <w:sz w:val="20"/>
          <w:szCs w:val="20"/>
          <w:u w:color="000000"/>
          <w:lang w:eastAsia="es-ES"/>
        </w:rPr>
        <w:t xml:space="preserve"> </w:t>
      </w:r>
      <w:proofErr w:type="spellStart"/>
      <w:r w:rsidRPr="008B5693">
        <w:rPr>
          <w:rFonts w:ascii="Cambria" w:eastAsia="Cambria" w:hAnsi="Cambria" w:cs="Cambria"/>
          <w:i/>
          <w:iCs/>
          <w:color w:val="000000"/>
          <w:sz w:val="20"/>
          <w:szCs w:val="20"/>
          <w:u w:color="000000"/>
          <w:lang w:eastAsia="es-ES"/>
        </w:rPr>
        <w:t>materiae</w:t>
      </w:r>
      <w:proofErr w:type="spellEnd"/>
      <w:r w:rsidRPr="008B5693">
        <w:rPr>
          <w:rFonts w:ascii="Cambria" w:eastAsia="Cambria" w:hAnsi="Cambria" w:cs="Cambria"/>
          <w:i/>
          <w:iCs/>
          <w:color w:val="000000"/>
          <w:sz w:val="20"/>
          <w:szCs w:val="20"/>
          <w:u w:color="000000"/>
          <w:lang w:eastAsia="es-ES"/>
        </w:rPr>
        <w:t xml:space="preserve"> </w:t>
      </w:r>
      <w:r w:rsidRPr="008B5693">
        <w:rPr>
          <w:rFonts w:ascii="Cambria" w:eastAsia="Cambria" w:hAnsi="Cambria" w:cs="Cambria"/>
          <w:color w:val="000000"/>
          <w:sz w:val="20"/>
          <w:szCs w:val="20"/>
          <w:u w:color="000000"/>
          <w:lang w:eastAsia="es-ES"/>
        </w:rPr>
        <w:t xml:space="preserve">for the Commission to hear the alleged violations of rights set forth in the American Declaration because the State has been a party to the American Convention since July 31, 1973; (ii) lack of competence </w:t>
      </w:r>
      <w:proofErr w:type="spellStart"/>
      <w:r w:rsidRPr="008B5693">
        <w:rPr>
          <w:rFonts w:ascii="Cambria" w:eastAsia="Cambria" w:hAnsi="Cambria" w:cs="Cambria"/>
          <w:i/>
          <w:color w:val="000000"/>
          <w:sz w:val="20"/>
          <w:szCs w:val="20"/>
          <w:u w:color="000000"/>
          <w:lang w:eastAsia="es-ES"/>
        </w:rPr>
        <w:t>rationae</w:t>
      </w:r>
      <w:proofErr w:type="spellEnd"/>
      <w:r w:rsidRPr="008B5693">
        <w:rPr>
          <w:rFonts w:ascii="Cambria" w:eastAsia="Cambria" w:hAnsi="Cambria" w:cs="Cambria"/>
          <w:i/>
          <w:color w:val="000000"/>
          <w:sz w:val="20"/>
          <w:szCs w:val="20"/>
          <w:u w:color="000000"/>
          <w:lang w:eastAsia="es-ES"/>
        </w:rPr>
        <w:t xml:space="preserve"> personae </w:t>
      </w:r>
      <w:r w:rsidRPr="008B5693">
        <w:rPr>
          <w:rFonts w:ascii="Cambria" w:eastAsia="Cambria" w:hAnsi="Cambria" w:cs="Cambria"/>
          <w:iCs/>
          <w:color w:val="000000"/>
          <w:sz w:val="20"/>
          <w:szCs w:val="20"/>
          <w:u w:color="000000"/>
          <w:lang w:eastAsia="es-ES"/>
        </w:rPr>
        <w:t xml:space="preserve">with respect to the right of movement and residence in relation to abandoning homes after the death of Mr. Holguín, because the State understands the petitioner’s allegation to have made </w:t>
      </w:r>
      <w:r w:rsidRPr="008B5693">
        <w:rPr>
          <w:rFonts w:ascii="Cambria" w:eastAsia="Cambria" w:hAnsi="Cambria" w:cs="Cambria"/>
          <w:i/>
          <w:color w:val="000000"/>
          <w:sz w:val="20"/>
          <w:szCs w:val="20"/>
          <w:u w:color="000000"/>
          <w:lang w:eastAsia="es-ES"/>
        </w:rPr>
        <w:t xml:space="preserve">in </w:t>
      </w:r>
      <w:proofErr w:type="spellStart"/>
      <w:r w:rsidRPr="008B5693">
        <w:rPr>
          <w:rFonts w:ascii="Cambria" w:eastAsia="Cambria" w:hAnsi="Cambria" w:cs="Cambria"/>
          <w:i/>
          <w:color w:val="000000"/>
          <w:sz w:val="20"/>
          <w:szCs w:val="20"/>
          <w:u w:color="000000"/>
          <w:lang w:eastAsia="es-ES"/>
        </w:rPr>
        <w:t>abstracto</w:t>
      </w:r>
      <w:proofErr w:type="spellEnd"/>
      <w:r w:rsidRPr="008B5693">
        <w:rPr>
          <w:rFonts w:ascii="Cambria" w:eastAsia="Cambria" w:hAnsi="Cambria" w:cs="Cambria"/>
          <w:i/>
          <w:color w:val="000000"/>
          <w:sz w:val="20"/>
          <w:szCs w:val="20"/>
          <w:u w:color="000000"/>
          <w:lang w:eastAsia="es-ES"/>
        </w:rPr>
        <w:t xml:space="preserve"> </w:t>
      </w:r>
      <w:r w:rsidRPr="008B5693">
        <w:rPr>
          <w:rFonts w:ascii="Cambria" w:eastAsia="Cambria" w:hAnsi="Cambria" w:cs="Cambria"/>
          <w:iCs/>
          <w:color w:val="000000"/>
          <w:sz w:val="20"/>
          <w:szCs w:val="20"/>
          <w:u w:color="000000"/>
          <w:lang w:eastAsia="es-ES"/>
        </w:rPr>
        <w:t xml:space="preserve">without individually identifying the specific victims; while the petitioner argued that it was confined to Mr. Holguín’s nuclear family; and </w:t>
      </w:r>
      <w:r w:rsidRPr="008B5693">
        <w:rPr>
          <w:rFonts w:ascii="Cambria" w:eastAsia="Cambria" w:hAnsi="Cambria" w:cs="Cambria"/>
          <w:color w:val="000000"/>
          <w:sz w:val="20"/>
          <w:szCs w:val="20"/>
          <w:u w:color="000000"/>
          <w:lang w:eastAsia="es-ES"/>
        </w:rPr>
        <w:t xml:space="preserve">(iii) the formula of the fourth instance with respect to the cases of Messrs. Holguín and </w:t>
      </w:r>
      <w:proofErr w:type="spellStart"/>
      <w:r w:rsidRPr="008B5693">
        <w:rPr>
          <w:rFonts w:ascii="Cambria" w:eastAsia="Cambria" w:hAnsi="Cambria" w:cs="Cambria"/>
          <w:color w:val="000000"/>
          <w:sz w:val="20"/>
          <w:szCs w:val="20"/>
          <w:u w:color="000000"/>
          <w:lang w:eastAsia="es-ES"/>
        </w:rPr>
        <w:t>Upegui</w:t>
      </w:r>
      <w:proofErr w:type="spellEnd"/>
      <w:r w:rsidRPr="008B5693">
        <w:rPr>
          <w:rFonts w:ascii="Cambria" w:eastAsia="Cambria" w:hAnsi="Cambria" w:cs="Cambria"/>
          <w:color w:val="000000"/>
          <w:sz w:val="20"/>
          <w:szCs w:val="20"/>
          <w:u w:color="000000"/>
          <w:lang w:eastAsia="es-ES"/>
        </w:rPr>
        <w:t xml:space="preserve"> and their families before the administrative claims court, because the Council of State in both instances recognized full reparation.  On this last point, it further contended that the Council of State heard two of the cases and ruled against the Ministry of Defense –National Police and ordered reparation to the families under the criteria of full reparation in the administrative sphere, noting that it is not appropriate to order additional reparation for the claim, either for pecuniary, non-pecuniary damages and/or symbolic measures on behalf of the families of the deceased victims. </w:t>
      </w:r>
    </w:p>
    <w:p w14:paraId="6953F7A4" w14:textId="632078CB" w:rsidR="00F621C3" w:rsidRPr="00671C66"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eastAsia="Cambria" w:hAnsi="Cambria" w:cs="Cambria"/>
          <w:color w:val="000000"/>
          <w:sz w:val="20"/>
          <w:szCs w:val="20"/>
          <w:u w:color="000000"/>
          <w:lang w:eastAsia="es-ES"/>
        </w:rPr>
      </w:pPr>
      <w:r w:rsidRPr="00671C66">
        <w:rPr>
          <w:rFonts w:ascii="Cambria" w:hAnsi="Cambria"/>
          <w:sz w:val="20"/>
          <w:szCs w:val="20"/>
        </w:rPr>
        <w:t>Furthermore, the State does not believe the petition fulfills the requirement of prior exhaustion of domestic remedies, because: (</w:t>
      </w:r>
      <w:proofErr w:type="spellStart"/>
      <w:r w:rsidRPr="00671C66">
        <w:rPr>
          <w:rFonts w:ascii="Cambria" w:hAnsi="Cambria"/>
          <w:sz w:val="20"/>
          <w:szCs w:val="20"/>
        </w:rPr>
        <w:t>i</w:t>
      </w:r>
      <w:proofErr w:type="spellEnd"/>
      <w:r w:rsidRPr="00671C66">
        <w:rPr>
          <w:rFonts w:ascii="Cambria" w:hAnsi="Cambria"/>
          <w:sz w:val="20"/>
          <w:szCs w:val="20"/>
        </w:rPr>
        <w:t xml:space="preserve">) in the area of administrative law, with regard to the direct reparation claim brought by the family members of Mr. </w:t>
      </w:r>
      <w:proofErr w:type="spellStart"/>
      <w:r w:rsidRPr="00671C66">
        <w:rPr>
          <w:rFonts w:ascii="Cambria" w:hAnsi="Cambria"/>
          <w:sz w:val="20"/>
          <w:szCs w:val="20"/>
        </w:rPr>
        <w:t>Rondón</w:t>
      </w:r>
      <w:proofErr w:type="spellEnd"/>
      <w:r w:rsidRPr="00671C66">
        <w:rPr>
          <w:rFonts w:ascii="Cambria" w:hAnsi="Cambria"/>
          <w:sz w:val="20"/>
          <w:szCs w:val="20"/>
        </w:rPr>
        <w:t xml:space="preserve">, the appeals ruling of the Council of State is still pending; and (ii) in the criminal proceedings of the three cases, investigatory steps are still being taken. Particularly with respect to the case of Mr. </w:t>
      </w:r>
      <w:proofErr w:type="spellStart"/>
      <w:r w:rsidRPr="00671C66">
        <w:rPr>
          <w:rFonts w:ascii="Cambria" w:hAnsi="Cambria"/>
          <w:sz w:val="20"/>
          <w:szCs w:val="20"/>
        </w:rPr>
        <w:t>Rendón</w:t>
      </w:r>
      <w:proofErr w:type="spellEnd"/>
      <w:r w:rsidRPr="00671C66">
        <w:rPr>
          <w:rFonts w:ascii="Cambria" w:hAnsi="Cambria"/>
          <w:sz w:val="20"/>
          <w:szCs w:val="20"/>
        </w:rPr>
        <w:t xml:space="preserve">, it is noted that the day after the events took place an investigation was opened </w:t>
      </w:r>
      <w:r w:rsidRPr="00671C66">
        <w:rPr>
          <w:rFonts w:ascii="Cambria" w:hAnsi="Cambria"/>
          <w:i/>
          <w:iCs/>
          <w:sz w:val="20"/>
          <w:szCs w:val="20"/>
        </w:rPr>
        <w:t xml:space="preserve">ex officio </w:t>
      </w:r>
      <w:r w:rsidRPr="00671C66">
        <w:rPr>
          <w:rFonts w:ascii="Cambria" w:hAnsi="Cambria"/>
          <w:sz w:val="20"/>
          <w:szCs w:val="20"/>
        </w:rPr>
        <w:t>and that from the very moment of the removal of the body, evidence was gathered, and the case was initially assigned to Prosecutor 43 of the sectional Unit of Prosecutor’s Offices.  Additionally, the State emphasized that, given that the modus operandi of the groups operating outside the law is to conceal their criminal conduct, this makes it more complex to investigate and elucidate the truth for each one of the cases and, therefore, it considers that the judicial authorities are carrying out the investigations within a reasonable period of time.</w:t>
      </w:r>
    </w:p>
    <w:p w14:paraId="55505107" w14:textId="28153572" w:rsidR="00F621C3" w:rsidRPr="00671C66" w:rsidRDefault="00F621C3" w:rsidP="00F621C3">
      <w:pPr>
        <w:spacing w:before="240" w:after="240"/>
        <w:ind w:firstLine="720"/>
        <w:jc w:val="both"/>
        <w:rPr>
          <w:rFonts w:ascii="Cambria" w:hAnsi="Cambria"/>
          <w:sz w:val="20"/>
          <w:szCs w:val="20"/>
        </w:rPr>
      </w:pPr>
      <w:r w:rsidRPr="00671C66">
        <w:rPr>
          <w:rFonts w:asciiTheme="majorHAnsi" w:eastAsia="Cambria" w:hAnsiTheme="majorHAnsi" w:cs="Cambria"/>
          <w:b/>
          <w:bCs/>
          <w:color w:val="000000"/>
          <w:sz w:val="20"/>
          <w:szCs w:val="20"/>
          <w:u w:color="000000"/>
          <w:lang w:eastAsia="es-ES"/>
        </w:rPr>
        <w:lastRenderedPageBreak/>
        <w:t>VI.</w:t>
      </w:r>
      <w:r w:rsidRPr="00671C66">
        <w:rPr>
          <w:rFonts w:asciiTheme="majorHAnsi" w:eastAsia="Cambria" w:hAnsiTheme="majorHAnsi" w:cs="Cambria"/>
          <w:b/>
          <w:bCs/>
          <w:color w:val="000000"/>
          <w:sz w:val="20"/>
          <w:szCs w:val="20"/>
          <w:u w:color="000000"/>
          <w:lang w:eastAsia="es-ES"/>
        </w:rPr>
        <w:tab/>
      </w:r>
      <w:r w:rsidR="001F1902" w:rsidRPr="00671C66">
        <w:rPr>
          <w:rFonts w:asciiTheme="majorHAnsi" w:hAnsiTheme="majorHAnsi"/>
          <w:b/>
          <w:bCs/>
          <w:sz w:val="20"/>
          <w:szCs w:val="20"/>
        </w:rPr>
        <w:t xml:space="preserve">ANALYSIS OF </w:t>
      </w:r>
      <w:r w:rsidRPr="00671C66">
        <w:rPr>
          <w:rFonts w:asciiTheme="majorHAnsi" w:hAnsiTheme="majorHAnsi"/>
          <w:b/>
          <w:sz w:val="20"/>
          <w:szCs w:val="20"/>
        </w:rPr>
        <w:t>EXHAUSTION OF DOMESTIC REMEDIES AND TIMELINESS OF THE PETITION</w:t>
      </w:r>
      <w:r w:rsidRPr="00671C66">
        <w:rPr>
          <w:rFonts w:asciiTheme="majorHAnsi" w:eastAsia="Cambria" w:hAnsiTheme="majorHAnsi" w:cs="Cambria"/>
          <w:b/>
          <w:bCs/>
          <w:color w:val="000000"/>
          <w:sz w:val="20"/>
          <w:szCs w:val="20"/>
          <w:u w:color="000000"/>
          <w:lang w:eastAsia="es-ES"/>
        </w:rPr>
        <w:t xml:space="preserve"> </w:t>
      </w:r>
    </w:p>
    <w:p w14:paraId="23B783A8" w14:textId="77777777" w:rsidR="008B5693" w:rsidRPr="00671C66"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671C66">
        <w:rPr>
          <w:rFonts w:ascii="Cambria" w:hAnsi="Cambria"/>
          <w:sz w:val="20"/>
          <w:szCs w:val="20"/>
        </w:rPr>
        <w:t xml:space="preserve">The petitioner claims that the criminal proceeding is still at the preliminary investigation stage more than 22 years after the murder of the alleged victims took place in the municipality of </w:t>
      </w:r>
      <w:proofErr w:type="spellStart"/>
      <w:r w:rsidRPr="00671C66">
        <w:rPr>
          <w:rFonts w:ascii="Cambria" w:hAnsi="Cambria"/>
          <w:sz w:val="20"/>
          <w:szCs w:val="20"/>
        </w:rPr>
        <w:t>Yarumal</w:t>
      </w:r>
      <w:proofErr w:type="spellEnd"/>
      <w:r w:rsidRPr="00671C66">
        <w:rPr>
          <w:rFonts w:ascii="Cambria" w:hAnsi="Cambria"/>
          <w:sz w:val="20"/>
          <w:szCs w:val="20"/>
        </w:rPr>
        <w:t xml:space="preserve">, and the authorities have still not individually identified the actual perpetrators and masterminds of the killings. With respect to the direct reparation claim settled by the Council of State for Mr. Holguín and Mr. </w:t>
      </w:r>
      <w:proofErr w:type="spellStart"/>
      <w:r w:rsidRPr="00671C66">
        <w:rPr>
          <w:rFonts w:ascii="Cambria" w:hAnsi="Cambria"/>
          <w:sz w:val="20"/>
          <w:szCs w:val="20"/>
        </w:rPr>
        <w:t>Upegui</w:t>
      </w:r>
      <w:proofErr w:type="spellEnd"/>
      <w:r w:rsidRPr="00671C66">
        <w:rPr>
          <w:rFonts w:ascii="Cambria" w:hAnsi="Cambria"/>
          <w:sz w:val="20"/>
          <w:szCs w:val="20"/>
        </w:rPr>
        <w:t xml:space="preserve">, he contends that it does not meet the standard for full reparation of damages and that with respect to Mr. </w:t>
      </w:r>
      <w:proofErr w:type="spellStart"/>
      <w:r w:rsidRPr="00671C66">
        <w:rPr>
          <w:rFonts w:ascii="Cambria" w:hAnsi="Cambria"/>
          <w:sz w:val="20"/>
          <w:szCs w:val="20"/>
        </w:rPr>
        <w:t>Rondón’s</w:t>
      </w:r>
      <w:proofErr w:type="spellEnd"/>
      <w:r w:rsidRPr="00671C66">
        <w:rPr>
          <w:rFonts w:ascii="Cambria" w:hAnsi="Cambria"/>
          <w:sz w:val="20"/>
          <w:szCs w:val="20"/>
        </w:rPr>
        <w:t xml:space="preserve"> claim, there has been no ruling and, therefore, it is unwarranted delay. The State, for its part, contends that, given the complexity of the case, the criminal proceeding has been conducted within a reasonable time and has had significant developments over the course thereof. Additionally, the State argues failure of exhaustion of domestic remedies with respect to the</w:t>
      </w:r>
      <w:r w:rsidRPr="00671C66">
        <w:rPr>
          <w:sz w:val="20"/>
          <w:szCs w:val="20"/>
        </w:rPr>
        <w:t xml:space="preserve"> </w:t>
      </w:r>
      <w:r w:rsidRPr="00671C66">
        <w:rPr>
          <w:rFonts w:ascii="Cambria" w:hAnsi="Cambria"/>
          <w:sz w:val="20"/>
          <w:szCs w:val="20"/>
        </w:rPr>
        <w:t xml:space="preserve">direct reparation claim brought by Mr. </w:t>
      </w:r>
      <w:proofErr w:type="spellStart"/>
      <w:r w:rsidRPr="00671C66">
        <w:rPr>
          <w:rFonts w:ascii="Cambria" w:hAnsi="Cambria"/>
          <w:sz w:val="20"/>
          <w:szCs w:val="20"/>
        </w:rPr>
        <w:t>Rondón’s</w:t>
      </w:r>
      <w:proofErr w:type="spellEnd"/>
      <w:r w:rsidRPr="00671C66">
        <w:rPr>
          <w:rFonts w:ascii="Cambria" w:hAnsi="Cambria"/>
          <w:sz w:val="20"/>
          <w:szCs w:val="20"/>
        </w:rPr>
        <w:t xml:space="preserve"> family because the Council of State’s ruling is still pending. </w:t>
      </w:r>
    </w:p>
    <w:p w14:paraId="3051D8F2" w14:textId="77777777" w:rsidR="008B5693" w:rsidRPr="00671C66"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671C66">
        <w:rPr>
          <w:rFonts w:ascii="Cambria" w:hAnsi="Cambria"/>
          <w:sz w:val="20"/>
          <w:szCs w:val="20"/>
        </w:rPr>
        <w:t>Based on the foregoing considerations and viewing the criminal proceedings as a whole, the IACHR notes that nearly twenty years have elapsed since the crimes took place and, as of the present date, the case is still at the investigation phase. In this regard, the Commission has repeatedly held that the authorities of the criminal justice system must conduct and pursue criminal investigations on their own initiative and with diligence and that this burden must be borne as their own legal duty, and not as an instrument of the interests of private individuals or one that is contingent upon the initiative of those individuals or the evidence they provide.</w:t>
      </w:r>
      <w:r w:rsidRPr="00671C66">
        <w:rPr>
          <w:rFonts w:ascii="Cambria" w:hAnsi="Cambria"/>
          <w:vertAlign w:val="superscript"/>
        </w:rPr>
        <w:footnoteReference w:id="7"/>
      </w:r>
      <w:r w:rsidRPr="00671C66">
        <w:rPr>
          <w:rFonts w:ascii="Cambria" w:hAnsi="Cambria"/>
          <w:sz w:val="20"/>
          <w:szCs w:val="20"/>
        </w:rPr>
        <w:t xml:space="preserve">  Furthermore, the Commission has established that, as a general rule, a criminal investigation must be conducted promptly in order to protect the interests of the victims, preserve the evidence and even safeguard the rights of all persons who, in the context of the investigation, may be deemed suspects.</w:t>
      </w:r>
      <w:r w:rsidRPr="00671C66">
        <w:rPr>
          <w:rStyle w:val="FootnoteReference"/>
          <w:rFonts w:ascii="Cambria" w:hAnsi="Cambria"/>
          <w:sz w:val="20"/>
          <w:szCs w:val="20"/>
        </w:rPr>
        <w:footnoteReference w:id="8"/>
      </w:r>
      <w:r w:rsidRPr="00671C66">
        <w:rPr>
          <w:rFonts w:ascii="Cambria" w:hAnsi="Cambria"/>
          <w:sz w:val="20"/>
          <w:szCs w:val="20"/>
        </w:rPr>
        <w:t xml:space="preserve"> Based on the foregoing and on the time that has elapsed since the events occurred, that are the subject of the claim, the Commission concludes that there has been an unwarranted delay in the criminal investigation and, consequently, the exception to exhaustion of domestic remedies provided for in Article 46.2.c of the Convention is applicable. Lastly, the IACHR recalls that, for the purpose of assessing the admissibility of a complaint of this nature, an action for reparation is not the suitable means nor must it be exhausted, given that it is not adequate to provide full redress and justice to the family.</w:t>
      </w:r>
      <w:r w:rsidRPr="00671C66">
        <w:rPr>
          <w:rFonts w:ascii="Cambria" w:hAnsi="Cambria"/>
          <w:vertAlign w:val="superscript"/>
        </w:rPr>
        <w:footnoteReference w:id="9"/>
      </w:r>
      <w:r w:rsidRPr="00671C66">
        <w:rPr>
          <w:rFonts w:ascii="Cambria" w:hAnsi="Cambria"/>
          <w:sz w:val="20"/>
          <w:szCs w:val="20"/>
        </w:rPr>
        <w:t xml:space="preserve"> Additionally, the IACHR has held that the determination of reparation does not relieve the State of its obligations related to the component of justice for violations caused.</w:t>
      </w:r>
      <w:r w:rsidRPr="00671C66">
        <w:rPr>
          <w:rFonts w:ascii="Cambria" w:hAnsi="Cambria"/>
          <w:vertAlign w:val="superscript"/>
        </w:rPr>
        <w:footnoteReference w:id="10"/>
      </w:r>
      <w:r w:rsidRPr="00671C66">
        <w:rPr>
          <w:rFonts w:ascii="Cambria" w:hAnsi="Cambria"/>
          <w:sz w:val="20"/>
          <w:szCs w:val="20"/>
        </w:rPr>
        <w:t xml:space="preserve"> </w:t>
      </w:r>
    </w:p>
    <w:p w14:paraId="05415C74" w14:textId="26554557" w:rsidR="00F621C3" w:rsidRPr="00671C66" w:rsidRDefault="008B5693" w:rsidP="008B5693">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671C66">
        <w:rPr>
          <w:rFonts w:ascii="Cambria" w:hAnsi="Cambria"/>
          <w:sz w:val="20"/>
          <w:szCs w:val="20"/>
        </w:rPr>
        <w:t xml:space="preserve">In connection with the foregoing, the Commission notes that the petition was received on December 18, 2008, while the alleged facts took place in 1993 and, in terms of a lack of results of the administration of justice, the effects thereof would extend into the present. Therefore, in view of the context and the characteristics of the instant petition, the Commission understands the petition to have been filed within a reasonable time and that the admissibility requirement is deemed fulfilled with reference to the filing deadline as provided in Article 32.2 of its Rules of Procedure and pursuant to Article 46.1.b of the Convention.  </w:t>
      </w:r>
    </w:p>
    <w:p w14:paraId="378478A0" w14:textId="50B01E58" w:rsidR="00F621C3" w:rsidRPr="00671C66" w:rsidRDefault="00F621C3" w:rsidP="00F621C3">
      <w:pPr>
        <w:pStyle w:val="ListParagraph"/>
        <w:spacing w:before="240" w:after="240"/>
        <w:jc w:val="both"/>
        <w:rPr>
          <w:rFonts w:asciiTheme="majorHAnsi" w:hAnsiTheme="majorHAnsi"/>
          <w:b/>
          <w:sz w:val="20"/>
          <w:szCs w:val="20"/>
        </w:rPr>
      </w:pPr>
      <w:r w:rsidRPr="00671C66">
        <w:rPr>
          <w:rFonts w:asciiTheme="majorHAnsi" w:hAnsiTheme="majorHAnsi"/>
          <w:b/>
          <w:bCs/>
          <w:sz w:val="20"/>
          <w:szCs w:val="20"/>
        </w:rPr>
        <w:t>VII.</w:t>
      </w:r>
      <w:r w:rsidRPr="00671C66">
        <w:rPr>
          <w:rFonts w:asciiTheme="majorHAnsi" w:hAnsiTheme="majorHAnsi"/>
          <w:b/>
          <w:bCs/>
          <w:sz w:val="20"/>
          <w:szCs w:val="20"/>
        </w:rPr>
        <w:tab/>
      </w:r>
      <w:r w:rsidR="001F1902" w:rsidRPr="00671C66">
        <w:rPr>
          <w:rFonts w:asciiTheme="majorHAnsi" w:hAnsiTheme="majorHAnsi"/>
          <w:b/>
          <w:bCs/>
          <w:sz w:val="20"/>
          <w:szCs w:val="20"/>
        </w:rPr>
        <w:t xml:space="preserve">ANALYSIS OF </w:t>
      </w:r>
      <w:r w:rsidRPr="00671C66">
        <w:rPr>
          <w:rFonts w:asciiTheme="majorHAnsi" w:hAnsiTheme="majorHAnsi"/>
          <w:b/>
          <w:bCs/>
          <w:sz w:val="20"/>
          <w:szCs w:val="20"/>
        </w:rPr>
        <w:t>COLORABLE CLAIM</w:t>
      </w:r>
    </w:p>
    <w:p w14:paraId="611D0DD3" w14:textId="77777777" w:rsidR="00671C66" w:rsidRPr="00671C66" w:rsidRDefault="00671C66" w:rsidP="00671C6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671C66">
        <w:rPr>
          <w:rFonts w:ascii="Cambria" w:hAnsi="Cambria"/>
          <w:sz w:val="20"/>
          <w:szCs w:val="20"/>
        </w:rPr>
        <w:t xml:space="preserve">In view of the elements of fact and law presented by the parties and the nature of the case being examined, the Commission finds that the petitioner’s allegations are not manifestly groundless and warrant an examination of the merits inasmuch as, if proven, the purported facts related to the alleged failure to prevent the death of the three alleged victims in the municipality of </w:t>
      </w:r>
      <w:proofErr w:type="spellStart"/>
      <w:r w:rsidRPr="00671C66">
        <w:rPr>
          <w:rFonts w:ascii="Cambria" w:hAnsi="Cambria"/>
          <w:sz w:val="20"/>
          <w:szCs w:val="20"/>
        </w:rPr>
        <w:t>Yarumal</w:t>
      </w:r>
      <w:proofErr w:type="spellEnd"/>
      <w:r w:rsidRPr="00671C66">
        <w:rPr>
          <w:rFonts w:ascii="Cambria" w:hAnsi="Cambria"/>
          <w:sz w:val="20"/>
          <w:szCs w:val="20"/>
        </w:rPr>
        <w:t xml:space="preserve">, as a result of the omission and actions of the military and police forces, as well as the lack of an effective criminal investigation of everyone potentially responsible, and the internal displacement of the families of Mr. Holguín, and Mr. </w:t>
      </w:r>
      <w:proofErr w:type="spellStart"/>
      <w:r w:rsidRPr="00671C66">
        <w:rPr>
          <w:rFonts w:ascii="Cambria" w:hAnsi="Cambria"/>
          <w:sz w:val="20"/>
          <w:szCs w:val="20"/>
        </w:rPr>
        <w:t>Upegui</w:t>
      </w:r>
      <w:proofErr w:type="spellEnd"/>
      <w:r w:rsidRPr="00671C66">
        <w:rPr>
          <w:rFonts w:ascii="Cambria" w:hAnsi="Cambria"/>
          <w:sz w:val="20"/>
          <w:szCs w:val="20"/>
        </w:rPr>
        <w:t xml:space="preserve">, as a consequence of the reported crimes, whose multiple, complex and continuous nature directly impacted and </w:t>
      </w:r>
      <w:r w:rsidRPr="00671C66">
        <w:rPr>
          <w:rFonts w:ascii="Cambria" w:hAnsi="Cambria"/>
          <w:sz w:val="20"/>
          <w:szCs w:val="20"/>
        </w:rPr>
        <w:lastRenderedPageBreak/>
        <w:t xml:space="preserve">uprooted them, in economic, social and cultural terms, could tend to establish potential violations of the rights protected in Articles 4 (life), 5 (humane treatment), 8 (fair trial), 22 (movement and residence), 25 (judicial protection) and 26 </w:t>
      </w:r>
      <w:r w:rsidRPr="00671C66">
        <w:rPr>
          <w:rFonts w:ascii="Cambria" w:hAnsi="Cambria"/>
          <w:bCs/>
          <w:sz w:val="20"/>
          <w:szCs w:val="20"/>
        </w:rPr>
        <w:t>(economic, social and cultural rights)</w:t>
      </w:r>
      <w:r w:rsidRPr="00671C66">
        <w:rPr>
          <w:rFonts w:ascii="Cambria" w:hAnsi="Cambria"/>
          <w:sz w:val="20"/>
          <w:szCs w:val="20"/>
        </w:rPr>
        <w:t xml:space="preserve"> of the American Convention, in connection with Articles 1.1 and 2, with respect to the alleged victims and their families. </w:t>
      </w:r>
    </w:p>
    <w:p w14:paraId="70146B96" w14:textId="26D1FE7F" w:rsidR="00F621C3" w:rsidRPr="00671C66" w:rsidRDefault="00671C66" w:rsidP="00671C66">
      <w:pPr>
        <w:numPr>
          <w:ilvl w:val="0"/>
          <w:numId w:val="10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Cambria" w:hAnsi="Cambria"/>
          <w:sz w:val="20"/>
          <w:szCs w:val="20"/>
        </w:rPr>
      </w:pPr>
      <w:r w:rsidRPr="00671C66">
        <w:rPr>
          <w:rFonts w:ascii="Cambria" w:hAnsi="Cambria"/>
          <w:sz w:val="20"/>
          <w:szCs w:val="20"/>
        </w:rPr>
        <w:t>Lastly, with respect to the State’s allegation of the fourth instance, the Commission reiterates that within the scope of its mandate it is competent to examine the instant petition at the merits state, when it involves domestic proceedings that could violate rights protected by the American Convention.</w:t>
      </w:r>
    </w:p>
    <w:p w14:paraId="5A70550C" w14:textId="77777777" w:rsidR="00F621C3" w:rsidRPr="00671C66" w:rsidRDefault="00F621C3" w:rsidP="00F621C3">
      <w:pPr>
        <w:pStyle w:val="ListParagraph"/>
        <w:spacing w:before="240" w:after="240"/>
        <w:jc w:val="both"/>
        <w:rPr>
          <w:b/>
          <w:bCs/>
          <w:sz w:val="20"/>
          <w:szCs w:val="20"/>
        </w:rPr>
      </w:pPr>
      <w:r w:rsidRPr="00671C66">
        <w:rPr>
          <w:b/>
          <w:bCs/>
          <w:sz w:val="20"/>
          <w:szCs w:val="20"/>
        </w:rPr>
        <w:t xml:space="preserve">VIII. </w:t>
      </w:r>
      <w:r w:rsidRPr="00671C66">
        <w:rPr>
          <w:b/>
          <w:bCs/>
          <w:sz w:val="20"/>
          <w:szCs w:val="20"/>
        </w:rPr>
        <w:tab/>
        <w:t>DECISION</w:t>
      </w:r>
    </w:p>
    <w:p w14:paraId="5B2130B6" w14:textId="77777777" w:rsidR="00671C66" w:rsidRPr="00671C66" w:rsidRDefault="00671C66" w:rsidP="00671C6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71C66">
        <w:rPr>
          <w:rFonts w:ascii="Cambria" w:hAnsi="Cambria"/>
          <w:sz w:val="20"/>
          <w:szCs w:val="20"/>
        </w:rPr>
        <w:t xml:space="preserve">To declare admissible the instant petition in relation to Articles 4, 5, 8, 22, 25 and 26 in connection with Articles 1.1 and 2 of the American Convention on Human Rights; and </w:t>
      </w:r>
    </w:p>
    <w:p w14:paraId="23569727" w14:textId="77777777" w:rsidR="00671C66" w:rsidRPr="00671C66" w:rsidRDefault="00671C66" w:rsidP="00671C66">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671C66">
        <w:rPr>
          <w:rFonts w:ascii="Cambria" w:hAnsi="Cambria"/>
          <w:sz w:val="20"/>
          <w:szCs w:val="20"/>
        </w:rPr>
        <w:t xml:space="preserve">To notify the parties of this decision; to continue with the analysis on the merits; publish this decision and include it in its Annual Report to the General Assembly of the Organization of American States. </w:t>
      </w:r>
    </w:p>
    <w:p w14:paraId="601D63B7" w14:textId="67F8D2BD" w:rsidR="00D210EE" w:rsidRPr="00365F2F" w:rsidRDefault="00D210EE" w:rsidP="00D210EE">
      <w:pPr>
        <w:suppressAutoHyphens/>
        <w:ind w:firstLine="720"/>
        <w:jc w:val="both"/>
        <w:rPr>
          <w:rFonts w:ascii="Cambria" w:hAnsi="Cambria"/>
          <w:spacing w:val="-2"/>
          <w:sz w:val="20"/>
        </w:rPr>
      </w:pPr>
      <w:r>
        <w:rPr>
          <w:rFonts w:ascii="Cambria" w:hAnsi="Cambria"/>
          <w:spacing w:val="-2"/>
          <w:sz w:val="20"/>
        </w:rPr>
        <w:t>Approved by the Inter-American Commission on Human Rights</w:t>
      </w:r>
      <w:r w:rsidRPr="00365F2F">
        <w:rPr>
          <w:rFonts w:ascii="Cambria" w:hAnsi="Cambria"/>
          <w:spacing w:val="-2"/>
          <w:sz w:val="20"/>
        </w:rPr>
        <w:t xml:space="preserve"> on the </w:t>
      </w:r>
      <w:r>
        <w:rPr>
          <w:rFonts w:ascii="Cambria" w:hAnsi="Cambria"/>
          <w:spacing w:val="-2"/>
          <w:sz w:val="20"/>
        </w:rPr>
        <w:t>24</w:t>
      </w:r>
      <w:r w:rsidRPr="00D8169A">
        <w:rPr>
          <w:rFonts w:ascii="Cambria" w:hAnsi="Cambria"/>
          <w:spacing w:val="-2"/>
          <w:sz w:val="20"/>
          <w:vertAlign w:val="superscript"/>
        </w:rPr>
        <w:t>th</w:t>
      </w:r>
      <w:r>
        <w:rPr>
          <w:rFonts w:ascii="Cambria" w:hAnsi="Cambria"/>
          <w:spacing w:val="-2"/>
          <w:sz w:val="20"/>
        </w:rPr>
        <w:t xml:space="preserve"> </w:t>
      </w:r>
      <w:r w:rsidRPr="00365F2F">
        <w:rPr>
          <w:rFonts w:ascii="Cambria" w:hAnsi="Cambria"/>
          <w:spacing w:val="-2"/>
          <w:sz w:val="20"/>
        </w:rPr>
        <w:t xml:space="preserve">day of the month of </w:t>
      </w:r>
      <w:r>
        <w:rPr>
          <w:rFonts w:ascii="Cambria" w:hAnsi="Cambria"/>
          <w:spacing w:val="-2"/>
          <w:sz w:val="20"/>
        </w:rPr>
        <w:t>April,</w:t>
      </w:r>
      <w:r w:rsidRPr="00365F2F">
        <w:rPr>
          <w:rFonts w:ascii="Cambria" w:hAnsi="Cambria"/>
          <w:spacing w:val="-2"/>
          <w:sz w:val="20"/>
        </w:rPr>
        <w:t xml:space="preserve"> </w:t>
      </w:r>
      <w:r>
        <w:rPr>
          <w:rFonts w:ascii="Cambria" w:hAnsi="Cambria"/>
          <w:spacing w:val="-2"/>
          <w:sz w:val="20"/>
        </w:rPr>
        <w:t>2020</w:t>
      </w:r>
      <w:r w:rsidRPr="00365F2F">
        <w:rPr>
          <w:rFonts w:ascii="Cambria" w:hAnsi="Cambria"/>
          <w:spacing w:val="-2"/>
          <w:sz w:val="20"/>
        </w:rPr>
        <w:t xml:space="preserve">. </w:t>
      </w:r>
      <w:r w:rsidRPr="007F3C48">
        <w:rPr>
          <w:rFonts w:ascii="Cambria" w:hAnsi="Cambria"/>
          <w:spacing w:val="-2"/>
          <w:sz w:val="20"/>
        </w:rPr>
        <w:t xml:space="preserve">(Signed):  </w:t>
      </w:r>
      <w:r w:rsidRPr="007F3C48">
        <w:rPr>
          <w:rFonts w:asciiTheme="majorHAnsi" w:hAnsiTheme="majorHAnsi" w:cs="Arial"/>
          <w:noProof/>
          <w:spacing w:val="-2"/>
          <w:sz w:val="20"/>
          <w:szCs w:val="20"/>
        </w:rPr>
        <w:t>Joel Hernández, President; Antonia Urrrejola, First Vice President; Flávia Piovesan, Second Vice President; Esmeralda E. Arosemena Bernal de Troitiño, Margarette May Macaulay, Julissa Mantilla Falcón</w:t>
      </w:r>
      <w:r>
        <w:rPr>
          <w:rFonts w:asciiTheme="majorHAnsi" w:hAnsiTheme="majorHAnsi" w:cs="Arial"/>
          <w:noProof/>
          <w:spacing w:val="-2"/>
          <w:sz w:val="20"/>
          <w:szCs w:val="20"/>
        </w:rPr>
        <w:t>,</w:t>
      </w:r>
      <w:r w:rsidRPr="007F3C48">
        <w:rPr>
          <w:rFonts w:asciiTheme="majorHAnsi" w:hAnsiTheme="majorHAnsi" w:cs="Arial"/>
          <w:noProof/>
          <w:spacing w:val="-2"/>
          <w:sz w:val="20"/>
          <w:szCs w:val="20"/>
        </w:rPr>
        <w:t xml:space="preserve"> </w:t>
      </w:r>
      <w:r>
        <w:rPr>
          <w:rFonts w:asciiTheme="majorHAnsi" w:hAnsiTheme="majorHAnsi" w:cs="Arial"/>
          <w:noProof/>
          <w:spacing w:val="-2"/>
          <w:sz w:val="20"/>
          <w:szCs w:val="20"/>
        </w:rPr>
        <w:t>and</w:t>
      </w:r>
      <w:r w:rsidRPr="007F3C48">
        <w:rPr>
          <w:rFonts w:asciiTheme="majorHAnsi" w:hAnsiTheme="majorHAnsi" w:cs="Arial"/>
          <w:noProof/>
          <w:spacing w:val="-2"/>
          <w:sz w:val="20"/>
          <w:szCs w:val="20"/>
        </w:rPr>
        <w:t xml:space="preserve"> Stuardo Ralón Orellana,</w:t>
      </w:r>
      <w:r>
        <w:rPr>
          <w:rFonts w:asciiTheme="majorHAnsi" w:hAnsiTheme="majorHAnsi" w:cs="Arial"/>
          <w:noProof/>
          <w:spacing w:val="-2"/>
          <w:sz w:val="20"/>
          <w:szCs w:val="20"/>
        </w:rPr>
        <w:t xml:space="preserve"> </w:t>
      </w:r>
      <w:r w:rsidRPr="00365F2F">
        <w:rPr>
          <w:rFonts w:ascii="Cambria" w:hAnsi="Cambria"/>
          <w:spacing w:val="-2"/>
          <w:sz w:val="20"/>
        </w:rPr>
        <w:t>Commissioners.</w:t>
      </w:r>
    </w:p>
    <w:sectPr w:rsidR="00D210EE" w:rsidRPr="00365F2F"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8D88B" w14:textId="77777777" w:rsidR="008819D8" w:rsidRDefault="008819D8" w:rsidP="00036A8A">
      <w:r>
        <w:separator/>
      </w:r>
    </w:p>
  </w:endnote>
  <w:endnote w:type="continuationSeparator" w:id="0">
    <w:p w14:paraId="3FB04DEC" w14:textId="77777777" w:rsidR="008819D8" w:rsidRDefault="008819D8"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B8093" w14:textId="77777777" w:rsidR="003F7590" w:rsidRDefault="003F75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15207E55"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F7590">
          <w:rPr>
            <w:noProof/>
            <w:sz w:val="16"/>
          </w:rPr>
          <w:t>3</w:t>
        </w:r>
        <w:r w:rsidRPr="006311DA">
          <w:rPr>
            <w:noProof/>
            <w:sz w:val="16"/>
          </w:rPr>
          <w:fldChar w:fldCharType="end"/>
        </w:r>
      </w:p>
    </w:sdtContent>
  </w:sdt>
  <w:p w14:paraId="767961CB" w14:textId="77777777" w:rsidR="00F1380F" w:rsidRDefault="00F13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607C4" w:rsidRDefault="007607C4">
    <w:pPr>
      <w:pStyle w:val="Footer"/>
      <w:jc w:val="center"/>
    </w:pPr>
  </w:p>
  <w:p w14:paraId="2699B8C1" w14:textId="77777777" w:rsidR="007607C4" w:rsidRDefault="00760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80560" w14:textId="77777777" w:rsidR="008819D8" w:rsidRPr="00036A8A" w:rsidRDefault="008819D8"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7C14F44" w14:textId="77777777" w:rsidR="008819D8" w:rsidRPr="00036A8A" w:rsidRDefault="008819D8" w:rsidP="00036A8A">
      <w:pPr>
        <w:rPr>
          <w:rFonts w:asciiTheme="majorHAnsi" w:hAnsiTheme="majorHAnsi"/>
          <w:sz w:val="16"/>
          <w:szCs w:val="16"/>
        </w:rPr>
      </w:pPr>
      <w:r w:rsidRPr="00036A8A">
        <w:rPr>
          <w:rFonts w:asciiTheme="majorHAnsi" w:hAnsiTheme="majorHAnsi"/>
          <w:sz w:val="16"/>
          <w:szCs w:val="16"/>
        </w:rPr>
        <w:separator/>
      </w:r>
    </w:p>
    <w:p w14:paraId="3E0AA7E3" w14:textId="77777777" w:rsidR="008819D8" w:rsidRPr="00036A8A" w:rsidRDefault="008819D8"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proofErr w:type="gramStart"/>
      <w:r>
        <w:rPr>
          <w:rFonts w:asciiTheme="majorHAnsi" w:hAnsiTheme="majorHAnsi"/>
          <w:sz w:val="16"/>
          <w:szCs w:val="16"/>
        </w:rPr>
        <w:t>c</w:t>
      </w:r>
      <w:r w:rsidRPr="00036A8A">
        <w:rPr>
          <w:rFonts w:asciiTheme="majorHAnsi" w:hAnsiTheme="majorHAnsi"/>
          <w:sz w:val="16"/>
          <w:szCs w:val="16"/>
        </w:rPr>
        <w:t>ontinuation</w:t>
      </w:r>
      <w:proofErr w:type="gramEnd"/>
      <w:r>
        <w:rPr>
          <w:rFonts w:asciiTheme="majorHAnsi" w:hAnsiTheme="majorHAnsi"/>
          <w:sz w:val="16"/>
          <w:szCs w:val="16"/>
        </w:rPr>
        <w:t>]</w:t>
      </w:r>
    </w:p>
  </w:footnote>
  <w:footnote w:type="continuationNotice" w:id="1">
    <w:p w14:paraId="1E6A739C" w14:textId="77777777" w:rsidR="008819D8" w:rsidRPr="0093441A" w:rsidRDefault="008819D8" w:rsidP="005B222D">
      <w:pPr>
        <w:jc w:val="right"/>
        <w:rPr>
          <w:rFonts w:asciiTheme="majorHAnsi" w:hAnsiTheme="majorHAnsi"/>
          <w:sz w:val="16"/>
          <w:szCs w:val="16"/>
          <w:lang w:val="es-ES_tradnl"/>
        </w:rPr>
      </w:pPr>
      <w:r>
        <w:rPr>
          <w:rFonts w:asciiTheme="majorHAnsi" w:hAnsiTheme="majorHAnsi"/>
          <w:sz w:val="16"/>
          <w:szCs w:val="16"/>
        </w:rPr>
        <w:t>[</w:t>
      </w:r>
      <w:proofErr w:type="gramStart"/>
      <w:r w:rsidRPr="0093441A">
        <w:rPr>
          <w:rFonts w:asciiTheme="majorHAnsi" w:hAnsiTheme="majorHAnsi"/>
          <w:sz w:val="16"/>
          <w:szCs w:val="16"/>
        </w:rPr>
        <w:t>contin</w:t>
      </w:r>
      <w:r>
        <w:rPr>
          <w:rFonts w:asciiTheme="majorHAnsi" w:hAnsiTheme="majorHAnsi"/>
          <w:sz w:val="16"/>
          <w:szCs w:val="16"/>
        </w:rPr>
        <w:t>ues</w:t>
      </w:r>
      <w:proofErr w:type="gramEnd"/>
      <w:r>
        <w:rPr>
          <w:rFonts w:asciiTheme="majorHAnsi" w:hAnsiTheme="majorHAnsi"/>
          <w:sz w:val="16"/>
          <w:szCs w:val="16"/>
        </w:rPr>
        <w:t xml:space="preserve"> </w:t>
      </w:r>
      <w:r w:rsidRPr="0093441A">
        <w:rPr>
          <w:rFonts w:asciiTheme="majorHAnsi" w:hAnsiTheme="majorHAnsi"/>
          <w:sz w:val="16"/>
          <w:szCs w:val="16"/>
        </w:rPr>
        <w:t>…</w:t>
      </w:r>
      <w:r>
        <w:rPr>
          <w:rFonts w:asciiTheme="majorHAnsi" w:hAnsiTheme="majorHAnsi"/>
          <w:sz w:val="16"/>
          <w:szCs w:val="16"/>
        </w:rPr>
        <w:t>]</w:t>
      </w:r>
    </w:p>
  </w:footnote>
  <w:footnote w:id="2">
    <w:p w14:paraId="3405B40A" w14:textId="77777777" w:rsidR="00A071AC" w:rsidRPr="00940875" w:rsidRDefault="00A071AC" w:rsidP="008B5693">
      <w:pPr>
        <w:pStyle w:val="FootnoteText"/>
        <w:ind w:firstLine="720"/>
        <w:rPr>
          <w:rFonts w:ascii="Cambria" w:hAnsi="Cambria"/>
          <w:sz w:val="16"/>
          <w:szCs w:val="16"/>
        </w:rPr>
      </w:pPr>
      <w:r w:rsidRPr="00940875">
        <w:rPr>
          <w:rStyle w:val="FootnoteReference"/>
          <w:rFonts w:ascii="Cambria" w:hAnsi="Cambria"/>
          <w:sz w:val="16"/>
          <w:szCs w:val="16"/>
        </w:rPr>
        <w:footnoteRef/>
      </w:r>
      <w:r w:rsidRPr="00940875">
        <w:rPr>
          <w:rFonts w:ascii="Cambria" w:hAnsi="Cambria"/>
          <w:sz w:val="16"/>
          <w:szCs w:val="16"/>
        </w:rPr>
        <w:t xml:space="preserve"> </w:t>
      </w:r>
      <w:r>
        <w:rPr>
          <w:rFonts w:ascii="Cambria" w:hAnsi="Cambria"/>
          <w:sz w:val="16"/>
          <w:szCs w:val="16"/>
        </w:rPr>
        <w:t>The petition is about 3 deceased individuals and the alleged victims’ family members, who are individually identified by name in the annex to the following petition</w:t>
      </w:r>
      <w:r w:rsidRPr="00940875">
        <w:rPr>
          <w:rFonts w:ascii="Cambria" w:hAnsi="Cambria"/>
          <w:sz w:val="16"/>
          <w:szCs w:val="16"/>
        </w:rPr>
        <w:t>.</w:t>
      </w:r>
    </w:p>
  </w:footnote>
  <w:footnote w:id="3">
    <w:p w14:paraId="6262534B" w14:textId="77777777" w:rsidR="00A071AC" w:rsidRPr="00940875" w:rsidRDefault="00A071AC" w:rsidP="008B5693">
      <w:pPr>
        <w:pStyle w:val="FootnoteText"/>
        <w:ind w:firstLine="720"/>
        <w:rPr>
          <w:rFonts w:ascii="Cambria" w:hAnsi="Cambria"/>
          <w:sz w:val="16"/>
          <w:szCs w:val="16"/>
        </w:rPr>
      </w:pPr>
      <w:r w:rsidRPr="00940875">
        <w:rPr>
          <w:rStyle w:val="FootnoteReference"/>
          <w:rFonts w:ascii="Cambria" w:hAnsi="Cambria"/>
          <w:sz w:val="16"/>
          <w:szCs w:val="16"/>
        </w:rPr>
        <w:footnoteRef/>
      </w:r>
      <w:r w:rsidRPr="00940875">
        <w:rPr>
          <w:rFonts w:ascii="Cambria" w:hAnsi="Cambria"/>
          <w:sz w:val="16"/>
          <w:szCs w:val="16"/>
        </w:rPr>
        <w:t xml:space="preserve"> </w:t>
      </w:r>
      <w:r>
        <w:rPr>
          <w:rFonts w:ascii="Cambria" w:hAnsi="Cambria"/>
          <w:sz w:val="16"/>
          <w:szCs w:val="16"/>
        </w:rPr>
        <w:t>Hereinafter “Convention” or “American Convention.”</w:t>
      </w:r>
      <w:r w:rsidRPr="00940875">
        <w:rPr>
          <w:rFonts w:ascii="Cambria" w:hAnsi="Cambria"/>
          <w:sz w:val="16"/>
          <w:szCs w:val="16"/>
        </w:rPr>
        <w:t xml:space="preserve"> </w:t>
      </w:r>
    </w:p>
  </w:footnote>
  <w:footnote w:id="4">
    <w:p w14:paraId="71224A5F" w14:textId="77777777" w:rsidR="00A071AC" w:rsidRPr="00940875" w:rsidRDefault="00A071AC" w:rsidP="008B5693">
      <w:pPr>
        <w:pStyle w:val="FootnoteText"/>
        <w:ind w:firstLine="720"/>
        <w:rPr>
          <w:rFonts w:ascii="Cambria" w:hAnsi="Cambria"/>
          <w:sz w:val="16"/>
          <w:szCs w:val="16"/>
        </w:rPr>
      </w:pPr>
      <w:r w:rsidRPr="00940875">
        <w:rPr>
          <w:rStyle w:val="FootnoteReference"/>
          <w:rFonts w:ascii="Cambria" w:hAnsi="Cambria"/>
          <w:sz w:val="16"/>
          <w:szCs w:val="16"/>
        </w:rPr>
        <w:footnoteRef/>
      </w:r>
      <w:r w:rsidRPr="00940875">
        <w:rPr>
          <w:rFonts w:ascii="Cambria" w:hAnsi="Cambria"/>
          <w:sz w:val="16"/>
          <w:szCs w:val="16"/>
        </w:rPr>
        <w:t xml:space="preserve"> </w:t>
      </w:r>
      <w:r>
        <w:rPr>
          <w:rFonts w:ascii="Cambria" w:hAnsi="Cambria"/>
          <w:sz w:val="16"/>
          <w:szCs w:val="16"/>
        </w:rPr>
        <w:t xml:space="preserve">Hereinafter “American Declaration” or “Declaration.” The articles of the Declaration were invoked by the petitioner in the initial petition; nonetheless, in subsequent written submissions, he requested that only the rights invoked relating to the American Convention be taken into account. </w:t>
      </w:r>
    </w:p>
  </w:footnote>
  <w:footnote w:id="5">
    <w:p w14:paraId="6F51BDAF" w14:textId="5F4755E7" w:rsidR="00653EA6" w:rsidRPr="000B6B7A" w:rsidRDefault="00653EA6"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 xml:space="preserve">The observations </w:t>
      </w:r>
      <w:r w:rsidR="00321AFD">
        <w:rPr>
          <w:rFonts w:ascii="Cambria" w:hAnsi="Cambria"/>
          <w:sz w:val="16"/>
          <w:szCs w:val="16"/>
        </w:rPr>
        <w:t>submitted</w:t>
      </w:r>
      <w:r>
        <w:rPr>
          <w:rFonts w:ascii="Cambria" w:hAnsi="Cambria"/>
          <w:sz w:val="16"/>
          <w:szCs w:val="16"/>
        </w:rPr>
        <w:t xml:space="preserve"> by each party were duly transmitted to the opposing party.</w:t>
      </w:r>
    </w:p>
  </w:footnote>
  <w:footnote w:id="6">
    <w:p w14:paraId="567A52E1" w14:textId="77777777" w:rsidR="008B5693" w:rsidRPr="00940875" w:rsidRDefault="008B5693" w:rsidP="008B5693">
      <w:pPr>
        <w:pStyle w:val="FootnoteText"/>
        <w:rPr>
          <w:rFonts w:ascii="Cambria" w:hAnsi="Cambria"/>
          <w:sz w:val="16"/>
          <w:szCs w:val="16"/>
        </w:rPr>
      </w:pPr>
      <w:r w:rsidRPr="00940875">
        <w:rPr>
          <w:rStyle w:val="FootnoteReference"/>
          <w:rFonts w:ascii="Cambria" w:hAnsi="Cambria"/>
          <w:sz w:val="16"/>
          <w:szCs w:val="16"/>
        </w:rPr>
        <w:footnoteRef/>
      </w:r>
      <w:r w:rsidRPr="00940875">
        <w:rPr>
          <w:rFonts w:ascii="Cambria" w:hAnsi="Cambria"/>
          <w:sz w:val="16"/>
          <w:szCs w:val="16"/>
        </w:rPr>
        <w:t xml:space="preserve"> </w:t>
      </w:r>
      <w:r>
        <w:rPr>
          <w:rFonts w:ascii="Cambria" w:hAnsi="Cambria"/>
          <w:sz w:val="16"/>
          <w:szCs w:val="16"/>
        </w:rPr>
        <w:t xml:space="preserve">An Office of the National Police which is in charge of everything relating to information, Crime and Crime Statistics. </w:t>
      </w:r>
    </w:p>
  </w:footnote>
  <w:footnote w:id="7">
    <w:p w14:paraId="7D503EB1" w14:textId="77777777" w:rsidR="008B5693" w:rsidRPr="006E3165" w:rsidRDefault="008B5693" w:rsidP="008B5693">
      <w:pPr>
        <w:pStyle w:val="FootnoteText"/>
        <w:ind w:firstLine="720"/>
        <w:jc w:val="both"/>
        <w:rPr>
          <w:rFonts w:ascii="Cambria" w:hAnsi="Cambria" w:cstheme="minorHAnsi"/>
          <w:sz w:val="16"/>
          <w:szCs w:val="16"/>
          <w:lang w:val="es-US"/>
        </w:rPr>
      </w:pPr>
      <w:r w:rsidRPr="00940875">
        <w:rPr>
          <w:rStyle w:val="FootnoteReference"/>
          <w:rFonts w:ascii="Cambria" w:hAnsi="Cambria" w:cstheme="minorHAnsi"/>
          <w:sz w:val="16"/>
          <w:szCs w:val="16"/>
        </w:rPr>
        <w:footnoteRef/>
      </w:r>
      <w:r w:rsidRPr="00940875">
        <w:rPr>
          <w:rFonts w:ascii="Cambria" w:hAnsi="Cambria" w:cstheme="minorHAnsi"/>
          <w:sz w:val="16"/>
          <w:szCs w:val="16"/>
        </w:rPr>
        <w:t xml:space="preserve"> </w:t>
      </w:r>
      <w:r>
        <w:rPr>
          <w:rFonts w:asciiTheme="majorHAnsi" w:hAnsiTheme="majorHAnsi" w:cstheme="minorHAnsi"/>
          <w:sz w:val="16"/>
          <w:szCs w:val="16"/>
        </w:rPr>
        <w:t xml:space="preserve">IACHR, Report </w:t>
      </w:r>
      <w:r w:rsidRPr="00940875">
        <w:rPr>
          <w:rFonts w:asciiTheme="majorHAnsi" w:hAnsiTheme="majorHAnsi" w:cstheme="minorHAnsi"/>
          <w:sz w:val="16"/>
          <w:szCs w:val="16"/>
        </w:rPr>
        <w:t xml:space="preserve">No. 159/17, </w:t>
      </w:r>
      <w:r>
        <w:rPr>
          <w:rFonts w:asciiTheme="majorHAnsi" w:hAnsiTheme="majorHAnsi" w:cstheme="minorHAnsi"/>
          <w:sz w:val="16"/>
          <w:szCs w:val="16"/>
        </w:rPr>
        <w:t xml:space="preserve">Petition </w:t>
      </w:r>
      <w:r w:rsidRPr="00940875">
        <w:rPr>
          <w:rFonts w:asciiTheme="majorHAnsi" w:hAnsiTheme="majorHAnsi" w:cstheme="minorHAnsi"/>
          <w:sz w:val="16"/>
          <w:szCs w:val="16"/>
        </w:rPr>
        <w:t>712-08, Admis</w:t>
      </w:r>
      <w:r>
        <w:rPr>
          <w:rFonts w:asciiTheme="majorHAnsi" w:hAnsiTheme="majorHAnsi" w:cstheme="minorHAnsi"/>
          <w:sz w:val="16"/>
          <w:szCs w:val="16"/>
        </w:rPr>
        <w:t>sibility</w:t>
      </w:r>
      <w:r w:rsidRPr="00940875">
        <w:rPr>
          <w:rFonts w:asciiTheme="majorHAnsi" w:hAnsiTheme="majorHAnsi" w:cstheme="minorHAnsi"/>
          <w:sz w:val="16"/>
          <w:szCs w:val="16"/>
        </w:rPr>
        <w:t xml:space="preserve">, </w:t>
      </w:r>
      <w:proofErr w:type="spellStart"/>
      <w:r w:rsidRPr="00940875">
        <w:rPr>
          <w:rFonts w:asciiTheme="majorHAnsi" w:hAnsiTheme="majorHAnsi" w:cstheme="minorHAnsi"/>
          <w:sz w:val="16"/>
          <w:szCs w:val="16"/>
        </w:rPr>
        <w:t>Sebastián</w:t>
      </w:r>
      <w:proofErr w:type="spellEnd"/>
      <w:r w:rsidRPr="00940875">
        <w:rPr>
          <w:rFonts w:asciiTheme="majorHAnsi" w:hAnsiTheme="majorHAnsi" w:cstheme="minorHAnsi"/>
          <w:sz w:val="16"/>
          <w:szCs w:val="16"/>
        </w:rPr>
        <w:t xml:space="preserve"> </w:t>
      </w:r>
      <w:proofErr w:type="spellStart"/>
      <w:r w:rsidRPr="00940875">
        <w:rPr>
          <w:rFonts w:asciiTheme="majorHAnsi" w:hAnsiTheme="majorHAnsi" w:cstheme="minorHAnsi"/>
          <w:sz w:val="16"/>
          <w:szCs w:val="16"/>
        </w:rPr>
        <w:t>Larroza</w:t>
      </w:r>
      <w:proofErr w:type="spellEnd"/>
      <w:r w:rsidRPr="00940875">
        <w:rPr>
          <w:rFonts w:asciiTheme="majorHAnsi" w:hAnsiTheme="majorHAnsi" w:cstheme="minorHAnsi"/>
          <w:sz w:val="16"/>
          <w:szCs w:val="16"/>
        </w:rPr>
        <w:t xml:space="preserve"> Velázquez </w:t>
      </w:r>
      <w:r>
        <w:rPr>
          <w:rFonts w:asciiTheme="majorHAnsi" w:hAnsiTheme="majorHAnsi" w:cstheme="minorHAnsi"/>
          <w:sz w:val="16"/>
          <w:szCs w:val="16"/>
        </w:rPr>
        <w:t>and Family</w:t>
      </w:r>
      <w:r w:rsidRPr="00940875">
        <w:rPr>
          <w:rFonts w:asciiTheme="majorHAnsi" w:hAnsiTheme="majorHAnsi" w:cstheme="minorHAnsi"/>
          <w:sz w:val="16"/>
          <w:szCs w:val="16"/>
        </w:rPr>
        <w:t xml:space="preserve">, Paraguay, </w:t>
      </w:r>
      <w:r>
        <w:rPr>
          <w:rFonts w:asciiTheme="majorHAnsi" w:hAnsiTheme="majorHAnsi" w:cstheme="minorHAnsi"/>
          <w:sz w:val="16"/>
          <w:szCs w:val="16"/>
        </w:rPr>
        <w:t xml:space="preserve">November </w:t>
      </w:r>
      <w:r w:rsidRPr="00940875">
        <w:rPr>
          <w:rFonts w:asciiTheme="majorHAnsi" w:hAnsiTheme="majorHAnsi" w:cstheme="minorHAnsi"/>
          <w:sz w:val="16"/>
          <w:szCs w:val="16"/>
        </w:rPr>
        <w:t>30</w:t>
      </w:r>
      <w:r>
        <w:rPr>
          <w:rFonts w:asciiTheme="majorHAnsi" w:hAnsiTheme="majorHAnsi" w:cstheme="minorHAnsi"/>
          <w:sz w:val="16"/>
          <w:szCs w:val="16"/>
        </w:rPr>
        <w:t>,</w:t>
      </w:r>
      <w:r w:rsidRPr="00940875">
        <w:rPr>
          <w:rFonts w:asciiTheme="majorHAnsi" w:hAnsiTheme="majorHAnsi" w:cstheme="minorHAnsi"/>
          <w:sz w:val="16"/>
          <w:szCs w:val="16"/>
        </w:rPr>
        <w:t xml:space="preserve"> 2017, p</w:t>
      </w:r>
      <w:r>
        <w:rPr>
          <w:rFonts w:asciiTheme="majorHAnsi" w:hAnsiTheme="majorHAnsi" w:cstheme="minorHAnsi"/>
          <w:sz w:val="16"/>
          <w:szCs w:val="16"/>
        </w:rPr>
        <w:t>ara</w:t>
      </w:r>
      <w:r w:rsidRPr="00940875">
        <w:rPr>
          <w:rFonts w:asciiTheme="majorHAnsi" w:hAnsiTheme="majorHAnsi" w:cstheme="minorHAnsi"/>
          <w:sz w:val="16"/>
          <w:szCs w:val="16"/>
        </w:rPr>
        <w:t xml:space="preserve">. 14; </w:t>
      </w:r>
      <w:r>
        <w:rPr>
          <w:rFonts w:asciiTheme="majorHAnsi" w:hAnsiTheme="majorHAnsi" w:cstheme="minorHAnsi"/>
          <w:sz w:val="16"/>
          <w:szCs w:val="16"/>
        </w:rPr>
        <w:t xml:space="preserve">IACHR, Report </w:t>
      </w:r>
      <w:r w:rsidRPr="00940875">
        <w:rPr>
          <w:rFonts w:asciiTheme="majorHAnsi" w:hAnsiTheme="majorHAnsi" w:cstheme="minorHAnsi"/>
          <w:sz w:val="16"/>
          <w:szCs w:val="16"/>
        </w:rPr>
        <w:t>No. 108/19, Peti</w:t>
      </w:r>
      <w:r>
        <w:rPr>
          <w:rFonts w:asciiTheme="majorHAnsi" w:hAnsiTheme="majorHAnsi" w:cstheme="minorHAnsi"/>
          <w:sz w:val="16"/>
          <w:szCs w:val="16"/>
        </w:rPr>
        <w:t>tion</w:t>
      </w:r>
      <w:r w:rsidRPr="00940875">
        <w:rPr>
          <w:rFonts w:asciiTheme="majorHAnsi" w:hAnsiTheme="majorHAnsi" w:cstheme="minorHAnsi"/>
          <w:sz w:val="16"/>
          <w:szCs w:val="16"/>
        </w:rPr>
        <w:t xml:space="preserve"> 81-09, Admis</w:t>
      </w:r>
      <w:r>
        <w:rPr>
          <w:rFonts w:asciiTheme="majorHAnsi" w:hAnsiTheme="majorHAnsi" w:cstheme="minorHAnsi"/>
          <w:sz w:val="16"/>
          <w:szCs w:val="16"/>
        </w:rPr>
        <w:t>sibility</w:t>
      </w:r>
      <w:r w:rsidRPr="00940875">
        <w:rPr>
          <w:rFonts w:asciiTheme="majorHAnsi" w:hAnsiTheme="majorHAnsi" w:cstheme="minorHAnsi"/>
          <w:sz w:val="16"/>
          <w:szCs w:val="16"/>
        </w:rPr>
        <w:t xml:space="preserve">, </w:t>
      </w:r>
      <w:proofErr w:type="spellStart"/>
      <w:r w:rsidRPr="00940875">
        <w:rPr>
          <w:rFonts w:asciiTheme="majorHAnsi" w:hAnsiTheme="majorHAnsi" w:cstheme="minorHAnsi"/>
          <w:sz w:val="16"/>
          <w:szCs w:val="16"/>
        </w:rPr>
        <w:t>Anael</w:t>
      </w:r>
      <w:proofErr w:type="spellEnd"/>
      <w:r w:rsidRPr="00940875">
        <w:rPr>
          <w:rFonts w:asciiTheme="majorHAnsi" w:hAnsiTheme="majorHAnsi" w:cstheme="minorHAnsi"/>
          <w:sz w:val="16"/>
          <w:szCs w:val="16"/>
        </w:rPr>
        <w:t xml:space="preserve"> Fidel </w:t>
      </w:r>
      <w:proofErr w:type="spellStart"/>
      <w:r w:rsidRPr="00940875">
        <w:rPr>
          <w:rFonts w:asciiTheme="majorHAnsi" w:hAnsiTheme="majorHAnsi" w:cstheme="minorHAnsi"/>
          <w:sz w:val="16"/>
          <w:szCs w:val="16"/>
        </w:rPr>
        <w:t>Sanjuanelo</w:t>
      </w:r>
      <w:proofErr w:type="spellEnd"/>
      <w:r w:rsidRPr="00940875">
        <w:rPr>
          <w:rFonts w:asciiTheme="majorHAnsi" w:hAnsiTheme="majorHAnsi" w:cstheme="minorHAnsi"/>
          <w:sz w:val="16"/>
          <w:szCs w:val="16"/>
        </w:rPr>
        <w:t xml:space="preserve"> Polo </w:t>
      </w:r>
      <w:r>
        <w:rPr>
          <w:rFonts w:asciiTheme="majorHAnsi" w:hAnsiTheme="majorHAnsi" w:cstheme="minorHAnsi"/>
          <w:sz w:val="16"/>
          <w:szCs w:val="16"/>
        </w:rPr>
        <w:t>and Family</w:t>
      </w:r>
      <w:r w:rsidRPr="00940875">
        <w:rPr>
          <w:rFonts w:asciiTheme="majorHAnsi" w:hAnsiTheme="majorHAnsi" w:cstheme="minorHAnsi"/>
          <w:sz w:val="16"/>
          <w:szCs w:val="16"/>
        </w:rPr>
        <w:t xml:space="preserve">, Colombia, </w:t>
      </w:r>
      <w:r>
        <w:rPr>
          <w:rFonts w:asciiTheme="majorHAnsi" w:hAnsiTheme="majorHAnsi" w:cstheme="minorHAnsi"/>
          <w:sz w:val="16"/>
          <w:szCs w:val="16"/>
        </w:rPr>
        <w:t xml:space="preserve">July </w:t>
      </w:r>
      <w:r w:rsidRPr="00940875">
        <w:rPr>
          <w:rFonts w:asciiTheme="majorHAnsi" w:hAnsiTheme="majorHAnsi" w:cstheme="minorHAnsi"/>
          <w:sz w:val="16"/>
          <w:szCs w:val="16"/>
        </w:rPr>
        <w:t>28</w:t>
      </w:r>
      <w:r>
        <w:rPr>
          <w:rFonts w:asciiTheme="majorHAnsi" w:hAnsiTheme="majorHAnsi" w:cstheme="minorHAnsi"/>
          <w:sz w:val="16"/>
          <w:szCs w:val="16"/>
        </w:rPr>
        <w:t>,</w:t>
      </w:r>
      <w:r w:rsidRPr="00940875">
        <w:rPr>
          <w:rFonts w:asciiTheme="majorHAnsi" w:hAnsiTheme="majorHAnsi" w:cstheme="minorHAnsi"/>
          <w:sz w:val="16"/>
          <w:szCs w:val="16"/>
        </w:rPr>
        <w:t xml:space="preserve"> 2019, p</w:t>
      </w:r>
      <w:r>
        <w:rPr>
          <w:rFonts w:asciiTheme="majorHAnsi" w:hAnsiTheme="majorHAnsi" w:cstheme="minorHAnsi"/>
          <w:sz w:val="16"/>
          <w:szCs w:val="16"/>
        </w:rPr>
        <w:t>aras</w:t>
      </w:r>
      <w:r w:rsidRPr="00940875">
        <w:rPr>
          <w:rFonts w:asciiTheme="majorHAnsi" w:hAnsiTheme="majorHAnsi" w:cstheme="minorHAnsi"/>
          <w:sz w:val="16"/>
          <w:szCs w:val="16"/>
        </w:rPr>
        <w:t xml:space="preserve">. </w:t>
      </w:r>
      <w:r w:rsidRPr="006E3165">
        <w:rPr>
          <w:rFonts w:asciiTheme="majorHAnsi" w:hAnsiTheme="majorHAnsi" w:cstheme="minorHAnsi"/>
          <w:sz w:val="16"/>
          <w:szCs w:val="16"/>
          <w:lang w:val="es-US"/>
        </w:rPr>
        <w:t xml:space="preserve">17-19. </w:t>
      </w:r>
    </w:p>
  </w:footnote>
  <w:footnote w:id="8">
    <w:p w14:paraId="0A8208FC" w14:textId="77777777" w:rsidR="008B5693" w:rsidRPr="00AC6482" w:rsidRDefault="008B5693" w:rsidP="008B5693">
      <w:pPr>
        <w:pStyle w:val="FootnoteText"/>
        <w:rPr>
          <w:rFonts w:ascii="Cambria" w:hAnsi="Cambria"/>
          <w:sz w:val="16"/>
          <w:szCs w:val="16"/>
        </w:rPr>
      </w:pPr>
      <w:r w:rsidRPr="00940875">
        <w:rPr>
          <w:rStyle w:val="FootnoteReference"/>
          <w:rFonts w:ascii="Cambria" w:hAnsi="Cambria"/>
          <w:sz w:val="16"/>
          <w:szCs w:val="16"/>
        </w:rPr>
        <w:footnoteRef/>
      </w:r>
      <w:r w:rsidRPr="006E3165">
        <w:rPr>
          <w:rFonts w:ascii="Cambria" w:hAnsi="Cambria"/>
          <w:sz w:val="16"/>
          <w:szCs w:val="16"/>
          <w:lang w:val="es-US"/>
        </w:rPr>
        <w:t xml:space="preserve"> IACHR, </w:t>
      </w:r>
      <w:proofErr w:type="spellStart"/>
      <w:r w:rsidRPr="006E3165">
        <w:rPr>
          <w:rFonts w:ascii="Cambria" w:hAnsi="Cambria"/>
          <w:sz w:val="16"/>
          <w:szCs w:val="16"/>
          <w:lang w:val="es-US"/>
        </w:rPr>
        <w:t>Report</w:t>
      </w:r>
      <w:proofErr w:type="spellEnd"/>
      <w:r w:rsidRPr="006E3165">
        <w:rPr>
          <w:rFonts w:ascii="Cambria" w:hAnsi="Cambria"/>
          <w:sz w:val="16"/>
          <w:szCs w:val="16"/>
          <w:lang w:val="es-US"/>
        </w:rPr>
        <w:t xml:space="preserve"> No. 113/17, </w:t>
      </w:r>
      <w:proofErr w:type="spellStart"/>
      <w:r w:rsidRPr="006E3165">
        <w:rPr>
          <w:rFonts w:ascii="Cambria" w:hAnsi="Cambria"/>
          <w:sz w:val="16"/>
          <w:szCs w:val="16"/>
          <w:lang w:val="es-US"/>
        </w:rPr>
        <w:t>Petition</w:t>
      </w:r>
      <w:proofErr w:type="spellEnd"/>
      <w:r w:rsidRPr="006E3165">
        <w:rPr>
          <w:rFonts w:ascii="Cambria" w:hAnsi="Cambria"/>
          <w:sz w:val="16"/>
          <w:szCs w:val="16"/>
          <w:lang w:val="es-US"/>
        </w:rPr>
        <w:t xml:space="preserve"> 1141-07, </w:t>
      </w:r>
      <w:proofErr w:type="spellStart"/>
      <w:r w:rsidRPr="006E3165">
        <w:rPr>
          <w:rFonts w:ascii="Cambria" w:hAnsi="Cambria"/>
          <w:sz w:val="16"/>
          <w:szCs w:val="16"/>
          <w:lang w:val="es-US"/>
        </w:rPr>
        <w:t>Admissibility</w:t>
      </w:r>
      <w:proofErr w:type="spellEnd"/>
      <w:r w:rsidRPr="006E3165">
        <w:rPr>
          <w:rFonts w:ascii="Cambria" w:hAnsi="Cambria"/>
          <w:sz w:val="16"/>
          <w:szCs w:val="16"/>
          <w:lang w:val="es-US"/>
        </w:rPr>
        <w:t xml:space="preserve">. Alfredo Manuel Martínez Meza et al. Colombia. </w:t>
      </w:r>
      <w:r w:rsidRPr="00AC6482">
        <w:rPr>
          <w:rFonts w:ascii="Cambria" w:hAnsi="Cambria"/>
          <w:sz w:val="16"/>
          <w:szCs w:val="16"/>
        </w:rPr>
        <w:t xml:space="preserve">September 7, 2017, para. 24. </w:t>
      </w:r>
    </w:p>
  </w:footnote>
  <w:footnote w:id="9">
    <w:p w14:paraId="399F689D" w14:textId="77777777" w:rsidR="008B5693" w:rsidRPr="00940875" w:rsidRDefault="008B5693" w:rsidP="008B5693">
      <w:pPr>
        <w:pStyle w:val="FootnoteText"/>
        <w:ind w:firstLine="720"/>
        <w:jc w:val="both"/>
        <w:rPr>
          <w:rFonts w:ascii="Cambria" w:hAnsi="Cambria"/>
          <w:sz w:val="16"/>
          <w:szCs w:val="16"/>
        </w:rPr>
      </w:pPr>
      <w:r w:rsidRPr="00940875">
        <w:rPr>
          <w:rStyle w:val="FootnoteReference"/>
          <w:rFonts w:ascii="Cambria" w:hAnsi="Cambria"/>
          <w:sz w:val="16"/>
          <w:szCs w:val="16"/>
        </w:rPr>
        <w:footnoteRef/>
      </w:r>
      <w:r w:rsidRPr="00AC6482">
        <w:rPr>
          <w:rFonts w:ascii="Cambria" w:hAnsi="Cambria"/>
          <w:sz w:val="16"/>
          <w:szCs w:val="16"/>
        </w:rPr>
        <w:t xml:space="preserve"> IACHR, Report No. 72/16. Petition 694-06. Admissibility. Onofre Antonio de La Hoz Montero and Family, Colombia, December 6, 2016, para. </w:t>
      </w:r>
      <w:r w:rsidRPr="00940875">
        <w:rPr>
          <w:rFonts w:ascii="Cambria" w:hAnsi="Cambria"/>
          <w:sz w:val="16"/>
          <w:szCs w:val="16"/>
        </w:rPr>
        <w:t xml:space="preserve">32.  </w:t>
      </w:r>
    </w:p>
  </w:footnote>
  <w:footnote w:id="10">
    <w:p w14:paraId="337D2A4D" w14:textId="77777777" w:rsidR="008B5693" w:rsidRPr="00940875" w:rsidRDefault="008B5693" w:rsidP="008B5693">
      <w:pPr>
        <w:pStyle w:val="FootnoteText"/>
        <w:ind w:firstLine="720"/>
        <w:jc w:val="both"/>
        <w:rPr>
          <w:rFonts w:ascii="Cambria" w:hAnsi="Cambria"/>
          <w:sz w:val="16"/>
          <w:szCs w:val="16"/>
        </w:rPr>
      </w:pPr>
      <w:r w:rsidRPr="00940875">
        <w:rPr>
          <w:rStyle w:val="FootnoteReference"/>
          <w:rFonts w:ascii="Cambria" w:hAnsi="Cambria"/>
          <w:sz w:val="16"/>
          <w:szCs w:val="16"/>
        </w:rPr>
        <w:footnoteRef/>
      </w:r>
      <w:r w:rsidRPr="00940875">
        <w:rPr>
          <w:rFonts w:ascii="Cambria" w:hAnsi="Cambria"/>
          <w:sz w:val="16"/>
          <w:szCs w:val="16"/>
        </w:rPr>
        <w:t xml:space="preserve"> </w:t>
      </w:r>
      <w:r>
        <w:rPr>
          <w:rFonts w:ascii="Cambria" w:hAnsi="Cambria"/>
          <w:sz w:val="16"/>
          <w:szCs w:val="16"/>
        </w:rPr>
        <w:t xml:space="preserve">IACHR, Truth, Justice and Reparation: Fourth Report on the situation of Human Rights in Colombia, December 31, 2013, </w:t>
      </w:r>
      <w:r w:rsidRPr="00940875">
        <w:rPr>
          <w:rFonts w:ascii="Cambria" w:hAnsi="Cambria"/>
          <w:sz w:val="16"/>
          <w:szCs w:val="16"/>
        </w:rPr>
        <w:t>p</w:t>
      </w:r>
      <w:r>
        <w:rPr>
          <w:rFonts w:ascii="Cambria" w:hAnsi="Cambria"/>
          <w:sz w:val="16"/>
          <w:szCs w:val="16"/>
        </w:rPr>
        <w:t>ara</w:t>
      </w:r>
      <w:r w:rsidRPr="00940875">
        <w:rPr>
          <w:rFonts w:ascii="Cambria" w:hAnsi="Cambria"/>
          <w:sz w:val="16"/>
          <w:szCs w:val="16"/>
        </w:rPr>
        <w:t>. 467.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040C3A" w:rsidRPr="00EC7D62" w:rsidRDefault="008819D8"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7F8CE" w14:textId="77777777" w:rsidR="003F7590" w:rsidRDefault="003F75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4252436"/>
    <w:multiLevelType w:val="hybridMultilevel"/>
    <w:tmpl w:val="896087DE"/>
    <w:lvl w:ilvl="0" w:tplc="C34E3F2E">
      <w:start w:val="1"/>
      <w:numFmt w:val="decimal"/>
      <w:lvlText w:val="%1."/>
      <w:lvlJc w:val="left"/>
      <w:pPr>
        <w:ind w:left="189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3"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9"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8"/>
  </w:num>
  <w:num w:numId="8">
    <w:abstractNumId w:val="22"/>
  </w:num>
  <w:num w:numId="9">
    <w:abstractNumId w:val="50"/>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6"/>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3"/>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3"/>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1"/>
  </w:num>
  <w:num w:numId="86">
    <w:abstractNumId w:val="53"/>
  </w:num>
  <w:num w:numId="87">
    <w:abstractNumId w:val="55"/>
  </w:num>
  <w:num w:numId="88">
    <w:abstractNumId w:val="57"/>
  </w:num>
  <w:num w:numId="89">
    <w:abstractNumId w:val="59"/>
  </w:num>
  <w:num w:numId="90">
    <w:abstractNumId w:val="60"/>
  </w:num>
  <w:num w:numId="91">
    <w:abstractNumId w:val="61"/>
  </w:num>
  <w:num w:numId="92">
    <w:abstractNumId w:val="62"/>
  </w:num>
  <w:num w:numId="93">
    <w:abstractNumId w:val="63"/>
  </w:num>
  <w:num w:numId="94">
    <w:abstractNumId w:val="21"/>
  </w:num>
  <w:num w:numId="95">
    <w:abstractNumId w:val="42"/>
  </w:num>
  <w:num w:numId="96">
    <w:abstractNumId w:val="54"/>
  </w:num>
  <w:num w:numId="97">
    <w:abstractNumId w:val="52"/>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 w:numId="106">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70D7"/>
    <w:rsid w:val="000111A8"/>
    <w:rsid w:val="0001788C"/>
    <w:rsid w:val="00022CF5"/>
    <w:rsid w:val="00036A8A"/>
    <w:rsid w:val="00040C3A"/>
    <w:rsid w:val="00057594"/>
    <w:rsid w:val="000639C0"/>
    <w:rsid w:val="00070F3A"/>
    <w:rsid w:val="000716C5"/>
    <w:rsid w:val="00075E23"/>
    <w:rsid w:val="00092F32"/>
    <w:rsid w:val="0009344A"/>
    <w:rsid w:val="000A575F"/>
    <w:rsid w:val="000C4365"/>
    <w:rsid w:val="000D10DB"/>
    <w:rsid w:val="000E12B4"/>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351C"/>
    <w:rsid w:val="00237C68"/>
    <w:rsid w:val="00247403"/>
    <w:rsid w:val="00247542"/>
    <w:rsid w:val="00257893"/>
    <w:rsid w:val="00266092"/>
    <w:rsid w:val="00266B61"/>
    <w:rsid w:val="0026712A"/>
    <w:rsid w:val="002704DB"/>
    <w:rsid w:val="00271DF9"/>
    <w:rsid w:val="002760CE"/>
    <w:rsid w:val="002B7A85"/>
    <w:rsid w:val="002C1641"/>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62A93"/>
    <w:rsid w:val="003771A3"/>
    <w:rsid w:val="00386CF0"/>
    <w:rsid w:val="003960F8"/>
    <w:rsid w:val="003A4348"/>
    <w:rsid w:val="003C32BC"/>
    <w:rsid w:val="003E3E03"/>
    <w:rsid w:val="003F1BBF"/>
    <w:rsid w:val="003F7590"/>
    <w:rsid w:val="004162B1"/>
    <w:rsid w:val="004165C2"/>
    <w:rsid w:val="00450A4A"/>
    <w:rsid w:val="004666FB"/>
    <w:rsid w:val="00466D0B"/>
    <w:rsid w:val="00467B7E"/>
    <w:rsid w:val="0049419D"/>
    <w:rsid w:val="004B2762"/>
    <w:rsid w:val="004B7EB6"/>
    <w:rsid w:val="004C41DE"/>
    <w:rsid w:val="004C4B62"/>
    <w:rsid w:val="004D6025"/>
    <w:rsid w:val="004D72BC"/>
    <w:rsid w:val="004F6B67"/>
    <w:rsid w:val="00501399"/>
    <w:rsid w:val="00507BC4"/>
    <w:rsid w:val="005128E4"/>
    <w:rsid w:val="00525560"/>
    <w:rsid w:val="005357A6"/>
    <w:rsid w:val="005406C2"/>
    <w:rsid w:val="00544C49"/>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05DE2"/>
    <w:rsid w:val="00613027"/>
    <w:rsid w:val="00627C9F"/>
    <w:rsid w:val="006311DA"/>
    <w:rsid w:val="006311E9"/>
    <w:rsid w:val="006318B2"/>
    <w:rsid w:val="00632354"/>
    <w:rsid w:val="00642810"/>
    <w:rsid w:val="00652333"/>
    <w:rsid w:val="00653EA6"/>
    <w:rsid w:val="006614CA"/>
    <w:rsid w:val="00671C66"/>
    <w:rsid w:val="0068009E"/>
    <w:rsid w:val="006A17D2"/>
    <w:rsid w:val="006A73E6"/>
    <w:rsid w:val="006B2D5C"/>
    <w:rsid w:val="006C4EB1"/>
    <w:rsid w:val="006D4707"/>
    <w:rsid w:val="006E0166"/>
    <w:rsid w:val="006E7B34"/>
    <w:rsid w:val="00701B24"/>
    <w:rsid w:val="0071462D"/>
    <w:rsid w:val="0071495F"/>
    <w:rsid w:val="0073798E"/>
    <w:rsid w:val="00745899"/>
    <w:rsid w:val="007607C4"/>
    <w:rsid w:val="0076643F"/>
    <w:rsid w:val="00781653"/>
    <w:rsid w:val="007A2F70"/>
    <w:rsid w:val="007C3334"/>
    <w:rsid w:val="007C52BB"/>
    <w:rsid w:val="007D2B98"/>
    <w:rsid w:val="007F196E"/>
    <w:rsid w:val="00803F1C"/>
    <w:rsid w:val="0080600E"/>
    <w:rsid w:val="00817612"/>
    <w:rsid w:val="00837C45"/>
    <w:rsid w:val="00846709"/>
    <w:rsid w:val="00851A76"/>
    <w:rsid w:val="00853419"/>
    <w:rsid w:val="008819D8"/>
    <w:rsid w:val="00897E12"/>
    <w:rsid w:val="008B5693"/>
    <w:rsid w:val="008D3A83"/>
    <w:rsid w:val="008D43BA"/>
    <w:rsid w:val="008E3759"/>
    <w:rsid w:val="009041DC"/>
    <w:rsid w:val="009104B4"/>
    <w:rsid w:val="009228DA"/>
    <w:rsid w:val="00925FCD"/>
    <w:rsid w:val="0093441A"/>
    <w:rsid w:val="00954BF7"/>
    <w:rsid w:val="0096706E"/>
    <w:rsid w:val="00981FBA"/>
    <w:rsid w:val="009B381B"/>
    <w:rsid w:val="009D7611"/>
    <w:rsid w:val="009E53DE"/>
    <w:rsid w:val="009E566A"/>
    <w:rsid w:val="009F27E1"/>
    <w:rsid w:val="00A071AC"/>
    <w:rsid w:val="00A12DBC"/>
    <w:rsid w:val="00A43458"/>
    <w:rsid w:val="00A528D1"/>
    <w:rsid w:val="00A66BE5"/>
    <w:rsid w:val="00AC6482"/>
    <w:rsid w:val="00AD37C1"/>
    <w:rsid w:val="00AE66EC"/>
    <w:rsid w:val="00AE6F91"/>
    <w:rsid w:val="00AF5571"/>
    <w:rsid w:val="00B06BB7"/>
    <w:rsid w:val="00B167E9"/>
    <w:rsid w:val="00B179ED"/>
    <w:rsid w:val="00B314DB"/>
    <w:rsid w:val="00B31EBE"/>
    <w:rsid w:val="00B3718B"/>
    <w:rsid w:val="00B44B23"/>
    <w:rsid w:val="00B4632A"/>
    <w:rsid w:val="00B92E49"/>
    <w:rsid w:val="00BA276C"/>
    <w:rsid w:val="00BB306F"/>
    <w:rsid w:val="00BD232B"/>
    <w:rsid w:val="00BD2E42"/>
    <w:rsid w:val="00BD4B89"/>
    <w:rsid w:val="00C21762"/>
    <w:rsid w:val="00C24543"/>
    <w:rsid w:val="00C256A2"/>
    <w:rsid w:val="00C3492D"/>
    <w:rsid w:val="00C55560"/>
    <w:rsid w:val="00C66B72"/>
    <w:rsid w:val="00C9567A"/>
    <w:rsid w:val="00CA6577"/>
    <w:rsid w:val="00CB2660"/>
    <w:rsid w:val="00CC5E90"/>
    <w:rsid w:val="00CD046C"/>
    <w:rsid w:val="00CE5199"/>
    <w:rsid w:val="00CE66D5"/>
    <w:rsid w:val="00D210EE"/>
    <w:rsid w:val="00D34786"/>
    <w:rsid w:val="00D40A1E"/>
    <w:rsid w:val="00D533C0"/>
    <w:rsid w:val="00D712D3"/>
    <w:rsid w:val="00D71422"/>
    <w:rsid w:val="00D7145E"/>
    <w:rsid w:val="00D75084"/>
    <w:rsid w:val="00D7558D"/>
    <w:rsid w:val="00D81D92"/>
    <w:rsid w:val="00D93446"/>
    <w:rsid w:val="00DA7B5F"/>
    <w:rsid w:val="00DF078B"/>
    <w:rsid w:val="00DF350D"/>
    <w:rsid w:val="00E227C1"/>
    <w:rsid w:val="00E43157"/>
    <w:rsid w:val="00E47F3D"/>
    <w:rsid w:val="00E533FF"/>
    <w:rsid w:val="00E709B3"/>
    <w:rsid w:val="00E744DA"/>
    <w:rsid w:val="00E7588C"/>
    <w:rsid w:val="00E850B6"/>
    <w:rsid w:val="00E8789F"/>
    <w:rsid w:val="00E97B71"/>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00C6A1CC3F4C21ACB112D17A318513"/>
        <w:category>
          <w:name w:val="General"/>
          <w:gallery w:val="placeholder"/>
        </w:category>
        <w:types>
          <w:type w:val="bbPlcHdr"/>
        </w:types>
        <w:behaviors>
          <w:behavior w:val="content"/>
        </w:behaviors>
        <w:guid w:val="{9F0BA047-C7B6-4E46-99DF-ACF5D8319173}"/>
      </w:docPartPr>
      <w:docPartBody>
        <w:p w:rsidR="0011344A" w:rsidRDefault="0058045A" w:rsidP="0058045A">
          <w:pPr>
            <w:pStyle w:val="5000C6A1CC3F4C21ACB112D17A318513"/>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0015A2"/>
    <w:rsid w:val="0004716F"/>
    <w:rsid w:val="000B46AA"/>
    <w:rsid w:val="0011344A"/>
    <w:rsid w:val="001E4FA4"/>
    <w:rsid w:val="00305044"/>
    <w:rsid w:val="003F3852"/>
    <w:rsid w:val="004108B1"/>
    <w:rsid w:val="0058045A"/>
    <w:rsid w:val="00741881"/>
    <w:rsid w:val="00AB44F1"/>
    <w:rsid w:val="00D22657"/>
    <w:rsid w:val="00E715BD"/>
    <w:rsid w:val="00EA0868"/>
    <w:rsid w:val="00F0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45A"/>
    <w:rPr>
      <w:color w:val="808080"/>
    </w:rPr>
  </w:style>
  <w:style w:type="paragraph" w:customStyle="1" w:styleId="4DBB5F3FC358F64B9E5EFB773263C7D2">
    <w:name w:val="4DBB5F3FC358F64B9E5EFB773263C7D2"/>
    <w:rsid w:val="00AB44F1"/>
  </w:style>
  <w:style w:type="paragraph" w:customStyle="1" w:styleId="C293691634C14E78A8033C48DCDE1AC8">
    <w:name w:val="C293691634C14E78A8033C48DCDE1AC8"/>
    <w:rsid w:val="0004716F"/>
    <w:pPr>
      <w:spacing w:after="160" w:line="259" w:lineRule="auto"/>
    </w:pPr>
    <w:rPr>
      <w:sz w:val="22"/>
      <w:szCs w:val="22"/>
    </w:rPr>
  </w:style>
  <w:style w:type="paragraph" w:customStyle="1" w:styleId="6B1417E05A8D473E96B8D341B08924A9">
    <w:name w:val="6B1417E05A8D473E96B8D341B08924A9"/>
    <w:rsid w:val="0004716F"/>
    <w:pPr>
      <w:spacing w:after="160" w:line="259" w:lineRule="auto"/>
    </w:pPr>
    <w:rPr>
      <w:sz w:val="22"/>
      <w:szCs w:val="22"/>
    </w:rPr>
  </w:style>
  <w:style w:type="paragraph" w:customStyle="1" w:styleId="5000C6A1CC3F4C21ACB112D17A318513">
    <w:name w:val="5000C6A1CC3F4C21ACB112D17A318513"/>
    <w:rsid w:val="0058045A"/>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767CB-309F-4674-A2DD-F87174300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3298</Words>
  <Characters>17781</Characters>
  <Application>Microsoft Office Word</Application>
  <DocSecurity>0</DocSecurity>
  <Lines>335</Lines>
  <Paragraphs>93</Paragraphs>
  <ScaleCrop>false</ScaleCrop>
  <Company/>
  <LinksUpToDate>false</LinksUpToDate>
  <CharactersWithSpaces>20986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42/20</dc:title>
  <dc:creator/>
  <cp:lastModifiedBy/>
  <cp:revision>1</cp:revision>
  <dcterms:created xsi:type="dcterms:W3CDTF">2020-06-04T18:56:00Z</dcterms:created>
  <dcterms:modified xsi:type="dcterms:W3CDTF">2020-06-04T18:56:00Z</dcterms:modified>
</cp:coreProperties>
</file>