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601C487" w:rsidR="00040C3A" w:rsidRPr="00006B74" w:rsidRDefault="006844C9" w:rsidP="00627C9F">
      <w:pPr>
        <w:jc w:val="both"/>
        <w:rPr>
          <w:rFonts w:asciiTheme="majorHAnsi" w:hAnsiTheme="majorHAnsi" w:cs="Univers"/>
          <w:b/>
          <w:bCs/>
          <w:sz w:val="22"/>
          <w:szCs w:val="22"/>
          <w:lang w:val="es-ES"/>
        </w:rPr>
      </w:pPr>
      <w:r w:rsidRPr="003C32BC">
        <w:rPr>
          <w:rFonts w:asciiTheme="majorHAnsi" w:hAnsiTheme="majorHAnsi"/>
          <w:noProof/>
          <w:sz w:val="22"/>
          <w:szCs w:val="22"/>
        </w:rPr>
        <mc:AlternateContent>
          <mc:Choice Requires="wps">
            <w:drawing>
              <wp:anchor distT="0" distB="0" distL="114300" distR="114300" simplePos="0" relativeHeight="251684864" behindDoc="1" locked="0" layoutInCell="1" allowOverlap="1" wp14:anchorId="08DD0D5A" wp14:editId="5112B67C">
                <wp:simplePos x="0" y="0"/>
                <wp:positionH relativeFrom="column">
                  <wp:posOffset>-357505</wp:posOffset>
                </wp:positionH>
                <wp:positionV relativeFrom="paragraph">
                  <wp:posOffset>-420158</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AD80273" id="Rectangle 1" o:spid="_x0000_s1026" style="position:absolute;margin-left:-28.15pt;margin-top:-33.1pt;width:111pt;height:70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" fillcolor="#67ae3c"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3F6F8E7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825B8B8" w:rsidR="0028246E" w:rsidRDefault="0028246E" w:rsidP="00AE5488">
                            <w:r>
                              <w:rPr>
                                <w:noProof/>
                              </w:rPr>
                              <w:drawing>
                                <wp:inline distT="0" distB="0" distL="0" distR="0" wp14:anchorId="1A2C3866" wp14:editId="2D7C5475">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3825B8B8" w:rsidR="0028246E" w:rsidRDefault="0028246E" w:rsidP="00AE5488">
                      <w:r>
                        <w:rPr>
                          <w:noProof/>
                        </w:rPr>
                        <w:drawing>
                          <wp:inline distT="0" distB="0" distL="0" distR="0" wp14:anchorId="1A2C3866" wp14:editId="2D7C5475">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47386BAF" w14:textId="41BA2DD4"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420F87EB"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555E0E72"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577A322E" w:rsidR="00040C3A" w:rsidRPr="00006B74" w:rsidRDefault="00040C3A" w:rsidP="005128E4">
      <w:pPr>
        <w:tabs>
          <w:tab w:val="center" w:pos="5400"/>
        </w:tabs>
        <w:suppressAutoHyphens/>
        <w:jc w:val="center"/>
        <w:rPr>
          <w:rFonts w:asciiTheme="majorHAnsi" w:hAnsiTheme="majorHAnsi"/>
          <w:sz w:val="22"/>
          <w:szCs w:val="22"/>
          <w:lang w:val="es-ES"/>
        </w:rPr>
      </w:pPr>
      <w:bookmarkStart w:id="0" w:name="_GoBack"/>
      <w:bookmarkEnd w:id="0"/>
    </w:p>
    <w:p w14:paraId="6DCF5F8F" w14:textId="50C378E5"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11C7962" w:rsidR="0028246E" w:rsidRPr="00456B42" w:rsidRDefault="0028246E" w:rsidP="00997BC5">
                            <w:pPr>
                              <w:spacing w:line="276" w:lineRule="auto"/>
                              <w:rPr>
                                <w:rFonts w:asciiTheme="majorHAnsi" w:hAnsiTheme="majorHAnsi" w:cs="Arial"/>
                                <w:b/>
                                <w:bCs/>
                                <w:color w:val="0D0D0D" w:themeColor="text1" w:themeTint="F2"/>
                                <w:sz w:val="36"/>
                                <w:szCs w:val="22"/>
                              </w:rPr>
                            </w:pPr>
                            <w:r w:rsidRPr="00456B42">
                              <w:rPr>
                                <w:rFonts w:asciiTheme="majorHAnsi" w:hAnsiTheme="majorHAnsi" w:cs="Arial"/>
                                <w:b/>
                                <w:bCs/>
                                <w:color w:val="0D0D0D" w:themeColor="text1" w:themeTint="F2"/>
                                <w:sz w:val="36"/>
                                <w:szCs w:val="22"/>
                              </w:rPr>
                              <w:t xml:space="preserve">REPORT </w:t>
                            </w:r>
                            <w:r w:rsidRPr="00456B42">
                              <w:rPr>
                                <w:rFonts w:asciiTheme="majorHAnsi" w:hAnsiTheme="majorHAnsi" w:cs="Arial"/>
                                <w:b/>
                                <w:bCs/>
                                <w:color w:val="0D0D0D" w:themeColor="text1" w:themeTint="F2"/>
                                <w:sz w:val="36"/>
                                <w:szCs w:val="40"/>
                              </w:rPr>
                              <w:t>No.</w:t>
                            </w:r>
                            <w:r w:rsidRPr="00456B42">
                              <w:rPr>
                                <w:rFonts w:asciiTheme="majorHAnsi" w:hAnsiTheme="majorHAnsi" w:cs="Arial"/>
                                <w:b/>
                                <w:bCs/>
                                <w:color w:val="0D0D0D" w:themeColor="text1" w:themeTint="F2"/>
                                <w:sz w:val="36"/>
                                <w:szCs w:val="22"/>
                              </w:rPr>
                              <w:t xml:space="preserve"> </w:t>
                            </w:r>
                            <w:r w:rsidR="001B43B3">
                              <w:rPr>
                                <w:rFonts w:asciiTheme="majorHAnsi" w:hAnsiTheme="majorHAnsi" w:cs="Arial"/>
                                <w:b/>
                                <w:bCs/>
                                <w:color w:val="0D0D0D" w:themeColor="text1" w:themeTint="F2"/>
                                <w:sz w:val="36"/>
                                <w:szCs w:val="22"/>
                              </w:rPr>
                              <w:t>55</w:t>
                            </w:r>
                            <w:r w:rsidRPr="00456B42">
                              <w:rPr>
                                <w:rFonts w:asciiTheme="majorHAnsi" w:hAnsiTheme="majorHAnsi" w:cs="Arial"/>
                                <w:b/>
                                <w:bCs/>
                                <w:color w:val="0D0D0D" w:themeColor="text1" w:themeTint="F2"/>
                                <w:sz w:val="36"/>
                                <w:szCs w:val="22"/>
                              </w:rPr>
                              <w:t>/20</w:t>
                            </w:r>
                          </w:p>
                          <w:p w14:paraId="09C54AB3" w14:textId="6C0304CD" w:rsidR="0028246E" w:rsidRPr="006844C9" w:rsidRDefault="0028246E" w:rsidP="00997BC5">
                            <w:pPr>
                              <w:spacing w:line="276" w:lineRule="auto"/>
                              <w:rPr>
                                <w:rFonts w:asciiTheme="majorHAnsi" w:hAnsiTheme="majorHAnsi" w:cs="Arial"/>
                                <w:b/>
                                <w:color w:val="0D0D0D" w:themeColor="text1" w:themeTint="F2"/>
                                <w:sz w:val="36"/>
                                <w:szCs w:val="22"/>
                              </w:rPr>
                            </w:pPr>
                            <w:r w:rsidRPr="006844C9">
                              <w:rPr>
                                <w:rFonts w:asciiTheme="majorHAnsi" w:hAnsiTheme="majorHAnsi" w:cs="Arial"/>
                                <w:b/>
                                <w:color w:val="0D0D0D" w:themeColor="text1" w:themeTint="F2"/>
                                <w:sz w:val="36"/>
                                <w:szCs w:val="22"/>
                              </w:rPr>
                              <w:t xml:space="preserve">PETITION 314-11 </w:t>
                            </w:r>
                          </w:p>
                          <w:p w14:paraId="70CF6833" w14:textId="3C4150D8" w:rsidR="0028246E" w:rsidRPr="006844C9" w:rsidRDefault="0028246E" w:rsidP="00997BC5">
                            <w:pPr>
                              <w:spacing w:line="276" w:lineRule="auto"/>
                              <w:rPr>
                                <w:rFonts w:asciiTheme="majorHAnsi" w:hAnsiTheme="majorHAnsi" w:cs="Arial"/>
                                <w:color w:val="0D0D0D" w:themeColor="text1" w:themeTint="F2"/>
                                <w:szCs w:val="22"/>
                              </w:rPr>
                            </w:pPr>
                            <w:r w:rsidRPr="006844C9">
                              <w:rPr>
                                <w:rFonts w:asciiTheme="majorHAnsi" w:hAnsiTheme="majorHAnsi" w:cs="Arial"/>
                                <w:color w:val="0D0D0D" w:themeColor="text1" w:themeTint="F2"/>
                                <w:szCs w:val="22"/>
                              </w:rPr>
                              <w:t xml:space="preserve">REPORT ON ADMISSIBILITY </w:t>
                            </w:r>
                          </w:p>
                          <w:p w14:paraId="5FDD6F0D" w14:textId="77777777" w:rsidR="0028246E" w:rsidRPr="006844C9" w:rsidRDefault="0028246E" w:rsidP="00997BC5">
                            <w:pPr>
                              <w:spacing w:line="276" w:lineRule="auto"/>
                              <w:rPr>
                                <w:rFonts w:asciiTheme="majorHAnsi" w:hAnsiTheme="majorHAnsi" w:cs="Arial"/>
                                <w:color w:val="0D0D0D" w:themeColor="text1" w:themeTint="F2"/>
                                <w:szCs w:val="22"/>
                              </w:rPr>
                            </w:pPr>
                            <w:bookmarkStart w:id="1" w:name="_ftnref1"/>
                          </w:p>
                          <w:p w14:paraId="66C68089" w14:textId="79D493BD" w:rsidR="0028246E" w:rsidRPr="006844C9" w:rsidRDefault="0028246E" w:rsidP="00527953">
                            <w:pPr>
                              <w:spacing w:line="276" w:lineRule="auto"/>
                              <w:rPr>
                                <w:rFonts w:asciiTheme="majorHAnsi" w:hAnsiTheme="majorHAnsi" w:cs="Arial"/>
                                <w:color w:val="0D0D0D" w:themeColor="text1" w:themeTint="F2"/>
                                <w:szCs w:val="22"/>
                              </w:rPr>
                            </w:pPr>
                            <w:r w:rsidRPr="006844C9">
                              <w:rPr>
                                <w:rFonts w:asciiTheme="majorHAnsi" w:hAnsiTheme="majorHAnsi" w:cs="Arial"/>
                                <w:color w:val="0D0D0D" w:themeColor="text1" w:themeTint="F2"/>
                                <w:szCs w:val="22"/>
                              </w:rPr>
                              <w:t xml:space="preserve">NATIONAL </w:t>
                            </w:r>
                            <w:r>
                              <w:rPr>
                                <w:rFonts w:asciiTheme="majorHAnsi" w:hAnsiTheme="majorHAnsi" w:cs="Arial"/>
                                <w:color w:val="0D0D0D" w:themeColor="text1" w:themeTint="F2"/>
                                <w:szCs w:val="22"/>
                              </w:rPr>
                              <w:t>ALCOHOLIC B</w:t>
                            </w:r>
                            <w:r w:rsidR="00CA4574">
                              <w:rPr>
                                <w:rFonts w:asciiTheme="majorHAnsi" w:hAnsiTheme="majorHAnsi" w:cs="Arial"/>
                                <w:color w:val="0D0D0D" w:themeColor="text1" w:themeTint="F2"/>
                                <w:szCs w:val="22"/>
                              </w:rPr>
                              <w:t>EVERAGES INDUSTRY WORKERS UNION</w:t>
                            </w:r>
                            <w:r>
                              <w:rPr>
                                <w:rFonts w:asciiTheme="majorHAnsi" w:hAnsiTheme="majorHAnsi" w:cs="Arial"/>
                                <w:color w:val="0D0D0D" w:themeColor="text1" w:themeTint="F2"/>
                                <w:szCs w:val="22"/>
                              </w:rPr>
                              <w:t xml:space="preserve"> </w:t>
                            </w:r>
                            <w:r w:rsidR="00CA4574">
                              <w:rPr>
                                <w:rFonts w:asciiTheme="majorHAnsi" w:hAnsiTheme="majorHAnsi" w:cs="Arial"/>
                                <w:color w:val="0D0D0D" w:themeColor="text1" w:themeTint="F2"/>
                                <w:szCs w:val="22"/>
                              </w:rPr>
                              <w:t>(SINTRABECOLICAS)</w:t>
                            </w:r>
                            <w:r>
                              <w:rPr>
                                <w:rFonts w:asciiTheme="majorHAnsi" w:hAnsiTheme="majorHAnsi" w:cs="Arial"/>
                                <w:color w:val="0D0D0D" w:themeColor="text1" w:themeTint="F2"/>
                                <w:szCs w:val="22"/>
                              </w:rPr>
                              <w:t xml:space="preserve"> HUILA </w:t>
                            </w:r>
                            <w:r w:rsidR="00A43898">
                              <w:rPr>
                                <w:rFonts w:asciiTheme="majorHAnsi" w:hAnsiTheme="majorHAnsi" w:cs="Arial"/>
                                <w:color w:val="0D0D0D" w:themeColor="text1" w:themeTint="F2"/>
                                <w:szCs w:val="22"/>
                              </w:rPr>
                              <w:t>DIVISION</w:t>
                            </w:r>
                          </w:p>
                          <w:bookmarkEnd w:id="1"/>
                          <w:p w14:paraId="35068D0D" w14:textId="5B55D157" w:rsidR="0028246E" w:rsidRPr="0010736F" w:rsidRDefault="0028246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28246E" w:rsidRPr="00AE5488" w:rsidRDefault="0028246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11C7962" w:rsidR="0028246E" w:rsidRPr="00456B42" w:rsidRDefault="0028246E" w:rsidP="00997BC5">
                      <w:pPr>
                        <w:spacing w:line="276" w:lineRule="auto"/>
                        <w:rPr>
                          <w:rFonts w:asciiTheme="majorHAnsi" w:hAnsiTheme="majorHAnsi" w:cs="Arial"/>
                          <w:b/>
                          <w:bCs/>
                          <w:color w:val="0D0D0D" w:themeColor="text1" w:themeTint="F2"/>
                          <w:sz w:val="36"/>
                          <w:szCs w:val="22"/>
                        </w:rPr>
                      </w:pPr>
                      <w:r w:rsidRPr="00456B42">
                        <w:rPr>
                          <w:rFonts w:asciiTheme="majorHAnsi" w:hAnsiTheme="majorHAnsi" w:cs="Arial"/>
                          <w:b/>
                          <w:bCs/>
                          <w:color w:val="0D0D0D" w:themeColor="text1" w:themeTint="F2"/>
                          <w:sz w:val="36"/>
                          <w:szCs w:val="22"/>
                        </w:rPr>
                        <w:t xml:space="preserve">REPORT </w:t>
                      </w:r>
                      <w:r w:rsidRPr="00456B42">
                        <w:rPr>
                          <w:rFonts w:asciiTheme="majorHAnsi" w:hAnsiTheme="majorHAnsi" w:cs="Arial"/>
                          <w:b/>
                          <w:bCs/>
                          <w:color w:val="0D0D0D" w:themeColor="text1" w:themeTint="F2"/>
                          <w:sz w:val="36"/>
                          <w:szCs w:val="40"/>
                        </w:rPr>
                        <w:t>No.</w:t>
                      </w:r>
                      <w:r w:rsidRPr="00456B42">
                        <w:rPr>
                          <w:rFonts w:asciiTheme="majorHAnsi" w:hAnsiTheme="majorHAnsi" w:cs="Arial"/>
                          <w:b/>
                          <w:bCs/>
                          <w:color w:val="0D0D0D" w:themeColor="text1" w:themeTint="F2"/>
                          <w:sz w:val="36"/>
                          <w:szCs w:val="22"/>
                        </w:rPr>
                        <w:t xml:space="preserve"> </w:t>
                      </w:r>
                      <w:r w:rsidR="001B43B3">
                        <w:rPr>
                          <w:rFonts w:asciiTheme="majorHAnsi" w:hAnsiTheme="majorHAnsi" w:cs="Arial"/>
                          <w:b/>
                          <w:bCs/>
                          <w:color w:val="0D0D0D" w:themeColor="text1" w:themeTint="F2"/>
                          <w:sz w:val="36"/>
                          <w:szCs w:val="22"/>
                        </w:rPr>
                        <w:t>55</w:t>
                      </w:r>
                      <w:r w:rsidRPr="00456B42">
                        <w:rPr>
                          <w:rFonts w:asciiTheme="majorHAnsi" w:hAnsiTheme="majorHAnsi" w:cs="Arial"/>
                          <w:b/>
                          <w:bCs/>
                          <w:color w:val="0D0D0D" w:themeColor="text1" w:themeTint="F2"/>
                          <w:sz w:val="36"/>
                          <w:szCs w:val="22"/>
                        </w:rPr>
                        <w:t>/20</w:t>
                      </w:r>
                    </w:p>
                    <w:p w14:paraId="09C54AB3" w14:textId="6C0304CD" w:rsidR="0028246E" w:rsidRPr="006844C9" w:rsidRDefault="0028246E" w:rsidP="00997BC5">
                      <w:pPr>
                        <w:spacing w:line="276" w:lineRule="auto"/>
                        <w:rPr>
                          <w:rFonts w:asciiTheme="majorHAnsi" w:hAnsiTheme="majorHAnsi" w:cs="Arial"/>
                          <w:b/>
                          <w:color w:val="0D0D0D" w:themeColor="text1" w:themeTint="F2"/>
                          <w:sz w:val="36"/>
                          <w:szCs w:val="22"/>
                        </w:rPr>
                      </w:pPr>
                      <w:r w:rsidRPr="006844C9">
                        <w:rPr>
                          <w:rFonts w:asciiTheme="majorHAnsi" w:hAnsiTheme="majorHAnsi" w:cs="Arial"/>
                          <w:b/>
                          <w:color w:val="0D0D0D" w:themeColor="text1" w:themeTint="F2"/>
                          <w:sz w:val="36"/>
                          <w:szCs w:val="22"/>
                        </w:rPr>
                        <w:t xml:space="preserve">PETITION 314-11 </w:t>
                      </w:r>
                    </w:p>
                    <w:p w14:paraId="70CF6833" w14:textId="3C4150D8" w:rsidR="0028246E" w:rsidRPr="006844C9" w:rsidRDefault="0028246E" w:rsidP="00997BC5">
                      <w:pPr>
                        <w:spacing w:line="276" w:lineRule="auto"/>
                        <w:rPr>
                          <w:rFonts w:asciiTheme="majorHAnsi" w:hAnsiTheme="majorHAnsi" w:cs="Arial"/>
                          <w:color w:val="0D0D0D" w:themeColor="text1" w:themeTint="F2"/>
                          <w:szCs w:val="22"/>
                        </w:rPr>
                      </w:pPr>
                      <w:r w:rsidRPr="006844C9">
                        <w:rPr>
                          <w:rFonts w:asciiTheme="majorHAnsi" w:hAnsiTheme="majorHAnsi" w:cs="Arial"/>
                          <w:color w:val="0D0D0D" w:themeColor="text1" w:themeTint="F2"/>
                          <w:szCs w:val="22"/>
                        </w:rPr>
                        <w:t xml:space="preserve">REPORT ON ADMISSIBILITY </w:t>
                      </w:r>
                    </w:p>
                    <w:p w14:paraId="5FDD6F0D" w14:textId="77777777" w:rsidR="0028246E" w:rsidRPr="006844C9" w:rsidRDefault="0028246E" w:rsidP="00997BC5">
                      <w:pPr>
                        <w:spacing w:line="276" w:lineRule="auto"/>
                        <w:rPr>
                          <w:rFonts w:asciiTheme="majorHAnsi" w:hAnsiTheme="majorHAnsi" w:cs="Arial"/>
                          <w:color w:val="0D0D0D" w:themeColor="text1" w:themeTint="F2"/>
                          <w:szCs w:val="22"/>
                        </w:rPr>
                      </w:pPr>
                      <w:bookmarkStart w:id="2" w:name="_ftnref1"/>
                    </w:p>
                    <w:p w14:paraId="66C68089" w14:textId="79D493BD" w:rsidR="0028246E" w:rsidRPr="006844C9" w:rsidRDefault="0028246E" w:rsidP="00527953">
                      <w:pPr>
                        <w:spacing w:line="276" w:lineRule="auto"/>
                        <w:rPr>
                          <w:rFonts w:asciiTheme="majorHAnsi" w:hAnsiTheme="majorHAnsi" w:cs="Arial"/>
                          <w:color w:val="0D0D0D" w:themeColor="text1" w:themeTint="F2"/>
                          <w:szCs w:val="22"/>
                        </w:rPr>
                      </w:pPr>
                      <w:r w:rsidRPr="006844C9">
                        <w:rPr>
                          <w:rFonts w:asciiTheme="majorHAnsi" w:hAnsiTheme="majorHAnsi" w:cs="Arial"/>
                          <w:color w:val="0D0D0D" w:themeColor="text1" w:themeTint="F2"/>
                          <w:szCs w:val="22"/>
                        </w:rPr>
                        <w:t xml:space="preserve">NATIONAL </w:t>
                      </w:r>
                      <w:r>
                        <w:rPr>
                          <w:rFonts w:asciiTheme="majorHAnsi" w:hAnsiTheme="majorHAnsi" w:cs="Arial"/>
                          <w:color w:val="0D0D0D" w:themeColor="text1" w:themeTint="F2"/>
                          <w:szCs w:val="22"/>
                        </w:rPr>
                        <w:t>ALCOHOLIC B</w:t>
                      </w:r>
                      <w:r w:rsidR="00CA4574">
                        <w:rPr>
                          <w:rFonts w:asciiTheme="majorHAnsi" w:hAnsiTheme="majorHAnsi" w:cs="Arial"/>
                          <w:color w:val="0D0D0D" w:themeColor="text1" w:themeTint="F2"/>
                          <w:szCs w:val="22"/>
                        </w:rPr>
                        <w:t>EVERAGES INDUSTRY WORKERS UNION</w:t>
                      </w:r>
                      <w:r>
                        <w:rPr>
                          <w:rFonts w:asciiTheme="majorHAnsi" w:hAnsiTheme="majorHAnsi" w:cs="Arial"/>
                          <w:color w:val="0D0D0D" w:themeColor="text1" w:themeTint="F2"/>
                          <w:szCs w:val="22"/>
                        </w:rPr>
                        <w:t xml:space="preserve"> </w:t>
                      </w:r>
                      <w:r w:rsidR="00CA4574">
                        <w:rPr>
                          <w:rFonts w:asciiTheme="majorHAnsi" w:hAnsiTheme="majorHAnsi" w:cs="Arial"/>
                          <w:color w:val="0D0D0D" w:themeColor="text1" w:themeTint="F2"/>
                          <w:szCs w:val="22"/>
                        </w:rPr>
                        <w:t>(SINTRABECOLICAS)</w:t>
                      </w:r>
                      <w:r>
                        <w:rPr>
                          <w:rFonts w:asciiTheme="majorHAnsi" w:hAnsiTheme="majorHAnsi" w:cs="Arial"/>
                          <w:color w:val="0D0D0D" w:themeColor="text1" w:themeTint="F2"/>
                          <w:szCs w:val="22"/>
                        </w:rPr>
                        <w:t xml:space="preserve"> HUILA </w:t>
                      </w:r>
                      <w:r w:rsidR="00A43898">
                        <w:rPr>
                          <w:rFonts w:asciiTheme="majorHAnsi" w:hAnsiTheme="majorHAnsi" w:cs="Arial"/>
                          <w:color w:val="0D0D0D" w:themeColor="text1" w:themeTint="F2"/>
                          <w:szCs w:val="22"/>
                        </w:rPr>
                        <w:t>DIVISION</w:t>
                      </w:r>
                    </w:p>
                    <w:bookmarkEnd w:id="2"/>
                    <w:p w14:paraId="35068D0D" w14:textId="5B55D157" w:rsidR="0028246E" w:rsidRPr="0010736F" w:rsidRDefault="0028246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28246E" w:rsidRPr="00AE5488" w:rsidRDefault="0028246E"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9382C69" w:rsidR="0028246E" w:rsidRPr="00935F06" w:rsidRDefault="0028246E"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DFA1F42" w:rsidR="0028246E" w:rsidRPr="00935F06" w:rsidRDefault="001B43B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sidR="009845C3">
                              <w:rPr>
                                <w:rFonts w:asciiTheme="minorHAnsi" w:hAnsiTheme="minorHAnsi"/>
                                <w:color w:val="FFFFFF" w:themeColor="background1"/>
                                <w:sz w:val="22"/>
                                <w:lang w:val="pt-BR"/>
                              </w:rPr>
                              <w:t>65</w:t>
                            </w:r>
                          </w:p>
                          <w:p w14:paraId="69373ED2" w14:textId="24E0560C" w:rsidR="0028246E" w:rsidRPr="00482E1D" w:rsidRDefault="001B43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26 </w:t>
                            </w:r>
                            <w:proofErr w:type="spellStart"/>
                            <w:r>
                              <w:rPr>
                                <w:rFonts w:asciiTheme="minorHAnsi" w:hAnsiTheme="minorHAnsi"/>
                                <w:color w:val="FFFFFF" w:themeColor="background1"/>
                                <w:sz w:val="22"/>
                                <w:lang w:val="es-PA"/>
                              </w:rPr>
                              <w:t>February</w:t>
                            </w:r>
                            <w:proofErr w:type="spellEnd"/>
                            <w:r w:rsidR="0028246E" w:rsidRPr="00482E1D">
                              <w:rPr>
                                <w:rFonts w:asciiTheme="minorHAnsi" w:hAnsiTheme="minorHAnsi"/>
                                <w:color w:val="FFFFFF" w:themeColor="background1"/>
                                <w:sz w:val="22"/>
                                <w:lang w:val="es-PA"/>
                              </w:rPr>
                              <w:t xml:space="preserve"> 20</w:t>
                            </w:r>
                            <w:r w:rsidR="00D1744B">
                              <w:rPr>
                                <w:rFonts w:asciiTheme="minorHAnsi" w:hAnsiTheme="minorHAnsi"/>
                                <w:color w:val="FFFFFF" w:themeColor="background1"/>
                                <w:sz w:val="22"/>
                                <w:lang w:val="es-PA"/>
                              </w:rPr>
                              <w:t>20</w:t>
                            </w:r>
                          </w:p>
                          <w:p w14:paraId="0771DB5B" w14:textId="77777777" w:rsidR="0028246E" w:rsidRPr="00482E1D" w:rsidRDefault="0028246E" w:rsidP="007A5817">
                            <w:pPr>
                              <w:spacing w:line="276" w:lineRule="auto"/>
                              <w:jc w:val="right"/>
                              <w:rPr>
                                <w:rFonts w:asciiTheme="minorHAnsi" w:hAnsiTheme="minorHAnsi"/>
                                <w:color w:val="FFFFFF" w:themeColor="background1"/>
                                <w:sz w:val="22"/>
                                <w:lang w:val="es-PA"/>
                              </w:rPr>
                            </w:pPr>
                            <w:r w:rsidRPr="00482E1D">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9382C69" w:rsidR="0028246E" w:rsidRPr="00935F06" w:rsidRDefault="0028246E"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DFA1F42" w:rsidR="0028246E" w:rsidRPr="00935F06" w:rsidRDefault="001B43B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sidR="009845C3">
                        <w:rPr>
                          <w:rFonts w:asciiTheme="minorHAnsi" w:hAnsiTheme="minorHAnsi"/>
                          <w:color w:val="FFFFFF" w:themeColor="background1"/>
                          <w:sz w:val="22"/>
                          <w:lang w:val="pt-BR"/>
                        </w:rPr>
                        <w:t>65</w:t>
                      </w:r>
                    </w:p>
                    <w:p w14:paraId="69373ED2" w14:textId="24E0560C" w:rsidR="0028246E" w:rsidRPr="00482E1D" w:rsidRDefault="001B43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26 </w:t>
                      </w:r>
                      <w:proofErr w:type="spellStart"/>
                      <w:r>
                        <w:rPr>
                          <w:rFonts w:asciiTheme="minorHAnsi" w:hAnsiTheme="minorHAnsi"/>
                          <w:color w:val="FFFFFF" w:themeColor="background1"/>
                          <w:sz w:val="22"/>
                          <w:lang w:val="es-PA"/>
                        </w:rPr>
                        <w:t>February</w:t>
                      </w:r>
                      <w:proofErr w:type="spellEnd"/>
                      <w:r w:rsidR="0028246E" w:rsidRPr="00482E1D">
                        <w:rPr>
                          <w:rFonts w:asciiTheme="minorHAnsi" w:hAnsiTheme="minorHAnsi"/>
                          <w:color w:val="FFFFFF" w:themeColor="background1"/>
                          <w:sz w:val="22"/>
                          <w:lang w:val="es-PA"/>
                        </w:rPr>
                        <w:t xml:space="preserve"> 20</w:t>
                      </w:r>
                      <w:r w:rsidR="00D1744B">
                        <w:rPr>
                          <w:rFonts w:asciiTheme="minorHAnsi" w:hAnsiTheme="minorHAnsi"/>
                          <w:color w:val="FFFFFF" w:themeColor="background1"/>
                          <w:sz w:val="22"/>
                          <w:lang w:val="es-PA"/>
                        </w:rPr>
                        <w:t>20</w:t>
                      </w:r>
                    </w:p>
                    <w:p w14:paraId="0771DB5B" w14:textId="77777777" w:rsidR="0028246E" w:rsidRPr="00482E1D" w:rsidRDefault="0028246E" w:rsidP="007A5817">
                      <w:pPr>
                        <w:spacing w:line="276" w:lineRule="auto"/>
                        <w:jc w:val="right"/>
                        <w:rPr>
                          <w:rFonts w:asciiTheme="minorHAnsi" w:hAnsiTheme="minorHAnsi"/>
                          <w:color w:val="FFFFFF" w:themeColor="background1"/>
                          <w:sz w:val="22"/>
                          <w:lang w:val="es-PA"/>
                        </w:rPr>
                      </w:pPr>
                      <w:r w:rsidRPr="00482E1D">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4F8DE7CA" w:rsidR="0028246E" w:rsidRPr="006844C9" w:rsidRDefault="0028246E" w:rsidP="001B43B3">
                            <w:pPr>
                              <w:tabs>
                                <w:tab w:val="center" w:pos="5400"/>
                              </w:tabs>
                              <w:suppressAutoHyphens/>
                              <w:spacing w:before="60"/>
                              <w:rPr>
                                <w:rFonts w:asciiTheme="minorHAnsi" w:hAnsiTheme="minorHAnsi" w:cs="Univers"/>
                                <w:color w:val="0D0D0D" w:themeColor="text1" w:themeTint="F2"/>
                                <w:sz w:val="20"/>
                                <w:szCs w:val="20"/>
                              </w:rPr>
                            </w:pPr>
                            <w:proofErr w:type="gramStart"/>
                            <w:r w:rsidRPr="003C32BC">
                              <w:rPr>
                                <w:rFonts w:asciiTheme="majorHAnsi" w:hAnsiTheme="majorHAnsi"/>
                                <w:color w:val="0D0D0D" w:themeColor="text1" w:themeTint="F2"/>
                                <w:sz w:val="18"/>
                                <w:szCs w:val="20"/>
                              </w:rPr>
                              <w:t xml:space="preserve">Approved </w:t>
                            </w:r>
                            <w:r w:rsidR="001B43B3">
                              <w:rPr>
                                <w:rFonts w:asciiTheme="majorHAnsi" w:hAnsiTheme="majorHAnsi"/>
                                <w:color w:val="0D0D0D" w:themeColor="text1" w:themeTint="F2"/>
                                <w:sz w:val="18"/>
                                <w:szCs w:val="20"/>
                              </w:rPr>
                              <w:t xml:space="preserve"> electronically</w:t>
                            </w:r>
                            <w:proofErr w:type="gramEnd"/>
                            <w:r w:rsidR="001B43B3">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1B43B3">
                              <w:rPr>
                                <w:rFonts w:asciiTheme="majorHAnsi" w:hAnsiTheme="majorHAnsi"/>
                                <w:color w:val="0D0D0D" w:themeColor="text1" w:themeTint="F2"/>
                                <w:sz w:val="18"/>
                                <w:szCs w:val="20"/>
                              </w:rPr>
                              <w:t>on February 26, 2020</w:t>
                            </w:r>
                            <w:r w:rsidR="009845C3">
                              <w:rPr>
                                <w:rFonts w:asciiTheme="majorHAnsi" w:hAnsiTheme="majorHAnsi"/>
                                <w:color w:val="0D0D0D" w:themeColor="text1" w:themeTint="F2"/>
                                <w:sz w:val="18"/>
                                <w:szCs w:val="20"/>
                              </w:rPr>
                              <w:t>.</w:t>
                            </w:r>
                          </w:p>
                          <w:p w14:paraId="4D148488" w14:textId="77777777" w:rsidR="0028246E" w:rsidRPr="006844C9" w:rsidRDefault="0028246E"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BDF3581" w14:textId="4F8DE7CA" w:rsidR="0028246E" w:rsidRPr="006844C9" w:rsidRDefault="0028246E" w:rsidP="001B43B3">
                      <w:pPr>
                        <w:tabs>
                          <w:tab w:val="center" w:pos="5400"/>
                        </w:tabs>
                        <w:suppressAutoHyphens/>
                        <w:spacing w:before="60"/>
                        <w:rPr>
                          <w:rFonts w:asciiTheme="minorHAnsi" w:hAnsiTheme="minorHAnsi" w:cs="Univers"/>
                          <w:color w:val="0D0D0D" w:themeColor="text1" w:themeTint="F2"/>
                          <w:sz w:val="20"/>
                          <w:szCs w:val="20"/>
                        </w:rPr>
                      </w:pPr>
                      <w:proofErr w:type="gramStart"/>
                      <w:r w:rsidRPr="003C32BC">
                        <w:rPr>
                          <w:rFonts w:asciiTheme="majorHAnsi" w:hAnsiTheme="majorHAnsi"/>
                          <w:color w:val="0D0D0D" w:themeColor="text1" w:themeTint="F2"/>
                          <w:sz w:val="18"/>
                          <w:szCs w:val="20"/>
                        </w:rPr>
                        <w:t xml:space="preserve">Approved </w:t>
                      </w:r>
                      <w:r w:rsidR="001B43B3">
                        <w:rPr>
                          <w:rFonts w:asciiTheme="majorHAnsi" w:hAnsiTheme="majorHAnsi"/>
                          <w:color w:val="0D0D0D" w:themeColor="text1" w:themeTint="F2"/>
                          <w:sz w:val="18"/>
                          <w:szCs w:val="20"/>
                        </w:rPr>
                        <w:t xml:space="preserve"> electronically</w:t>
                      </w:r>
                      <w:proofErr w:type="gramEnd"/>
                      <w:r w:rsidR="001B43B3">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1B43B3">
                        <w:rPr>
                          <w:rFonts w:asciiTheme="majorHAnsi" w:hAnsiTheme="majorHAnsi"/>
                          <w:color w:val="0D0D0D" w:themeColor="text1" w:themeTint="F2"/>
                          <w:sz w:val="18"/>
                          <w:szCs w:val="20"/>
                        </w:rPr>
                        <w:t>on February 26, 2020</w:t>
                      </w:r>
                      <w:r w:rsidR="009845C3">
                        <w:rPr>
                          <w:rFonts w:asciiTheme="majorHAnsi" w:hAnsiTheme="majorHAnsi"/>
                          <w:color w:val="0D0D0D" w:themeColor="text1" w:themeTint="F2"/>
                          <w:sz w:val="18"/>
                          <w:szCs w:val="20"/>
                        </w:rPr>
                        <w:t>.</w:t>
                      </w:r>
                    </w:p>
                    <w:p w14:paraId="4D148488" w14:textId="77777777" w:rsidR="0028246E" w:rsidRPr="006844C9" w:rsidRDefault="0028246E"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6276D5C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70B9A8E" w:rsidR="0028246E" w:rsidRPr="006844C9" w:rsidRDefault="0028246E" w:rsidP="00113F73">
                            <w:pPr>
                              <w:spacing w:line="276" w:lineRule="auto"/>
                              <w:rPr>
                                <w:rFonts w:asciiTheme="majorHAnsi" w:hAnsiTheme="majorHAnsi"/>
                                <w:color w:val="595959" w:themeColor="text1" w:themeTint="A6"/>
                                <w:sz w:val="18"/>
                                <w:szCs w:val="18"/>
                              </w:rPr>
                            </w:pPr>
                            <w:r w:rsidRPr="006844C9">
                              <w:rPr>
                                <w:rFonts w:asciiTheme="majorHAnsi" w:hAnsiTheme="majorHAnsi"/>
                                <w:b/>
                                <w:color w:val="595959" w:themeColor="text1" w:themeTint="A6"/>
                                <w:sz w:val="18"/>
                                <w:szCs w:val="18"/>
                              </w:rPr>
                              <w:t>Cite as:</w:t>
                            </w:r>
                            <w:r w:rsidRPr="006844C9">
                              <w:rPr>
                                <w:rFonts w:asciiTheme="majorHAnsi" w:hAnsiTheme="majorHAnsi"/>
                                <w:color w:val="595959" w:themeColor="text1" w:themeTint="A6"/>
                                <w:sz w:val="18"/>
                                <w:szCs w:val="18"/>
                              </w:rPr>
                              <w:t xml:space="preserve"> IACHR, Report No. </w:t>
                            </w:r>
                            <w:r w:rsidR="001B43B3">
                              <w:rPr>
                                <w:rFonts w:asciiTheme="majorHAnsi" w:hAnsiTheme="majorHAnsi"/>
                                <w:color w:val="595959" w:themeColor="text1" w:themeTint="A6"/>
                                <w:sz w:val="18"/>
                                <w:szCs w:val="18"/>
                              </w:rPr>
                              <w:t>55</w:t>
                            </w:r>
                            <w:r w:rsidRPr="006844C9">
                              <w:rPr>
                                <w:rFonts w:asciiTheme="majorHAnsi" w:hAnsiTheme="majorHAnsi"/>
                                <w:color w:val="595959" w:themeColor="text1" w:themeTint="A6"/>
                                <w:sz w:val="18"/>
                                <w:szCs w:val="18"/>
                              </w:rPr>
                              <w:t xml:space="preserve">/20. Admissibility. National Alcoholic </w:t>
                            </w:r>
                            <w:r>
                              <w:rPr>
                                <w:rFonts w:asciiTheme="majorHAnsi" w:hAnsiTheme="majorHAnsi"/>
                                <w:color w:val="595959" w:themeColor="text1" w:themeTint="A6"/>
                                <w:sz w:val="18"/>
                                <w:szCs w:val="18"/>
                              </w:rPr>
                              <w:t>Beverages</w:t>
                            </w:r>
                            <w:r w:rsidRPr="006844C9">
                              <w:rPr>
                                <w:rFonts w:asciiTheme="majorHAnsi" w:hAnsiTheme="majorHAnsi"/>
                                <w:color w:val="595959" w:themeColor="text1" w:themeTint="A6"/>
                                <w:sz w:val="18"/>
                                <w:szCs w:val="18"/>
                              </w:rPr>
                              <w:t xml:space="preserve"> Industry Workers Union, SINTRABECOLICAS, Huila </w:t>
                            </w:r>
                            <w:r>
                              <w:rPr>
                                <w:rFonts w:asciiTheme="majorHAnsi" w:hAnsiTheme="majorHAnsi"/>
                                <w:color w:val="595959" w:themeColor="text1" w:themeTint="A6"/>
                                <w:sz w:val="18"/>
                                <w:szCs w:val="18"/>
                              </w:rPr>
                              <w:t>Local</w:t>
                            </w:r>
                            <w:r w:rsidRPr="006844C9">
                              <w:rPr>
                                <w:rFonts w:asciiTheme="majorHAnsi" w:hAnsiTheme="majorHAnsi"/>
                                <w:color w:val="595959" w:themeColor="text1" w:themeTint="A6"/>
                                <w:sz w:val="18"/>
                                <w:szCs w:val="18"/>
                              </w:rPr>
                              <w:t xml:space="preserve">. Colombia. </w:t>
                            </w:r>
                            <w:r w:rsidR="001B43B3">
                              <w:rPr>
                                <w:rFonts w:asciiTheme="majorHAnsi" w:hAnsiTheme="majorHAnsi"/>
                                <w:color w:val="595959" w:themeColor="text1" w:themeTint="A6"/>
                                <w:sz w:val="18"/>
                                <w:szCs w:val="18"/>
                              </w:rPr>
                              <w:t>February 26, 2020</w:t>
                            </w:r>
                            <w:r w:rsidRPr="006844C9">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70B9A8E" w:rsidR="0028246E" w:rsidRPr="006844C9" w:rsidRDefault="0028246E" w:rsidP="00113F73">
                      <w:pPr>
                        <w:spacing w:line="276" w:lineRule="auto"/>
                        <w:rPr>
                          <w:rFonts w:asciiTheme="majorHAnsi" w:hAnsiTheme="majorHAnsi"/>
                          <w:color w:val="595959" w:themeColor="text1" w:themeTint="A6"/>
                          <w:sz w:val="18"/>
                          <w:szCs w:val="18"/>
                        </w:rPr>
                      </w:pPr>
                      <w:r w:rsidRPr="006844C9">
                        <w:rPr>
                          <w:rFonts w:asciiTheme="majorHAnsi" w:hAnsiTheme="majorHAnsi"/>
                          <w:b/>
                          <w:color w:val="595959" w:themeColor="text1" w:themeTint="A6"/>
                          <w:sz w:val="18"/>
                          <w:szCs w:val="18"/>
                        </w:rPr>
                        <w:t xml:space="preserve">Cite </w:t>
                      </w:r>
                      <w:proofErr w:type="gramStart"/>
                      <w:r w:rsidRPr="006844C9">
                        <w:rPr>
                          <w:rFonts w:asciiTheme="majorHAnsi" w:hAnsiTheme="majorHAnsi"/>
                          <w:b/>
                          <w:color w:val="595959" w:themeColor="text1" w:themeTint="A6"/>
                          <w:sz w:val="18"/>
                          <w:szCs w:val="18"/>
                        </w:rPr>
                        <w:t>as:</w:t>
                      </w:r>
                      <w:proofErr w:type="gramEnd"/>
                      <w:r w:rsidRPr="006844C9">
                        <w:rPr>
                          <w:rFonts w:asciiTheme="majorHAnsi" w:hAnsiTheme="majorHAnsi"/>
                          <w:color w:val="595959" w:themeColor="text1" w:themeTint="A6"/>
                          <w:sz w:val="18"/>
                          <w:szCs w:val="18"/>
                        </w:rPr>
                        <w:t xml:space="preserve"> IACHR, Report No. </w:t>
                      </w:r>
                      <w:r w:rsidR="001B43B3">
                        <w:rPr>
                          <w:rFonts w:asciiTheme="majorHAnsi" w:hAnsiTheme="majorHAnsi"/>
                          <w:color w:val="595959" w:themeColor="text1" w:themeTint="A6"/>
                          <w:sz w:val="18"/>
                          <w:szCs w:val="18"/>
                        </w:rPr>
                        <w:t>55</w:t>
                      </w:r>
                      <w:r w:rsidRPr="006844C9">
                        <w:rPr>
                          <w:rFonts w:asciiTheme="majorHAnsi" w:hAnsiTheme="majorHAnsi"/>
                          <w:color w:val="595959" w:themeColor="text1" w:themeTint="A6"/>
                          <w:sz w:val="18"/>
                          <w:szCs w:val="18"/>
                        </w:rPr>
                        <w:t xml:space="preserve">/20. Admissibility. National Alcoholic </w:t>
                      </w:r>
                      <w:r>
                        <w:rPr>
                          <w:rFonts w:asciiTheme="majorHAnsi" w:hAnsiTheme="majorHAnsi"/>
                          <w:color w:val="595959" w:themeColor="text1" w:themeTint="A6"/>
                          <w:sz w:val="18"/>
                          <w:szCs w:val="18"/>
                        </w:rPr>
                        <w:t>Beverages</w:t>
                      </w:r>
                      <w:r w:rsidRPr="006844C9">
                        <w:rPr>
                          <w:rFonts w:asciiTheme="majorHAnsi" w:hAnsiTheme="majorHAnsi"/>
                          <w:color w:val="595959" w:themeColor="text1" w:themeTint="A6"/>
                          <w:sz w:val="18"/>
                          <w:szCs w:val="18"/>
                        </w:rPr>
                        <w:t xml:space="preserve"> Industry Workers Union, SINTRABECOLICAS, Huila </w:t>
                      </w:r>
                      <w:r>
                        <w:rPr>
                          <w:rFonts w:asciiTheme="majorHAnsi" w:hAnsiTheme="majorHAnsi"/>
                          <w:color w:val="595959" w:themeColor="text1" w:themeTint="A6"/>
                          <w:sz w:val="18"/>
                          <w:szCs w:val="18"/>
                        </w:rPr>
                        <w:t>Local</w:t>
                      </w:r>
                      <w:r w:rsidRPr="006844C9">
                        <w:rPr>
                          <w:rFonts w:asciiTheme="majorHAnsi" w:hAnsiTheme="majorHAnsi"/>
                          <w:color w:val="595959" w:themeColor="text1" w:themeTint="A6"/>
                          <w:sz w:val="18"/>
                          <w:szCs w:val="18"/>
                        </w:rPr>
                        <w:t xml:space="preserve">. Colombia. </w:t>
                      </w:r>
                      <w:r w:rsidR="001B43B3">
                        <w:rPr>
                          <w:rFonts w:asciiTheme="majorHAnsi" w:hAnsiTheme="majorHAnsi"/>
                          <w:color w:val="595959" w:themeColor="text1" w:themeTint="A6"/>
                          <w:sz w:val="18"/>
                          <w:szCs w:val="18"/>
                        </w:rPr>
                        <w:t>February 26, 2020</w:t>
                      </w:r>
                      <w:r w:rsidRPr="006844C9">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614A78E" w:rsidR="0028246E" w:rsidRPr="00D72DC6" w:rsidRDefault="009845C3" w:rsidP="00F02AD1">
                            <w:pPr>
                              <w:rPr>
                                <w:color w:val="FFFFFF" w:themeColor="background1"/>
                                <w14:textFill>
                                  <w14:noFill/>
                                </w14:textFill>
                              </w:rPr>
                            </w:pPr>
                            <w:r>
                              <w:rPr>
                                <w:noProof/>
                              </w:rPr>
                              <w:drawing>
                                <wp:inline distT="0" distB="0" distL="0" distR="0" wp14:anchorId="116CECB9" wp14:editId="1AC22BAF">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614A78E" w:rsidR="0028246E" w:rsidRPr="00D72DC6" w:rsidRDefault="009845C3" w:rsidP="00F02AD1">
                      <w:pPr>
                        <w:rPr>
                          <w:color w:val="FFFFFF" w:themeColor="background1"/>
                          <w14:textFill>
                            <w14:noFill/>
                          </w14:textFill>
                        </w:rPr>
                      </w:pPr>
                      <w:r>
                        <w:rPr>
                          <w:noProof/>
                        </w:rPr>
                        <w:drawing>
                          <wp:inline distT="0" distB="0" distL="0" distR="0" wp14:anchorId="116CECB9" wp14:editId="1AC22BAF">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4F1F8476" w:rsidR="0028246E" w:rsidRPr="004B7EB6" w:rsidRDefault="0028246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B43B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4F1F8476" w:rsidR="0028246E" w:rsidRPr="004B7EB6" w:rsidRDefault="0028246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B43B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3C95E7BE" w:rsidR="003239B8" w:rsidRPr="006844C9" w:rsidRDefault="00456B42" w:rsidP="00FE4910">
      <w:pPr>
        <w:pStyle w:val="ListParagraph"/>
        <w:numPr>
          <w:ilvl w:val="0"/>
          <w:numId w:val="58"/>
        </w:numPr>
        <w:spacing w:after="120"/>
        <w:jc w:val="both"/>
        <w:rPr>
          <w:rFonts w:asciiTheme="majorHAnsi" w:hAnsiTheme="majorHAnsi"/>
          <w:b/>
          <w:bCs/>
          <w:sz w:val="20"/>
          <w:szCs w:val="20"/>
          <w:lang w:val="es-ES"/>
        </w:rPr>
      </w:pPr>
      <w:r>
        <w:rPr>
          <w:rFonts w:asciiTheme="majorHAnsi" w:hAnsiTheme="majorHAnsi"/>
          <w:b/>
          <w:bCs/>
          <w:sz w:val="20"/>
          <w:szCs w:val="20"/>
          <w:lang w:val="es-ES"/>
        </w:rPr>
        <w:lastRenderedPageBreak/>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6844C9" w:rsidRPr="000B6B7A" w14:paraId="7C2A6BA7" w14:textId="77777777" w:rsidTr="0028246E">
        <w:tc>
          <w:tcPr>
            <w:tcW w:w="2790" w:type="dxa"/>
            <w:tcBorders>
              <w:top w:val="single" w:sz="4" w:space="0" w:color="auto"/>
              <w:bottom w:val="single" w:sz="6" w:space="0" w:color="auto"/>
            </w:tcBorders>
            <w:shd w:val="clear" w:color="auto" w:fill="67AE3C"/>
            <w:vAlign w:val="center"/>
          </w:tcPr>
          <w:p w14:paraId="05F0EE45" w14:textId="77777777" w:rsidR="006844C9" w:rsidRPr="00456B42" w:rsidRDefault="006844C9" w:rsidP="0028246E">
            <w:pPr>
              <w:jc w:val="center"/>
              <w:rPr>
                <w:rFonts w:ascii="Cambria" w:hAnsi="Cambria"/>
                <w:bCs/>
                <w:color w:val="FFFFFF" w:themeColor="background1"/>
                <w:sz w:val="19"/>
                <w:szCs w:val="19"/>
              </w:rPr>
            </w:pPr>
            <w:r w:rsidRPr="00456B42">
              <w:rPr>
                <w:rFonts w:ascii="Cambria" w:hAnsi="Cambria"/>
                <w:bCs/>
                <w:color w:val="FFFFFF" w:themeColor="background1"/>
                <w:sz w:val="19"/>
                <w:szCs w:val="19"/>
              </w:rPr>
              <w:t>Petitioner</w:t>
            </w:r>
          </w:p>
        </w:tc>
        <w:tc>
          <w:tcPr>
            <w:tcW w:w="6570" w:type="dxa"/>
            <w:vAlign w:val="center"/>
          </w:tcPr>
          <w:p w14:paraId="06F18FE8" w14:textId="5182247B" w:rsidR="006844C9" w:rsidRPr="00456B42" w:rsidRDefault="006844C9" w:rsidP="0028246E">
            <w:pPr>
              <w:jc w:val="both"/>
              <w:rPr>
                <w:rFonts w:ascii="Cambria" w:hAnsi="Cambria"/>
                <w:bCs/>
                <w:sz w:val="19"/>
                <w:szCs w:val="19"/>
              </w:rPr>
            </w:pPr>
            <w:r w:rsidRPr="00456B42">
              <w:rPr>
                <w:rFonts w:ascii="Cambria" w:hAnsi="Cambria"/>
                <w:bCs/>
                <w:sz w:val="19"/>
                <w:szCs w:val="19"/>
                <w:lang w:val="es-ES"/>
              </w:rPr>
              <w:t>Fermín Vargas Buenaventura</w:t>
            </w:r>
          </w:p>
        </w:tc>
      </w:tr>
      <w:tr w:rsidR="006844C9" w:rsidRPr="001A7945" w14:paraId="23E86391" w14:textId="77777777" w:rsidTr="0028246E">
        <w:tc>
          <w:tcPr>
            <w:tcW w:w="2790" w:type="dxa"/>
            <w:tcBorders>
              <w:top w:val="single" w:sz="6" w:space="0" w:color="auto"/>
              <w:bottom w:val="single" w:sz="6" w:space="0" w:color="auto"/>
            </w:tcBorders>
            <w:shd w:val="clear" w:color="auto" w:fill="67AE3C"/>
            <w:vAlign w:val="center"/>
          </w:tcPr>
          <w:p w14:paraId="0270E49A" w14:textId="77777777" w:rsidR="006844C9" w:rsidRPr="00456B42" w:rsidRDefault="006844C9" w:rsidP="0028246E">
            <w:pPr>
              <w:jc w:val="center"/>
              <w:rPr>
                <w:rFonts w:ascii="Cambria" w:hAnsi="Cambria"/>
                <w:bCs/>
                <w:color w:val="FFFFFF" w:themeColor="background1"/>
                <w:sz w:val="19"/>
                <w:szCs w:val="19"/>
              </w:rPr>
            </w:pPr>
            <w:r w:rsidRPr="00456B42">
              <w:rPr>
                <w:rFonts w:ascii="Cambria" w:hAnsi="Cambria"/>
                <w:bCs/>
                <w:color w:val="FFFFFF" w:themeColor="background1"/>
                <w:sz w:val="19"/>
                <w:szCs w:val="19"/>
              </w:rPr>
              <w:t>Alleged victim</w:t>
            </w:r>
          </w:p>
        </w:tc>
        <w:tc>
          <w:tcPr>
            <w:tcW w:w="6570" w:type="dxa"/>
            <w:vAlign w:val="center"/>
          </w:tcPr>
          <w:p w14:paraId="3FFE9008" w14:textId="76C8C186" w:rsidR="006844C9" w:rsidRPr="00456B42" w:rsidRDefault="006844C9" w:rsidP="0028246E">
            <w:pPr>
              <w:jc w:val="both"/>
              <w:rPr>
                <w:rFonts w:ascii="Cambria" w:hAnsi="Cambria"/>
                <w:bCs/>
                <w:sz w:val="19"/>
                <w:szCs w:val="19"/>
                <w:lang w:val="es-ES"/>
              </w:rPr>
            </w:pPr>
            <w:r w:rsidRPr="00456B42">
              <w:rPr>
                <w:rFonts w:ascii="Cambria" w:hAnsi="Cambria"/>
                <w:bCs/>
                <w:sz w:val="19"/>
                <w:szCs w:val="19"/>
                <w:lang w:val="es-ES"/>
              </w:rPr>
              <w:t>Alfredo Tovar Bautista y otros</w:t>
            </w:r>
            <w:r w:rsidRPr="00456B42">
              <w:rPr>
                <w:rStyle w:val="FootnoteReference"/>
                <w:rFonts w:ascii="Cambria" w:hAnsi="Cambria"/>
                <w:bCs/>
                <w:sz w:val="19"/>
                <w:szCs w:val="19"/>
                <w:lang w:val="es-ES"/>
              </w:rPr>
              <w:footnoteReference w:id="2"/>
            </w:r>
          </w:p>
        </w:tc>
      </w:tr>
      <w:tr w:rsidR="006844C9" w:rsidRPr="000B6B7A" w14:paraId="622AC237" w14:textId="77777777" w:rsidTr="0028246E">
        <w:tc>
          <w:tcPr>
            <w:tcW w:w="2790" w:type="dxa"/>
            <w:tcBorders>
              <w:top w:val="single" w:sz="6" w:space="0" w:color="auto"/>
              <w:bottom w:val="single" w:sz="6" w:space="0" w:color="auto"/>
            </w:tcBorders>
            <w:shd w:val="clear" w:color="auto" w:fill="67AE3C"/>
            <w:vAlign w:val="center"/>
          </w:tcPr>
          <w:p w14:paraId="2540884B" w14:textId="77777777" w:rsidR="006844C9" w:rsidRPr="00456B42" w:rsidRDefault="006844C9" w:rsidP="0028246E">
            <w:pPr>
              <w:jc w:val="center"/>
              <w:rPr>
                <w:rFonts w:ascii="Cambria" w:hAnsi="Cambria"/>
                <w:bCs/>
                <w:color w:val="FFFFFF" w:themeColor="background1"/>
                <w:sz w:val="19"/>
                <w:szCs w:val="19"/>
              </w:rPr>
            </w:pPr>
            <w:r w:rsidRPr="00456B42">
              <w:rPr>
                <w:rFonts w:ascii="Cambria" w:hAnsi="Cambria"/>
                <w:bCs/>
                <w:color w:val="FFFFFF" w:themeColor="background1"/>
                <w:sz w:val="19"/>
                <w:szCs w:val="19"/>
              </w:rPr>
              <w:t>Respondent State</w:t>
            </w:r>
          </w:p>
        </w:tc>
        <w:tc>
          <w:tcPr>
            <w:tcW w:w="6570" w:type="dxa"/>
            <w:vAlign w:val="center"/>
          </w:tcPr>
          <w:p w14:paraId="37B97E30" w14:textId="3982755B" w:rsidR="006844C9" w:rsidRPr="00456B42" w:rsidRDefault="006844C9" w:rsidP="00A43898">
            <w:pPr>
              <w:jc w:val="both"/>
              <w:rPr>
                <w:rFonts w:ascii="Cambria" w:hAnsi="Cambria"/>
                <w:bCs/>
                <w:sz w:val="19"/>
                <w:szCs w:val="19"/>
              </w:rPr>
            </w:pPr>
            <w:r w:rsidRPr="00456B42">
              <w:rPr>
                <w:rFonts w:ascii="Cambria" w:hAnsi="Cambria"/>
                <w:bCs/>
                <w:sz w:val="19"/>
                <w:szCs w:val="19"/>
                <w:lang w:val="es-ES"/>
              </w:rPr>
              <w:t>Colombia</w:t>
            </w:r>
          </w:p>
        </w:tc>
      </w:tr>
      <w:tr w:rsidR="006844C9" w:rsidRPr="0001454A" w14:paraId="6F1CD13A" w14:textId="77777777" w:rsidTr="0028246E">
        <w:tc>
          <w:tcPr>
            <w:tcW w:w="2790" w:type="dxa"/>
            <w:tcBorders>
              <w:top w:val="single" w:sz="6" w:space="0" w:color="auto"/>
              <w:bottom w:val="single" w:sz="6" w:space="0" w:color="auto"/>
            </w:tcBorders>
            <w:shd w:val="clear" w:color="auto" w:fill="67AE3C"/>
            <w:vAlign w:val="center"/>
          </w:tcPr>
          <w:p w14:paraId="1D699C76" w14:textId="77777777" w:rsidR="006844C9" w:rsidRPr="00456B42" w:rsidRDefault="006844C9" w:rsidP="0028246E">
            <w:pPr>
              <w:jc w:val="center"/>
              <w:rPr>
                <w:rFonts w:ascii="Cambria" w:hAnsi="Cambria"/>
                <w:bCs/>
                <w:color w:val="FFFFFF" w:themeColor="background1"/>
                <w:sz w:val="19"/>
                <w:szCs w:val="19"/>
              </w:rPr>
            </w:pPr>
            <w:r w:rsidRPr="00456B42">
              <w:rPr>
                <w:rFonts w:ascii="Cambria" w:hAnsi="Cambria"/>
                <w:bCs/>
                <w:color w:val="FFFFFF" w:themeColor="background1"/>
                <w:sz w:val="19"/>
                <w:szCs w:val="19"/>
              </w:rPr>
              <w:t>Rights invoked</w:t>
            </w:r>
          </w:p>
        </w:tc>
        <w:tc>
          <w:tcPr>
            <w:tcW w:w="6570" w:type="dxa"/>
            <w:vAlign w:val="center"/>
          </w:tcPr>
          <w:p w14:paraId="77A42498" w14:textId="3926F5D9" w:rsidR="006844C9" w:rsidRPr="00456B42" w:rsidRDefault="006844C9" w:rsidP="0028246E">
            <w:pPr>
              <w:jc w:val="both"/>
              <w:rPr>
                <w:rFonts w:ascii="Cambria" w:hAnsi="Cambria"/>
                <w:bCs/>
                <w:sz w:val="19"/>
                <w:szCs w:val="19"/>
              </w:rPr>
            </w:pPr>
            <w:r w:rsidRPr="00456B42">
              <w:rPr>
                <w:rFonts w:ascii="Cambria" w:hAnsi="Cambria"/>
                <w:bCs/>
                <w:sz w:val="19"/>
                <w:szCs w:val="19"/>
              </w:rPr>
              <w:t>Articles 16 (freedom of association) and 25 (judicial protection) of the American Convention on Human Rights</w:t>
            </w:r>
            <w:r w:rsidRPr="00456B42">
              <w:rPr>
                <w:rStyle w:val="FootnoteReference"/>
                <w:rFonts w:ascii="Cambria" w:hAnsi="Cambria"/>
                <w:bCs/>
                <w:sz w:val="19"/>
                <w:szCs w:val="19"/>
                <w:lang w:val="es-ES"/>
              </w:rPr>
              <w:footnoteReference w:id="3"/>
            </w:r>
            <w:proofErr w:type="gramStart"/>
            <w:r w:rsidRPr="00456B42">
              <w:rPr>
                <w:rFonts w:ascii="Cambria" w:hAnsi="Cambria"/>
                <w:bCs/>
                <w:sz w:val="19"/>
                <w:szCs w:val="19"/>
              </w:rPr>
              <w:t xml:space="preserve">; </w:t>
            </w:r>
            <w:r w:rsidR="00830E9D" w:rsidRPr="00456B42">
              <w:rPr>
                <w:rFonts w:ascii="Cambria" w:hAnsi="Cambria"/>
                <w:bCs/>
                <w:sz w:val="19"/>
                <w:szCs w:val="19"/>
              </w:rPr>
              <w:t xml:space="preserve"> 7</w:t>
            </w:r>
            <w:proofErr w:type="gramEnd"/>
            <w:r w:rsidR="00830E9D" w:rsidRPr="00456B42">
              <w:rPr>
                <w:rFonts w:ascii="Cambria" w:hAnsi="Cambria"/>
                <w:bCs/>
                <w:sz w:val="19"/>
                <w:szCs w:val="19"/>
              </w:rPr>
              <w:t xml:space="preserve"> (just, equitable and satisfactory conditions of work) and 8 (trade union rights) of the Additional Protocol to the American Convention on Human Rights in the Area of Economic, Social and Cultural Rights “Protocol of San Salvador”</w:t>
            </w:r>
            <w:r w:rsidR="00830E9D" w:rsidRPr="00456B42">
              <w:rPr>
                <w:rStyle w:val="FootnoteReference"/>
                <w:rFonts w:ascii="Cambria" w:hAnsi="Cambria"/>
                <w:bCs/>
                <w:sz w:val="19"/>
                <w:szCs w:val="19"/>
                <w:lang w:val="es-ES"/>
              </w:rPr>
              <w:footnoteReference w:id="4"/>
            </w:r>
            <w:r w:rsidR="00830E9D" w:rsidRPr="00456B42">
              <w:rPr>
                <w:rFonts w:ascii="Cambria" w:hAnsi="Cambria"/>
                <w:bCs/>
                <w:sz w:val="19"/>
                <w:szCs w:val="19"/>
              </w:rPr>
              <w:t>;</w:t>
            </w:r>
            <w:r w:rsidR="00830E9D" w:rsidRPr="00456B42">
              <w:rPr>
                <w:rFonts w:ascii="Cambria" w:hAnsi="Cambria"/>
                <w:sz w:val="19"/>
                <w:szCs w:val="19"/>
              </w:rPr>
              <w:t xml:space="preserve"> XIV (work and fair remuneration) of the American Declaration on the Rights and Duties of Man</w:t>
            </w:r>
            <w:r w:rsidR="00830E9D" w:rsidRPr="00456B42">
              <w:rPr>
                <w:rStyle w:val="FootnoteReference"/>
                <w:rFonts w:ascii="Cambria" w:hAnsi="Cambria"/>
                <w:bCs/>
                <w:sz w:val="19"/>
                <w:szCs w:val="19"/>
                <w:lang w:val="es-ES"/>
              </w:rPr>
              <w:footnoteReference w:id="5"/>
            </w:r>
            <w:r w:rsidR="00830E9D" w:rsidRPr="00456B42">
              <w:rPr>
                <w:rFonts w:ascii="Cambria" w:hAnsi="Cambria"/>
                <w:sz w:val="19"/>
                <w:szCs w:val="19"/>
              </w:rPr>
              <w:t>; and other international instruments</w:t>
            </w:r>
            <w:r w:rsidR="00830E9D" w:rsidRPr="00456B42">
              <w:rPr>
                <w:rStyle w:val="FootnoteReference"/>
                <w:rFonts w:ascii="Cambria" w:hAnsi="Cambria"/>
                <w:bCs/>
                <w:sz w:val="19"/>
                <w:szCs w:val="19"/>
                <w:lang w:val="es-ES"/>
              </w:rPr>
              <w:footnoteReference w:id="6"/>
            </w:r>
            <w:r w:rsidR="00830E9D" w:rsidRPr="00456B42">
              <w:rPr>
                <w:rFonts w:ascii="Cambria" w:hAnsi="Cambria"/>
                <w:sz w:val="19"/>
                <w:szCs w:val="19"/>
              </w:rPr>
              <w:t>.</w:t>
            </w:r>
          </w:p>
        </w:tc>
      </w:tr>
    </w:tbl>
    <w:p w14:paraId="2B3FFFF2" w14:textId="77777777" w:rsidR="006844C9" w:rsidRPr="006844C9" w:rsidRDefault="006844C9" w:rsidP="006844C9">
      <w:pPr>
        <w:spacing w:after="120"/>
        <w:jc w:val="both"/>
        <w:rPr>
          <w:rFonts w:asciiTheme="majorHAnsi" w:hAnsiTheme="majorHAnsi"/>
          <w:b/>
          <w:bCs/>
          <w:sz w:val="20"/>
          <w:szCs w:val="20"/>
        </w:rPr>
      </w:pPr>
    </w:p>
    <w:p w14:paraId="20263696" w14:textId="5E7C4CA8" w:rsidR="003239B8" w:rsidRPr="006844C9" w:rsidRDefault="00456B42" w:rsidP="00FE4910">
      <w:pPr>
        <w:pStyle w:val="ListParagraph"/>
        <w:numPr>
          <w:ilvl w:val="0"/>
          <w:numId w:val="58"/>
        </w:numPr>
        <w:spacing w:before="120" w:after="120"/>
        <w:jc w:val="both"/>
        <w:rPr>
          <w:rFonts w:asciiTheme="majorHAnsi" w:hAnsiTheme="majorHAnsi"/>
          <w:b/>
          <w:bCs/>
          <w:sz w:val="20"/>
          <w:szCs w:val="20"/>
          <w:lang w:val="es-ES"/>
        </w:rPr>
      </w:pPr>
      <w:r>
        <w:rPr>
          <w:rFonts w:asciiTheme="majorHAnsi" w:hAnsiTheme="majorHAnsi"/>
          <w:b/>
          <w:bCs/>
          <w:sz w:val="20"/>
          <w:szCs w:val="20"/>
          <w:lang w:val="es-ES"/>
        </w:rPr>
        <w:t>PROCEEDINGS BEFORE THE IACHR</w:t>
      </w:r>
      <w:r w:rsidR="008E3BFE" w:rsidRPr="00006B74">
        <w:rPr>
          <w:rStyle w:val="FootnoteReference"/>
          <w:b/>
          <w:sz w:val="20"/>
          <w:szCs w:val="20"/>
          <w:lang w:val="es-ES"/>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6844C9" w:rsidRPr="000B6B7A" w14:paraId="7B6FB51E" w14:textId="77777777" w:rsidTr="0028246E">
        <w:tc>
          <w:tcPr>
            <w:tcW w:w="2790" w:type="dxa"/>
            <w:tcBorders>
              <w:top w:val="single" w:sz="6" w:space="0" w:color="auto"/>
              <w:bottom w:val="single" w:sz="6" w:space="0" w:color="auto"/>
            </w:tcBorders>
            <w:shd w:val="clear" w:color="auto" w:fill="67AE3C"/>
            <w:vAlign w:val="center"/>
          </w:tcPr>
          <w:p w14:paraId="518F6580" w14:textId="77777777" w:rsidR="006844C9" w:rsidRPr="00C355B4" w:rsidRDefault="006844C9" w:rsidP="0028246E">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0535C914" w14:textId="60728730" w:rsidR="006844C9" w:rsidRPr="00C355B4" w:rsidRDefault="00830E9D" w:rsidP="0028246E">
            <w:pPr>
              <w:jc w:val="both"/>
              <w:rPr>
                <w:rFonts w:ascii="Cambria" w:hAnsi="Cambria"/>
                <w:bCs/>
                <w:sz w:val="19"/>
                <w:szCs w:val="19"/>
              </w:rPr>
            </w:pPr>
            <w:r>
              <w:rPr>
                <w:rFonts w:ascii="Cambria" w:hAnsi="Cambria"/>
                <w:bCs/>
                <w:sz w:val="19"/>
                <w:szCs w:val="19"/>
              </w:rPr>
              <w:t>March 11, 2011</w:t>
            </w:r>
          </w:p>
        </w:tc>
      </w:tr>
      <w:tr w:rsidR="006844C9" w:rsidRPr="000B6B7A" w14:paraId="6C169F6A" w14:textId="77777777" w:rsidTr="0028246E">
        <w:tc>
          <w:tcPr>
            <w:tcW w:w="2790" w:type="dxa"/>
            <w:tcBorders>
              <w:top w:val="single" w:sz="6" w:space="0" w:color="auto"/>
              <w:bottom w:val="single" w:sz="6" w:space="0" w:color="auto"/>
            </w:tcBorders>
            <w:shd w:val="clear" w:color="auto" w:fill="67AE3C"/>
            <w:vAlign w:val="center"/>
          </w:tcPr>
          <w:p w14:paraId="067FBAF2" w14:textId="77777777" w:rsidR="006844C9" w:rsidRPr="00C355B4" w:rsidRDefault="006844C9" w:rsidP="0028246E">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6D338232" w14:textId="22E59B41" w:rsidR="006844C9" w:rsidRPr="00C355B4" w:rsidRDefault="00830E9D" w:rsidP="0028246E">
            <w:pPr>
              <w:jc w:val="both"/>
              <w:rPr>
                <w:rFonts w:ascii="Cambria" w:hAnsi="Cambria"/>
                <w:bCs/>
                <w:sz w:val="19"/>
                <w:szCs w:val="19"/>
              </w:rPr>
            </w:pPr>
            <w:r>
              <w:rPr>
                <w:rFonts w:ascii="Cambria" w:hAnsi="Cambria"/>
                <w:bCs/>
                <w:sz w:val="19"/>
                <w:szCs w:val="19"/>
              </w:rPr>
              <w:t>June 14, 2017</w:t>
            </w:r>
          </w:p>
        </w:tc>
      </w:tr>
      <w:tr w:rsidR="006844C9" w:rsidRPr="000B6B7A" w14:paraId="226DA592" w14:textId="77777777" w:rsidTr="0028246E">
        <w:trPr>
          <w:trHeight w:val="264"/>
        </w:trPr>
        <w:tc>
          <w:tcPr>
            <w:tcW w:w="2790" w:type="dxa"/>
            <w:tcBorders>
              <w:top w:val="single" w:sz="6" w:space="0" w:color="auto"/>
              <w:bottom w:val="single" w:sz="6" w:space="0" w:color="auto"/>
            </w:tcBorders>
            <w:shd w:val="clear" w:color="auto" w:fill="67AE3C"/>
            <w:vAlign w:val="center"/>
          </w:tcPr>
          <w:p w14:paraId="3AEE8B09" w14:textId="77777777" w:rsidR="006844C9" w:rsidRPr="00C355B4" w:rsidRDefault="006844C9" w:rsidP="0028246E">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6C58B6E7" w14:textId="39F037AC" w:rsidR="006844C9" w:rsidRPr="00C355B4" w:rsidRDefault="00830E9D" w:rsidP="0028246E">
            <w:pPr>
              <w:jc w:val="both"/>
              <w:rPr>
                <w:rFonts w:ascii="Cambria" w:hAnsi="Cambria"/>
                <w:bCs/>
                <w:sz w:val="19"/>
                <w:szCs w:val="19"/>
              </w:rPr>
            </w:pPr>
            <w:r>
              <w:rPr>
                <w:rFonts w:ascii="Cambria" w:hAnsi="Cambria"/>
                <w:bCs/>
                <w:sz w:val="19"/>
                <w:szCs w:val="19"/>
              </w:rPr>
              <w:t>July 5, 2018</w:t>
            </w:r>
          </w:p>
        </w:tc>
      </w:tr>
      <w:tr w:rsidR="006844C9" w:rsidRPr="000B6B7A" w14:paraId="3AA9A6F4" w14:textId="77777777" w:rsidTr="0028246E">
        <w:tc>
          <w:tcPr>
            <w:tcW w:w="2790" w:type="dxa"/>
            <w:tcBorders>
              <w:top w:val="single" w:sz="6" w:space="0" w:color="auto"/>
              <w:bottom w:val="single" w:sz="6" w:space="0" w:color="auto"/>
            </w:tcBorders>
            <w:shd w:val="clear" w:color="auto" w:fill="67AE3C"/>
            <w:vAlign w:val="center"/>
          </w:tcPr>
          <w:p w14:paraId="63758A02" w14:textId="77777777" w:rsidR="006844C9" w:rsidRPr="00C355B4" w:rsidRDefault="006844C9" w:rsidP="0028246E">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petitioner</w:t>
            </w:r>
          </w:p>
        </w:tc>
        <w:tc>
          <w:tcPr>
            <w:tcW w:w="6570" w:type="dxa"/>
            <w:vAlign w:val="center"/>
          </w:tcPr>
          <w:p w14:paraId="2F3C62DE" w14:textId="261AD87B" w:rsidR="006844C9" w:rsidRPr="00C355B4" w:rsidRDefault="00830E9D" w:rsidP="0028246E">
            <w:pPr>
              <w:jc w:val="both"/>
              <w:rPr>
                <w:rFonts w:ascii="Cambria" w:hAnsi="Cambria"/>
                <w:bCs/>
                <w:sz w:val="19"/>
                <w:szCs w:val="19"/>
              </w:rPr>
            </w:pPr>
            <w:r>
              <w:rPr>
                <w:rFonts w:ascii="Cambria" w:hAnsi="Cambria"/>
                <w:bCs/>
                <w:sz w:val="19"/>
                <w:szCs w:val="19"/>
              </w:rPr>
              <w:t>December 14, 2018</w:t>
            </w:r>
          </w:p>
        </w:tc>
      </w:tr>
    </w:tbl>
    <w:p w14:paraId="5160113A" w14:textId="77777777" w:rsidR="006844C9" w:rsidRPr="006844C9" w:rsidRDefault="006844C9" w:rsidP="00456B42">
      <w:pPr>
        <w:jc w:val="both"/>
        <w:rPr>
          <w:rFonts w:asciiTheme="majorHAnsi" w:hAnsiTheme="majorHAnsi"/>
          <w:b/>
          <w:bCs/>
          <w:sz w:val="20"/>
          <w:szCs w:val="20"/>
          <w:lang w:val="es-ES"/>
        </w:rPr>
      </w:pPr>
    </w:p>
    <w:p w14:paraId="21DAA666" w14:textId="5FF5F99A" w:rsidR="003239B8" w:rsidRPr="006844C9" w:rsidRDefault="003239B8" w:rsidP="00FE4910">
      <w:pPr>
        <w:pStyle w:val="ListParagraph"/>
        <w:numPr>
          <w:ilvl w:val="0"/>
          <w:numId w:val="58"/>
        </w:numPr>
        <w:spacing w:before="120" w:after="120"/>
        <w:jc w:val="both"/>
        <w:rPr>
          <w:rFonts w:asciiTheme="majorHAnsi" w:hAnsiTheme="majorHAnsi"/>
          <w:b/>
          <w:bCs/>
          <w:sz w:val="20"/>
          <w:szCs w:val="20"/>
          <w:lang w:val="es-ES"/>
        </w:rPr>
      </w:pPr>
      <w:r w:rsidRPr="006844C9">
        <w:rPr>
          <w:rFonts w:asciiTheme="majorHAnsi" w:hAnsiTheme="majorHAnsi"/>
          <w:b/>
          <w:bCs/>
          <w:sz w:val="20"/>
          <w:szCs w:val="20"/>
          <w:lang w:val="es-ES"/>
        </w:rPr>
        <w:t>COMPETENC</w:t>
      </w:r>
      <w:r w:rsidR="00456B42">
        <w:rPr>
          <w:rFonts w:asciiTheme="majorHAnsi" w:hAnsiTheme="majorHAnsi"/>
          <w:b/>
          <w:bCs/>
          <w:sz w:val="20"/>
          <w:szCs w:val="20"/>
          <w:lang w:val="es-ES"/>
        </w:rPr>
        <w:t>E</w:t>
      </w:r>
      <w:r w:rsidR="00EE00E9" w:rsidRPr="006844C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6844C9" w:rsidRPr="000B6B7A" w14:paraId="122A182C" w14:textId="77777777" w:rsidTr="0028246E">
        <w:trPr>
          <w:cantSplit/>
        </w:trPr>
        <w:tc>
          <w:tcPr>
            <w:tcW w:w="2790" w:type="dxa"/>
            <w:tcBorders>
              <w:top w:val="single" w:sz="4" w:space="0" w:color="auto"/>
              <w:bottom w:val="single" w:sz="6" w:space="0" w:color="auto"/>
            </w:tcBorders>
            <w:shd w:val="clear" w:color="auto" w:fill="67AE3C"/>
            <w:vAlign w:val="center"/>
          </w:tcPr>
          <w:p w14:paraId="4EBC935A" w14:textId="77777777" w:rsidR="006844C9" w:rsidRPr="00C355B4" w:rsidRDefault="006844C9" w:rsidP="0028246E">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14:paraId="336DB0F3" w14:textId="77777777" w:rsidR="006844C9" w:rsidRPr="00C355B4" w:rsidRDefault="006844C9" w:rsidP="0028246E">
            <w:pPr>
              <w:rPr>
                <w:rFonts w:asciiTheme="majorHAnsi" w:hAnsiTheme="majorHAnsi"/>
                <w:bCs/>
                <w:sz w:val="19"/>
                <w:szCs w:val="19"/>
              </w:rPr>
            </w:pPr>
            <w:r>
              <w:rPr>
                <w:rFonts w:asciiTheme="majorHAnsi" w:hAnsiTheme="majorHAnsi"/>
                <w:bCs/>
                <w:sz w:val="19"/>
                <w:szCs w:val="19"/>
              </w:rPr>
              <w:t>Yes</w:t>
            </w:r>
          </w:p>
        </w:tc>
      </w:tr>
      <w:tr w:rsidR="006844C9" w:rsidRPr="000B6B7A" w14:paraId="3840D48E" w14:textId="77777777" w:rsidTr="0028246E">
        <w:trPr>
          <w:cantSplit/>
        </w:trPr>
        <w:tc>
          <w:tcPr>
            <w:tcW w:w="2790" w:type="dxa"/>
            <w:tcBorders>
              <w:top w:val="single" w:sz="6" w:space="0" w:color="auto"/>
              <w:bottom w:val="single" w:sz="6" w:space="0" w:color="auto"/>
            </w:tcBorders>
            <w:shd w:val="clear" w:color="auto" w:fill="67AE3C"/>
            <w:vAlign w:val="center"/>
          </w:tcPr>
          <w:p w14:paraId="73EE04CE" w14:textId="77777777" w:rsidR="006844C9" w:rsidRPr="00C355B4" w:rsidRDefault="006844C9" w:rsidP="0028246E">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14:paraId="0D3B5537" w14:textId="77777777" w:rsidR="006844C9" w:rsidRPr="00C355B4" w:rsidRDefault="006844C9" w:rsidP="0028246E">
            <w:pPr>
              <w:rPr>
                <w:rFonts w:asciiTheme="majorHAnsi" w:hAnsiTheme="majorHAnsi"/>
                <w:bCs/>
                <w:sz w:val="19"/>
                <w:szCs w:val="19"/>
              </w:rPr>
            </w:pPr>
            <w:r>
              <w:rPr>
                <w:rFonts w:asciiTheme="majorHAnsi" w:hAnsiTheme="majorHAnsi"/>
                <w:bCs/>
                <w:sz w:val="19"/>
                <w:szCs w:val="19"/>
              </w:rPr>
              <w:t>Yes</w:t>
            </w:r>
          </w:p>
        </w:tc>
      </w:tr>
      <w:tr w:rsidR="006844C9" w:rsidRPr="000B6B7A" w14:paraId="62A48590" w14:textId="77777777" w:rsidTr="0028246E">
        <w:trPr>
          <w:cantSplit/>
        </w:trPr>
        <w:tc>
          <w:tcPr>
            <w:tcW w:w="2790" w:type="dxa"/>
            <w:tcBorders>
              <w:top w:val="single" w:sz="6" w:space="0" w:color="auto"/>
              <w:bottom w:val="single" w:sz="6" w:space="0" w:color="auto"/>
            </w:tcBorders>
            <w:shd w:val="clear" w:color="auto" w:fill="67AE3C"/>
            <w:vAlign w:val="center"/>
          </w:tcPr>
          <w:p w14:paraId="2A27208E" w14:textId="77777777" w:rsidR="006844C9" w:rsidRPr="00C355B4" w:rsidRDefault="006844C9" w:rsidP="0028246E">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14:paraId="3A18C0AD" w14:textId="77777777" w:rsidR="006844C9" w:rsidRPr="00C355B4" w:rsidRDefault="006844C9" w:rsidP="0028246E">
            <w:pPr>
              <w:rPr>
                <w:rFonts w:asciiTheme="majorHAnsi" w:hAnsiTheme="majorHAnsi"/>
                <w:bCs/>
                <w:sz w:val="19"/>
                <w:szCs w:val="19"/>
              </w:rPr>
            </w:pPr>
            <w:r>
              <w:rPr>
                <w:rFonts w:asciiTheme="majorHAnsi" w:hAnsiTheme="majorHAnsi"/>
                <w:bCs/>
                <w:sz w:val="19"/>
                <w:szCs w:val="19"/>
              </w:rPr>
              <w:t>Yes</w:t>
            </w:r>
          </w:p>
        </w:tc>
      </w:tr>
      <w:tr w:rsidR="006844C9" w:rsidRPr="000B6B7A" w14:paraId="5E34A9FF" w14:textId="77777777" w:rsidTr="0028246E">
        <w:trPr>
          <w:cantSplit/>
          <w:trHeight w:val="987"/>
        </w:trPr>
        <w:tc>
          <w:tcPr>
            <w:tcW w:w="2790" w:type="dxa"/>
            <w:tcBorders>
              <w:top w:val="single" w:sz="6" w:space="0" w:color="auto"/>
              <w:bottom w:val="single" w:sz="6" w:space="0" w:color="auto"/>
            </w:tcBorders>
            <w:shd w:val="clear" w:color="auto" w:fill="67AE3C"/>
            <w:vAlign w:val="center"/>
          </w:tcPr>
          <w:p w14:paraId="5CA4C18C" w14:textId="77777777" w:rsidR="006844C9" w:rsidRPr="00C355B4" w:rsidRDefault="006844C9" w:rsidP="0028246E">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p w14:paraId="37A208B4" w14:textId="7C4F498D" w:rsidR="006844C9" w:rsidRPr="00C355B4" w:rsidRDefault="006844C9" w:rsidP="0028246E">
            <w:pPr>
              <w:jc w:val="both"/>
              <w:rPr>
                <w:rFonts w:asciiTheme="majorHAnsi" w:hAnsiTheme="majorHAnsi"/>
                <w:bCs/>
                <w:sz w:val="19"/>
                <w:szCs w:val="19"/>
              </w:rPr>
            </w:pPr>
            <w:r>
              <w:rPr>
                <w:rFonts w:asciiTheme="majorHAnsi" w:hAnsiTheme="majorHAnsi"/>
                <w:bCs/>
                <w:sz w:val="19"/>
                <w:szCs w:val="19"/>
              </w:rPr>
              <w:t>Yes, American Convention (instrument of ratification deposited on July 31, 1973)</w:t>
            </w:r>
            <w:r w:rsidR="00456B42">
              <w:rPr>
                <w:rFonts w:asciiTheme="majorHAnsi" w:hAnsiTheme="majorHAnsi"/>
                <w:bCs/>
                <w:sz w:val="19"/>
                <w:szCs w:val="19"/>
              </w:rPr>
              <w:t>; San Salvador Protocol</w:t>
            </w:r>
            <w:r>
              <w:rPr>
                <w:rFonts w:asciiTheme="majorHAnsi" w:hAnsiTheme="majorHAnsi"/>
                <w:bCs/>
                <w:sz w:val="19"/>
                <w:szCs w:val="19"/>
              </w:rPr>
              <w:t xml:space="preserve"> (instrument of ratification deposited on </w:t>
            </w:r>
            <w:r w:rsidR="00456B42">
              <w:rPr>
                <w:rFonts w:asciiTheme="majorHAnsi" w:hAnsiTheme="majorHAnsi"/>
                <w:bCs/>
                <w:sz w:val="19"/>
                <w:szCs w:val="19"/>
              </w:rPr>
              <w:t>December 23, 1997</w:t>
            </w:r>
            <w:r>
              <w:rPr>
                <w:rFonts w:asciiTheme="majorHAnsi" w:hAnsiTheme="majorHAnsi"/>
                <w:bCs/>
                <w:sz w:val="19"/>
                <w:szCs w:val="19"/>
              </w:rPr>
              <w:t>)</w:t>
            </w:r>
          </w:p>
        </w:tc>
      </w:tr>
    </w:tbl>
    <w:p w14:paraId="7D3FB917" w14:textId="77777777" w:rsidR="006844C9" w:rsidRPr="006844C9" w:rsidRDefault="006844C9" w:rsidP="00456B42">
      <w:pPr>
        <w:jc w:val="both"/>
        <w:rPr>
          <w:rFonts w:asciiTheme="majorHAnsi" w:hAnsiTheme="majorHAnsi"/>
          <w:b/>
          <w:bCs/>
          <w:sz w:val="20"/>
          <w:szCs w:val="20"/>
        </w:rPr>
      </w:pPr>
    </w:p>
    <w:p w14:paraId="384ADBA2" w14:textId="498A3446" w:rsidR="006844C9" w:rsidRPr="00456B42" w:rsidRDefault="00456B42" w:rsidP="00FE4910">
      <w:pPr>
        <w:pStyle w:val="ListParagraph"/>
        <w:numPr>
          <w:ilvl w:val="0"/>
          <w:numId w:val="58"/>
        </w:numPr>
        <w:spacing w:before="120" w:after="120"/>
        <w:jc w:val="both"/>
        <w:rPr>
          <w:rFonts w:asciiTheme="majorHAnsi" w:hAnsiTheme="majorHAnsi"/>
          <w:b/>
          <w:sz w:val="20"/>
          <w:szCs w:val="20"/>
        </w:rPr>
      </w:pPr>
      <w:r w:rsidRPr="000B6B7A">
        <w:rPr>
          <w:rFonts w:asciiTheme="majorHAnsi" w:hAnsiTheme="majorHAnsi"/>
          <w:b/>
          <w:bCs/>
          <w:sz w:val="20"/>
          <w:szCs w:val="20"/>
        </w:rPr>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6844C9" w:rsidRPr="000B6B7A" w14:paraId="699FFA07" w14:textId="77777777" w:rsidTr="0028246E">
        <w:trPr>
          <w:cantSplit/>
        </w:trPr>
        <w:tc>
          <w:tcPr>
            <w:tcW w:w="2790" w:type="dxa"/>
            <w:tcBorders>
              <w:top w:val="single" w:sz="4" w:space="0" w:color="auto"/>
              <w:bottom w:val="single" w:sz="6" w:space="0" w:color="auto"/>
            </w:tcBorders>
            <w:shd w:val="clear" w:color="auto" w:fill="67AE3C"/>
            <w:vAlign w:val="center"/>
          </w:tcPr>
          <w:p w14:paraId="6010BCC9" w14:textId="77777777" w:rsidR="006844C9" w:rsidRPr="00456B42" w:rsidRDefault="006844C9" w:rsidP="0028246E">
            <w:pPr>
              <w:jc w:val="center"/>
              <w:rPr>
                <w:rFonts w:ascii="Cambria" w:hAnsi="Cambria"/>
                <w:bCs/>
                <w:color w:val="FFFFFF" w:themeColor="background1"/>
                <w:sz w:val="19"/>
                <w:szCs w:val="19"/>
              </w:rPr>
            </w:pPr>
            <w:r w:rsidRPr="00456B42">
              <w:rPr>
                <w:rFonts w:ascii="Cambria" w:hAnsi="Cambria"/>
                <w:bCs/>
                <w:color w:val="FFFFFF" w:themeColor="background1"/>
                <w:sz w:val="19"/>
                <w:szCs w:val="19"/>
              </w:rPr>
              <w:t xml:space="preserve">Duplication of procedures and international </w:t>
            </w:r>
            <w:r w:rsidRPr="00456B42">
              <w:rPr>
                <w:rFonts w:ascii="Cambria" w:hAnsi="Cambria"/>
                <w:bCs/>
                <w:i/>
                <w:color w:val="FFFFFF" w:themeColor="background1"/>
                <w:sz w:val="19"/>
                <w:szCs w:val="19"/>
              </w:rPr>
              <w:t>res judicata</w:t>
            </w:r>
          </w:p>
        </w:tc>
        <w:tc>
          <w:tcPr>
            <w:tcW w:w="6570" w:type="dxa"/>
            <w:vAlign w:val="center"/>
          </w:tcPr>
          <w:p w14:paraId="7D275976" w14:textId="77777777" w:rsidR="006844C9" w:rsidRPr="00456B42" w:rsidRDefault="006844C9" w:rsidP="0028246E">
            <w:pPr>
              <w:jc w:val="both"/>
              <w:rPr>
                <w:rFonts w:ascii="Cambria" w:hAnsi="Cambria"/>
                <w:bCs/>
                <w:sz w:val="19"/>
                <w:szCs w:val="19"/>
              </w:rPr>
            </w:pPr>
            <w:r w:rsidRPr="00456B42">
              <w:rPr>
                <w:rFonts w:ascii="Cambria" w:hAnsi="Cambria"/>
                <w:bCs/>
                <w:sz w:val="19"/>
                <w:szCs w:val="19"/>
              </w:rPr>
              <w:t>No</w:t>
            </w:r>
          </w:p>
        </w:tc>
      </w:tr>
      <w:tr w:rsidR="006844C9" w:rsidRPr="00456B42" w14:paraId="50A5CEAC" w14:textId="77777777" w:rsidTr="0028246E">
        <w:trPr>
          <w:cantSplit/>
        </w:trPr>
        <w:tc>
          <w:tcPr>
            <w:tcW w:w="2790" w:type="dxa"/>
            <w:tcBorders>
              <w:top w:val="single" w:sz="6" w:space="0" w:color="auto"/>
              <w:bottom w:val="single" w:sz="6" w:space="0" w:color="auto"/>
            </w:tcBorders>
            <w:shd w:val="clear" w:color="auto" w:fill="67AE3C"/>
            <w:vAlign w:val="center"/>
          </w:tcPr>
          <w:p w14:paraId="3947C99E" w14:textId="77777777" w:rsidR="006844C9" w:rsidRPr="00456B42" w:rsidRDefault="006844C9" w:rsidP="0028246E">
            <w:pPr>
              <w:jc w:val="center"/>
              <w:rPr>
                <w:rFonts w:ascii="Cambria" w:hAnsi="Cambria"/>
                <w:bCs/>
                <w:i/>
                <w:color w:val="FFFFFF" w:themeColor="background1"/>
                <w:sz w:val="19"/>
                <w:szCs w:val="19"/>
              </w:rPr>
            </w:pPr>
            <w:r w:rsidRPr="00456B42">
              <w:rPr>
                <w:rFonts w:ascii="Cambria" w:hAnsi="Cambria"/>
                <w:bCs/>
                <w:color w:val="FFFFFF" w:themeColor="background1"/>
                <w:sz w:val="19"/>
                <w:szCs w:val="19"/>
              </w:rPr>
              <w:t>Rights declared admissible</w:t>
            </w:r>
          </w:p>
        </w:tc>
        <w:tc>
          <w:tcPr>
            <w:tcW w:w="6570" w:type="dxa"/>
            <w:vAlign w:val="center"/>
          </w:tcPr>
          <w:p w14:paraId="120E7B88" w14:textId="27FB0759" w:rsidR="006844C9" w:rsidRPr="004A6A8E" w:rsidRDefault="00456B42" w:rsidP="0028246E">
            <w:pPr>
              <w:jc w:val="both"/>
              <w:rPr>
                <w:rFonts w:ascii="Cambria" w:hAnsi="Cambria"/>
                <w:bCs/>
                <w:sz w:val="19"/>
                <w:szCs w:val="19"/>
              </w:rPr>
            </w:pPr>
            <w:r w:rsidRPr="00456B42">
              <w:rPr>
                <w:rFonts w:ascii="Cambria" w:hAnsi="Cambria"/>
                <w:bCs/>
                <w:sz w:val="19"/>
                <w:szCs w:val="19"/>
              </w:rPr>
              <w:t>Articles 8 (fair trial), 16 (freedom of association), 25 (judicial protection) and 26 (economic, social and cultural rights) of the American Convention in relation to its articles 1.1 (obligation to respect rights) and 2 (domestic legal effects); article 8.1(a) (trade union rights) of the San Salvador Protocol; Article XIV (work and fair remuneration) of the American Declaration.</w:t>
            </w:r>
          </w:p>
        </w:tc>
      </w:tr>
      <w:tr w:rsidR="006844C9" w:rsidRPr="00B320E2" w14:paraId="50A5BC36" w14:textId="77777777" w:rsidTr="0028246E">
        <w:trPr>
          <w:cantSplit/>
        </w:trPr>
        <w:tc>
          <w:tcPr>
            <w:tcW w:w="2790" w:type="dxa"/>
            <w:tcBorders>
              <w:top w:val="single" w:sz="6" w:space="0" w:color="auto"/>
              <w:bottom w:val="single" w:sz="6" w:space="0" w:color="auto"/>
            </w:tcBorders>
            <w:shd w:val="clear" w:color="auto" w:fill="67AE3C"/>
            <w:vAlign w:val="center"/>
          </w:tcPr>
          <w:p w14:paraId="03F67428" w14:textId="77777777" w:rsidR="006844C9" w:rsidRPr="00456B42" w:rsidRDefault="006844C9" w:rsidP="0028246E">
            <w:pPr>
              <w:jc w:val="center"/>
              <w:rPr>
                <w:rFonts w:ascii="Cambria" w:hAnsi="Cambria"/>
                <w:bCs/>
                <w:color w:val="FFFFFF" w:themeColor="background1"/>
                <w:sz w:val="19"/>
                <w:szCs w:val="19"/>
              </w:rPr>
            </w:pPr>
            <w:r w:rsidRPr="00456B42">
              <w:rPr>
                <w:rFonts w:ascii="Cambria" w:hAnsi="Cambria"/>
                <w:bCs/>
                <w:color w:val="FFFFFF" w:themeColor="background1"/>
                <w:sz w:val="19"/>
                <w:szCs w:val="19"/>
              </w:rPr>
              <w:t xml:space="preserve">Exhaustion or exception to the exhaustion of remedies </w:t>
            </w:r>
          </w:p>
        </w:tc>
        <w:tc>
          <w:tcPr>
            <w:tcW w:w="6570" w:type="dxa"/>
            <w:vAlign w:val="center"/>
          </w:tcPr>
          <w:p w14:paraId="20D2C394" w14:textId="21A890F6" w:rsidR="006844C9" w:rsidRPr="00456B42" w:rsidRDefault="004A6A8E" w:rsidP="0028246E">
            <w:pPr>
              <w:rPr>
                <w:rFonts w:ascii="Cambria" w:hAnsi="Cambria"/>
                <w:bCs/>
                <w:sz w:val="19"/>
                <w:szCs w:val="19"/>
              </w:rPr>
            </w:pPr>
            <w:r>
              <w:rPr>
                <w:rFonts w:ascii="Cambria" w:hAnsi="Cambria"/>
                <w:bCs/>
                <w:sz w:val="19"/>
                <w:szCs w:val="19"/>
              </w:rPr>
              <w:t>Yes</w:t>
            </w:r>
            <w:r w:rsidR="00456B42" w:rsidRPr="00456B42">
              <w:rPr>
                <w:rFonts w:ascii="Cambria" w:hAnsi="Cambria"/>
                <w:bCs/>
                <w:sz w:val="19"/>
                <w:szCs w:val="19"/>
              </w:rPr>
              <w:t>, in the terms of Section VI</w:t>
            </w:r>
          </w:p>
        </w:tc>
      </w:tr>
      <w:tr w:rsidR="006844C9" w:rsidRPr="00B320E2" w14:paraId="5340DF8F" w14:textId="77777777" w:rsidTr="0028246E">
        <w:trPr>
          <w:cantSplit/>
        </w:trPr>
        <w:tc>
          <w:tcPr>
            <w:tcW w:w="2790" w:type="dxa"/>
            <w:tcBorders>
              <w:top w:val="single" w:sz="6" w:space="0" w:color="auto"/>
              <w:bottom w:val="single" w:sz="6" w:space="0" w:color="auto"/>
            </w:tcBorders>
            <w:shd w:val="clear" w:color="auto" w:fill="67AE3C"/>
            <w:vAlign w:val="center"/>
          </w:tcPr>
          <w:p w14:paraId="01324D58" w14:textId="77777777" w:rsidR="006844C9" w:rsidRPr="00456B42" w:rsidRDefault="006844C9" w:rsidP="0028246E">
            <w:pPr>
              <w:jc w:val="center"/>
              <w:rPr>
                <w:rFonts w:ascii="Cambria" w:hAnsi="Cambria"/>
                <w:bCs/>
                <w:color w:val="FFFFFF" w:themeColor="background1"/>
                <w:sz w:val="19"/>
                <w:szCs w:val="19"/>
              </w:rPr>
            </w:pPr>
            <w:r w:rsidRPr="00456B42">
              <w:rPr>
                <w:rFonts w:ascii="Cambria" w:hAnsi="Cambria"/>
                <w:bCs/>
                <w:color w:val="FFFFFF" w:themeColor="background1"/>
                <w:sz w:val="19"/>
                <w:szCs w:val="19"/>
              </w:rPr>
              <w:t>Timeliness of the petition</w:t>
            </w:r>
          </w:p>
        </w:tc>
        <w:tc>
          <w:tcPr>
            <w:tcW w:w="6570" w:type="dxa"/>
            <w:vAlign w:val="center"/>
          </w:tcPr>
          <w:p w14:paraId="01CDE7C3" w14:textId="050D829E" w:rsidR="006844C9" w:rsidRPr="00456B42" w:rsidRDefault="004A6A8E" w:rsidP="0028246E">
            <w:pPr>
              <w:rPr>
                <w:rFonts w:asciiTheme="majorHAnsi" w:hAnsiTheme="majorHAnsi"/>
                <w:bCs/>
                <w:sz w:val="19"/>
                <w:szCs w:val="19"/>
              </w:rPr>
            </w:pPr>
            <w:r>
              <w:rPr>
                <w:rFonts w:ascii="Cambria" w:hAnsi="Cambria"/>
                <w:bCs/>
                <w:sz w:val="19"/>
                <w:szCs w:val="19"/>
              </w:rPr>
              <w:t>Yes</w:t>
            </w:r>
            <w:r w:rsidR="006844C9" w:rsidRPr="00456B42">
              <w:rPr>
                <w:rFonts w:ascii="Cambria" w:hAnsi="Cambria"/>
                <w:bCs/>
                <w:sz w:val="19"/>
                <w:szCs w:val="19"/>
              </w:rPr>
              <w:t>, in the terms of Section VI</w:t>
            </w:r>
          </w:p>
        </w:tc>
      </w:tr>
    </w:tbl>
    <w:p w14:paraId="2BA9F2F6" w14:textId="77777777" w:rsidR="006844C9" w:rsidRPr="006844C9" w:rsidRDefault="006844C9" w:rsidP="006844C9">
      <w:pPr>
        <w:spacing w:before="120" w:after="120"/>
        <w:jc w:val="both"/>
        <w:rPr>
          <w:rFonts w:asciiTheme="majorHAnsi" w:hAnsiTheme="majorHAnsi"/>
          <w:b/>
          <w:bCs/>
          <w:sz w:val="20"/>
          <w:szCs w:val="20"/>
        </w:rPr>
      </w:pPr>
    </w:p>
    <w:p w14:paraId="18E6423B" w14:textId="1929B52C" w:rsidR="003239B8" w:rsidRPr="00456B42" w:rsidRDefault="00223A29" w:rsidP="00647756">
      <w:pPr>
        <w:spacing w:before="120" w:after="120"/>
        <w:ind w:firstLine="720"/>
        <w:jc w:val="both"/>
        <w:rPr>
          <w:rFonts w:asciiTheme="majorHAnsi" w:hAnsiTheme="majorHAnsi"/>
          <w:b/>
          <w:sz w:val="20"/>
          <w:szCs w:val="20"/>
        </w:rPr>
      </w:pPr>
      <w:r w:rsidRPr="00456B42">
        <w:rPr>
          <w:rFonts w:asciiTheme="majorHAnsi" w:hAnsiTheme="majorHAnsi"/>
          <w:b/>
          <w:sz w:val="20"/>
          <w:szCs w:val="20"/>
        </w:rPr>
        <w:lastRenderedPageBreak/>
        <w:t xml:space="preserve">V. </w:t>
      </w:r>
      <w:r w:rsidRPr="00456B42">
        <w:rPr>
          <w:rFonts w:asciiTheme="majorHAnsi" w:hAnsiTheme="majorHAnsi"/>
          <w:b/>
          <w:sz w:val="20"/>
          <w:szCs w:val="20"/>
        </w:rPr>
        <w:tab/>
      </w:r>
      <w:r w:rsidR="00456B42" w:rsidRPr="00456B42">
        <w:rPr>
          <w:rFonts w:asciiTheme="majorHAnsi" w:hAnsiTheme="majorHAnsi"/>
          <w:b/>
          <w:sz w:val="20"/>
          <w:szCs w:val="20"/>
        </w:rPr>
        <w:t>SUMMARY OF ALLEGED FACTS</w:t>
      </w:r>
    </w:p>
    <w:p w14:paraId="667792F8" w14:textId="3D5A840C" w:rsidR="00456B42" w:rsidRPr="00456B42" w:rsidRDefault="00456B42"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456B42">
        <w:rPr>
          <w:rFonts w:asciiTheme="majorHAnsi" w:hAnsiTheme="majorHAnsi"/>
          <w:sz w:val="20"/>
          <w:szCs w:val="20"/>
        </w:rPr>
        <w:t>Fermín Vargas Buenaventura (hereinafter “the petitioner”) denounces alleged violations</w:t>
      </w:r>
      <w:r w:rsidR="00A43898">
        <w:rPr>
          <w:rFonts w:asciiTheme="majorHAnsi" w:hAnsiTheme="majorHAnsi"/>
          <w:sz w:val="20"/>
          <w:szCs w:val="20"/>
        </w:rPr>
        <w:t xml:space="preserve"> to the human rights</w:t>
      </w:r>
      <w:r w:rsidRPr="00456B42">
        <w:rPr>
          <w:rFonts w:asciiTheme="majorHAnsi" w:hAnsiTheme="majorHAnsi"/>
          <w:sz w:val="20"/>
          <w:szCs w:val="20"/>
        </w:rPr>
        <w:t xml:space="preserve"> of 45 individuals who worked for a state-owned company (hereinafter “the alleged victims”) </w:t>
      </w:r>
      <w:r w:rsidR="00D1744B">
        <w:rPr>
          <w:rFonts w:asciiTheme="majorHAnsi" w:hAnsiTheme="majorHAnsi"/>
          <w:sz w:val="20"/>
          <w:szCs w:val="20"/>
        </w:rPr>
        <w:t>claiming</w:t>
      </w:r>
      <w:r w:rsidRPr="00456B42">
        <w:rPr>
          <w:rFonts w:asciiTheme="majorHAnsi" w:hAnsiTheme="majorHAnsi"/>
          <w:sz w:val="20"/>
          <w:szCs w:val="20"/>
        </w:rPr>
        <w:t xml:space="preserve"> that they were illegally pressured to sign an agreement in which they accepted modifications to </w:t>
      </w:r>
      <w:r>
        <w:rPr>
          <w:rFonts w:asciiTheme="majorHAnsi" w:hAnsiTheme="majorHAnsi"/>
          <w:sz w:val="20"/>
          <w:szCs w:val="20"/>
        </w:rPr>
        <w:t>their</w:t>
      </w:r>
      <w:r w:rsidRPr="00456B42">
        <w:rPr>
          <w:rFonts w:asciiTheme="majorHAnsi" w:hAnsiTheme="majorHAnsi"/>
          <w:sz w:val="20"/>
          <w:szCs w:val="20"/>
        </w:rPr>
        <w:t xml:space="preserve"> collective bargaining agreement in exchange for the commitment that said company would not be </w:t>
      </w:r>
      <w:r w:rsidR="00D1744B">
        <w:rPr>
          <w:rFonts w:asciiTheme="majorHAnsi" w:hAnsiTheme="majorHAnsi"/>
          <w:sz w:val="20"/>
          <w:szCs w:val="20"/>
        </w:rPr>
        <w:t>closed</w:t>
      </w:r>
      <w:r w:rsidRPr="00456B42">
        <w:rPr>
          <w:rFonts w:asciiTheme="majorHAnsi" w:hAnsiTheme="majorHAnsi"/>
          <w:sz w:val="20"/>
          <w:szCs w:val="20"/>
        </w:rPr>
        <w:t xml:space="preserve">; agreement that was subsequently breached resulting in the alleged victims being fired from their jobs. It also alleges that 12 of the alleged victims who were protected by </w:t>
      </w:r>
      <w:r>
        <w:rPr>
          <w:rFonts w:asciiTheme="majorHAnsi" w:hAnsiTheme="majorHAnsi"/>
          <w:sz w:val="20"/>
          <w:szCs w:val="20"/>
        </w:rPr>
        <w:t>their rights as union representatives</w:t>
      </w:r>
      <w:r w:rsidRPr="00456B42">
        <w:rPr>
          <w:rFonts w:asciiTheme="majorHAnsi" w:hAnsiTheme="majorHAnsi"/>
          <w:sz w:val="20"/>
          <w:szCs w:val="20"/>
        </w:rPr>
        <w:t xml:space="preserve"> at the time of their dismissal obtained a final favorable sentence ordering their </w:t>
      </w:r>
      <w:r w:rsidR="007B162B">
        <w:rPr>
          <w:rFonts w:asciiTheme="majorHAnsi" w:hAnsiTheme="majorHAnsi"/>
          <w:sz w:val="20"/>
          <w:szCs w:val="20"/>
        </w:rPr>
        <w:t>reinstatement</w:t>
      </w:r>
      <w:r w:rsidRPr="00456B42">
        <w:rPr>
          <w:rFonts w:asciiTheme="majorHAnsi" w:hAnsiTheme="majorHAnsi"/>
          <w:sz w:val="20"/>
          <w:szCs w:val="20"/>
        </w:rPr>
        <w:t xml:space="preserve"> for violation of said </w:t>
      </w:r>
      <w:r w:rsidR="007B162B">
        <w:rPr>
          <w:rFonts w:asciiTheme="majorHAnsi" w:hAnsiTheme="majorHAnsi"/>
          <w:sz w:val="20"/>
          <w:szCs w:val="20"/>
        </w:rPr>
        <w:t>rights</w:t>
      </w:r>
      <w:r w:rsidRPr="00456B42">
        <w:rPr>
          <w:rFonts w:asciiTheme="majorHAnsi" w:hAnsiTheme="majorHAnsi"/>
          <w:sz w:val="20"/>
          <w:szCs w:val="20"/>
        </w:rPr>
        <w:t>, which was not fulfilled.</w:t>
      </w:r>
    </w:p>
    <w:p w14:paraId="0C57D4A4" w14:textId="3A6F1B06" w:rsidR="007B162B" w:rsidRPr="007B162B" w:rsidRDefault="007B162B" w:rsidP="007B16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7B162B">
        <w:rPr>
          <w:rFonts w:asciiTheme="majorHAnsi" w:hAnsiTheme="majorHAnsi"/>
          <w:sz w:val="20"/>
          <w:szCs w:val="20"/>
        </w:rPr>
        <w:t>The petitioner points out that the alleged victims worked in the Liquor Industry of Huila</w:t>
      </w:r>
      <w:r w:rsidRPr="00002149">
        <w:rPr>
          <w:rStyle w:val="FootnoteReference"/>
          <w:rFonts w:asciiTheme="majorHAnsi" w:hAnsiTheme="majorHAnsi"/>
          <w:sz w:val="20"/>
          <w:szCs w:val="20"/>
          <w:lang w:val="es-ES"/>
        </w:rPr>
        <w:footnoteReference w:id="8"/>
      </w:r>
      <w:r w:rsidRPr="007B162B">
        <w:rPr>
          <w:rFonts w:asciiTheme="majorHAnsi" w:hAnsiTheme="majorHAnsi"/>
          <w:sz w:val="20"/>
          <w:szCs w:val="20"/>
        </w:rPr>
        <w:t xml:space="preserve"> (hereinafter "the company") until mid-1998, when they were massively dismissed. He adds that all were affiliated with the National Alcoholic Beverages</w:t>
      </w:r>
      <w:r>
        <w:rPr>
          <w:rFonts w:asciiTheme="majorHAnsi" w:hAnsiTheme="majorHAnsi"/>
          <w:sz w:val="20"/>
          <w:szCs w:val="20"/>
        </w:rPr>
        <w:t xml:space="preserve"> Workers Union</w:t>
      </w:r>
      <w:r w:rsidRPr="007B162B">
        <w:rPr>
          <w:rFonts w:asciiTheme="majorHAnsi" w:hAnsiTheme="majorHAnsi"/>
          <w:sz w:val="20"/>
          <w:szCs w:val="20"/>
        </w:rPr>
        <w:t xml:space="preserve">, </w:t>
      </w:r>
      <w:proofErr w:type="spellStart"/>
      <w:r w:rsidRPr="007B162B">
        <w:rPr>
          <w:rFonts w:asciiTheme="majorHAnsi" w:hAnsiTheme="majorHAnsi"/>
          <w:sz w:val="20"/>
          <w:szCs w:val="20"/>
        </w:rPr>
        <w:t>Sintrabecolicas</w:t>
      </w:r>
      <w:proofErr w:type="spellEnd"/>
      <w:r w:rsidRPr="007B162B">
        <w:rPr>
          <w:rFonts w:asciiTheme="majorHAnsi" w:hAnsiTheme="majorHAnsi"/>
          <w:sz w:val="20"/>
          <w:szCs w:val="20"/>
        </w:rPr>
        <w:t xml:space="preserve">, </w:t>
      </w:r>
      <w:proofErr w:type="gramStart"/>
      <w:r w:rsidRPr="007B162B">
        <w:rPr>
          <w:rFonts w:asciiTheme="majorHAnsi" w:hAnsiTheme="majorHAnsi"/>
          <w:sz w:val="20"/>
          <w:szCs w:val="20"/>
        </w:rPr>
        <w:t>Huila</w:t>
      </w:r>
      <w:proofErr w:type="gramEnd"/>
      <w:r>
        <w:rPr>
          <w:rFonts w:asciiTheme="majorHAnsi" w:hAnsiTheme="majorHAnsi"/>
          <w:sz w:val="20"/>
          <w:szCs w:val="20"/>
        </w:rPr>
        <w:t xml:space="preserve"> </w:t>
      </w:r>
      <w:r w:rsidR="00A43898">
        <w:rPr>
          <w:rFonts w:asciiTheme="majorHAnsi" w:hAnsiTheme="majorHAnsi"/>
          <w:sz w:val="20"/>
          <w:szCs w:val="20"/>
        </w:rPr>
        <w:t>Division</w:t>
      </w:r>
      <w:r w:rsidRPr="007B162B">
        <w:rPr>
          <w:rFonts w:asciiTheme="majorHAnsi" w:hAnsiTheme="majorHAnsi"/>
          <w:sz w:val="20"/>
          <w:szCs w:val="20"/>
        </w:rPr>
        <w:t xml:space="preserve"> and that their employment relationship was governed by the collective bargaining agreement. He reports that since the end of 1996, a list of petitions submitted by the union had been negotiated, with almost all points agreed, except the clauses related to the retirement pension. It alleges that the company and the Departmental Government of Huila conditioned the signing of the collective agreement to the modification of these clauses and that they threatened to liquidate the company if they were not modified, so the </w:t>
      </w:r>
      <w:r>
        <w:rPr>
          <w:rFonts w:asciiTheme="majorHAnsi" w:hAnsiTheme="majorHAnsi"/>
          <w:sz w:val="20"/>
          <w:szCs w:val="20"/>
        </w:rPr>
        <w:t>G</w:t>
      </w:r>
      <w:r w:rsidRPr="007B162B">
        <w:rPr>
          <w:rFonts w:asciiTheme="majorHAnsi" w:hAnsiTheme="majorHAnsi"/>
          <w:sz w:val="20"/>
          <w:szCs w:val="20"/>
        </w:rPr>
        <w:t xml:space="preserve">overnor of the department presented a project to the departmental assembly </w:t>
      </w:r>
      <w:r>
        <w:rPr>
          <w:rFonts w:asciiTheme="majorHAnsi" w:hAnsiTheme="majorHAnsi"/>
          <w:sz w:val="20"/>
          <w:szCs w:val="20"/>
        </w:rPr>
        <w:t>for the</w:t>
      </w:r>
      <w:r w:rsidRPr="007B162B">
        <w:rPr>
          <w:rFonts w:asciiTheme="majorHAnsi" w:hAnsiTheme="majorHAnsi"/>
          <w:sz w:val="20"/>
          <w:szCs w:val="20"/>
        </w:rPr>
        <w:t xml:space="preserve"> liquidation of the company. He argues that </w:t>
      </w:r>
      <w:r>
        <w:rPr>
          <w:rFonts w:asciiTheme="majorHAnsi" w:hAnsiTheme="majorHAnsi"/>
          <w:sz w:val="20"/>
          <w:szCs w:val="20"/>
        </w:rPr>
        <w:t>in</w:t>
      </w:r>
      <w:r w:rsidRPr="007B162B">
        <w:rPr>
          <w:rFonts w:asciiTheme="majorHAnsi" w:hAnsiTheme="majorHAnsi"/>
          <w:sz w:val="20"/>
          <w:szCs w:val="20"/>
        </w:rPr>
        <w:t xml:space="preserve"> fear of being fired in a possible liquidation, the union agreed to modify the conventional clause on retirement pension and liquor donation in exchange for the commitment of the departmental government not to liquidate the company; </w:t>
      </w:r>
      <w:proofErr w:type="gramStart"/>
      <w:r w:rsidRPr="007B162B">
        <w:rPr>
          <w:rFonts w:asciiTheme="majorHAnsi" w:hAnsiTheme="majorHAnsi"/>
          <w:sz w:val="20"/>
          <w:szCs w:val="20"/>
        </w:rPr>
        <w:t>Therefore</w:t>
      </w:r>
      <w:proofErr w:type="gramEnd"/>
      <w:r w:rsidRPr="007B162B">
        <w:rPr>
          <w:rFonts w:asciiTheme="majorHAnsi" w:hAnsiTheme="majorHAnsi"/>
          <w:sz w:val="20"/>
          <w:szCs w:val="20"/>
        </w:rPr>
        <w:t xml:space="preserve">, on January 29, 1997, with these changes, a new collective bargaining agreement was signed for the years 1997-1998. In addition, on the same day a </w:t>
      </w:r>
      <w:r w:rsidR="00A43898">
        <w:rPr>
          <w:rFonts w:asciiTheme="majorHAnsi" w:hAnsiTheme="majorHAnsi"/>
          <w:sz w:val="20"/>
          <w:szCs w:val="20"/>
        </w:rPr>
        <w:t xml:space="preserve">minute of labor conciliation </w:t>
      </w:r>
      <w:r w:rsidRPr="007B162B">
        <w:rPr>
          <w:rFonts w:asciiTheme="majorHAnsi" w:hAnsiTheme="majorHAnsi"/>
          <w:sz w:val="20"/>
          <w:szCs w:val="20"/>
        </w:rPr>
        <w:t>was signed in which, among other things, it was established that:</w:t>
      </w:r>
    </w:p>
    <w:p w14:paraId="5CCF7362" w14:textId="5754A609" w:rsidR="00AE5A38" w:rsidRPr="007B162B" w:rsidRDefault="007B162B" w:rsidP="007B162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right="720"/>
        <w:jc w:val="both"/>
        <w:rPr>
          <w:rFonts w:asciiTheme="majorHAnsi" w:hAnsiTheme="majorHAnsi"/>
          <w:sz w:val="20"/>
          <w:szCs w:val="20"/>
        </w:rPr>
      </w:pPr>
      <w:r w:rsidRPr="007B162B">
        <w:rPr>
          <w:rFonts w:asciiTheme="majorHAnsi" w:hAnsiTheme="majorHAnsi"/>
          <w:sz w:val="20"/>
          <w:szCs w:val="20"/>
        </w:rPr>
        <w:t xml:space="preserve">Liquor Industry of Huila and the </w:t>
      </w:r>
      <w:r>
        <w:rPr>
          <w:rFonts w:asciiTheme="majorHAnsi" w:hAnsiTheme="majorHAnsi"/>
          <w:sz w:val="20"/>
          <w:szCs w:val="20"/>
        </w:rPr>
        <w:t xml:space="preserve">departmental Government commit to </w:t>
      </w:r>
      <w:proofErr w:type="spellStart"/>
      <w:r>
        <w:rPr>
          <w:rFonts w:asciiTheme="majorHAnsi" w:hAnsiTheme="majorHAnsi"/>
          <w:sz w:val="20"/>
          <w:szCs w:val="20"/>
        </w:rPr>
        <w:t>Sintrabecolicas</w:t>
      </w:r>
      <w:proofErr w:type="spellEnd"/>
      <w:r>
        <w:rPr>
          <w:rFonts w:asciiTheme="majorHAnsi" w:hAnsiTheme="majorHAnsi"/>
          <w:sz w:val="20"/>
          <w:szCs w:val="20"/>
        </w:rPr>
        <w:t xml:space="preserve"> that, simultaneous to the signing of the collective bargaining agreement, a request will be filed to suspend the </w:t>
      </w:r>
      <w:r w:rsidR="00A43898">
        <w:rPr>
          <w:rFonts w:asciiTheme="majorHAnsi" w:hAnsiTheme="majorHAnsi"/>
          <w:sz w:val="20"/>
          <w:szCs w:val="20"/>
        </w:rPr>
        <w:t>discussion</w:t>
      </w:r>
      <w:r>
        <w:rPr>
          <w:rFonts w:asciiTheme="majorHAnsi" w:hAnsiTheme="majorHAnsi"/>
          <w:sz w:val="20"/>
          <w:szCs w:val="20"/>
        </w:rPr>
        <w:t xml:space="preserve"> of the draft ordinance, related to Liquor Industry of Huila, whereby an industrial and commercial company of the department is </w:t>
      </w:r>
      <w:r w:rsidR="00D1744B">
        <w:rPr>
          <w:rFonts w:asciiTheme="majorHAnsi" w:hAnsiTheme="majorHAnsi"/>
          <w:sz w:val="20"/>
          <w:szCs w:val="20"/>
        </w:rPr>
        <w:t>liquidated</w:t>
      </w:r>
      <w:r>
        <w:rPr>
          <w:rFonts w:asciiTheme="majorHAnsi" w:hAnsiTheme="majorHAnsi"/>
          <w:sz w:val="20"/>
          <w:szCs w:val="20"/>
        </w:rPr>
        <w:t>, currently before the Departmental Assembly, and commit that a similar or identical bill will not be introduced for the remainder of this government.</w:t>
      </w:r>
    </w:p>
    <w:p w14:paraId="3A9A416B" w14:textId="6662F4B4" w:rsidR="007B162B" w:rsidRPr="007B162B" w:rsidRDefault="007B162B"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7B162B">
        <w:rPr>
          <w:rFonts w:asciiTheme="majorHAnsi" w:hAnsiTheme="majorHAnsi"/>
          <w:sz w:val="20"/>
          <w:szCs w:val="20"/>
        </w:rPr>
        <w:t>The petitioner points out that on Jan</w:t>
      </w:r>
      <w:r>
        <w:rPr>
          <w:rFonts w:asciiTheme="majorHAnsi" w:hAnsiTheme="majorHAnsi"/>
          <w:sz w:val="20"/>
          <w:szCs w:val="20"/>
        </w:rPr>
        <w:t>uary 30, 1997, the Governor sent to the President of the Departmental Assembly a note requesting the suspension that was agreed to, which the latter disregarded and proceeded to pass the draft ordinance. The petitioner alleges that the events were a “deceit” to the workers because the collective bargaining agreement</w:t>
      </w:r>
      <w:r w:rsidR="00A43898">
        <w:rPr>
          <w:rFonts w:asciiTheme="majorHAnsi" w:hAnsiTheme="majorHAnsi"/>
          <w:sz w:val="20"/>
          <w:szCs w:val="20"/>
        </w:rPr>
        <w:t xml:space="preserve"> was modified but</w:t>
      </w:r>
      <w:r>
        <w:rPr>
          <w:rFonts w:asciiTheme="majorHAnsi" w:hAnsiTheme="majorHAnsi"/>
          <w:sz w:val="20"/>
          <w:szCs w:val="20"/>
        </w:rPr>
        <w:t xml:space="preserve"> the government breached what had been agreed to during conciliation. He adduces that the eagerness of the Governor to liquidate the company and dismiss all its workers without regard to the agreement was based on his will to concede the monopoly of liquor production to a private company owned by a</w:t>
      </w:r>
      <w:r w:rsidR="00581534">
        <w:rPr>
          <w:rFonts w:asciiTheme="majorHAnsi" w:hAnsiTheme="majorHAnsi"/>
          <w:sz w:val="20"/>
          <w:szCs w:val="20"/>
        </w:rPr>
        <w:t xml:space="preserve"> close relationship and sponsor of his, whom was in fact</w:t>
      </w:r>
      <w:r w:rsidR="00D1744B">
        <w:rPr>
          <w:rFonts w:asciiTheme="majorHAnsi" w:hAnsiTheme="majorHAnsi"/>
          <w:sz w:val="20"/>
          <w:szCs w:val="20"/>
        </w:rPr>
        <w:t xml:space="preserve"> later on</w:t>
      </w:r>
      <w:r w:rsidR="00581534">
        <w:rPr>
          <w:rFonts w:asciiTheme="majorHAnsi" w:hAnsiTheme="majorHAnsi"/>
          <w:sz w:val="20"/>
          <w:szCs w:val="20"/>
        </w:rPr>
        <w:t xml:space="preserve"> given concession over production for ten years. The petitioner considers that this excessive eagerness was evidenced in minutes from April 9, 1997, in which the Board of Directors of the company, presided over by the Governor, informed that the legal counsel “has a lawsuit ready with regards to the removal of legal protection for union representatives” and requested the counsel “to follow the situation closely so that the judge cooperates and guarantee</w:t>
      </w:r>
      <w:r w:rsidR="00D1744B">
        <w:rPr>
          <w:rFonts w:asciiTheme="majorHAnsi" w:hAnsiTheme="majorHAnsi"/>
          <w:sz w:val="20"/>
          <w:szCs w:val="20"/>
        </w:rPr>
        <w:t>s</w:t>
      </w:r>
      <w:r w:rsidR="00581534">
        <w:rPr>
          <w:rFonts w:asciiTheme="majorHAnsi" w:hAnsiTheme="majorHAnsi"/>
          <w:sz w:val="20"/>
          <w:szCs w:val="20"/>
        </w:rPr>
        <w:t xml:space="preserve"> results in three months”. </w:t>
      </w:r>
      <w:r w:rsidR="00A43898">
        <w:rPr>
          <w:rFonts w:asciiTheme="majorHAnsi" w:hAnsiTheme="majorHAnsi"/>
          <w:sz w:val="20"/>
          <w:szCs w:val="20"/>
        </w:rPr>
        <w:t>He argues that the expression “s</w:t>
      </w:r>
      <w:r w:rsidR="00581534">
        <w:rPr>
          <w:rFonts w:asciiTheme="majorHAnsi" w:hAnsiTheme="majorHAnsi"/>
          <w:sz w:val="20"/>
          <w:szCs w:val="20"/>
        </w:rPr>
        <w:t>o that the judge cooperates” is indicative of influence peddling. He adds that the deceit was also evidenced by the behavior of the Governor who, once the ordinance was approved, signed the liquidation of the company without objections and, on April 15, 1997, he authorized the first dismissals, which continued until July 31, 1997.</w:t>
      </w:r>
    </w:p>
    <w:p w14:paraId="0D32F936" w14:textId="60FBDD60" w:rsidR="004C616A" w:rsidRPr="00581534" w:rsidRDefault="00581534"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581534">
        <w:rPr>
          <w:rFonts w:asciiTheme="majorHAnsi" w:hAnsiTheme="majorHAnsi"/>
          <w:sz w:val="20"/>
          <w:szCs w:val="20"/>
        </w:rPr>
        <w:t>The petitioner states that the minutes of agreement have binding force and nature of res judicata and thus the workers requested</w:t>
      </w:r>
      <w:r>
        <w:rPr>
          <w:rFonts w:asciiTheme="majorHAnsi" w:hAnsiTheme="majorHAnsi"/>
          <w:sz w:val="20"/>
          <w:szCs w:val="20"/>
        </w:rPr>
        <w:t xml:space="preserve"> that it be complied with before</w:t>
      </w:r>
      <w:r w:rsidRPr="00581534">
        <w:rPr>
          <w:rFonts w:asciiTheme="majorHAnsi" w:hAnsiTheme="majorHAnsi"/>
          <w:sz w:val="20"/>
          <w:szCs w:val="20"/>
        </w:rPr>
        <w:t xml:space="preserve"> the Third Labor Court of the Circuit of Neiva, who ruled against them and ordered them to pay the costs of the proce</w:t>
      </w:r>
      <w:r>
        <w:rPr>
          <w:rFonts w:asciiTheme="majorHAnsi" w:hAnsiTheme="majorHAnsi"/>
          <w:sz w:val="20"/>
          <w:szCs w:val="20"/>
        </w:rPr>
        <w:t>dure</w:t>
      </w:r>
      <w:r w:rsidRPr="00581534">
        <w:rPr>
          <w:rFonts w:asciiTheme="majorHAnsi" w:hAnsiTheme="majorHAnsi"/>
          <w:sz w:val="20"/>
          <w:szCs w:val="20"/>
        </w:rPr>
        <w:t xml:space="preserve"> on October 20</w:t>
      </w:r>
      <w:r>
        <w:rPr>
          <w:rFonts w:asciiTheme="majorHAnsi" w:hAnsiTheme="majorHAnsi"/>
          <w:sz w:val="20"/>
          <w:szCs w:val="20"/>
        </w:rPr>
        <w:t>,</w:t>
      </w:r>
      <w:r w:rsidRPr="00581534">
        <w:rPr>
          <w:rFonts w:asciiTheme="majorHAnsi" w:hAnsiTheme="majorHAnsi"/>
          <w:sz w:val="20"/>
          <w:szCs w:val="20"/>
        </w:rPr>
        <w:t xml:space="preserve"> 2006. On August 21, 2007, the Superior Court of Neiva confirmed this decision in second instance. </w:t>
      </w:r>
      <w:r>
        <w:rPr>
          <w:rFonts w:asciiTheme="majorHAnsi" w:hAnsiTheme="majorHAnsi"/>
          <w:sz w:val="20"/>
          <w:szCs w:val="20"/>
        </w:rPr>
        <w:t>He points out</w:t>
      </w:r>
      <w:r w:rsidRPr="00581534">
        <w:rPr>
          <w:rFonts w:asciiTheme="majorHAnsi" w:hAnsiTheme="majorHAnsi"/>
          <w:sz w:val="20"/>
          <w:szCs w:val="20"/>
        </w:rPr>
        <w:t xml:space="preserve"> that the court considered that, since the governor undertook only to "request the suspension" of the </w:t>
      </w:r>
      <w:r w:rsidR="00A43898">
        <w:rPr>
          <w:rFonts w:asciiTheme="majorHAnsi" w:hAnsiTheme="majorHAnsi"/>
          <w:sz w:val="20"/>
          <w:szCs w:val="20"/>
        </w:rPr>
        <w:t>discussion</w:t>
      </w:r>
      <w:r w:rsidRPr="00581534">
        <w:rPr>
          <w:rFonts w:asciiTheme="majorHAnsi" w:hAnsiTheme="majorHAnsi"/>
          <w:sz w:val="20"/>
          <w:szCs w:val="20"/>
        </w:rPr>
        <w:t xml:space="preserve"> of the </w:t>
      </w:r>
      <w:r>
        <w:rPr>
          <w:rFonts w:asciiTheme="majorHAnsi" w:hAnsiTheme="majorHAnsi"/>
          <w:sz w:val="20"/>
          <w:szCs w:val="20"/>
        </w:rPr>
        <w:t>draft ordinance</w:t>
      </w:r>
      <w:r w:rsidRPr="00581534">
        <w:rPr>
          <w:rFonts w:asciiTheme="majorHAnsi" w:hAnsiTheme="majorHAnsi"/>
          <w:sz w:val="20"/>
          <w:szCs w:val="20"/>
        </w:rPr>
        <w:t xml:space="preserve">, his obligation was not of result because there was no "commitment with respect to the results </w:t>
      </w:r>
      <w:r w:rsidRPr="00581534">
        <w:rPr>
          <w:rFonts w:asciiTheme="majorHAnsi" w:hAnsiTheme="majorHAnsi"/>
          <w:sz w:val="20"/>
          <w:szCs w:val="20"/>
        </w:rPr>
        <w:lastRenderedPageBreak/>
        <w:t>that said petition could have". On September 21, 2010 the decision was again confirmed in cassation by the Labor Chamber of the Supreme Court of Justice.</w:t>
      </w:r>
    </w:p>
    <w:p w14:paraId="32F45AA7" w14:textId="35EF1DC1" w:rsidR="00143671" w:rsidRPr="00143671" w:rsidRDefault="00143671"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143671">
        <w:rPr>
          <w:rFonts w:asciiTheme="majorHAnsi" w:hAnsiTheme="majorHAnsi"/>
          <w:sz w:val="20"/>
          <w:szCs w:val="20"/>
        </w:rPr>
        <w:t xml:space="preserve">The petitioner alleges that the minutes of agreement between the union, the government and the company had binding force and the nature of </w:t>
      </w:r>
      <w:r w:rsidRPr="00A43898">
        <w:rPr>
          <w:rFonts w:asciiTheme="majorHAnsi" w:hAnsiTheme="majorHAnsi"/>
          <w:i/>
          <w:sz w:val="20"/>
          <w:szCs w:val="20"/>
        </w:rPr>
        <w:t>res judicata</w:t>
      </w:r>
      <w:r w:rsidRPr="00143671">
        <w:rPr>
          <w:rFonts w:asciiTheme="majorHAnsi" w:hAnsiTheme="majorHAnsi"/>
          <w:sz w:val="20"/>
          <w:szCs w:val="20"/>
        </w:rPr>
        <w:t>. He considers that, by refusing to demand compliance with what was agreed in the labor conciliation, the courts violated the right of the alleged victims to judicial protection in connection with the freedom of association highlighting that the principle of collective bargaining is reflected in ILO conventions. He maintains that the alleged victims were victims of a deception, evidenced in the governor's conduct, and that the labor judges endorsed that deception by contravening the law and jurisprudence.</w:t>
      </w:r>
    </w:p>
    <w:p w14:paraId="3CE6BE84" w14:textId="1D14DCFE" w:rsidR="00143671" w:rsidRPr="00143671" w:rsidRDefault="00143671"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143671">
        <w:rPr>
          <w:rFonts w:asciiTheme="majorHAnsi" w:hAnsiTheme="majorHAnsi"/>
          <w:sz w:val="20"/>
          <w:szCs w:val="20"/>
        </w:rPr>
        <w:t xml:space="preserve">In addition, he points out that 12 of the alleged victims were protected by the legal rights of union's representatives at the time of their dismissals, so that these 12 people filed a labor lawsuit against the company and the Department of Huila. On September 27, 2002, the Third Labor Court of the Circuit of Neiva concluded that the 12 persons “possessed the status of public officials during the time they worked for the Department of Huila” and that they had been removed from service without just cause, unilaterally and without prior authorization of the labor judge, in violation of their legal rights as union </w:t>
      </w:r>
      <w:r>
        <w:rPr>
          <w:rFonts w:asciiTheme="majorHAnsi" w:hAnsiTheme="majorHAnsi"/>
          <w:sz w:val="20"/>
          <w:szCs w:val="20"/>
        </w:rPr>
        <w:t>representatives</w:t>
      </w:r>
      <w:r w:rsidRPr="00143671">
        <w:rPr>
          <w:rFonts w:asciiTheme="majorHAnsi" w:hAnsiTheme="majorHAnsi"/>
          <w:sz w:val="20"/>
          <w:szCs w:val="20"/>
        </w:rPr>
        <w:t xml:space="preserve">; for which he ordered </w:t>
      </w:r>
      <w:r>
        <w:rPr>
          <w:rFonts w:asciiTheme="majorHAnsi" w:hAnsiTheme="majorHAnsi"/>
          <w:sz w:val="20"/>
          <w:szCs w:val="20"/>
        </w:rPr>
        <w:t>their reinstatement</w:t>
      </w:r>
      <w:r w:rsidRPr="00143671">
        <w:rPr>
          <w:rFonts w:asciiTheme="majorHAnsi" w:hAnsiTheme="majorHAnsi"/>
          <w:sz w:val="20"/>
          <w:szCs w:val="20"/>
        </w:rPr>
        <w:t xml:space="preserve"> "in any of the departments of the departmental administration", as well as the payment of salaries </w:t>
      </w:r>
      <w:r>
        <w:rPr>
          <w:rFonts w:asciiTheme="majorHAnsi" w:hAnsiTheme="majorHAnsi"/>
          <w:sz w:val="20"/>
          <w:szCs w:val="20"/>
        </w:rPr>
        <w:t>they had not</w:t>
      </w:r>
      <w:r w:rsidRPr="00143671">
        <w:rPr>
          <w:rFonts w:asciiTheme="majorHAnsi" w:hAnsiTheme="majorHAnsi"/>
          <w:sz w:val="20"/>
          <w:szCs w:val="20"/>
        </w:rPr>
        <w:t xml:space="preserve"> received. The sentence was subsequently confirmed by the Superior Court of Neiva on February 13, 2004, </w:t>
      </w:r>
      <w:r>
        <w:rPr>
          <w:rFonts w:asciiTheme="majorHAnsi" w:hAnsiTheme="majorHAnsi"/>
          <w:sz w:val="20"/>
          <w:szCs w:val="20"/>
        </w:rPr>
        <w:t xml:space="preserve">thus configuring and executing </w:t>
      </w:r>
      <w:r w:rsidRPr="00423716">
        <w:rPr>
          <w:rFonts w:asciiTheme="majorHAnsi" w:hAnsiTheme="majorHAnsi"/>
          <w:i/>
          <w:sz w:val="20"/>
          <w:szCs w:val="20"/>
        </w:rPr>
        <w:t>res judicata</w:t>
      </w:r>
      <w:r w:rsidRPr="00143671">
        <w:rPr>
          <w:rFonts w:asciiTheme="majorHAnsi" w:hAnsiTheme="majorHAnsi"/>
          <w:sz w:val="20"/>
          <w:szCs w:val="20"/>
        </w:rPr>
        <w:t xml:space="preserve">. He points out that on August 20, 2004, the </w:t>
      </w:r>
      <w:r>
        <w:rPr>
          <w:rFonts w:asciiTheme="majorHAnsi" w:hAnsiTheme="majorHAnsi"/>
          <w:sz w:val="20"/>
          <w:szCs w:val="20"/>
        </w:rPr>
        <w:t>G</w:t>
      </w:r>
      <w:r w:rsidRPr="00143671">
        <w:rPr>
          <w:rFonts w:asciiTheme="majorHAnsi" w:hAnsiTheme="majorHAnsi"/>
          <w:sz w:val="20"/>
          <w:szCs w:val="20"/>
        </w:rPr>
        <w:t xml:space="preserve">overnor unilaterally issued a resolution to "declare the legal and physical impossibility of complying with the </w:t>
      </w:r>
      <w:r>
        <w:rPr>
          <w:rFonts w:asciiTheme="majorHAnsi" w:hAnsiTheme="majorHAnsi"/>
          <w:sz w:val="20"/>
          <w:szCs w:val="20"/>
        </w:rPr>
        <w:t>reinstateme</w:t>
      </w:r>
      <w:r w:rsidRPr="00143671">
        <w:rPr>
          <w:rFonts w:asciiTheme="majorHAnsi" w:hAnsiTheme="majorHAnsi"/>
          <w:sz w:val="20"/>
          <w:szCs w:val="20"/>
        </w:rPr>
        <w:t xml:space="preserve">nt order" based on the fact that "there </w:t>
      </w:r>
      <w:r>
        <w:rPr>
          <w:rFonts w:asciiTheme="majorHAnsi" w:hAnsiTheme="majorHAnsi"/>
          <w:sz w:val="20"/>
          <w:szCs w:val="20"/>
        </w:rPr>
        <w:t>are no positions in</w:t>
      </w:r>
      <w:r w:rsidRPr="00143671">
        <w:rPr>
          <w:rFonts w:asciiTheme="majorHAnsi" w:hAnsiTheme="majorHAnsi"/>
          <w:sz w:val="20"/>
          <w:szCs w:val="20"/>
        </w:rPr>
        <w:t xml:space="preserve"> organizational structure or staff of the Central Administration that can be performed by official workers; </w:t>
      </w:r>
      <w:r>
        <w:rPr>
          <w:rFonts w:asciiTheme="majorHAnsi" w:hAnsiTheme="majorHAnsi"/>
          <w:sz w:val="20"/>
          <w:szCs w:val="20"/>
        </w:rPr>
        <w:t xml:space="preserve">neither are </w:t>
      </w:r>
      <w:r w:rsidRPr="00143671">
        <w:rPr>
          <w:rFonts w:asciiTheme="majorHAnsi" w:hAnsiTheme="majorHAnsi"/>
          <w:sz w:val="20"/>
          <w:szCs w:val="20"/>
        </w:rPr>
        <w:t xml:space="preserve">there functions that can be served by official workers, nor is there a budget or appropriation to pay for their </w:t>
      </w:r>
      <w:proofErr w:type="gramStart"/>
      <w:r w:rsidRPr="00143671">
        <w:rPr>
          <w:rFonts w:asciiTheme="majorHAnsi" w:hAnsiTheme="majorHAnsi"/>
          <w:sz w:val="20"/>
          <w:szCs w:val="20"/>
        </w:rPr>
        <w:t>services ”</w:t>
      </w:r>
      <w:proofErr w:type="gramEnd"/>
      <w:r w:rsidRPr="00143671">
        <w:rPr>
          <w:rFonts w:asciiTheme="majorHAnsi" w:hAnsiTheme="majorHAnsi"/>
          <w:sz w:val="20"/>
          <w:szCs w:val="20"/>
        </w:rPr>
        <w:t>. Then, on August 27, 2004, he issued another resolution to pay the plaintiffs the wages that, unilaterally, he considered</w:t>
      </w:r>
      <w:r>
        <w:rPr>
          <w:rFonts w:asciiTheme="majorHAnsi" w:hAnsiTheme="majorHAnsi"/>
          <w:sz w:val="20"/>
          <w:szCs w:val="20"/>
        </w:rPr>
        <w:t xml:space="preserve"> the government</w:t>
      </w:r>
      <w:r w:rsidRPr="00143671">
        <w:rPr>
          <w:rFonts w:asciiTheme="majorHAnsi" w:hAnsiTheme="majorHAnsi"/>
          <w:sz w:val="20"/>
          <w:szCs w:val="20"/>
        </w:rPr>
        <w:t xml:space="preserve"> owed. </w:t>
      </w:r>
      <w:r>
        <w:rPr>
          <w:rFonts w:asciiTheme="majorHAnsi" w:hAnsiTheme="majorHAnsi"/>
          <w:sz w:val="20"/>
          <w:szCs w:val="20"/>
        </w:rPr>
        <w:t>He points out</w:t>
      </w:r>
      <w:r w:rsidRPr="00143671">
        <w:rPr>
          <w:rFonts w:asciiTheme="majorHAnsi" w:hAnsiTheme="majorHAnsi"/>
          <w:sz w:val="20"/>
          <w:szCs w:val="20"/>
        </w:rPr>
        <w:t xml:space="preserve"> that the government then also paid </w:t>
      </w:r>
      <w:r>
        <w:rPr>
          <w:rFonts w:asciiTheme="majorHAnsi" w:hAnsiTheme="majorHAnsi"/>
          <w:sz w:val="20"/>
          <w:szCs w:val="20"/>
        </w:rPr>
        <w:t xml:space="preserve">a </w:t>
      </w:r>
      <w:r w:rsidRPr="00143671">
        <w:rPr>
          <w:rFonts w:asciiTheme="majorHAnsi" w:hAnsiTheme="majorHAnsi"/>
          <w:sz w:val="20"/>
          <w:szCs w:val="20"/>
        </w:rPr>
        <w:t>compensation, which it also set unilaterally.</w:t>
      </w:r>
    </w:p>
    <w:p w14:paraId="01868331" w14:textId="4CA70B85" w:rsidR="009D515E" w:rsidRPr="00143671" w:rsidRDefault="00143671"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143671">
        <w:rPr>
          <w:rFonts w:asciiTheme="majorHAnsi" w:hAnsiTheme="majorHAnsi"/>
          <w:sz w:val="20"/>
          <w:szCs w:val="20"/>
        </w:rPr>
        <w:t xml:space="preserve">He points out that, given the governor's refusal, the 12 people filed an executive claim requesting compliance with the sentence that ordered their reinstatement and the payment of the salaries </w:t>
      </w:r>
      <w:r>
        <w:rPr>
          <w:rFonts w:asciiTheme="majorHAnsi" w:hAnsiTheme="majorHAnsi"/>
          <w:sz w:val="20"/>
          <w:szCs w:val="20"/>
        </w:rPr>
        <w:t>that they did not receive</w:t>
      </w:r>
      <w:r w:rsidRPr="00143671">
        <w:rPr>
          <w:rFonts w:asciiTheme="majorHAnsi" w:hAnsiTheme="majorHAnsi"/>
          <w:sz w:val="20"/>
          <w:szCs w:val="20"/>
        </w:rPr>
        <w:t xml:space="preserve">, requesting in the alternative the payment of compensatory damages in case the </w:t>
      </w:r>
      <w:r>
        <w:rPr>
          <w:rFonts w:asciiTheme="majorHAnsi" w:hAnsiTheme="majorHAnsi"/>
          <w:sz w:val="20"/>
          <w:szCs w:val="20"/>
        </w:rPr>
        <w:t>reinstatement was</w:t>
      </w:r>
      <w:r w:rsidRPr="00143671">
        <w:rPr>
          <w:rFonts w:asciiTheme="majorHAnsi" w:hAnsiTheme="majorHAnsi"/>
          <w:sz w:val="20"/>
          <w:szCs w:val="20"/>
        </w:rPr>
        <w:t xml:space="preserve"> not fulfilled or</w:t>
      </w:r>
      <w:r>
        <w:rPr>
          <w:rFonts w:asciiTheme="majorHAnsi" w:hAnsiTheme="majorHAnsi"/>
          <w:sz w:val="20"/>
          <w:szCs w:val="20"/>
        </w:rPr>
        <w:t xml:space="preserve"> was deemed</w:t>
      </w:r>
      <w:r w:rsidRPr="00143671">
        <w:rPr>
          <w:rFonts w:asciiTheme="majorHAnsi" w:hAnsiTheme="majorHAnsi"/>
          <w:sz w:val="20"/>
          <w:szCs w:val="20"/>
        </w:rPr>
        <w:t xml:space="preserve"> impossible to comply</w:t>
      </w:r>
      <w:r>
        <w:rPr>
          <w:rFonts w:asciiTheme="majorHAnsi" w:hAnsiTheme="majorHAnsi"/>
          <w:sz w:val="20"/>
          <w:szCs w:val="20"/>
        </w:rPr>
        <w:t xml:space="preserve"> with</w:t>
      </w:r>
      <w:r w:rsidRPr="00143671">
        <w:rPr>
          <w:rFonts w:asciiTheme="majorHAnsi" w:hAnsiTheme="majorHAnsi"/>
          <w:sz w:val="20"/>
          <w:szCs w:val="20"/>
        </w:rPr>
        <w:t xml:space="preserve">. On October 28, 2004, the Third Labor Court of Neiva denied the claim, a decision that was confirmed in second instance on June 17, 2005 by the Superior Court of Neiva. </w:t>
      </w:r>
      <w:r>
        <w:rPr>
          <w:rFonts w:asciiTheme="majorHAnsi" w:hAnsiTheme="majorHAnsi"/>
          <w:sz w:val="20"/>
          <w:szCs w:val="20"/>
        </w:rPr>
        <w:t>He</w:t>
      </w:r>
      <w:r w:rsidRPr="00143671">
        <w:rPr>
          <w:rFonts w:asciiTheme="majorHAnsi" w:hAnsiTheme="majorHAnsi"/>
          <w:sz w:val="20"/>
          <w:szCs w:val="20"/>
        </w:rPr>
        <w:t xml:space="preserve"> claims that the courts held that rei</w:t>
      </w:r>
      <w:r>
        <w:rPr>
          <w:rFonts w:asciiTheme="majorHAnsi" w:hAnsiTheme="majorHAnsi"/>
          <w:sz w:val="20"/>
          <w:szCs w:val="20"/>
        </w:rPr>
        <w:t>nstatement</w:t>
      </w:r>
      <w:r w:rsidRPr="00143671">
        <w:rPr>
          <w:rFonts w:asciiTheme="majorHAnsi" w:hAnsiTheme="majorHAnsi"/>
          <w:sz w:val="20"/>
          <w:szCs w:val="20"/>
        </w:rPr>
        <w:t xml:space="preserve"> was impossible without further evidence than the unilateral assertion of the employer and determined, in contravention of the </w:t>
      </w:r>
      <w:proofErr w:type="gramStart"/>
      <w:r w:rsidRPr="00143671">
        <w:rPr>
          <w:rFonts w:asciiTheme="majorHAnsi" w:hAnsiTheme="majorHAnsi"/>
          <w:sz w:val="20"/>
          <w:szCs w:val="20"/>
        </w:rPr>
        <w:t>law, that</w:t>
      </w:r>
      <w:proofErr w:type="gramEnd"/>
      <w:r w:rsidRPr="00143671">
        <w:rPr>
          <w:rFonts w:asciiTheme="majorHAnsi" w:hAnsiTheme="majorHAnsi"/>
          <w:sz w:val="20"/>
          <w:szCs w:val="20"/>
        </w:rPr>
        <w:t xml:space="preserve"> the request for compensatory damages for breach of sentence did not proceed within the executive claim and should be requested through of ordinary process. They argue that to justify their decision, these courts were based on jurisprudence of the Supreme Court of Justic</w:t>
      </w:r>
      <w:r>
        <w:rPr>
          <w:rFonts w:asciiTheme="majorHAnsi" w:hAnsiTheme="majorHAnsi"/>
          <w:sz w:val="20"/>
          <w:szCs w:val="20"/>
        </w:rPr>
        <w:t>e</w:t>
      </w:r>
      <w:r w:rsidRPr="00002149">
        <w:rPr>
          <w:rStyle w:val="FootnoteReference"/>
          <w:rFonts w:asciiTheme="majorHAnsi" w:hAnsiTheme="majorHAnsi"/>
          <w:sz w:val="20"/>
          <w:szCs w:val="20"/>
          <w:lang w:val="es-ES"/>
        </w:rPr>
        <w:footnoteReference w:id="9"/>
      </w:r>
      <w:r w:rsidRPr="00143671">
        <w:rPr>
          <w:rFonts w:asciiTheme="majorHAnsi" w:hAnsiTheme="majorHAnsi"/>
          <w:sz w:val="20"/>
          <w:szCs w:val="20"/>
        </w:rPr>
        <w:t xml:space="preserve"> that has been </w:t>
      </w:r>
      <w:r w:rsidR="00E50687">
        <w:rPr>
          <w:rFonts w:asciiTheme="majorHAnsi" w:hAnsiTheme="majorHAnsi"/>
          <w:sz w:val="20"/>
          <w:szCs w:val="20"/>
        </w:rPr>
        <w:t>censured</w:t>
      </w:r>
      <w:r w:rsidRPr="00143671">
        <w:rPr>
          <w:rFonts w:asciiTheme="majorHAnsi" w:hAnsiTheme="majorHAnsi"/>
          <w:sz w:val="20"/>
          <w:szCs w:val="20"/>
        </w:rPr>
        <w:t xml:space="preserve"> by the International Labor Organization (hereinafter “ILO”) for being a violation of freedom of association.</w:t>
      </w:r>
      <w:r w:rsidRPr="00002149">
        <w:rPr>
          <w:rStyle w:val="FootnoteReference"/>
          <w:rFonts w:asciiTheme="majorHAnsi" w:hAnsiTheme="majorHAnsi"/>
          <w:sz w:val="20"/>
          <w:szCs w:val="20"/>
          <w:lang w:val="es-ES"/>
        </w:rPr>
        <w:footnoteReference w:id="10"/>
      </w:r>
    </w:p>
    <w:p w14:paraId="061D5742" w14:textId="725887D7" w:rsidR="00E50687" w:rsidRPr="00E50687" w:rsidRDefault="00E50687"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E50687">
        <w:rPr>
          <w:rFonts w:asciiTheme="majorHAnsi" w:hAnsiTheme="majorHAnsi"/>
          <w:sz w:val="20"/>
          <w:szCs w:val="20"/>
        </w:rPr>
        <w:t xml:space="preserve">He argues that the breach of the final judicial ruling favorable to the 12 alleged victims protected by the legal rights of union representatives implies a violation of the right to judicial protection. He adds that the Code of Civil Procedure contemplated the collection of compensatory damages for breach of obligations to do within the executive claim, so it was unjustified that the courts required the plaintiffs to go to an ordinary process to claim these. </w:t>
      </w:r>
      <w:r>
        <w:rPr>
          <w:rFonts w:asciiTheme="majorHAnsi" w:hAnsiTheme="majorHAnsi"/>
          <w:sz w:val="20"/>
          <w:szCs w:val="20"/>
        </w:rPr>
        <w:t xml:space="preserve">He </w:t>
      </w:r>
      <w:r w:rsidRPr="00E50687">
        <w:rPr>
          <w:rFonts w:asciiTheme="majorHAnsi" w:hAnsiTheme="majorHAnsi"/>
          <w:sz w:val="20"/>
          <w:szCs w:val="20"/>
        </w:rPr>
        <w:t>alleges that the guidelines of the Constitutional Court required that the impossibility of reinstatement be determined in an ordinary process with the appearance of the worker; however, the governor declared it unilaterally and then the courts considered it valid without further examination. In addition, they argue that the judicial ruling favorable to these 12 persons established two obligations for the State (the payment of the salaries left unpaid and the rei</w:t>
      </w:r>
      <w:r>
        <w:rPr>
          <w:rFonts w:asciiTheme="majorHAnsi" w:hAnsiTheme="majorHAnsi"/>
          <w:sz w:val="20"/>
          <w:szCs w:val="20"/>
        </w:rPr>
        <w:t>nstatement</w:t>
      </w:r>
      <w:r w:rsidRPr="00E50687">
        <w:rPr>
          <w:rFonts w:asciiTheme="majorHAnsi" w:hAnsiTheme="majorHAnsi"/>
          <w:sz w:val="20"/>
          <w:szCs w:val="20"/>
        </w:rPr>
        <w:t xml:space="preserve"> of the plaintiffs) </w:t>
      </w:r>
      <w:r>
        <w:rPr>
          <w:rFonts w:asciiTheme="majorHAnsi" w:hAnsiTheme="majorHAnsi"/>
          <w:sz w:val="20"/>
          <w:szCs w:val="20"/>
        </w:rPr>
        <w:t>but</w:t>
      </w:r>
      <w:r w:rsidRPr="00E50687">
        <w:rPr>
          <w:rFonts w:asciiTheme="majorHAnsi" w:hAnsiTheme="majorHAnsi"/>
          <w:sz w:val="20"/>
          <w:szCs w:val="20"/>
        </w:rPr>
        <w:t xml:space="preserve"> they were only paid benefits and salaries </w:t>
      </w:r>
      <w:r>
        <w:rPr>
          <w:rFonts w:asciiTheme="majorHAnsi" w:hAnsiTheme="majorHAnsi"/>
          <w:sz w:val="20"/>
          <w:szCs w:val="20"/>
        </w:rPr>
        <w:t xml:space="preserve">they had </w:t>
      </w:r>
      <w:r w:rsidRPr="00E50687">
        <w:rPr>
          <w:rFonts w:asciiTheme="majorHAnsi" w:hAnsiTheme="majorHAnsi"/>
          <w:sz w:val="20"/>
          <w:szCs w:val="20"/>
        </w:rPr>
        <w:t>ceased to receive up to the date of the sentence that ordered the re</w:t>
      </w:r>
      <w:r>
        <w:rPr>
          <w:rFonts w:asciiTheme="majorHAnsi" w:hAnsiTheme="majorHAnsi"/>
          <w:sz w:val="20"/>
          <w:szCs w:val="20"/>
        </w:rPr>
        <w:t>instatement</w:t>
      </w:r>
      <w:r w:rsidRPr="00E50687">
        <w:rPr>
          <w:rFonts w:asciiTheme="majorHAnsi" w:hAnsiTheme="majorHAnsi"/>
          <w:sz w:val="20"/>
          <w:szCs w:val="20"/>
        </w:rPr>
        <w:t>; but the rei</w:t>
      </w:r>
      <w:r>
        <w:rPr>
          <w:rFonts w:asciiTheme="majorHAnsi" w:hAnsiTheme="majorHAnsi"/>
          <w:sz w:val="20"/>
          <w:szCs w:val="20"/>
        </w:rPr>
        <w:t>nstatement</w:t>
      </w:r>
      <w:r w:rsidR="004A6A8E">
        <w:rPr>
          <w:rFonts w:asciiTheme="majorHAnsi" w:hAnsiTheme="majorHAnsi"/>
          <w:sz w:val="20"/>
          <w:szCs w:val="20"/>
        </w:rPr>
        <w:t xml:space="preserve"> </w:t>
      </w:r>
      <w:r w:rsidRPr="00E50687">
        <w:rPr>
          <w:rFonts w:asciiTheme="majorHAnsi" w:hAnsiTheme="majorHAnsi"/>
          <w:sz w:val="20"/>
          <w:szCs w:val="20"/>
        </w:rPr>
        <w:t xml:space="preserve">was not executed and they were only granted compensation unilaterally set by the governor that does not amount to full compensation for the breach of the </w:t>
      </w:r>
      <w:r>
        <w:rPr>
          <w:rFonts w:asciiTheme="majorHAnsi" w:hAnsiTheme="majorHAnsi"/>
          <w:sz w:val="20"/>
          <w:szCs w:val="20"/>
        </w:rPr>
        <w:t xml:space="preserve">reinstatement </w:t>
      </w:r>
      <w:r w:rsidRPr="00E50687">
        <w:rPr>
          <w:rFonts w:asciiTheme="majorHAnsi" w:hAnsiTheme="majorHAnsi"/>
          <w:sz w:val="20"/>
          <w:szCs w:val="20"/>
        </w:rPr>
        <w:lastRenderedPageBreak/>
        <w:t xml:space="preserve">order. Therefore, they maintain that the state has not complied with the judicial ruling issued in </w:t>
      </w:r>
      <w:r>
        <w:rPr>
          <w:rFonts w:asciiTheme="majorHAnsi" w:hAnsiTheme="majorHAnsi"/>
          <w:sz w:val="20"/>
          <w:szCs w:val="20"/>
        </w:rPr>
        <w:t>their</w:t>
      </w:r>
      <w:r w:rsidRPr="00E50687">
        <w:rPr>
          <w:rFonts w:asciiTheme="majorHAnsi" w:hAnsiTheme="majorHAnsi"/>
          <w:sz w:val="20"/>
          <w:szCs w:val="20"/>
        </w:rPr>
        <w:t xml:space="preserve"> favor </w:t>
      </w:r>
      <w:r>
        <w:rPr>
          <w:rFonts w:asciiTheme="majorHAnsi" w:hAnsiTheme="majorHAnsi"/>
          <w:sz w:val="20"/>
          <w:szCs w:val="20"/>
        </w:rPr>
        <w:t>in what relates to the reinstatement</w:t>
      </w:r>
      <w:r w:rsidRPr="00E50687">
        <w:rPr>
          <w:rFonts w:asciiTheme="majorHAnsi" w:hAnsiTheme="majorHAnsi"/>
          <w:sz w:val="20"/>
          <w:szCs w:val="20"/>
        </w:rPr>
        <w:t>.</w:t>
      </w:r>
    </w:p>
    <w:p w14:paraId="49FECE23" w14:textId="5C2694F5" w:rsidR="00E50687" w:rsidRPr="00E50687" w:rsidRDefault="00E50687"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E50687">
        <w:rPr>
          <w:rFonts w:asciiTheme="majorHAnsi" w:hAnsiTheme="majorHAnsi"/>
          <w:sz w:val="20"/>
          <w:szCs w:val="20"/>
        </w:rPr>
        <w:t xml:space="preserve">He considers that domestic remedies were exhausted by the </w:t>
      </w:r>
      <w:r>
        <w:rPr>
          <w:rFonts w:asciiTheme="majorHAnsi" w:hAnsiTheme="majorHAnsi"/>
          <w:sz w:val="20"/>
          <w:szCs w:val="20"/>
        </w:rPr>
        <w:t>decision of the Labor Chamber of the Supreme Court dated September 21, 2010, which denied the claims of the workers related to the fulfillment of the minutes of the agreement.</w:t>
      </w:r>
    </w:p>
    <w:p w14:paraId="1BC3159F" w14:textId="562D0D85" w:rsidR="00E50687" w:rsidRPr="00E50687" w:rsidRDefault="00E50687"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E50687">
        <w:rPr>
          <w:rFonts w:asciiTheme="majorHAnsi" w:hAnsiTheme="majorHAnsi"/>
          <w:sz w:val="20"/>
          <w:szCs w:val="20"/>
        </w:rPr>
        <w:t>In turn, the State affirms that the alleged facts do not characterize human rights violations. It considers that the petitioner improperly intends that the Commission act</w:t>
      </w:r>
      <w:r w:rsidR="00215313">
        <w:rPr>
          <w:rFonts w:asciiTheme="majorHAnsi" w:hAnsiTheme="majorHAnsi"/>
          <w:sz w:val="20"/>
          <w:szCs w:val="20"/>
        </w:rPr>
        <w:t>s</w:t>
      </w:r>
      <w:r w:rsidRPr="00E50687">
        <w:rPr>
          <w:rFonts w:asciiTheme="majorHAnsi" w:hAnsiTheme="majorHAnsi"/>
          <w:sz w:val="20"/>
          <w:szCs w:val="20"/>
        </w:rPr>
        <w:t xml:space="preserve"> as a fourth instance to review decisions with which it disagrees and </w:t>
      </w:r>
      <w:r>
        <w:rPr>
          <w:rFonts w:asciiTheme="majorHAnsi" w:hAnsiTheme="majorHAnsi"/>
          <w:sz w:val="20"/>
          <w:szCs w:val="20"/>
        </w:rPr>
        <w:t xml:space="preserve">which </w:t>
      </w:r>
      <w:r w:rsidRPr="00E50687">
        <w:rPr>
          <w:rFonts w:asciiTheme="majorHAnsi" w:hAnsiTheme="majorHAnsi"/>
          <w:sz w:val="20"/>
          <w:szCs w:val="20"/>
        </w:rPr>
        <w:t>emanated from competent, independent and impartial domestic courts. He notes that the Inter-American System is not the appropriate forum to dispute the body of evidence or the legal qualification made by the domestic courts. It highlights that the mere fact that an appeal has not produced a favorable result to the claimant does not imply a violation of judicial protection.</w:t>
      </w:r>
    </w:p>
    <w:p w14:paraId="086E04BC" w14:textId="7844B0E4" w:rsidR="00E50687" w:rsidRPr="00E50687" w:rsidRDefault="00E50687"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E50687">
        <w:rPr>
          <w:rFonts w:asciiTheme="majorHAnsi" w:hAnsiTheme="majorHAnsi"/>
          <w:sz w:val="20"/>
          <w:szCs w:val="20"/>
        </w:rPr>
        <w:t>The State points out that the alleged victims we</w:t>
      </w:r>
      <w:r>
        <w:rPr>
          <w:rFonts w:asciiTheme="majorHAnsi" w:hAnsiTheme="majorHAnsi"/>
          <w:sz w:val="20"/>
          <w:szCs w:val="20"/>
        </w:rPr>
        <w:t>re grouped separately (those that had and did not have the protection afforded by legal rights as union representatives) that pursued their claims through separate judicial procedures</w:t>
      </w:r>
      <w:r w:rsidRPr="00002149">
        <w:rPr>
          <w:rStyle w:val="FootnoteReference"/>
          <w:rFonts w:asciiTheme="majorHAnsi" w:hAnsiTheme="majorHAnsi"/>
          <w:sz w:val="20"/>
          <w:szCs w:val="20"/>
          <w:lang w:val="es-ES"/>
        </w:rPr>
        <w:footnoteReference w:id="11"/>
      </w:r>
      <w:r>
        <w:rPr>
          <w:rFonts w:asciiTheme="majorHAnsi" w:hAnsiTheme="majorHAnsi"/>
          <w:sz w:val="20"/>
          <w:szCs w:val="20"/>
        </w:rPr>
        <w:t xml:space="preserve">. </w:t>
      </w:r>
      <w:r w:rsidRPr="00E50687">
        <w:rPr>
          <w:rFonts w:asciiTheme="majorHAnsi" w:hAnsiTheme="majorHAnsi"/>
          <w:sz w:val="20"/>
          <w:szCs w:val="20"/>
        </w:rPr>
        <w:t>In the case of the alleged victims who did not have</w:t>
      </w:r>
      <w:r>
        <w:rPr>
          <w:rFonts w:asciiTheme="majorHAnsi" w:hAnsiTheme="majorHAnsi"/>
          <w:sz w:val="20"/>
          <w:szCs w:val="20"/>
        </w:rPr>
        <w:t xml:space="preserve"> legal rights as</w:t>
      </w:r>
      <w:r w:rsidRPr="00E50687">
        <w:rPr>
          <w:rFonts w:asciiTheme="majorHAnsi" w:hAnsiTheme="majorHAnsi"/>
          <w:sz w:val="20"/>
          <w:szCs w:val="20"/>
        </w:rPr>
        <w:t xml:space="preserve"> union </w:t>
      </w:r>
      <w:r>
        <w:rPr>
          <w:rFonts w:asciiTheme="majorHAnsi" w:hAnsiTheme="majorHAnsi"/>
          <w:sz w:val="20"/>
          <w:szCs w:val="20"/>
        </w:rPr>
        <w:t>representatives</w:t>
      </w:r>
      <w:r w:rsidRPr="00E50687">
        <w:rPr>
          <w:rFonts w:asciiTheme="majorHAnsi" w:hAnsiTheme="majorHAnsi"/>
          <w:sz w:val="20"/>
          <w:szCs w:val="20"/>
        </w:rPr>
        <w:t>, it indicates that the courts determined that, although the agreed conciliation complied with the formal requirements of validity, it was ineffective because the governor did not have full powers to negotiate the suspension of the project that ordered the liquidation of the company, said suspension depending not only on him but also on the will of the Departmental Assembly who did not sign the agreement. It argues that it cannot be inferred that</w:t>
      </w:r>
      <w:r>
        <w:rPr>
          <w:rFonts w:asciiTheme="majorHAnsi" w:hAnsiTheme="majorHAnsi"/>
          <w:sz w:val="20"/>
          <w:szCs w:val="20"/>
        </w:rPr>
        <w:t>,</w:t>
      </w:r>
      <w:r w:rsidRPr="00E50687">
        <w:rPr>
          <w:rFonts w:asciiTheme="majorHAnsi" w:hAnsiTheme="majorHAnsi"/>
          <w:sz w:val="20"/>
          <w:szCs w:val="20"/>
        </w:rPr>
        <w:t xml:space="preserve"> from the </w:t>
      </w:r>
      <w:r>
        <w:rPr>
          <w:rFonts w:asciiTheme="majorHAnsi" w:hAnsiTheme="majorHAnsi"/>
          <w:sz w:val="20"/>
          <w:szCs w:val="20"/>
        </w:rPr>
        <w:t>minutes of</w:t>
      </w:r>
      <w:r w:rsidRPr="00E50687">
        <w:rPr>
          <w:rFonts w:asciiTheme="majorHAnsi" w:hAnsiTheme="majorHAnsi"/>
          <w:sz w:val="20"/>
          <w:szCs w:val="20"/>
        </w:rPr>
        <w:t xml:space="preserve"> agreement whose compliance is claimed</w:t>
      </w:r>
      <w:r>
        <w:rPr>
          <w:rFonts w:asciiTheme="majorHAnsi" w:hAnsiTheme="majorHAnsi"/>
          <w:sz w:val="20"/>
          <w:szCs w:val="20"/>
        </w:rPr>
        <w:t>,</w:t>
      </w:r>
      <w:r w:rsidRPr="00E50687">
        <w:rPr>
          <w:rFonts w:asciiTheme="majorHAnsi" w:hAnsiTheme="majorHAnsi"/>
          <w:sz w:val="20"/>
          <w:szCs w:val="20"/>
        </w:rPr>
        <w:t xml:space="preserve"> emanated an obligation of result when it clearly indicated that the departmental government was committed to “requesting” the suspension of the project, making it clear that the parties referred to a</w:t>
      </w:r>
      <w:r>
        <w:rPr>
          <w:rFonts w:asciiTheme="majorHAnsi" w:hAnsiTheme="majorHAnsi"/>
          <w:sz w:val="20"/>
          <w:szCs w:val="20"/>
        </w:rPr>
        <w:t>n external</w:t>
      </w:r>
      <w:r w:rsidRPr="00E50687">
        <w:rPr>
          <w:rFonts w:asciiTheme="majorHAnsi" w:hAnsiTheme="majorHAnsi"/>
          <w:sz w:val="20"/>
          <w:szCs w:val="20"/>
        </w:rPr>
        <w:t xml:space="preserve"> subject not </w:t>
      </w:r>
      <w:r>
        <w:rPr>
          <w:rFonts w:asciiTheme="majorHAnsi" w:hAnsiTheme="majorHAnsi"/>
          <w:sz w:val="20"/>
          <w:szCs w:val="20"/>
        </w:rPr>
        <w:t>involved in</w:t>
      </w:r>
      <w:r w:rsidRPr="00E50687">
        <w:rPr>
          <w:rFonts w:asciiTheme="majorHAnsi" w:hAnsiTheme="majorHAnsi"/>
          <w:sz w:val="20"/>
          <w:szCs w:val="20"/>
        </w:rPr>
        <w:t xml:space="preserve"> the conciliation process</w:t>
      </w:r>
    </w:p>
    <w:p w14:paraId="6C857546" w14:textId="5C02B97B" w:rsidR="00E50687" w:rsidRPr="00861A66" w:rsidRDefault="00861A66"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rPr>
        <w:t>The State also points out</w:t>
      </w:r>
      <w:r w:rsidRPr="00861A66">
        <w:rPr>
          <w:rFonts w:asciiTheme="majorHAnsi" w:hAnsiTheme="majorHAnsi"/>
          <w:sz w:val="20"/>
          <w:szCs w:val="20"/>
        </w:rPr>
        <w:t xml:space="preserve"> that the courts concluded that these persons were not protected by any</w:t>
      </w:r>
      <w:r>
        <w:rPr>
          <w:rFonts w:asciiTheme="majorHAnsi" w:hAnsiTheme="majorHAnsi"/>
          <w:sz w:val="20"/>
          <w:szCs w:val="20"/>
        </w:rPr>
        <w:t xml:space="preserve"> legal rights</w:t>
      </w:r>
      <w:r w:rsidRPr="00861A66">
        <w:rPr>
          <w:rFonts w:asciiTheme="majorHAnsi" w:hAnsiTheme="majorHAnsi"/>
          <w:sz w:val="20"/>
          <w:szCs w:val="20"/>
        </w:rPr>
        <w:t xml:space="preserve"> that required the company to request permission from the labor authorities to </w:t>
      </w:r>
      <w:proofErr w:type="spellStart"/>
      <w:r w:rsidRPr="00861A66">
        <w:rPr>
          <w:rFonts w:asciiTheme="majorHAnsi" w:hAnsiTheme="majorHAnsi"/>
          <w:sz w:val="20"/>
          <w:szCs w:val="20"/>
        </w:rPr>
        <w:t>effect</w:t>
      </w:r>
      <w:proofErr w:type="spellEnd"/>
      <w:r w:rsidRPr="00861A66">
        <w:rPr>
          <w:rFonts w:asciiTheme="majorHAnsi" w:hAnsiTheme="majorHAnsi"/>
          <w:sz w:val="20"/>
          <w:szCs w:val="20"/>
        </w:rPr>
        <w:t xml:space="preserve"> their dismissal; with the exception of </w:t>
      </w:r>
      <w:proofErr w:type="spellStart"/>
      <w:r w:rsidRPr="00861A66">
        <w:rPr>
          <w:rFonts w:asciiTheme="majorHAnsi" w:hAnsiTheme="majorHAnsi"/>
          <w:sz w:val="20"/>
          <w:szCs w:val="20"/>
        </w:rPr>
        <w:t>Yaneth</w:t>
      </w:r>
      <w:proofErr w:type="spellEnd"/>
      <w:r w:rsidRPr="00861A66">
        <w:rPr>
          <w:rFonts w:asciiTheme="majorHAnsi" w:hAnsiTheme="majorHAnsi"/>
          <w:sz w:val="20"/>
          <w:szCs w:val="20"/>
        </w:rPr>
        <w:t xml:space="preserve"> Cecilia </w:t>
      </w:r>
      <w:proofErr w:type="spellStart"/>
      <w:r w:rsidRPr="00861A66">
        <w:rPr>
          <w:rFonts w:asciiTheme="majorHAnsi" w:hAnsiTheme="majorHAnsi"/>
          <w:sz w:val="20"/>
          <w:szCs w:val="20"/>
        </w:rPr>
        <w:t>Meneses</w:t>
      </w:r>
      <w:proofErr w:type="spellEnd"/>
      <w:r w:rsidRPr="00861A66">
        <w:rPr>
          <w:rFonts w:asciiTheme="majorHAnsi" w:hAnsiTheme="majorHAnsi"/>
          <w:sz w:val="20"/>
          <w:szCs w:val="20"/>
        </w:rPr>
        <w:t xml:space="preserve"> </w:t>
      </w:r>
      <w:proofErr w:type="spellStart"/>
      <w:r w:rsidRPr="00861A66">
        <w:rPr>
          <w:rFonts w:asciiTheme="majorHAnsi" w:hAnsiTheme="majorHAnsi"/>
          <w:sz w:val="20"/>
          <w:szCs w:val="20"/>
        </w:rPr>
        <w:t>Hoyos</w:t>
      </w:r>
      <w:proofErr w:type="spellEnd"/>
      <w:r w:rsidRPr="00861A66">
        <w:rPr>
          <w:rFonts w:asciiTheme="majorHAnsi" w:hAnsiTheme="majorHAnsi"/>
          <w:sz w:val="20"/>
          <w:szCs w:val="20"/>
        </w:rPr>
        <w:t xml:space="preserve">, who had </w:t>
      </w:r>
      <w:r>
        <w:rPr>
          <w:rFonts w:asciiTheme="majorHAnsi" w:hAnsiTheme="majorHAnsi"/>
          <w:sz w:val="20"/>
          <w:szCs w:val="20"/>
        </w:rPr>
        <w:t>protection</w:t>
      </w:r>
      <w:r w:rsidRPr="00861A66">
        <w:rPr>
          <w:rFonts w:asciiTheme="majorHAnsi" w:hAnsiTheme="majorHAnsi"/>
          <w:sz w:val="20"/>
          <w:szCs w:val="20"/>
        </w:rPr>
        <w:t xml:space="preserve"> because she was pregnant at the time of her dismissal, a pregnancy that had been notified to the employer. Based on the applicability of a prescription exception in the case of the worker with pregnancy</w:t>
      </w:r>
      <w:r>
        <w:rPr>
          <w:rFonts w:asciiTheme="majorHAnsi" w:hAnsiTheme="majorHAnsi"/>
          <w:sz w:val="20"/>
          <w:szCs w:val="20"/>
        </w:rPr>
        <w:t xml:space="preserve"> protection</w:t>
      </w:r>
      <w:r w:rsidRPr="00861A66">
        <w:rPr>
          <w:rFonts w:asciiTheme="majorHAnsi" w:hAnsiTheme="majorHAnsi"/>
          <w:sz w:val="20"/>
          <w:szCs w:val="20"/>
        </w:rPr>
        <w:t xml:space="preserve"> and the absence of</w:t>
      </w:r>
      <w:r>
        <w:rPr>
          <w:rFonts w:asciiTheme="majorHAnsi" w:hAnsiTheme="majorHAnsi"/>
          <w:sz w:val="20"/>
          <w:szCs w:val="20"/>
        </w:rPr>
        <w:t xml:space="preserve"> protection</w:t>
      </w:r>
      <w:r w:rsidRPr="00861A66">
        <w:rPr>
          <w:rFonts w:asciiTheme="majorHAnsi" w:hAnsiTheme="majorHAnsi"/>
          <w:sz w:val="20"/>
          <w:szCs w:val="20"/>
        </w:rPr>
        <w:t xml:space="preserve"> in the other cases, the courts considered that the dismissals were effective although without just cause. Therefore, the r</w:t>
      </w:r>
      <w:r>
        <w:rPr>
          <w:rFonts w:asciiTheme="majorHAnsi" w:hAnsiTheme="majorHAnsi"/>
          <w:sz w:val="20"/>
          <w:szCs w:val="20"/>
        </w:rPr>
        <w:t>einstatement</w:t>
      </w:r>
      <w:r w:rsidRPr="00861A66">
        <w:rPr>
          <w:rFonts w:asciiTheme="majorHAnsi" w:hAnsiTheme="majorHAnsi"/>
          <w:sz w:val="20"/>
          <w:szCs w:val="20"/>
        </w:rPr>
        <w:t xml:space="preserve"> was not applicable but only the payment of compensation established by law for cases of dismissals without cause. </w:t>
      </w:r>
      <w:r>
        <w:rPr>
          <w:rFonts w:asciiTheme="majorHAnsi" w:hAnsiTheme="majorHAnsi"/>
          <w:sz w:val="20"/>
          <w:szCs w:val="20"/>
        </w:rPr>
        <w:t>The State</w:t>
      </w:r>
      <w:r w:rsidRPr="00861A66">
        <w:rPr>
          <w:rFonts w:asciiTheme="majorHAnsi" w:hAnsiTheme="majorHAnsi"/>
          <w:sz w:val="20"/>
          <w:szCs w:val="20"/>
        </w:rPr>
        <w:t xml:space="preserve"> highlights that </w:t>
      </w:r>
      <w:r>
        <w:rPr>
          <w:rFonts w:asciiTheme="majorHAnsi" w:hAnsiTheme="majorHAnsi"/>
          <w:sz w:val="20"/>
          <w:szCs w:val="20"/>
        </w:rPr>
        <w:t>this compensation</w:t>
      </w:r>
      <w:r w:rsidRPr="00861A66">
        <w:rPr>
          <w:rFonts w:asciiTheme="majorHAnsi" w:hAnsiTheme="majorHAnsi"/>
          <w:sz w:val="20"/>
          <w:szCs w:val="20"/>
        </w:rPr>
        <w:t xml:space="preserve"> </w:t>
      </w:r>
      <w:r>
        <w:rPr>
          <w:rFonts w:asciiTheme="majorHAnsi" w:hAnsiTheme="majorHAnsi"/>
          <w:sz w:val="20"/>
          <w:szCs w:val="20"/>
        </w:rPr>
        <w:t>was</w:t>
      </w:r>
      <w:r w:rsidRPr="00861A66">
        <w:rPr>
          <w:rFonts w:asciiTheme="majorHAnsi" w:hAnsiTheme="majorHAnsi"/>
          <w:sz w:val="20"/>
          <w:szCs w:val="20"/>
        </w:rPr>
        <w:t xml:space="preserve"> </w:t>
      </w:r>
      <w:r>
        <w:rPr>
          <w:rFonts w:asciiTheme="majorHAnsi" w:hAnsiTheme="majorHAnsi"/>
          <w:sz w:val="20"/>
          <w:szCs w:val="20"/>
        </w:rPr>
        <w:t>calculated</w:t>
      </w:r>
      <w:r w:rsidRPr="00861A66">
        <w:rPr>
          <w:rFonts w:asciiTheme="majorHAnsi" w:hAnsiTheme="majorHAnsi"/>
          <w:sz w:val="20"/>
          <w:szCs w:val="20"/>
        </w:rPr>
        <w:t xml:space="preserve"> and paid in due form.</w:t>
      </w:r>
    </w:p>
    <w:p w14:paraId="637E7CFC" w14:textId="057D8701" w:rsidR="00861A66" w:rsidRPr="00861A66" w:rsidRDefault="00861A66"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861A66">
        <w:rPr>
          <w:rFonts w:asciiTheme="majorHAnsi" w:hAnsiTheme="majorHAnsi"/>
          <w:sz w:val="20"/>
          <w:szCs w:val="20"/>
        </w:rPr>
        <w:t>With regards to the 12 alleged</w:t>
      </w:r>
      <w:r>
        <w:rPr>
          <w:rFonts w:asciiTheme="majorHAnsi" w:hAnsiTheme="majorHAnsi"/>
          <w:sz w:val="20"/>
          <w:szCs w:val="20"/>
        </w:rPr>
        <w:t xml:space="preserve"> victims that had protection arising from their legal rights as union representatives, the State points out that the courts acknowledged the violation of the protection and ordered their reinstatement. However, the Government of Huila adopted a resolution about the impossibility of fulfilling the reinstatement, grounded in the liquidation of the Liquor Industry in the Department and in the inexistence in the personnel structure of the Department of equivalent positions to those held by these individuals</w:t>
      </w:r>
      <w:r w:rsidRPr="00002149">
        <w:rPr>
          <w:rStyle w:val="FootnoteReference"/>
          <w:rFonts w:asciiTheme="majorHAnsi" w:hAnsiTheme="majorHAnsi"/>
          <w:sz w:val="20"/>
          <w:szCs w:val="20"/>
          <w:lang w:val="es-ES"/>
        </w:rPr>
        <w:footnoteReference w:id="12"/>
      </w:r>
      <w:r>
        <w:rPr>
          <w:rFonts w:asciiTheme="majorHAnsi" w:hAnsiTheme="majorHAnsi"/>
          <w:sz w:val="20"/>
          <w:szCs w:val="20"/>
        </w:rPr>
        <w:t>. The State holds that a declaration of impossibility of fulfillment of the reinstatement through a properly grounded resolution was the procedure established by the jurisprudence of the Constitutional Court and the Council of the State.</w:t>
      </w:r>
    </w:p>
    <w:p w14:paraId="15113A8E" w14:textId="573AEBA0" w:rsidR="00861A66" w:rsidRPr="00861A66" w:rsidRDefault="00861A66"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861A66">
        <w:rPr>
          <w:rFonts w:asciiTheme="majorHAnsi" w:hAnsiTheme="majorHAnsi"/>
          <w:sz w:val="20"/>
          <w:szCs w:val="20"/>
        </w:rPr>
        <w:t xml:space="preserve">The State points out that the Governor then proceeded to pay the unpaid wages until the date of issuance of the resolution that declared the impossibility of </w:t>
      </w:r>
      <w:r>
        <w:rPr>
          <w:rFonts w:asciiTheme="majorHAnsi" w:hAnsiTheme="majorHAnsi"/>
          <w:sz w:val="20"/>
          <w:szCs w:val="20"/>
        </w:rPr>
        <w:t>reinstatement</w:t>
      </w:r>
      <w:r w:rsidRPr="00861A66">
        <w:rPr>
          <w:rFonts w:asciiTheme="majorHAnsi" w:hAnsiTheme="majorHAnsi"/>
          <w:sz w:val="20"/>
          <w:szCs w:val="20"/>
        </w:rPr>
        <w:t xml:space="preserve">, and the corresponding legal readjustments. It indicates that </w:t>
      </w:r>
      <w:r w:rsidR="00C54970">
        <w:rPr>
          <w:rFonts w:asciiTheme="majorHAnsi" w:hAnsiTheme="majorHAnsi"/>
          <w:sz w:val="20"/>
          <w:szCs w:val="20"/>
        </w:rPr>
        <w:t>in</w:t>
      </w:r>
      <w:r w:rsidRPr="00861A66">
        <w:rPr>
          <w:rFonts w:asciiTheme="majorHAnsi" w:hAnsiTheme="majorHAnsi"/>
          <w:sz w:val="20"/>
          <w:szCs w:val="20"/>
        </w:rPr>
        <w:t xml:space="preserve"> the executive process instituted by these </w:t>
      </w:r>
      <w:r w:rsidR="00C54970">
        <w:rPr>
          <w:rFonts w:asciiTheme="majorHAnsi" w:hAnsiTheme="majorHAnsi"/>
          <w:sz w:val="20"/>
          <w:szCs w:val="20"/>
        </w:rPr>
        <w:t>individuals</w:t>
      </w:r>
      <w:r w:rsidRPr="00861A66">
        <w:rPr>
          <w:rFonts w:asciiTheme="majorHAnsi" w:hAnsiTheme="majorHAnsi"/>
          <w:sz w:val="20"/>
          <w:szCs w:val="20"/>
        </w:rPr>
        <w:t>, the courts applied the jurisprudence of the Constitutional Court with respect to the fact that “there is no place for the reinstatement of workers who enjoy or not union rights, when the termination of the labor relationship is due to the abolition of the position or legal disappearance of the entity ”</w:t>
      </w:r>
      <w:r w:rsidR="00C54970">
        <w:rPr>
          <w:rFonts w:asciiTheme="majorHAnsi" w:hAnsiTheme="majorHAnsi"/>
          <w:sz w:val="20"/>
          <w:szCs w:val="20"/>
        </w:rPr>
        <w:t xml:space="preserve"> and with regards to the fact that</w:t>
      </w:r>
      <w:r w:rsidRPr="00861A66">
        <w:rPr>
          <w:rFonts w:asciiTheme="majorHAnsi" w:hAnsiTheme="majorHAnsi"/>
          <w:sz w:val="20"/>
          <w:szCs w:val="20"/>
        </w:rPr>
        <w:t xml:space="preserve"> the possible compensation for the damages that could have</w:t>
      </w:r>
      <w:r w:rsidR="00C54970">
        <w:rPr>
          <w:rFonts w:asciiTheme="majorHAnsi" w:hAnsiTheme="majorHAnsi"/>
          <w:sz w:val="20"/>
          <w:szCs w:val="20"/>
        </w:rPr>
        <w:t xml:space="preserve"> been</w:t>
      </w:r>
      <w:r w:rsidRPr="00861A66">
        <w:rPr>
          <w:rFonts w:asciiTheme="majorHAnsi" w:hAnsiTheme="majorHAnsi"/>
          <w:sz w:val="20"/>
          <w:szCs w:val="20"/>
        </w:rPr>
        <w:t xml:space="preserve"> caused</w:t>
      </w:r>
      <w:r w:rsidR="00C54970">
        <w:rPr>
          <w:rFonts w:asciiTheme="majorHAnsi" w:hAnsiTheme="majorHAnsi"/>
          <w:sz w:val="20"/>
          <w:szCs w:val="20"/>
        </w:rPr>
        <w:t xml:space="preserve"> by</w:t>
      </w:r>
      <w:r w:rsidRPr="00861A66">
        <w:rPr>
          <w:rFonts w:asciiTheme="majorHAnsi" w:hAnsiTheme="majorHAnsi"/>
          <w:sz w:val="20"/>
          <w:szCs w:val="20"/>
        </w:rPr>
        <w:t xml:space="preserve"> the administrative act that decreed the impossibility of the re</w:t>
      </w:r>
      <w:r w:rsidR="00C54970">
        <w:rPr>
          <w:rFonts w:asciiTheme="majorHAnsi" w:hAnsiTheme="majorHAnsi"/>
          <w:sz w:val="20"/>
          <w:szCs w:val="20"/>
        </w:rPr>
        <w:t>instatement</w:t>
      </w:r>
      <w:r w:rsidRPr="00861A66">
        <w:rPr>
          <w:rFonts w:asciiTheme="majorHAnsi" w:hAnsiTheme="majorHAnsi"/>
          <w:sz w:val="20"/>
          <w:szCs w:val="20"/>
        </w:rPr>
        <w:t xml:space="preserve"> corresponds to an ordinary process and cannot be determined in the executive process.</w:t>
      </w:r>
      <w:r w:rsidR="00C54970">
        <w:rPr>
          <w:rFonts w:asciiTheme="majorHAnsi" w:hAnsiTheme="majorHAnsi"/>
          <w:sz w:val="20"/>
          <w:szCs w:val="20"/>
        </w:rPr>
        <w:t xml:space="preserve"> The State</w:t>
      </w:r>
      <w:r w:rsidRPr="00861A66">
        <w:rPr>
          <w:rFonts w:asciiTheme="majorHAnsi" w:hAnsiTheme="majorHAnsi"/>
          <w:sz w:val="20"/>
          <w:szCs w:val="20"/>
        </w:rPr>
        <w:t xml:space="preserve"> adds that, after the executive process was exhausted, several claimants fragmented and initiated </w:t>
      </w:r>
      <w:r w:rsidRPr="00861A66">
        <w:rPr>
          <w:rFonts w:asciiTheme="majorHAnsi" w:hAnsiTheme="majorHAnsi"/>
          <w:sz w:val="20"/>
          <w:szCs w:val="20"/>
        </w:rPr>
        <w:lastRenderedPageBreak/>
        <w:t xml:space="preserve">independent actions </w:t>
      </w:r>
      <w:r w:rsidR="00C54970">
        <w:rPr>
          <w:rFonts w:asciiTheme="majorHAnsi" w:hAnsiTheme="majorHAnsi"/>
          <w:sz w:val="20"/>
          <w:szCs w:val="20"/>
        </w:rPr>
        <w:t>through</w:t>
      </w:r>
      <w:r w:rsidRPr="00861A66">
        <w:rPr>
          <w:rFonts w:asciiTheme="majorHAnsi" w:hAnsiTheme="majorHAnsi"/>
          <w:sz w:val="20"/>
          <w:szCs w:val="20"/>
        </w:rPr>
        <w:t xml:space="preserve"> the ordinary process demanding that they be paid the alleged damages owed to them for non-compliance with the re</w:t>
      </w:r>
      <w:r w:rsidR="00C54970">
        <w:rPr>
          <w:rFonts w:asciiTheme="majorHAnsi" w:hAnsiTheme="majorHAnsi"/>
          <w:sz w:val="20"/>
          <w:szCs w:val="20"/>
        </w:rPr>
        <w:t>instatement</w:t>
      </w:r>
      <w:r w:rsidRPr="00861A66">
        <w:rPr>
          <w:rFonts w:asciiTheme="majorHAnsi" w:hAnsiTheme="majorHAnsi"/>
          <w:sz w:val="20"/>
          <w:szCs w:val="20"/>
        </w:rPr>
        <w:t xml:space="preserve">. </w:t>
      </w:r>
      <w:r w:rsidR="00C54970">
        <w:rPr>
          <w:rFonts w:asciiTheme="majorHAnsi" w:hAnsiTheme="majorHAnsi"/>
          <w:sz w:val="20"/>
          <w:szCs w:val="20"/>
        </w:rPr>
        <w:t>The State</w:t>
      </w:r>
      <w:r w:rsidRPr="00861A66">
        <w:rPr>
          <w:rFonts w:asciiTheme="majorHAnsi" w:hAnsiTheme="majorHAnsi"/>
          <w:sz w:val="20"/>
          <w:szCs w:val="20"/>
        </w:rPr>
        <w:t xml:space="preserve"> points out that this resulted in more than 10 separate processes</w:t>
      </w:r>
      <w:r w:rsidR="002E1330">
        <w:rPr>
          <w:rFonts w:asciiTheme="majorHAnsi" w:hAnsiTheme="majorHAnsi"/>
          <w:sz w:val="20"/>
          <w:szCs w:val="20"/>
        </w:rPr>
        <w:t xml:space="preserve">. In all of them, </w:t>
      </w:r>
      <w:r w:rsidRPr="00861A66">
        <w:rPr>
          <w:rFonts w:asciiTheme="majorHAnsi" w:hAnsiTheme="majorHAnsi"/>
          <w:sz w:val="20"/>
          <w:szCs w:val="20"/>
        </w:rPr>
        <w:t>in the first and second instance, as well as in cassation,</w:t>
      </w:r>
      <w:r w:rsidR="002E1330">
        <w:rPr>
          <w:rFonts w:asciiTheme="majorHAnsi" w:hAnsiTheme="majorHAnsi"/>
          <w:sz w:val="20"/>
          <w:szCs w:val="20"/>
        </w:rPr>
        <w:t xml:space="preserve"> the conclusion was reached</w:t>
      </w:r>
      <w:r w:rsidRPr="00861A66">
        <w:rPr>
          <w:rFonts w:asciiTheme="majorHAnsi" w:hAnsiTheme="majorHAnsi"/>
          <w:sz w:val="20"/>
          <w:szCs w:val="20"/>
        </w:rPr>
        <w:t xml:space="preserve"> that the payment exception applied because the corresponding </w:t>
      </w:r>
      <w:r w:rsidR="002E1330">
        <w:rPr>
          <w:rFonts w:asciiTheme="majorHAnsi" w:hAnsiTheme="majorHAnsi"/>
          <w:sz w:val="20"/>
          <w:szCs w:val="20"/>
        </w:rPr>
        <w:t>compensation</w:t>
      </w:r>
      <w:r w:rsidRPr="00861A66">
        <w:rPr>
          <w:rFonts w:asciiTheme="majorHAnsi" w:hAnsiTheme="majorHAnsi"/>
          <w:sz w:val="20"/>
          <w:szCs w:val="20"/>
        </w:rPr>
        <w:t xml:space="preserve"> according to the law </w:t>
      </w:r>
      <w:r w:rsidR="002E1330">
        <w:rPr>
          <w:rFonts w:asciiTheme="majorHAnsi" w:hAnsiTheme="majorHAnsi"/>
          <w:sz w:val="20"/>
          <w:szCs w:val="20"/>
        </w:rPr>
        <w:t>were those</w:t>
      </w:r>
      <w:r w:rsidRPr="00861A66">
        <w:rPr>
          <w:rFonts w:asciiTheme="majorHAnsi" w:hAnsiTheme="majorHAnsi"/>
          <w:sz w:val="20"/>
          <w:szCs w:val="20"/>
        </w:rPr>
        <w:t xml:space="preserve"> that the government had already </w:t>
      </w:r>
      <w:r w:rsidR="002E1330">
        <w:rPr>
          <w:rFonts w:asciiTheme="majorHAnsi" w:hAnsiTheme="majorHAnsi"/>
          <w:sz w:val="20"/>
          <w:szCs w:val="20"/>
        </w:rPr>
        <w:t>paid</w:t>
      </w:r>
      <w:r w:rsidRPr="00861A66">
        <w:rPr>
          <w:rFonts w:asciiTheme="majorHAnsi" w:hAnsiTheme="majorHAnsi"/>
          <w:sz w:val="20"/>
          <w:szCs w:val="20"/>
        </w:rPr>
        <w:t xml:space="preserve">. </w:t>
      </w:r>
      <w:r w:rsidR="002E1330">
        <w:rPr>
          <w:rFonts w:asciiTheme="majorHAnsi" w:hAnsiTheme="majorHAnsi"/>
          <w:sz w:val="20"/>
          <w:szCs w:val="20"/>
        </w:rPr>
        <w:t>The State</w:t>
      </w:r>
      <w:r w:rsidRPr="00861A66">
        <w:rPr>
          <w:rFonts w:asciiTheme="majorHAnsi" w:hAnsiTheme="majorHAnsi"/>
          <w:sz w:val="20"/>
          <w:szCs w:val="20"/>
        </w:rPr>
        <w:t xml:space="preserve"> argues that these people were compensated according to the applicable law because, as noted by the Supreme Court of Justice “although the dismissal occurred on the occasion of the impossibility of rei</w:t>
      </w:r>
      <w:r w:rsidR="002E1330">
        <w:rPr>
          <w:rFonts w:asciiTheme="majorHAnsi" w:hAnsiTheme="majorHAnsi"/>
          <w:sz w:val="20"/>
          <w:szCs w:val="20"/>
        </w:rPr>
        <w:t>nstatement</w:t>
      </w:r>
      <w:r w:rsidRPr="00861A66">
        <w:rPr>
          <w:rFonts w:asciiTheme="majorHAnsi" w:hAnsiTheme="majorHAnsi"/>
          <w:sz w:val="20"/>
          <w:szCs w:val="20"/>
        </w:rPr>
        <w:t xml:space="preserve">, </w:t>
      </w:r>
      <w:r w:rsidR="002E1330">
        <w:rPr>
          <w:rFonts w:asciiTheme="majorHAnsi" w:hAnsiTheme="majorHAnsi"/>
          <w:sz w:val="20"/>
          <w:szCs w:val="20"/>
        </w:rPr>
        <w:t>it</w:t>
      </w:r>
      <w:r w:rsidRPr="00861A66">
        <w:rPr>
          <w:rFonts w:asciiTheme="majorHAnsi" w:hAnsiTheme="majorHAnsi"/>
          <w:sz w:val="20"/>
          <w:szCs w:val="20"/>
        </w:rPr>
        <w:t xml:space="preserve"> can simply be qualified as a dismissal without just cause provided by </w:t>
      </w:r>
      <w:proofErr w:type="gramStart"/>
      <w:r w:rsidRPr="00861A66">
        <w:rPr>
          <w:rFonts w:asciiTheme="majorHAnsi" w:hAnsiTheme="majorHAnsi"/>
          <w:sz w:val="20"/>
          <w:szCs w:val="20"/>
        </w:rPr>
        <w:t>law ”</w:t>
      </w:r>
      <w:proofErr w:type="gramEnd"/>
      <w:r w:rsidRPr="00861A66">
        <w:rPr>
          <w:rFonts w:asciiTheme="majorHAnsi" w:hAnsiTheme="majorHAnsi"/>
          <w:sz w:val="20"/>
          <w:szCs w:val="20"/>
        </w:rPr>
        <w:t xml:space="preserve">, </w:t>
      </w:r>
      <w:r w:rsidR="002E1330">
        <w:rPr>
          <w:rFonts w:asciiTheme="majorHAnsi" w:hAnsiTheme="majorHAnsi"/>
          <w:sz w:val="20"/>
          <w:szCs w:val="20"/>
        </w:rPr>
        <w:t>s</w:t>
      </w:r>
      <w:r w:rsidRPr="00861A66">
        <w:rPr>
          <w:rFonts w:asciiTheme="majorHAnsi" w:hAnsiTheme="majorHAnsi"/>
          <w:sz w:val="20"/>
          <w:szCs w:val="20"/>
        </w:rPr>
        <w:t>o that compensation was correctly determined based on the regulatory regime applicable to the dismissals of official workers.</w:t>
      </w:r>
    </w:p>
    <w:p w14:paraId="082D7B43" w14:textId="128B62BC" w:rsidR="008C5751" w:rsidRPr="002E1330" w:rsidRDefault="004C616A" w:rsidP="005542F5">
      <w:pPr>
        <w:pStyle w:val="ListParagraph"/>
        <w:spacing w:before="120" w:after="120"/>
        <w:jc w:val="both"/>
        <w:rPr>
          <w:rFonts w:asciiTheme="majorHAnsi" w:hAnsiTheme="majorHAnsi"/>
          <w:b/>
          <w:bCs/>
          <w:sz w:val="20"/>
          <w:szCs w:val="20"/>
        </w:rPr>
      </w:pPr>
      <w:r w:rsidRPr="002E1330">
        <w:rPr>
          <w:rFonts w:asciiTheme="majorHAnsi" w:hAnsiTheme="majorHAnsi"/>
          <w:b/>
          <w:bCs/>
          <w:sz w:val="20"/>
          <w:szCs w:val="20"/>
        </w:rPr>
        <w:t xml:space="preserve">VI. </w:t>
      </w:r>
      <w:r w:rsidRPr="002E1330">
        <w:rPr>
          <w:rFonts w:asciiTheme="majorHAnsi" w:hAnsiTheme="majorHAnsi"/>
          <w:b/>
          <w:bCs/>
          <w:sz w:val="20"/>
          <w:szCs w:val="20"/>
        </w:rPr>
        <w:tab/>
      </w:r>
      <w:r w:rsidR="002E1330" w:rsidRPr="002E1330">
        <w:rPr>
          <w:rFonts w:asciiTheme="majorHAnsi" w:hAnsiTheme="majorHAnsi"/>
          <w:b/>
          <w:bCs/>
          <w:sz w:val="20"/>
          <w:szCs w:val="20"/>
        </w:rPr>
        <w:t>EXHAUSTION OF DOMESTIC REMEDIES AND TIMELINESS OF THE PETITION</w:t>
      </w:r>
    </w:p>
    <w:p w14:paraId="4CEFF86A" w14:textId="4D338D60" w:rsidR="002E1330" w:rsidRPr="002E1330" w:rsidRDefault="002E1330"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2E1330">
        <w:rPr>
          <w:rFonts w:asciiTheme="majorHAnsi" w:hAnsiTheme="majorHAnsi"/>
          <w:sz w:val="20"/>
          <w:szCs w:val="20"/>
        </w:rPr>
        <w:t xml:space="preserve">The Commission observes that the petitioner has argued that the domestic remedies were exhausted with the decision of the Labor Chamber of the Supreme Court of Justice of September 21, 2010, which denied the claims of the workers with respect to compliance with the minutes of </w:t>
      </w:r>
      <w:r>
        <w:rPr>
          <w:rFonts w:asciiTheme="majorHAnsi" w:hAnsiTheme="majorHAnsi"/>
          <w:sz w:val="20"/>
          <w:szCs w:val="20"/>
        </w:rPr>
        <w:t>agreement.</w:t>
      </w:r>
      <w:r w:rsidRPr="002E1330">
        <w:rPr>
          <w:rFonts w:asciiTheme="majorHAnsi" w:hAnsiTheme="majorHAnsi"/>
          <w:sz w:val="20"/>
          <w:szCs w:val="20"/>
        </w:rPr>
        <w:t xml:space="preserve"> Likewise, it notes that the State has not indicated that there are non-exhausted domestic remedies that could be suitable for the petitioner's claims nor has it presented objections related to the deadline for submitting the petition; In addition, </w:t>
      </w:r>
      <w:r>
        <w:rPr>
          <w:rFonts w:asciiTheme="majorHAnsi" w:hAnsiTheme="majorHAnsi"/>
          <w:sz w:val="20"/>
          <w:szCs w:val="20"/>
        </w:rPr>
        <w:t>the State</w:t>
      </w:r>
      <w:r w:rsidRPr="002E1330">
        <w:rPr>
          <w:rFonts w:asciiTheme="majorHAnsi" w:hAnsiTheme="majorHAnsi"/>
          <w:sz w:val="20"/>
          <w:szCs w:val="20"/>
        </w:rPr>
        <w:t xml:space="preserve"> said that "the petitioners have supplied and exhausted the resources at their disposal."</w:t>
      </w:r>
    </w:p>
    <w:p w14:paraId="5E54017B" w14:textId="169518A7" w:rsidR="002E1330" w:rsidRPr="002E1330" w:rsidRDefault="002E1330"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2E1330">
        <w:rPr>
          <w:rFonts w:asciiTheme="majorHAnsi" w:hAnsiTheme="majorHAnsi"/>
          <w:sz w:val="20"/>
          <w:szCs w:val="20"/>
        </w:rPr>
        <w:t xml:space="preserve">With regards to the part of the petition that refers to the alleged victims that did not enjoy protection arising out of the legal rights of union representatives, the Commission notes that the </w:t>
      </w:r>
      <w:r w:rsidR="002A0BC2">
        <w:rPr>
          <w:rFonts w:asciiTheme="majorHAnsi" w:hAnsiTheme="majorHAnsi"/>
          <w:sz w:val="20"/>
          <w:szCs w:val="20"/>
        </w:rPr>
        <w:t>domestic resources were exhausted by t</w:t>
      </w:r>
      <w:r w:rsidR="003503DD">
        <w:rPr>
          <w:rFonts w:asciiTheme="majorHAnsi" w:hAnsiTheme="majorHAnsi"/>
          <w:sz w:val="20"/>
          <w:szCs w:val="20"/>
        </w:rPr>
        <w:t>he decision of September 21, 201</w:t>
      </w:r>
      <w:r w:rsidR="002A0BC2">
        <w:rPr>
          <w:rFonts w:asciiTheme="majorHAnsi" w:hAnsiTheme="majorHAnsi"/>
          <w:sz w:val="20"/>
          <w:szCs w:val="20"/>
        </w:rPr>
        <w:t>0. Therefore, and in light of the fact that the petition was filed on March 11, 2011, the Commission concludes that this petition meets the requirements of article 46.1 (a) and (b) of the American Convention.</w:t>
      </w:r>
    </w:p>
    <w:p w14:paraId="76883381" w14:textId="76E1BDD2" w:rsidR="002A0BC2" w:rsidRPr="002A0BC2" w:rsidRDefault="002A0BC2"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2A0BC2">
        <w:rPr>
          <w:rFonts w:asciiTheme="majorHAnsi" w:hAnsiTheme="majorHAnsi"/>
          <w:sz w:val="20"/>
          <w:szCs w:val="20"/>
        </w:rPr>
        <w:t>With regards to the part of the petition that refers to the 12 individ</w:t>
      </w:r>
      <w:r>
        <w:rPr>
          <w:rFonts w:asciiTheme="majorHAnsi" w:hAnsiTheme="majorHAnsi"/>
          <w:sz w:val="20"/>
          <w:szCs w:val="20"/>
        </w:rPr>
        <w:t xml:space="preserve">uals who enjoyed protection from their legal rights as union representatives, the Commission notes that the petitioners have only made reference to the executive procedure that they initiated, which concluded </w:t>
      </w:r>
      <w:r w:rsidR="003062B9">
        <w:rPr>
          <w:rFonts w:asciiTheme="majorHAnsi" w:hAnsiTheme="majorHAnsi"/>
          <w:sz w:val="20"/>
          <w:szCs w:val="20"/>
        </w:rPr>
        <w:t>with a second instance decision on June 17, 2005. However, the State has explained that, after that, these persons filed individual complains in ordinary procedure</w:t>
      </w:r>
      <w:r w:rsidR="003503DD">
        <w:rPr>
          <w:rFonts w:asciiTheme="majorHAnsi" w:hAnsiTheme="majorHAnsi"/>
          <w:sz w:val="20"/>
          <w:szCs w:val="20"/>
        </w:rPr>
        <w:t>s</w:t>
      </w:r>
      <w:r w:rsidR="003062B9">
        <w:rPr>
          <w:rFonts w:asciiTheme="majorHAnsi" w:hAnsiTheme="majorHAnsi"/>
          <w:sz w:val="20"/>
          <w:szCs w:val="20"/>
        </w:rPr>
        <w:t xml:space="preserve"> which resulted in over 10 separate judicial procedures and made reference to four final cassation judgments in these procedures which were adopted in 2013 (2), 2014 and 2017</w:t>
      </w:r>
      <w:r w:rsidR="003062B9" w:rsidRPr="00002149">
        <w:rPr>
          <w:rStyle w:val="FootnoteReference"/>
          <w:rFonts w:asciiTheme="majorHAnsi" w:hAnsiTheme="majorHAnsi"/>
          <w:sz w:val="20"/>
          <w:szCs w:val="20"/>
          <w:lang w:val="es-ES"/>
        </w:rPr>
        <w:footnoteReference w:id="13"/>
      </w:r>
      <w:r w:rsidR="003062B9">
        <w:rPr>
          <w:rFonts w:asciiTheme="majorHAnsi" w:hAnsiTheme="majorHAnsi"/>
          <w:sz w:val="20"/>
          <w:szCs w:val="20"/>
        </w:rPr>
        <w:t>. The State does not detail the status of each of the procedures nor the date in which the latest decisions in the rest of the procedures were issued, nor has the petitioner submitted information about this. Regardless of these circumstances, the Commission appraises the following facts: (1) the State, that has this information, has not submitted objections relation to the timeliness of the p</w:t>
      </w:r>
      <w:r w:rsidR="003503DD">
        <w:rPr>
          <w:rFonts w:asciiTheme="majorHAnsi" w:hAnsiTheme="majorHAnsi"/>
          <w:sz w:val="20"/>
          <w:szCs w:val="20"/>
        </w:rPr>
        <w:t>etition and has expressed that “</w:t>
      </w:r>
      <w:r w:rsidR="003062B9">
        <w:rPr>
          <w:rFonts w:asciiTheme="majorHAnsi" w:hAnsiTheme="majorHAnsi"/>
          <w:sz w:val="20"/>
          <w:szCs w:val="20"/>
        </w:rPr>
        <w:t>the petitioners have had recourse and have exhausted the remedies that were available to them” and (2) the dates of the four final cassation decisions in the ordinary procedures that were informed by the State. In light of the appraisal of such facts, the Commission concludes that this petition</w:t>
      </w:r>
      <w:r w:rsidR="00BB7BBB">
        <w:rPr>
          <w:rFonts w:asciiTheme="majorHAnsi" w:hAnsiTheme="majorHAnsi"/>
          <w:sz w:val="20"/>
          <w:szCs w:val="20"/>
        </w:rPr>
        <w:t xml:space="preserve"> meets the requirements of article 46.1 (a) and (b) of the American Convention.</w:t>
      </w:r>
    </w:p>
    <w:p w14:paraId="7090A929" w14:textId="2049DB89" w:rsidR="00F04591" w:rsidRPr="00002149" w:rsidRDefault="00F04591" w:rsidP="00647756">
      <w:pPr>
        <w:pStyle w:val="ListParagraph"/>
        <w:spacing w:before="120" w:after="120"/>
        <w:jc w:val="both"/>
        <w:rPr>
          <w:rFonts w:asciiTheme="majorHAnsi" w:hAnsiTheme="majorHAnsi"/>
          <w:b/>
          <w:bCs/>
          <w:sz w:val="20"/>
          <w:szCs w:val="20"/>
          <w:lang w:val="es-ES"/>
        </w:rPr>
      </w:pPr>
      <w:r w:rsidRPr="00002149">
        <w:rPr>
          <w:rFonts w:asciiTheme="majorHAnsi" w:hAnsiTheme="majorHAnsi"/>
          <w:b/>
          <w:bCs/>
          <w:sz w:val="20"/>
          <w:szCs w:val="20"/>
          <w:lang w:val="es-ES"/>
        </w:rPr>
        <w:t>V</w:t>
      </w:r>
      <w:r w:rsidR="000E2789" w:rsidRPr="00002149">
        <w:rPr>
          <w:rFonts w:asciiTheme="majorHAnsi" w:hAnsiTheme="majorHAnsi"/>
          <w:b/>
          <w:bCs/>
          <w:sz w:val="20"/>
          <w:szCs w:val="20"/>
          <w:lang w:val="es-ES"/>
        </w:rPr>
        <w:t>I</w:t>
      </w:r>
      <w:r w:rsidRPr="00002149">
        <w:rPr>
          <w:rFonts w:asciiTheme="majorHAnsi" w:hAnsiTheme="majorHAnsi"/>
          <w:b/>
          <w:bCs/>
          <w:sz w:val="20"/>
          <w:szCs w:val="20"/>
          <w:lang w:val="es-ES"/>
        </w:rPr>
        <w:t xml:space="preserve">I. </w:t>
      </w:r>
      <w:r w:rsidRPr="00002149">
        <w:rPr>
          <w:rFonts w:asciiTheme="majorHAnsi" w:hAnsiTheme="majorHAnsi"/>
          <w:b/>
          <w:bCs/>
          <w:sz w:val="20"/>
          <w:szCs w:val="20"/>
          <w:lang w:val="es-ES"/>
        </w:rPr>
        <w:tab/>
      </w:r>
      <w:r w:rsidR="00BB7BBB">
        <w:rPr>
          <w:rFonts w:asciiTheme="majorHAnsi" w:hAnsiTheme="majorHAnsi"/>
          <w:b/>
          <w:bCs/>
          <w:sz w:val="20"/>
          <w:szCs w:val="20"/>
          <w:lang w:val="es-ES"/>
        </w:rPr>
        <w:t>COLORABLE CLAIM</w:t>
      </w:r>
    </w:p>
    <w:p w14:paraId="2B3756A6" w14:textId="4E523CF4" w:rsidR="00BB7BBB" w:rsidRPr="00BB7BBB" w:rsidRDefault="00BB7BBB"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BB7BBB">
        <w:rPr>
          <w:rFonts w:asciiTheme="majorHAnsi" w:hAnsiTheme="majorHAnsi"/>
          <w:sz w:val="20"/>
          <w:szCs w:val="20"/>
        </w:rPr>
        <w:t>The Commission notes</w:t>
      </w:r>
      <w:r>
        <w:rPr>
          <w:rFonts w:asciiTheme="majorHAnsi" w:hAnsiTheme="majorHAnsi"/>
          <w:sz w:val="20"/>
          <w:szCs w:val="20"/>
        </w:rPr>
        <w:t xml:space="preserve"> that</w:t>
      </w:r>
      <w:r w:rsidRPr="00BB7BBB">
        <w:rPr>
          <w:rFonts w:asciiTheme="majorHAnsi" w:hAnsiTheme="majorHAnsi"/>
          <w:sz w:val="20"/>
          <w:szCs w:val="20"/>
        </w:rPr>
        <w:t>, with regards to the 33 alleged victims that did not enjoy protection from legal rights as union represe</w:t>
      </w:r>
      <w:r>
        <w:rPr>
          <w:rFonts w:asciiTheme="majorHAnsi" w:hAnsiTheme="majorHAnsi"/>
          <w:sz w:val="20"/>
          <w:szCs w:val="20"/>
        </w:rPr>
        <w:t>ntatives, th</w:t>
      </w:r>
      <w:r w:rsidR="00215313">
        <w:rPr>
          <w:rFonts w:asciiTheme="majorHAnsi" w:hAnsiTheme="majorHAnsi"/>
          <w:sz w:val="20"/>
          <w:szCs w:val="20"/>
        </w:rPr>
        <w:t>ese</w:t>
      </w:r>
      <w:r>
        <w:rPr>
          <w:rFonts w:asciiTheme="majorHAnsi" w:hAnsiTheme="majorHAnsi"/>
          <w:sz w:val="20"/>
          <w:szCs w:val="20"/>
        </w:rPr>
        <w:t xml:space="preserve"> petitions includes allegation</w:t>
      </w:r>
      <w:r w:rsidR="009F5200">
        <w:rPr>
          <w:rFonts w:asciiTheme="majorHAnsi" w:hAnsiTheme="majorHAnsi"/>
          <w:sz w:val="20"/>
          <w:szCs w:val="20"/>
        </w:rPr>
        <w:t>s</w:t>
      </w:r>
      <w:r>
        <w:rPr>
          <w:rFonts w:asciiTheme="majorHAnsi" w:hAnsiTheme="majorHAnsi"/>
          <w:sz w:val="20"/>
          <w:szCs w:val="20"/>
        </w:rPr>
        <w:t xml:space="preserve"> to the effect that, in the context of collective bargaining, State agents acted in concert</w:t>
      </w:r>
      <w:r w:rsidR="009F5200">
        <w:rPr>
          <w:rFonts w:asciiTheme="majorHAnsi" w:hAnsiTheme="majorHAnsi"/>
          <w:sz w:val="20"/>
          <w:szCs w:val="20"/>
        </w:rPr>
        <w:t xml:space="preserve"> to illegitimately pressure the alleged victims (under threat of possible liquidation of the company for which they worked) for the purposes of having them agree to a modification of the collective bargaining agreement that protected them; that the departmental governor willfully deceived the alleged victims by committing to request the suspension of the treatment of the draft ordinance to liquidate the company, when his intent was always that the liquidation take place; and that the domestic courts did not protect the alleged victims because they endorsed the liquidation of the company in spite of the obvious deceit </w:t>
      </w:r>
      <w:r w:rsidR="00635367">
        <w:rPr>
          <w:rFonts w:asciiTheme="majorHAnsi" w:hAnsiTheme="majorHAnsi"/>
          <w:sz w:val="20"/>
          <w:szCs w:val="20"/>
        </w:rPr>
        <w:t>and the fact that the alleged victims ha</w:t>
      </w:r>
      <w:r w:rsidR="00D75A59">
        <w:rPr>
          <w:rFonts w:asciiTheme="majorHAnsi" w:hAnsiTheme="majorHAnsi"/>
          <w:sz w:val="20"/>
          <w:szCs w:val="20"/>
        </w:rPr>
        <w:t>d</w:t>
      </w:r>
      <w:r w:rsidR="00635367">
        <w:rPr>
          <w:rFonts w:asciiTheme="majorHAnsi" w:hAnsiTheme="majorHAnsi"/>
          <w:sz w:val="20"/>
          <w:szCs w:val="20"/>
        </w:rPr>
        <w:t xml:space="preserve"> fulfilled their part of the settlement by accepting the modification of the collective bargaining agreement.</w:t>
      </w:r>
    </w:p>
    <w:p w14:paraId="58E4F89B" w14:textId="10079CDC" w:rsidR="00635367" w:rsidRPr="00635367" w:rsidRDefault="00635367"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635367">
        <w:rPr>
          <w:rFonts w:asciiTheme="majorHAnsi" w:hAnsiTheme="majorHAnsi"/>
          <w:sz w:val="20"/>
          <w:szCs w:val="20"/>
        </w:rPr>
        <w:t xml:space="preserve">With regards to this first aspect of the petition, the Commission considers it pertinent to remember that it is competent to declare a petition admissible and to rule on its basis when the contested </w:t>
      </w:r>
      <w:r w:rsidRPr="00635367">
        <w:rPr>
          <w:rFonts w:asciiTheme="majorHAnsi" w:hAnsiTheme="majorHAnsi"/>
          <w:sz w:val="20"/>
          <w:szCs w:val="20"/>
        </w:rPr>
        <w:lastRenderedPageBreak/>
        <w:t>judgment can materially affect any right guaranteed by the American Convention</w:t>
      </w:r>
      <w:r w:rsidRPr="00002149">
        <w:rPr>
          <w:rStyle w:val="FootnoteReference"/>
          <w:rFonts w:asciiTheme="majorHAnsi" w:hAnsiTheme="majorHAnsi" w:cs="Calibri"/>
          <w:sz w:val="20"/>
          <w:szCs w:val="20"/>
          <w:lang w:val="es-ES_tradnl"/>
        </w:rPr>
        <w:footnoteReference w:id="14"/>
      </w:r>
      <w:r w:rsidRPr="00635367">
        <w:rPr>
          <w:rFonts w:asciiTheme="majorHAnsi" w:hAnsiTheme="majorHAnsi"/>
          <w:sz w:val="20"/>
          <w:szCs w:val="20"/>
        </w:rPr>
        <w:t>. It also considers it useful to resort to the Committee on Freedom of Associ</w:t>
      </w:r>
      <w:r w:rsidR="00D75A59">
        <w:rPr>
          <w:rFonts w:asciiTheme="majorHAnsi" w:hAnsiTheme="majorHAnsi"/>
          <w:sz w:val="20"/>
          <w:szCs w:val="20"/>
        </w:rPr>
        <w:t xml:space="preserve">ation of the ILO Governing Body </w:t>
      </w:r>
      <w:r w:rsidRPr="00635367">
        <w:rPr>
          <w:rFonts w:asciiTheme="majorHAnsi" w:hAnsiTheme="majorHAnsi"/>
          <w:sz w:val="20"/>
          <w:szCs w:val="20"/>
        </w:rPr>
        <w:t xml:space="preserve">which has established that there are two fundamental principles that apply to </w:t>
      </w:r>
      <w:r w:rsidR="00D75A59">
        <w:rPr>
          <w:rFonts w:asciiTheme="majorHAnsi" w:hAnsiTheme="majorHAnsi"/>
          <w:sz w:val="20"/>
          <w:szCs w:val="20"/>
        </w:rPr>
        <w:t>collective bargaining</w:t>
      </w:r>
      <w:r w:rsidRPr="00635367">
        <w:rPr>
          <w:rFonts w:asciiTheme="majorHAnsi" w:hAnsiTheme="majorHAnsi"/>
          <w:sz w:val="20"/>
          <w:szCs w:val="20"/>
        </w:rPr>
        <w:t>: (</w:t>
      </w:r>
      <w:proofErr w:type="spellStart"/>
      <w:r w:rsidRPr="00635367">
        <w:rPr>
          <w:rFonts w:asciiTheme="majorHAnsi" w:hAnsiTheme="majorHAnsi"/>
          <w:sz w:val="20"/>
          <w:szCs w:val="20"/>
        </w:rPr>
        <w:t>i</w:t>
      </w:r>
      <w:proofErr w:type="spellEnd"/>
      <w:r w:rsidRPr="00635367">
        <w:rPr>
          <w:rFonts w:asciiTheme="majorHAnsi" w:hAnsiTheme="majorHAnsi"/>
          <w:sz w:val="20"/>
          <w:szCs w:val="20"/>
        </w:rPr>
        <w:t>) free and voluntary negotiation</w:t>
      </w:r>
      <w:r w:rsidRPr="00002149">
        <w:rPr>
          <w:rStyle w:val="FootnoteReference"/>
          <w:rFonts w:asciiTheme="majorHAnsi" w:hAnsiTheme="majorHAnsi"/>
          <w:sz w:val="20"/>
          <w:szCs w:val="20"/>
          <w:lang w:val="es-ES"/>
        </w:rPr>
        <w:footnoteReference w:id="15"/>
      </w:r>
      <w:r w:rsidRPr="00635367">
        <w:rPr>
          <w:rFonts w:asciiTheme="majorHAnsi" w:hAnsiTheme="majorHAnsi"/>
          <w:sz w:val="20"/>
          <w:szCs w:val="20"/>
        </w:rPr>
        <w:t>; and (ii) negotiation in good faith</w:t>
      </w:r>
      <w:r w:rsidRPr="00002149">
        <w:rPr>
          <w:rStyle w:val="FootnoteReference"/>
          <w:rFonts w:asciiTheme="majorHAnsi" w:hAnsiTheme="majorHAnsi"/>
          <w:sz w:val="20"/>
          <w:szCs w:val="20"/>
          <w:lang w:val="es-ES"/>
        </w:rPr>
        <w:footnoteReference w:id="16"/>
      </w:r>
      <w:r w:rsidRPr="00635367">
        <w:rPr>
          <w:rFonts w:asciiTheme="majorHAnsi" w:hAnsiTheme="majorHAnsi"/>
          <w:sz w:val="20"/>
          <w:szCs w:val="20"/>
        </w:rPr>
        <w:t xml:space="preserve">. In this regard, the Commission considers that the State has the responsibility of guaranteeing the effective recognition of the right to collective bargaining in the field of work, which means, for example, to discourage conduct contrary to good faith or unfair practices by the parties, either at the beginning or in the negotiation process, that is, taking appropriate measures to ensure compliance and protection of what was agreed; </w:t>
      </w:r>
      <w:r w:rsidR="0028246E">
        <w:rPr>
          <w:rFonts w:asciiTheme="majorHAnsi" w:hAnsiTheme="majorHAnsi"/>
          <w:sz w:val="20"/>
          <w:szCs w:val="20"/>
        </w:rPr>
        <w:t>t</w:t>
      </w:r>
      <w:r w:rsidRPr="00635367">
        <w:rPr>
          <w:rFonts w:asciiTheme="majorHAnsi" w:hAnsiTheme="majorHAnsi"/>
          <w:sz w:val="20"/>
          <w:szCs w:val="20"/>
        </w:rPr>
        <w:t xml:space="preserve">he State must also promote collective bargaining respecting the autonomy of the parties involved and the free and voluntary nature of the process under the applicable standards. </w:t>
      </w:r>
      <w:r w:rsidR="00215313" w:rsidRPr="00635367">
        <w:rPr>
          <w:rFonts w:asciiTheme="majorHAnsi" w:hAnsiTheme="majorHAnsi"/>
          <w:sz w:val="20"/>
          <w:szCs w:val="20"/>
        </w:rPr>
        <w:t>Similarly,</w:t>
      </w:r>
      <w:r w:rsidRPr="00635367">
        <w:rPr>
          <w:rFonts w:asciiTheme="majorHAnsi" w:hAnsiTheme="majorHAnsi"/>
          <w:sz w:val="20"/>
          <w:szCs w:val="20"/>
        </w:rPr>
        <w:t xml:space="preserve"> </w:t>
      </w:r>
      <w:r w:rsidR="0028246E">
        <w:rPr>
          <w:rFonts w:asciiTheme="majorHAnsi" w:hAnsiTheme="majorHAnsi"/>
          <w:sz w:val="20"/>
          <w:szCs w:val="20"/>
        </w:rPr>
        <w:t>the Commission reminds</w:t>
      </w:r>
      <w:r w:rsidRPr="00635367">
        <w:rPr>
          <w:rFonts w:asciiTheme="majorHAnsi" w:hAnsiTheme="majorHAnsi"/>
          <w:sz w:val="20"/>
          <w:szCs w:val="20"/>
        </w:rPr>
        <w:t xml:space="preserve"> that </w:t>
      </w:r>
      <w:r w:rsidR="0028246E">
        <w:rPr>
          <w:rFonts w:asciiTheme="majorHAnsi" w:hAnsiTheme="majorHAnsi"/>
          <w:sz w:val="20"/>
          <w:szCs w:val="20"/>
        </w:rPr>
        <w:t>workers are</w:t>
      </w:r>
      <w:r w:rsidRPr="00635367">
        <w:rPr>
          <w:rFonts w:asciiTheme="majorHAnsi" w:hAnsiTheme="majorHAnsi"/>
          <w:sz w:val="20"/>
          <w:szCs w:val="20"/>
        </w:rPr>
        <w:t xml:space="preserve"> presume</w:t>
      </w:r>
      <w:r w:rsidR="0028246E">
        <w:rPr>
          <w:rFonts w:asciiTheme="majorHAnsi" w:hAnsiTheme="majorHAnsi"/>
          <w:sz w:val="20"/>
          <w:szCs w:val="20"/>
        </w:rPr>
        <w:t>d to be</w:t>
      </w:r>
      <w:r w:rsidRPr="00635367">
        <w:rPr>
          <w:rFonts w:asciiTheme="majorHAnsi" w:hAnsiTheme="majorHAnsi"/>
          <w:sz w:val="20"/>
          <w:szCs w:val="20"/>
        </w:rPr>
        <w:t xml:space="preserve"> the weak part of collective bargaining.</w:t>
      </w:r>
    </w:p>
    <w:p w14:paraId="51B72BFE" w14:textId="05AC4B97" w:rsidR="00EF3539" w:rsidRPr="00EF3539" w:rsidRDefault="0028246E" w:rsidP="00EF35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28246E">
        <w:rPr>
          <w:rFonts w:asciiTheme="majorHAnsi" w:hAnsiTheme="majorHAnsi"/>
          <w:sz w:val="20"/>
          <w:szCs w:val="20"/>
        </w:rPr>
        <w:t xml:space="preserve">In relation to the part of the petition that refers to the 12 alleged victims that enjoyed protection from their legal rights as union representatives, the Commission notes that the parties agree that such protection was breached, which was recognized by domestic courts and </w:t>
      </w:r>
      <w:r>
        <w:rPr>
          <w:rFonts w:asciiTheme="majorHAnsi" w:hAnsiTheme="majorHAnsi"/>
          <w:sz w:val="20"/>
          <w:szCs w:val="20"/>
        </w:rPr>
        <w:t>resulted in a sentence ordering the reinstatement of these individuals to the departmental administration. The parties also agree on the fact that the government paid compensation after declaring through a resolution that it was impossible to fulfill the order for reinstatement.</w:t>
      </w:r>
      <w:r w:rsidR="00EF3539">
        <w:rPr>
          <w:rFonts w:asciiTheme="majorHAnsi" w:hAnsiTheme="majorHAnsi"/>
          <w:sz w:val="20"/>
          <w:szCs w:val="20"/>
        </w:rPr>
        <w:t xml:space="preserve"> The allegations of the petitioner include: that the reinstatement was not impossible; that the declaration of impossibility of reinstatement should not have been unilateral bur rather through a previous judicial procedure in which workers were involved; that the courts did not grant them effective judicial protection because they did not examined in depth whether the reinstatement was actually impossible; that the courts</w:t>
      </w:r>
      <w:r w:rsidR="00855734">
        <w:rPr>
          <w:rFonts w:asciiTheme="majorHAnsi" w:hAnsiTheme="majorHAnsi"/>
          <w:sz w:val="20"/>
          <w:szCs w:val="20"/>
        </w:rPr>
        <w:t xml:space="preserve"> refused to hear their request for full compensation as an alternative to the fulfillment of the reinstatement in the context of the executive procedure for compliance with the sentence and demanding that they file this claim in a long ordinary process; that the failure to comply with a judicial order demanding reinstatement for violation of the protection afforded by legal rights as union representatives is a different situation from a </w:t>
      </w:r>
      <w:r w:rsidR="006F53DB">
        <w:rPr>
          <w:rFonts w:asciiTheme="majorHAnsi" w:hAnsiTheme="majorHAnsi"/>
          <w:sz w:val="20"/>
          <w:szCs w:val="20"/>
        </w:rPr>
        <w:t>dismissal without just cause, and therefore demands full reparation which is different from the mere payment of compensation established by law for causes of dismissal without just cause of workers that do not enjoy protection from legal rights afforded to them as union representatives.</w:t>
      </w:r>
    </w:p>
    <w:p w14:paraId="52FE6AB0" w14:textId="14C62229" w:rsidR="006F53DB" w:rsidRPr="006F53DB" w:rsidRDefault="006F53DB"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6F53DB">
        <w:rPr>
          <w:rFonts w:asciiTheme="majorHAnsi" w:hAnsiTheme="majorHAnsi"/>
          <w:sz w:val="20"/>
          <w:szCs w:val="20"/>
        </w:rPr>
        <w:t xml:space="preserve">With regards to this second aspect of the petition, the Commission </w:t>
      </w:r>
      <w:r>
        <w:rPr>
          <w:rFonts w:asciiTheme="majorHAnsi" w:hAnsiTheme="majorHAnsi"/>
          <w:sz w:val="20"/>
          <w:szCs w:val="20"/>
        </w:rPr>
        <w:t>deems it pertinent to remind that it has already recognized that the right to judicial protection implies the obligation of the State to guarantee compliance with decisions in which a claim has been deemed admissible and has already warned that “w</w:t>
      </w:r>
      <w:r w:rsidRPr="006F53DB">
        <w:rPr>
          <w:rFonts w:asciiTheme="majorHAnsi" w:hAnsiTheme="majorHAnsi"/>
          <w:sz w:val="20"/>
          <w:szCs w:val="20"/>
        </w:rPr>
        <w:t>hen an organ of the State does not wish to carry out a judicial ruling that has gone against it, it may try to ignore the ruling by simply failing to observe it, or it may opt for more or less elaborate methods that will lead to the same objective of rendering the ruling ineffective, while trying to maintain a certain appearance of formal validity in its proceedings</w:t>
      </w:r>
      <w:r>
        <w:rPr>
          <w:rFonts w:asciiTheme="majorHAnsi" w:hAnsiTheme="majorHAnsi"/>
          <w:sz w:val="20"/>
          <w:szCs w:val="20"/>
        </w:rPr>
        <w:t>”</w:t>
      </w:r>
      <w:r w:rsidR="00D75A59">
        <w:rPr>
          <w:rFonts w:asciiTheme="majorHAnsi" w:hAnsiTheme="majorHAnsi"/>
          <w:sz w:val="20"/>
          <w:szCs w:val="20"/>
        </w:rPr>
        <w:t>.</w:t>
      </w:r>
      <w:r w:rsidRPr="00002149">
        <w:rPr>
          <w:rStyle w:val="FootnoteReference"/>
          <w:rFonts w:asciiTheme="majorHAnsi" w:hAnsiTheme="majorHAnsi"/>
          <w:sz w:val="20"/>
          <w:szCs w:val="20"/>
          <w:lang w:val="es-PA"/>
        </w:rPr>
        <w:footnoteReference w:id="17"/>
      </w:r>
    </w:p>
    <w:p w14:paraId="4B5E4A6F" w14:textId="3141D40F" w:rsidR="006F53DB" w:rsidRPr="006F53DB" w:rsidRDefault="006F53DB" w:rsidP="00FE49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6F53DB">
        <w:rPr>
          <w:rFonts w:asciiTheme="majorHAnsi" w:hAnsiTheme="majorHAnsi"/>
          <w:sz w:val="20"/>
          <w:szCs w:val="20"/>
        </w:rPr>
        <w:t>In light of these considerations and af</w:t>
      </w:r>
      <w:r>
        <w:rPr>
          <w:rFonts w:asciiTheme="majorHAnsi" w:hAnsiTheme="majorHAnsi"/>
          <w:sz w:val="20"/>
          <w:szCs w:val="20"/>
        </w:rPr>
        <w:t xml:space="preserve">ter examining the elements of fact and law presented by the parties, the Commission considers that the allegations of the petitioner are not manifestly unfounded and require a study in the merits stage as the alleged facts, if corroborated, </w:t>
      </w:r>
      <w:r w:rsidR="00390819">
        <w:rPr>
          <w:rFonts w:asciiTheme="majorHAnsi" w:hAnsiTheme="majorHAnsi"/>
          <w:sz w:val="20"/>
          <w:szCs w:val="20"/>
        </w:rPr>
        <w:t>could be characterized as violations to articles 8 (fair trial), 16 (freedom of association), 25 (judicial protection) and 26 (economic, social and cultural rights) of the American Convention in relation to its articles 1.1 (obligation to respect rights and 2 (domestic legal effects); as well as of article 8.1(a) (trade union rights) of the San Salvador Protocol.</w:t>
      </w:r>
    </w:p>
    <w:p w14:paraId="1E555EE1" w14:textId="5940D561" w:rsidR="00390819" w:rsidRPr="00390819" w:rsidRDefault="00390819" w:rsidP="00FE4910">
      <w:pPr>
        <w:pStyle w:val="ListParagraph"/>
        <w:numPr>
          <w:ilvl w:val="0"/>
          <w:numId w:val="55"/>
        </w:numPr>
        <w:jc w:val="both"/>
        <w:rPr>
          <w:rFonts w:asciiTheme="majorHAnsi" w:eastAsia="Times New Roman" w:hAnsiTheme="majorHAnsi" w:cs="Times New Roman"/>
          <w:color w:val="auto"/>
          <w:sz w:val="20"/>
          <w:szCs w:val="20"/>
        </w:rPr>
      </w:pPr>
      <w:r w:rsidRPr="00390819">
        <w:rPr>
          <w:rFonts w:asciiTheme="majorHAnsi" w:eastAsia="Times New Roman" w:hAnsiTheme="majorHAnsi" w:cs="Times New Roman"/>
          <w:color w:val="auto"/>
          <w:sz w:val="20"/>
          <w:szCs w:val="20"/>
        </w:rPr>
        <w:t xml:space="preserve">With regards to the alleged violations or </w:t>
      </w:r>
      <w:r>
        <w:rPr>
          <w:rFonts w:asciiTheme="majorHAnsi" w:eastAsia="Times New Roman" w:hAnsiTheme="majorHAnsi" w:cs="Times New Roman"/>
          <w:color w:val="auto"/>
          <w:sz w:val="20"/>
          <w:szCs w:val="20"/>
        </w:rPr>
        <w:t xml:space="preserve">Article XIV (work and fair remuneration) of the American Declaration, the Commission considers that the facts of the case could, if corroborated, be characterized as violations to this article. However, the Commission has previously established that, once the American Convention enters into force in relation to a State, it is it and not the Declaration that becomes the primary source of law applicable by the Commission, to the extent that the petition refers to the violation of rights that are identical in both instruments and does not constitute a continued violation. In relation to the claim concerning this article, and in addition to the discussion concerning the primary source of applicable law, and considering that article 26 of the Convention makes a general reference to economic, social and cultural </w:t>
      </w:r>
      <w:r>
        <w:rPr>
          <w:rFonts w:asciiTheme="majorHAnsi" w:eastAsia="Times New Roman" w:hAnsiTheme="majorHAnsi" w:cs="Times New Roman"/>
          <w:color w:val="auto"/>
          <w:sz w:val="20"/>
          <w:szCs w:val="20"/>
        </w:rPr>
        <w:lastRenderedPageBreak/>
        <w:t>rights</w:t>
      </w:r>
      <w:r w:rsidR="00472B2F">
        <w:rPr>
          <w:rFonts w:asciiTheme="majorHAnsi" w:eastAsia="Times New Roman" w:hAnsiTheme="majorHAnsi" w:cs="Times New Roman"/>
          <w:color w:val="auto"/>
          <w:sz w:val="20"/>
          <w:szCs w:val="20"/>
        </w:rPr>
        <w:t xml:space="preserve"> and that these need to be determined in connection with the OAS Charter and applicable instruments, the Commission considers that in cases where a specific violation of the Declaration related to the general content of article 26 is claimed, its analysis must be performed at the merits stage.</w:t>
      </w:r>
    </w:p>
    <w:p w14:paraId="050A3076" w14:textId="77777777" w:rsidR="00A971BF" w:rsidRPr="00D1744B" w:rsidRDefault="00A971BF" w:rsidP="00472B2F">
      <w:pPr>
        <w:jc w:val="both"/>
        <w:rPr>
          <w:rFonts w:asciiTheme="majorHAnsi" w:eastAsia="Times New Roman" w:hAnsiTheme="majorHAnsi"/>
          <w:sz w:val="20"/>
          <w:szCs w:val="20"/>
        </w:rPr>
      </w:pPr>
    </w:p>
    <w:p w14:paraId="0AC071D6" w14:textId="70887D5D" w:rsidR="003854B6" w:rsidRPr="00472B2F" w:rsidRDefault="00472B2F" w:rsidP="00472B2F">
      <w:pPr>
        <w:pStyle w:val="ListParagraph"/>
        <w:numPr>
          <w:ilvl w:val="0"/>
          <w:numId w:val="55"/>
        </w:numPr>
        <w:jc w:val="both"/>
      </w:pPr>
      <w:r w:rsidRPr="00472B2F">
        <w:rPr>
          <w:rFonts w:asciiTheme="majorHAnsi" w:eastAsia="Times New Roman" w:hAnsiTheme="majorHAnsi" w:cs="Times New Roman"/>
          <w:sz w:val="20"/>
          <w:szCs w:val="20"/>
        </w:rPr>
        <w:t xml:space="preserve">With regards to the alleged violations to article </w:t>
      </w:r>
      <w:r>
        <w:rPr>
          <w:rFonts w:asciiTheme="majorHAnsi" w:eastAsia="Times New Roman" w:hAnsiTheme="majorHAnsi" w:cs="Times New Roman"/>
          <w:sz w:val="20"/>
          <w:szCs w:val="20"/>
        </w:rPr>
        <w:t xml:space="preserve">7 of the San Salvador Protocol and to instruments of the Universal System for the Protection of Human Rights and of the International Labor </w:t>
      </w:r>
      <w:proofErr w:type="spellStart"/>
      <w:r>
        <w:rPr>
          <w:rFonts w:asciiTheme="majorHAnsi" w:eastAsia="Times New Roman" w:hAnsiTheme="majorHAnsi" w:cs="Times New Roman"/>
          <w:sz w:val="20"/>
          <w:szCs w:val="20"/>
        </w:rPr>
        <w:t>Organisation</w:t>
      </w:r>
      <w:proofErr w:type="spellEnd"/>
      <w:r>
        <w:rPr>
          <w:rFonts w:asciiTheme="majorHAnsi" w:eastAsia="Times New Roman" w:hAnsiTheme="majorHAnsi" w:cs="Times New Roman"/>
          <w:sz w:val="20"/>
          <w:szCs w:val="20"/>
        </w:rPr>
        <w:t xml:space="preserve">, the IACHR lacks </w:t>
      </w:r>
      <w:proofErr w:type="spellStart"/>
      <w:r>
        <w:rPr>
          <w:rFonts w:asciiTheme="majorHAnsi" w:eastAsia="Times New Roman" w:hAnsiTheme="majorHAnsi" w:cs="Times New Roman"/>
          <w:i/>
          <w:iCs/>
          <w:sz w:val="20"/>
          <w:szCs w:val="20"/>
        </w:rPr>
        <w:t>ratione</w:t>
      </w:r>
      <w:proofErr w:type="spellEnd"/>
      <w:r>
        <w:rPr>
          <w:rFonts w:asciiTheme="majorHAnsi" w:eastAsia="Times New Roman" w:hAnsiTheme="majorHAnsi" w:cs="Times New Roman"/>
          <w:i/>
          <w:iCs/>
          <w:sz w:val="20"/>
          <w:szCs w:val="20"/>
        </w:rPr>
        <w:t xml:space="preserve"> </w:t>
      </w:r>
      <w:proofErr w:type="spellStart"/>
      <w:r>
        <w:rPr>
          <w:rFonts w:asciiTheme="majorHAnsi" w:eastAsia="Times New Roman" w:hAnsiTheme="majorHAnsi" w:cs="Times New Roman"/>
          <w:i/>
          <w:iCs/>
          <w:sz w:val="20"/>
          <w:szCs w:val="20"/>
        </w:rPr>
        <w:t>materiae</w:t>
      </w:r>
      <w:proofErr w:type="spellEnd"/>
      <w:r>
        <w:rPr>
          <w:rFonts w:asciiTheme="majorHAnsi" w:eastAsia="Times New Roman" w:hAnsiTheme="majorHAnsi" w:cs="Times New Roman"/>
          <w:sz w:val="20"/>
          <w:szCs w:val="20"/>
        </w:rPr>
        <w:t xml:space="preserve"> to pronounce itself on their possible violation in the context of analyzing an individual petition, although it may have resort to the standards set forth in these instruments to for the purposes of interpreting the rules of the Convention in light of its article 29</w:t>
      </w:r>
      <w:r w:rsidR="003854B6" w:rsidRPr="00002149">
        <w:rPr>
          <w:rStyle w:val="FootnoteReference"/>
          <w:rFonts w:asciiTheme="majorHAnsi" w:hAnsiTheme="majorHAnsi" w:cs="Calibri"/>
          <w:sz w:val="20"/>
          <w:szCs w:val="20"/>
          <w:lang w:val="es-ES"/>
        </w:rPr>
        <w:footnoteReference w:id="18"/>
      </w:r>
      <w:r w:rsidR="003854B6" w:rsidRPr="00472B2F">
        <w:rPr>
          <w:rFonts w:asciiTheme="majorHAnsi" w:hAnsiTheme="majorHAnsi" w:cs="Calibri"/>
          <w:sz w:val="20"/>
          <w:szCs w:val="20"/>
        </w:rPr>
        <w:t>.</w:t>
      </w:r>
    </w:p>
    <w:p w14:paraId="71F74D34" w14:textId="77777777" w:rsidR="003854B6" w:rsidRPr="00472B2F" w:rsidRDefault="003854B6" w:rsidP="003854B6">
      <w:pPr>
        <w:pStyle w:val="ListParagraph"/>
        <w:jc w:val="both"/>
        <w:rPr>
          <w:rFonts w:asciiTheme="majorHAnsi" w:eastAsia="Times New Roman" w:hAnsiTheme="majorHAnsi" w:cs="Times New Roman"/>
          <w:sz w:val="20"/>
          <w:szCs w:val="20"/>
        </w:rPr>
      </w:pPr>
    </w:p>
    <w:p w14:paraId="29BB41F5" w14:textId="7E03D7AA" w:rsidR="003239B8" w:rsidRPr="00002149" w:rsidRDefault="00EC72AB" w:rsidP="00AF3B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b/>
          <w:bCs/>
          <w:sz w:val="20"/>
          <w:szCs w:val="20"/>
          <w:lang w:val="es-ES"/>
        </w:rPr>
      </w:pPr>
      <w:r w:rsidRPr="00002149">
        <w:rPr>
          <w:rFonts w:asciiTheme="majorHAnsi" w:hAnsiTheme="majorHAnsi"/>
          <w:b/>
          <w:bCs/>
          <w:sz w:val="20"/>
          <w:szCs w:val="20"/>
          <w:lang w:val="es-ES"/>
        </w:rPr>
        <w:t>VI</w:t>
      </w:r>
      <w:r w:rsidR="00F04591" w:rsidRPr="00002149">
        <w:rPr>
          <w:rFonts w:asciiTheme="majorHAnsi" w:hAnsiTheme="majorHAnsi"/>
          <w:b/>
          <w:bCs/>
          <w:sz w:val="20"/>
          <w:szCs w:val="20"/>
          <w:lang w:val="es-ES"/>
        </w:rPr>
        <w:t>II</w:t>
      </w:r>
      <w:r w:rsidR="003239B8" w:rsidRPr="00002149">
        <w:rPr>
          <w:rFonts w:asciiTheme="majorHAnsi" w:hAnsiTheme="majorHAnsi"/>
          <w:b/>
          <w:bCs/>
          <w:sz w:val="20"/>
          <w:szCs w:val="20"/>
          <w:lang w:val="es-ES"/>
        </w:rPr>
        <w:t xml:space="preserve">. </w:t>
      </w:r>
      <w:r w:rsidR="003239B8" w:rsidRPr="00002149">
        <w:rPr>
          <w:rFonts w:asciiTheme="majorHAnsi" w:hAnsiTheme="majorHAnsi"/>
          <w:b/>
          <w:bCs/>
          <w:sz w:val="20"/>
          <w:szCs w:val="20"/>
          <w:lang w:val="es-ES"/>
        </w:rPr>
        <w:tab/>
        <w:t>DECISI</w:t>
      </w:r>
      <w:r w:rsidR="00472B2F">
        <w:rPr>
          <w:rFonts w:asciiTheme="majorHAnsi" w:hAnsiTheme="majorHAnsi"/>
          <w:b/>
          <w:bCs/>
          <w:sz w:val="20"/>
          <w:szCs w:val="20"/>
          <w:lang w:val="es-ES"/>
        </w:rPr>
        <w:t>O</w:t>
      </w:r>
      <w:r w:rsidR="003239B8" w:rsidRPr="00002149">
        <w:rPr>
          <w:rFonts w:asciiTheme="majorHAnsi" w:hAnsiTheme="majorHAnsi"/>
          <w:b/>
          <w:bCs/>
          <w:sz w:val="20"/>
          <w:szCs w:val="20"/>
          <w:lang w:val="es-ES"/>
        </w:rPr>
        <w:t>N</w:t>
      </w:r>
    </w:p>
    <w:p w14:paraId="570DA61C" w14:textId="437B99D1" w:rsidR="000419AD" w:rsidRPr="00D1744B" w:rsidRDefault="00472B2F" w:rsidP="00472B2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0B6B7A">
        <w:rPr>
          <w:rFonts w:asciiTheme="majorHAnsi" w:hAnsiTheme="majorHAnsi"/>
          <w:sz w:val="20"/>
          <w:szCs w:val="20"/>
        </w:rPr>
        <w:t xml:space="preserve">To find the instant petition admissible in relation to Articles </w:t>
      </w:r>
      <w:r>
        <w:rPr>
          <w:rFonts w:asciiTheme="majorHAnsi" w:hAnsiTheme="majorHAnsi"/>
          <w:sz w:val="20"/>
          <w:szCs w:val="20"/>
        </w:rPr>
        <w:t xml:space="preserve">8, 16, 25 and 26 of the </w:t>
      </w:r>
      <w:r w:rsidRPr="00BA7ACA">
        <w:rPr>
          <w:rFonts w:asciiTheme="majorHAnsi" w:hAnsiTheme="majorHAnsi"/>
          <w:sz w:val="20"/>
          <w:szCs w:val="20"/>
        </w:rPr>
        <w:t>American Convention on Human Rights, in connection with</w:t>
      </w:r>
      <w:r>
        <w:rPr>
          <w:rFonts w:asciiTheme="majorHAnsi" w:hAnsiTheme="majorHAnsi"/>
          <w:sz w:val="20"/>
          <w:szCs w:val="20"/>
        </w:rPr>
        <w:t xml:space="preserve"> its</w:t>
      </w:r>
      <w:r w:rsidRPr="00BA7ACA">
        <w:rPr>
          <w:rFonts w:asciiTheme="majorHAnsi" w:hAnsiTheme="majorHAnsi"/>
          <w:sz w:val="20"/>
          <w:szCs w:val="20"/>
        </w:rPr>
        <w:t xml:space="preserve"> Article</w:t>
      </w:r>
      <w:r>
        <w:rPr>
          <w:rFonts w:asciiTheme="majorHAnsi" w:hAnsiTheme="majorHAnsi"/>
          <w:sz w:val="20"/>
          <w:szCs w:val="20"/>
        </w:rPr>
        <w:t>s</w:t>
      </w:r>
      <w:r w:rsidRPr="00BA7ACA">
        <w:rPr>
          <w:rFonts w:asciiTheme="majorHAnsi" w:hAnsiTheme="majorHAnsi"/>
          <w:sz w:val="20"/>
          <w:szCs w:val="20"/>
        </w:rPr>
        <w:t xml:space="preserve"> 1(1)</w:t>
      </w:r>
      <w:r>
        <w:rPr>
          <w:rFonts w:asciiTheme="majorHAnsi" w:hAnsiTheme="majorHAnsi"/>
          <w:sz w:val="20"/>
          <w:szCs w:val="20"/>
        </w:rPr>
        <w:t xml:space="preserve"> and 2; to article 8.1(a) of the San Salvador Protocol; and to article XIV of the American Declaration.</w:t>
      </w:r>
    </w:p>
    <w:p w14:paraId="6BB1CFB5" w14:textId="3BD07E53" w:rsidR="00472B2F" w:rsidRPr="001B43B3" w:rsidRDefault="00472B2F" w:rsidP="00472B2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1F1902">
        <w:rPr>
          <w:rFonts w:asciiTheme="majorHAnsi" w:hAnsiTheme="majorHAnsi"/>
          <w:sz w:val="20"/>
          <w:szCs w:val="20"/>
        </w:rPr>
        <w:t xml:space="preserve">To notify the parties of this decision; </w:t>
      </w:r>
      <w:r w:rsidRPr="00BA7ACA">
        <w:rPr>
          <w:rFonts w:asciiTheme="majorHAnsi" w:hAnsiTheme="majorHAnsi"/>
          <w:sz w:val="20"/>
          <w:szCs w:val="20"/>
        </w:rPr>
        <w:t>to continue with the analysis on the merits</w:t>
      </w:r>
      <w:r w:rsidRPr="001F1902">
        <w:rPr>
          <w:rFonts w:asciiTheme="majorHAnsi" w:hAnsiTheme="majorHAnsi"/>
          <w:sz w:val="20"/>
          <w:szCs w:val="20"/>
        </w:rPr>
        <w:t xml:space="preserve">; and </w:t>
      </w:r>
      <w:r>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0305C2C6" w14:textId="624A0863" w:rsidR="001B43B3" w:rsidRPr="00365F2F" w:rsidRDefault="001B43B3" w:rsidP="001B43B3">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26</w:t>
      </w:r>
      <w:r w:rsidRPr="001B43B3">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February,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0F0DC8D9" w14:textId="77777777" w:rsidR="001B43B3" w:rsidRPr="00814525" w:rsidRDefault="001B43B3" w:rsidP="001B43B3">
      <w:pPr>
        <w:jc w:val="both"/>
        <w:rPr>
          <w:rFonts w:asciiTheme="majorHAnsi" w:hAnsiTheme="majorHAnsi" w:cs="Univers"/>
          <w:sz w:val="20"/>
          <w:szCs w:val="20"/>
        </w:rPr>
      </w:pPr>
    </w:p>
    <w:p w14:paraId="488B1922" w14:textId="77777777" w:rsidR="001B43B3" w:rsidRPr="001F1902" w:rsidRDefault="001B43B3" w:rsidP="001B43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Cambria" w:hAnsi="Cambria"/>
          <w:sz w:val="20"/>
          <w:szCs w:val="20"/>
        </w:rPr>
      </w:pPr>
    </w:p>
    <w:p w14:paraId="2EFDFD67" w14:textId="1C2C1BDA" w:rsidR="00383858" w:rsidRPr="00472B2F" w:rsidRDefault="00383858">
      <w:pPr>
        <w:rPr>
          <w:rFonts w:asciiTheme="majorHAnsi" w:hAnsiTheme="majorHAnsi"/>
          <w:sz w:val="20"/>
          <w:szCs w:val="20"/>
        </w:rPr>
      </w:pPr>
      <w:r w:rsidRPr="00472B2F">
        <w:rPr>
          <w:rFonts w:asciiTheme="majorHAnsi" w:hAnsiTheme="majorHAnsi"/>
          <w:sz w:val="20"/>
          <w:szCs w:val="20"/>
        </w:rPr>
        <w:br w:type="page"/>
      </w:r>
    </w:p>
    <w:p w14:paraId="60EF2FC8" w14:textId="68F1011C" w:rsidR="00C65679" w:rsidRPr="00BB7BBB" w:rsidRDefault="00BB7BBB" w:rsidP="003838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sz w:val="20"/>
          <w:szCs w:val="20"/>
        </w:rPr>
      </w:pPr>
      <w:r w:rsidRPr="00BB7BBB">
        <w:rPr>
          <w:rFonts w:asciiTheme="majorHAnsi" w:hAnsiTheme="majorHAnsi"/>
          <w:b/>
          <w:sz w:val="20"/>
          <w:szCs w:val="20"/>
        </w:rPr>
        <w:lastRenderedPageBreak/>
        <w:t>List of Alleged Victims</w:t>
      </w:r>
    </w:p>
    <w:p w14:paraId="06F06643" w14:textId="4B5B3028" w:rsidR="00AF3BB6" w:rsidRPr="00BB7BBB" w:rsidRDefault="00BB7BBB" w:rsidP="00AF3BB6">
      <w:pPr>
        <w:rPr>
          <w:rFonts w:asciiTheme="majorHAnsi" w:hAnsiTheme="majorHAnsi"/>
          <w:sz w:val="20"/>
          <w:szCs w:val="20"/>
        </w:rPr>
      </w:pPr>
      <w:r w:rsidRPr="00BB7BBB">
        <w:rPr>
          <w:rFonts w:asciiTheme="majorHAnsi" w:hAnsiTheme="majorHAnsi"/>
          <w:sz w:val="20"/>
          <w:szCs w:val="20"/>
        </w:rPr>
        <w:t xml:space="preserve">Enjoying protection from legal rights as </w:t>
      </w:r>
      <w:r>
        <w:rPr>
          <w:rFonts w:asciiTheme="majorHAnsi" w:hAnsiTheme="majorHAnsi"/>
          <w:sz w:val="20"/>
          <w:szCs w:val="20"/>
        </w:rPr>
        <w:t>union representatives</w:t>
      </w:r>
    </w:p>
    <w:p w14:paraId="237DDFC3" w14:textId="77777777" w:rsidR="00C65679" w:rsidRPr="00BB7BBB" w:rsidRDefault="00C65679" w:rsidP="00AF3BB6">
      <w:pPr>
        <w:rPr>
          <w:rFonts w:asciiTheme="majorHAnsi" w:hAnsiTheme="majorHAnsi"/>
          <w:sz w:val="20"/>
          <w:szCs w:val="20"/>
        </w:rPr>
      </w:pPr>
    </w:p>
    <w:p w14:paraId="4F8FB9AF" w14:textId="77777777" w:rsidR="00AF3BB6" w:rsidRPr="0000214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002149">
        <w:rPr>
          <w:rFonts w:asciiTheme="majorHAnsi" w:hAnsiTheme="majorHAnsi"/>
          <w:sz w:val="20"/>
          <w:szCs w:val="20"/>
          <w:lang w:val="es-PA"/>
        </w:rPr>
        <w:t>Irma Castañeda Ramírez</w:t>
      </w:r>
    </w:p>
    <w:p w14:paraId="57D341E5" w14:textId="77777777" w:rsidR="00AF3BB6" w:rsidRPr="0000214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proofErr w:type="spellStart"/>
      <w:r w:rsidRPr="00002149">
        <w:rPr>
          <w:rFonts w:asciiTheme="majorHAnsi" w:hAnsiTheme="majorHAnsi"/>
          <w:sz w:val="20"/>
          <w:szCs w:val="20"/>
          <w:lang w:val="es-PA"/>
        </w:rPr>
        <w:t>Edisson</w:t>
      </w:r>
      <w:proofErr w:type="spellEnd"/>
      <w:r w:rsidRPr="00002149">
        <w:rPr>
          <w:rFonts w:asciiTheme="majorHAnsi" w:hAnsiTheme="majorHAnsi"/>
          <w:sz w:val="20"/>
          <w:szCs w:val="20"/>
          <w:lang w:val="es-PA"/>
        </w:rPr>
        <w:t xml:space="preserve"> Muñoz Rojas</w:t>
      </w:r>
    </w:p>
    <w:p w14:paraId="5E93C76E" w14:textId="77777777" w:rsidR="00AF3BB6" w:rsidRPr="0000214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002149">
        <w:rPr>
          <w:rFonts w:asciiTheme="majorHAnsi" w:hAnsiTheme="majorHAnsi"/>
          <w:sz w:val="20"/>
          <w:szCs w:val="20"/>
          <w:lang w:val="es-PA"/>
        </w:rPr>
        <w:t>José Javier Lasso Sánchez</w:t>
      </w:r>
    </w:p>
    <w:p w14:paraId="6656AD9C" w14:textId="3E0C4F20"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 xml:space="preserve">Ángel Dionisio </w:t>
      </w:r>
      <w:proofErr w:type="spellStart"/>
      <w:r w:rsidRPr="00C65679">
        <w:rPr>
          <w:rFonts w:asciiTheme="majorHAnsi" w:hAnsiTheme="majorHAnsi"/>
          <w:sz w:val="20"/>
          <w:szCs w:val="20"/>
          <w:lang w:val="es-PA"/>
        </w:rPr>
        <w:t>Rámirez</w:t>
      </w:r>
      <w:proofErr w:type="spellEnd"/>
      <w:r w:rsidRPr="00C65679">
        <w:rPr>
          <w:rFonts w:asciiTheme="majorHAnsi" w:hAnsiTheme="majorHAnsi"/>
          <w:sz w:val="20"/>
          <w:szCs w:val="20"/>
          <w:lang w:val="es-PA"/>
        </w:rPr>
        <w:t xml:space="preserve"> Rosario </w:t>
      </w:r>
    </w:p>
    <w:p w14:paraId="264F3408"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William Gentil Trujillo Carvajal</w:t>
      </w:r>
    </w:p>
    <w:p w14:paraId="478BE222"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Álvaro Gutiérrez Pérez</w:t>
      </w:r>
    </w:p>
    <w:p w14:paraId="5C6F1A47"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Hernán Ramiro Londoño</w:t>
      </w:r>
    </w:p>
    <w:p w14:paraId="2D4FED29" w14:textId="2247F846"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proofErr w:type="spellStart"/>
      <w:r w:rsidRPr="00C65679">
        <w:rPr>
          <w:rFonts w:asciiTheme="majorHAnsi" w:hAnsiTheme="majorHAnsi"/>
          <w:sz w:val="20"/>
          <w:szCs w:val="20"/>
          <w:lang w:val="es-PA"/>
        </w:rPr>
        <w:t>Hilma</w:t>
      </w:r>
      <w:proofErr w:type="spellEnd"/>
      <w:r w:rsidRPr="00C65679">
        <w:rPr>
          <w:rFonts w:asciiTheme="majorHAnsi" w:hAnsiTheme="majorHAnsi"/>
          <w:sz w:val="20"/>
          <w:szCs w:val="20"/>
          <w:lang w:val="es-PA"/>
        </w:rPr>
        <w:t xml:space="preserve"> Rivas Brand </w:t>
      </w:r>
    </w:p>
    <w:p w14:paraId="6E4A0FCA"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proofErr w:type="spellStart"/>
      <w:r w:rsidRPr="00C65679">
        <w:rPr>
          <w:rFonts w:asciiTheme="majorHAnsi" w:hAnsiTheme="majorHAnsi"/>
          <w:sz w:val="20"/>
          <w:szCs w:val="20"/>
          <w:lang w:val="es-PA"/>
        </w:rPr>
        <w:t>Reinel</w:t>
      </w:r>
      <w:proofErr w:type="spellEnd"/>
      <w:r w:rsidRPr="00C65679">
        <w:rPr>
          <w:rFonts w:asciiTheme="majorHAnsi" w:hAnsiTheme="majorHAnsi"/>
          <w:sz w:val="20"/>
          <w:szCs w:val="20"/>
          <w:lang w:val="es-PA"/>
        </w:rPr>
        <w:t xml:space="preserve"> Campos </w:t>
      </w:r>
      <w:proofErr w:type="spellStart"/>
      <w:r w:rsidRPr="00C65679">
        <w:rPr>
          <w:rFonts w:asciiTheme="majorHAnsi" w:hAnsiTheme="majorHAnsi"/>
          <w:sz w:val="20"/>
          <w:szCs w:val="20"/>
          <w:lang w:val="es-PA"/>
        </w:rPr>
        <w:t>Polanía</w:t>
      </w:r>
      <w:proofErr w:type="spellEnd"/>
    </w:p>
    <w:p w14:paraId="2A4CA6AE"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Luis Humberto Serna Mora</w:t>
      </w:r>
    </w:p>
    <w:p w14:paraId="59A32312"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Liliana Gutiérrez García</w:t>
      </w:r>
    </w:p>
    <w:p w14:paraId="62855CC7" w14:textId="3CFBC882"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 xml:space="preserve">José Sánchez Solano </w:t>
      </w:r>
    </w:p>
    <w:p w14:paraId="48F8802D" w14:textId="12206A8A" w:rsidR="00BB7BBB" w:rsidRPr="00BB7BBB" w:rsidRDefault="00BB7BBB" w:rsidP="00BB7BBB">
      <w:pPr>
        <w:rPr>
          <w:rFonts w:asciiTheme="majorHAnsi" w:hAnsiTheme="majorHAnsi"/>
          <w:sz w:val="20"/>
          <w:szCs w:val="20"/>
        </w:rPr>
      </w:pPr>
      <w:r>
        <w:rPr>
          <w:rFonts w:asciiTheme="majorHAnsi" w:hAnsiTheme="majorHAnsi"/>
          <w:sz w:val="20"/>
          <w:szCs w:val="20"/>
        </w:rPr>
        <w:t>Not e</w:t>
      </w:r>
      <w:r w:rsidRPr="00BB7BBB">
        <w:rPr>
          <w:rFonts w:asciiTheme="majorHAnsi" w:hAnsiTheme="majorHAnsi"/>
          <w:sz w:val="20"/>
          <w:szCs w:val="20"/>
        </w:rPr>
        <w:t>njoying protection from legal rights as union representatives</w:t>
      </w:r>
    </w:p>
    <w:p w14:paraId="21618799" w14:textId="77777777" w:rsidR="00AF3BB6" w:rsidRPr="00BB7BBB" w:rsidRDefault="00AF3BB6" w:rsidP="00AF3BB6">
      <w:pPr>
        <w:ind w:left="360"/>
        <w:rPr>
          <w:rFonts w:asciiTheme="majorHAnsi" w:hAnsiTheme="majorHAnsi"/>
          <w:sz w:val="20"/>
          <w:szCs w:val="20"/>
        </w:rPr>
      </w:pPr>
    </w:p>
    <w:p w14:paraId="526C893B"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Alfredo Tovar Bautista</w:t>
      </w:r>
    </w:p>
    <w:p w14:paraId="28D989FB"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Amanda Cecilia Gómez Collazos</w:t>
      </w:r>
    </w:p>
    <w:p w14:paraId="3C8F2B17"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Carmen Montaña Gómez</w:t>
      </w:r>
    </w:p>
    <w:p w14:paraId="5B74E114"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proofErr w:type="spellStart"/>
      <w:r w:rsidRPr="00C65679">
        <w:rPr>
          <w:rFonts w:asciiTheme="majorHAnsi" w:hAnsiTheme="majorHAnsi"/>
          <w:sz w:val="20"/>
          <w:szCs w:val="20"/>
          <w:lang w:val="es-PA"/>
        </w:rPr>
        <w:t>Dabeiba</w:t>
      </w:r>
      <w:proofErr w:type="spellEnd"/>
      <w:r w:rsidRPr="00C65679">
        <w:rPr>
          <w:rFonts w:asciiTheme="majorHAnsi" w:hAnsiTheme="majorHAnsi"/>
          <w:sz w:val="20"/>
          <w:szCs w:val="20"/>
          <w:lang w:val="es-PA"/>
        </w:rPr>
        <w:t xml:space="preserve"> Chacón Rodríguez</w:t>
      </w:r>
    </w:p>
    <w:p w14:paraId="2DEBA04C"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 xml:space="preserve">Delia </w:t>
      </w:r>
      <w:proofErr w:type="spellStart"/>
      <w:r w:rsidRPr="00C65679">
        <w:rPr>
          <w:rFonts w:asciiTheme="majorHAnsi" w:hAnsiTheme="majorHAnsi"/>
          <w:sz w:val="20"/>
          <w:szCs w:val="20"/>
          <w:lang w:val="es-PA"/>
        </w:rPr>
        <w:t>Chaux</w:t>
      </w:r>
      <w:proofErr w:type="spellEnd"/>
      <w:r w:rsidRPr="00C65679">
        <w:rPr>
          <w:rFonts w:asciiTheme="majorHAnsi" w:hAnsiTheme="majorHAnsi"/>
          <w:sz w:val="20"/>
          <w:szCs w:val="20"/>
          <w:lang w:val="es-PA"/>
        </w:rPr>
        <w:t xml:space="preserve"> Bautista</w:t>
      </w:r>
    </w:p>
    <w:p w14:paraId="437149E4"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Diva González de Trujillo</w:t>
      </w:r>
    </w:p>
    <w:p w14:paraId="6C2C9833"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Emérita Cuenca Andrade</w:t>
      </w:r>
    </w:p>
    <w:p w14:paraId="05D7DDB5"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Emma Raquel Martínez Herrera</w:t>
      </w:r>
    </w:p>
    <w:p w14:paraId="456121ED"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Gloria Maritza Sánchez</w:t>
      </w:r>
    </w:p>
    <w:p w14:paraId="3A5F4B47"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Gustavo Zabala Méndez</w:t>
      </w:r>
    </w:p>
    <w:p w14:paraId="74D7B5E3"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 xml:space="preserve">Hermes Medina García </w:t>
      </w:r>
    </w:p>
    <w:p w14:paraId="1269B02A"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Hernán Quintero</w:t>
      </w:r>
    </w:p>
    <w:p w14:paraId="7B9807E8"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proofErr w:type="spellStart"/>
      <w:r w:rsidRPr="00C65679">
        <w:rPr>
          <w:rFonts w:asciiTheme="majorHAnsi" w:hAnsiTheme="majorHAnsi"/>
          <w:sz w:val="20"/>
          <w:szCs w:val="20"/>
          <w:lang w:val="es-PA"/>
        </w:rPr>
        <w:t>Herney</w:t>
      </w:r>
      <w:proofErr w:type="spellEnd"/>
      <w:r w:rsidRPr="00C65679">
        <w:rPr>
          <w:rFonts w:asciiTheme="majorHAnsi" w:hAnsiTheme="majorHAnsi"/>
          <w:sz w:val="20"/>
          <w:szCs w:val="20"/>
          <w:lang w:val="es-PA"/>
        </w:rPr>
        <w:t xml:space="preserve"> Cruz Bautista</w:t>
      </w:r>
    </w:p>
    <w:p w14:paraId="12744885"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lastRenderedPageBreak/>
        <w:t>Jaime Pastrana Ramírez</w:t>
      </w:r>
    </w:p>
    <w:p w14:paraId="120EC5C0"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Jesús Bravo Castro</w:t>
      </w:r>
    </w:p>
    <w:p w14:paraId="5BC50966"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Luis Alfonso Collazos Rojas</w:t>
      </w:r>
    </w:p>
    <w:p w14:paraId="3106862A"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Luis Eduardo Solórzano Hernández</w:t>
      </w:r>
    </w:p>
    <w:p w14:paraId="6255D99D"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Luis González Fiero</w:t>
      </w:r>
    </w:p>
    <w:p w14:paraId="128A4C81"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Luis Medardo Herrera Rivera</w:t>
      </w:r>
    </w:p>
    <w:p w14:paraId="5EA5BCFD"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Luz Helena Cante Cruz</w:t>
      </w:r>
    </w:p>
    <w:p w14:paraId="175024BB"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Luz Marina Pérez de Gómez</w:t>
      </w:r>
    </w:p>
    <w:p w14:paraId="789DE635"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Marisol Bohórquez Martínez</w:t>
      </w:r>
    </w:p>
    <w:p w14:paraId="5C957C02"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Martha Elena Vargas Leiva</w:t>
      </w:r>
    </w:p>
    <w:p w14:paraId="6DC34332"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Martha Lilia Urrea Polanco</w:t>
      </w:r>
    </w:p>
    <w:p w14:paraId="76F5D9A2"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 xml:space="preserve">Martha </w:t>
      </w:r>
      <w:proofErr w:type="spellStart"/>
      <w:r w:rsidRPr="00C65679">
        <w:rPr>
          <w:rFonts w:asciiTheme="majorHAnsi" w:hAnsiTheme="majorHAnsi"/>
          <w:sz w:val="20"/>
          <w:szCs w:val="20"/>
          <w:lang w:val="es-PA"/>
        </w:rPr>
        <w:t>Yineth</w:t>
      </w:r>
      <w:proofErr w:type="spellEnd"/>
      <w:r w:rsidRPr="00C65679">
        <w:rPr>
          <w:rFonts w:asciiTheme="majorHAnsi" w:hAnsiTheme="majorHAnsi"/>
          <w:sz w:val="20"/>
          <w:szCs w:val="20"/>
          <w:lang w:val="es-PA"/>
        </w:rPr>
        <w:t xml:space="preserve"> Guzmán Tafur</w:t>
      </w:r>
    </w:p>
    <w:p w14:paraId="50AB2173"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Miguel Antonio Chávez Montealegre</w:t>
      </w:r>
    </w:p>
    <w:p w14:paraId="502F0D85"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Miriam Cecilia Chacón Mosquera</w:t>
      </w:r>
    </w:p>
    <w:p w14:paraId="382691DE"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proofErr w:type="spellStart"/>
      <w:r w:rsidRPr="00C65679">
        <w:rPr>
          <w:rFonts w:asciiTheme="majorHAnsi" w:hAnsiTheme="majorHAnsi"/>
          <w:sz w:val="20"/>
          <w:szCs w:val="20"/>
          <w:lang w:val="es-PA"/>
        </w:rPr>
        <w:t>Overth</w:t>
      </w:r>
      <w:proofErr w:type="spellEnd"/>
      <w:r w:rsidRPr="00C65679">
        <w:rPr>
          <w:rFonts w:asciiTheme="majorHAnsi" w:hAnsiTheme="majorHAnsi"/>
          <w:sz w:val="20"/>
          <w:szCs w:val="20"/>
          <w:lang w:val="es-PA"/>
        </w:rPr>
        <w:t xml:space="preserve"> Castro </w:t>
      </w:r>
      <w:proofErr w:type="spellStart"/>
      <w:r w:rsidRPr="00C65679">
        <w:rPr>
          <w:rFonts w:asciiTheme="majorHAnsi" w:hAnsiTheme="majorHAnsi"/>
          <w:sz w:val="20"/>
          <w:szCs w:val="20"/>
          <w:lang w:val="es-PA"/>
        </w:rPr>
        <w:t>Fonque</w:t>
      </w:r>
      <w:proofErr w:type="spellEnd"/>
    </w:p>
    <w:p w14:paraId="3AB6B05D"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 xml:space="preserve">Pacifico </w:t>
      </w:r>
      <w:proofErr w:type="spellStart"/>
      <w:r w:rsidRPr="00C65679">
        <w:rPr>
          <w:rFonts w:asciiTheme="majorHAnsi" w:hAnsiTheme="majorHAnsi"/>
          <w:sz w:val="20"/>
          <w:szCs w:val="20"/>
          <w:lang w:val="es-PA"/>
        </w:rPr>
        <w:t>Charry</w:t>
      </w:r>
      <w:proofErr w:type="spellEnd"/>
      <w:r w:rsidRPr="00C65679">
        <w:rPr>
          <w:rFonts w:asciiTheme="majorHAnsi" w:hAnsiTheme="majorHAnsi"/>
          <w:sz w:val="20"/>
          <w:szCs w:val="20"/>
          <w:lang w:val="es-PA"/>
        </w:rPr>
        <w:t xml:space="preserve"> Reyes</w:t>
      </w:r>
    </w:p>
    <w:p w14:paraId="0D98BAE7"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Reinaldo González Perdomo</w:t>
      </w:r>
    </w:p>
    <w:p w14:paraId="3746DE99"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Ricardo Perdomo Hernández</w:t>
      </w:r>
    </w:p>
    <w:p w14:paraId="34D673A4"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 xml:space="preserve">Rubiela </w:t>
      </w:r>
      <w:proofErr w:type="spellStart"/>
      <w:r w:rsidRPr="00C65679">
        <w:rPr>
          <w:rFonts w:asciiTheme="majorHAnsi" w:hAnsiTheme="majorHAnsi"/>
          <w:sz w:val="20"/>
          <w:szCs w:val="20"/>
          <w:lang w:val="es-PA"/>
        </w:rPr>
        <w:t>Oino</w:t>
      </w:r>
      <w:proofErr w:type="spellEnd"/>
      <w:r w:rsidRPr="00C65679">
        <w:rPr>
          <w:rFonts w:asciiTheme="majorHAnsi" w:hAnsiTheme="majorHAnsi"/>
          <w:sz w:val="20"/>
          <w:szCs w:val="20"/>
          <w:lang w:val="es-PA"/>
        </w:rPr>
        <w:t xml:space="preserve"> Betancourt</w:t>
      </w:r>
    </w:p>
    <w:p w14:paraId="221F2F2D" w14:textId="77777777" w:rsidR="00AF3BB6" w:rsidRPr="00C65679" w:rsidRDefault="00AF3BB6" w:rsidP="00FE491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20"/>
          <w:szCs w:val="20"/>
          <w:lang w:val="es-PA"/>
        </w:rPr>
      </w:pPr>
      <w:r w:rsidRPr="00C65679">
        <w:rPr>
          <w:rFonts w:asciiTheme="majorHAnsi" w:hAnsiTheme="majorHAnsi"/>
          <w:sz w:val="20"/>
          <w:szCs w:val="20"/>
          <w:lang w:val="es-PA"/>
        </w:rPr>
        <w:t>Yaneth Cecilia Meneses Hoyos</w:t>
      </w:r>
    </w:p>
    <w:p w14:paraId="073E9540" w14:textId="77777777" w:rsidR="00AF3BB6" w:rsidRPr="00006B74" w:rsidRDefault="00AF3BB6" w:rsidP="00AF3B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
    <w:sectPr w:rsidR="00AF3BB6" w:rsidRPr="00006B7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92894" w14:textId="77777777" w:rsidR="00B37F67" w:rsidRDefault="00B37F67">
      <w:r>
        <w:separator/>
      </w:r>
    </w:p>
  </w:endnote>
  <w:endnote w:type="continuationSeparator" w:id="0">
    <w:p w14:paraId="4556CE2F" w14:textId="77777777" w:rsidR="00B37F67" w:rsidRDefault="00B3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9C54B" w14:textId="77777777" w:rsidR="001A7945" w:rsidRDefault="001A79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66A1D2E" w:rsidR="0028246E" w:rsidRPr="00934A2C" w:rsidRDefault="0028246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A7945">
          <w:rPr>
            <w:noProof/>
            <w:sz w:val="16"/>
            <w:szCs w:val="22"/>
          </w:rPr>
          <w:t>1</w:t>
        </w:r>
        <w:r w:rsidRPr="00934A2C">
          <w:rPr>
            <w:noProof/>
            <w:sz w:val="16"/>
            <w:szCs w:val="22"/>
          </w:rPr>
          <w:fldChar w:fldCharType="end"/>
        </w:r>
      </w:p>
    </w:sdtContent>
  </w:sdt>
  <w:p w14:paraId="68530E6A" w14:textId="77777777" w:rsidR="0028246E" w:rsidRDefault="002824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28246E" w:rsidRPr="00934A2C" w:rsidRDefault="0028246E">
    <w:pPr>
      <w:pStyle w:val="Footer"/>
      <w:jc w:val="center"/>
      <w:rPr>
        <w:sz w:val="16"/>
        <w:szCs w:val="22"/>
      </w:rPr>
    </w:pPr>
  </w:p>
  <w:p w14:paraId="49059CE3" w14:textId="77777777" w:rsidR="0028246E" w:rsidRDefault="0028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47756" w14:textId="77777777" w:rsidR="00B37F67" w:rsidRPr="000F35ED" w:rsidRDefault="00B37F6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B93EE32" w14:textId="77777777" w:rsidR="00B37F67" w:rsidRPr="000F35ED" w:rsidRDefault="00B37F67" w:rsidP="000F35ED">
      <w:pPr>
        <w:rPr>
          <w:rFonts w:asciiTheme="majorHAnsi" w:hAnsiTheme="majorHAnsi"/>
          <w:sz w:val="16"/>
          <w:szCs w:val="16"/>
        </w:rPr>
      </w:pPr>
      <w:r w:rsidRPr="000F35ED">
        <w:rPr>
          <w:rFonts w:asciiTheme="majorHAnsi" w:hAnsiTheme="majorHAnsi"/>
          <w:sz w:val="16"/>
          <w:szCs w:val="16"/>
        </w:rPr>
        <w:separator/>
      </w:r>
    </w:p>
    <w:p w14:paraId="1525BA86" w14:textId="77777777" w:rsidR="00B37F67" w:rsidRPr="000F35ED" w:rsidRDefault="00B37F6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1D57D17" w14:textId="77777777" w:rsidR="00B37F67" w:rsidRPr="000F35ED" w:rsidRDefault="00B37F6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EB51603" w14:textId="3048110A" w:rsidR="0028246E" w:rsidRPr="00461592" w:rsidRDefault="0028246E" w:rsidP="00472B2F">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00472B2F" w:rsidRPr="00461592">
        <w:rPr>
          <w:rFonts w:asciiTheme="majorHAnsi" w:hAnsiTheme="majorHAnsi"/>
          <w:sz w:val="16"/>
          <w:szCs w:val="16"/>
        </w:rPr>
        <w:t xml:space="preserve"> The petition refers to 45 alleged victims that are listed in the annex.</w:t>
      </w:r>
      <w:r w:rsidRPr="00461592">
        <w:rPr>
          <w:rFonts w:asciiTheme="majorHAnsi" w:hAnsiTheme="majorHAnsi"/>
          <w:sz w:val="16"/>
          <w:szCs w:val="16"/>
        </w:rPr>
        <w:t xml:space="preserve"> </w:t>
      </w:r>
    </w:p>
  </w:footnote>
  <w:footnote w:id="3">
    <w:p w14:paraId="15959317" w14:textId="54C3F94C" w:rsidR="0028246E" w:rsidRPr="00461592" w:rsidRDefault="0028246E" w:rsidP="00472B2F">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Pr="00461592">
        <w:rPr>
          <w:rFonts w:asciiTheme="majorHAnsi" w:hAnsiTheme="majorHAnsi"/>
          <w:sz w:val="16"/>
          <w:szCs w:val="16"/>
        </w:rPr>
        <w:t xml:space="preserve"> </w:t>
      </w:r>
      <w:r w:rsidR="00472B2F" w:rsidRPr="00461592">
        <w:rPr>
          <w:rFonts w:asciiTheme="majorHAnsi" w:hAnsiTheme="majorHAnsi"/>
          <w:sz w:val="16"/>
          <w:szCs w:val="16"/>
        </w:rPr>
        <w:t>Hereinafter, “the American Convention” or “the Convention”.</w:t>
      </w:r>
    </w:p>
  </w:footnote>
  <w:footnote w:id="4">
    <w:p w14:paraId="4F1A5862" w14:textId="4538424B" w:rsidR="0028246E" w:rsidRPr="00461592" w:rsidRDefault="0028246E" w:rsidP="00472B2F">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Pr="00461592">
        <w:rPr>
          <w:rFonts w:asciiTheme="majorHAnsi" w:hAnsiTheme="majorHAnsi"/>
          <w:sz w:val="16"/>
          <w:szCs w:val="16"/>
        </w:rPr>
        <w:t xml:space="preserve"> </w:t>
      </w:r>
      <w:r w:rsidR="00472B2F" w:rsidRPr="00461592">
        <w:rPr>
          <w:rFonts w:asciiTheme="majorHAnsi" w:hAnsiTheme="majorHAnsi"/>
          <w:sz w:val="16"/>
          <w:szCs w:val="16"/>
        </w:rPr>
        <w:t>Hereinafter, “the San Salvador Protocol”</w:t>
      </w:r>
      <w:r w:rsidRPr="00461592">
        <w:rPr>
          <w:rFonts w:asciiTheme="majorHAnsi" w:hAnsiTheme="majorHAnsi"/>
          <w:sz w:val="16"/>
          <w:szCs w:val="16"/>
        </w:rPr>
        <w:t>.</w:t>
      </w:r>
    </w:p>
  </w:footnote>
  <w:footnote w:id="5">
    <w:p w14:paraId="58D15580" w14:textId="7BF802C6" w:rsidR="0028246E" w:rsidRPr="00461592" w:rsidRDefault="0028246E" w:rsidP="00461592">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Pr="00461592">
        <w:rPr>
          <w:rFonts w:asciiTheme="majorHAnsi" w:hAnsiTheme="majorHAnsi"/>
          <w:sz w:val="16"/>
          <w:szCs w:val="16"/>
        </w:rPr>
        <w:t xml:space="preserve"> </w:t>
      </w:r>
      <w:r w:rsidR="00472B2F" w:rsidRPr="00461592">
        <w:rPr>
          <w:rFonts w:asciiTheme="majorHAnsi" w:hAnsiTheme="majorHAnsi"/>
          <w:sz w:val="16"/>
          <w:szCs w:val="16"/>
        </w:rPr>
        <w:t>Hereinafter, “the American Declaration” or “the Declaration”.</w:t>
      </w:r>
    </w:p>
  </w:footnote>
  <w:footnote w:id="6">
    <w:p w14:paraId="26B26B36" w14:textId="4A2D1E43" w:rsidR="0028246E" w:rsidRPr="00461592" w:rsidRDefault="0028246E" w:rsidP="00461592">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Pr="00461592">
        <w:rPr>
          <w:rFonts w:asciiTheme="majorHAnsi" w:hAnsiTheme="majorHAnsi"/>
          <w:sz w:val="16"/>
          <w:szCs w:val="16"/>
        </w:rPr>
        <w:t xml:space="preserve"> </w:t>
      </w:r>
      <w:r w:rsidR="00461592" w:rsidRPr="00461592">
        <w:rPr>
          <w:rFonts w:asciiTheme="majorHAnsi" w:hAnsiTheme="majorHAnsi"/>
          <w:sz w:val="16"/>
          <w:szCs w:val="16"/>
        </w:rPr>
        <w:t>International Covenant on Civil and Political Rights; International Covenant on Economic, Social and Cultural Rights; Universal Declaration of Human Rights, African Charters on Human and Peoples Rights; Convention 87 of the International Labor Organization “Freedom of Association and Protection of the Right to Organize”; Convention 98 of 1949 of the International Labor Organization “Right to Organi</w:t>
      </w:r>
      <w:r w:rsidR="00D1744B">
        <w:rPr>
          <w:rFonts w:asciiTheme="majorHAnsi" w:hAnsiTheme="majorHAnsi"/>
          <w:sz w:val="16"/>
          <w:szCs w:val="16"/>
        </w:rPr>
        <w:t>z</w:t>
      </w:r>
      <w:r w:rsidR="00461592" w:rsidRPr="00461592">
        <w:rPr>
          <w:rFonts w:asciiTheme="majorHAnsi" w:hAnsiTheme="majorHAnsi"/>
          <w:sz w:val="16"/>
          <w:szCs w:val="16"/>
        </w:rPr>
        <w:t>e and Collective Bargaining Convention”.</w:t>
      </w:r>
    </w:p>
  </w:footnote>
  <w:footnote w:id="7">
    <w:p w14:paraId="79F07139" w14:textId="3BEB09F2" w:rsidR="0028246E" w:rsidRPr="00461592" w:rsidRDefault="0028246E" w:rsidP="00461592">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Pr="00461592">
        <w:rPr>
          <w:rFonts w:asciiTheme="majorHAnsi" w:hAnsiTheme="majorHAnsi"/>
          <w:sz w:val="16"/>
          <w:szCs w:val="16"/>
        </w:rPr>
        <w:t xml:space="preserve"> </w:t>
      </w:r>
      <w:r w:rsidR="00461592" w:rsidRPr="00461592">
        <w:rPr>
          <w:rFonts w:asciiTheme="majorHAnsi" w:hAnsiTheme="majorHAnsi"/>
          <w:sz w:val="16"/>
          <w:szCs w:val="16"/>
        </w:rPr>
        <w:t>The observations from each party were duly notified to the other party.</w:t>
      </w:r>
    </w:p>
  </w:footnote>
  <w:footnote w:id="8">
    <w:p w14:paraId="218BDE94" w14:textId="30102AC4" w:rsidR="0028246E" w:rsidRPr="00461592" w:rsidRDefault="0028246E" w:rsidP="00461592">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Pr="00461592">
        <w:rPr>
          <w:rFonts w:asciiTheme="majorHAnsi" w:hAnsiTheme="majorHAnsi"/>
          <w:sz w:val="16"/>
          <w:szCs w:val="16"/>
        </w:rPr>
        <w:t xml:space="preserve"> </w:t>
      </w:r>
      <w:r w:rsidR="00461592" w:rsidRPr="00461592">
        <w:rPr>
          <w:rFonts w:asciiTheme="majorHAnsi" w:hAnsiTheme="majorHAnsi"/>
          <w:sz w:val="16"/>
          <w:szCs w:val="16"/>
        </w:rPr>
        <w:t xml:space="preserve">An industrial and commercial company </w:t>
      </w:r>
      <w:r w:rsidR="00461592">
        <w:rPr>
          <w:rFonts w:asciiTheme="majorHAnsi" w:hAnsiTheme="majorHAnsi"/>
          <w:sz w:val="16"/>
          <w:szCs w:val="16"/>
        </w:rPr>
        <w:t>belonging to the Department of Huila</w:t>
      </w:r>
      <w:r w:rsidRPr="00461592">
        <w:rPr>
          <w:rFonts w:asciiTheme="majorHAnsi" w:hAnsiTheme="majorHAnsi"/>
          <w:sz w:val="16"/>
          <w:szCs w:val="16"/>
        </w:rPr>
        <w:t>.</w:t>
      </w:r>
    </w:p>
  </w:footnote>
  <w:footnote w:id="9">
    <w:p w14:paraId="224C2D77" w14:textId="7FA8BB34" w:rsidR="0028246E" w:rsidRPr="00461592" w:rsidRDefault="0028246E" w:rsidP="00461592">
      <w:pPr>
        <w:pStyle w:val="FootnoteText"/>
        <w:ind w:firstLine="720"/>
        <w:jc w:val="both"/>
        <w:rPr>
          <w:rFonts w:asciiTheme="majorHAnsi" w:hAnsiTheme="majorHAnsi"/>
          <w:color w:val="auto"/>
          <w:sz w:val="16"/>
          <w:szCs w:val="16"/>
        </w:rPr>
      </w:pPr>
      <w:r w:rsidRPr="00461592">
        <w:rPr>
          <w:rStyle w:val="FootnoteReference"/>
          <w:rFonts w:asciiTheme="majorHAnsi" w:hAnsiTheme="majorHAnsi"/>
          <w:color w:val="auto"/>
          <w:sz w:val="16"/>
          <w:szCs w:val="16"/>
        </w:rPr>
        <w:footnoteRef/>
      </w:r>
      <w:r w:rsidRPr="00461592">
        <w:rPr>
          <w:rFonts w:asciiTheme="majorHAnsi" w:hAnsiTheme="majorHAnsi"/>
          <w:color w:val="auto"/>
          <w:sz w:val="16"/>
          <w:szCs w:val="16"/>
        </w:rPr>
        <w:t xml:space="preserve"> </w:t>
      </w:r>
      <w:r w:rsidR="00461592" w:rsidRPr="00461592">
        <w:rPr>
          <w:rFonts w:asciiTheme="majorHAnsi" w:hAnsiTheme="majorHAnsi"/>
          <w:color w:val="auto"/>
          <w:sz w:val="16"/>
          <w:szCs w:val="16"/>
        </w:rPr>
        <w:t>As indicated by the se</w:t>
      </w:r>
      <w:r w:rsidR="00461592">
        <w:rPr>
          <w:rFonts w:asciiTheme="majorHAnsi" w:hAnsiTheme="majorHAnsi"/>
          <w:color w:val="auto"/>
          <w:sz w:val="16"/>
          <w:szCs w:val="16"/>
        </w:rPr>
        <w:t>ntence of December 2, 1997, of the Labor Chamber of the Supreme Court of Justice (Rad. 10157) which establishes that “… if the employer, ignoring the law, proceeds to partially or completely close the company and this circumstance leads to the termination of labor contracts, it is legally inadmissible to claim the reinstatement even if it is contemplated in law …”, and that in such cases the person affected only has the option of compensation, which must be claimed through an ordinary proceeding.</w:t>
      </w:r>
      <w:r w:rsidRPr="00461592">
        <w:rPr>
          <w:rFonts w:asciiTheme="majorHAnsi" w:hAnsiTheme="majorHAnsi"/>
          <w:color w:val="auto"/>
          <w:sz w:val="16"/>
          <w:szCs w:val="16"/>
        </w:rPr>
        <w:t>.</w:t>
      </w:r>
    </w:p>
  </w:footnote>
  <w:footnote w:id="10">
    <w:p w14:paraId="3903AA6B" w14:textId="78DFAACA" w:rsidR="0028246E" w:rsidRPr="00CA07ED" w:rsidRDefault="0028246E" w:rsidP="00CA07ED">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Pr="00461592">
        <w:rPr>
          <w:rFonts w:asciiTheme="majorHAnsi" w:hAnsiTheme="majorHAnsi"/>
          <w:sz w:val="16"/>
          <w:szCs w:val="16"/>
        </w:rPr>
        <w:t xml:space="preserve"> </w:t>
      </w:r>
      <w:r w:rsidR="00461592" w:rsidRPr="00461592">
        <w:rPr>
          <w:rFonts w:asciiTheme="majorHAnsi" w:hAnsiTheme="majorHAnsi"/>
          <w:sz w:val="16"/>
          <w:szCs w:val="16"/>
        </w:rPr>
        <w:t>Citing Committee on Freedom of Association,</w:t>
      </w:r>
      <w:r w:rsidR="00CA07ED">
        <w:rPr>
          <w:rFonts w:asciiTheme="majorHAnsi" w:hAnsiTheme="majorHAnsi"/>
          <w:sz w:val="16"/>
          <w:szCs w:val="16"/>
        </w:rPr>
        <w:t xml:space="preserve"> Governing Body, ILO, </w:t>
      </w:r>
      <w:r w:rsidR="00CA07ED" w:rsidRPr="00CA07ED">
        <w:rPr>
          <w:rFonts w:asciiTheme="majorHAnsi" w:hAnsiTheme="majorHAnsi"/>
          <w:iCs/>
          <w:sz w:val="16"/>
          <w:szCs w:val="16"/>
        </w:rPr>
        <w:t>330ª, Cas</w:t>
      </w:r>
      <w:r w:rsidR="00CA07ED">
        <w:rPr>
          <w:rFonts w:asciiTheme="majorHAnsi" w:hAnsiTheme="majorHAnsi"/>
          <w:iCs/>
          <w:sz w:val="16"/>
          <w:szCs w:val="16"/>
        </w:rPr>
        <w:t>e</w:t>
      </w:r>
      <w:r w:rsidR="00CA07ED" w:rsidRPr="00CA07ED">
        <w:rPr>
          <w:rFonts w:asciiTheme="majorHAnsi" w:hAnsiTheme="majorHAnsi"/>
          <w:iCs/>
          <w:sz w:val="16"/>
          <w:szCs w:val="16"/>
        </w:rPr>
        <w:t xml:space="preserve"> 1962</w:t>
      </w:r>
      <w:r w:rsidR="00CA07ED" w:rsidRPr="00CA07ED">
        <w:rPr>
          <w:rFonts w:asciiTheme="majorHAnsi" w:hAnsiTheme="majorHAnsi"/>
          <w:i/>
          <w:iCs/>
          <w:sz w:val="16"/>
          <w:szCs w:val="16"/>
        </w:rPr>
        <w:t xml:space="preserve"> </w:t>
      </w:r>
      <w:r w:rsidR="00CA07ED" w:rsidRPr="00CA07ED">
        <w:rPr>
          <w:rFonts w:asciiTheme="majorHAnsi" w:hAnsiTheme="majorHAnsi"/>
          <w:sz w:val="16"/>
          <w:szCs w:val="16"/>
        </w:rPr>
        <w:t xml:space="preserve"> </w:t>
      </w:r>
    </w:p>
  </w:footnote>
  <w:footnote w:id="11">
    <w:p w14:paraId="1A0C07BB" w14:textId="0F7A6D01" w:rsidR="0028246E" w:rsidRPr="004A6A8E" w:rsidRDefault="0028246E" w:rsidP="004A6A8E">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Pr="004A6A8E">
        <w:rPr>
          <w:rFonts w:asciiTheme="majorHAnsi" w:hAnsiTheme="majorHAnsi"/>
          <w:sz w:val="16"/>
          <w:szCs w:val="16"/>
        </w:rPr>
        <w:t xml:space="preserve"> </w:t>
      </w:r>
      <w:r w:rsidR="00CA07ED" w:rsidRPr="004A6A8E">
        <w:rPr>
          <w:rFonts w:asciiTheme="majorHAnsi" w:hAnsiTheme="majorHAnsi"/>
          <w:sz w:val="16"/>
          <w:szCs w:val="16"/>
        </w:rPr>
        <w:t>In the case</w:t>
      </w:r>
      <w:r w:rsidR="004A6A8E" w:rsidRPr="004A6A8E">
        <w:rPr>
          <w:rFonts w:asciiTheme="majorHAnsi" w:hAnsiTheme="majorHAnsi"/>
          <w:sz w:val="16"/>
          <w:szCs w:val="16"/>
        </w:rPr>
        <w:t xml:space="preserve"> of the 12 alleged </w:t>
      </w:r>
      <w:r w:rsidR="004A6A8E">
        <w:rPr>
          <w:rFonts w:asciiTheme="majorHAnsi" w:hAnsiTheme="majorHAnsi"/>
          <w:sz w:val="16"/>
          <w:szCs w:val="16"/>
        </w:rPr>
        <w:t>victims that enjoyed protection from legal rights afforded to them as union representatives, it points out that they initially took part in the procedure that was initiated by the rest of the victims to request compliance with the minutes of agreement but that they declined from it when they obtained the decision that ordered their reinstatement on the basis of the violation of their protection.</w:t>
      </w:r>
    </w:p>
  </w:footnote>
  <w:footnote w:id="12">
    <w:p w14:paraId="319D0BA4" w14:textId="699A5350" w:rsidR="0028246E" w:rsidRPr="004A6A8E" w:rsidRDefault="0028246E" w:rsidP="004A6A8E">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Pr="004A6A8E">
        <w:rPr>
          <w:rFonts w:asciiTheme="majorHAnsi" w:hAnsiTheme="majorHAnsi"/>
          <w:sz w:val="16"/>
          <w:szCs w:val="16"/>
        </w:rPr>
        <w:t xml:space="preserve"> </w:t>
      </w:r>
      <w:r w:rsidR="004A6A8E" w:rsidRPr="004A6A8E">
        <w:rPr>
          <w:rFonts w:asciiTheme="majorHAnsi" w:hAnsiTheme="majorHAnsi"/>
          <w:sz w:val="16"/>
          <w:szCs w:val="16"/>
        </w:rPr>
        <w:t>Likewise, in the fact that t</w:t>
      </w:r>
      <w:r w:rsidR="004A6A8E">
        <w:rPr>
          <w:rFonts w:asciiTheme="majorHAnsi" w:hAnsiTheme="majorHAnsi"/>
          <w:sz w:val="16"/>
          <w:szCs w:val="16"/>
        </w:rPr>
        <w:t>he department lacked the budgetary appropriations to pay for the services of these individuals</w:t>
      </w:r>
      <w:proofErr w:type="gramStart"/>
      <w:r w:rsidR="004A6A8E">
        <w:rPr>
          <w:rFonts w:asciiTheme="majorHAnsi" w:hAnsiTheme="majorHAnsi"/>
          <w:sz w:val="16"/>
          <w:szCs w:val="16"/>
        </w:rPr>
        <w:t>.</w:t>
      </w:r>
      <w:r w:rsidRPr="004A6A8E">
        <w:rPr>
          <w:rFonts w:asciiTheme="majorHAnsi" w:hAnsiTheme="majorHAnsi"/>
          <w:sz w:val="16"/>
          <w:szCs w:val="16"/>
        </w:rPr>
        <w:t>.</w:t>
      </w:r>
      <w:proofErr w:type="gramEnd"/>
    </w:p>
  </w:footnote>
  <w:footnote w:id="13">
    <w:p w14:paraId="5E068A59" w14:textId="0ABC3086" w:rsidR="0028246E" w:rsidRPr="004A6A8E" w:rsidRDefault="0028246E" w:rsidP="004A6A8E">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004A6A8E" w:rsidRPr="004A6A8E">
        <w:rPr>
          <w:rFonts w:asciiTheme="majorHAnsi" w:hAnsiTheme="majorHAnsi"/>
          <w:sz w:val="16"/>
          <w:szCs w:val="16"/>
        </w:rPr>
        <w:t xml:space="preserve"> Relating to the following alleged victims:</w:t>
      </w:r>
      <w:r w:rsidRPr="004A6A8E">
        <w:rPr>
          <w:rFonts w:asciiTheme="majorHAnsi" w:hAnsiTheme="majorHAnsi"/>
          <w:sz w:val="16"/>
          <w:szCs w:val="16"/>
        </w:rPr>
        <w:t>: José Sánchez Solano (</w:t>
      </w:r>
      <w:r w:rsidR="004A6A8E" w:rsidRPr="004A6A8E">
        <w:rPr>
          <w:rFonts w:asciiTheme="majorHAnsi" w:hAnsiTheme="majorHAnsi"/>
          <w:sz w:val="16"/>
          <w:szCs w:val="16"/>
        </w:rPr>
        <w:t>March 6,</w:t>
      </w:r>
      <w:r w:rsidRPr="004A6A8E">
        <w:rPr>
          <w:rFonts w:asciiTheme="majorHAnsi" w:hAnsiTheme="majorHAnsi"/>
          <w:sz w:val="16"/>
          <w:szCs w:val="16"/>
        </w:rPr>
        <w:t xml:space="preserve"> 2013), </w:t>
      </w:r>
      <w:proofErr w:type="spellStart"/>
      <w:r w:rsidRPr="004A6A8E">
        <w:rPr>
          <w:rFonts w:asciiTheme="majorHAnsi" w:hAnsiTheme="majorHAnsi"/>
          <w:sz w:val="16"/>
          <w:szCs w:val="16"/>
        </w:rPr>
        <w:t>Ángel</w:t>
      </w:r>
      <w:proofErr w:type="spellEnd"/>
      <w:r w:rsidRPr="004A6A8E">
        <w:rPr>
          <w:rFonts w:asciiTheme="majorHAnsi" w:hAnsiTheme="majorHAnsi"/>
          <w:sz w:val="16"/>
          <w:szCs w:val="16"/>
        </w:rPr>
        <w:t xml:space="preserve"> </w:t>
      </w:r>
      <w:proofErr w:type="spellStart"/>
      <w:r w:rsidRPr="004A6A8E">
        <w:rPr>
          <w:rFonts w:asciiTheme="majorHAnsi" w:hAnsiTheme="majorHAnsi"/>
          <w:sz w:val="16"/>
          <w:szCs w:val="16"/>
        </w:rPr>
        <w:t>Dionisio</w:t>
      </w:r>
      <w:proofErr w:type="spellEnd"/>
      <w:r w:rsidRPr="004A6A8E">
        <w:rPr>
          <w:rFonts w:asciiTheme="majorHAnsi" w:hAnsiTheme="majorHAnsi"/>
          <w:sz w:val="16"/>
          <w:szCs w:val="16"/>
        </w:rPr>
        <w:t xml:space="preserve"> </w:t>
      </w:r>
      <w:proofErr w:type="spellStart"/>
      <w:r w:rsidRPr="004A6A8E">
        <w:rPr>
          <w:rFonts w:asciiTheme="majorHAnsi" w:hAnsiTheme="majorHAnsi"/>
          <w:sz w:val="16"/>
          <w:szCs w:val="16"/>
        </w:rPr>
        <w:t>Ramírez</w:t>
      </w:r>
      <w:proofErr w:type="spellEnd"/>
      <w:r w:rsidRPr="004A6A8E">
        <w:rPr>
          <w:rFonts w:asciiTheme="majorHAnsi" w:hAnsiTheme="majorHAnsi"/>
          <w:sz w:val="16"/>
          <w:szCs w:val="16"/>
        </w:rPr>
        <w:t xml:space="preserve"> Rosario (</w:t>
      </w:r>
      <w:r w:rsidR="004A6A8E" w:rsidRPr="004A6A8E">
        <w:rPr>
          <w:rFonts w:asciiTheme="majorHAnsi" w:hAnsiTheme="majorHAnsi"/>
          <w:sz w:val="16"/>
          <w:szCs w:val="16"/>
        </w:rPr>
        <w:t>May 8,</w:t>
      </w:r>
      <w:r w:rsidRPr="004A6A8E">
        <w:rPr>
          <w:rFonts w:asciiTheme="majorHAnsi" w:hAnsiTheme="majorHAnsi"/>
          <w:sz w:val="16"/>
          <w:szCs w:val="16"/>
        </w:rPr>
        <w:t xml:space="preserve"> 2013), Liliana Gutiérrez García (</w:t>
      </w:r>
      <w:r w:rsidR="004A6A8E" w:rsidRPr="004A6A8E">
        <w:rPr>
          <w:rFonts w:asciiTheme="majorHAnsi" w:hAnsiTheme="majorHAnsi"/>
          <w:sz w:val="16"/>
          <w:szCs w:val="16"/>
        </w:rPr>
        <w:t xml:space="preserve">June </w:t>
      </w:r>
      <w:r w:rsidRPr="004A6A8E">
        <w:rPr>
          <w:rFonts w:asciiTheme="majorHAnsi" w:hAnsiTheme="majorHAnsi"/>
          <w:sz w:val="16"/>
          <w:szCs w:val="16"/>
        </w:rPr>
        <w:t>25</w:t>
      </w:r>
      <w:r w:rsidR="004A6A8E" w:rsidRPr="004A6A8E">
        <w:rPr>
          <w:rFonts w:asciiTheme="majorHAnsi" w:hAnsiTheme="majorHAnsi"/>
          <w:sz w:val="16"/>
          <w:szCs w:val="16"/>
        </w:rPr>
        <w:t>,</w:t>
      </w:r>
      <w:r w:rsidRPr="004A6A8E">
        <w:rPr>
          <w:rFonts w:asciiTheme="majorHAnsi" w:hAnsiTheme="majorHAnsi"/>
          <w:sz w:val="16"/>
          <w:szCs w:val="16"/>
        </w:rPr>
        <w:t xml:space="preserve"> 2014) </w:t>
      </w:r>
      <w:r w:rsidR="004A6A8E" w:rsidRPr="004A6A8E">
        <w:rPr>
          <w:rFonts w:asciiTheme="majorHAnsi" w:hAnsiTheme="majorHAnsi"/>
          <w:sz w:val="16"/>
          <w:szCs w:val="16"/>
        </w:rPr>
        <w:t>and</w:t>
      </w:r>
      <w:r w:rsidRPr="004A6A8E">
        <w:rPr>
          <w:rFonts w:asciiTheme="majorHAnsi" w:hAnsiTheme="majorHAnsi"/>
          <w:sz w:val="16"/>
          <w:szCs w:val="16"/>
        </w:rPr>
        <w:t xml:space="preserve">  </w:t>
      </w:r>
      <w:proofErr w:type="spellStart"/>
      <w:r w:rsidRPr="004A6A8E">
        <w:rPr>
          <w:rFonts w:asciiTheme="majorHAnsi" w:hAnsiTheme="majorHAnsi"/>
          <w:sz w:val="16"/>
          <w:szCs w:val="16"/>
        </w:rPr>
        <w:t>Hilma</w:t>
      </w:r>
      <w:proofErr w:type="spellEnd"/>
      <w:r w:rsidRPr="004A6A8E">
        <w:rPr>
          <w:rFonts w:asciiTheme="majorHAnsi" w:hAnsiTheme="majorHAnsi"/>
          <w:sz w:val="16"/>
          <w:szCs w:val="16"/>
        </w:rPr>
        <w:t xml:space="preserve"> Rivas Brand (</w:t>
      </w:r>
      <w:r w:rsidR="004A6A8E">
        <w:rPr>
          <w:rFonts w:asciiTheme="majorHAnsi" w:hAnsiTheme="majorHAnsi"/>
          <w:sz w:val="16"/>
          <w:szCs w:val="16"/>
        </w:rPr>
        <w:t xml:space="preserve">February </w:t>
      </w:r>
      <w:r w:rsidRPr="004A6A8E">
        <w:rPr>
          <w:rFonts w:asciiTheme="majorHAnsi" w:hAnsiTheme="majorHAnsi"/>
          <w:sz w:val="16"/>
          <w:szCs w:val="16"/>
        </w:rPr>
        <w:t>8</w:t>
      </w:r>
      <w:r w:rsidR="004A6A8E">
        <w:rPr>
          <w:rFonts w:asciiTheme="majorHAnsi" w:hAnsiTheme="majorHAnsi"/>
          <w:sz w:val="16"/>
          <w:szCs w:val="16"/>
        </w:rPr>
        <w:t>,</w:t>
      </w:r>
      <w:r w:rsidRPr="004A6A8E">
        <w:rPr>
          <w:rFonts w:asciiTheme="majorHAnsi" w:hAnsiTheme="majorHAnsi"/>
          <w:sz w:val="16"/>
          <w:szCs w:val="16"/>
        </w:rPr>
        <w:t xml:space="preserve"> 2017) </w:t>
      </w:r>
    </w:p>
  </w:footnote>
  <w:footnote w:id="14">
    <w:p w14:paraId="7B8F5242" w14:textId="76474712" w:rsidR="0028246E" w:rsidRPr="00CA4574" w:rsidRDefault="0028246E" w:rsidP="00635367">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Pr="004A6A8E">
        <w:rPr>
          <w:rFonts w:asciiTheme="majorHAnsi" w:hAnsiTheme="majorHAnsi"/>
          <w:sz w:val="16"/>
          <w:szCs w:val="16"/>
        </w:rPr>
        <w:t xml:space="preserve"> </w:t>
      </w:r>
      <w:r w:rsidR="004A6A8E" w:rsidRPr="004A6A8E">
        <w:rPr>
          <w:rFonts w:asciiTheme="majorHAnsi" w:hAnsiTheme="majorHAnsi"/>
          <w:sz w:val="16"/>
          <w:szCs w:val="16"/>
        </w:rPr>
        <w:t xml:space="preserve">IACHR. Report </w:t>
      </w:r>
      <w:r w:rsidRPr="004A6A8E">
        <w:rPr>
          <w:rFonts w:asciiTheme="majorHAnsi" w:hAnsiTheme="majorHAnsi"/>
          <w:sz w:val="16"/>
          <w:szCs w:val="16"/>
        </w:rPr>
        <w:t>No. 72/11, Peti</w:t>
      </w:r>
      <w:r w:rsidR="004A6A8E" w:rsidRPr="004A6A8E">
        <w:rPr>
          <w:rFonts w:asciiTheme="majorHAnsi" w:hAnsiTheme="majorHAnsi"/>
          <w:sz w:val="16"/>
          <w:szCs w:val="16"/>
        </w:rPr>
        <w:t>tio</w:t>
      </w:r>
      <w:r w:rsidRPr="004A6A8E">
        <w:rPr>
          <w:rFonts w:asciiTheme="majorHAnsi" w:hAnsiTheme="majorHAnsi"/>
          <w:sz w:val="16"/>
          <w:szCs w:val="16"/>
        </w:rPr>
        <w:t xml:space="preserve">n 1164-05. </w:t>
      </w:r>
      <w:r w:rsidR="004A6A8E" w:rsidRPr="004A6A8E">
        <w:rPr>
          <w:rFonts w:asciiTheme="majorHAnsi" w:hAnsiTheme="majorHAnsi"/>
          <w:sz w:val="16"/>
          <w:szCs w:val="16"/>
        </w:rPr>
        <w:t>Admissibility</w:t>
      </w:r>
      <w:r w:rsidRPr="004A6A8E">
        <w:rPr>
          <w:rFonts w:asciiTheme="majorHAnsi" w:hAnsiTheme="majorHAnsi"/>
          <w:sz w:val="16"/>
          <w:szCs w:val="16"/>
        </w:rPr>
        <w:t xml:space="preserve">. </w:t>
      </w:r>
      <w:r w:rsidRPr="001B43B3">
        <w:rPr>
          <w:rFonts w:asciiTheme="majorHAnsi" w:hAnsiTheme="majorHAnsi"/>
          <w:sz w:val="16"/>
          <w:szCs w:val="16"/>
          <w:lang w:val="pt-BR"/>
        </w:rPr>
        <w:t xml:space="preserve">William Gómez Vargas. Costa Rica. </w:t>
      </w:r>
      <w:r w:rsidR="004A6A8E" w:rsidRPr="00CA4574">
        <w:rPr>
          <w:rFonts w:asciiTheme="majorHAnsi" w:hAnsiTheme="majorHAnsi"/>
          <w:sz w:val="16"/>
          <w:szCs w:val="16"/>
        </w:rPr>
        <w:t xml:space="preserve">March </w:t>
      </w:r>
      <w:r w:rsidRPr="00CA4574">
        <w:rPr>
          <w:rFonts w:asciiTheme="majorHAnsi" w:hAnsiTheme="majorHAnsi"/>
          <w:sz w:val="16"/>
          <w:szCs w:val="16"/>
        </w:rPr>
        <w:t>31</w:t>
      </w:r>
      <w:r w:rsidR="004A6A8E" w:rsidRPr="00CA4574">
        <w:rPr>
          <w:rFonts w:asciiTheme="majorHAnsi" w:hAnsiTheme="majorHAnsi"/>
          <w:sz w:val="16"/>
          <w:szCs w:val="16"/>
        </w:rPr>
        <w:t>,</w:t>
      </w:r>
      <w:r w:rsidRPr="00CA4574">
        <w:rPr>
          <w:rFonts w:asciiTheme="majorHAnsi" w:hAnsiTheme="majorHAnsi"/>
          <w:sz w:val="16"/>
          <w:szCs w:val="16"/>
        </w:rPr>
        <w:t xml:space="preserve"> 2011, p</w:t>
      </w:r>
      <w:r w:rsidR="004A6A8E" w:rsidRPr="00CA4574">
        <w:rPr>
          <w:rFonts w:asciiTheme="majorHAnsi" w:hAnsiTheme="majorHAnsi"/>
          <w:sz w:val="16"/>
          <w:szCs w:val="16"/>
        </w:rPr>
        <w:t>ara</w:t>
      </w:r>
      <w:r w:rsidRPr="00CA4574">
        <w:rPr>
          <w:rFonts w:asciiTheme="majorHAnsi" w:hAnsiTheme="majorHAnsi"/>
          <w:sz w:val="16"/>
          <w:szCs w:val="16"/>
        </w:rPr>
        <w:t>. 52.</w:t>
      </w:r>
    </w:p>
  </w:footnote>
  <w:footnote w:id="15">
    <w:p w14:paraId="31BBCC08" w14:textId="79E041BD" w:rsidR="0028246E" w:rsidRPr="00D75A59" w:rsidRDefault="0028246E" w:rsidP="00635367">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Pr="00D75A59">
        <w:rPr>
          <w:rFonts w:asciiTheme="majorHAnsi" w:hAnsiTheme="majorHAnsi"/>
          <w:sz w:val="16"/>
          <w:szCs w:val="16"/>
        </w:rPr>
        <w:t xml:space="preserve"> </w:t>
      </w:r>
      <w:r w:rsidR="00D75A59" w:rsidRPr="00D75A59">
        <w:rPr>
          <w:rFonts w:asciiTheme="majorHAnsi" w:hAnsiTheme="majorHAnsi"/>
          <w:sz w:val="16"/>
          <w:szCs w:val="16"/>
        </w:rPr>
        <w:t>ILO</w:t>
      </w:r>
      <w:r w:rsidRPr="00D75A59">
        <w:rPr>
          <w:rFonts w:asciiTheme="majorHAnsi" w:hAnsiTheme="majorHAnsi"/>
          <w:sz w:val="16"/>
          <w:szCs w:val="16"/>
        </w:rPr>
        <w:t xml:space="preserve">. </w:t>
      </w:r>
      <w:r w:rsidR="00D75A59" w:rsidRPr="00D75A59">
        <w:rPr>
          <w:rFonts w:asciiTheme="majorHAnsi" w:hAnsiTheme="majorHAnsi"/>
          <w:sz w:val="16"/>
          <w:szCs w:val="16"/>
        </w:rPr>
        <w:t>Freedom of Association</w:t>
      </w:r>
      <w:r w:rsidRPr="00D75A59">
        <w:rPr>
          <w:rFonts w:asciiTheme="majorHAnsi" w:hAnsiTheme="majorHAnsi"/>
          <w:sz w:val="16"/>
          <w:szCs w:val="16"/>
        </w:rPr>
        <w:t xml:space="preserve">: </w:t>
      </w:r>
      <w:r w:rsidR="00D75A59" w:rsidRPr="00D75A59">
        <w:rPr>
          <w:rFonts w:asciiTheme="majorHAnsi" w:hAnsiTheme="majorHAnsi"/>
          <w:sz w:val="16"/>
          <w:szCs w:val="16"/>
        </w:rPr>
        <w:t xml:space="preserve">Compilation of decisions of the Committee on </w:t>
      </w:r>
      <w:r w:rsidR="00D75A59">
        <w:rPr>
          <w:rFonts w:asciiTheme="majorHAnsi" w:hAnsiTheme="majorHAnsi"/>
          <w:sz w:val="16"/>
          <w:szCs w:val="16"/>
        </w:rPr>
        <w:t>Freedom of Association</w:t>
      </w:r>
      <w:r w:rsidRPr="00D75A59">
        <w:rPr>
          <w:rFonts w:asciiTheme="majorHAnsi" w:hAnsiTheme="majorHAnsi"/>
          <w:sz w:val="16"/>
          <w:szCs w:val="16"/>
        </w:rPr>
        <w:t xml:space="preserve">. </w:t>
      </w:r>
      <w:r w:rsidR="00D75A59">
        <w:rPr>
          <w:rFonts w:asciiTheme="majorHAnsi" w:hAnsiTheme="majorHAnsi"/>
          <w:sz w:val="16"/>
          <w:szCs w:val="16"/>
        </w:rPr>
        <w:t>Geneva</w:t>
      </w:r>
      <w:r w:rsidRPr="00D75A59">
        <w:rPr>
          <w:rFonts w:asciiTheme="majorHAnsi" w:hAnsiTheme="majorHAnsi"/>
          <w:sz w:val="16"/>
          <w:szCs w:val="16"/>
        </w:rPr>
        <w:t xml:space="preserve">: </w:t>
      </w:r>
      <w:r w:rsidR="00D75A59">
        <w:rPr>
          <w:rFonts w:asciiTheme="majorHAnsi" w:hAnsiTheme="majorHAnsi"/>
          <w:sz w:val="16"/>
          <w:szCs w:val="16"/>
        </w:rPr>
        <w:t>ILO, 6th</w:t>
      </w:r>
      <w:r w:rsidRPr="00D75A59">
        <w:rPr>
          <w:rFonts w:asciiTheme="majorHAnsi" w:hAnsiTheme="majorHAnsi"/>
          <w:sz w:val="16"/>
          <w:szCs w:val="16"/>
        </w:rPr>
        <w:t xml:space="preserve"> edi</w:t>
      </w:r>
      <w:r w:rsidR="004A6A8E" w:rsidRPr="00D75A59">
        <w:rPr>
          <w:rFonts w:asciiTheme="majorHAnsi" w:hAnsiTheme="majorHAnsi"/>
          <w:sz w:val="16"/>
          <w:szCs w:val="16"/>
        </w:rPr>
        <w:t>tion</w:t>
      </w:r>
      <w:r w:rsidRPr="00D75A59">
        <w:rPr>
          <w:rFonts w:asciiTheme="majorHAnsi" w:hAnsiTheme="majorHAnsi"/>
          <w:sz w:val="16"/>
          <w:szCs w:val="16"/>
        </w:rPr>
        <w:t xml:space="preserve">, 2018, </w:t>
      </w:r>
      <w:r w:rsidR="004A6A8E" w:rsidRPr="00D75A59">
        <w:rPr>
          <w:rFonts w:asciiTheme="majorHAnsi" w:hAnsiTheme="majorHAnsi"/>
          <w:sz w:val="16"/>
          <w:szCs w:val="16"/>
        </w:rPr>
        <w:t xml:space="preserve">para </w:t>
      </w:r>
      <w:r w:rsidRPr="00D75A59">
        <w:rPr>
          <w:rFonts w:asciiTheme="majorHAnsi" w:hAnsiTheme="majorHAnsi"/>
          <w:sz w:val="16"/>
          <w:szCs w:val="16"/>
        </w:rPr>
        <w:t>1313.</w:t>
      </w:r>
    </w:p>
  </w:footnote>
  <w:footnote w:id="16">
    <w:p w14:paraId="7DC43CBA" w14:textId="305E481B" w:rsidR="0028246E" w:rsidRPr="00D1744B" w:rsidRDefault="0028246E" w:rsidP="00635367">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Pr="00D75A59">
        <w:rPr>
          <w:rFonts w:asciiTheme="majorHAnsi" w:hAnsiTheme="majorHAnsi"/>
          <w:sz w:val="16"/>
          <w:szCs w:val="16"/>
        </w:rPr>
        <w:t xml:space="preserve"> </w:t>
      </w:r>
      <w:r w:rsidR="00D75A59" w:rsidRPr="00D75A59">
        <w:rPr>
          <w:rFonts w:asciiTheme="majorHAnsi" w:hAnsiTheme="majorHAnsi"/>
          <w:sz w:val="16"/>
          <w:szCs w:val="16"/>
        </w:rPr>
        <w:t xml:space="preserve">ILO. Freedom of Association: Compilation of decisions of the Committee on </w:t>
      </w:r>
      <w:r w:rsidR="00D75A59">
        <w:rPr>
          <w:rFonts w:asciiTheme="majorHAnsi" w:hAnsiTheme="majorHAnsi"/>
          <w:sz w:val="16"/>
          <w:szCs w:val="16"/>
        </w:rPr>
        <w:t>Freedom of Association</w:t>
      </w:r>
      <w:r w:rsidR="00D75A59" w:rsidRPr="00D75A59">
        <w:rPr>
          <w:rFonts w:asciiTheme="majorHAnsi" w:hAnsiTheme="majorHAnsi"/>
          <w:sz w:val="16"/>
          <w:szCs w:val="16"/>
        </w:rPr>
        <w:t xml:space="preserve">. </w:t>
      </w:r>
      <w:r w:rsidR="00D75A59">
        <w:rPr>
          <w:rFonts w:asciiTheme="majorHAnsi" w:hAnsiTheme="majorHAnsi"/>
          <w:sz w:val="16"/>
          <w:szCs w:val="16"/>
        </w:rPr>
        <w:t>Geneva</w:t>
      </w:r>
      <w:r w:rsidR="00D75A59" w:rsidRPr="00D75A59">
        <w:rPr>
          <w:rFonts w:asciiTheme="majorHAnsi" w:hAnsiTheme="majorHAnsi"/>
          <w:sz w:val="16"/>
          <w:szCs w:val="16"/>
        </w:rPr>
        <w:t xml:space="preserve">: </w:t>
      </w:r>
      <w:r w:rsidR="00D75A59">
        <w:rPr>
          <w:rFonts w:asciiTheme="majorHAnsi" w:hAnsiTheme="majorHAnsi"/>
          <w:sz w:val="16"/>
          <w:szCs w:val="16"/>
        </w:rPr>
        <w:t>ILO, 6th</w:t>
      </w:r>
      <w:r w:rsidR="00D75A59" w:rsidRPr="00D75A59">
        <w:rPr>
          <w:rFonts w:asciiTheme="majorHAnsi" w:hAnsiTheme="majorHAnsi"/>
          <w:sz w:val="16"/>
          <w:szCs w:val="16"/>
        </w:rPr>
        <w:t xml:space="preserve"> edition, 2018, para </w:t>
      </w:r>
      <w:r w:rsidRPr="00D1744B">
        <w:rPr>
          <w:rFonts w:asciiTheme="majorHAnsi" w:hAnsiTheme="majorHAnsi"/>
          <w:sz w:val="16"/>
          <w:szCs w:val="16"/>
        </w:rPr>
        <w:t>1327.</w:t>
      </w:r>
    </w:p>
  </w:footnote>
  <w:footnote w:id="17">
    <w:p w14:paraId="3B2A3FC8" w14:textId="72ED5B21" w:rsidR="006F53DB" w:rsidRPr="004A6A8E" w:rsidRDefault="006F53DB" w:rsidP="006F53DB">
      <w:pPr>
        <w:pStyle w:val="FootnoteText"/>
        <w:ind w:firstLine="720"/>
        <w:jc w:val="both"/>
        <w:rPr>
          <w:rFonts w:asciiTheme="majorHAnsi" w:hAnsiTheme="majorHAnsi"/>
          <w:sz w:val="16"/>
          <w:szCs w:val="16"/>
        </w:rPr>
      </w:pPr>
      <w:r w:rsidRPr="00461592">
        <w:rPr>
          <w:rStyle w:val="FootnoteReference"/>
          <w:rFonts w:asciiTheme="majorHAnsi" w:hAnsiTheme="majorHAnsi"/>
          <w:sz w:val="16"/>
          <w:szCs w:val="16"/>
        </w:rPr>
        <w:footnoteRef/>
      </w:r>
      <w:r w:rsidRPr="004A6A8E">
        <w:rPr>
          <w:rFonts w:asciiTheme="majorHAnsi" w:hAnsiTheme="majorHAnsi"/>
          <w:sz w:val="16"/>
          <w:szCs w:val="16"/>
        </w:rPr>
        <w:t xml:space="preserve"> </w:t>
      </w:r>
      <w:r w:rsidR="004A6A8E" w:rsidRPr="004A6A8E">
        <w:rPr>
          <w:rFonts w:asciiTheme="majorHAnsi" w:hAnsiTheme="majorHAnsi"/>
          <w:sz w:val="16"/>
          <w:szCs w:val="16"/>
        </w:rPr>
        <w:t>IACHR</w:t>
      </w:r>
      <w:r w:rsidRPr="004A6A8E">
        <w:rPr>
          <w:rFonts w:asciiTheme="majorHAnsi" w:hAnsiTheme="majorHAnsi"/>
          <w:sz w:val="16"/>
          <w:szCs w:val="16"/>
        </w:rPr>
        <w:t xml:space="preserve">, </w:t>
      </w:r>
      <w:r w:rsidR="004A6A8E" w:rsidRPr="004A6A8E">
        <w:rPr>
          <w:rFonts w:asciiTheme="majorHAnsi" w:hAnsiTheme="majorHAnsi"/>
          <w:sz w:val="16"/>
          <w:szCs w:val="16"/>
        </w:rPr>
        <w:t>Report</w:t>
      </w:r>
      <w:r w:rsidRPr="004A6A8E">
        <w:rPr>
          <w:rFonts w:asciiTheme="majorHAnsi" w:hAnsiTheme="majorHAnsi"/>
          <w:sz w:val="16"/>
          <w:szCs w:val="16"/>
        </w:rPr>
        <w:t xml:space="preserve"> N° 110/00 (</w:t>
      </w:r>
      <w:r w:rsidR="004A6A8E" w:rsidRPr="004A6A8E">
        <w:rPr>
          <w:rFonts w:asciiTheme="majorHAnsi" w:hAnsiTheme="majorHAnsi"/>
          <w:sz w:val="16"/>
          <w:szCs w:val="16"/>
        </w:rPr>
        <w:t>merits</w:t>
      </w:r>
      <w:r w:rsidRPr="004A6A8E">
        <w:rPr>
          <w:rFonts w:asciiTheme="majorHAnsi" w:hAnsiTheme="majorHAnsi"/>
          <w:sz w:val="16"/>
          <w:szCs w:val="16"/>
        </w:rPr>
        <w:t>), Cas</w:t>
      </w:r>
      <w:r w:rsidR="004A6A8E" w:rsidRPr="004A6A8E">
        <w:rPr>
          <w:rFonts w:asciiTheme="majorHAnsi" w:hAnsiTheme="majorHAnsi"/>
          <w:sz w:val="16"/>
          <w:szCs w:val="16"/>
        </w:rPr>
        <w:t>e</w:t>
      </w:r>
      <w:r w:rsidRPr="004A6A8E">
        <w:rPr>
          <w:rFonts w:asciiTheme="majorHAnsi" w:hAnsiTheme="majorHAnsi"/>
          <w:sz w:val="16"/>
          <w:szCs w:val="16"/>
        </w:rPr>
        <w:t xml:space="preserve"> 11.800, César </w:t>
      </w:r>
      <w:proofErr w:type="spellStart"/>
      <w:r w:rsidRPr="004A6A8E">
        <w:rPr>
          <w:rFonts w:asciiTheme="majorHAnsi" w:hAnsiTheme="majorHAnsi"/>
          <w:sz w:val="16"/>
          <w:szCs w:val="16"/>
        </w:rPr>
        <w:t>Cabrejos</w:t>
      </w:r>
      <w:proofErr w:type="spellEnd"/>
      <w:r w:rsidRPr="004A6A8E">
        <w:rPr>
          <w:rFonts w:asciiTheme="majorHAnsi" w:hAnsiTheme="majorHAnsi"/>
          <w:sz w:val="16"/>
          <w:szCs w:val="16"/>
        </w:rPr>
        <w:t xml:space="preserve"> </w:t>
      </w:r>
      <w:proofErr w:type="spellStart"/>
      <w:r w:rsidRPr="004A6A8E">
        <w:rPr>
          <w:rFonts w:asciiTheme="majorHAnsi" w:hAnsiTheme="majorHAnsi"/>
          <w:sz w:val="16"/>
          <w:szCs w:val="16"/>
        </w:rPr>
        <w:t>Bernuy</w:t>
      </w:r>
      <w:proofErr w:type="spellEnd"/>
      <w:r w:rsidRPr="004A6A8E">
        <w:rPr>
          <w:rFonts w:asciiTheme="majorHAnsi" w:hAnsiTheme="majorHAnsi"/>
          <w:sz w:val="16"/>
          <w:szCs w:val="16"/>
        </w:rPr>
        <w:t xml:space="preserve">, </w:t>
      </w:r>
      <w:proofErr w:type="spellStart"/>
      <w:r w:rsidRPr="004A6A8E">
        <w:rPr>
          <w:rFonts w:asciiTheme="majorHAnsi" w:hAnsiTheme="majorHAnsi"/>
          <w:sz w:val="16"/>
          <w:szCs w:val="16"/>
        </w:rPr>
        <w:t>Perú</w:t>
      </w:r>
      <w:proofErr w:type="spellEnd"/>
      <w:r w:rsidRPr="004A6A8E">
        <w:rPr>
          <w:rFonts w:asciiTheme="majorHAnsi" w:hAnsiTheme="majorHAnsi"/>
          <w:sz w:val="16"/>
          <w:szCs w:val="16"/>
        </w:rPr>
        <w:t xml:space="preserve">, </w:t>
      </w:r>
      <w:r w:rsidR="004A6A8E" w:rsidRPr="004A6A8E">
        <w:rPr>
          <w:rFonts w:asciiTheme="majorHAnsi" w:hAnsiTheme="majorHAnsi"/>
          <w:sz w:val="16"/>
          <w:szCs w:val="16"/>
        </w:rPr>
        <w:t xml:space="preserve">December, </w:t>
      </w:r>
      <w:r w:rsidRPr="004A6A8E">
        <w:rPr>
          <w:rFonts w:asciiTheme="majorHAnsi" w:hAnsiTheme="majorHAnsi"/>
          <w:sz w:val="16"/>
          <w:szCs w:val="16"/>
        </w:rPr>
        <w:t>2000, p</w:t>
      </w:r>
      <w:r w:rsidR="004A6A8E" w:rsidRPr="004A6A8E">
        <w:rPr>
          <w:rFonts w:asciiTheme="majorHAnsi" w:hAnsiTheme="majorHAnsi"/>
          <w:sz w:val="16"/>
          <w:szCs w:val="16"/>
        </w:rPr>
        <w:t>ara.</w:t>
      </w:r>
      <w:r w:rsidRPr="004A6A8E">
        <w:rPr>
          <w:rFonts w:asciiTheme="majorHAnsi" w:hAnsiTheme="majorHAnsi"/>
          <w:sz w:val="16"/>
          <w:szCs w:val="16"/>
        </w:rPr>
        <w:t xml:space="preserve"> 33.</w:t>
      </w:r>
    </w:p>
  </w:footnote>
  <w:footnote w:id="18">
    <w:p w14:paraId="13DBCA94" w14:textId="24159603" w:rsidR="0028246E" w:rsidRPr="00461592" w:rsidRDefault="0028246E" w:rsidP="003854B6">
      <w:pPr>
        <w:pStyle w:val="FootnoteText"/>
        <w:jc w:val="both"/>
        <w:rPr>
          <w:rFonts w:asciiTheme="majorHAnsi" w:hAnsiTheme="majorHAnsi"/>
          <w:sz w:val="16"/>
          <w:szCs w:val="16"/>
          <w:lang w:val="es-ES"/>
        </w:rPr>
      </w:pPr>
      <w:r w:rsidRPr="004A6A8E">
        <w:rPr>
          <w:rFonts w:asciiTheme="majorHAnsi" w:hAnsiTheme="majorHAnsi"/>
          <w:sz w:val="16"/>
          <w:szCs w:val="16"/>
        </w:rPr>
        <w:tab/>
      </w:r>
      <w:r w:rsidRPr="00461592">
        <w:rPr>
          <w:rStyle w:val="FootnoteReference"/>
          <w:rFonts w:asciiTheme="majorHAnsi" w:hAnsiTheme="majorHAnsi"/>
          <w:sz w:val="16"/>
          <w:szCs w:val="16"/>
          <w:lang w:val="es-ES"/>
        </w:rPr>
        <w:footnoteRef/>
      </w:r>
      <w:r w:rsidRPr="004A6A8E">
        <w:rPr>
          <w:rFonts w:asciiTheme="majorHAnsi" w:hAnsiTheme="majorHAnsi"/>
          <w:sz w:val="16"/>
          <w:szCs w:val="16"/>
        </w:rPr>
        <w:t xml:space="preserve"> </w:t>
      </w:r>
      <w:r w:rsidR="004A6A8E" w:rsidRPr="004A6A8E">
        <w:rPr>
          <w:rFonts w:asciiTheme="majorHAnsi" w:hAnsiTheme="majorHAnsi"/>
          <w:sz w:val="16"/>
          <w:szCs w:val="16"/>
        </w:rPr>
        <w:t>IACHR</w:t>
      </w:r>
      <w:r w:rsidRPr="004A6A8E">
        <w:rPr>
          <w:rFonts w:asciiTheme="majorHAnsi" w:hAnsiTheme="majorHAnsi"/>
          <w:sz w:val="16"/>
          <w:szCs w:val="16"/>
        </w:rPr>
        <w:t xml:space="preserve">, </w:t>
      </w:r>
      <w:r w:rsidR="004A6A8E" w:rsidRPr="004A6A8E">
        <w:rPr>
          <w:rFonts w:asciiTheme="majorHAnsi" w:hAnsiTheme="majorHAnsi"/>
          <w:sz w:val="16"/>
          <w:szCs w:val="16"/>
        </w:rPr>
        <w:t>Report</w:t>
      </w:r>
      <w:r w:rsidRPr="004A6A8E">
        <w:rPr>
          <w:rFonts w:asciiTheme="majorHAnsi" w:hAnsiTheme="majorHAnsi"/>
          <w:sz w:val="16"/>
          <w:szCs w:val="16"/>
        </w:rPr>
        <w:t xml:space="preserve"> No. 26/17. Peti</w:t>
      </w:r>
      <w:r w:rsidR="004A6A8E" w:rsidRPr="004A6A8E">
        <w:rPr>
          <w:rFonts w:asciiTheme="majorHAnsi" w:hAnsiTheme="majorHAnsi"/>
          <w:sz w:val="16"/>
          <w:szCs w:val="16"/>
        </w:rPr>
        <w:t>tio</w:t>
      </w:r>
      <w:r w:rsidRPr="004A6A8E">
        <w:rPr>
          <w:rFonts w:asciiTheme="majorHAnsi" w:hAnsiTheme="majorHAnsi"/>
          <w:sz w:val="16"/>
          <w:szCs w:val="16"/>
        </w:rPr>
        <w:t xml:space="preserve">n 1208-08. </w:t>
      </w:r>
      <w:r w:rsidR="004A6A8E" w:rsidRPr="004A6A8E">
        <w:rPr>
          <w:rFonts w:asciiTheme="majorHAnsi" w:hAnsiTheme="majorHAnsi"/>
          <w:sz w:val="16"/>
          <w:szCs w:val="16"/>
        </w:rPr>
        <w:t>Admissibility</w:t>
      </w:r>
      <w:r w:rsidRPr="004A6A8E">
        <w:rPr>
          <w:rFonts w:asciiTheme="majorHAnsi" w:hAnsiTheme="majorHAnsi"/>
          <w:sz w:val="16"/>
          <w:szCs w:val="16"/>
        </w:rPr>
        <w:t xml:space="preserve">. </w:t>
      </w:r>
      <w:r w:rsidRPr="00D1744B">
        <w:rPr>
          <w:rFonts w:asciiTheme="majorHAnsi" w:hAnsiTheme="majorHAnsi"/>
          <w:sz w:val="16"/>
          <w:szCs w:val="16"/>
        </w:rPr>
        <w:t xml:space="preserve">William </w:t>
      </w:r>
      <w:proofErr w:type="spellStart"/>
      <w:r w:rsidRPr="00D1744B">
        <w:rPr>
          <w:rFonts w:asciiTheme="majorHAnsi" w:hAnsiTheme="majorHAnsi"/>
          <w:sz w:val="16"/>
          <w:szCs w:val="16"/>
        </w:rPr>
        <w:t>Olaya</w:t>
      </w:r>
      <w:proofErr w:type="spellEnd"/>
      <w:r w:rsidRPr="00D1744B">
        <w:rPr>
          <w:rFonts w:asciiTheme="majorHAnsi" w:hAnsiTheme="majorHAnsi"/>
          <w:sz w:val="16"/>
          <w:szCs w:val="16"/>
        </w:rPr>
        <w:t xml:space="preserve"> Moreno </w:t>
      </w:r>
      <w:r w:rsidR="004A6A8E" w:rsidRPr="00D1744B">
        <w:rPr>
          <w:rFonts w:asciiTheme="majorHAnsi" w:hAnsiTheme="majorHAnsi"/>
          <w:sz w:val="16"/>
          <w:szCs w:val="16"/>
        </w:rPr>
        <w:t>and family</w:t>
      </w:r>
      <w:r w:rsidRPr="00D1744B">
        <w:rPr>
          <w:rFonts w:asciiTheme="majorHAnsi" w:hAnsiTheme="majorHAnsi"/>
          <w:sz w:val="16"/>
          <w:szCs w:val="16"/>
        </w:rPr>
        <w:t xml:space="preserve">. </w:t>
      </w:r>
      <w:r w:rsidRPr="00461592">
        <w:rPr>
          <w:rFonts w:asciiTheme="majorHAnsi" w:hAnsiTheme="majorHAnsi"/>
          <w:sz w:val="16"/>
          <w:szCs w:val="16"/>
          <w:lang w:val="es-ES"/>
        </w:rPr>
        <w:t xml:space="preserve">Colombia. </w:t>
      </w:r>
      <w:proofErr w:type="spellStart"/>
      <w:r w:rsidR="004A6A8E">
        <w:rPr>
          <w:rFonts w:asciiTheme="majorHAnsi" w:hAnsiTheme="majorHAnsi"/>
          <w:sz w:val="16"/>
          <w:szCs w:val="16"/>
          <w:lang w:val="es-ES"/>
        </w:rPr>
        <w:t>March</w:t>
      </w:r>
      <w:proofErr w:type="spellEnd"/>
      <w:r w:rsidR="004A6A8E">
        <w:rPr>
          <w:rFonts w:asciiTheme="majorHAnsi" w:hAnsiTheme="majorHAnsi"/>
          <w:sz w:val="16"/>
          <w:szCs w:val="16"/>
          <w:lang w:val="es-ES"/>
        </w:rPr>
        <w:t xml:space="preserve"> </w:t>
      </w:r>
      <w:r w:rsidRPr="00461592">
        <w:rPr>
          <w:rFonts w:asciiTheme="majorHAnsi" w:hAnsiTheme="majorHAnsi"/>
          <w:sz w:val="16"/>
          <w:szCs w:val="16"/>
          <w:lang w:val="es-ES"/>
        </w:rPr>
        <w:t>18</w:t>
      </w:r>
      <w:r w:rsidR="004A6A8E">
        <w:rPr>
          <w:rFonts w:asciiTheme="majorHAnsi" w:hAnsiTheme="majorHAnsi"/>
          <w:sz w:val="16"/>
          <w:szCs w:val="16"/>
          <w:lang w:val="es-ES"/>
        </w:rPr>
        <w:t>,</w:t>
      </w:r>
      <w:r w:rsidRPr="00461592">
        <w:rPr>
          <w:rFonts w:asciiTheme="majorHAnsi" w:hAnsiTheme="majorHAnsi"/>
          <w:sz w:val="16"/>
          <w:szCs w:val="16"/>
          <w:lang w:val="es-ES"/>
        </w:rPr>
        <w:t xml:space="preserve"> 2017, p</w:t>
      </w:r>
      <w:r w:rsidR="004A6A8E">
        <w:rPr>
          <w:rFonts w:asciiTheme="majorHAnsi" w:hAnsiTheme="majorHAnsi"/>
          <w:sz w:val="16"/>
          <w:szCs w:val="16"/>
          <w:lang w:val="es-ES"/>
        </w:rPr>
        <w:t>ara</w:t>
      </w:r>
      <w:r w:rsidRPr="00461592">
        <w:rPr>
          <w:rFonts w:asciiTheme="majorHAnsi" w:hAnsiTheme="majorHAnsi"/>
          <w:sz w:val="16"/>
          <w:szCs w:val="16"/>
          <w:lang w:val="es-ES"/>
        </w:rPr>
        <w:t xml:space="preserve">.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28246E" w:rsidRDefault="0028246E" w:rsidP="003D62A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28246E" w:rsidRDefault="00282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9259D10" w:rsidR="0028246E" w:rsidRDefault="0028246E" w:rsidP="00A50FCF">
    <w:pPr>
      <w:pStyle w:val="Header"/>
      <w:tabs>
        <w:tab w:val="clear" w:pos="4320"/>
        <w:tab w:val="clear" w:pos="8640"/>
      </w:tabs>
      <w:jc w:val="center"/>
      <w:rPr>
        <w:sz w:val="22"/>
        <w:szCs w:val="22"/>
      </w:rPr>
    </w:pPr>
    <w:r>
      <w:rPr>
        <w:noProof/>
        <w:sz w:val="22"/>
        <w:szCs w:val="22"/>
      </w:rPr>
      <w:drawing>
        <wp:inline distT="0" distB="0" distL="0" distR="0" wp14:anchorId="33076979" wp14:editId="3E6607C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28246E" w:rsidRPr="00EC7D62" w:rsidRDefault="00B37F67" w:rsidP="00A50FCF">
    <w:pPr>
      <w:pStyle w:val="Header"/>
      <w:tabs>
        <w:tab w:val="clear" w:pos="4320"/>
        <w:tab w:val="clear" w:pos="8640"/>
      </w:tabs>
      <w:jc w:val="center"/>
      <w:rPr>
        <w:sz w:val="22"/>
        <w:szCs w:val="22"/>
      </w:rPr>
    </w:pPr>
    <w:r>
      <w:rPr>
        <w:noProof/>
        <w:sz w:val="22"/>
        <w:szCs w:val="22"/>
        <w:bdr w:val="nil"/>
      </w:rPr>
      <w:pict w14:anchorId="6FBF31A2">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0BE08" w14:textId="77777777" w:rsidR="001A7945" w:rsidRDefault="001A79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786AF3"/>
    <w:multiLevelType w:val="hybridMultilevel"/>
    <w:tmpl w:val="7F568116"/>
    <w:lvl w:ilvl="0" w:tplc="1B780E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7AE55CB"/>
    <w:multiLevelType w:val="hybridMultilevel"/>
    <w:tmpl w:val="05AE3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0"/>
  </w:num>
  <w:num w:numId="5">
    <w:abstractNumId w:val="45"/>
  </w:num>
  <w:num w:numId="6">
    <w:abstractNumId w:val="25"/>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9"/>
  </w:num>
  <w:num w:numId="53">
    <w:abstractNumId w:val="49"/>
  </w:num>
  <w:num w:numId="54">
    <w:abstractNumId w:val="43"/>
  </w:num>
  <w:num w:numId="55">
    <w:abstractNumId w:val="4"/>
  </w:num>
  <w:num w:numId="56">
    <w:abstractNumId w:val="41"/>
  </w:num>
  <w:num w:numId="57">
    <w:abstractNumId w:val="46"/>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2149"/>
    <w:rsid w:val="000065D0"/>
    <w:rsid w:val="00006B74"/>
    <w:rsid w:val="00006E1F"/>
    <w:rsid w:val="000070D7"/>
    <w:rsid w:val="000104F5"/>
    <w:rsid w:val="00015701"/>
    <w:rsid w:val="0001788C"/>
    <w:rsid w:val="00021663"/>
    <w:rsid w:val="0002186F"/>
    <w:rsid w:val="0002463F"/>
    <w:rsid w:val="000337EF"/>
    <w:rsid w:val="00040775"/>
    <w:rsid w:val="00040C3A"/>
    <w:rsid w:val="000419AD"/>
    <w:rsid w:val="0007013D"/>
    <w:rsid w:val="000713FF"/>
    <w:rsid w:val="00071585"/>
    <w:rsid w:val="000716C5"/>
    <w:rsid w:val="00075E23"/>
    <w:rsid w:val="0009344A"/>
    <w:rsid w:val="000A3254"/>
    <w:rsid w:val="000A392E"/>
    <w:rsid w:val="000A3E48"/>
    <w:rsid w:val="000A575F"/>
    <w:rsid w:val="000B0579"/>
    <w:rsid w:val="000C1C69"/>
    <w:rsid w:val="000C6775"/>
    <w:rsid w:val="000D10DB"/>
    <w:rsid w:val="000E2789"/>
    <w:rsid w:val="000E5EB5"/>
    <w:rsid w:val="000E775D"/>
    <w:rsid w:val="000F35ED"/>
    <w:rsid w:val="000F74A2"/>
    <w:rsid w:val="00107131"/>
    <w:rsid w:val="0010736F"/>
    <w:rsid w:val="00110E4C"/>
    <w:rsid w:val="00111A8A"/>
    <w:rsid w:val="00113F73"/>
    <w:rsid w:val="00121789"/>
    <w:rsid w:val="00121CC2"/>
    <w:rsid w:val="00130D74"/>
    <w:rsid w:val="00131D8B"/>
    <w:rsid w:val="00133EE5"/>
    <w:rsid w:val="001366C3"/>
    <w:rsid w:val="00136E3D"/>
    <w:rsid w:val="00143671"/>
    <w:rsid w:val="00143EFE"/>
    <w:rsid w:val="00145CB7"/>
    <w:rsid w:val="001479C0"/>
    <w:rsid w:val="0015232D"/>
    <w:rsid w:val="0015330B"/>
    <w:rsid w:val="00167A34"/>
    <w:rsid w:val="00174F5A"/>
    <w:rsid w:val="00177EEF"/>
    <w:rsid w:val="00187C94"/>
    <w:rsid w:val="001929A7"/>
    <w:rsid w:val="001A7870"/>
    <w:rsid w:val="001A7945"/>
    <w:rsid w:val="001B0B21"/>
    <w:rsid w:val="001B0FAE"/>
    <w:rsid w:val="001B2A03"/>
    <w:rsid w:val="001B3A00"/>
    <w:rsid w:val="001B43B3"/>
    <w:rsid w:val="001C1B41"/>
    <w:rsid w:val="001C5E84"/>
    <w:rsid w:val="001D65EF"/>
    <w:rsid w:val="001E49E7"/>
    <w:rsid w:val="001F271B"/>
    <w:rsid w:val="001F7201"/>
    <w:rsid w:val="00204931"/>
    <w:rsid w:val="002145F1"/>
    <w:rsid w:val="00215313"/>
    <w:rsid w:val="00223A29"/>
    <w:rsid w:val="002243AC"/>
    <w:rsid w:val="002250A3"/>
    <w:rsid w:val="0023036B"/>
    <w:rsid w:val="00231294"/>
    <w:rsid w:val="00235217"/>
    <w:rsid w:val="00246D1F"/>
    <w:rsid w:val="00247403"/>
    <w:rsid w:val="00247542"/>
    <w:rsid w:val="00266B61"/>
    <w:rsid w:val="0026712A"/>
    <w:rsid w:val="002704DB"/>
    <w:rsid w:val="00277BDA"/>
    <w:rsid w:val="0028246E"/>
    <w:rsid w:val="00285132"/>
    <w:rsid w:val="002909BB"/>
    <w:rsid w:val="0029575A"/>
    <w:rsid w:val="0029751E"/>
    <w:rsid w:val="002A0AAE"/>
    <w:rsid w:val="002A0BC2"/>
    <w:rsid w:val="002A4D50"/>
    <w:rsid w:val="002A5820"/>
    <w:rsid w:val="002B08B9"/>
    <w:rsid w:val="002B46D0"/>
    <w:rsid w:val="002B5204"/>
    <w:rsid w:val="002B56DD"/>
    <w:rsid w:val="002C3350"/>
    <w:rsid w:val="002D2B26"/>
    <w:rsid w:val="002D69C6"/>
    <w:rsid w:val="002D77EC"/>
    <w:rsid w:val="002D7EA2"/>
    <w:rsid w:val="002E1330"/>
    <w:rsid w:val="002E187C"/>
    <w:rsid w:val="002E39F9"/>
    <w:rsid w:val="002E5420"/>
    <w:rsid w:val="002E6C53"/>
    <w:rsid w:val="002E7512"/>
    <w:rsid w:val="002F06DD"/>
    <w:rsid w:val="002F62A2"/>
    <w:rsid w:val="00302733"/>
    <w:rsid w:val="003062B9"/>
    <w:rsid w:val="003121D5"/>
    <w:rsid w:val="0031375D"/>
    <w:rsid w:val="00314078"/>
    <w:rsid w:val="00314CA9"/>
    <w:rsid w:val="0031535D"/>
    <w:rsid w:val="0031574A"/>
    <w:rsid w:val="00322D96"/>
    <w:rsid w:val="003239B8"/>
    <w:rsid w:val="0033169F"/>
    <w:rsid w:val="0034224A"/>
    <w:rsid w:val="00343438"/>
    <w:rsid w:val="00344977"/>
    <w:rsid w:val="003461F3"/>
    <w:rsid w:val="00346C95"/>
    <w:rsid w:val="003503DD"/>
    <w:rsid w:val="00351155"/>
    <w:rsid w:val="00356185"/>
    <w:rsid w:val="0035669F"/>
    <w:rsid w:val="00360380"/>
    <w:rsid w:val="00365F78"/>
    <w:rsid w:val="00373511"/>
    <w:rsid w:val="0037519E"/>
    <w:rsid w:val="00383858"/>
    <w:rsid w:val="003854B6"/>
    <w:rsid w:val="00386C6C"/>
    <w:rsid w:val="00386CF0"/>
    <w:rsid w:val="00390819"/>
    <w:rsid w:val="003946C8"/>
    <w:rsid w:val="003A6337"/>
    <w:rsid w:val="003B4FF6"/>
    <w:rsid w:val="003B70FB"/>
    <w:rsid w:val="003C676B"/>
    <w:rsid w:val="003D0A55"/>
    <w:rsid w:val="003D3BC2"/>
    <w:rsid w:val="003D62A3"/>
    <w:rsid w:val="003D64C2"/>
    <w:rsid w:val="003E2C92"/>
    <w:rsid w:val="003E6CA1"/>
    <w:rsid w:val="00403BD0"/>
    <w:rsid w:val="004065A8"/>
    <w:rsid w:val="00411080"/>
    <w:rsid w:val="004165C2"/>
    <w:rsid w:val="00417224"/>
    <w:rsid w:val="00423716"/>
    <w:rsid w:val="004304AD"/>
    <w:rsid w:val="00441252"/>
    <w:rsid w:val="00441ECB"/>
    <w:rsid w:val="00444644"/>
    <w:rsid w:val="00445193"/>
    <w:rsid w:val="00447CCF"/>
    <w:rsid w:val="004565BA"/>
    <w:rsid w:val="00456B42"/>
    <w:rsid w:val="00460389"/>
    <w:rsid w:val="00461592"/>
    <w:rsid w:val="00462C1B"/>
    <w:rsid w:val="00467B7E"/>
    <w:rsid w:val="0047268B"/>
    <w:rsid w:val="00472B2F"/>
    <w:rsid w:val="0047337C"/>
    <w:rsid w:val="00473BB4"/>
    <w:rsid w:val="00476DD3"/>
    <w:rsid w:val="00477592"/>
    <w:rsid w:val="00482E1D"/>
    <w:rsid w:val="004867F2"/>
    <w:rsid w:val="00486CBC"/>
    <w:rsid w:val="00486F1C"/>
    <w:rsid w:val="004902E3"/>
    <w:rsid w:val="0049419D"/>
    <w:rsid w:val="004955E5"/>
    <w:rsid w:val="004A4B11"/>
    <w:rsid w:val="004A59CC"/>
    <w:rsid w:val="004A6A54"/>
    <w:rsid w:val="004A6A8E"/>
    <w:rsid w:val="004C20D2"/>
    <w:rsid w:val="004C2312"/>
    <w:rsid w:val="004C4B62"/>
    <w:rsid w:val="004C54C9"/>
    <w:rsid w:val="004C616A"/>
    <w:rsid w:val="004D4ABA"/>
    <w:rsid w:val="004D6025"/>
    <w:rsid w:val="004D649E"/>
    <w:rsid w:val="004E19B1"/>
    <w:rsid w:val="004E2649"/>
    <w:rsid w:val="004F6103"/>
    <w:rsid w:val="00500681"/>
    <w:rsid w:val="00501399"/>
    <w:rsid w:val="00501652"/>
    <w:rsid w:val="0050633D"/>
    <w:rsid w:val="00507BC4"/>
    <w:rsid w:val="005128E4"/>
    <w:rsid w:val="005133DB"/>
    <w:rsid w:val="00516230"/>
    <w:rsid w:val="005206D9"/>
    <w:rsid w:val="00522600"/>
    <w:rsid w:val="00525560"/>
    <w:rsid w:val="00527953"/>
    <w:rsid w:val="00530BA2"/>
    <w:rsid w:val="00532A32"/>
    <w:rsid w:val="00535BA1"/>
    <w:rsid w:val="005415E6"/>
    <w:rsid w:val="00544216"/>
    <w:rsid w:val="0054451F"/>
    <w:rsid w:val="00544C49"/>
    <w:rsid w:val="005516A1"/>
    <w:rsid w:val="005542F5"/>
    <w:rsid w:val="00562228"/>
    <w:rsid w:val="00563557"/>
    <w:rsid w:val="0057402A"/>
    <w:rsid w:val="00574CB7"/>
    <w:rsid w:val="005771D0"/>
    <w:rsid w:val="0057736B"/>
    <w:rsid w:val="00581534"/>
    <w:rsid w:val="0059191A"/>
    <w:rsid w:val="005921FF"/>
    <w:rsid w:val="005A24ED"/>
    <w:rsid w:val="005A6D0E"/>
    <w:rsid w:val="005B37CC"/>
    <w:rsid w:val="005B52B0"/>
    <w:rsid w:val="005B6806"/>
    <w:rsid w:val="005B6D22"/>
    <w:rsid w:val="005C261A"/>
    <w:rsid w:val="005C4225"/>
    <w:rsid w:val="005C5758"/>
    <w:rsid w:val="005C7989"/>
    <w:rsid w:val="005D274C"/>
    <w:rsid w:val="005D7DA7"/>
    <w:rsid w:val="005E0B65"/>
    <w:rsid w:val="005E11B2"/>
    <w:rsid w:val="005F0474"/>
    <w:rsid w:val="005F0DAD"/>
    <w:rsid w:val="005F0F33"/>
    <w:rsid w:val="005F1D5C"/>
    <w:rsid w:val="00600DEB"/>
    <w:rsid w:val="00607823"/>
    <w:rsid w:val="0062202D"/>
    <w:rsid w:val="006277DE"/>
    <w:rsid w:val="00627C9F"/>
    <w:rsid w:val="006311E9"/>
    <w:rsid w:val="00632354"/>
    <w:rsid w:val="00635367"/>
    <w:rsid w:val="00642810"/>
    <w:rsid w:val="006457EB"/>
    <w:rsid w:val="00647756"/>
    <w:rsid w:val="006509DA"/>
    <w:rsid w:val="00652333"/>
    <w:rsid w:val="0068009E"/>
    <w:rsid w:val="006819E9"/>
    <w:rsid w:val="006844C9"/>
    <w:rsid w:val="00686256"/>
    <w:rsid w:val="00686471"/>
    <w:rsid w:val="00691BBE"/>
    <w:rsid w:val="00692219"/>
    <w:rsid w:val="006A17D2"/>
    <w:rsid w:val="006A2E54"/>
    <w:rsid w:val="006A73E6"/>
    <w:rsid w:val="006A7B48"/>
    <w:rsid w:val="006B2D5C"/>
    <w:rsid w:val="006C0D56"/>
    <w:rsid w:val="006C3AC1"/>
    <w:rsid w:val="006C4EB1"/>
    <w:rsid w:val="006C502D"/>
    <w:rsid w:val="006D5BAE"/>
    <w:rsid w:val="006E0166"/>
    <w:rsid w:val="006E7B34"/>
    <w:rsid w:val="006F53DB"/>
    <w:rsid w:val="006F5761"/>
    <w:rsid w:val="006F69E9"/>
    <w:rsid w:val="0070697F"/>
    <w:rsid w:val="0072199C"/>
    <w:rsid w:val="00722C9F"/>
    <w:rsid w:val="007253B8"/>
    <w:rsid w:val="00734139"/>
    <w:rsid w:val="0073598C"/>
    <w:rsid w:val="0073741F"/>
    <w:rsid w:val="00741309"/>
    <w:rsid w:val="00753F78"/>
    <w:rsid w:val="00763461"/>
    <w:rsid w:val="0076643F"/>
    <w:rsid w:val="00777F63"/>
    <w:rsid w:val="007852B5"/>
    <w:rsid w:val="0079061E"/>
    <w:rsid w:val="007A5817"/>
    <w:rsid w:val="007A632C"/>
    <w:rsid w:val="007B05C4"/>
    <w:rsid w:val="007B162B"/>
    <w:rsid w:val="007B60E9"/>
    <w:rsid w:val="007B6CC3"/>
    <w:rsid w:val="007C166E"/>
    <w:rsid w:val="007C3334"/>
    <w:rsid w:val="007C402A"/>
    <w:rsid w:val="007C5165"/>
    <w:rsid w:val="007C64B1"/>
    <w:rsid w:val="007D2B98"/>
    <w:rsid w:val="007D7C02"/>
    <w:rsid w:val="007E21BC"/>
    <w:rsid w:val="007E36E6"/>
    <w:rsid w:val="007E47DE"/>
    <w:rsid w:val="007E58FE"/>
    <w:rsid w:val="007E7C82"/>
    <w:rsid w:val="007F588D"/>
    <w:rsid w:val="00801F61"/>
    <w:rsid w:val="00802748"/>
    <w:rsid w:val="00803F1C"/>
    <w:rsid w:val="0080600E"/>
    <w:rsid w:val="00812A2B"/>
    <w:rsid w:val="00816047"/>
    <w:rsid w:val="0081622B"/>
    <w:rsid w:val="00817612"/>
    <w:rsid w:val="00826A84"/>
    <w:rsid w:val="00830E9D"/>
    <w:rsid w:val="008338A4"/>
    <w:rsid w:val="00834D49"/>
    <w:rsid w:val="0083586B"/>
    <w:rsid w:val="00837C45"/>
    <w:rsid w:val="008411F0"/>
    <w:rsid w:val="00844730"/>
    <w:rsid w:val="008451AA"/>
    <w:rsid w:val="008457C2"/>
    <w:rsid w:val="00855734"/>
    <w:rsid w:val="00856E35"/>
    <w:rsid w:val="00857A82"/>
    <w:rsid w:val="00861A66"/>
    <w:rsid w:val="00863ECA"/>
    <w:rsid w:val="00863FF2"/>
    <w:rsid w:val="00864E4D"/>
    <w:rsid w:val="00871526"/>
    <w:rsid w:val="00873836"/>
    <w:rsid w:val="008770C3"/>
    <w:rsid w:val="00882ED4"/>
    <w:rsid w:val="00885737"/>
    <w:rsid w:val="00890650"/>
    <w:rsid w:val="00892BB6"/>
    <w:rsid w:val="00897E12"/>
    <w:rsid w:val="008A0F81"/>
    <w:rsid w:val="008A26BC"/>
    <w:rsid w:val="008A7227"/>
    <w:rsid w:val="008A7E0F"/>
    <w:rsid w:val="008B12F5"/>
    <w:rsid w:val="008B5932"/>
    <w:rsid w:val="008C5751"/>
    <w:rsid w:val="008D15F7"/>
    <w:rsid w:val="008D5752"/>
    <w:rsid w:val="008D768D"/>
    <w:rsid w:val="008E328A"/>
    <w:rsid w:val="008E3759"/>
    <w:rsid w:val="008E3BFE"/>
    <w:rsid w:val="008E7900"/>
    <w:rsid w:val="008F1912"/>
    <w:rsid w:val="008F2D78"/>
    <w:rsid w:val="008F6B73"/>
    <w:rsid w:val="0090270B"/>
    <w:rsid w:val="009041DC"/>
    <w:rsid w:val="00917B5A"/>
    <w:rsid w:val="00920A58"/>
    <w:rsid w:val="00920A8C"/>
    <w:rsid w:val="00934A2C"/>
    <w:rsid w:val="00935F06"/>
    <w:rsid w:val="00937B3A"/>
    <w:rsid w:val="00954B82"/>
    <w:rsid w:val="00962436"/>
    <w:rsid w:val="00962890"/>
    <w:rsid w:val="0096706E"/>
    <w:rsid w:val="00973D2D"/>
    <w:rsid w:val="00974491"/>
    <w:rsid w:val="00975C4E"/>
    <w:rsid w:val="00981FBA"/>
    <w:rsid w:val="009845C3"/>
    <w:rsid w:val="0099370D"/>
    <w:rsid w:val="00997BC5"/>
    <w:rsid w:val="009A4687"/>
    <w:rsid w:val="009A4F41"/>
    <w:rsid w:val="009A6A4A"/>
    <w:rsid w:val="009B381B"/>
    <w:rsid w:val="009C1F28"/>
    <w:rsid w:val="009C2FC5"/>
    <w:rsid w:val="009C64F8"/>
    <w:rsid w:val="009C6CA7"/>
    <w:rsid w:val="009D1753"/>
    <w:rsid w:val="009D3A3A"/>
    <w:rsid w:val="009D515E"/>
    <w:rsid w:val="009D6502"/>
    <w:rsid w:val="009D7611"/>
    <w:rsid w:val="009D78A5"/>
    <w:rsid w:val="009E0B61"/>
    <w:rsid w:val="009E3E8B"/>
    <w:rsid w:val="009E53DE"/>
    <w:rsid w:val="009E7155"/>
    <w:rsid w:val="009E7C00"/>
    <w:rsid w:val="009F5200"/>
    <w:rsid w:val="00A0691C"/>
    <w:rsid w:val="00A11E44"/>
    <w:rsid w:val="00A22397"/>
    <w:rsid w:val="00A246FE"/>
    <w:rsid w:val="00A328B3"/>
    <w:rsid w:val="00A40A3D"/>
    <w:rsid w:val="00A43898"/>
    <w:rsid w:val="00A45481"/>
    <w:rsid w:val="00A50FCF"/>
    <w:rsid w:val="00A528D1"/>
    <w:rsid w:val="00A54694"/>
    <w:rsid w:val="00A610CD"/>
    <w:rsid w:val="00A625E0"/>
    <w:rsid w:val="00A74947"/>
    <w:rsid w:val="00A758AA"/>
    <w:rsid w:val="00A86C49"/>
    <w:rsid w:val="00A971BF"/>
    <w:rsid w:val="00AA09A2"/>
    <w:rsid w:val="00AA7996"/>
    <w:rsid w:val="00AB0B73"/>
    <w:rsid w:val="00AC19CB"/>
    <w:rsid w:val="00AC4CC4"/>
    <w:rsid w:val="00AD1886"/>
    <w:rsid w:val="00AE5488"/>
    <w:rsid w:val="00AE5A38"/>
    <w:rsid w:val="00AE6F62"/>
    <w:rsid w:val="00AE6F91"/>
    <w:rsid w:val="00AF1398"/>
    <w:rsid w:val="00AF3BB6"/>
    <w:rsid w:val="00AF5571"/>
    <w:rsid w:val="00B05F6B"/>
    <w:rsid w:val="00B06B4E"/>
    <w:rsid w:val="00B07341"/>
    <w:rsid w:val="00B202B5"/>
    <w:rsid w:val="00B30539"/>
    <w:rsid w:val="00B314DB"/>
    <w:rsid w:val="00B32E4F"/>
    <w:rsid w:val="00B34DF4"/>
    <w:rsid w:val="00B361F2"/>
    <w:rsid w:val="00B3718B"/>
    <w:rsid w:val="00B37F67"/>
    <w:rsid w:val="00B411E8"/>
    <w:rsid w:val="00B43112"/>
    <w:rsid w:val="00B4632A"/>
    <w:rsid w:val="00B500AA"/>
    <w:rsid w:val="00B5067D"/>
    <w:rsid w:val="00B530F1"/>
    <w:rsid w:val="00B63D50"/>
    <w:rsid w:val="00B736AF"/>
    <w:rsid w:val="00B80DC7"/>
    <w:rsid w:val="00B919F4"/>
    <w:rsid w:val="00B97946"/>
    <w:rsid w:val="00BA0A1A"/>
    <w:rsid w:val="00BA276C"/>
    <w:rsid w:val="00BA5544"/>
    <w:rsid w:val="00BB306F"/>
    <w:rsid w:val="00BB3FBD"/>
    <w:rsid w:val="00BB7BBB"/>
    <w:rsid w:val="00BC33E8"/>
    <w:rsid w:val="00BC4151"/>
    <w:rsid w:val="00BC6CD0"/>
    <w:rsid w:val="00BD0D33"/>
    <w:rsid w:val="00BD4B89"/>
    <w:rsid w:val="00BD5922"/>
    <w:rsid w:val="00BD76D9"/>
    <w:rsid w:val="00BE5EB5"/>
    <w:rsid w:val="00BE65AA"/>
    <w:rsid w:val="00BF02CB"/>
    <w:rsid w:val="00BF514A"/>
    <w:rsid w:val="00BF6FD8"/>
    <w:rsid w:val="00BF775D"/>
    <w:rsid w:val="00C03680"/>
    <w:rsid w:val="00C054DF"/>
    <w:rsid w:val="00C10AFC"/>
    <w:rsid w:val="00C1466D"/>
    <w:rsid w:val="00C17610"/>
    <w:rsid w:val="00C21562"/>
    <w:rsid w:val="00C21762"/>
    <w:rsid w:val="00C21BF0"/>
    <w:rsid w:val="00C21FEF"/>
    <w:rsid w:val="00C24543"/>
    <w:rsid w:val="00C256A2"/>
    <w:rsid w:val="00C35A26"/>
    <w:rsid w:val="00C37420"/>
    <w:rsid w:val="00C405D3"/>
    <w:rsid w:val="00C41C25"/>
    <w:rsid w:val="00C51515"/>
    <w:rsid w:val="00C52128"/>
    <w:rsid w:val="00C53910"/>
    <w:rsid w:val="00C54970"/>
    <w:rsid w:val="00C5660B"/>
    <w:rsid w:val="00C56854"/>
    <w:rsid w:val="00C5788A"/>
    <w:rsid w:val="00C65679"/>
    <w:rsid w:val="00C66B72"/>
    <w:rsid w:val="00C87AC4"/>
    <w:rsid w:val="00C92406"/>
    <w:rsid w:val="00C9567A"/>
    <w:rsid w:val="00CA07ED"/>
    <w:rsid w:val="00CA4574"/>
    <w:rsid w:val="00CA48A3"/>
    <w:rsid w:val="00CB212D"/>
    <w:rsid w:val="00CB2660"/>
    <w:rsid w:val="00CB40BF"/>
    <w:rsid w:val="00CB60B9"/>
    <w:rsid w:val="00CC5E90"/>
    <w:rsid w:val="00CD046C"/>
    <w:rsid w:val="00CD3604"/>
    <w:rsid w:val="00CE076C"/>
    <w:rsid w:val="00CE5199"/>
    <w:rsid w:val="00CE66D5"/>
    <w:rsid w:val="00CE6D16"/>
    <w:rsid w:val="00CF4BB1"/>
    <w:rsid w:val="00CF637A"/>
    <w:rsid w:val="00CF7628"/>
    <w:rsid w:val="00D059DE"/>
    <w:rsid w:val="00D05ABD"/>
    <w:rsid w:val="00D11AB6"/>
    <w:rsid w:val="00D11FAB"/>
    <w:rsid w:val="00D13FCE"/>
    <w:rsid w:val="00D1536B"/>
    <w:rsid w:val="00D16346"/>
    <w:rsid w:val="00D1744B"/>
    <w:rsid w:val="00D306D1"/>
    <w:rsid w:val="00D30800"/>
    <w:rsid w:val="00D34786"/>
    <w:rsid w:val="00D37BFC"/>
    <w:rsid w:val="00D42822"/>
    <w:rsid w:val="00D47A8E"/>
    <w:rsid w:val="00D5063B"/>
    <w:rsid w:val="00D52D14"/>
    <w:rsid w:val="00D55256"/>
    <w:rsid w:val="00D66B45"/>
    <w:rsid w:val="00D712D3"/>
    <w:rsid w:val="00D71422"/>
    <w:rsid w:val="00D72DC6"/>
    <w:rsid w:val="00D73F5E"/>
    <w:rsid w:val="00D7558D"/>
    <w:rsid w:val="00D75A59"/>
    <w:rsid w:val="00D77503"/>
    <w:rsid w:val="00D77BBB"/>
    <w:rsid w:val="00D81D92"/>
    <w:rsid w:val="00D81DEA"/>
    <w:rsid w:val="00D84E35"/>
    <w:rsid w:val="00D876F9"/>
    <w:rsid w:val="00D877B6"/>
    <w:rsid w:val="00D9166E"/>
    <w:rsid w:val="00DA5FC9"/>
    <w:rsid w:val="00DA7B5F"/>
    <w:rsid w:val="00DB1136"/>
    <w:rsid w:val="00DC11E7"/>
    <w:rsid w:val="00DC40A4"/>
    <w:rsid w:val="00DC7023"/>
    <w:rsid w:val="00DC769A"/>
    <w:rsid w:val="00DD3D86"/>
    <w:rsid w:val="00DD5107"/>
    <w:rsid w:val="00DE12F0"/>
    <w:rsid w:val="00DE75D7"/>
    <w:rsid w:val="00DE7D6F"/>
    <w:rsid w:val="00DF1EC4"/>
    <w:rsid w:val="00E01943"/>
    <w:rsid w:val="00E01B3C"/>
    <w:rsid w:val="00E0340B"/>
    <w:rsid w:val="00E04A90"/>
    <w:rsid w:val="00E0551F"/>
    <w:rsid w:val="00E1105F"/>
    <w:rsid w:val="00E219C7"/>
    <w:rsid w:val="00E26CCA"/>
    <w:rsid w:val="00E4118C"/>
    <w:rsid w:val="00E43157"/>
    <w:rsid w:val="00E461CE"/>
    <w:rsid w:val="00E50687"/>
    <w:rsid w:val="00E53F13"/>
    <w:rsid w:val="00E55199"/>
    <w:rsid w:val="00E720CA"/>
    <w:rsid w:val="00E84EB5"/>
    <w:rsid w:val="00E85662"/>
    <w:rsid w:val="00E8789F"/>
    <w:rsid w:val="00E92C19"/>
    <w:rsid w:val="00E97B71"/>
    <w:rsid w:val="00EA3D34"/>
    <w:rsid w:val="00EB454D"/>
    <w:rsid w:val="00EC72AB"/>
    <w:rsid w:val="00EC72F7"/>
    <w:rsid w:val="00ED2F03"/>
    <w:rsid w:val="00ED549D"/>
    <w:rsid w:val="00ED76BE"/>
    <w:rsid w:val="00ED7F05"/>
    <w:rsid w:val="00EE00E9"/>
    <w:rsid w:val="00EE014D"/>
    <w:rsid w:val="00EF3539"/>
    <w:rsid w:val="00EF35AB"/>
    <w:rsid w:val="00EF4C44"/>
    <w:rsid w:val="00EF5323"/>
    <w:rsid w:val="00EF619B"/>
    <w:rsid w:val="00F00B55"/>
    <w:rsid w:val="00F02AD1"/>
    <w:rsid w:val="00F04591"/>
    <w:rsid w:val="00F06354"/>
    <w:rsid w:val="00F10CA5"/>
    <w:rsid w:val="00F13BCA"/>
    <w:rsid w:val="00F16F1B"/>
    <w:rsid w:val="00F253CC"/>
    <w:rsid w:val="00F332EF"/>
    <w:rsid w:val="00F37106"/>
    <w:rsid w:val="00F519CF"/>
    <w:rsid w:val="00F53EB0"/>
    <w:rsid w:val="00F56BA5"/>
    <w:rsid w:val="00F60E22"/>
    <w:rsid w:val="00F63B39"/>
    <w:rsid w:val="00F81395"/>
    <w:rsid w:val="00F81887"/>
    <w:rsid w:val="00F81BB8"/>
    <w:rsid w:val="00F917D1"/>
    <w:rsid w:val="00F92FBA"/>
    <w:rsid w:val="00F9342C"/>
    <w:rsid w:val="00F9653B"/>
    <w:rsid w:val="00FA1425"/>
    <w:rsid w:val="00FA2C40"/>
    <w:rsid w:val="00FA3B4A"/>
    <w:rsid w:val="00FA43C9"/>
    <w:rsid w:val="00FA56EA"/>
    <w:rsid w:val="00FB1714"/>
    <w:rsid w:val="00FB1757"/>
    <w:rsid w:val="00FB62CF"/>
    <w:rsid w:val="00FC05A3"/>
    <w:rsid w:val="00FC0F4A"/>
    <w:rsid w:val="00FC3330"/>
    <w:rsid w:val="00FD3C3B"/>
    <w:rsid w:val="00FE07DD"/>
    <w:rsid w:val="00FE4910"/>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A4548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9479">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9976730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EB108-FE12-48C7-8858-6BAF2B58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4635</Words>
  <Characters>24476</Characters>
  <Application>Microsoft Office Word</Application>
  <DocSecurity>0</DocSecurity>
  <Lines>382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55/20</dc:title>
  <dc:creator/>
  <cp:lastModifiedBy/>
  <cp:revision>1</cp:revision>
  <dcterms:created xsi:type="dcterms:W3CDTF">2020-06-04T18:46:00Z</dcterms:created>
  <dcterms:modified xsi:type="dcterms:W3CDTF">2020-06-04T18:46:00Z</dcterms:modified>
</cp:coreProperties>
</file>