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A775FA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93C6C">
                              <w:rPr>
                                <w:rFonts w:asciiTheme="majorHAnsi" w:hAnsiTheme="majorHAnsi" w:cs="Arial"/>
                                <w:b/>
                                <w:bCs/>
                                <w:color w:val="0D0D0D" w:themeColor="text1" w:themeTint="F2"/>
                                <w:sz w:val="36"/>
                                <w:szCs w:val="40"/>
                              </w:rPr>
                              <w:t>181</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5311F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26B3" w:rsidRPr="00F5148D">
                              <w:rPr>
                                <w:rFonts w:asciiTheme="majorHAnsi" w:hAnsiTheme="majorHAnsi" w:cs="Arial"/>
                                <w:b/>
                                <w:color w:val="0D0D0D" w:themeColor="text1" w:themeTint="F2"/>
                                <w:sz w:val="36"/>
                                <w:szCs w:val="22"/>
                              </w:rPr>
                              <w:t>380-10</w:t>
                            </w:r>
                          </w:p>
                          <w:p w14:paraId="34978E5A" w14:textId="56582DE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BDE3271" w14:textId="2540961B" w:rsidR="003826B3" w:rsidRPr="0010736F" w:rsidRDefault="003826B3" w:rsidP="003826B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EMILIO G</w:t>
                            </w:r>
                            <w:r w:rsidR="00F5148D">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MEZ GALEANO AND FAMILY</w:t>
                            </w:r>
                          </w:p>
                          <w:p w14:paraId="7642065E" w14:textId="77777777" w:rsidR="003826B3" w:rsidRPr="0010736F" w:rsidRDefault="003826B3" w:rsidP="003826B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192F8096" w:rsidR="005B52B0" w:rsidRPr="00493C6C" w:rsidRDefault="005B52B0" w:rsidP="00FE5113">
                            <w:pPr>
                              <w:spacing w:line="276" w:lineRule="auto"/>
                              <w:rPr>
                                <w:rFonts w:asciiTheme="majorHAnsi" w:hAnsiTheme="majorHAnsi"/>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A775FA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93C6C">
                        <w:rPr>
                          <w:rFonts w:asciiTheme="majorHAnsi" w:hAnsiTheme="majorHAnsi" w:cs="Arial"/>
                          <w:b/>
                          <w:bCs/>
                          <w:color w:val="0D0D0D" w:themeColor="text1" w:themeTint="F2"/>
                          <w:sz w:val="36"/>
                          <w:szCs w:val="40"/>
                        </w:rPr>
                        <w:t>181</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5311F9E"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826B3" w:rsidRPr="00F5148D">
                        <w:rPr>
                          <w:rFonts w:asciiTheme="majorHAnsi" w:hAnsiTheme="majorHAnsi" w:cs="Arial"/>
                          <w:b/>
                          <w:color w:val="0D0D0D" w:themeColor="text1" w:themeTint="F2"/>
                          <w:sz w:val="36"/>
                          <w:szCs w:val="22"/>
                        </w:rPr>
                        <w:t>380-10</w:t>
                      </w:r>
                    </w:p>
                    <w:p w14:paraId="34978E5A" w14:textId="56582DE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BDE3271" w14:textId="2540961B" w:rsidR="003826B3" w:rsidRPr="0010736F" w:rsidRDefault="003826B3" w:rsidP="003826B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EMILIO G</w:t>
                      </w:r>
                      <w:r w:rsidR="00F5148D">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MEZ GALEANO AND FAMILY</w:t>
                      </w:r>
                    </w:p>
                    <w:p w14:paraId="7642065E" w14:textId="77777777" w:rsidR="003826B3" w:rsidRPr="0010736F" w:rsidRDefault="003826B3" w:rsidP="003826B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192F8096" w:rsidR="005B52B0" w:rsidRPr="00493C6C" w:rsidRDefault="005B52B0" w:rsidP="00FE5113">
                      <w:pPr>
                        <w:spacing w:line="276" w:lineRule="auto"/>
                        <w:rPr>
                          <w:rFonts w:asciiTheme="majorHAnsi" w:hAnsiTheme="majorHAnsi"/>
                          <w:color w:val="0D0D0D" w:themeColor="text1" w:themeTint="F2"/>
                          <w:lang w:val="es-419"/>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13AD4394"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548CE53"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493C6C">
                              <w:rPr>
                                <w:rFonts w:asciiTheme="minorHAnsi" w:hAnsiTheme="minorHAnsi"/>
                                <w:color w:val="FFFFFF" w:themeColor="background1"/>
                                <w:sz w:val="22"/>
                                <w:lang w:val="pt-BR"/>
                              </w:rPr>
                              <w:t>191</w:t>
                            </w:r>
                          </w:p>
                          <w:p w14:paraId="0BEFF61A" w14:textId="6CF294A7"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93C6C">
                              <w:rPr>
                                <w:rFonts w:asciiTheme="minorHAnsi" w:hAnsiTheme="minorHAnsi"/>
                                <w:color w:val="FFFFFF" w:themeColor="background1"/>
                                <w:sz w:val="22"/>
                                <w:lang w:val="pt-BR"/>
                              </w:rPr>
                              <w:t xml:space="preserve">7 </w:t>
                            </w:r>
                            <w:r w:rsidR="00493C6C">
                              <w:rPr>
                                <w:rFonts w:asciiTheme="minorHAnsi" w:hAnsiTheme="minorHAnsi"/>
                                <w:color w:val="FFFFFF" w:themeColor="background1"/>
                                <w:sz w:val="22"/>
                              </w:rPr>
                              <w:t>July</w:t>
                            </w:r>
                            <w:r w:rsidR="00167D72">
                              <w:rPr>
                                <w:rFonts w:asciiTheme="minorHAnsi" w:hAnsiTheme="minorHAnsi"/>
                                <w:color w:val="FFFFFF" w:themeColor="background1"/>
                                <w:sz w:val="22"/>
                              </w:rPr>
                              <w:t xml:space="preserve"> 2020</w:t>
                            </w:r>
                          </w:p>
                          <w:p w14:paraId="0FC103BD" w14:textId="5CD06795" w:rsidR="00493C6C" w:rsidRPr="00302748" w:rsidRDefault="00627C9F" w:rsidP="00493C6C">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93C6C">
                              <w:rPr>
                                <w:rFonts w:asciiTheme="minorHAnsi" w:hAnsiTheme="minorHAnsi"/>
                                <w:color w:val="FFFFFF" w:themeColor="background1"/>
                                <w:sz w:val="22"/>
                              </w:rPr>
                              <w:t xml:space="preserve"> Spanish</w:t>
                            </w:r>
                          </w:p>
                          <w:p w14:paraId="5F1F7BEA" w14:textId="4CD1E8FB" w:rsidR="00302748" w:rsidRPr="00302748" w:rsidRDefault="00302748"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13AD4394"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7548CE53"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493C6C">
                        <w:rPr>
                          <w:rFonts w:asciiTheme="minorHAnsi" w:hAnsiTheme="minorHAnsi"/>
                          <w:color w:val="FFFFFF" w:themeColor="background1"/>
                          <w:sz w:val="22"/>
                          <w:lang w:val="pt-BR"/>
                        </w:rPr>
                        <w:t>191</w:t>
                      </w:r>
                    </w:p>
                    <w:p w14:paraId="0BEFF61A" w14:textId="6CF294A7"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493C6C">
                        <w:rPr>
                          <w:rFonts w:asciiTheme="minorHAnsi" w:hAnsiTheme="minorHAnsi"/>
                          <w:color w:val="FFFFFF" w:themeColor="background1"/>
                          <w:sz w:val="22"/>
                          <w:lang w:val="pt-BR"/>
                        </w:rPr>
                        <w:t xml:space="preserve">7 </w:t>
                      </w:r>
                      <w:r w:rsidR="00493C6C">
                        <w:rPr>
                          <w:rFonts w:asciiTheme="minorHAnsi" w:hAnsiTheme="minorHAnsi"/>
                          <w:color w:val="FFFFFF" w:themeColor="background1"/>
                          <w:sz w:val="22"/>
                        </w:rPr>
                        <w:t>July</w:t>
                      </w:r>
                      <w:r w:rsidR="00167D72">
                        <w:rPr>
                          <w:rFonts w:asciiTheme="minorHAnsi" w:hAnsiTheme="minorHAnsi"/>
                          <w:color w:val="FFFFFF" w:themeColor="background1"/>
                          <w:sz w:val="22"/>
                        </w:rPr>
                        <w:t xml:space="preserve"> 2020</w:t>
                      </w:r>
                    </w:p>
                    <w:p w14:paraId="0FC103BD" w14:textId="5CD06795" w:rsidR="00493C6C" w:rsidRPr="00302748" w:rsidRDefault="00627C9F" w:rsidP="00493C6C">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493C6C">
                        <w:rPr>
                          <w:rFonts w:asciiTheme="minorHAnsi" w:hAnsiTheme="minorHAnsi"/>
                          <w:color w:val="FFFFFF" w:themeColor="background1"/>
                          <w:sz w:val="22"/>
                        </w:rPr>
                        <w:t xml:space="preserve"> Spanish</w:t>
                      </w:r>
                    </w:p>
                    <w:p w14:paraId="5F1F7BEA" w14:textId="4CD1E8FB" w:rsidR="00302748" w:rsidRPr="00302748" w:rsidRDefault="00302748"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6837AE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493C6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493C6C">
                              <w:rPr>
                                <w:rFonts w:asciiTheme="majorHAnsi" w:hAnsiTheme="majorHAnsi"/>
                                <w:color w:val="0D0D0D" w:themeColor="text1" w:themeTint="F2"/>
                                <w:sz w:val="18"/>
                                <w:szCs w:val="20"/>
                              </w:rPr>
                              <w:t>July 7</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1162A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6837AE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493C6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493C6C">
                        <w:rPr>
                          <w:rFonts w:asciiTheme="majorHAnsi" w:hAnsiTheme="majorHAnsi"/>
                          <w:color w:val="0D0D0D" w:themeColor="text1" w:themeTint="F2"/>
                          <w:sz w:val="18"/>
                          <w:szCs w:val="20"/>
                        </w:rPr>
                        <w:t>July 7</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1162A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D5BDF06" w:rsidR="00F644E6" w:rsidRPr="003C32BC" w:rsidRDefault="00F644E6" w:rsidP="00F644E6">
                            <w:pPr>
                              <w:spacing w:line="276" w:lineRule="auto"/>
                              <w:rPr>
                                <w:rFonts w:asciiTheme="majorHAnsi" w:hAnsiTheme="majorHAnsi"/>
                                <w:color w:val="595959" w:themeColor="text1" w:themeTint="A6"/>
                                <w:sz w:val="18"/>
                              </w:rPr>
                            </w:pPr>
                            <w:r w:rsidRPr="00493C6C">
                              <w:rPr>
                                <w:rFonts w:asciiTheme="majorHAnsi" w:hAnsiTheme="majorHAnsi"/>
                                <w:b/>
                                <w:color w:val="595959" w:themeColor="text1" w:themeTint="A6"/>
                                <w:sz w:val="18"/>
                              </w:rPr>
                              <w:t xml:space="preserve">Cite as: </w:t>
                            </w:r>
                            <w:r w:rsidRPr="00493C6C">
                              <w:rPr>
                                <w:rFonts w:asciiTheme="majorHAnsi" w:hAnsiTheme="majorHAnsi"/>
                                <w:color w:val="595959" w:themeColor="text1" w:themeTint="A6"/>
                                <w:sz w:val="18"/>
                              </w:rPr>
                              <w:t xml:space="preserve">IACHR, Report No. </w:t>
                            </w:r>
                            <w:r w:rsidR="00493C6C">
                              <w:rPr>
                                <w:rFonts w:asciiTheme="majorHAnsi" w:hAnsiTheme="majorHAnsi"/>
                                <w:color w:val="595959" w:themeColor="text1" w:themeTint="A6"/>
                                <w:sz w:val="18"/>
                              </w:rPr>
                              <w:t>181</w:t>
                            </w:r>
                            <w:r w:rsidR="00022CF5" w:rsidRPr="00493C6C">
                              <w:rPr>
                                <w:rFonts w:asciiTheme="majorHAnsi" w:hAnsiTheme="majorHAnsi"/>
                                <w:color w:val="595959" w:themeColor="text1" w:themeTint="A6"/>
                                <w:sz w:val="18"/>
                              </w:rPr>
                              <w:t>/</w:t>
                            </w:r>
                            <w:r w:rsidR="007F196E" w:rsidRPr="00493C6C">
                              <w:rPr>
                                <w:rFonts w:asciiTheme="majorHAnsi" w:hAnsiTheme="majorHAnsi"/>
                                <w:color w:val="595959" w:themeColor="text1" w:themeTint="A6"/>
                                <w:sz w:val="18"/>
                              </w:rPr>
                              <w:t>20</w:t>
                            </w:r>
                            <w:r w:rsidRPr="00493C6C">
                              <w:rPr>
                                <w:rFonts w:asciiTheme="majorHAnsi" w:hAnsiTheme="majorHAnsi"/>
                                <w:color w:val="595959" w:themeColor="text1" w:themeTint="A6"/>
                                <w:sz w:val="18"/>
                              </w:rPr>
                              <w:t xml:space="preserve">, </w:t>
                            </w:r>
                            <w:r w:rsidR="00F42B71" w:rsidRPr="00493C6C">
                              <w:rPr>
                                <w:rFonts w:asciiTheme="majorHAnsi" w:hAnsiTheme="majorHAnsi"/>
                                <w:color w:val="595959" w:themeColor="text1" w:themeTint="A6"/>
                                <w:sz w:val="18"/>
                              </w:rPr>
                              <w:t xml:space="preserve">Petition </w:t>
                            </w:r>
                            <w:r w:rsidR="00F5148D" w:rsidRPr="00493C6C">
                              <w:rPr>
                                <w:rFonts w:asciiTheme="majorHAnsi" w:hAnsiTheme="majorHAnsi"/>
                                <w:color w:val="595959" w:themeColor="text1" w:themeTint="A6"/>
                                <w:sz w:val="18"/>
                              </w:rPr>
                              <w:t>380-10</w:t>
                            </w:r>
                            <w:r w:rsidRPr="00493C6C">
                              <w:rPr>
                                <w:rFonts w:asciiTheme="majorHAnsi" w:hAnsiTheme="majorHAnsi"/>
                                <w:color w:val="595959" w:themeColor="text1" w:themeTint="A6"/>
                                <w:sz w:val="18"/>
                              </w:rPr>
                              <w:t>.</w:t>
                            </w:r>
                            <w:r w:rsidR="009E566A" w:rsidRPr="00493C6C">
                              <w:rPr>
                                <w:rFonts w:asciiTheme="majorHAnsi" w:hAnsiTheme="majorHAnsi"/>
                                <w:color w:val="595959" w:themeColor="text1" w:themeTint="A6"/>
                                <w:sz w:val="18"/>
                              </w:rPr>
                              <w:t xml:space="preserve"> </w:t>
                            </w:r>
                            <w:r w:rsidR="00F42B71" w:rsidRPr="00493C6C">
                              <w:rPr>
                                <w:rFonts w:asciiTheme="majorHAnsi" w:hAnsiTheme="majorHAnsi"/>
                                <w:color w:val="595959" w:themeColor="text1" w:themeTint="A6"/>
                                <w:sz w:val="18"/>
                              </w:rPr>
                              <w:t>Admissibility</w:t>
                            </w:r>
                            <w:r w:rsidRPr="00493C6C">
                              <w:rPr>
                                <w:rFonts w:asciiTheme="majorHAnsi" w:hAnsiTheme="majorHAnsi"/>
                                <w:color w:val="595959" w:themeColor="text1" w:themeTint="A6"/>
                                <w:sz w:val="18"/>
                              </w:rPr>
                              <w:t xml:space="preserve">. </w:t>
                            </w:r>
                            <w:r w:rsidR="00F5148D" w:rsidRPr="00493C6C">
                              <w:rPr>
                                <w:rFonts w:asciiTheme="majorHAnsi" w:hAnsiTheme="majorHAnsi"/>
                                <w:color w:val="595959" w:themeColor="text1" w:themeTint="A6"/>
                                <w:sz w:val="18"/>
                              </w:rPr>
                              <w:t xml:space="preserve">Gustavo Emilio Gomez </w:t>
                            </w:r>
                            <w:proofErr w:type="spellStart"/>
                            <w:r w:rsidR="00F5148D" w:rsidRPr="00493C6C">
                              <w:rPr>
                                <w:rFonts w:asciiTheme="majorHAnsi" w:hAnsiTheme="majorHAnsi"/>
                                <w:color w:val="595959" w:themeColor="text1" w:themeTint="A6"/>
                                <w:sz w:val="18"/>
                              </w:rPr>
                              <w:t>Galeano</w:t>
                            </w:r>
                            <w:proofErr w:type="spellEnd"/>
                            <w:r w:rsidR="00F5148D" w:rsidRPr="00493C6C">
                              <w:rPr>
                                <w:rFonts w:asciiTheme="majorHAnsi" w:hAnsiTheme="majorHAnsi"/>
                                <w:color w:val="595959" w:themeColor="text1" w:themeTint="A6"/>
                                <w:sz w:val="18"/>
                              </w:rPr>
                              <w:t xml:space="preserve"> and family</w:t>
                            </w:r>
                            <w:r w:rsidRPr="00493C6C">
                              <w:rPr>
                                <w:rFonts w:asciiTheme="majorHAnsi" w:hAnsiTheme="majorHAnsi"/>
                                <w:color w:val="595959" w:themeColor="text1" w:themeTint="A6"/>
                                <w:sz w:val="18"/>
                              </w:rPr>
                              <w:t xml:space="preserve">. </w:t>
                            </w:r>
                            <w:r w:rsidR="00F5148D" w:rsidRPr="00493C6C">
                              <w:rPr>
                                <w:rFonts w:asciiTheme="majorHAnsi" w:hAnsiTheme="majorHAnsi"/>
                                <w:color w:val="595959" w:themeColor="text1" w:themeTint="A6"/>
                                <w:sz w:val="18"/>
                              </w:rPr>
                              <w:t>Colombia</w:t>
                            </w:r>
                            <w:r w:rsidR="00022CF5" w:rsidRPr="00493C6C">
                              <w:rPr>
                                <w:rFonts w:asciiTheme="majorHAnsi" w:hAnsiTheme="majorHAnsi"/>
                                <w:color w:val="595959" w:themeColor="text1" w:themeTint="A6"/>
                                <w:sz w:val="18"/>
                              </w:rPr>
                              <w:t xml:space="preserve">. </w:t>
                            </w:r>
                            <w:r w:rsidR="00493C6C">
                              <w:rPr>
                                <w:rFonts w:asciiTheme="majorHAnsi" w:hAnsiTheme="majorHAnsi"/>
                                <w:color w:val="595959" w:themeColor="text1" w:themeTint="A6"/>
                                <w:sz w:val="18"/>
                              </w:rPr>
                              <w:t>July 7, 2020</w:t>
                            </w:r>
                            <w:r w:rsidRPr="00493C6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D5BDF06" w:rsidR="00F644E6" w:rsidRPr="003C32BC" w:rsidRDefault="00F644E6" w:rsidP="00F644E6">
                      <w:pPr>
                        <w:spacing w:line="276" w:lineRule="auto"/>
                        <w:rPr>
                          <w:rFonts w:asciiTheme="majorHAnsi" w:hAnsiTheme="majorHAnsi"/>
                          <w:color w:val="595959" w:themeColor="text1" w:themeTint="A6"/>
                          <w:sz w:val="18"/>
                        </w:rPr>
                      </w:pPr>
                      <w:r w:rsidRPr="00493C6C">
                        <w:rPr>
                          <w:rFonts w:asciiTheme="majorHAnsi" w:hAnsiTheme="majorHAnsi"/>
                          <w:b/>
                          <w:color w:val="595959" w:themeColor="text1" w:themeTint="A6"/>
                          <w:sz w:val="18"/>
                        </w:rPr>
                        <w:t xml:space="preserve">Cite </w:t>
                      </w:r>
                      <w:proofErr w:type="gramStart"/>
                      <w:r w:rsidRPr="00493C6C">
                        <w:rPr>
                          <w:rFonts w:asciiTheme="majorHAnsi" w:hAnsiTheme="majorHAnsi"/>
                          <w:b/>
                          <w:color w:val="595959" w:themeColor="text1" w:themeTint="A6"/>
                          <w:sz w:val="18"/>
                        </w:rPr>
                        <w:t>as:</w:t>
                      </w:r>
                      <w:proofErr w:type="gramEnd"/>
                      <w:r w:rsidRPr="00493C6C">
                        <w:rPr>
                          <w:rFonts w:asciiTheme="majorHAnsi" w:hAnsiTheme="majorHAnsi"/>
                          <w:b/>
                          <w:color w:val="595959" w:themeColor="text1" w:themeTint="A6"/>
                          <w:sz w:val="18"/>
                        </w:rPr>
                        <w:t xml:space="preserve"> </w:t>
                      </w:r>
                      <w:r w:rsidRPr="00493C6C">
                        <w:rPr>
                          <w:rFonts w:asciiTheme="majorHAnsi" w:hAnsiTheme="majorHAnsi"/>
                          <w:color w:val="595959" w:themeColor="text1" w:themeTint="A6"/>
                          <w:sz w:val="18"/>
                        </w:rPr>
                        <w:t xml:space="preserve">IACHR, Report No. </w:t>
                      </w:r>
                      <w:r w:rsidR="00493C6C">
                        <w:rPr>
                          <w:rFonts w:asciiTheme="majorHAnsi" w:hAnsiTheme="majorHAnsi"/>
                          <w:color w:val="595959" w:themeColor="text1" w:themeTint="A6"/>
                          <w:sz w:val="18"/>
                        </w:rPr>
                        <w:t>181</w:t>
                      </w:r>
                      <w:r w:rsidR="00022CF5" w:rsidRPr="00493C6C">
                        <w:rPr>
                          <w:rFonts w:asciiTheme="majorHAnsi" w:hAnsiTheme="majorHAnsi"/>
                          <w:color w:val="595959" w:themeColor="text1" w:themeTint="A6"/>
                          <w:sz w:val="18"/>
                        </w:rPr>
                        <w:t>/</w:t>
                      </w:r>
                      <w:r w:rsidR="007F196E" w:rsidRPr="00493C6C">
                        <w:rPr>
                          <w:rFonts w:asciiTheme="majorHAnsi" w:hAnsiTheme="majorHAnsi"/>
                          <w:color w:val="595959" w:themeColor="text1" w:themeTint="A6"/>
                          <w:sz w:val="18"/>
                        </w:rPr>
                        <w:t>20</w:t>
                      </w:r>
                      <w:r w:rsidRPr="00493C6C">
                        <w:rPr>
                          <w:rFonts w:asciiTheme="majorHAnsi" w:hAnsiTheme="majorHAnsi"/>
                          <w:color w:val="595959" w:themeColor="text1" w:themeTint="A6"/>
                          <w:sz w:val="18"/>
                        </w:rPr>
                        <w:t xml:space="preserve">, </w:t>
                      </w:r>
                      <w:r w:rsidR="00F42B71" w:rsidRPr="00493C6C">
                        <w:rPr>
                          <w:rFonts w:asciiTheme="majorHAnsi" w:hAnsiTheme="majorHAnsi"/>
                          <w:color w:val="595959" w:themeColor="text1" w:themeTint="A6"/>
                          <w:sz w:val="18"/>
                        </w:rPr>
                        <w:t xml:space="preserve">Petition </w:t>
                      </w:r>
                      <w:r w:rsidR="00F5148D" w:rsidRPr="00493C6C">
                        <w:rPr>
                          <w:rFonts w:asciiTheme="majorHAnsi" w:hAnsiTheme="majorHAnsi"/>
                          <w:color w:val="595959" w:themeColor="text1" w:themeTint="A6"/>
                          <w:sz w:val="18"/>
                        </w:rPr>
                        <w:t>380-10</w:t>
                      </w:r>
                      <w:r w:rsidRPr="00493C6C">
                        <w:rPr>
                          <w:rFonts w:asciiTheme="majorHAnsi" w:hAnsiTheme="majorHAnsi"/>
                          <w:color w:val="595959" w:themeColor="text1" w:themeTint="A6"/>
                          <w:sz w:val="18"/>
                        </w:rPr>
                        <w:t>.</w:t>
                      </w:r>
                      <w:r w:rsidR="009E566A" w:rsidRPr="00493C6C">
                        <w:rPr>
                          <w:rFonts w:asciiTheme="majorHAnsi" w:hAnsiTheme="majorHAnsi"/>
                          <w:color w:val="595959" w:themeColor="text1" w:themeTint="A6"/>
                          <w:sz w:val="18"/>
                        </w:rPr>
                        <w:t xml:space="preserve"> </w:t>
                      </w:r>
                      <w:r w:rsidR="00F42B71" w:rsidRPr="00493C6C">
                        <w:rPr>
                          <w:rFonts w:asciiTheme="majorHAnsi" w:hAnsiTheme="majorHAnsi"/>
                          <w:color w:val="595959" w:themeColor="text1" w:themeTint="A6"/>
                          <w:sz w:val="18"/>
                        </w:rPr>
                        <w:t>Admissibility</w:t>
                      </w:r>
                      <w:r w:rsidRPr="00493C6C">
                        <w:rPr>
                          <w:rFonts w:asciiTheme="majorHAnsi" w:hAnsiTheme="majorHAnsi"/>
                          <w:color w:val="595959" w:themeColor="text1" w:themeTint="A6"/>
                          <w:sz w:val="18"/>
                        </w:rPr>
                        <w:t xml:space="preserve">. </w:t>
                      </w:r>
                      <w:r w:rsidR="00F5148D" w:rsidRPr="00493C6C">
                        <w:rPr>
                          <w:rFonts w:asciiTheme="majorHAnsi" w:hAnsiTheme="majorHAnsi"/>
                          <w:color w:val="595959" w:themeColor="text1" w:themeTint="A6"/>
                          <w:sz w:val="18"/>
                        </w:rPr>
                        <w:t xml:space="preserve">Gustavo Emilio Gomez </w:t>
                      </w:r>
                      <w:proofErr w:type="spellStart"/>
                      <w:r w:rsidR="00F5148D" w:rsidRPr="00493C6C">
                        <w:rPr>
                          <w:rFonts w:asciiTheme="majorHAnsi" w:hAnsiTheme="majorHAnsi"/>
                          <w:color w:val="595959" w:themeColor="text1" w:themeTint="A6"/>
                          <w:sz w:val="18"/>
                        </w:rPr>
                        <w:t>Galeano</w:t>
                      </w:r>
                      <w:proofErr w:type="spellEnd"/>
                      <w:r w:rsidR="00F5148D" w:rsidRPr="00493C6C">
                        <w:rPr>
                          <w:rFonts w:asciiTheme="majorHAnsi" w:hAnsiTheme="majorHAnsi"/>
                          <w:color w:val="595959" w:themeColor="text1" w:themeTint="A6"/>
                          <w:sz w:val="18"/>
                        </w:rPr>
                        <w:t xml:space="preserve"> and family</w:t>
                      </w:r>
                      <w:r w:rsidRPr="00493C6C">
                        <w:rPr>
                          <w:rFonts w:asciiTheme="majorHAnsi" w:hAnsiTheme="majorHAnsi"/>
                          <w:color w:val="595959" w:themeColor="text1" w:themeTint="A6"/>
                          <w:sz w:val="18"/>
                        </w:rPr>
                        <w:t xml:space="preserve">. </w:t>
                      </w:r>
                      <w:r w:rsidR="00F5148D" w:rsidRPr="00493C6C">
                        <w:rPr>
                          <w:rFonts w:asciiTheme="majorHAnsi" w:hAnsiTheme="majorHAnsi"/>
                          <w:color w:val="595959" w:themeColor="text1" w:themeTint="A6"/>
                          <w:sz w:val="18"/>
                        </w:rPr>
                        <w:t>Colombia</w:t>
                      </w:r>
                      <w:r w:rsidR="00022CF5" w:rsidRPr="00493C6C">
                        <w:rPr>
                          <w:rFonts w:asciiTheme="majorHAnsi" w:hAnsiTheme="majorHAnsi"/>
                          <w:color w:val="595959" w:themeColor="text1" w:themeTint="A6"/>
                          <w:sz w:val="18"/>
                        </w:rPr>
                        <w:t xml:space="preserve">. </w:t>
                      </w:r>
                      <w:r w:rsidR="00493C6C">
                        <w:rPr>
                          <w:rFonts w:asciiTheme="majorHAnsi" w:hAnsiTheme="majorHAnsi"/>
                          <w:color w:val="595959" w:themeColor="text1" w:themeTint="A6"/>
                          <w:sz w:val="18"/>
                        </w:rPr>
                        <w:t>July 7, 2020</w:t>
                      </w:r>
                      <w:r w:rsidRPr="00493C6C">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A3AB658" w:rsidR="00F621C3" w:rsidRPr="00FE5113" w:rsidRDefault="003826B3" w:rsidP="009163FC">
            <w:pPr>
              <w:jc w:val="both"/>
              <w:rPr>
                <w:rFonts w:asciiTheme="majorHAnsi" w:hAnsiTheme="majorHAnsi"/>
                <w:bCs/>
                <w:sz w:val="20"/>
                <w:szCs w:val="20"/>
              </w:rPr>
            </w:pPr>
            <w:r w:rsidRPr="00A47A32">
              <w:rPr>
                <w:rFonts w:asciiTheme="majorHAnsi" w:hAnsiTheme="majorHAnsi"/>
                <w:bCs/>
                <w:sz w:val="20"/>
                <w:szCs w:val="20"/>
                <w:lang w:val="es-ES_tradnl"/>
              </w:rPr>
              <w:t>Javier Leonidas Villegas Posada</w:t>
            </w:r>
          </w:p>
        </w:tc>
      </w:tr>
      <w:tr w:rsidR="00F621C3" w:rsidRPr="00D71B7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03A3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4EE8525" w:rsidR="00F621C3" w:rsidRPr="00F5148D" w:rsidRDefault="003826B3" w:rsidP="009163FC">
            <w:pPr>
              <w:jc w:val="both"/>
              <w:rPr>
                <w:rFonts w:asciiTheme="majorHAnsi" w:hAnsiTheme="majorHAnsi"/>
                <w:bCs/>
                <w:sz w:val="20"/>
                <w:szCs w:val="20"/>
                <w:lang w:val="es-CO"/>
              </w:rPr>
            </w:pPr>
            <w:r w:rsidRPr="00A47A32">
              <w:rPr>
                <w:rFonts w:asciiTheme="majorHAnsi" w:hAnsiTheme="majorHAnsi"/>
                <w:bCs/>
                <w:sz w:val="20"/>
                <w:szCs w:val="20"/>
                <w:lang w:val="es-ES_tradnl"/>
              </w:rPr>
              <w:t>Gustavo Emilio G</w:t>
            </w:r>
            <w:r w:rsidR="00F4076F">
              <w:rPr>
                <w:rFonts w:asciiTheme="majorHAnsi" w:hAnsiTheme="majorHAnsi"/>
                <w:bCs/>
                <w:sz w:val="20"/>
                <w:szCs w:val="20"/>
                <w:lang w:val="es-ES_tradnl"/>
              </w:rPr>
              <w:t>o</w:t>
            </w:r>
            <w:r w:rsidRPr="00A47A32">
              <w:rPr>
                <w:rFonts w:asciiTheme="majorHAnsi" w:hAnsiTheme="majorHAnsi"/>
                <w:bCs/>
                <w:sz w:val="20"/>
                <w:szCs w:val="20"/>
                <w:lang w:val="es-ES_tradnl"/>
              </w:rPr>
              <w:t xml:space="preserve">mez Galeano </w:t>
            </w:r>
            <w:r>
              <w:rPr>
                <w:rFonts w:asciiTheme="majorHAnsi" w:hAnsiTheme="majorHAnsi"/>
                <w:bCs/>
                <w:sz w:val="20"/>
                <w:szCs w:val="20"/>
                <w:lang w:val="es-ES_tradnl"/>
              </w:rPr>
              <w:t>and</w:t>
            </w:r>
            <w:r w:rsidRPr="00A47A32">
              <w:rPr>
                <w:rFonts w:asciiTheme="majorHAnsi" w:hAnsiTheme="majorHAnsi"/>
                <w:bCs/>
                <w:sz w:val="20"/>
                <w:szCs w:val="20"/>
                <w:lang w:val="es-ES_tradnl"/>
              </w:rPr>
              <w:t xml:space="preserve"> </w:t>
            </w:r>
            <w:proofErr w:type="spellStart"/>
            <w:r w:rsidRPr="00A47A32">
              <w:rPr>
                <w:rFonts w:asciiTheme="majorHAnsi" w:hAnsiTheme="majorHAnsi"/>
                <w:bCs/>
                <w:sz w:val="20"/>
                <w:szCs w:val="20"/>
                <w:lang w:val="es-ES_tradnl"/>
              </w:rPr>
              <w:t>famil</w:t>
            </w:r>
            <w:r>
              <w:rPr>
                <w:rFonts w:asciiTheme="majorHAnsi" w:hAnsiTheme="majorHAnsi"/>
                <w:bCs/>
                <w:sz w:val="20"/>
                <w:szCs w:val="20"/>
                <w:lang w:val="es-ES_tradnl"/>
              </w:rPr>
              <w:t>y</w:t>
            </w:r>
            <w:proofErr w:type="spellEnd"/>
            <w:r w:rsidRPr="00A47A32">
              <w:rPr>
                <w:rStyle w:val="FootnoteReference"/>
                <w:rFonts w:asciiTheme="majorHAnsi" w:hAnsiTheme="majorHAnsi"/>
                <w:bCs/>
                <w:sz w:val="20"/>
                <w:szCs w:val="20"/>
                <w:lang w:val="es-ES_tradnl"/>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EF6E052" w:rsidR="00F621C3" w:rsidRPr="00FE5113" w:rsidRDefault="003826B3" w:rsidP="009163FC">
            <w:pPr>
              <w:jc w:val="both"/>
              <w:rPr>
                <w:rFonts w:asciiTheme="majorHAnsi" w:hAnsiTheme="majorHAnsi"/>
                <w:bCs/>
                <w:sz w:val="20"/>
                <w:szCs w:val="20"/>
              </w:rPr>
            </w:pPr>
            <w:r w:rsidRPr="00A47A32">
              <w:rPr>
                <w:rFonts w:asciiTheme="majorHAnsi" w:hAnsiTheme="majorHAnsi"/>
                <w:bCs/>
                <w:sz w:val="20"/>
                <w:szCs w:val="20"/>
                <w:lang w:val="es-ES_tradnl"/>
              </w:rPr>
              <w:t>Colombia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39798CB0" w:rsidR="00E47F3D" w:rsidRPr="00FE5113" w:rsidRDefault="003826B3" w:rsidP="009163FC">
            <w:pPr>
              <w:jc w:val="both"/>
              <w:rPr>
                <w:rFonts w:ascii="Cambria" w:hAnsi="Cambria"/>
                <w:bCs/>
                <w:sz w:val="20"/>
                <w:szCs w:val="20"/>
              </w:rPr>
            </w:pPr>
            <w:r>
              <w:rPr>
                <w:rFonts w:ascii="Cambria" w:hAnsi="Cambria"/>
                <w:bCs/>
                <w:sz w:val="20"/>
                <w:szCs w:val="20"/>
              </w:rPr>
              <w:t>Article</w:t>
            </w:r>
            <w:r w:rsidR="00F5148D">
              <w:rPr>
                <w:rFonts w:ascii="Cambria" w:hAnsi="Cambria"/>
                <w:bCs/>
                <w:sz w:val="20"/>
                <w:szCs w:val="20"/>
              </w:rPr>
              <w:t>s</w:t>
            </w:r>
            <w:r>
              <w:rPr>
                <w:rFonts w:ascii="Cambria" w:hAnsi="Cambria"/>
                <w:bCs/>
                <w:sz w:val="20"/>
                <w:szCs w:val="20"/>
              </w:rPr>
              <w:t xml:space="preserve"> 4 (life), 5 (humane treatment), </w:t>
            </w:r>
            <w:r w:rsidR="00DB2771" w:rsidRPr="00DB2771">
              <w:rPr>
                <w:rFonts w:ascii="Cambria" w:hAnsi="Cambria"/>
                <w:bCs/>
                <w:sz w:val="20"/>
                <w:szCs w:val="20"/>
              </w:rPr>
              <w:t>7 (personal liberty), 8 (</w:t>
            </w:r>
            <w:r w:rsidR="00DB2771">
              <w:rPr>
                <w:rFonts w:ascii="Cambria" w:hAnsi="Cambria"/>
                <w:bCs/>
                <w:sz w:val="20"/>
                <w:szCs w:val="20"/>
              </w:rPr>
              <w:t>fair trial</w:t>
            </w:r>
            <w:r w:rsidR="00DB2771" w:rsidRPr="00DB2771">
              <w:rPr>
                <w:rFonts w:ascii="Cambria" w:hAnsi="Cambria"/>
                <w:bCs/>
                <w:sz w:val="20"/>
                <w:szCs w:val="20"/>
              </w:rPr>
              <w:t xml:space="preserve">), </w:t>
            </w:r>
            <w:r>
              <w:rPr>
                <w:rFonts w:ascii="Cambria" w:hAnsi="Cambria"/>
                <w:bCs/>
                <w:sz w:val="20"/>
                <w:szCs w:val="20"/>
              </w:rPr>
              <w:t xml:space="preserve">23 (right to participate in government), </w:t>
            </w:r>
            <w:r w:rsidR="00DB2771" w:rsidRPr="00DB2771">
              <w:rPr>
                <w:rFonts w:ascii="Cambria" w:hAnsi="Cambria"/>
                <w:bCs/>
                <w:sz w:val="20"/>
                <w:szCs w:val="20"/>
              </w:rPr>
              <w:t>and 25 (judicial protection) of the American Convention on Human Rights</w:t>
            </w:r>
            <w:r w:rsidR="00DB2771">
              <w:rPr>
                <w:rStyle w:val="FootnoteReference"/>
                <w:rFonts w:ascii="Cambria" w:hAnsi="Cambria"/>
                <w:bCs/>
                <w:sz w:val="20"/>
                <w:szCs w:val="20"/>
                <w:lang w:val="es-ES"/>
              </w:rPr>
              <w:footnoteReference w:id="3"/>
            </w:r>
            <w:r>
              <w:rPr>
                <w:rFonts w:ascii="Cambria" w:hAnsi="Cambria"/>
                <w:bCs/>
                <w:sz w:val="20"/>
                <w:szCs w:val="20"/>
              </w:rPr>
              <w:t xml:space="preserve">; </w:t>
            </w:r>
            <w:r w:rsidR="00F5148D">
              <w:rPr>
                <w:rFonts w:ascii="Cambria" w:hAnsi="Cambria"/>
                <w:bCs/>
                <w:sz w:val="20"/>
                <w:szCs w:val="20"/>
              </w:rPr>
              <w:t xml:space="preserve">and </w:t>
            </w:r>
            <w:r w:rsidRPr="003826B3">
              <w:rPr>
                <w:rFonts w:ascii="Cambria" w:hAnsi="Cambria"/>
                <w:bCs/>
                <w:sz w:val="20"/>
                <w:szCs w:val="20"/>
              </w:rPr>
              <w:t>Articles I (life, liberty, security and integrity of the person), XI (preservation of health and well-being) and XVIII (justice) of the American Declaration of the Rights and Duties of Man</w:t>
            </w:r>
            <w:r w:rsidRPr="00A47A32">
              <w:rPr>
                <w:rStyle w:val="FootnoteReference"/>
                <w:rFonts w:asciiTheme="majorHAnsi" w:hAnsiTheme="majorHAnsi"/>
                <w:bCs/>
                <w:sz w:val="20"/>
                <w:szCs w:val="20"/>
                <w:lang w:val="es-ES_tradnl"/>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521B60" w:rsidRDefault="00B06BB7" w:rsidP="00B06BB7">
            <w:pPr>
              <w:jc w:val="center"/>
              <w:rPr>
                <w:rFonts w:ascii="Cambria" w:hAnsi="Cambria"/>
                <w:b/>
                <w:bCs/>
                <w:color w:val="FFFFFF" w:themeColor="background1"/>
                <w:sz w:val="22"/>
                <w:szCs w:val="22"/>
              </w:rPr>
            </w:pPr>
            <w:r w:rsidRPr="00521B60">
              <w:rPr>
                <w:rFonts w:ascii="Cambria" w:hAnsi="Cambria"/>
                <w:b/>
                <w:bCs/>
                <w:color w:val="FFFFFF" w:themeColor="background1"/>
                <w:sz w:val="22"/>
                <w:szCs w:val="22"/>
              </w:rPr>
              <w:t>Filing of the petition</w:t>
            </w:r>
            <w:r w:rsidR="00F621C3" w:rsidRPr="00521B60">
              <w:rPr>
                <w:rFonts w:ascii="Cambria" w:hAnsi="Cambria"/>
                <w:b/>
                <w:bCs/>
                <w:color w:val="FFFFFF" w:themeColor="background1"/>
                <w:sz w:val="22"/>
                <w:szCs w:val="22"/>
              </w:rPr>
              <w:t>:</w:t>
            </w:r>
          </w:p>
        </w:tc>
        <w:tc>
          <w:tcPr>
            <w:tcW w:w="5670" w:type="dxa"/>
            <w:vAlign w:val="center"/>
          </w:tcPr>
          <w:p w14:paraId="1C0C3DE2" w14:textId="20203C51" w:rsidR="00F621C3" w:rsidRPr="00FE5113" w:rsidRDefault="003826B3" w:rsidP="009163FC">
            <w:pPr>
              <w:jc w:val="both"/>
              <w:rPr>
                <w:rFonts w:ascii="Cambria" w:hAnsi="Cambria"/>
                <w:bCs/>
                <w:sz w:val="20"/>
                <w:szCs w:val="20"/>
              </w:rPr>
            </w:pPr>
            <w:r>
              <w:rPr>
                <w:rFonts w:ascii="Cambria" w:hAnsi="Cambria"/>
                <w:bCs/>
                <w:sz w:val="20"/>
                <w:szCs w:val="20"/>
                <w:lang w:val="es-ES"/>
              </w:rPr>
              <w:t>March 16, 2010</w:t>
            </w:r>
          </w:p>
        </w:tc>
      </w:tr>
      <w:tr w:rsidR="00DB2771" w:rsidRPr="000B6B7A" w14:paraId="50325F68" w14:textId="77777777" w:rsidTr="00B06BB7">
        <w:tc>
          <w:tcPr>
            <w:tcW w:w="3690" w:type="dxa"/>
            <w:tcBorders>
              <w:top w:val="single" w:sz="6" w:space="0" w:color="auto"/>
              <w:bottom w:val="single" w:sz="6" w:space="0" w:color="auto"/>
            </w:tcBorders>
            <w:shd w:val="clear" w:color="auto" w:fill="67AE3C"/>
            <w:vAlign w:val="center"/>
          </w:tcPr>
          <w:p w14:paraId="0E2F7393" w14:textId="77777777" w:rsidR="00F210CE" w:rsidRPr="00F210CE" w:rsidRDefault="00F210CE" w:rsidP="00F210CE">
            <w:pPr>
              <w:jc w:val="center"/>
              <w:rPr>
                <w:rFonts w:ascii="Cambria" w:hAnsi="Cambria"/>
                <w:b/>
                <w:color w:val="FFFFFF" w:themeColor="background1"/>
                <w:sz w:val="22"/>
                <w:szCs w:val="22"/>
              </w:rPr>
            </w:pPr>
            <w:r w:rsidRPr="00F210CE">
              <w:rPr>
                <w:rFonts w:ascii="Cambria" w:hAnsi="Cambria"/>
                <w:b/>
                <w:color w:val="FFFFFF" w:themeColor="background1"/>
                <w:sz w:val="22"/>
                <w:szCs w:val="22"/>
              </w:rPr>
              <w:t xml:space="preserve">Notification of the petition to the State: </w:t>
            </w:r>
          </w:p>
          <w:p w14:paraId="283CB52E" w14:textId="77777777"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3BFF6780" w14:textId="1B28A608" w:rsidR="00DB2771" w:rsidRPr="00FE5113" w:rsidRDefault="003826B3" w:rsidP="009163FC">
            <w:pPr>
              <w:jc w:val="both"/>
              <w:rPr>
                <w:rFonts w:ascii="Cambria" w:hAnsi="Cambria"/>
                <w:bCs/>
                <w:sz w:val="20"/>
                <w:szCs w:val="20"/>
              </w:rPr>
            </w:pPr>
            <w:r>
              <w:rPr>
                <w:rFonts w:ascii="Cambria" w:hAnsi="Cambria"/>
                <w:bCs/>
                <w:sz w:val="20"/>
                <w:szCs w:val="20"/>
              </w:rPr>
              <w:t>April 12, 2016</w:t>
            </w: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08AF1E5E" w14:textId="178CB8A6" w:rsidR="00DB2771" w:rsidRPr="00521B60" w:rsidRDefault="00F210CE" w:rsidP="00B06BB7">
            <w:pPr>
              <w:jc w:val="center"/>
              <w:rPr>
                <w:rFonts w:ascii="Cambria" w:hAnsi="Cambria"/>
                <w:b/>
                <w:color w:val="FFFFFF" w:themeColor="background1"/>
                <w:sz w:val="22"/>
                <w:szCs w:val="22"/>
              </w:rPr>
            </w:pPr>
            <w:r w:rsidRPr="00521B60">
              <w:rPr>
                <w:rFonts w:ascii="Cambria" w:hAnsi="Cambria"/>
                <w:b/>
                <w:color w:val="FFFFFF" w:themeColor="background1"/>
                <w:sz w:val="22"/>
                <w:szCs w:val="22"/>
              </w:rPr>
              <w:t>State’s first response:</w:t>
            </w:r>
          </w:p>
        </w:tc>
        <w:tc>
          <w:tcPr>
            <w:tcW w:w="5670" w:type="dxa"/>
            <w:vAlign w:val="center"/>
          </w:tcPr>
          <w:p w14:paraId="412CB193" w14:textId="693FC514" w:rsidR="00DB2771" w:rsidRPr="00FE5113" w:rsidRDefault="003826B3" w:rsidP="009163FC">
            <w:pPr>
              <w:jc w:val="both"/>
              <w:rPr>
                <w:rFonts w:ascii="Cambria" w:hAnsi="Cambria"/>
                <w:bCs/>
                <w:sz w:val="20"/>
                <w:szCs w:val="20"/>
              </w:rPr>
            </w:pPr>
            <w:r>
              <w:rPr>
                <w:rFonts w:ascii="Cambria" w:hAnsi="Cambria"/>
                <w:bCs/>
                <w:sz w:val="20"/>
                <w:szCs w:val="20"/>
              </w:rPr>
              <w:t>January 19,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1098BA09" w:rsidR="00F621C3" w:rsidRPr="000B6B7A" w:rsidRDefault="00F210CE" w:rsidP="009163FC">
            <w:pPr>
              <w:jc w:val="both"/>
              <w:rPr>
                <w:rFonts w:asciiTheme="majorHAnsi" w:hAnsiTheme="majorHAnsi"/>
                <w:bCs/>
                <w:sz w:val="20"/>
                <w:szCs w:val="20"/>
              </w:rPr>
            </w:pPr>
            <w:r w:rsidRPr="00F210CE">
              <w:rPr>
                <w:rFonts w:asciiTheme="majorHAnsi" w:hAnsiTheme="majorHAnsi"/>
                <w:bCs/>
                <w:sz w:val="20"/>
                <w:szCs w:val="20"/>
              </w:rPr>
              <w:t xml:space="preserve">Yes, American Convention (instrument of ratification </w:t>
            </w:r>
            <w:r w:rsidR="001D7F83">
              <w:rPr>
                <w:rFonts w:asciiTheme="majorHAnsi" w:hAnsiTheme="majorHAnsi"/>
                <w:bCs/>
                <w:sz w:val="20"/>
                <w:szCs w:val="20"/>
              </w:rPr>
              <w:t xml:space="preserve">deposited </w:t>
            </w:r>
            <w:r w:rsidRPr="00F210CE">
              <w:rPr>
                <w:rFonts w:asciiTheme="majorHAnsi" w:hAnsiTheme="majorHAnsi"/>
                <w:bCs/>
                <w:sz w:val="20"/>
                <w:szCs w:val="20"/>
              </w:rPr>
              <w:t xml:space="preserve">on July </w:t>
            </w:r>
            <w:r w:rsidR="003826B3">
              <w:rPr>
                <w:rFonts w:asciiTheme="majorHAnsi" w:hAnsiTheme="majorHAnsi"/>
                <w:bCs/>
                <w:sz w:val="20"/>
                <w:szCs w:val="20"/>
              </w:rPr>
              <w:t>31</w:t>
            </w:r>
            <w:r w:rsidRPr="00F210CE">
              <w:rPr>
                <w:rFonts w:asciiTheme="majorHAnsi" w:hAnsiTheme="majorHAnsi"/>
                <w:bCs/>
                <w:sz w:val="20"/>
                <w:szCs w:val="20"/>
              </w:rPr>
              <w:t>, 197</w:t>
            </w:r>
            <w:r w:rsidR="003826B3">
              <w:rPr>
                <w:rFonts w:asciiTheme="majorHAnsi" w:hAnsiTheme="majorHAnsi"/>
                <w:bCs/>
                <w:sz w:val="20"/>
                <w:szCs w:val="20"/>
              </w:rPr>
              <w:t>3</w:t>
            </w:r>
            <w:r w:rsidRPr="00F210CE">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BA6249D" w:rsidR="00F621C3" w:rsidRPr="000B6B7A" w:rsidRDefault="003826B3" w:rsidP="009163FC">
            <w:pPr>
              <w:jc w:val="both"/>
              <w:rPr>
                <w:rFonts w:ascii="Cambria" w:hAnsi="Cambria"/>
                <w:bCs/>
                <w:sz w:val="20"/>
                <w:szCs w:val="20"/>
              </w:rPr>
            </w:pPr>
            <w:r>
              <w:rPr>
                <w:rFonts w:ascii="Cambria" w:hAnsi="Cambria"/>
                <w:bCs/>
                <w:sz w:val="20"/>
                <w:szCs w:val="20"/>
              </w:rPr>
              <w:t>Article</w:t>
            </w:r>
            <w:r w:rsidR="001D7F83">
              <w:rPr>
                <w:rFonts w:ascii="Cambria" w:hAnsi="Cambria"/>
                <w:bCs/>
                <w:sz w:val="20"/>
                <w:szCs w:val="20"/>
              </w:rPr>
              <w:t>s</w:t>
            </w:r>
            <w:r>
              <w:rPr>
                <w:rFonts w:ascii="Cambria" w:hAnsi="Cambria"/>
                <w:bCs/>
                <w:sz w:val="20"/>
                <w:szCs w:val="20"/>
              </w:rPr>
              <w:t xml:space="preserve"> 4 (life), 5 (humane treatment), </w:t>
            </w:r>
            <w:r w:rsidRPr="00DB2771">
              <w:rPr>
                <w:rFonts w:ascii="Cambria" w:hAnsi="Cambria"/>
                <w:bCs/>
                <w:sz w:val="20"/>
                <w:szCs w:val="20"/>
              </w:rPr>
              <w:t>8 (</w:t>
            </w:r>
            <w:r>
              <w:rPr>
                <w:rFonts w:ascii="Cambria" w:hAnsi="Cambria"/>
                <w:bCs/>
                <w:sz w:val="20"/>
                <w:szCs w:val="20"/>
              </w:rPr>
              <w:t>fair trial</w:t>
            </w:r>
            <w:r w:rsidRPr="00DB2771">
              <w:rPr>
                <w:rFonts w:ascii="Cambria" w:hAnsi="Cambria"/>
                <w:bCs/>
                <w:sz w:val="20"/>
                <w:szCs w:val="20"/>
              </w:rPr>
              <w:t xml:space="preserve">), </w:t>
            </w:r>
            <w:r>
              <w:rPr>
                <w:rFonts w:ascii="Cambria" w:hAnsi="Cambria"/>
                <w:bCs/>
                <w:sz w:val="20"/>
                <w:szCs w:val="20"/>
              </w:rPr>
              <w:t xml:space="preserve">23 (right to participate in government), </w:t>
            </w:r>
            <w:r w:rsidRPr="00DB2771">
              <w:rPr>
                <w:rFonts w:ascii="Cambria" w:hAnsi="Cambria"/>
                <w:bCs/>
                <w:sz w:val="20"/>
                <w:szCs w:val="20"/>
              </w:rPr>
              <w:t>and 25 (judicial protection)</w:t>
            </w:r>
            <w:r>
              <w:rPr>
                <w:rFonts w:ascii="Cambria" w:hAnsi="Cambria"/>
                <w:bCs/>
                <w:sz w:val="20"/>
                <w:szCs w:val="20"/>
              </w:rPr>
              <w:t xml:space="preserve"> </w:t>
            </w:r>
            <w:r w:rsidRPr="00DB2771">
              <w:rPr>
                <w:rFonts w:ascii="Cambria" w:hAnsi="Cambria"/>
                <w:bCs/>
                <w:sz w:val="20"/>
                <w:szCs w:val="20"/>
              </w:rPr>
              <w:t xml:space="preserve">of the American Convention </w:t>
            </w:r>
            <w:r w:rsidRPr="003826B3">
              <w:rPr>
                <w:rFonts w:ascii="Cambria" w:hAnsi="Cambria"/>
                <w:bCs/>
                <w:sz w:val="20"/>
                <w:szCs w:val="20"/>
              </w:rPr>
              <w:t xml:space="preserve">in relation to </w:t>
            </w:r>
            <w:r w:rsidR="001D7F83">
              <w:rPr>
                <w:rFonts w:ascii="Cambria" w:hAnsi="Cambria"/>
                <w:bCs/>
                <w:sz w:val="20"/>
                <w:szCs w:val="20"/>
              </w:rPr>
              <w:t xml:space="preserve">its </w:t>
            </w:r>
            <w:r w:rsidRPr="003826B3">
              <w:rPr>
                <w:rFonts w:ascii="Cambria" w:hAnsi="Cambria"/>
                <w:bCs/>
                <w:sz w:val="20"/>
                <w:szCs w:val="20"/>
              </w:rPr>
              <w:t>article 1.1 (obligation to respect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88FF4A5" w:rsidR="00F621C3" w:rsidRPr="000B6B7A" w:rsidRDefault="00220CFD" w:rsidP="009163FC">
            <w:pPr>
              <w:rPr>
                <w:rFonts w:ascii="Cambria" w:hAnsi="Cambria"/>
                <w:bCs/>
                <w:sz w:val="20"/>
                <w:szCs w:val="20"/>
              </w:rPr>
            </w:pPr>
            <w:r w:rsidRPr="00220CFD">
              <w:rPr>
                <w:rFonts w:ascii="Cambria" w:hAnsi="Cambria"/>
                <w:bCs/>
                <w:sz w:val="20"/>
                <w:szCs w:val="20"/>
              </w:rPr>
              <w:t xml:space="preserve">Yes, the exceptions of Article 46.2 (b) and (c) of the American Convention </w:t>
            </w:r>
            <w:r w:rsidR="001D7F83">
              <w:rPr>
                <w:rFonts w:ascii="Cambria" w:hAnsi="Cambria"/>
                <w:bCs/>
                <w:sz w:val="20"/>
                <w:szCs w:val="20"/>
              </w:rPr>
              <w:t>are applicable</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D7ACD1C" w:rsidR="00F621C3" w:rsidRPr="000B6B7A" w:rsidRDefault="00220CFD" w:rsidP="009163FC">
            <w:pPr>
              <w:rPr>
                <w:rFonts w:asciiTheme="majorHAnsi" w:hAnsiTheme="majorHAnsi"/>
                <w:bCs/>
                <w:sz w:val="20"/>
                <w:szCs w:val="20"/>
              </w:rPr>
            </w:pPr>
            <w:r w:rsidRPr="00220CFD">
              <w:rPr>
                <w:rFonts w:asciiTheme="majorHAnsi" w:hAnsiTheme="majorHAnsi"/>
                <w:bCs/>
                <w:sz w:val="20"/>
                <w:szCs w:val="20"/>
              </w:rPr>
              <w:t xml:space="preserve">Yes, </w:t>
            </w:r>
            <w:r w:rsidR="001D7F83">
              <w:rPr>
                <w:rFonts w:asciiTheme="majorHAnsi" w:hAnsiTheme="majorHAnsi"/>
                <w:bCs/>
                <w:sz w:val="20"/>
                <w:szCs w:val="20"/>
              </w:rPr>
              <w:t xml:space="preserve">in </w:t>
            </w:r>
            <w:r w:rsidRPr="00220CFD">
              <w:rPr>
                <w:rFonts w:asciiTheme="majorHAnsi" w:hAnsiTheme="majorHAnsi"/>
                <w:bCs/>
                <w:sz w:val="20"/>
                <w:szCs w:val="20"/>
              </w:rPr>
              <w:t>the terms of Section VI</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Pr="00167D72" w:rsidRDefault="00B06BB7">
      <w:pPr>
        <w:rPr>
          <w:rFonts w:asciiTheme="majorHAnsi" w:hAnsiTheme="majorHAnsi"/>
          <w:b/>
          <w:sz w:val="20"/>
          <w:szCs w:val="20"/>
        </w:rPr>
      </w:pPr>
      <w:r w:rsidRPr="00167D72">
        <w:rPr>
          <w:rFonts w:asciiTheme="majorHAnsi" w:hAnsiTheme="majorHAnsi"/>
          <w:b/>
          <w:sz w:val="20"/>
          <w:szCs w:val="20"/>
        </w:rPr>
        <w:br w:type="page"/>
      </w:r>
    </w:p>
    <w:p w14:paraId="22BE12EB" w14:textId="5A44D2D5" w:rsidR="00BF4B32" w:rsidRPr="00167D72" w:rsidRDefault="00F621C3" w:rsidP="00BF4B32">
      <w:pPr>
        <w:spacing w:before="240" w:after="240"/>
        <w:ind w:firstLine="720"/>
        <w:jc w:val="both"/>
        <w:rPr>
          <w:rFonts w:asciiTheme="majorHAnsi" w:hAnsiTheme="majorHAnsi"/>
          <w:b/>
          <w:sz w:val="20"/>
          <w:szCs w:val="20"/>
        </w:rPr>
      </w:pPr>
      <w:r w:rsidRPr="00167D72">
        <w:rPr>
          <w:rFonts w:asciiTheme="majorHAnsi" w:hAnsiTheme="majorHAnsi"/>
          <w:b/>
          <w:sz w:val="20"/>
          <w:szCs w:val="20"/>
        </w:rPr>
        <w:lastRenderedPageBreak/>
        <w:t xml:space="preserve">V. </w:t>
      </w:r>
      <w:r w:rsidRPr="00167D72">
        <w:rPr>
          <w:rFonts w:asciiTheme="majorHAnsi" w:hAnsiTheme="majorHAnsi"/>
          <w:b/>
          <w:sz w:val="20"/>
          <w:szCs w:val="20"/>
        </w:rPr>
        <w:tab/>
      </w:r>
      <w:r w:rsidR="005816E5" w:rsidRPr="00167D72">
        <w:rPr>
          <w:rFonts w:asciiTheme="majorHAnsi" w:hAnsiTheme="majorHAnsi"/>
          <w:b/>
          <w:sz w:val="20"/>
          <w:szCs w:val="20"/>
        </w:rPr>
        <w:t>ALLEGED</w:t>
      </w:r>
      <w:r w:rsidR="001D7F83">
        <w:rPr>
          <w:rFonts w:asciiTheme="majorHAnsi" w:hAnsiTheme="majorHAnsi"/>
          <w:b/>
          <w:sz w:val="20"/>
          <w:szCs w:val="20"/>
        </w:rPr>
        <w:t xml:space="preserve"> FACTS</w:t>
      </w:r>
    </w:p>
    <w:p w14:paraId="6570E870" w14:textId="248FB161" w:rsidR="001D7F83" w:rsidRDefault="001D7F83" w:rsidP="00493C6C">
      <w:pPr>
        <w:spacing w:before="240" w:after="240"/>
        <w:ind w:firstLine="720"/>
        <w:jc w:val="both"/>
        <w:rPr>
          <w:rFonts w:asciiTheme="majorHAnsi" w:hAnsiTheme="majorHAnsi"/>
          <w:bCs/>
          <w:sz w:val="20"/>
          <w:szCs w:val="20"/>
        </w:rPr>
      </w:pPr>
      <w:r>
        <w:rPr>
          <w:rFonts w:asciiTheme="majorHAnsi" w:hAnsiTheme="majorHAnsi"/>
          <w:bCs/>
          <w:sz w:val="20"/>
          <w:szCs w:val="20"/>
        </w:rPr>
        <w:t xml:space="preserve">1. </w:t>
      </w:r>
      <w:r w:rsidR="00893AF4" w:rsidRPr="001D7F83">
        <w:rPr>
          <w:rFonts w:asciiTheme="majorHAnsi" w:hAnsiTheme="majorHAnsi"/>
          <w:bCs/>
          <w:sz w:val="20"/>
          <w:szCs w:val="20"/>
        </w:rPr>
        <w:t xml:space="preserve">The petitioner </w:t>
      </w:r>
      <w:r>
        <w:rPr>
          <w:rFonts w:asciiTheme="majorHAnsi" w:hAnsiTheme="majorHAnsi"/>
          <w:bCs/>
          <w:sz w:val="20"/>
          <w:szCs w:val="20"/>
        </w:rPr>
        <w:t>claims</w:t>
      </w:r>
      <w:r w:rsidR="00893AF4" w:rsidRPr="001D7F83">
        <w:rPr>
          <w:rFonts w:asciiTheme="majorHAnsi" w:hAnsiTheme="majorHAnsi"/>
          <w:bCs/>
          <w:sz w:val="20"/>
          <w:szCs w:val="20"/>
        </w:rPr>
        <w:t xml:space="preserve"> the international responsibility of the Colombian State for </w:t>
      </w:r>
      <w:r>
        <w:rPr>
          <w:rFonts w:asciiTheme="majorHAnsi" w:hAnsiTheme="majorHAnsi"/>
          <w:bCs/>
          <w:sz w:val="20"/>
          <w:szCs w:val="20"/>
        </w:rPr>
        <w:t xml:space="preserve">its alleged </w:t>
      </w:r>
      <w:r w:rsidR="00893AF4" w:rsidRPr="001D7F83">
        <w:rPr>
          <w:rFonts w:asciiTheme="majorHAnsi" w:hAnsiTheme="majorHAnsi"/>
          <w:bCs/>
          <w:sz w:val="20"/>
          <w:szCs w:val="20"/>
        </w:rPr>
        <w:t xml:space="preserve">omission </w:t>
      </w:r>
      <w:r>
        <w:rPr>
          <w:rFonts w:asciiTheme="majorHAnsi" w:hAnsiTheme="majorHAnsi"/>
          <w:bCs/>
          <w:sz w:val="20"/>
          <w:szCs w:val="20"/>
        </w:rPr>
        <w:t xml:space="preserve">to protect </w:t>
      </w:r>
      <w:r w:rsidR="00893AF4" w:rsidRPr="001D7F83">
        <w:rPr>
          <w:rFonts w:asciiTheme="majorHAnsi" w:hAnsiTheme="majorHAnsi"/>
          <w:bCs/>
          <w:sz w:val="20"/>
          <w:szCs w:val="20"/>
        </w:rPr>
        <w:t xml:space="preserve">Mr. Gustavo Emilio Gómez </w:t>
      </w:r>
      <w:proofErr w:type="spellStart"/>
      <w:r w:rsidR="00893AF4" w:rsidRPr="001D7F83">
        <w:rPr>
          <w:rFonts w:asciiTheme="majorHAnsi" w:hAnsiTheme="majorHAnsi"/>
          <w:bCs/>
          <w:sz w:val="20"/>
          <w:szCs w:val="20"/>
        </w:rPr>
        <w:t>Galeano</w:t>
      </w:r>
      <w:proofErr w:type="spellEnd"/>
      <w:r w:rsidR="00893AF4" w:rsidRPr="001D7F83">
        <w:rPr>
          <w:rFonts w:asciiTheme="majorHAnsi" w:hAnsiTheme="majorHAnsi"/>
          <w:bCs/>
          <w:sz w:val="20"/>
          <w:szCs w:val="20"/>
        </w:rPr>
        <w:t xml:space="preserve">, who was assassinated by </w:t>
      </w:r>
      <w:r>
        <w:rPr>
          <w:rFonts w:asciiTheme="majorHAnsi" w:hAnsiTheme="majorHAnsi"/>
          <w:bCs/>
          <w:sz w:val="20"/>
          <w:szCs w:val="20"/>
        </w:rPr>
        <w:t xml:space="preserve">members of </w:t>
      </w:r>
      <w:r w:rsidR="00893AF4" w:rsidRPr="001D7F83">
        <w:rPr>
          <w:rFonts w:asciiTheme="majorHAnsi" w:hAnsiTheme="majorHAnsi"/>
          <w:bCs/>
          <w:sz w:val="20"/>
          <w:szCs w:val="20"/>
        </w:rPr>
        <w:t>the National Liberation Army (ELN)</w:t>
      </w:r>
      <w:r>
        <w:rPr>
          <w:rFonts w:asciiTheme="majorHAnsi" w:hAnsiTheme="majorHAnsi"/>
          <w:bCs/>
          <w:sz w:val="20"/>
          <w:szCs w:val="20"/>
        </w:rPr>
        <w:t xml:space="preserve"> guerrilla</w:t>
      </w:r>
      <w:r w:rsidR="00893AF4" w:rsidRPr="001D7F83">
        <w:rPr>
          <w:rFonts w:asciiTheme="majorHAnsi" w:hAnsiTheme="majorHAnsi"/>
          <w:bCs/>
          <w:sz w:val="20"/>
          <w:szCs w:val="20"/>
        </w:rPr>
        <w:t xml:space="preserve"> in the department of Antioquia in 1993.</w:t>
      </w:r>
    </w:p>
    <w:p w14:paraId="5C510F0B" w14:textId="2950C068" w:rsidR="00CE5F36" w:rsidRDefault="001D7F83" w:rsidP="00493C6C">
      <w:pPr>
        <w:spacing w:before="240" w:after="240"/>
        <w:ind w:firstLine="720"/>
        <w:jc w:val="both"/>
        <w:rPr>
          <w:rFonts w:asciiTheme="majorHAnsi" w:hAnsiTheme="majorHAnsi"/>
          <w:bCs/>
          <w:sz w:val="20"/>
          <w:szCs w:val="20"/>
        </w:rPr>
      </w:pPr>
      <w:r>
        <w:rPr>
          <w:rFonts w:asciiTheme="majorHAnsi" w:hAnsiTheme="majorHAnsi"/>
          <w:bCs/>
          <w:sz w:val="20"/>
          <w:szCs w:val="20"/>
        </w:rPr>
        <w:t>2. T</w:t>
      </w:r>
      <w:r w:rsidR="00893AF4" w:rsidRPr="001D7F83">
        <w:rPr>
          <w:rFonts w:asciiTheme="majorHAnsi" w:hAnsiTheme="majorHAnsi"/>
          <w:bCs/>
          <w:sz w:val="20"/>
          <w:szCs w:val="20"/>
        </w:rPr>
        <w:t xml:space="preserve">he petition </w:t>
      </w:r>
      <w:r>
        <w:rPr>
          <w:rFonts w:asciiTheme="majorHAnsi" w:hAnsiTheme="majorHAnsi"/>
          <w:bCs/>
          <w:sz w:val="20"/>
          <w:szCs w:val="20"/>
        </w:rPr>
        <w:t xml:space="preserve">holds </w:t>
      </w:r>
      <w:r w:rsidR="00893AF4" w:rsidRPr="001D7F83">
        <w:rPr>
          <w:rFonts w:asciiTheme="majorHAnsi" w:hAnsiTheme="majorHAnsi"/>
          <w:bCs/>
          <w:sz w:val="20"/>
          <w:szCs w:val="20"/>
        </w:rPr>
        <w:t xml:space="preserve">that Mr. Gómez was </w:t>
      </w:r>
      <w:r>
        <w:rPr>
          <w:rFonts w:asciiTheme="majorHAnsi" w:hAnsiTheme="majorHAnsi"/>
          <w:bCs/>
          <w:sz w:val="20"/>
          <w:szCs w:val="20"/>
        </w:rPr>
        <w:t xml:space="preserve">a member </w:t>
      </w:r>
      <w:r w:rsidR="00893AF4" w:rsidRPr="001D7F83">
        <w:rPr>
          <w:rFonts w:asciiTheme="majorHAnsi" w:hAnsiTheme="majorHAnsi"/>
          <w:bCs/>
          <w:sz w:val="20"/>
          <w:szCs w:val="20"/>
        </w:rPr>
        <w:t xml:space="preserve">of the Municipal Council of San Roque, Antioquia, a position for which he was elected by popular vote in two successive elections. In 1991, during his first term as </w:t>
      </w:r>
      <w:r>
        <w:rPr>
          <w:rFonts w:asciiTheme="majorHAnsi" w:hAnsiTheme="majorHAnsi"/>
          <w:bCs/>
          <w:sz w:val="20"/>
          <w:szCs w:val="20"/>
        </w:rPr>
        <w:t>council member</w:t>
      </w:r>
      <w:r w:rsidR="00893AF4" w:rsidRPr="001D7F83">
        <w:rPr>
          <w:rFonts w:asciiTheme="majorHAnsi" w:hAnsiTheme="majorHAnsi"/>
          <w:bCs/>
          <w:sz w:val="20"/>
          <w:szCs w:val="20"/>
        </w:rPr>
        <w:t xml:space="preserve">, Mr. Gómez began to receive threats against his life and </w:t>
      </w:r>
      <w:r>
        <w:rPr>
          <w:rFonts w:asciiTheme="majorHAnsi" w:hAnsiTheme="majorHAnsi"/>
          <w:bCs/>
          <w:sz w:val="20"/>
          <w:szCs w:val="20"/>
        </w:rPr>
        <w:t xml:space="preserve">he reported </w:t>
      </w:r>
      <w:r w:rsidR="00893AF4" w:rsidRPr="001D7F83">
        <w:rPr>
          <w:rFonts w:asciiTheme="majorHAnsi" w:hAnsiTheme="majorHAnsi"/>
          <w:bCs/>
          <w:sz w:val="20"/>
          <w:szCs w:val="20"/>
        </w:rPr>
        <w:t xml:space="preserve">this risk to the authorities, including the Municipal Police Inspector at the time, without obtaining protection; the threats came from the ELN, which </w:t>
      </w:r>
      <w:r>
        <w:rPr>
          <w:rFonts w:asciiTheme="majorHAnsi" w:hAnsiTheme="majorHAnsi"/>
          <w:bCs/>
          <w:sz w:val="20"/>
          <w:szCs w:val="20"/>
        </w:rPr>
        <w:t xml:space="preserve">was criminally active </w:t>
      </w:r>
      <w:r w:rsidR="00893AF4" w:rsidRPr="001D7F83">
        <w:rPr>
          <w:rFonts w:asciiTheme="majorHAnsi" w:hAnsiTheme="majorHAnsi"/>
          <w:bCs/>
          <w:sz w:val="20"/>
          <w:szCs w:val="20"/>
        </w:rPr>
        <w:t xml:space="preserve">in that area. During his second term, in which he held </w:t>
      </w:r>
      <w:r>
        <w:rPr>
          <w:rFonts w:asciiTheme="majorHAnsi" w:hAnsiTheme="majorHAnsi"/>
          <w:bCs/>
          <w:sz w:val="20"/>
          <w:szCs w:val="20"/>
        </w:rPr>
        <w:t xml:space="preserve">office </w:t>
      </w:r>
      <w:r w:rsidR="00893AF4" w:rsidRPr="001D7F83">
        <w:rPr>
          <w:rFonts w:asciiTheme="majorHAnsi" w:hAnsiTheme="majorHAnsi"/>
          <w:bCs/>
          <w:sz w:val="20"/>
          <w:szCs w:val="20"/>
        </w:rPr>
        <w:t xml:space="preserve">as president of the Council, the threats continued and intensified, </w:t>
      </w:r>
      <w:r>
        <w:rPr>
          <w:rFonts w:asciiTheme="majorHAnsi" w:hAnsiTheme="majorHAnsi"/>
          <w:bCs/>
          <w:sz w:val="20"/>
          <w:szCs w:val="20"/>
        </w:rPr>
        <w:t xml:space="preserve">which </w:t>
      </w:r>
      <w:r w:rsidR="00893AF4" w:rsidRPr="001D7F83">
        <w:rPr>
          <w:rFonts w:asciiTheme="majorHAnsi" w:hAnsiTheme="majorHAnsi"/>
          <w:bCs/>
          <w:sz w:val="20"/>
          <w:szCs w:val="20"/>
        </w:rPr>
        <w:t xml:space="preserve">Mr. Gómez once again brought to the attention of the authorities, specifically the Municipal Ombudsman and the National Police, despite </w:t>
      </w:r>
      <w:r>
        <w:rPr>
          <w:rFonts w:asciiTheme="majorHAnsi" w:hAnsiTheme="majorHAnsi"/>
          <w:bCs/>
          <w:sz w:val="20"/>
          <w:szCs w:val="20"/>
        </w:rPr>
        <w:t xml:space="preserve">which </w:t>
      </w:r>
      <w:r w:rsidR="00893AF4" w:rsidRPr="001D7F83">
        <w:rPr>
          <w:rFonts w:asciiTheme="majorHAnsi" w:hAnsiTheme="majorHAnsi"/>
          <w:bCs/>
          <w:sz w:val="20"/>
          <w:szCs w:val="20"/>
        </w:rPr>
        <w:t xml:space="preserve">he received no protection for his safety. The Council </w:t>
      </w:r>
      <w:r>
        <w:rPr>
          <w:rFonts w:asciiTheme="majorHAnsi" w:hAnsiTheme="majorHAnsi"/>
          <w:bCs/>
          <w:sz w:val="20"/>
          <w:szCs w:val="20"/>
        </w:rPr>
        <w:t xml:space="preserve">denied him </w:t>
      </w:r>
      <w:r w:rsidR="00893AF4" w:rsidRPr="001D7F83">
        <w:rPr>
          <w:rFonts w:asciiTheme="majorHAnsi" w:hAnsiTheme="majorHAnsi"/>
          <w:bCs/>
          <w:sz w:val="20"/>
          <w:szCs w:val="20"/>
        </w:rPr>
        <w:t xml:space="preserve">the possibility of </w:t>
      </w:r>
      <w:r>
        <w:rPr>
          <w:rFonts w:asciiTheme="majorHAnsi" w:hAnsiTheme="majorHAnsi"/>
          <w:bCs/>
          <w:sz w:val="20"/>
          <w:szCs w:val="20"/>
        </w:rPr>
        <w:t xml:space="preserve">being absent </w:t>
      </w:r>
      <w:r w:rsidR="00893AF4" w:rsidRPr="001D7F83">
        <w:rPr>
          <w:rFonts w:asciiTheme="majorHAnsi" w:hAnsiTheme="majorHAnsi"/>
          <w:bCs/>
          <w:sz w:val="20"/>
          <w:szCs w:val="20"/>
        </w:rPr>
        <w:t xml:space="preserve">from the sessions </w:t>
      </w:r>
      <w:r>
        <w:rPr>
          <w:rFonts w:asciiTheme="majorHAnsi" w:hAnsiTheme="majorHAnsi"/>
          <w:bCs/>
          <w:sz w:val="20"/>
          <w:szCs w:val="20"/>
        </w:rPr>
        <w:t xml:space="preserve">and </w:t>
      </w:r>
      <w:r w:rsidR="00893AF4" w:rsidRPr="001D7F83">
        <w:rPr>
          <w:rFonts w:asciiTheme="majorHAnsi" w:hAnsiTheme="majorHAnsi"/>
          <w:bCs/>
          <w:sz w:val="20"/>
          <w:szCs w:val="20"/>
        </w:rPr>
        <w:t>participat</w:t>
      </w:r>
      <w:r>
        <w:rPr>
          <w:rFonts w:asciiTheme="majorHAnsi" w:hAnsiTheme="majorHAnsi"/>
          <w:bCs/>
          <w:sz w:val="20"/>
          <w:szCs w:val="20"/>
        </w:rPr>
        <w:t>ing</w:t>
      </w:r>
      <w:r w:rsidR="00893AF4" w:rsidRPr="001D7F83">
        <w:rPr>
          <w:rFonts w:asciiTheme="majorHAnsi" w:hAnsiTheme="majorHAnsi"/>
          <w:bCs/>
          <w:sz w:val="20"/>
          <w:szCs w:val="20"/>
        </w:rPr>
        <w:t xml:space="preserve"> in them from the city of Medellín. Mr. Gómez had his family residence in Medellín and traveled there by land from San Roque every weekend, without having </w:t>
      </w:r>
      <w:r>
        <w:rPr>
          <w:rFonts w:asciiTheme="majorHAnsi" w:hAnsiTheme="majorHAnsi"/>
          <w:bCs/>
          <w:sz w:val="20"/>
          <w:szCs w:val="20"/>
        </w:rPr>
        <w:t>any S</w:t>
      </w:r>
      <w:r w:rsidR="00893AF4" w:rsidRPr="001D7F83">
        <w:rPr>
          <w:rFonts w:asciiTheme="majorHAnsi" w:hAnsiTheme="majorHAnsi"/>
          <w:bCs/>
          <w:sz w:val="20"/>
          <w:szCs w:val="20"/>
        </w:rPr>
        <w:t xml:space="preserve">tate protection during those round trips. On February 14, 1993, on the </w:t>
      </w:r>
      <w:r>
        <w:rPr>
          <w:rFonts w:asciiTheme="majorHAnsi" w:hAnsiTheme="majorHAnsi"/>
          <w:bCs/>
          <w:sz w:val="20"/>
          <w:szCs w:val="20"/>
        </w:rPr>
        <w:t xml:space="preserve">stretch </w:t>
      </w:r>
      <w:r w:rsidR="00893AF4" w:rsidRPr="001D7F83">
        <w:rPr>
          <w:rFonts w:asciiTheme="majorHAnsi" w:hAnsiTheme="majorHAnsi"/>
          <w:bCs/>
          <w:sz w:val="20"/>
          <w:szCs w:val="20"/>
        </w:rPr>
        <w:t xml:space="preserve">of the </w:t>
      </w:r>
      <w:r>
        <w:rPr>
          <w:rFonts w:asciiTheme="majorHAnsi" w:hAnsiTheme="majorHAnsi"/>
          <w:bCs/>
          <w:sz w:val="20"/>
          <w:szCs w:val="20"/>
        </w:rPr>
        <w:t xml:space="preserve">road </w:t>
      </w:r>
      <w:r w:rsidR="00893AF4" w:rsidRPr="001D7F83">
        <w:rPr>
          <w:rFonts w:asciiTheme="majorHAnsi" w:hAnsiTheme="majorHAnsi"/>
          <w:bCs/>
          <w:sz w:val="20"/>
          <w:szCs w:val="20"/>
        </w:rPr>
        <w:t xml:space="preserve">between Barbosa and Santo Domingo (Antioquia), the vehicle in which he was traveling </w:t>
      </w:r>
      <w:r>
        <w:rPr>
          <w:rFonts w:asciiTheme="majorHAnsi" w:hAnsiTheme="majorHAnsi"/>
          <w:bCs/>
          <w:sz w:val="20"/>
          <w:szCs w:val="20"/>
        </w:rPr>
        <w:t xml:space="preserve">along </w:t>
      </w:r>
      <w:r w:rsidR="00893AF4" w:rsidRPr="001D7F83">
        <w:rPr>
          <w:rFonts w:asciiTheme="majorHAnsi" w:hAnsiTheme="majorHAnsi"/>
          <w:bCs/>
          <w:sz w:val="20"/>
          <w:szCs w:val="20"/>
        </w:rPr>
        <w:t xml:space="preserve">with other San Roque public officials was stopped by ELN guerrillas who had established an illegal checkpoint. The guerrillas forced the other passengers to get out of the car, boarded the vehicle and forced the driver to take them along with Mr. Gómez to the Molino Viejo sector on that same road, where they </w:t>
      </w:r>
      <w:r>
        <w:rPr>
          <w:rFonts w:asciiTheme="majorHAnsi" w:hAnsiTheme="majorHAnsi"/>
          <w:bCs/>
          <w:sz w:val="20"/>
          <w:szCs w:val="20"/>
        </w:rPr>
        <w:t xml:space="preserve">ordered </w:t>
      </w:r>
      <w:r w:rsidR="00893AF4" w:rsidRPr="001D7F83">
        <w:rPr>
          <w:rFonts w:asciiTheme="majorHAnsi" w:hAnsiTheme="majorHAnsi"/>
          <w:bCs/>
          <w:sz w:val="20"/>
          <w:szCs w:val="20"/>
        </w:rPr>
        <w:t xml:space="preserve">Mr. Gómez </w:t>
      </w:r>
      <w:r>
        <w:rPr>
          <w:rFonts w:asciiTheme="majorHAnsi" w:hAnsiTheme="majorHAnsi"/>
          <w:bCs/>
          <w:sz w:val="20"/>
          <w:szCs w:val="20"/>
        </w:rPr>
        <w:t>to get out</w:t>
      </w:r>
      <w:r w:rsidR="00893AF4" w:rsidRPr="001D7F83">
        <w:rPr>
          <w:rFonts w:asciiTheme="majorHAnsi" w:hAnsiTheme="majorHAnsi"/>
          <w:bCs/>
          <w:sz w:val="20"/>
          <w:szCs w:val="20"/>
        </w:rPr>
        <w:t xml:space="preserve">, </w:t>
      </w:r>
      <w:r>
        <w:rPr>
          <w:rFonts w:asciiTheme="majorHAnsi" w:hAnsiTheme="majorHAnsi"/>
          <w:bCs/>
          <w:sz w:val="20"/>
          <w:szCs w:val="20"/>
        </w:rPr>
        <w:t xml:space="preserve">instructing </w:t>
      </w:r>
      <w:r w:rsidR="00893AF4" w:rsidRPr="001D7F83">
        <w:rPr>
          <w:rFonts w:asciiTheme="majorHAnsi" w:hAnsiTheme="majorHAnsi"/>
          <w:bCs/>
          <w:sz w:val="20"/>
          <w:szCs w:val="20"/>
        </w:rPr>
        <w:t xml:space="preserve">the driver to return alone to the </w:t>
      </w:r>
      <w:r>
        <w:rPr>
          <w:rFonts w:asciiTheme="majorHAnsi" w:hAnsiTheme="majorHAnsi"/>
          <w:bCs/>
          <w:sz w:val="20"/>
          <w:szCs w:val="20"/>
        </w:rPr>
        <w:t>check</w:t>
      </w:r>
      <w:r w:rsidR="00893AF4" w:rsidRPr="001D7F83">
        <w:rPr>
          <w:rFonts w:asciiTheme="majorHAnsi" w:hAnsiTheme="majorHAnsi"/>
          <w:bCs/>
          <w:sz w:val="20"/>
          <w:szCs w:val="20"/>
        </w:rPr>
        <w:t xml:space="preserve">point. In that place, the guerrillas killed the councilman with a shot to the head, and his body was found </w:t>
      </w:r>
      <w:r w:rsidR="00CE5F36">
        <w:rPr>
          <w:rFonts w:asciiTheme="majorHAnsi" w:hAnsiTheme="majorHAnsi"/>
          <w:bCs/>
          <w:sz w:val="20"/>
          <w:szCs w:val="20"/>
        </w:rPr>
        <w:t xml:space="preserve">later </w:t>
      </w:r>
      <w:r w:rsidR="00893AF4" w:rsidRPr="001D7F83">
        <w:rPr>
          <w:rFonts w:asciiTheme="majorHAnsi" w:hAnsiTheme="majorHAnsi"/>
          <w:bCs/>
          <w:sz w:val="20"/>
          <w:szCs w:val="20"/>
        </w:rPr>
        <w:t xml:space="preserve">by law enforcement officers. In the petitioner's </w:t>
      </w:r>
      <w:r w:rsidR="00CE5F36">
        <w:rPr>
          <w:rFonts w:asciiTheme="majorHAnsi" w:hAnsiTheme="majorHAnsi"/>
          <w:bCs/>
          <w:sz w:val="20"/>
          <w:szCs w:val="20"/>
        </w:rPr>
        <w:t>view</w:t>
      </w:r>
      <w:r w:rsidR="00893AF4" w:rsidRPr="001D7F83">
        <w:rPr>
          <w:rFonts w:asciiTheme="majorHAnsi" w:hAnsiTheme="majorHAnsi"/>
          <w:bCs/>
          <w:sz w:val="20"/>
          <w:szCs w:val="20"/>
        </w:rPr>
        <w:t>, the Colombian security forces</w:t>
      </w:r>
      <w:r w:rsidR="00CE5F36">
        <w:rPr>
          <w:rFonts w:asciiTheme="majorHAnsi" w:hAnsiTheme="majorHAnsi"/>
          <w:bCs/>
          <w:sz w:val="20"/>
          <w:szCs w:val="20"/>
        </w:rPr>
        <w:t>’ failure</w:t>
      </w:r>
      <w:r w:rsidR="00893AF4" w:rsidRPr="001D7F83">
        <w:rPr>
          <w:rFonts w:asciiTheme="majorHAnsi" w:hAnsiTheme="majorHAnsi"/>
          <w:bCs/>
          <w:sz w:val="20"/>
          <w:szCs w:val="20"/>
        </w:rPr>
        <w:t xml:space="preserve"> to protect the integrity of Mr. Gómez facilitated the </w:t>
      </w:r>
      <w:r w:rsidR="00CE5F36">
        <w:rPr>
          <w:rFonts w:asciiTheme="majorHAnsi" w:hAnsiTheme="majorHAnsi"/>
          <w:bCs/>
          <w:sz w:val="20"/>
          <w:szCs w:val="20"/>
        </w:rPr>
        <w:t>commission</w:t>
      </w:r>
      <w:r w:rsidR="00893AF4" w:rsidRPr="001D7F83">
        <w:rPr>
          <w:rFonts w:asciiTheme="majorHAnsi" w:hAnsiTheme="majorHAnsi"/>
          <w:bCs/>
          <w:sz w:val="20"/>
          <w:szCs w:val="20"/>
        </w:rPr>
        <w:t xml:space="preserve"> of the murder, which was motivated by the active exercise of his political rights as </w:t>
      </w:r>
      <w:r w:rsidR="00CE5F36">
        <w:rPr>
          <w:rFonts w:asciiTheme="majorHAnsi" w:hAnsiTheme="majorHAnsi"/>
          <w:bCs/>
          <w:sz w:val="20"/>
          <w:szCs w:val="20"/>
        </w:rPr>
        <w:t>member</w:t>
      </w:r>
      <w:r w:rsidR="00893AF4" w:rsidRPr="001D7F83">
        <w:rPr>
          <w:rFonts w:asciiTheme="majorHAnsi" w:hAnsiTheme="majorHAnsi"/>
          <w:bCs/>
          <w:sz w:val="20"/>
          <w:szCs w:val="20"/>
        </w:rPr>
        <w:t xml:space="preserve"> and president of the San Roque Council, an exercise </w:t>
      </w:r>
      <w:r w:rsidR="00CE5F36">
        <w:rPr>
          <w:rFonts w:asciiTheme="majorHAnsi" w:hAnsiTheme="majorHAnsi"/>
          <w:bCs/>
          <w:sz w:val="20"/>
          <w:szCs w:val="20"/>
        </w:rPr>
        <w:t xml:space="preserve">he sought to </w:t>
      </w:r>
      <w:r w:rsidR="00893AF4" w:rsidRPr="001D7F83">
        <w:rPr>
          <w:rFonts w:asciiTheme="majorHAnsi" w:hAnsiTheme="majorHAnsi"/>
          <w:bCs/>
          <w:sz w:val="20"/>
          <w:szCs w:val="20"/>
        </w:rPr>
        <w:t xml:space="preserve">continue despite the threats he had received. </w:t>
      </w:r>
      <w:r w:rsidR="00CE5F36">
        <w:rPr>
          <w:rFonts w:asciiTheme="majorHAnsi" w:hAnsiTheme="majorHAnsi"/>
          <w:bCs/>
          <w:sz w:val="20"/>
          <w:szCs w:val="20"/>
        </w:rPr>
        <w:t xml:space="preserve">Petitioner claims that </w:t>
      </w:r>
      <w:r w:rsidR="00893AF4" w:rsidRPr="001D7F83">
        <w:rPr>
          <w:rFonts w:asciiTheme="majorHAnsi" w:hAnsiTheme="majorHAnsi"/>
          <w:bCs/>
          <w:sz w:val="20"/>
          <w:szCs w:val="20"/>
        </w:rPr>
        <w:t xml:space="preserve">the State should have guaranteed the enjoyment and exercise of his political rights by providing him with security measures, especially considering that the threats </w:t>
      </w:r>
      <w:r w:rsidR="00CE5F36">
        <w:rPr>
          <w:rFonts w:asciiTheme="majorHAnsi" w:hAnsiTheme="majorHAnsi"/>
          <w:bCs/>
          <w:sz w:val="20"/>
          <w:szCs w:val="20"/>
        </w:rPr>
        <w:t xml:space="preserve">he had </w:t>
      </w:r>
      <w:r w:rsidR="00893AF4" w:rsidRPr="001D7F83">
        <w:rPr>
          <w:rFonts w:asciiTheme="majorHAnsi" w:hAnsiTheme="majorHAnsi"/>
          <w:bCs/>
          <w:sz w:val="20"/>
          <w:szCs w:val="20"/>
        </w:rPr>
        <w:t xml:space="preserve">received sought to obstruct his performance as a </w:t>
      </w:r>
      <w:r w:rsidR="00F4076F">
        <w:rPr>
          <w:rFonts w:asciiTheme="majorHAnsi" w:hAnsiTheme="majorHAnsi"/>
          <w:bCs/>
          <w:sz w:val="20"/>
          <w:szCs w:val="20"/>
        </w:rPr>
        <w:t>Council member</w:t>
      </w:r>
      <w:r w:rsidR="00893AF4" w:rsidRPr="001D7F83">
        <w:rPr>
          <w:rFonts w:asciiTheme="majorHAnsi" w:hAnsiTheme="majorHAnsi"/>
          <w:bCs/>
          <w:sz w:val="20"/>
          <w:szCs w:val="20"/>
        </w:rPr>
        <w:t>, and were ultimately directed against the Council as a democratic institution and not against him as a person. The petitioner reports that Mr. Gómez</w:t>
      </w:r>
      <w:r w:rsidR="00CE5F36">
        <w:rPr>
          <w:rFonts w:asciiTheme="majorHAnsi" w:hAnsiTheme="majorHAnsi"/>
          <w:bCs/>
          <w:sz w:val="20"/>
          <w:szCs w:val="20"/>
        </w:rPr>
        <w:t>’s murder</w:t>
      </w:r>
      <w:r w:rsidR="00893AF4" w:rsidRPr="001D7F83">
        <w:rPr>
          <w:rFonts w:asciiTheme="majorHAnsi" w:hAnsiTheme="majorHAnsi"/>
          <w:bCs/>
          <w:sz w:val="20"/>
          <w:szCs w:val="20"/>
        </w:rPr>
        <w:t xml:space="preserve"> deep</w:t>
      </w:r>
      <w:r w:rsidR="00CE5F36">
        <w:rPr>
          <w:rFonts w:asciiTheme="majorHAnsi" w:hAnsiTheme="majorHAnsi"/>
          <w:bCs/>
          <w:sz w:val="20"/>
          <w:szCs w:val="20"/>
        </w:rPr>
        <w:t>ly</w:t>
      </w:r>
      <w:r w:rsidR="00893AF4" w:rsidRPr="001D7F83">
        <w:rPr>
          <w:rFonts w:asciiTheme="majorHAnsi" w:hAnsiTheme="majorHAnsi"/>
          <w:bCs/>
          <w:sz w:val="20"/>
          <w:szCs w:val="20"/>
        </w:rPr>
        <w:t xml:space="preserve"> trauma</w:t>
      </w:r>
      <w:r w:rsidR="00CE5F36">
        <w:rPr>
          <w:rFonts w:asciiTheme="majorHAnsi" w:hAnsiTheme="majorHAnsi"/>
          <w:bCs/>
          <w:sz w:val="20"/>
          <w:szCs w:val="20"/>
        </w:rPr>
        <w:t xml:space="preserve">tized </w:t>
      </w:r>
      <w:r w:rsidR="00893AF4" w:rsidRPr="001D7F83">
        <w:rPr>
          <w:rFonts w:asciiTheme="majorHAnsi" w:hAnsiTheme="majorHAnsi"/>
          <w:bCs/>
          <w:sz w:val="20"/>
          <w:szCs w:val="20"/>
        </w:rPr>
        <w:t xml:space="preserve">his wife and children, who </w:t>
      </w:r>
      <w:r w:rsidR="00476D29" w:rsidRPr="001D7F83">
        <w:rPr>
          <w:rFonts w:asciiTheme="majorHAnsi" w:hAnsiTheme="majorHAnsi"/>
          <w:bCs/>
          <w:sz w:val="20"/>
          <w:szCs w:val="20"/>
        </w:rPr>
        <w:t xml:space="preserve">suffered </w:t>
      </w:r>
      <w:r w:rsidR="00893AF4" w:rsidRPr="001D7F83">
        <w:rPr>
          <w:rFonts w:asciiTheme="majorHAnsi" w:hAnsiTheme="majorHAnsi"/>
          <w:bCs/>
          <w:sz w:val="20"/>
          <w:szCs w:val="20"/>
        </w:rPr>
        <w:t>serious and lasting material and psychological damage from his death.</w:t>
      </w:r>
    </w:p>
    <w:p w14:paraId="7141BC3D" w14:textId="0D1EDE31" w:rsidR="00CE5F36" w:rsidRDefault="00CE5F36" w:rsidP="00493C6C">
      <w:pPr>
        <w:spacing w:before="240" w:after="240"/>
        <w:ind w:firstLine="720"/>
        <w:jc w:val="both"/>
        <w:rPr>
          <w:rFonts w:asciiTheme="majorHAnsi" w:hAnsiTheme="majorHAnsi"/>
          <w:bCs/>
          <w:sz w:val="20"/>
          <w:szCs w:val="20"/>
        </w:rPr>
      </w:pPr>
      <w:r>
        <w:rPr>
          <w:rFonts w:asciiTheme="majorHAnsi" w:hAnsiTheme="majorHAnsi"/>
          <w:bCs/>
          <w:sz w:val="20"/>
          <w:szCs w:val="20"/>
        </w:rPr>
        <w:t xml:space="preserve">3. </w:t>
      </w:r>
      <w:r w:rsidR="009F1B3B" w:rsidRPr="00CE5F36">
        <w:rPr>
          <w:rFonts w:asciiTheme="majorHAnsi" w:hAnsiTheme="majorHAnsi"/>
          <w:sz w:val="20"/>
          <w:szCs w:val="20"/>
        </w:rPr>
        <w:t xml:space="preserve">The death of Mr. Gómez led to the </w:t>
      </w:r>
      <w:r w:rsidRPr="00CE5F36">
        <w:rPr>
          <w:rFonts w:asciiTheme="majorHAnsi" w:hAnsiTheme="majorHAnsi"/>
          <w:i/>
          <w:iCs/>
          <w:sz w:val="20"/>
          <w:szCs w:val="20"/>
        </w:rPr>
        <w:t>ex officio</w:t>
      </w:r>
      <w:r>
        <w:rPr>
          <w:rFonts w:asciiTheme="majorHAnsi" w:hAnsiTheme="majorHAnsi"/>
          <w:sz w:val="20"/>
          <w:szCs w:val="20"/>
        </w:rPr>
        <w:t xml:space="preserve"> initiation</w:t>
      </w:r>
      <w:r w:rsidR="009F1B3B" w:rsidRPr="00CE5F36">
        <w:rPr>
          <w:rFonts w:asciiTheme="majorHAnsi" w:hAnsiTheme="majorHAnsi"/>
          <w:sz w:val="20"/>
          <w:szCs w:val="20"/>
        </w:rPr>
        <w:t xml:space="preserve"> of a criminal investigation by the Regional Directorate of Prosecutors of Medellín, for the crime of homicide with terrorist </w:t>
      </w:r>
      <w:r>
        <w:rPr>
          <w:rFonts w:asciiTheme="majorHAnsi" w:hAnsiTheme="majorHAnsi"/>
          <w:sz w:val="20"/>
          <w:szCs w:val="20"/>
        </w:rPr>
        <w:t>purposes</w:t>
      </w:r>
      <w:r w:rsidR="009F1B3B" w:rsidRPr="00CE5F36">
        <w:rPr>
          <w:rFonts w:asciiTheme="majorHAnsi" w:hAnsiTheme="majorHAnsi"/>
          <w:sz w:val="20"/>
          <w:szCs w:val="20"/>
        </w:rPr>
        <w:t xml:space="preserve">, filed under number 10.914, which was later transferred to the Antioquia Specialized Prosecutor's Office. This office, by resolution of June 12, 1996, </w:t>
      </w:r>
      <w:r>
        <w:rPr>
          <w:rFonts w:asciiTheme="majorHAnsi" w:hAnsiTheme="majorHAnsi"/>
          <w:sz w:val="20"/>
          <w:szCs w:val="20"/>
        </w:rPr>
        <w:t xml:space="preserve">decided </w:t>
      </w:r>
      <w:r w:rsidR="009F1B3B" w:rsidRPr="00CE5F36">
        <w:rPr>
          <w:rFonts w:asciiTheme="majorHAnsi" w:hAnsiTheme="majorHAnsi"/>
          <w:sz w:val="20"/>
          <w:szCs w:val="20"/>
        </w:rPr>
        <w:t xml:space="preserve">to suspend and provisionally archive the </w:t>
      </w:r>
      <w:r>
        <w:rPr>
          <w:rFonts w:asciiTheme="majorHAnsi" w:hAnsiTheme="majorHAnsi"/>
          <w:sz w:val="20"/>
          <w:szCs w:val="20"/>
        </w:rPr>
        <w:t xml:space="preserve">preliminary </w:t>
      </w:r>
      <w:r w:rsidR="009F1B3B" w:rsidRPr="00CE5F36">
        <w:rPr>
          <w:rFonts w:asciiTheme="majorHAnsi" w:hAnsiTheme="majorHAnsi"/>
          <w:sz w:val="20"/>
          <w:szCs w:val="20"/>
        </w:rPr>
        <w:t>investigation</w:t>
      </w:r>
      <w:r w:rsidR="00F4076F">
        <w:rPr>
          <w:rFonts w:asciiTheme="majorHAnsi" w:hAnsiTheme="majorHAnsi"/>
          <w:sz w:val="20"/>
          <w:szCs w:val="20"/>
        </w:rPr>
        <w:t>,</w:t>
      </w:r>
      <w:r w:rsidR="009F1B3B" w:rsidRPr="00CE5F36">
        <w:rPr>
          <w:rFonts w:asciiTheme="majorHAnsi" w:hAnsiTheme="majorHAnsi"/>
          <w:sz w:val="20"/>
          <w:szCs w:val="20"/>
        </w:rPr>
        <w:t xml:space="preserve"> </w:t>
      </w:r>
      <w:r>
        <w:rPr>
          <w:rFonts w:asciiTheme="majorHAnsi" w:hAnsiTheme="majorHAnsi"/>
          <w:sz w:val="20"/>
          <w:szCs w:val="20"/>
        </w:rPr>
        <w:t xml:space="preserve">given the failure to identify </w:t>
      </w:r>
      <w:r w:rsidR="009F1B3B" w:rsidRPr="00CE5F36">
        <w:rPr>
          <w:rFonts w:asciiTheme="majorHAnsi" w:hAnsiTheme="majorHAnsi"/>
          <w:sz w:val="20"/>
          <w:szCs w:val="20"/>
        </w:rPr>
        <w:t xml:space="preserve">those responsible and the circumstances of the manner, time and place of the murder. Since then the process has not been reactivated, and the crime remains unpunished. Mr. Gómez's wife filed a petition to access the materials that were in the file, but the Prosecutor's Office denied her access, alleging that the </w:t>
      </w:r>
      <w:r>
        <w:rPr>
          <w:rFonts w:asciiTheme="majorHAnsi" w:hAnsiTheme="majorHAnsi"/>
          <w:sz w:val="20"/>
          <w:szCs w:val="20"/>
        </w:rPr>
        <w:t xml:space="preserve">preliminary </w:t>
      </w:r>
      <w:r w:rsidR="009F1B3B" w:rsidRPr="00CE5F36">
        <w:rPr>
          <w:rFonts w:asciiTheme="majorHAnsi" w:hAnsiTheme="majorHAnsi"/>
          <w:sz w:val="20"/>
          <w:szCs w:val="20"/>
        </w:rPr>
        <w:t xml:space="preserve">investigation was </w:t>
      </w:r>
      <w:r>
        <w:rPr>
          <w:rFonts w:asciiTheme="majorHAnsi" w:hAnsiTheme="majorHAnsi"/>
          <w:sz w:val="20"/>
          <w:szCs w:val="20"/>
        </w:rPr>
        <w:t>legally classified information</w:t>
      </w:r>
      <w:r w:rsidR="009F1B3B" w:rsidRPr="00CE5F36">
        <w:rPr>
          <w:rFonts w:asciiTheme="majorHAnsi" w:hAnsiTheme="majorHAnsi"/>
          <w:sz w:val="20"/>
          <w:szCs w:val="20"/>
        </w:rPr>
        <w:t xml:space="preserve">. </w:t>
      </w:r>
      <w:r>
        <w:rPr>
          <w:rFonts w:asciiTheme="majorHAnsi" w:hAnsiTheme="majorHAnsi"/>
          <w:sz w:val="20"/>
          <w:szCs w:val="20"/>
        </w:rPr>
        <w:t>T</w:t>
      </w:r>
      <w:r w:rsidR="009F1B3B" w:rsidRPr="00CE5F36">
        <w:rPr>
          <w:rFonts w:asciiTheme="majorHAnsi" w:hAnsiTheme="majorHAnsi"/>
          <w:sz w:val="20"/>
          <w:szCs w:val="20"/>
        </w:rPr>
        <w:t xml:space="preserve">he petitioner </w:t>
      </w:r>
      <w:r>
        <w:rPr>
          <w:rFonts w:asciiTheme="majorHAnsi" w:hAnsiTheme="majorHAnsi"/>
          <w:sz w:val="20"/>
          <w:szCs w:val="20"/>
        </w:rPr>
        <w:t xml:space="preserve">therefore asks </w:t>
      </w:r>
      <w:r w:rsidR="009F1B3B" w:rsidRPr="00CE5F36">
        <w:rPr>
          <w:rFonts w:asciiTheme="majorHAnsi" w:hAnsiTheme="majorHAnsi"/>
          <w:sz w:val="20"/>
          <w:szCs w:val="20"/>
        </w:rPr>
        <w:t xml:space="preserve">the IACHR </w:t>
      </w:r>
      <w:r>
        <w:rPr>
          <w:rFonts w:asciiTheme="majorHAnsi" w:hAnsiTheme="majorHAnsi"/>
          <w:sz w:val="20"/>
          <w:szCs w:val="20"/>
        </w:rPr>
        <w:t xml:space="preserve">to </w:t>
      </w:r>
      <w:r w:rsidR="009F1B3B" w:rsidRPr="00CE5F36">
        <w:rPr>
          <w:rFonts w:asciiTheme="majorHAnsi" w:hAnsiTheme="majorHAnsi"/>
          <w:sz w:val="20"/>
          <w:szCs w:val="20"/>
        </w:rPr>
        <w:t>request a copy of the investigative file from the Colombian State. On the other hand, the petitioner reports that due to the profound psychological effects of the murder of Mr. Gómez, his next of kin did not resort to</w:t>
      </w:r>
      <w:r w:rsidR="00F4076F">
        <w:rPr>
          <w:rFonts w:asciiTheme="majorHAnsi" w:hAnsiTheme="majorHAnsi"/>
          <w:sz w:val="20"/>
          <w:szCs w:val="20"/>
        </w:rPr>
        <w:t xml:space="preserve"> the</w:t>
      </w:r>
      <w:r w:rsidR="009F1B3B" w:rsidRPr="00CE5F36">
        <w:rPr>
          <w:rFonts w:asciiTheme="majorHAnsi" w:hAnsiTheme="majorHAnsi"/>
          <w:sz w:val="20"/>
          <w:szCs w:val="20"/>
        </w:rPr>
        <w:t xml:space="preserve"> </w:t>
      </w:r>
      <w:r>
        <w:rPr>
          <w:rFonts w:asciiTheme="majorHAnsi" w:hAnsiTheme="majorHAnsi"/>
          <w:sz w:val="20"/>
          <w:szCs w:val="20"/>
        </w:rPr>
        <w:t xml:space="preserve">administrative jurisdiction in order </w:t>
      </w:r>
      <w:r w:rsidR="009F1B3B" w:rsidRPr="00CE5F36">
        <w:rPr>
          <w:rFonts w:asciiTheme="majorHAnsi" w:hAnsiTheme="majorHAnsi"/>
          <w:sz w:val="20"/>
          <w:szCs w:val="20"/>
        </w:rPr>
        <w:t xml:space="preserve">to obtain compensation for the damages they had suffered due to the lack of </w:t>
      </w:r>
      <w:r w:rsidR="00F4076F">
        <w:rPr>
          <w:rFonts w:asciiTheme="majorHAnsi" w:hAnsiTheme="majorHAnsi"/>
          <w:sz w:val="20"/>
          <w:szCs w:val="20"/>
        </w:rPr>
        <w:t>S</w:t>
      </w:r>
      <w:r w:rsidR="009F1B3B" w:rsidRPr="00CE5F36">
        <w:rPr>
          <w:rFonts w:asciiTheme="majorHAnsi" w:hAnsiTheme="majorHAnsi"/>
          <w:sz w:val="20"/>
          <w:szCs w:val="20"/>
        </w:rPr>
        <w:t xml:space="preserve">tate protection that allowed the consummation of the crime, within the </w:t>
      </w:r>
      <w:r>
        <w:rPr>
          <w:rFonts w:asciiTheme="majorHAnsi" w:hAnsiTheme="majorHAnsi"/>
          <w:sz w:val="20"/>
          <w:szCs w:val="20"/>
        </w:rPr>
        <w:t xml:space="preserve">two-year </w:t>
      </w:r>
      <w:r w:rsidR="009F1B3B" w:rsidRPr="00CE5F36">
        <w:rPr>
          <w:rFonts w:asciiTheme="majorHAnsi" w:hAnsiTheme="majorHAnsi"/>
          <w:sz w:val="20"/>
          <w:szCs w:val="20"/>
        </w:rPr>
        <w:t xml:space="preserve">statute of limitations </w:t>
      </w:r>
      <w:r>
        <w:rPr>
          <w:rFonts w:asciiTheme="majorHAnsi" w:hAnsiTheme="majorHAnsi"/>
          <w:sz w:val="20"/>
          <w:szCs w:val="20"/>
        </w:rPr>
        <w:t xml:space="preserve">period </w:t>
      </w:r>
      <w:r w:rsidR="009F1B3B" w:rsidRPr="00CE5F36">
        <w:rPr>
          <w:rFonts w:asciiTheme="majorHAnsi" w:hAnsiTheme="majorHAnsi"/>
          <w:sz w:val="20"/>
          <w:szCs w:val="20"/>
        </w:rPr>
        <w:t>that they had</w:t>
      </w:r>
      <w:r w:rsidR="00F4076F">
        <w:rPr>
          <w:rFonts w:asciiTheme="majorHAnsi" w:hAnsiTheme="majorHAnsi"/>
          <w:sz w:val="20"/>
          <w:szCs w:val="20"/>
        </w:rPr>
        <w:t xml:space="preserve"> to do so</w:t>
      </w:r>
      <w:r w:rsidR="009F1B3B" w:rsidRPr="00CE5F36">
        <w:rPr>
          <w:rFonts w:asciiTheme="majorHAnsi" w:hAnsiTheme="majorHAnsi"/>
          <w:sz w:val="20"/>
          <w:szCs w:val="20"/>
        </w:rPr>
        <w:t xml:space="preserve">. </w:t>
      </w:r>
      <w:r>
        <w:rPr>
          <w:rFonts w:asciiTheme="majorHAnsi" w:hAnsiTheme="majorHAnsi"/>
          <w:sz w:val="20"/>
          <w:szCs w:val="20"/>
        </w:rPr>
        <w:t>T</w:t>
      </w:r>
      <w:r w:rsidR="009F1B3B" w:rsidRPr="00CE5F36">
        <w:rPr>
          <w:rFonts w:asciiTheme="majorHAnsi" w:hAnsiTheme="majorHAnsi"/>
          <w:sz w:val="20"/>
          <w:szCs w:val="20"/>
        </w:rPr>
        <w:t xml:space="preserve">hey </w:t>
      </w:r>
      <w:r>
        <w:rPr>
          <w:rFonts w:asciiTheme="majorHAnsi" w:hAnsiTheme="majorHAnsi"/>
          <w:sz w:val="20"/>
          <w:szCs w:val="20"/>
        </w:rPr>
        <w:t xml:space="preserve">did not </w:t>
      </w:r>
      <w:r w:rsidR="009F1B3B" w:rsidRPr="00CE5F36">
        <w:rPr>
          <w:rFonts w:asciiTheme="majorHAnsi" w:hAnsiTheme="majorHAnsi"/>
          <w:sz w:val="20"/>
          <w:szCs w:val="20"/>
        </w:rPr>
        <w:t>receive any type of support or protection from the authorities</w:t>
      </w:r>
      <w:r>
        <w:rPr>
          <w:rFonts w:asciiTheme="majorHAnsi" w:hAnsiTheme="majorHAnsi"/>
          <w:sz w:val="20"/>
          <w:szCs w:val="20"/>
        </w:rPr>
        <w:t xml:space="preserve"> either</w:t>
      </w:r>
      <w:r w:rsidR="009F1B3B" w:rsidRPr="00CE5F36">
        <w:rPr>
          <w:rFonts w:asciiTheme="majorHAnsi" w:hAnsiTheme="majorHAnsi"/>
          <w:sz w:val="20"/>
          <w:szCs w:val="20"/>
        </w:rPr>
        <w:t>,</w:t>
      </w:r>
      <w:r>
        <w:rPr>
          <w:rFonts w:asciiTheme="majorHAnsi" w:hAnsiTheme="majorHAnsi"/>
          <w:sz w:val="20"/>
          <w:szCs w:val="20"/>
        </w:rPr>
        <w:t xml:space="preserve"> and</w:t>
      </w:r>
      <w:r w:rsidR="009F1B3B" w:rsidRPr="00CE5F36">
        <w:rPr>
          <w:rFonts w:asciiTheme="majorHAnsi" w:hAnsiTheme="majorHAnsi"/>
          <w:sz w:val="20"/>
          <w:szCs w:val="20"/>
        </w:rPr>
        <w:t xml:space="preserve"> in this sense, they </w:t>
      </w:r>
      <w:r>
        <w:rPr>
          <w:rFonts w:asciiTheme="majorHAnsi" w:hAnsiTheme="majorHAnsi"/>
          <w:sz w:val="20"/>
          <w:szCs w:val="20"/>
        </w:rPr>
        <w:t xml:space="preserve">claim </w:t>
      </w:r>
      <w:r w:rsidR="009F1B3B" w:rsidRPr="00CE5F36">
        <w:rPr>
          <w:rFonts w:asciiTheme="majorHAnsi" w:hAnsiTheme="majorHAnsi"/>
          <w:sz w:val="20"/>
          <w:szCs w:val="20"/>
        </w:rPr>
        <w:t xml:space="preserve">that the State did not provide them the conditions to access justice, </w:t>
      </w:r>
      <w:r w:rsidR="00F4076F">
        <w:rPr>
          <w:rFonts w:asciiTheme="majorHAnsi" w:hAnsiTheme="majorHAnsi"/>
          <w:sz w:val="20"/>
          <w:szCs w:val="20"/>
        </w:rPr>
        <w:t xml:space="preserve">thus </w:t>
      </w:r>
      <w:r>
        <w:rPr>
          <w:rFonts w:asciiTheme="majorHAnsi" w:hAnsiTheme="majorHAnsi"/>
          <w:sz w:val="20"/>
          <w:szCs w:val="20"/>
        </w:rPr>
        <w:t xml:space="preserve">violating </w:t>
      </w:r>
      <w:r w:rsidR="009F1B3B" w:rsidRPr="00CE5F36">
        <w:rPr>
          <w:rFonts w:asciiTheme="majorHAnsi" w:hAnsiTheme="majorHAnsi"/>
          <w:sz w:val="20"/>
          <w:szCs w:val="20"/>
        </w:rPr>
        <w:t>their right to judicial protection.</w:t>
      </w:r>
    </w:p>
    <w:p w14:paraId="1E825EC3" w14:textId="63075C50" w:rsidR="00C447F0" w:rsidRDefault="00CE5F36" w:rsidP="00493C6C">
      <w:pPr>
        <w:spacing w:before="240" w:after="240"/>
        <w:ind w:firstLine="720"/>
        <w:jc w:val="both"/>
        <w:rPr>
          <w:rFonts w:asciiTheme="majorHAnsi" w:hAnsiTheme="majorHAnsi"/>
          <w:bCs/>
          <w:sz w:val="20"/>
          <w:szCs w:val="20"/>
        </w:rPr>
      </w:pPr>
      <w:r>
        <w:rPr>
          <w:rFonts w:asciiTheme="majorHAnsi" w:hAnsiTheme="majorHAnsi"/>
          <w:bCs/>
          <w:sz w:val="20"/>
          <w:szCs w:val="20"/>
        </w:rPr>
        <w:t xml:space="preserve">4. </w:t>
      </w:r>
      <w:r w:rsidR="009F1B3B" w:rsidRPr="00CE5F36">
        <w:rPr>
          <w:rFonts w:asciiTheme="majorHAnsi" w:hAnsiTheme="majorHAnsi"/>
          <w:sz w:val="20"/>
          <w:szCs w:val="20"/>
        </w:rPr>
        <w:t xml:space="preserve">The State, in its </w:t>
      </w:r>
      <w:r w:rsidR="00C447F0">
        <w:rPr>
          <w:rFonts w:asciiTheme="majorHAnsi" w:hAnsiTheme="majorHAnsi"/>
          <w:sz w:val="20"/>
          <w:szCs w:val="20"/>
        </w:rPr>
        <w:t>response</w:t>
      </w:r>
      <w:r w:rsidR="009F1B3B" w:rsidRPr="00CE5F36">
        <w:rPr>
          <w:rFonts w:asciiTheme="majorHAnsi" w:hAnsiTheme="majorHAnsi"/>
          <w:sz w:val="20"/>
          <w:szCs w:val="20"/>
        </w:rPr>
        <w:t xml:space="preserve">, opposes the admissibility of the </w:t>
      </w:r>
      <w:r w:rsidR="00F4076F">
        <w:rPr>
          <w:rFonts w:asciiTheme="majorHAnsi" w:hAnsiTheme="majorHAnsi"/>
          <w:sz w:val="20"/>
          <w:szCs w:val="20"/>
        </w:rPr>
        <w:t xml:space="preserve">petition </w:t>
      </w:r>
      <w:r w:rsidR="009F1B3B" w:rsidRPr="00CE5F36">
        <w:rPr>
          <w:rFonts w:asciiTheme="majorHAnsi" w:hAnsiTheme="majorHAnsi"/>
          <w:sz w:val="20"/>
          <w:szCs w:val="20"/>
        </w:rPr>
        <w:t>for two reasons: failure to exhaust domestic remedies, and the “fourth instance”</w:t>
      </w:r>
      <w:r w:rsidR="00C447F0">
        <w:rPr>
          <w:rFonts w:asciiTheme="majorHAnsi" w:hAnsiTheme="majorHAnsi"/>
          <w:sz w:val="20"/>
          <w:szCs w:val="20"/>
        </w:rPr>
        <w:t xml:space="preserve"> argument</w:t>
      </w:r>
      <w:r w:rsidR="009F1B3B" w:rsidRPr="00CE5F36">
        <w:rPr>
          <w:rFonts w:asciiTheme="majorHAnsi" w:hAnsiTheme="majorHAnsi"/>
          <w:sz w:val="20"/>
          <w:szCs w:val="20"/>
        </w:rPr>
        <w:t xml:space="preserve">. It also </w:t>
      </w:r>
      <w:r w:rsidR="00C447F0">
        <w:rPr>
          <w:rFonts w:asciiTheme="majorHAnsi" w:hAnsiTheme="majorHAnsi"/>
          <w:sz w:val="20"/>
          <w:szCs w:val="20"/>
        </w:rPr>
        <w:t>holds</w:t>
      </w:r>
      <w:r w:rsidR="009F1B3B" w:rsidRPr="00CE5F36">
        <w:rPr>
          <w:rFonts w:asciiTheme="majorHAnsi" w:hAnsiTheme="majorHAnsi"/>
          <w:sz w:val="20"/>
          <w:szCs w:val="20"/>
        </w:rPr>
        <w:t xml:space="preserve"> that the IACHR does not have </w:t>
      </w:r>
      <w:r w:rsidR="00C447F0">
        <w:rPr>
          <w:rFonts w:asciiTheme="majorHAnsi" w:hAnsiTheme="majorHAnsi"/>
          <w:sz w:val="20"/>
          <w:szCs w:val="20"/>
        </w:rPr>
        <w:t xml:space="preserve">competence </w:t>
      </w:r>
      <w:r w:rsidR="009F1B3B" w:rsidRPr="00CE5F36">
        <w:rPr>
          <w:rFonts w:asciiTheme="majorHAnsi" w:hAnsiTheme="majorHAnsi"/>
          <w:sz w:val="20"/>
          <w:szCs w:val="20"/>
        </w:rPr>
        <w:t xml:space="preserve">to </w:t>
      </w:r>
      <w:r w:rsidR="00C447F0">
        <w:rPr>
          <w:rFonts w:asciiTheme="majorHAnsi" w:hAnsiTheme="majorHAnsi"/>
          <w:sz w:val="20"/>
          <w:szCs w:val="20"/>
        </w:rPr>
        <w:t xml:space="preserve">hear </w:t>
      </w:r>
      <w:r w:rsidR="009F1B3B" w:rsidRPr="00CE5F36">
        <w:rPr>
          <w:rFonts w:asciiTheme="majorHAnsi" w:hAnsiTheme="majorHAnsi"/>
          <w:sz w:val="20"/>
          <w:szCs w:val="20"/>
        </w:rPr>
        <w:t xml:space="preserve">this case under the American Declaration, but must </w:t>
      </w:r>
      <w:r w:rsidR="00C447F0">
        <w:rPr>
          <w:rFonts w:asciiTheme="majorHAnsi" w:hAnsiTheme="majorHAnsi"/>
          <w:sz w:val="20"/>
          <w:szCs w:val="20"/>
        </w:rPr>
        <w:t xml:space="preserve">rather </w:t>
      </w:r>
      <w:r w:rsidR="009F1B3B" w:rsidRPr="00CE5F36">
        <w:rPr>
          <w:rFonts w:asciiTheme="majorHAnsi" w:hAnsiTheme="majorHAnsi"/>
          <w:sz w:val="20"/>
          <w:szCs w:val="20"/>
        </w:rPr>
        <w:t xml:space="preserve">evaluate it in light of the American Convention; and it specifies that in the military archives consulted by the Ministry of Defense there is no information </w:t>
      </w:r>
      <w:r w:rsidR="00C447F0">
        <w:rPr>
          <w:rFonts w:asciiTheme="majorHAnsi" w:hAnsiTheme="majorHAnsi"/>
          <w:sz w:val="20"/>
          <w:szCs w:val="20"/>
        </w:rPr>
        <w:t xml:space="preserve">concerning </w:t>
      </w:r>
      <w:r w:rsidR="009F1B3B" w:rsidRPr="00CE5F36">
        <w:rPr>
          <w:rFonts w:asciiTheme="majorHAnsi" w:hAnsiTheme="majorHAnsi"/>
          <w:sz w:val="20"/>
          <w:szCs w:val="20"/>
        </w:rPr>
        <w:t xml:space="preserve">the events reported in the petition. The State also </w:t>
      </w:r>
      <w:r w:rsidR="00F4076F">
        <w:rPr>
          <w:rFonts w:asciiTheme="majorHAnsi" w:hAnsiTheme="majorHAnsi"/>
          <w:sz w:val="20"/>
          <w:szCs w:val="20"/>
        </w:rPr>
        <w:t xml:space="preserve">reports </w:t>
      </w:r>
      <w:r w:rsidR="009F1B3B" w:rsidRPr="00CE5F36">
        <w:rPr>
          <w:rFonts w:asciiTheme="majorHAnsi" w:hAnsiTheme="majorHAnsi"/>
          <w:sz w:val="20"/>
          <w:szCs w:val="20"/>
        </w:rPr>
        <w:t>that in the National Police files, no record was found of requests for protection presented by Mr. Gómez or his family members, and that the Nation</w:t>
      </w:r>
      <w:r w:rsidR="00C447F0">
        <w:rPr>
          <w:rFonts w:asciiTheme="majorHAnsi" w:hAnsiTheme="majorHAnsi"/>
          <w:sz w:val="20"/>
          <w:szCs w:val="20"/>
        </w:rPr>
        <w:t>al Prosecutor’s Office</w:t>
      </w:r>
      <w:r w:rsidR="009F1B3B" w:rsidRPr="00CE5F36">
        <w:rPr>
          <w:rFonts w:asciiTheme="majorHAnsi" w:hAnsiTheme="majorHAnsi"/>
          <w:sz w:val="20"/>
          <w:szCs w:val="20"/>
        </w:rPr>
        <w:t xml:space="preserve"> also found no records of criminal complaints filed by Mr. Gómez </w:t>
      </w:r>
      <w:r w:rsidR="00C447F0">
        <w:rPr>
          <w:rFonts w:asciiTheme="majorHAnsi" w:hAnsiTheme="majorHAnsi"/>
          <w:sz w:val="20"/>
          <w:szCs w:val="20"/>
        </w:rPr>
        <w:t xml:space="preserve">by </w:t>
      </w:r>
      <w:r w:rsidR="009F1B3B" w:rsidRPr="00CE5F36">
        <w:rPr>
          <w:rFonts w:asciiTheme="majorHAnsi" w:hAnsiTheme="majorHAnsi"/>
          <w:sz w:val="20"/>
          <w:szCs w:val="20"/>
        </w:rPr>
        <w:t xml:space="preserve">virtue of </w:t>
      </w:r>
      <w:r w:rsidR="009F1B3B" w:rsidRPr="00CE5F36">
        <w:rPr>
          <w:rFonts w:asciiTheme="majorHAnsi" w:hAnsiTheme="majorHAnsi"/>
          <w:sz w:val="20"/>
          <w:szCs w:val="20"/>
        </w:rPr>
        <w:lastRenderedPageBreak/>
        <w:t xml:space="preserve">the threats he had received; </w:t>
      </w:r>
      <w:r w:rsidR="00C447F0">
        <w:rPr>
          <w:rFonts w:asciiTheme="majorHAnsi" w:hAnsiTheme="majorHAnsi"/>
          <w:sz w:val="20"/>
          <w:szCs w:val="20"/>
        </w:rPr>
        <w:t>likewise</w:t>
      </w:r>
      <w:r w:rsidR="009F1B3B" w:rsidRPr="00CE5F36">
        <w:rPr>
          <w:rFonts w:asciiTheme="majorHAnsi" w:hAnsiTheme="majorHAnsi"/>
          <w:sz w:val="20"/>
          <w:szCs w:val="20"/>
        </w:rPr>
        <w:t xml:space="preserve">, the Municipal </w:t>
      </w:r>
      <w:r w:rsidR="00C447F0">
        <w:rPr>
          <w:rFonts w:asciiTheme="majorHAnsi" w:hAnsiTheme="majorHAnsi"/>
          <w:sz w:val="20"/>
          <w:szCs w:val="20"/>
        </w:rPr>
        <w:t xml:space="preserve">Mayor’s Office </w:t>
      </w:r>
      <w:r w:rsidR="009F1B3B" w:rsidRPr="00CE5F36">
        <w:rPr>
          <w:rFonts w:asciiTheme="majorHAnsi" w:hAnsiTheme="majorHAnsi"/>
          <w:sz w:val="20"/>
          <w:szCs w:val="20"/>
        </w:rPr>
        <w:t xml:space="preserve">of San Roque reported not having found annotations about threats against Mr. Gómez in </w:t>
      </w:r>
      <w:r w:rsidR="00C447F0">
        <w:rPr>
          <w:rFonts w:asciiTheme="majorHAnsi" w:hAnsiTheme="majorHAnsi"/>
          <w:sz w:val="20"/>
          <w:szCs w:val="20"/>
        </w:rPr>
        <w:t xml:space="preserve">their </w:t>
      </w:r>
      <w:r w:rsidR="009F1B3B" w:rsidRPr="00CE5F36">
        <w:rPr>
          <w:rFonts w:asciiTheme="majorHAnsi" w:hAnsiTheme="majorHAnsi"/>
          <w:sz w:val="20"/>
          <w:szCs w:val="20"/>
        </w:rPr>
        <w:t xml:space="preserve">"filing" books, and the Municipal Ombudsman </w:t>
      </w:r>
      <w:r w:rsidR="00C447F0">
        <w:rPr>
          <w:rFonts w:asciiTheme="majorHAnsi" w:hAnsiTheme="majorHAnsi"/>
          <w:sz w:val="20"/>
          <w:szCs w:val="20"/>
        </w:rPr>
        <w:t xml:space="preserve">submitted identical </w:t>
      </w:r>
      <w:r w:rsidR="009F1B3B" w:rsidRPr="00CE5F36">
        <w:rPr>
          <w:rFonts w:asciiTheme="majorHAnsi" w:hAnsiTheme="majorHAnsi"/>
          <w:sz w:val="20"/>
          <w:szCs w:val="20"/>
        </w:rPr>
        <w:t>information.</w:t>
      </w:r>
    </w:p>
    <w:p w14:paraId="34C098CC" w14:textId="77777777" w:rsidR="009320A2" w:rsidRDefault="00C447F0" w:rsidP="00493C6C">
      <w:pPr>
        <w:spacing w:before="240" w:after="240"/>
        <w:ind w:firstLine="720"/>
        <w:jc w:val="both"/>
        <w:rPr>
          <w:rFonts w:asciiTheme="majorHAnsi" w:hAnsiTheme="majorHAnsi"/>
          <w:bCs/>
          <w:sz w:val="20"/>
          <w:szCs w:val="20"/>
        </w:rPr>
      </w:pPr>
      <w:r>
        <w:rPr>
          <w:rFonts w:asciiTheme="majorHAnsi" w:hAnsiTheme="majorHAnsi"/>
          <w:bCs/>
          <w:sz w:val="20"/>
          <w:szCs w:val="20"/>
        </w:rPr>
        <w:t xml:space="preserve">5. </w:t>
      </w:r>
      <w:r w:rsidR="009F1B3B" w:rsidRPr="00C447F0">
        <w:rPr>
          <w:rFonts w:asciiTheme="majorHAnsi" w:hAnsiTheme="majorHAnsi"/>
          <w:sz w:val="20"/>
          <w:szCs w:val="20"/>
        </w:rPr>
        <w:t>Regarding the “fourth instance” allegation, the State confirms that the Medellín Regional Prosecutor's Office ordered, by</w:t>
      </w:r>
      <w:r>
        <w:rPr>
          <w:rFonts w:asciiTheme="majorHAnsi" w:hAnsiTheme="majorHAnsi"/>
          <w:sz w:val="20"/>
          <w:szCs w:val="20"/>
        </w:rPr>
        <w:t xml:space="preserve"> a</w:t>
      </w:r>
      <w:r w:rsidR="009F1B3B" w:rsidRPr="00C447F0">
        <w:rPr>
          <w:rFonts w:asciiTheme="majorHAnsi" w:hAnsiTheme="majorHAnsi"/>
          <w:sz w:val="20"/>
          <w:szCs w:val="20"/>
        </w:rPr>
        <w:t xml:space="preserve"> decision of May 12, 1996, the provisional suspension and provisional fil</w:t>
      </w:r>
      <w:r>
        <w:rPr>
          <w:rFonts w:asciiTheme="majorHAnsi" w:hAnsiTheme="majorHAnsi"/>
          <w:sz w:val="20"/>
          <w:szCs w:val="20"/>
        </w:rPr>
        <w:t>ing</w:t>
      </w:r>
      <w:r w:rsidR="009F1B3B" w:rsidRPr="00C447F0">
        <w:rPr>
          <w:rFonts w:asciiTheme="majorHAnsi" w:hAnsiTheme="majorHAnsi"/>
          <w:sz w:val="20"/>
          <w:szCs w:val="20"/>
        </w:rPr>
        <w:t xml:space="preserve"> of the investigation, which was in the </w:t>
      </w:r>
      <w:r>
        <w:rPr>
          <w:rFonts w:asciiTheme="majorHAnsi" w:hAnsiTheme="majorHAnsi"/>
          <w:sz w:val="20"/>
          <w:szCs w:val="20"/>
        </w:rPr>
        <w:t xml:space="preserve">preliminary </w:t>
      </w:r>
      <w:r w:rsidR="009F1B3B" w:rsidRPr="00C447F0">
        <w:rPr>
          <w:rFonts w:asciiTheme="majorHAnsi" w:hAnsiTheme="majorHAnsi"/>
          <w:sz w:val="20"/>
          <w:szCs w:val="20"/>
        </w:rPr>
        <w:t>investigation phase</w:t>
      </w:r>
      <w:r>
        <w:rPr>
          <w:rFonts w:asciiTheme="majorHAnsi" w:hAnsiTheme="majorHAnsi"/>
          <w:sz w:val="20"/>
          <w:szCs w:val="20"/>
        </w:rPr>
        <w:t xml:space="preserve">, given that </w:t>
      </w:r>
      <w:r w:rsidR="009F1B3B" w:rsidRPr="00C447F0">
        <w:rPr>
          <w:rFonts w:asciiTheme="majorHAnsi" w:hAnsiTheme="majorHAnsi"/>
          <w:sz w:val="20"/>
          <w:szCs w:val="20"/>
        </w:rPr>
        <w:t xml:space="preserve">the circumstances of the </w:t>
      </w:r>
      <w:r>
        <w:rPr>
          <w:rFonts w:asciiTheme="majorHAnsi" w:hAnsiTheme="majorHAnsi"/>
          <w:sz w:val="20"/>
          <w:szCs w:val="20"/>
        </w:rPr>
        <w:t>manner</w:t>
      </w:r>
      <w:r w:rsidR="009F1B3B" w:rsidRPr="00C447F0">
        <w:rPr>
          <w:rFonts w:asciiTheme="majorHAnsi" w:hAnsiTheme="majorHAnsi"/>
          <w:sz w:val="20"/>
          <w:szCs w:val="20"/>
        </w:rPr>
        <w:t xml:space="preserve">, time and place of the crime could not be established, nor was the perpetrator </w:t>
      </w:r>
      <w:r>
        <w:rPr>
          <w:rFonts w:asciiTheme="majorHAnsi" w:hAnsiTheme="majorHAnsi"/>
          <w:sz w:val="20"/>
          <w:szCs w:val="20"/>
        </w:rPr>
        <w:t>identified for prosecution; the State</w:t>
      </w:r>
      <w:r w:rsidR="009F1B3B" w:rsidRPr="00C447F0">
        <w:rPr>
          <w:rFonts w:asciiTheme="majorHAnsi" w:hAnsiTheme="majorHAnsi"/>
          <w:sz w:val="20"/>
          <w:szCs w:val="20"/>
        </w:rPr>
        <w:t xml:space="preserve"> also </w:t>
      </w:r>
      <w:r>
        <w:rPr>
          <w:rFonts w:asciiTheme="majorHAnsi" w:hAnsiTheme="majorHAnsi"/>
          <w:sz w:val="20"/>
          <w:szCs w:val="20"/>
        </w:rPr>
        <w:t xml:space="preserve">holds </w:t>
      </w:r>
      <w:r w:rsidR="009F1B3B" w:rsidRPr="00C447F0">
        <w:rPr>
          <w:rFonts w:asciiTheme="majorHAnsi" w:hAnsiTheme="majorHAnsi"/>
          <w:sz w:val="20"/>
          <w:szCs w:val="20"/>
        </w:rPr>
        <w:t>that Mr. Gómez</w:t>
      </w:r>
      <w:r>
        <w:rPr>
          <w:rFonts w:asciiTheme="majorHAnsi" w:hAnsiTheme="majorHAnsi"/>
          <w:sz w:val="20"/>
          <w:szCs w:val="20"/>
        </w:rPr>
        <w:t>’s relatives</w:t>
      </w:r>
      <w:r w:rsidR="009F1B3B" w:rsidRPr="00C447F0">
        <w:rPr>
          <w:rFonts w:asciiTheme="majorHAnsi" w:hAnsiTheme="majorHAnsi"/>
          <w:sz w:val="20"/>
          <w:szCs w:val="20"/>
        </w:rPr>
        <w:t xml:space="preserve"> did not </w:t>
      </w:r>
      <w:r>
        <w:rPr>
          <w:rFonts w:asciiTheme="majorHAnsi" w:hAnsiTheme="majorHAnsi"/>
          <w:sz w:val="20"/>
          <w:szCs w:val="20"/>
        </w:rPr>
        <w:t>file a request for civil damages in the course of the criminal procedure</w:t>
      </w:r>
      <w:r w:rsidR="009F1B3B" w:rsidRPr="00C447F0">
        <w:rPr>
          <w:rFonts w:asciiTheme="majorHAnsi" w:hAnsiTheme="majorHAnsi"/>
          <w:sz w:val="20"/>
          <w:szCs w:val="20"/>
        </w:rPr>
        <w:t xml:space="preserve">. </w:t>
      </w:r>
      <w:r>
        <w:rPr>
          <w:rFonts w:asciiTheme="majorHAnsi" w:hAnsiTheme="majorHAnsi"/>
          <w:sz w:val="20"/>
          <w:szCs w:val="20"/>
        </w:rPr>
        <w:t>I</w:t>
      </w:r>
      <w:r w:rsidR="009F1B3B" w:rsidRPr="00C447F0">
        <w:rPr>
          <w:rFonts w:asciiTheme="majorHAnsi" w:hAnsiTheme="majorHAnsi"/>
          <w:sz w:val="20"/>
          <w:szCs w:val="20"/>
        </w:rPr>
        <w:t xml:space="preserve">t </w:t>
      </w:r>
      <w:r>
        <w:rPr>
          <w:rFonts w:asciiTheme="majorHAnsi" w:hAnsiTheme="majorHAnsi"/>
          <w:sz w:val="20"/>
          <w:szCs w:val="20"/>
        </w:rPr>
        <w:t xml:space="preserve">therefore </w:t>
      </w:r>
      <w:r w:rsidR="009F1B3B" w:rsidRPr="00C447F0">
        <w:rPr>
          <w:rFonts w:asciiTheme="majorHAnsi" w:hAnsiTheme="majorHAnsi"/>
          <w:sz w:val="20"/>
          <w:szCs w:val="20"/>
        </w:rPr>
        <w:t xml:space="preserve">considers that the decision of the Regional Prosecutor's Office to suspend and archive the </w:t>
      </w:r>
      <w:r>
        <w:rPr>
          <w:rFonts w:asciiTheme="majorHAnsi" w:hAnsiTheme="majorHAnsi"/>
          <w:sz w:val="20"/>
          <w:szCs w:val="20"/>
        </w:rPr>
        <w:t xml:space="preserve">preliminary </w:t>
      </w:r>
      <w:r w:rsidR="009F1B3B" w:rsidRPr="00C447F0">
        <w:rPr>
          <w:rFonts w:asciiTheme="majorHAnsi" w:hAnsiTheme="majorHAnsi"/>
          <w:sz w:val="20"/>
          <w:szCs w:val="20"/>
        </w:rPr>
        <w:t xml:space="preserve">investigation is an internal decision protected by the presumption of legality and adopted with full respect for due process and the rights of those affected, which the IACHR cannot </w:t>
      </w:r>
      <w:r>
        <w:rPr>
          <w:rFonts w:asciiTheme="majorHAnsi" w:hAnsiTheme="majorHAnsi"/>
          <w:sz w:val="20"/>
          <w:szCs w:val="20"/>
        </w:rPr>
        <w:t xml:space="preserve">contest </w:t>
      </w:r>
      <w:r w:rsidR="009F1B3B" w:rsidRPr="00C447F0">
        <w:rPr>
          <w:rFonts w:asciiTheme="majorHAnsi" w:hAnsiTheme="majorHAnsi"/>
          <w:sz w:val="20"/>
          <w:szCs w:val="20"/>
        </w:rPr>
        <w:t xml:space="preserve">or review, </w:t>
      </w:r>
      <w:r>
        <w:rPr>
          <w:rFonts w:asciiTheme="majorHAnsi" w:hAnsiTheme="majorHAnsi"/>
          <w:sz w:val="20"/>
          <w:szCs w:val="20"/>
        </w:rPr>
        <w:t xml:space="preserve">for in doing so it </w:t>
      </w:r>
      <w:r w:rsidR="009F1B3B" w:rsidRPr="00C447F0">
        <w:rPr>
          <w:rFonts w:asciiTheme="majorHAnsi" w:hAnsiTheme="majorHAnsi"/>
          <w:sz w:val="20"/>
          <w:szCs w:val="20"/>
        </w:rPr>
        <w:t>would be acting as a court of fourth instance</w:t>
      </w:r>
      <w:r w:rsidR="00576A49" w:rsidRPr="00C447F0">
        <w:rPr>
          <w:rFonts w:asciiTheme="majorHAnsi" w:hAnsiTheme="majorHAnsi"/>
          <w:sz w:val="20"/>
          <w:szCs w:val="20"/>
        </w:rPr>
        <w:t xml:space="preserve">. </w:t>
      </w:r>
      <w:r>
        <w:rPr>
          <w:rFonts w:asciiTheme="majorHAnsi" w:hAnsiTheme="majorHAnsi"/>
          <w:sz w:val="20"/>
          <w:szCs w:val="20"/>
        </w:rPr>
        <w:t xml:space="preserve">The State argues </w:t>
      </w:r>
      <w:r w:rsidR="009F1B3B" w:rsidRPr="00C447F0">
        <w:rPr>
          <w:rFonts w:asciiTheme="majorHAnsi" w:hAnsiTheme="majorHAnsi"/>
          <w:sz w:val="20"/>
          <w:szCs w:val="20"/>
        </w:rPr>
        <w:t xml:space="preserve">in this regard that </w:t>
      </w:r>
      <w:r w:rsidR="009F1B3B" w:rsidRPr="00C447F0">
        <w:rPr>
          <w:rFonts w:asciiTheme="majorHAnsi" w:hAnsiTheme="majorHAnsi"/>
          <w:i/>
          <w:iCs/>
          <w:sz w:val="20"/>
          <w:szCs w:val="20"/>
        </w:rPr>
        <w:t xml:space="preserve">“the fact that the Prosecutor's Office was forced to provisionally archive the investigation, after having carried out all the procedures that were within its reach, is not an obstacle to understand that the case has already been definitively resolved by the State , </w:t>
      </w:r>
      <w:r w:rsidRPr="00C447F0">
        <w:rPr>
          <w:rFonts w:asciiTheme="majorHAnsi" w:hAnsiTheme="majorHAnsi"/>
          <w:i/>
          <w:iCs/>
          <w:sz w:val="20"/>
          <w:szCs w:val="20"/>
        </w:rPr>
        <w:t xml:space="preserve">in </w:t>
      </w:r>
      <w:r w:rsidR="009F1B3B" w:rsidRPr="00C447F0">
        <w:rPr>
          <w:rFonts w:asciiTheme="majorHAnsi" w:hAnsiTheme="majorHAnsi"/>
          <w:i/>
          <w:iCs/>
          <w:sz w:val="20"/>
          <w:szCs w:val="20"/>
        </w:rPr>
        <w:t xml:space="preserve">having been </w:t>
      </w:r>
      <w:r w:rsidRPr="00C447F0">
        <w:rPr>
          <w:rFonts w:asciiTheme="majorHAnsi" w:hAnsiTheme="majorHAnsi"/>
          <w:i/>
          <w:iCs/>
          <w:sz w:val="20"/>
          <w:szCs w:val="20"/>
        </w:rPr>
        <w:t xml:space="preserve">conducted </w:t>
      </w:r>
      <w:r w:rsidR="009F1B3B" w:rsidRPr="00C447F0">
        <w:rPr>
          <w:rFonts w:asciiTheme="majorHAnsi" w:hAnsiTheme="majorHAnsi"/>
          <w:i/>
          <w:iCs/>
          <w:sz w:val="20"/>
          <w:szCs w:val="20"/>
        </w:rPr>
        <w:t>with the full guarantees of due process”</w:t>
      </w:r>
      <w:r w:rsidR="009F1B3B" w:rsidRPr="00C447F0">
        <w:rPr>
          <w:rFonts w:asciiTheme="majorHAnsi" w:hAnsiTheme="majorHAnsi"/>
          <w:sz w:val="20"/>
          <w:szCs w:val="20"/>
        </w:rPr>
        <w:t xml:space="preserve">. </w:t>
      </w:r>
      <w:r>
        <w:rPr>
          <w:rFonts w:asciiTheme="majorHAnsi" w:hAnsiTheme="majorHAnsi"/>
          <w:sz w:val="20"/>
          <w:szCs w:val="20"/>
        </w:rPr>
        <w:t xml:space="preserve">In this same </w:t>
      </w:r>
      <w:r w:rsidR="009F1B3B" w:rsidRPr="00C447F0">
        <w:rPr>
          <w:rFonts w:asciiTheme="majorHAnsi" w:hAnsiTheme="majorHAnsi"/>
          <w:sz w:val="20"/>
          <w:szCs w:val="20"/>
        </w:rPr>
        <w:t xml:space="preserve">line, it alleges that the seventeen years that had elapsed </w:t>
      </w:r>
      <w:r>
        <w:rPr>
          <w:rFonts w:asciiTheme="majorHAnsi" w:hAnsiTheme="majorHAnsi"/>
          <w:sz w:val="20"/>
          <w:szCs w:val="20"/>
        </w:rPr>
        <w:t xml:space="preserve">as of </w:t>
      </w:r>
      <w:r w:rsidR="009F1B3B" w:rsidRPr="00C447F0">
        <w:rPr>
          <w:rFonts w:asciiTheme="majorHAnsi" w:hAnsiTheme="majorHAnsi"/>
          <w:sz w:val="20"/>
          <w:szCs w:val="20"/>
        </w:rPr>
        <w:t xml:space="preserve">the </w:t>
      </w:r>
      <w:r>
        <w:rPr>
          <w:rFonts w:asciiTheme="majorHAnsi" w:hAnsiTheme="majorHAnsi"/>
          <w:sz w:val="20"/>
          <w:szCs w:val="20"/>
        </w:rPr>
        <w:t xml:space="preserve">date of the </w:t>
      </w:r>
      <w:r w:rsidR="009F1B3B" w:rsidRPr="00C447F0">
        <w:rPr>
          <w:rFonts w:asciiTheme="majorHAnsi" w:hAnsiTheme="majorHAnsi"/>
          <w:sz w:val="20"/>
          <w:szCs w:val="20"/>
        </w:rPr>
        <w:t xml:space="preserve">petition without obtaining a final judicial resolution of the matter are justified by the complexity of the process, </w:t>
      </w:r>
      <w:r>
        <w:rPr>
          <w:rFonts w:asciiTheme="majorHAnsi" w:hAnsiTheme="majorHAnsi"/>
          <w:sz w:val="20"/>
          <w:szCs w:val="20"/>
        </w:rPr>
        <w:t xml:space="preserve">for which reason it considers that the judiciary has responded to these events within a </w:t>
      </w:r>
      <w:r w:rsidR="009F1B3B" w:rsidRPr="00C447F0">
        <w:rPr>
          <w:rFonts w:asciiTheme="majorHAnsi" w:hAnsiTheme="majorHAnsi"/>
          <w:sz w:val="20"/>
          <w:szCs w:val="20"/>
        </w:rPr>
        <w:t>reasonable period of time</w:t>
      </w:r>
      <w:r w:rsidR="00576A49" w:rsidRPr="00C447F0">
        <w:rPr>
          <w:rFonts w:asciiTheme="majorHAnsi" w:hAnsiTheme="majorHAnsi"/>
          <w:sz w:val="20"/>
          <w:szCs w:val="20"/>
        </w:rPr>
        <w:t xml:space="preserve">. </w:t>
      </w:r>
      <w:r>
        <w:rPr>
          <w:rFonts w:asciiTheme="majorHAnsi" w:hAnsiTheme="majorHAnsi"/>
          <w:sz w:val="20"/>
          <w:szCs w:val="20"/>
        </w:rPr>
        <w:t xml:space="preserve">The State also justifies this </w:t>
      </w:r>
      <w:r w:rsidR="009F1B3B" w:rsidRPr="00C447F0">
        <w:rPr>
          <w:rFonts w:asciiTheme="majorHAnsi" w:hAnsiTheme="majorHAnsi"/>
          <w:sz w:val="20"/>
          <w:szCs w:val="20"/>
        </w:rPr>
        <w:t xml:space="preserve">conclusion </w:t>
      </w:r>
      <w:r>
        <w:rPr>
          <w:rFonts w:asciiTheme="majorHAnsi" w:hAnsiTheme="majorHAnsi"/>
          <w:sz w:val="20"/>
          <w:szCs w:val="20"/>
        </w:rPr>
        <w:t xml:space="preserve">based on </w:t>
      </w:r>
      <w:r w:rsidR="009F1B3B" w:rsidRPr="00C447F0">
        <w:rPr>
          <w:rFonts w:asciiTheme="majorHAnsi" w:hAnsiTheme="majorHAnsi"/>
          <w:sz w:val="20"/>
          <w:szCs w:val="20"/>
        </w:rPr>
        <w:t>the eviden</w:t>
      </w:r>
      <w:r>
        <w:rPr>
          <w:rFonts w:asciiTheme="majorHAnsi" w:hAnsiTheme="majorHAnsi"/>
          <w:sz w:val="20"/>
          <w:szCs w:val="20"/>
        </w:rPr>
        <w:t>ce-gathering</w:t>
      </w:r>
      <w:r w:rsidR="009F1B3B" w:rsidRPr="00C447F0">
        <w:rPr>
          <w:rFonts w:asciiTheme="majorHAnsi" w:hAnsiTheme="majorHAnsi"/>
          <w:sz w:val="20"/>
          <w:szCs w:val="20"/>
        </w:rPr>
        <w:t xml:space="preserve"> activity of the Prosecutor's Office during the first year of the investigation before its suspension </w:t>
      </w:r>
      <w:r w:rsidR="009320A2">
        <w:rPr>
          <w:rFonts w:asciiTheme="majorHAnsi" w:hAnsiTheme="majorHAnsi"/>
          <w:sz w:val="20"/>
          <w:szCs w:val="20"/>
        </w:rPr>
        <w:t>-</w:t>
      </w:r>
      <w:r w:rsidR="009F1B3B" w:rsidRPr="00C447F0">
        <w:rPr>
          <w:rFonts w:asciiTheme="majorHAnsi" w:hAnsiTheme="majorHAnsi"/>
          <w:sz w:val="20"/>
          <w:szCs w:val="20"/>
        </w:rPr>
        <w:t xml:space="preserve">which consisted in </w:t>
      </w:r>
      <w:r>
        <w:rPr>
          <w:rFonts w:asciiTheme="majorHAnsi" w:hAnsiTheme="majorHAnsi"/>
          <w:sz w:val="20"/>
          <w:szCs w:val="20"/>
        </w:rPr>
        <w:t xml:space="preserve">ordering </w:t>
      </w:r>
      <w:r w:rsidR="009F1B3B" w:rsidRPr="00C447F0">
        <w:rPr>
          <w:rFonts w:asciiTheme="majorHAnsi" w:hAnsiTheme="majorHAnsi"/>
          <w:sz w:val="20"/>
          <w:szCs w:val="20"/>
        </w:rPr>
        <w:t>some testimonies and requesting certain certifications</w:t>
      </w:r>
      <w:r w:rsidR="009320A2">
        <w:rPr>
          <w:rFonts w:asciiTheme="majorHAnsi" w:hAnsiTheme="majorHAnsi"/>
          <w:sz w:val="20"/>
          <w:szCs w:val="20"/>
        </w:rPr>
        <w:t>-</w:t>
      </w:r>
      <w:r w:rsidR="009F1B3B" w:rsidRPr="00C447F0">
        <w:rPr>
          <w:rFonts w:asciiTheme="majorHAnsi" w:hAnsiTheme="majorHAnsi"/>
          <w:sz w:val="20"/>
          <w:szCs w:val="20"/>
        </w:rPr>
        <w:t xml:space="preserve">, and </w:t>
      </w:r>
      <w:r w:rsidR="009320A2">
        <w:rPr>
          <w:rFonts w:asciiTheme="majorHAnsi" w:hAnsiTheme="majorHAnsi"/>
          <w:sz w:val="20"/>
          <w:szCs w:val="20"/>
        </w:rPr>
        <w:t>o</w:t>
      </w:r>
      <w:r w:rsidR="009F1B3B" w:rsidRPr="00C447F0">
        <w:rPr>
          <w:rFonts w:asciiTheme="majorHAnsi" w:hAnsiTheme="majorHAnsi"/>
          <w:sz w:val="20"/>
          <w:szCs w:val="20"/>
        </w:rPr>
        <w:t xml:space="preserve">n the alleged inactivity of the surviving victims. In this line, the State </w:t>
      </w:r>
      <w:r w:rsidR="009320A2">
        <w:rPr>
          <w:rFonts w:asciiTheme="majorHAnsi" w:hAnsiTheme="majorHAnsi"/>
          <w:sz w:val="20"/>
          <w:szCs w:val="20"/>
        </w:rPr>
        <w:t xml:space="preserve">regards </w:t>
      </w:r>
      <w:r w:rsidR="009F1B3B" w:rsidRPr="00C447F0">
        <w:rPr>
          <w:rFonts w:asciiTheme="majorHAnsi" w:hAnsiTheme="majorHAnsi"/>
          <w:sz w:val="20"/>
          <w:szCs w:val="20"/>
        </w:rPr>
        <w:t>Mr. Gómez</w:t>
      </w:r>
      <w:r w:rsidR="009320A2">
        <w:rPr>
          <w:rFonts w:asciiTheme="majorHAnsi" w:hAnsiTheme="majorHAnsi"/>
          <w:sz w:val="20"/>
          <w:szCs w:val="20"/>
        </w:rPr>
        <w:t>’s relatives’ decision not to ask for civil damages during the criminal process</w:t>
      </w:r>
      <w:r w:rsidR="009F1B3B" w:rsidRPr="00C447F0">
        <w:rPr>
          <w:rFonts w:asciiTheme="majorHAnsi" w:hAnsiTheme="majorHAnsi"/>
          <w:sz w:val="20"/>
          <w:szCs w:val="20"/>
        </w:rPr>
        <w:t xml:space="preserve"> as a lack of collaboration with the authorities on their part.</w:t>
      </w:r>
    </w:p>
    <w:p w14:paraId="373710B3" w14:textId="0E9BA1FB" w:rsidR="00576A49" w:rsidRPr="009320A2" w:rsidRDefault="009320A2" w:rsidP="00493C6C">
      <w:pPr>
        <w:spacing w:before="240" w:after="240"/>
        <w:ind w:firstLine="720"/>
        <w:jc w:val="both"/>
        <w:rPr>
          <w:rFonts w:asciiTheme="majorHAnsi" w:hAnsiTheme="majorHAnsi"/>
          <w:bCs/>
          <w:sz w:val="20"/>
          <w:szCs w:val="20"/>
        </w:rPr>
      </w:pPr>
      <w:r>
        <w:rPr>
          <w:rFonts w:asciiTheme="majorHAnsi" w:hAnsiTheme="majorHAnsi"/>
          <w:bCs/>
          <w:sz w:val="20"/>
          <w:szCs w:val="20"/>
        </w:rPr>
        <w:t xml:space="preserve">6. </w:t>
      </w:r>
      <w:r w:rsidR="00576A49" w:rsidRPr="009320A2">
        <w:rPr>
          <w:rFonts w:asciiTheme="majorHAnsi" w:hAnsiTheme="majorHAnsi"/>
          <w:sz w:val="20"/>
          <w:szCs w:val="20"/>
        </w:rPr>
        <w:t xml:space="preserve">Regarding the lack of exhaustion of domestic remedies, the State alleges that the </w:t>
      </w:r>
      <w:r w:rsidR="00185E08">
        <w:rPr>
          <w:rFonts w:asciiTheme="majorHAnsi" w:hAnsiTheme="majorHAnsi"/>
          <w:sz w:val="20"/>
          <w:szCs w:val="20"/>
        </w:rPr>
        <w:t xml:space="preserve">adequate remedy </w:t>
      </w:r>
      <w:r w:rsidR="00576A49" w:rsidRPr="009320A2">
        <w:rPr>
          <w:rFonts w:asciiTheme="majorHAnsi" w:hAnsiTheme="majorHAnsi"/>
          <w:sz w:val="20"/>
          <w:szCs w:val="20"/>
        </w:rPr>
        <w:t xml:space="preserve">that the petitioners should have pursued was the </w:t>
      </w:r>
      <w:r w:rsidR="00185E08">
        <w:rPr>
          <w:rFonts w:asciiTheme="majorHAnsi" w:hAnsiTheme="majorHAnsi"/>
          <w:sz w:val="20"/>
          <w:szCs w:val="20"/>
        </w:rPr>
        <w:t>administrative action to claim civil damages before the administrative jurisdiction (</w:t>
      </w:r>
      <w:proofErr w:type="spellStart"/>
      <w:r w:rsidR="00185E08" w:rsidRPr="00185E08">
        <w:rPr>
          <w:rFonts w:asciiTheme="majorHAnsi" w:hAnsiTheme="majorHAnsi"/>
          <w:i/>
          <w:iCs/>
          <w:sz w:val="20"/>
          <w:szCs w:val="20"/>
        </w:rPr>
        <w:t>acción</w:t>
      </w:r>
      <w:proofErr w:type="spellEnd"/>
      <w:r w:rsidR="00185E08" w:rsidRPr="00185E08">
        <w:rPr>
          <w:rFonts w:asciiTheme="majorHAnsi" w:hAnsiTheme="majorHAnsi"/>
          <w:i/>
          <w:iCs/>
          <w:sz w:val="20"/>
          <w:szCs w:val="20"/>
        </w:rPr>
        <w:t xml:space="preserve"> de </w:t>
      </w:r>
      <w:proofErr w:type="spellStart"/>
      <w:r w:rsidR="00185E08" w:rsidRPr="00185E08">
        <w:rPr>
          <w:rFonts w:asciiTheme="majorHAnsi" w:hAnsiTheme="majorHAnsi"/>
          <w:i/>
          <w:iCs/>
          <w:sz w:val="20"/>
          <w:szCs w:val="20"/>
        </w:rPr>
        <w:t>reparación</w:t>
      </w:r>
      <w:proofErr w:type="spellEnd"/>
      <w:r w:rsidR="00185E08" w:rsidRPr="00185E08">
        <w:rPr>
          <w:rFonts w:asciiTheme="majorHAnsi" w:hAnsiTheme="majorHAnsi"/>
          <w:i/>
          <w:iCs/>
          <w:sz w:val="20"/>
          <w:szCs w:val="20"/>
        </w:rPr>
        <w:t xml:space="preserve"> </w:t>
      </w:r>
      <w:proofErr w:type="spellStart"/>
      <w:r w:rsidR="00185E08" w:rsidRPr="00185E08">
        <w:rPr>
          <w:rFonts w:asciiTheme="majorHAnsi" w:hAnsiTheme="majorHAnsi"/>
          <w:i/>
          <w:iCs/>
          <w:sz w:val="20"/>
          <w:szCs w:val="20"/>
        </w:rPr>
        <w:t>directa</w:t>
      </w:r>
      <w:proofErr w:type="spellEnd"/>
      <w:r w:rsidR="00185E08">
        <w:rPr>
          <w:rFonts w:asciiTheme="majorHAnsi" w:hAnsiTheme="majorHAnsi"/>
          <w:sz w:val="20"/>
          <w:szCs w:val="20"/>
        </w:rPr>
        <w:t>)</w:t>
      </w:r>
      <w:r w:rsidR="00576A49" w:rsidRPr="009320A2">
        <w:rPr>
          <w:rFonts w:asciiTheme="majorHAnsi" w:hAnsiTheme="majorHAnsi"/>
          <w:sz w:val="20"/>
          <w:szCs w:val="20"/>
        </w:rPr>
        <w:t xml:space="preserve">, especially </w:t>
      </w:r>
      <w:r w:rsidR="00185E08">
        <w:rPr>
          <w:rFonts w:asciiTheme="majorHAnsi" w:hAnsiTheme="majorHAnsi"/>
          <w:sz w:val="20"/>
          <w:szCs w:val="20"/>
        </w:rPr>
        <w:t xml:space="preserve">given </w:t>
      </w:r>
      <w:r w:rsidR="00576A49" w:rsidRPr="009320A2">
        <w:rPr>
          <w:rFonts w:asciiTheme="majorHAnsi" w:hAnsiTheme="majorHAnsi"/>
          <w:sz w:val="20"/>
          <w:szCs w:val="20"/>
        </w:rPr>
        <w:t xml:space="preserve">the fact that the </w:t>
      </w:r>
      <w:r w:rsidR="00185E08">
        <w:rPr>
          <w:rFonts w:asciiTheme="majorHAnsi" w:hAnsiTheme="majorHAnsi"/>
          <w:sz w:val="20"/>
          <w:szCs w:val="20"/>
        </w:rPr>
        <w:t xml:space="preserve">full </w:t>
      </w:r>
      <w:r w:rsidR="00576A49" w:rsidRPr="009320A2">
        <w:rPr>
          <w:rFonts w:asciiTheme="majorHAnsi" w:hAnsiTheme="majorHAnsi"/>
          <w:sz w:val="20"/>
          <w:szCs w:val="20"/>
        </w:rPr>
        <w:t xml:space="preserve">reparations granted </w:t>
      </w:r>
      <w:r w:rsidR="00185E08">
        <w:rPr>
          <w:rFonts w:asciiTheme="majorHAnsi" w:hAnsiTheme="majorHAnsi"/>
          <w:sz w:val="20"/>
          <w:szCs w:val="20"/>
        </w:rPr>
        <w:t xml:space="preserve">through </w:t>
      </w:r>
      <w:r w:rsidR="00576A49" w:rsidRPr="009320A2">
        <w:rPr>
          <w:rFonts w:asciiTheme="majorHAnsi" w:hAnsiTheme="majorHAnsi"/>
          <w:sz w:val="20"/>
          <w:szCs w:val="20"/>
        </w:rPr>
        <w:t xml:space="preserve">this </w:t>
      </w:r>
      <w:r w:rsidR="00185E08">
        <w:rPr>
          <w:rFonts w:asciiTheme="majorHAnsi" w:hAnsiTheme="majorHAnsi"/>
          <w:sz w:val="20"/>
          <w:szCs w:val="20"/>
        </w:rPr>
        <w:t xml:space="preserve">judicial channel </w:t>
      </w:r>
      <w:r w:rsidR="00576A49" w:rsidRPr="009320A2">
        <w:rPr>
          <w:rFonts w:asciiTheme="majorHAnsi" w:hAnsiTheme="majorHAnsi"/>
          <w:sz w:val="20"/>
          <w:szCs w:val="20"/>
        </w:rPr>
        <w:t xml:space="preserve">meet the parameters </w:t>
      </w:r>
      <w:r w:rsidR="00185E08">
        <w:rPr>
          <w:rFonts w:asciiTheme="majorHAnsi" w:hAnsiTheme="majorHAnsi"/>
          <w:sz w:val="20"/>
          <w:szCs w:val="20"/>
        </w:rPr>
        <w:t xml:space="preserve">set by </w:t>
      </w:r>
      <w:r w:rsidR="00576A49" w:rsidRPr="009320A2">
        <w:rPr>
          <w:rFonts w:asciiTheme="majorHAnsi" w:hAnsiTheme="majorHAnsi"/>
          <w:sz w:val="20"/>
          <w:szCs w:val="20"/>
        </w:rPr>
        <w:t>the Inter-American Human Rights System. The State argues</w:t>
      </w:r>
      <w:r w:rsidR="00F4076F">
        <w:rPr>
          <w:rFonts w:asciiTheme="majorHAnsi" w:hAnsiTheme="majorHAnsi"/>
          <w:sz w:val="20"/>
          <w:szCs w:val="20"/>
        </w:rPr>
        <w:t>,</w:t>
      </w:r>
      <w:r w:rsidR="00576A49" w:rsidRPr="009320A2">
        <w:rPr>
          <w:rFonts w:asciiTheme="majorHAnsi" w:hAnsiTheme="majorHAnsi"/>
          <w:sz w:val="20"/>
          <w:szCs w:val="20"/>
        </w:rPr>
        <w:t xml:space="preserve"> in </w:t>
      </w:r>
      <w:r w:rsidR="00185E08">
        <w:rPr>
          <w:rFonts w:asciiTheme="majorHAnsi" w:hAnsiTheme="majorHAnsi"/>
          <w:sz w:val="20"/>
          <w:szCs w:val="20"/>
        </w:rPr>
        <w:t xml:space="preserve">relation to </w:t>
      </w:r>
      <w:r w:rsidR="00576A49" w:rsidRPr="009320A2">
        <w:rPr>
          <w:rFonts w:asciiTheme="majorHAnsi" w:hAnsiTheme="majorHAnsi"/>
          <w:sz w:val="20"/>
          <w:szCs w:val="20"/>
        </w:rPr>
        <w:t xml:space="preserve">this suitable remedy that the petitioners refrained from exhausting, </w:t>
      </w:r>
      <w:r w:rsidR="00F4076F">
        <w:rPr>
          <w:rFonts w:asciiTheme="majorHAnsi" w:hAnsiTheme="majorHAnsi"/>
          <w:sz w:val="20"/>
          <w:szCs w:val="20"/>
        </w:rPr>
        <w:t xml:space="preserve">that </w:t>
      </w:r>
      <w:r w:rsidR="00185E08">
        <w:rPr>
          <w:rFonts w:asciiTheme="majorHAnsi" w:hAnsiTheme="majorHAnsi"/>
          <w:sz w:val="20"/>
          <w:szCs w:val="20"/>
        </w:rPr>
        <w:t xml:space="preserve">none of </w:t>
      </w:r>
      <w:r w:rsidR="00576A49" w:rsidRPr="009320A2">
        <w:rPr>
          <w:rFonts w:asciiTheme="majorHAnsi" w:hAnsiTheme="majorHAnsi"/>
          <w:sz w:val="20"/>
          <w:szCs w:val="20"/>
        </w:rPr>
        <w:t>the exceptions enshrined in Article 46.2 of the American Convention</w:t>
      </w:r>
      <w:r w:rsidR="00185E08">
        <w:rPr>
          <w:rFonts w:asciiTheme="majorHAnsi" w:hAnsiTheme="majorHAnsi"/>
          <w:sz w:val="20"/>
          <w:szCs w:val="20"/>
        </w:rPr>
        <w:t xml:space="preserve"> is applicable</w:t>
      </w:r>
      <w:r w:rsidR="00576A49" w:rsidRPr="009320A2">
        <w:rPr>
          <w:rFonts w:asciiTheme="majorHAnsi" w:hAnsiTheme="majorHAnsi"/>
          <w:sz w:val="20"/>
          <w:szCs w:val="20"/>
        </w:rPr>
        <w:t>.</w:t>
      </w:r>
    </w:p>
    <w:p w14:paraId="3191A206" w14:textId="33BA5AD6" w:rsidR="00D74450" w:rsidRPr="00070571" w:rsidRDefault="00493C6C" w:rsidP="00070571">
      <w:pPr>
        <w:spacing w:before="240" w:after="240"/>
        <w:jc w:val="both"/>
        <w:rPr>
          <w:rFonts w:asciiTheme="majorHAnsi" w:eastAsia="Cambria" w:hAnsiTheme="majorHAnsi" w:cs="Cambria"/>
          <w:color w:val="000000"/>
          <w:sz w:val="20"/>
          <w:szCs w:val="20"/>
          <w:u w:color="000000"/>
          <w:lang w:eastAsia="es-ES"/>
        </w:rPr>
      </w:pPr>
      <w:r>
        <w:rPr>
          <w:rFonts w:asciiTheme="majorHAnsi" w:eastAsia="Cambria" w:hAnsiTheme="majorHAnsi" w:cs="Cambria"/>
          <w:b/>
          <w:bCs/>
          <w:color w:val="000000"/>
          <w:sz w:val="20"/>
          <w:szCs w:val="20"/>
          <w:u w:color="000000"/>
          <w:lang w:eastAsia="es-ES"/>
        </w:rPr>
        <w:tab/>
      </w:r>
      <w:r w:rsidR="00F621C3" w:rsidRPr="00070571">
        <w:rPr>
          <w:rFonts w:asciiTheme="majorHAnsi" w:eastAsia="Cambria" w:hAnsiTheme="majorHAnsi" w:cs="Cambria"/>
          <w:b/>
          <w:bCs/>
          <w:color w:val="000000"/>
          <w:sz w:val="20"/>
          <w:szCs w:val="20"/>
          <w:u w:color="000000"/>
          <w:lang w:eastAsia="es-ES"/>
        </w:rPr>
        <w:t>VI.</w:t>
      </w:r>
      <w:r w:rsidR="00F621C3" w:rsidRPr="00070571">
        <w:rPr>
          <w:rFonts w:asciiTheme="majorHAnsi" w:eastAsia="Cambria" w:hAnsiTheme="majorHAnsi" w:cs="Cambria"/>
          <w:b/>
          <w:bCs/>
          <w:color w:val="000000"/>
          <w:sz w:val="20"/>
          <w:szCs w:val="20"/>
          <w:u w:color="000000"/>
          <w:lang w:eastAsia="es-ES"/>
        </w:rPr>
        <w:tab/>
      </w:r>
      <w:r w:rsidR="001F1902" w:rsidRPr="00070571">
        <w:rPr>
          <w:rFonts w:asciiTheme="majorHAnsi" w:hAnsiTheme="majorHAnsi"/>
          <w:b/>
          <w:bCs/>
          <w:sz w:val="20"/>
          <w:szCs w:val="20"/>
        </w:rPr>
        <w:t xml:space="preserve">ANALYSIS OF </w:t>
      </w:r>
      <w:r w:rsidR="00F621C3" w:rsidRPr="00070571">
        <w:rPr>
          <w:rFonts w:asciiTheme="majorHAnsi" w:hAnsiTheme="majorHAnsi"/>
          <w:b/>
          <w:sz w:val="20"/>
          <w:szCs w:val="20"/>
        </w:rPr>
        <w:t>EXHAUSTION OF DOMESTIC REMEDIES AND TIMELINESS OF THE PETITION</w:t>
      </w:r>
      <w:r w:rsidR="00F621C3" w:rsidRPr="00070571">
        <w:rPr>
          <w:rFonts w:asciiTheme="majorHAnsi" w:eastAsia="Cambria" w:hAnsiTheme="majorHAnsi" w:cs="Cambria"/>
          <w:b/>
          <w:bCs/>
          <w:color w:val="000000"/>
          <w:sz w:val="20"/>
          <w:szCs w:val="20"/>
          <w:u w:color="000000"/>
          <w:lang w:eastAsia="es-ES"/>
        </w:rPr>
        <w:t xml:space="preserve"> </w:t>
      </w:r>
    </w:p>
    <w:p w14:paraId="0D436EF6" w14:textId="77777777" w:rsidR="00530E42" w:rsidRDefault="002467C2"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7. </w:t>
      </w:r>
      <w:r w:rsidR="00576A49" w:rsidRPr="002467C2">
        <w:rPr>
          <w:rFonts w:asciiTheme="majorHAnsi" w:hAnsiTheme="majorHAnsi"/>
          <w:sz w:val="20"/>
          <w:szCs w:val="20"/>
        </w:rPr>
        <w:t xml:space="preserve">The Inter-American Commission </w:t>
      </w:r>
      <w:r>
        <w:rPr>
          <w:rFonts w:asciiTheme="majorHAnsi" w:hAnsiTheme="majorHAnsi"/>
          <w:sz w:val="20"/>
          <w:szCs w:val="20"/>
        </w:rPr>
        <w:t xml:space="preserve">has consistently held </w:t>
      </w:r>
      <w:r w:rsidR="00576A49" w:rsidRPr="002467C2">
        <w:rPr>
          <w:rFonts w:asciiTheme="majorHAnsi" w:hAnsiTheme="majorHAnsi"/>
          <w:sz w:val="20"/>
          <w:szCs w:val="20"/>
        </w:rPr>
        <w:t xml:space="preserve">that in cases where violations of the right to life are </w:t>
      </w:r>
      <w:r>
        <w:rPr>
          <w:rFonts w:asciiTheme="majorHAnsi" w:hAnsiTheme="majorHAnsi"/>
          <w:sz w:val="20"/>
          <w:szCs w:val="20"/>
        </w:rPr>
        <w:t>claimed</w:t>
      </w:r>
      <w:r w:rsidR="00576A49" w:rsidRPr="002467C2">
        <w:rPr>
          <w:rFonts w:asciiTheme="majorHAnsi" w:hAnsiTheme="majorHAnsi"/>
          <w:sz w:val="20"/>
          <w:szCs w:val="20"/>
        </w:rPr>
        <w:t xml:space="preserve">, the </w:t>
      </w:r>
      <w:r>
        <w:rPr>
          <w:rFonts w:asciiTheme="majorHAnsi" w:hAnsiTheme="majorHAnsi"/>
          <w:sz w:val="20"/>
          <w:szCs w:val="20"/>
        </w:rPr>
        <w:t xml:space="preserve">adequate </w:t>
      </w:r>
      <w:r w:rsidR="00576A49" w:rsidRPr="002467C2">
        <w:rPr>
          <w:rFonts w:asciiTheme="majorHAnsi" w:hAnsiTheme="majorHAnsi"/>
          <w:sz w:val="20"/>
          <w:szCs w:val="20"/>
        </w:rPr>
        <w:t xml:space="preserve">remedy that must be exhausted at the domestic level is </w:t>
      </w:r>
      <w:r>
        <w:rPr>
          <w:rFonts w:asciiTheme="majorHAnsi" w:hAnsiTheme="majorHAnsi"/>
          <w:sz w:val="20"/>
          <w:szCs w:val="20"/>
        </w:rPr>
        <w:t xml:space="preserve">the </w:t>
      </w:r>
      <w:r w:rsidR="00576A49" w:rsidRPr="002467C2">
        <w:rPr>
          <w:rFonts w:asciiTheme="majorHAnsi" w:hAnsiTheme="majorHAnsi"/>
          <w:sz w:val="20"/>
          <w:szCs w:val="20"/>
        </w:rPr>
        <w:t xml:space="preserve">criminal </w:t>
      </w:r>
      <w:r>
        <w:rPr>
          <w:rFonts w:asciiTheme="majorHAnsi" w:hAnsiTheme="majorHAnsi"/>
          <w:sz w:val="20"/>
          <w:szCs w:val="20"/>
        </w:rPr>
        <w:t>justice route</w:t>
      </w:r>
      <w:r w:rsidR="00576A49" w:rsidRPr="002467C2">
        <w:rPr>
          <w:rFonts w:asciiTheme="majorHAnsi" w:hAnsiTheme="majorHAnsi"/>
          <w:sz w:val="20"/>
          <w:szCs w:val="20"/>
        </w:rPr>
        <w:t xml:space="preserve">, through the </w:t>
      </w:r>
      <w:r w:rsidRPr="00530E42">
        <w:rPr>
          <w:rFonts w:asciiTheme="majorHAnsi" w:hAnsiTheme="majorHAnsi"/>
          <w:i/>
          <w:iCs/>
          <w:sz w:val="20"/>
          <w:szCs w:val="20"/>
        </w:rPr>
        <w:t>ex officio</w:t>
      </w:r>
      <w:r>
        <w:rPr>
          <w:rFonts w:asciiTheme="majorHAnsi" w:hAnsiTheme="majorHAnsi"/>
          <w:sz w:val="20"/>
          <w:szCs w:val="20"/>
        </w:rPr>
        <w:t xml:space="preserve"> </w:t>
      </w:r>
      <w:r w:rsidR="00576A49" w:rsidRPr="002467C2">
        <w:rPr>
          <w:rFonts w:asciiTheme="majorHAnsi" w:hAnsiTheme="majorHAnsi"/>
          <w:sz w:val="20"/>
          <w:szCs w:val="20"/>
        </w:rPr>
        <w:t>and diligent conduct</w:t>
      </w:r>
      <w:r>
        <w:rPr>
          <w:rFonts w:asciiTheme="majorHAnsi" w:hAnsiTheme="majorHAnsi"/>
          <w:sz w:val="20"/>
          <w:szCs w:val="20"/>
        </w:rPr>
        <w:t>ion</w:t>
      </w:r>
      <w:r w:rsidR="00576A49" w:rsidRPr="002467C2">
        <w:rPr>
          <w:rFonts w:asciiTheme="majorHAnsi" w:hAnsiTheme="majorHAnsi"/>
          <w:sz w:val="20"/>
          <w:szCs w:val="20"/>
        </w:rPr>
        <w:t xml:space="preserve"> of investigations </w:t>
      </w:r>
      <w:r>
        <w:rPr>
          <w:rFonts w:asciiTheme="majorHAnsi" w:hAnsiTheme="majorHAnsi"/>
          <w:sz w:val="20"/>
          <w:szCs w:val="20"/>
        </w:rPr>
        <w:t xml:space="preserve">which can identify </w:t>
      </w:r>
      <w:r w:rsidR="00576A49" w:rsidRPr="002467C2">
        <w:rPr>
          <w:rFonts w:asciiTheme="majorHAnsi" w:hAnsiTheme="majorHAnsi"/>
          <w:sz w:val="20"/>
          <w:szCs w:val="20"/>
        </w:rPr>
        <w:t xml:space="preserve">those responsible </w:t>
      </w:r>
      <w:r>
        <w:rPr>
          <w:rFonts w:asciiTheme="majorHAnsi" w:hAnsiTheme="majorHAnsi"/>
          <w:sz w:val="20"/>
          <w:szCs w:val="20"/>
        </w:rPr>
        <w:t xml:space="preserve">for </w:t>
      </w:r>
      <w:r w:rsidR="00576A49" w:rsidRPr="002467C2">
        <w:rPr>
          <w:rFonts w:asciiTheme="majorHAnsi" w:hAnsiTheme="majorHAnsi"/>
          <w:sz w:val="20"/>
          <w:szCs w:val="20"/>
        </w:rPr>
        <w:t>the violation</w:t>
      </w:r>
      <w:r>
        <w:rPr>
          <w:rFonts w:asciiTheme="majorHAnsi" w:hAnsiTheme="majorHAnsi"/>
          <w:sz w:val="20"/>
          <w:szCs w:val="20"/>
        </w:rPr>
        <w:t xml:space="preserve">, prosecute and punish them </w:t>
      </w:r>
      <w:r w:rsidR="00576A49" w:rsidRPr="002467C2">
        <w:rPr>
          <w:rFonts w:asciiTheme="majorHAnsi" w:hAnsiTheme="majorHAnsi"/>
          <w:sz w:val="20"/>
          <w:szCs w:val="20"/>
        </w:rPr>
        <w:t>in accordance with the American Convention</w:t>
      </w:r>
      <w:r w:rsidR="00A14AAA" w:rsidRPr="00A47A32">
        <w:rPr>
          <w:rStyle w:val="FootnoteReference"/>
          <w:rFonts w:asciiTheme="majorHAnsi" w:hAnsiTheme="majorHAnsi"/>
          <w:sz w:val="20"/>
          <w:szCs w:val="20"/>
          <w:lang w:val="es-ES_tradnl"/>
        </w:rPr>
        <w:footnoteReference w:id="6"/>
      </w:r>
      <w:r w:rsidR="00576A49" w:rsidRPr="002467C2">
        <w:rPr>
          <w:rFonts w:asciiTheme="majorHAnsi" w:hAnsiTheme="majorHAnsi"/>
          <w:sz w:val="20"/>
          <w:szCs w:val="20"/>
        </w:rPr>
        <w:t xml:space="preserve">. This burden must be assumed by the State as its own legal duty, and not as a management of private </w:t>
      </w:r>
      <w:r>
        <w:rPr>
          <w:rFonts w:asciiTheme="majorHAnsi" w:hAnsiTheme="majorHAnsi"/>
          <w:sz w:val="20"/>
          <w:szCs w:val="20"/>
        </w:rPr>
        <w:t xml:space="preserve">persons’ interests, </w:t>
      </w:r>
      <w:r w:rsidR="00576A49" w:rsidRPr="002467C2">
        <w:rPr>
          <w:rFonts w:asciiTheme="majorHAnsi" w:hAnsiTheme="majorHAnsi"/>
          <w:sz w:val="20"/>
          <w:szCs w:val="20"/>
        </w:rPr>
        <w:t xml:space="preserve">or </w:t>
      </w:r>
      <w:r w:rsidR="00530E42">
        <w:rPr>
          <w:rFonts w:asciiTheme="majorHAnsi" w:hAnsiTheme="majorHAnsi"/>
          <w:sz w:val="20"/>
          <w:szCs w:val="20"/>
        </w:rPr>
        <w:t xml:space="preserve">as a task </w:t>
      </w:r>
      <w:r w:rsidR="00576A49" w:rsidRPr="002467C2">
        <w:rPr>
          <w:rFonts w:asciiTheme="majorHAnsi" w:hAnsiTheme="majorHAnsi"/>
          <w:sz w:val="20"/>
          <w:szCs w:val="20"/>
        </w:rPr>
        <w:t xml:space="preserve">that depends on </w:t>
      </w:r>
      <w:r w:rsidR="00530E42">
        <w:rPr>
          <w:rFonts w:asciiTheme="majorHAnsi" w:hAnsiTheme="majorHAnsi"/>
          <w:sz w:val="20"/>
          <w:szCs w:val="20"/>
        </w:rPr>
        <w:t xml:space="preserve">private </w:t>
      </w:r>
      <w:r w:rsidR="00576A49" w:rsidRPr="002467C2">
        <w:rPr>
          <w:rFonts w:asciiTheme="majorHAnsi" w:hAnsiTheme="majorHAnsi"/>
          <w:sz w:val="20"/>
          <w:szCs w:val="20"/>
        </w:rPr>
        <w:t>initiative or on the provision of evidence by others.</w:t>
      </w:r>
      <w:r w:rsidR="00A14AAA" w:rsidRPr="00A47A32">
        <w:rPr>
          <w:rStyle w:val="FootnoteReference"/>
          <w:rFonts w:asciiTheme="majorHAnsi" w:hAnsiTheme="majorHAnsi"/>
          <w:sz w:val="20"/>
          <w:szCs w:val="20"/>
          <w:lang w:val="es-ES_tradnl"/>
        </w:rPr>
        <w:footnoteReference w:id="7"/>
      </w:r>
      <w:r w:rsidR="00576A49" w:rsidRPr="002467C2">
        <w:rPr>
          <w:rFonts w:asciiTheme="majorHAnsi" w:hAnsiTheme="majorHAnsi"/>
          <w:sz w:val="20"/>
          <w:szCs w:val="20"/>
        </w:rPr>
        <w:t xml:space="preserve"> The IACHR </w:t>
      </w:r>
      <w:r w:rsidR="00530E42">
        <w:rPr>
          <w:rFonts w:asciiTheme="majorHAnsi" w:hAnsiTheme="majorHAnsi"/>
          <w:sz w:val="20"/>
          <w:szCs w:val="20"/>
        </w:rPr>
        <w:t xml:space="preserve">also has a </w:t>
      </w:r>
      <w:r w:rsidR="00576A49" w:rsidRPr="002467C2">
        <w:rPr>
          <w:rFonts w:asciiTheme="majorHAnsi" w:hAnsiTheme="majorHAnsi"/>
          <w:sz w:val="20"/>
          <w:szCs w:val="20"/>
        </w:rPr>
        <w:t xml:space="preserve">consolidated </w:t>
      </w:r>
      <w:r w:rsidR="00530E42">
        <w:rPr>
          <w:rFonts w:asciiTheme="majorHAnsi" w:hAnsiTheme="majorHAnsi"/>
          <w:sz w:val="20"/>
          <w:szCs w:val="20"/>
        </w:rPr>
        <w:t xml:space="preserve">position in the sense that </w:t>
      </w:r>
      <w:r w:rsidR="00576A49" w:rsidRPr="002467C2">
        <w:rPr>
          <w:rFonts w:asciiTheme="majorHAnsi" w:hAnsiTheme="majorHAnsi"/>
          <w:sz w:val="20"/>
          <w:szCs w:val="20"/>
        </w:rPr>
        <w:t xml:space="preserve">the judicial route of </w:t>
      </w:r>
      <w:r w:rsidR="00530E42">
        <w:rPr>
          <w:rFonts w:asciiTheme="majorHAnsi" w:hAnsiTheme="majorHAnsi"/>
          <w:sz w:val="20"/>
          <w:szCs w:val="20"/>
        </w:rPr>
        <w:t xml:space="preserve">seeking </w:t>
      </w:r>
      <w:r w:rsidR="00576A49" w:rsidRPr="002467C2">
        <w:rPr>
          <w:rFonts w:asciiTheme="majorHAnsi" w:hAnsiTheme="majorHAnsi"/>
          <w:sz w:val="20"/>
          <w:szCs w:val="20"/>
        </w:rPr>
        <w:t xml:space="preserve">administrative responsibility –for example, through the </w:t>
      </w:r>
      <w:r w:rsidR="00530E42">
        <w:rPr>
          <w:rFonts w:asciiTheme="majorHAnsi" w:hAnsiTheme="majorHAnsi"/>
          <w:sz w:val="20"/>
          <w:szCs w:val="20"/>
        </w:rPr>
        <w:t>“</w:t>
      </w:r>
      <w:r w:rsidR="00576A49" w:rsidRPr="002467C2">
        <w:rPr>
          <w:rFonts w:asciiTheme="majorHAnsi" w:hAnsiTheme="majorHAnsi"/>
          <w:sz w:val="20"/>
          <w:szCs w:val="20"/>
        </w:rPr>
        <w:t>direct reparation</w:t>
      </w:r>
      <w:r w:rsidR="00530E42">
        <w:rPr>
          <w:rFonts w:asciiTheme="majorHAnsi" w:hAnsiTheme="majorHAnsi"/>
          <w:sz w:val="20"/>
          <w:szCs w:val="20"/>
        </w:rPr>
        <w:t>” judicial action before the administrative jurisdiction</w:t>
      </w:r>
      <w:r w:rsidR="00576A49" w:rsidRPr="002467C2">
        <w:rPr>
          <w:rFonts w:asciiTheme="majorHAnsi" w:hAnsiTheme="majorHAnsi"/>
          <w:sz w:val="20"/>
          <w:szCs w:val="20"/>
        </w:rPr>
        <w:t xml:space="preserve"> in Colombia–, or of </w:t>
      </w:r>
      <w:r w:rsidR="00530E42">
        <w:rPr>
          <w:rFonts w:asciiTheme="majorHAnsi" w:hAnsiTheme="majorHAnsi"/>
          <w:sz w:val="20"/>
          <w:szCs w:val="20"/>
        </w:rPr>
        <w:t xml:space="preserve">seeking </w:t>
      </w:r>
      <w:r w:rsidR="00576A49" w:rsidRPr="002467C2">
        <w:rPr>
          <w:rFonts w:asciiTheme="majorHAnsi" w:hAnsiTheme="majorHAnsi"/>
          <w:sz w:val="20"/>
          <w:szCs w:val="20"/>
        </w:rPr>
        <w:t xml:space="preserve">civil </w:t>
      </w:r>
      <w:r w:rsidR="00530E42">
        <w:rPr>
          <w:rFonts w:asciiTheme="majorHAnsi" w:hAnsiTheme="majorHAnsi"/>
          <w:sz w:val="20"/>
          <w:szCs w:val="20"/>
        </w:rPr>
        <w:t>damages</w:t>
      </w:r>
      <w:r w:rsidR="00576A49" w:rsidRPr="002467C2">
        <w:rPr>
          <w:rFonts w:asciiTheme="majorHAnsi" w:hAnsiTheme="majorHAnsi"/>
          <w:sz w:val="20"/>
          <w:szCs w:val="20"/>
        </w:rPr>
        <w:t xml:space="preserve">, are not the </w:t>
      </w:r>
      <w:r w:rsidR="00530E42">
        <w:rPr>
          <w:rFonts w:asciiTheme="majorHAnsi" w:hAnsiTheme="majorHAnsi"/>
          <w:sz w:val="20"/>
          <w:szCs w:val="20"/>
        </w:rPr>
        <w:t xml:space="preserve">appropriate </w:t>
      </w:r>
      <w:r w:rsidR="00576A49" w:rsidRPr="002467C2">
        <w:rPr>
          <w:rFonts w:asciiTheme="majorHAnsi" w:hAnsiTheme="majorHAnsi"/>
          <w:sz w:val="20"/>
          <w:szCs w:val="20"/>
        </w:rPr>
        <w:t>judicial remedies for events of this nature.</w:t>
      </w:r>
    </w:p>
    <w:p w14:paraId="5F56F28E" w14:textId="76439FF7" w:rsidR="00A04C52" w:rsidRDefault="00530E42"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8. </w:t>
      </w:r>
      <w:r w:rsidR="00C34BA2" w:rsidRPr="00530E42">
        <w:rPr>
          <w:rFonts w:asciiTheme="majorHAnsi" w:hAnsiTheme="majorHAnsi"/>
          <w:sz w:val="20"/>
          <w:szCs w:val="20"/>
        </w:rPr>
        <w:t xml:space="preserve">In line with the foregoing criteria, the IACHR </w:t>
      </w:r>
      <w:r w:rsidR="00C27939">
        <w:rPr>
          <w:rFonts w:asciiTheme="majorHAnsi" w:hAnsiTheme="majorHAnsi"/>
          <w:sz w:val="20"/>
          <w:szCs w:val="20"/>
        </w:rPr>
        <w:t xml:space="preserve">notes </w:t>
      </w:r>
      <w:r w:rsidR="00C34BA2" w:rsidRPr="00530E42">
        <w:rPr>
          <w:rFonts w:asciiTheme="majorHAnsi" w:hAnsiTheme="majorHAnsi"/>
          <w:sz w:val="20"/>
          <w:szCs w:val="20"/>
        </w:rPr>
        <w:t>that the Nation</w:t>
      </w:r>
      <w:r w:rsidR="00C27939">
        <w:rPr>
          <w:rFonts w:asciiTheme="majorHAnsi" w:hAnsiTheme="majorHAnsi"/>
          <w:sz w:val="20"/>
          <w:szCs w:val="20"/>
        </w:rPr>
        <w:t>al Prosecutor’s Office</w:t>
      </w:r>
      <w:r w:rsidR="00C34BA2" w:rsidRPr="00530E42">
        <w:rPr>
          <w:rFonts w:asciiTheme="majorHAnsi" w:hAnsiTheme="majorHAnsi"/>
          <w:sz w:val="20"/>
          <w:szCs w:val="20"/>
        </w:rPr>
        <w:t xml:space="preserve"> initiated a criminal investigation into the murder of </w:t>
      </w:r>
      <w:r w:rsidR="00C27939">
        <w:rPr>
          <w:rFonts w:asciiTheme="majorHAnsi" w:hAnsiTheme="majorHAnsi"/>
          <w:sz w:val="20"/>
          <w:szCs w:val="20"/>
        </w:rPr>
        <w:t xml:space="preserve">Mr. </w:t>
      </w:r>
      <w:r w:rsidR="00C34BA2" w:rsidRPr="00530E42">
        <w:rPr>
          <w:rFonts w:asciiTheme="majorHAnsi" w:hAnsiTheme="majorHAnsi"/>
          <w:sz w:val="20"/>
          <w:szCs w:val="20"/>
        </w:rPr>
        <w:t xml:space="preserve">Gustavo Emilio Gómez, through the Regional Directorate of Prosecutors of Medellín, which was subsequently transferred to the Specialized Prosecutor's Office </w:t>
      </w:r>
      <w:r w:rsidR="00C27939">
        <w:rPr>
          <w:rFonts w:asciiTheme="majorHAnsi" w:hAnsiTheme="majorHAnsi"/>
          <w:sz w:val="20"/>
          <w:szCs w:val="20"/>
        </w:rPr>
        <w:t xml:space="preserve">of </w:t>
      </w:r>
      <w:r w:rsidR="00C34BA2" w:rsidRPr="00530E42">
        <w:rPr>
          <w:rFonts w:asciiTheme="majorHAnsi" w:hAnsiTheme="majorHAnsi"/>
          <w:sz w:val="20"/>
          <w:szCs w:val="20"/>
        </w:rPr>
        <w:t xml:space="preserve">Antioquia. After </w:t>
      </w:r>
      <w:r w:rsidR="00C27939">
        <w:rPr>
          <w:rFonts w:asciiTheme="majorHAnsi" w:hAnsiTheme="majorHAnsi"/>
          <w:sz w:val="20"/>
          <w:szCs w:val="20"/>
        </w:rPr>
        <w:t xml:space="preserve">gathering </w:t>
      </w:r>
      <w:r w:rsidR="00C34BA2" w:rsidRPr="00530E42">
        <w:rPr>
          <w:rFonts w:asciiTheme="majorHAnsi" w:hAnsiTheme="majorHAnsi"/>
          <w:sz w:val="20"/>
          <w:szCs w:val="20"/>
        </w:rPr>
        <w:t>some testimon</w:t>
      </w:r>
      <w:r w:rsidR="00C27939">
        <w:rPr>
          <w:rFonts w:asciiTheme="majorHAnsi" w:hAnsiTheme="majorHAnsi"/>
          <w:sz w:val="20"/>
          <w:szCs w:val="20"/>
        </w:rPr>
        <w:t>y</w:t>
      </w:r>
      <w:r w:rsidR="00C34BA2" w:rsidRPr="00530E42">
        <w:rPr>
          <w:rFonts w:asciiTheme="majorHAnsi" w:hAnsiTheme="majorHAnsi"/>
          <w:sz w:val="20"/>
          <w:szCs w:val="20"/>
        </w:rPr>
        <w:t xml:space="preserve"> and documentary evidence, this Prosecutor's Office decided to </w:t>
      </w:r>
      <w:r w:rsidR="00C34BA2" w:rsidRPr="00530E42">
        <w:rPr>
          <w:rFonts w:asciiTheme="majorHAnsi" w:hAnsiTheme="majorHAnsi"/>
          <w:sz w:val="20"/>
          <w:szCs w:val="20"/>
        </w:rPr>
        <w:lastRenderedPageBreak/>
        <w:t xml:space="preserve">provisionally suspend the process </w:t>
      </w:r>
      <w:r w:rsidR="00F4076F">
        <w:rPr>
          <w:rFonts w:asciiTheme="majorHAnsi" w:hAnsiTheme="majorHAnsi"/>
          <w:sz w:val="20"/>
          <w:szCs w:val="20"/>
        </w:rPr>
        <w:t xml:space="preserve">at </w:t>
      </w:r>
      <w:r w:rsidR="00C34BA2" w:rsidRPr="00530E42">
        <w:rPr>
          <w:rFonts w:asciiTheme="majorHAnsi" w:hAnsiTheme="majorHAnsi"/>
          <w:sz w:val="20"/>
          <w:szCs w:val="20"/>
        </w:rPr>
        <w:t xml:space="preserve">the preliminary investigation phase, as it was not possible to determine the circumstances </w:t>
      </w:r>
      <w:r w:rsidR="00F4076F">
        <w:rPr>
          <w:rFonts w:asciiTheme="majorHAnsi" w:hAnsiTheme="majorHAnsi"/>
          <w:sz w:val="20"/>
          <w:szCs w:val="20"/>
        </w:rPr>
        <w:t>of the crime n</w:t>
      </w:r>
      <w:r w:rsidR="00C34BA2" w:rsidRPr="00530E42">
        <w:rPr>
          <w:rFonts w:asciiTheme="majorHAnsi" w:hAnsiTheme="majorHAnsi"/>
          <w:sz w:val="20"/>
          <w:szCs w:val="20"/>
        </w:rPr>
        <w:t xml:space="preserve">or </w:t>
      </w:r>
      <w:r w:rsidR="00C27939">
        <w:rPr>
          <w:rFonts w:asciiTheme="majorHAnsi" w:hAnsiTheme="majorHAnsi"/>
          <w:sz w:val="20"/>
          <w:szCs w:val="20"/>
        </w:rPr>
        <w:t xml:space="preserve">identify </w:t>
      </w:r>
      <w:r w:rsidR="00C34BA2" w:rsidRPr="00530E42">
        <w:rPr>
          <w:rFonts w:asciiTheme="majorHAnsi" w:hAnsiTheme="majorHAnsi"/>
          <w:sz w:val="20"/>
          <w:szCs w:val="20"/>
        </w:rPr>
        <w:t xml:space="preserve">those responsible for the murder, and </w:t>
      </w:r>
      <w:r w:rsidR="00C27939">
        <w:rPr>
          <w:rFonts w:asciiTheme="majorHAnsi" w:hAnsiTheme="majorHAnsi"/>
          <w:sz w:val="20"/>
          <w:szCs w:val="20"/>
        </w:rPr>
        <w:t xml:space="preserve">it </w:t>
      </w:r>
      <w:r w:rsidR="00C34BA2" w:rsidRPr="00530E42">
        <w:rPr>
          <w:rFonts w:asciiTheme="majorHAnsi" w:hAnsiTheme="majorHAnsi"/>
          <w:sz w:val="20"/>
          <w:szCs w:val="20"/>
        </w:rPr>
        <w:t xml:space="preserve">ordered the </w:t>
      </w:r>
      <w:r w:rsidR="00F4076F">
        <w:rPr>
          <w:rFonts w:asciiTheme="majorHAnsi" w:hAnsiTheme="majorHAnsi"/>
          <w:sz w:val="20"/>
          <w:szCs w:val="20"/>
        </w:rPr>
        <w:t>case</w:t>
      </w:r>
      <w:r w:rsidR="00C34BA2" w:rsidRPr="00530E42">
        <w:rPr>
          <w:rFonts w:asciiTheme="majorHAnsi" w:hAnsiTheme="majorHAnsi"/>
          <w:sz w:val="20"/>
          <w:szCs w:val="20"/>
        </w:rPr>
        <w:t xml:space="preserve">file </w:t>
      </w:r>
      <w:r w:rsidR="00C27939">
        <w:rPr>
          <w:rFonts w:asciiTheme="majorHAnsi" w:hAnsiTheme="majorHAnsi"/>
          <w:sz w:val="20"/>
          <w:szCs w:val="20"/>
        </w:rPr>
        <w:t xml:space="preserve">to be </w:t>
      </w:r>
      <w:r w:rsidR="00C34BA2" w:rsidRPr="00530E42">
        <w:rPr>
          <w:rFonts w:asciiTheme="majorHAnsi" w:hAnsiTheme="majorHAnsi"/>
          <w:sz w:val="20"/>
          <w:szCs w:val="20"/>
        </w:rPr>
        <w:t xml:space="preserve">provisionally </w:t>
      </w:r>
      <w:r w:rsidR="00C27939">
        <w:rPr>
          <w:rFonts w:asciiTheme="majorHAnsi" w:hAnsiTheme="majorHAnsi"/>
          <w:sz w:val="20"/>
          <w:szCs w:val="20"/>
        </w:rPr>
        <w:t xml:space="preserve">sent </w:t>
      </w:r>
      <w:r w:rsidR="00C34BA2" w:rsidRPr="00530E42">
        <w:rPr>
          <w:rFonts w:asciiTheme="majorHAnsi" w:hAnsiTheme="majorHAnsi"/>
          <w:sz w:val="20"/>
          <w:szCs w:val="20"/>
        </w:rPr>
        <w:t xml:space="preserve">to the archive. From that moment, and until today, the investigation is on hold, filed and awaiting a culmination </w:t>
      </w:r>
      <w:r w:rsidR="00C27939">
        <w:rPr>
          <w:rFonts w:asciiTheme="majorHAnsi" w:hAnsiTheme="majorHAnsi"/>
          <w:sz w:val="20"/>
          <w:szCs w:val="20"/>
        </w:rPr>
        <w:t xml:space="preserve">which can </w:t>
      </w:r>
      <w:r w:rsidR="00C34BA2" w:rsidRPr="00530E42">
        <w:rPr>
          <w:rFonts w:asciiTheme="majorHAnsi" w:hAnsiTheme="majorHAnsi"/>
          <w:sz w:val="20"/>
          <w:szCs w:val="20"/>
        </w:rPr>
        <w:t xml:space="preserve">allow the process to advance to the trial and </w:t>
      </w:r>
      <w:r w:rsidR="00C27939">
        <w:rPr>
          <w:rFonts w:asciiTheme="majorHAnsi" w:hAnsiTheme="majorHAnsi"/>
          <w:sz w:val="20"/>
          <w:szCs w:val="20"/>
        </w:rPr>
        <w:t xml:space="preserve">punishment </w:t>
      </w:r>
      <w:r w:rsidR="00C34BA2" w:rsidRPr="00530E42">
        <w:rPr>
          <w:rFonts w:asciiTheme="majorHAnsi" w:hAnsiTheme="majorHAnsi"/>
          <w:sz w:val="20"/>
          <w:szCs w:val="20"/>
        </w:rPr>
        <w:t xml:space="preserve">stage. </w:t>
      </w:r>
      <w:r w:rsidR="00C27939">
        <w:rPr>
          <w:rFonts w:asciiTheme="majorHAnsi" w:hAnsiTheme="majorHAnsi"/>
          <w:sz w:val="20"/>
          <w:szCs w:val="20"/>
        </w:rPr>
        <w:t>I</w:t>
      </w:r>
      <w:r w:rsidR="00C34BA2" w:rsidRPr="00530E42">
        <w:rPr>
          <w:rFonts w:asciiTheme="majorHAnsi" w:hAnsiTheme="majorHAnsi"/>
          <w:sz w:val="20"/>
          <w:szCs w:val="20"/>
        </w:rPr>
        <w:t xml:space="preserve">n the Commission's opinion, </w:t>
      </w:r>
      <w:r w:rsidR="00C27939">
        <w:rPr>
          <w:rFonts w:asciiTheme="majorHAnsi" w:hAnsiTheme="majorHAnsi"/>
          <w:sz w:val="20"/>
          <w:szCs w:val="20"/>
        </w:rPr>
        <w:t xml:space="preserve">these facts constitute </w:t>
      </w:r>
      <w:r w:rsidR="00C34BA2" w:rsidRPr="00530E42">
        <w:rPr>
          <w:rFonts w:asciiTheme="majorHAnsi" w:hAnsiTheme="majorHAnsi"/>
          <w:sz w:val="20"/>
          <w:szCs w:val="20"/>
        </w:rPr>
        <w:t xml:space="preserve">the two exceptions enshrined in paragraphs (b) and (c) of Article 46.2 of the American Convention </w:t>
      </w:r>
      <w:r w:rsidR="00C27939">
        <w:rPr>
          <w:rFonts w:asciiTheme="majorHAnsi" w:hAnsiTheme="majorHAnsi"/>
          <w:sz w:val="20"/>
          <w:szCs w:val="20"/>
        </w:rPr>
        <w:t xml:space="preserve">to </w:t>
      </w:r>
      <w:r w:rsidR="00C34BA2" w:rsidRPr="00530E42">
        <w:rPr>
          <w:rFonts w:asciiTheme="majorHAnsi" w:hAnsiTheme="majorHAnsi"/>
          <w:sz w:val="20"/>
          <w:szCs w:val="20"/>
        </w:rPr>
        <w:t xml:space="preserve">the duty of exhaustion of domestic remedies. </w:t>
      </w:r>
      <w:r w:rsidR="00C27939">
        <w:rPr>
          <w:rFonts w:asciiTheme="majorHAnsi" w:hAnsiTheme="majorHAnsi"/>
          <w:sz w:val="20"/>
          <w:szCs w:val="20"/>
        </w:rPr>
        <w:t>Indeed, o</w:t>
      </w:r>
      <w:r w:rsidR="00C34BA2" w:rsidRPr="00530E42">
        <w:rPr>
          <w:rFonts w:asciiTheme="majorHAnsi" w:hAnsiTheme="majorHAnsi"/>
          <w:sz w:val="20"/>
          <w:szCs w:val="20"/>
        </w:rPr>
        <w:t xml:space="preserve">n the one hand, in previous cases related to Colombia, the Inter-American Commission has considered that when </w:t>
      </w:r>
      <w:r w:rsidR="00C27939">
        <w:rPr>
          <w:rFonts w:asciiTheme="majorHAnsi" w:hAnsiTheme="majorHAnsi"/>
          <w:sz w:val="20"/>
          <w:szCs w:val="20"/>
        </w:rPr>
        <w:t xml:space="preserve">a criminal investigation is </w:t>
      </w:r>
      <w:r w:rsidR="00C34BA2" w:rsidRPr="00530E42">
        <w:rPr>
          <w:rFonts w:asciiTheme="majorHAnsi" w:hAnsiTheme="majorHAnsi"/>
          <w:sz w:val="20"/>
          <w:szCs w:val="20"/>
        </w:rPr>
        <w:t>unilateral</w:t>
      </w:r>
      <w:r w:rsidR="00C27939">
        <w:rPr>
          <w:rFonts w:asciiTheme="majorHAnsi" w:hAnsiTheme="majorHAnsi"/>
          <w:sz w:val="20"/>
          <w:szCs w:val="20"/>
        </w:rPr>
        <w:t>ly</w:t>
      </w:r>
      <w:r w:rsidR="00C34BA2" w:rsidRPr="00530E42">
        <w:rPr>
          <w:rFonts w:asciiTheme="majorHAnsi" w:hAnsiTheme="majorHAnsi"/>
          <w:sz w:val="20"/>
          <w:szCs w:val="20"/>
        </w:rPr>
        <w:t xml:space="preserve"> clos</w:t>
      </w:r>
      <w:r w:rsidR="00C27939">
        <w:rPr>
          <w:rFonts w:asciiTheme="majorHAnsi" w:hAnsiTheme="majorHAnsi"/>
          <w:sz w:val="20"/>
          <w:szCs w:val="20"/>
        </w:rPr>
        <w:t>ed</w:t>
      </w:r>
      <w:r w:rsidR="00C34BA2" w:rsidRPr="00530E42">
        <w:rPr>
          <w:rFonts w:asciiTheme="majorHAnsi" w:hAnsiTheme="majorHAnsi"/>
          <w:sz w:val="20"/>
          <w:szCs w:val="20"/>
        </w:rPr>
        <w:t xml:space="preserve"> and fil</w:t>
      </w:r>
      <w:r w:rsidR="00C27939">
        <w:rPr>
          <w:rFonts w:asciiTheme="majorHAnsi" w:hAnsiTheme="majorHAnsi"/>
          <w:sz w:val="20"/>
          <w:szCs w:val="20"/>
        </w:rPr>
        <w:t>ed</w:t>
      </w:r>
      <w:r w:rsidR="00C34BA2" w:rsidRPr="00530E42">
        <w:rPr>
          <w:rFonts w:asciiTheme="majorHAnsi" w:hAnsiTheme="majorHAnsi"/>
          <w:sz w:val="20"/>
          <w:szCs w:val="20"/>
        </w:rPr>
        <w:t xml:space="preserve"> by the </w:t>
      </w:r>
      <w:r w:rsidR="00C27939">
        <w:rPr>
          <w:rFonts w:asciiTheme="majorHAnsi" w:hAnsiTheme="majorHAnsi"/>
          <w:sz w:val="20"/>
          <w:szCs w:val="20"/>
        </w:rPr>
        <w:t>prosecutor</w:t>
      </w:r>
      <w:r w:rsidR="00C34BA2" w:rsidRPr="00530E42">
        <w:rPr>
          <w:rFonts w:asciiTheme="majorHAnsi" w:hAnsiTheme="majorHAnsi"/>
          <w:sz w:val="20"/>
          <w:szCs w:val="20"/>
        </w:rPr>
        <w:t xml:space="preserve">, </w:t>
      </w:r>
      <w:r w:rsidR="00C27939">
        <w:rPr>
          <w:rFonts w:asciiTheme="majorHAnsi" w:hAnsiTheme="majorHAnsi"/>
          <w:sz w:val="20"/>
          <w:szCs w:val="20"/>
        </w:rPr>
        <w:t xml:space="preserve">it is understood </w:t>
      </w:r>
      <w:r w:rsidR="00C34BA2" w:rsidRPr="00530E42">
        <w:rPr>
          <w:rFonts w:asciiTheme="majorHAnsi" w:hAnsiTheme="majorHAnsi"/>
          <w:sz w:val="20"/>
          <w:szCs w:val="20"/>
        </w:rPr>
        <w:t xml:space="preserve">that the victim has not been allowed access </w:t>
      </w:r>
      <w:r w:rsidR="00C27939">
        <w:rPr>
          <w:rFonts w:asciiTheme="majorHAnsi" w:hAnsiTheme="majorHAnsi"/>
          <w:sz w:val="20"/>
          <w:szCs w:val="20"/>
        </w:rPr>
        <w:t xml:space="preserve">to </w:t>
      </w:r>
      <w:r w:rsidR="00C34BA2" w:rsidRPr="00530E42">
        <w:rPr>
          <w:rFonts w:asciiTheme="majorHAnsi" w:hAnsiTheme="majorHAnsi"/>
          <w:sz w:val="20"/>
          <w:szCs w:val="20"/>
        </w:rPr>
        <w:t>internal remedies or has been prevented from exhausting them</w:t>
      </w:r>
      <w:r w:rsidR="0028259C" w:rsidRPr="00A47A32">
        <w:rPr>
          <w:rStyle w:val="FootnoteReference"/>
          <w:rFonts w:asciiTheme="majorHAnsi" w:hAnsiTheme="majorHAnsi"/>
          <w:sz w:val="20"/>
          <w:szCs w:val="20"/>
          <w:lang w:val="es-ES_tradnl"/>
        </w:rPr>
        <w:footnoteReference w:id="8"/>
      </w:r>
      <w:r w:rsidR="00C34BA2" w:rsidRPr="00530E42">
        <w:rPr>
          <w:rFonts w:asciiTheme="majorHAnsi" w:hAnsiTheme="majorHAnsi"/>
          <w:sz w:val="20"/>
          <w:szCs w:val="20"/>
        </w:rPr>
        <w:t>. In the case under study, that was precisely what oc</w:t>
      </w:r>
      <w:r w:rsidR="00C27939">
        <w:rPr>
          <w:rFonts w:asciiTheme="majorHAnsi" w:hAnsiTheme="majorHAnsi"/>
          <w:sz w:val="20"/>
          <w:szCs w:val="20"/>
        </w:rPr>
        <w:t>c</w:t>
      </w:r>
      <w:r w:rsidR="00C34BA2" w:rsidRPr="00530E42">
        <w:rPr>
          <w:rFonts w:asciiTheme="majorHAnsi" w:hAnsiTheme="majorHAnsi"/>
          <w:sz w:val="20"/>
          <w:szCs w:val="20"/>
        </w:rPr>
        <w:t>u</w:t>
      </w:r>
      <w:r w:rsidR="00C27939">
        <w:rPr>
          <w:rFonts w:asciiTheme="majorHAnsi" w:hAnsiTheme="majorHAnsi"/>
          <w:sz w:val="20"/>
          <w:szCs w:val="20"/>
        </w:rPr>
        <w:t>r</w:t>
      </w:r>
      <w:r w:rsidR="00C34BA2" w:rsidRPr="00530E42">
        <w:rPr>
          <w:rFonts w:asciiTheme="majorHAnsi" w:hAnsiTheme="majorHAnsi"/>
          <w:sz w:val="20"/>
          <w:szCs w:val="20"/>
        </w:rPr>
        <w:t xml:space="preserve">red, </w:t>
      </w:r>
      <w:r w:rsidR="00C27939">
        <w:rPr>
          <w:rFonts w:asciiTheme="majorHAnsi" w:hAnsiTheme="majorHAnsi"/>
          <w:sz w:val="20"/>
          <w:szCs w:val="20"/>
        </w:rPr>
        <w:t xml:space="preserve">given that </w:t>
      </w:r>
      <w:r w:rsidR="00C34BA2" w:rsidRPr="00530E42">
        <w:rPr>
          <w:rFonts w:asciiTheme="majorHAnsi" w:hAnsiTheme="majorHAnsi"/>
          <w:sz w:val="20"/>
          <w:szCs w:val="20"/>
        </w:rPr>
        <w:t xml:space="preserve">the unilateral decision </w:t>
      </w:r>
      <w:r w:rsidR="00C27939">
        <w:rPr>
          <w:rFonts w:asciiTheme="majorHAnsi" w:hAnsiTheme="majorHAnsi"/>
          <w:sz w:val="20"/>
          <w:szCs w:val="20"/>
        </w:rPr>
        <w:t xml:space="preserve">by the prosecutor </w:t>
      </w:r>
      <w:r w:rsidR="00C34BA2" w:rsidRPr="00530E42">
        <w:rPr>
          <w:rFonts w:asciiTheme="majorHAnsi" w:hAnsiTheme="majorHAnsi"/>
          <w:sz w:val="20"/>
          <w:szCs w:val="20"/>
        </w:rPr>
        <w:t xml:space="preserve">to provisionally suspend </w:t>
      </w:r>
      <w:r w:rsidR="00C27939">
        <w:rPr>
          <w:rFonts w:asciiTheme="majorHAnsi" w:hAnsiTheme="majorHAnsi"/>
          <w:sz w:val="20"/>
          <w:szCs w:val="20"/>
        </w:rPr>
        <w:t xml:space="preserve">and file </w:t>
      </w:r>
      <w:r w:rsidR="00C34BA2" w:rsidRPr="00530E42">
        <w:rPr>
          <w:rFonts w:asciiTheme="majorHAnsi" w:hAnsiTheme="majorHAnsi"/>
          <w:sz w:val="20"/>
          <w:szCs w:val="20"/>
        </w:rPr>
        <w:t xml:space="preserve">the preliminary investigation were not communicated to Mr. Gómez's family, who were consequently left </w:t>
      </w:r>
      <w:r w:rsidR="00C27939">
        <w:rPr>
          <w:rFonts w:asciiTheme="majorHAnsi" w:hAnsiTheme="majorHAnsi"/>
          <w:sz w:val="20"/>
          <w:szCs w:val="20"/>
        </w:rPr>
        <w:t>with</w:t>
      </w:r>
      <w:r w:rsidR="00C34BA2" w:rsidRPr="00530E42">
        <w:rPr>
          <w:rFonts w:asciiTheme="majorHAnsi" w:hAnsiTheme="majorHAnsi"/>
          <w:sz w:val="20"/>
          <w:szCs w:val="20"/>
        </w:rPr>
        <w:t xml:space="preserve">out </w:t>
      </w:r>
      <w:r w:rsidR="00C27939">
        <w:rPr>
          <w:rFonts w:asciiTheme="majorHAnsi" w:hAnsiTheme="majorHAnsi"/>
          <w:sz w:val="20"/>
          <w:szCs w:val="20"/>
        </w:rPr>
        <w:t xml:space="preserve">any </w:t>
      </w:r>
      <w:r w:rsidR="00C34BA2" w:rsidRPr="00530E42">
        <w:rPr>
          <w:rFonts w:asciiTheme="majorHAnsi" w:hAnsiTheme="majorHAnsi"/>
          <w:sz w:val="20"/>
          <w:szCs w:val="20"/>
        </w:rPr>
        <w:t xml:space="preserve">possibility to act. On the other hand, the murder of Mr. Gómez took place in February 1993, that is, twenty-seven years ago, a </w:t>
      </w:r>
      <w:r w:rsidR="00A04C52">
        <w:rPr>
          <w:rFonts w:asciiTheme="majorHAnsi" w:hAnsiTheme="majorHAnsi"/>
          <w:sz w:val="20"/>
          <w:szCs w:val="20"/>
        </w:rPr>
        <w:t xml:space="preserve">time lapse </w:t>
      </w:r>
      <w:r w:rsidR="00C34BA2" w:rsidRPr="00530E42">
        <w:rPr>
          <w:rFonts w:asciiTheme="majorHAnsi" w:hAnsiTheme="majorHAnsi"/>
          <w:sz w:val="20"/>
          <w:szCs w:val="20"/>
        </w:rPr>
        <w:t>that constitutes</w:t>
      </w:r>
      <w:r w:rsidR="00A04C52">
        <w:rPr>
          <w:rFonts w:asciiTheme="majorHAnsi" w:hAnsiTheme="majorHAnsi"/>
          <w:sz w:val="20"/>
          <w:szCs w:val="20"/>
        </w:rPr>
        <w:t xml:space="preserve">, </w:t>
      </w:r>
      <w:r w:rsidR="00A04C52" w:rsidRPr="00530E42">
        <w:rPr>
          <w:rFonts w:asciiTheme="majorHAnsi" w:hAnsiTheme="majorHAnsi"/>
          <w:sz w:val="20"/>
          <w:szCs w:val="20"/>
        </w:rPr>
        <w:t>from any point of view</w:t>
      </w:r>
      <w:r w:rsidR="00A04C52">
        <w:rPr>
          <w:rFonts w:asciiTheme="majorHAnsi" w:hAnsiTheme="majorHAnsi"/>
          <w:sz w:val="20"/>
          <w:szCs w:val="20"/>
        </w:rPr>
        <w:t>,</w:t>
      </w:r>
      <w:r w:rsidR="00C34BA2" w:rsidRPr="00530E42">
        <w:rPr>
          <w:rFonts w:asciiTheme="majorHAnsi" w:hAnsiTheme="majorHAnsi"/>
          <w:sz w:val="20"/>
          <w:szCs w:val="20"/>
        </w:rPr>
        <w:t xml:space="preserve"> an excessive and unjustified delay in determining those responsible for the crime and </w:t>
      </w:r>
      <w:r w:rsidR="00A04C52">
        <w:rPr>
          <w:rFonts w:asciiTheme="majorHAnsi" w:hAnsiTheme="majorHAnsi"/>
          <w:sz w:val="20"/>
          <w:szCs w:val="20"/>
        </w:rPr>
        <w:t xml:space="preserve">imposing the corresponding </w:t>
      </w:r>
      <w:r w:rsidR="00C34BA2" w:rsidRPr="00530E42">
        <w:rPr>
          <w:rFonts w:asciiTheme="majorHAnsi" w:hAnsiTheme="majorHAnsi"/>
          <w:sz w:val="20"/>
          <w:szCs w:val="20"/>
        </w:rPr>
        <w:t>responsibilities.</w:t>
      </w:r>
    </w:p>
    <w:p w14:paraId="7CE588F8" w14:textId="7AB9C98C" w:rsidR="001B49BB" w:rsidRDefault="00A04C52"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9. As for </w:t>
      </w:r>
      <w:r w:rsidR="00C34BA2" w:rsidRPr="00A04C52">
        <w:rPr>
          <w:rFonts w:asciiTheme="majorHAnsi" w:hAnsiTheme="majorHAnsi"/>
          <w:sz w:val="20"/>
          <w:szCs w:val="20"/>
        </w:rPr>
        <w:t xml:space="preserve">the </w:t>
      </w:r>
      <w:r>
        <w:rPr>
          <w:rFonts w:asciiTheme="majorHAnsi" w:hAnsiTheme="majorHAnsi"/>
          <w:sz w:val="20"/>
          <w:szCs w:val="20"/>
        </w:rPr>
        <w:t xml:space="preserve">time </w:t>
      </w:r>
      <w:r w:rsidR="00C34BA2" w:rsidRPr="00A04C52">
        <w:rPr>
          <w:rFonts w:asciiTheme="majorHAnsi" w:hAnsiTheme="majorHAnsi"/>
          <w:sz w:val="20"/>
          <w:szCs w:val="20"/>
        </w:rPr>
        <w:t xml:space="preserve">that has elapsed from the </w:t>
      </w:r>
      <w:r>
        <w:rPr>
          <w:rFonts w:asciiTheme="majorHAnsi" w:hAnsiTheme="majorHAnsi"/>
          <w:sz w:val="20"/>
          <w:szCs w:val="20"/>
        </w:rPr>
        <w:t xml:space="preserve">moment </w:t>
      </w:r>
      <w:r w:rsidR="00C34BA2" w:rsidRPr="00A04C52">
        <w:rPr>
          <w:rFonts w:asciiTheme="majorHAnsi" w:hAnsiTheme="majorHAnsi"/>
          <w:sz w:val="20"/>
          <w:szCs w:val="20"/>
        </w:rPr>
        <w:t xml:space="preserve">of the crime until today, the State has argued that it is a reasonable period of time, given the complexity of the case, the actions of the judicial authorities and the </w:t>
      </w:r>
      <w:r>
        <w:rPr>
          <w:rFonts w:asciiTheme="majorHAnsi" w:hAnsiTheme="majorHAnsi"/>
          <w:sz w:val="20"/>
          <w:szCs w:val="20"/>
        </w:rPr>
        <w:t xml:space="preserve">supposed </w:t>
      </w:r>
      <w:r w:rsidR="00C34BA2" w:rsidRPr="00A04C52">
        <w:rPr>
          <w:rFonts w:asciiTheme="majorHAnsi" w:hAnsiTheme="majorHAnsi"/>
          <w:sz w:val="20"/>
          <w:szCs w:val="20"/>
        </w:rPr>
        <w:t>inactivity of Mr. Gómez</w:t>
      </w:r>
      <w:r w:rsidR="00F4076F">
        <w:rPr>
          <w:rFonts w:asciiTheme="majorHAnsi" w:hAnsiTheme="majorHAnsi"/>
          <w:sz w:val="20"/>
          <w:szCs w:val="20"/>
        </w:rPr>
        <w:t>’s relatives</w:t>
      </w:r>
      <w:r w:rsidR="00C34BA2" w:rsidRPr="00A04C52">
        <w:rPr>
          <w:rFonts w:asciiTheme="majorHAnsi" w:hAnsiTheme="majorHAnsi"/>
          <w:sz w:val="20"/>
          <w:szCs w:val="20"/>
        </w:rPr>
        <w:t xml:space="preserve"> in the </w:t>
      </w:r>
      <w:r>
        <w:rPr>
          <w:rFonts w:asciiTheme="majorHAnsi" w:hAnsiTheme="majorHAnsi"/>
          <w:sz w:val="20"/>
          <w:szCs w:val="20"/>
        </w:rPr>
        <w:t>proceedings</w:t>
      </w:r>
      <w:r w:rsidR="00C34BA2" w:rsidRPr="00A04C52">
        <w:rPr>
          <w:rFonts w:asciiTheme="majorHAnsi" w:hAnsiTheme="majorHAnsi"/>
          <w:sz w:val="20"/>
          <w:szCs w:val="20"/>
        </w:rPr>
        <w:t>. In this regard, the IACHR observes, in the first place, that the investigative actions of the Prosecutor's Office ceased in 1996, and since then the process has been filed and provisionally suspended, without any activity</w:t>
      </w:r>
      <w:r w:rsidR="001B49BB">
        <w:rPr>
          <w:rFonts w:asciiTheme="majorHAnsi" w:hAnsiTheme="majorHAnsi"/>
          <w:sz w:val="20"/>
          <w:szCs w:val="20"/>
        </w:rPr>
        <w:t xml:space="preserve"> </w:t>
      </w:r>
      <w:r w:rsidR="00C34BA2" w:rsidRPr="00A04C52">
        <w:rPr>
          <w:rFonts w:asciiTheme="majorHAnsi" w:hAnsiTheme="majorHAnsi"/>
          <w:sz w:val="20"/>
          <w:szCs w:val="20"/>
        </w:rPr>
        <w:t>tending to complete the investigation and administer justice for the murder of Councilman Gómez</w:t>
      </w:r>
      <w:r w:rsidR="001B49BB" w:rsidRPr="00A04C52">
        <w:rPr>
          <w:rFonts w:asciiTheme="majorHAnsi" w:hAnsiTheme="majorHAnsi"/>
          <w:sz w:val="20"/>
          <w:szCs w:val="20"/>
        </w:rPr>
        <w:t>, as reported by the State itself</w:t>
      </w:r>
      <w:r w:rsidR="00C34BA2" w:rsidRPr="00A04C52">
        <w:rPr>
          <w:rFonts w:asciiTheme="majorHAnsi" w:hAnsiTheme="majorHAnsi"/>
          <w:sz w:val="20"/>
          <w:szCs w:val="20"/>
        </w:rPr>
        <w:t xml:space="preserve">. Secondly, the State has accused the relatives of Mr. Gómez </w:t>
      </w:r>
      <w:r w:rsidR="001B49BB">
        <w:rPr>
          <w:rFonts w:asciiTheme="majorHAnsi" w:hAnsiTheme="majorHAnsi"/>
          <w:sz w:val="20"/>
          <w:szCs w:val="20"/>
        </w:rPr>
        <w:t xml:space="preserve">of </w:t>
      </w:r>
      <w:r w:rsidR="00C34BA2" w:rsidRPr="00A04C52">
        <w:rPr>
          <w:rFonts w:asciiTheme="majorHAnsi" w:hAnsiTheme="majorHAnsi"/>
          <w:sz w:val="20"/>
          <w:szCs w:val="20"/>
        </w:rPr>
        <w:t xml:space="preserve">not </w:t>
      </w:r>
      <w:r w:rsidR="001B49BB">
        <w:rPr>
          <w:rFonts w:asciiTheme="majorHAnsi" w:hAnsiTheme="majorHAnsi"/>
          <w:sz w:val="20"/>
          <w:szCs w:val="20"/>
        </w:rPr>
        <w:t xml:space="preserve">having claimed civil damages within </w:t>
      </w:r>
      <w:r w:rsidR="00C34BA2" w:rsidRPr="00A04C52">
        <w:rPr>
          <w:rFonts w:asciiTheme="majorHAnsi" w:hAnsiTheme="majorHAnsi"/>
          <w:sz w:val="20"/>
          <w:szCs w:val="20"/>
        </w:rPr>
        <w:t xml:space="preserve">the criminal </w:t>
      </w:r>
      <w:r w:rsidR="001B49BB">
        <w:rPr>
          <w:rFonts w:asciiTheme="majorHAnsi" w:hAnsiTheme="majorHAnsi"/>
          <w:sz w:val="20"/>
          <w:szCs w:val="20"/>
        </w:rPr>
        <w:t>proceedings</w:t>
      </w:r>
      <w:r w:rsidR="00C34BA2" w:rsidRPr="00A04C52">
        <w:rPr>
          <w:rFonts w:asciiTheme="majorHAnsi" w:hAnsiTheme="majorHAnsi"/>
          <w:sz w:val="20"/>
          <w:szCs w:val="20"/>
        </w:rPr>
        <w:t xml:space="preserve">, which would </w:t>
      </w:r>
      <w:r w:rsidR="001B49BB">
        <w:rPr>
          <w:rFonts w:asciiTheme="majorHAnsi" w:hAnsiTheme="majorHAnsi"/>
          <w:sz w:val="20"/>
          <w:szCs w:val="20"/>
        </w:rPr>
        <w:t xml:space="preserve">prove their </w:t>
      </w:r>
      <w:r w:rsidR="00C34BA2" w:rsidRPr="00A04C52">
        <w:rPr>
          <w:rFonts w:asciiTheme="majorHAnsi" w:hAnsiTheme="majorHAnsi"/>
          <w:sz w:val="20"/>
          <w:szCs w:val="20"/>
        </w:rPr>
        <w:t xml:space="preserve">lack of </w:t>
      </w:r>
      <w:r w:rsidR="001B49BB">
        <w:rPr>
          <w:rFonts w:asciiTheme="majorHAnsi" w:hAnsiTheme="majorHAnsi"/>
          <w:sz w:val="20"/>
          <w:szCs w:val="20"/>
        </w:rPr>
        <w:t>interest or in</w:t>
      </w:r>
      <w:r w:rsidR="00C34BA2" w:rsidRPr="00A04C52">
        <w:rPr>
          <w:rFonts w:asciiTheme="majorHAnsi" w:hAnsiTheme="majorHAnsi"/>
          <w:sz w:val="20"/>
          <w:szCs w:val="20"/>
        </w:rPr>
        <w:t>activity; however, it is clear under the rules of the criminal procedural legislation in force in Colombia at that time –</w:t>
      </w:r>
      <w:r w:rsidR="001B49BB">
        <w:rPr>
          <w:rFonts w:asciiTheme="majorHAnsi" w:hAnsiTheme="majorHAnsi"/>
          <w:sz w:val="20"/>
          <w:szCs w:val="20"/>
        </w:rPr>
        <w:t>i.e.</w:t>
      </w:r>
      <w:r w:rsidR="00C34BA2" w:rsidRPr="00A04C52">
        <w:rPr>
          <w:rFonts w:asciiTheme="majorHAnsi" w:hAnsiTheme="majorHAnsi"/>
          <w:sz w:val="20"/>
          <w:szCs w:val="20"/>
        </w:rPr>
        <w:t xml:space="preserve"> Decree 2700 of 1991, Code of Criminal Procedure-</w:t>
      </w:r>
      <w:r w:rsidR="001B49BB">
        <w:rPr>
          <w:rFonts w:asciiTheme="majorHAnsi" w:hAnsiTheme="majorHAnsi"/>
          <w:sz w:val="20"/>
          <w:szCs w:val="20"/>
        </w:rPr>
        <w:t xml:space="preserve"> </w:t>
      </w:r>
      <w:r w:rsidR="00C34BA2" w:rsidRPr="00A04C52">
        <w:rPr>
          <w:rFonts w:asciiTheme="majorHAnsi" w:hAnsiTheme="majorHAnsi"/>
          <w:sz w:val="20"/>
          <w:szCs w:val="20"/>
        </w:rPr>
        <w:t xml:space="preserve">that </w:t>
      </w:r>
      <w:r w:rsidR="001B49BB">
        <w:rPr>
          <w:rFonts w:asciiTheme="majorHAnsi" w:hAnsiTheme="majorHAnsi"/>
          <w:sz w:val="20"/>
          <w:szCs w:val="20"/>
        </w:rPr>
        <w:t xml:space="preserve">during the </w:t>
      </w:r>
      <w:r w:rsidR="00C34BA2" w:rsidRPr="00A04C52">
        <w:rPr>
          <w:rFonts w:asciiTheme="majorHAnsi" w:hAnsiTheme="majorHAnsi"/>
          <w:sz w:val="20"/>
          <w:szCs w:val="20"/>
        </w:rPr>
        <w:t>preliminary investigation phase</w:t>
      </w:r>
      <w:r w:rsidR="001B49BB">
        <w:rPr>
          <w:rFonts w:asciiTheme="majorHAnsi" w:hAnsiTheme="majorHAnsi"/>
          <w:sz w:val="20"/>
          <w:szCs w:val="20"/>
        </w:rPr>
        <w:t xml:space="preserve"> it was not possible to claim civil damages</w:t>
      </w:r>
      <w:r w:rsidR="00C34BA2" w:rsidRPr="00A04C52">
        <w:rPr>
          <w:rFonts w:asciiTheme="majorHAnsi" w:hAnsiTheme="majorHAnsi"/>
          <w:sz w:val="20"/>
          <w:szCs w:val="20"/>
        </w:rPr>
        <w:t xml:space="preserve">, </w:t>
      </w:r>
      <w:r w:rsidR="001B49BB">
        <w:rPr>
          <w:rFonts w:asciiTheme="majorHAnsi" w:hAnsiTheme="majorHAnsi"/>
          <w:sz w:val="20"/>
          <w:szCs w:val="20"/>
        </w:rPr>
        <w:t>given that the law expressly established that such civil damages could only be claimed after there was a decision to initiate the criminal investigation</w:t>
      </w:r>
      <w:r w:rsidR="00E44DF9" w:rsidRPr="00A47A32">
        <w:rPr>
          <w:rStyle w:val="FootnoteReference"/>
          <w:rFonts w:asciiTheme="majorHAnsi" w:hAnsiTheme="majorHAnsi"/>
          <w:sz w:val="20"/>
          <w:szCs w:val="20"/>
          <w:lang w:val="es-ES_tradnl" w:eastAsia="es-CO"/>
        </w:rPr>
        <w:footnoteReference w:id="9"/>
      </w:r>
      <w:r w:rsidR="00C34BA2" w:rsidRPr="00A04C52">
        <w:rPr>
          <w:rFonts w:asciiTheme="majorHAnsi" w:hAnsiTheme="majorHAnsi"/>
          <w:sz w:val="20"/>
          <w:szCs w:val="20"/>
        </w:rPr>
        <w:t xml:space="preserve">, and </w:t>
      </w:r>
      <w:r w:rsidR="001B49BB">
        <w:rPr>
          <w:rFonts w:asciiTheme="majorHAnsi" w:hAnsiTheme="majorHAnsi"/>
          <w:sz w:val="20"/>
          <w:szCs w:val="20"/>
        </w:rPr>
        <w:t xml:space="preserve">such a </w:t>
      </w:r>
      <w:r w:rsidR="00C34BA2" w:rsidRPr="00A04C52">
        <w:rPr>
          <w:rFonts w:asciiTheme="majorHAnsi" w:hAnsiTheme="majorHAnsi"/>
          <w:sz w:val="20"/>
          <w:szCs w:val="20"/>
        </w:rPr>
        <w:t xml:space="preserve">decision to open the criminal investigation </w:t>
      </w:r>
      <w:r w:rsidR="001B49BB">
        <w:rPr>
          <w:rFonts w:asciiTheme="majorHAnsi" w:hAnsiTheme="majorHAnsi"/>
          <w:sz w:val="20"/>
          <w:szCs w:val="20"/>
        </w:rPr>
        <w:t xml:space="preserve">actually finalized </w:t>
      </w:r>
      <w:r w:rsidR="00C34BA2" w:rsidRPr="00A04C52">
        <w:rPr>
          <w:rFonts w:asciiTheme="majorHAnsi" w:hAnsiTheme="majorHAnsi"/>
          <w:sz w:val="20"/>
          <w:szCs w:val="20"/>
        </w:rPr>
        <w:t>the preliminary investigation phase</w:t>
      </w:r>
      <w:r w:rsidR="00E44DF9" w:rsidRPr="00A47A32">
        <w:rPr>
          <w:rStyle w:val="FootnoteReference"/>
          <w:rFonts w:asciiTheme="majorHAnsi" w:hAnsiTheme="majorHAnsi"/>
          <w:sz w:val="20"/>
          <w:szCs w:val="20"/>
          <w:lang w:val="es-ES_tradnl" w:eastAsia="es-CO"/>
        </w:rPr>
        <w:footnoteReference w:id="10"/>
      </w:r>
      <w:r w:rsidR="00C34BA2" w:rsidRPr="00A04C52">
        <w:rPr>
          <w:rFonts w:asciiTheme="majorHAnsi" w:hAnsiTheme="majorHAnsi"/>
          <w:sz w:val="20"/>
          <w:szCs w:val="20"/>
        </w:rPr>
        <w:t xml:space="preserve">. In other words, it was legally impossible for the relatives of Mr. Gómez to </w:t>
      </w:r>
      <w:r w:rsidR="001B49BB">
        <w:rPr>
          <w:rFonts w:asciiTheme="majorHAnsi" w:hAnsiTheme="majorHAnsi"/>
          <w:sz w:val="20"/>
          <w:szCs w:val="20"/>
        </w:rPr>
        <w:t xml:space="preserve">claim </w:t>
      </w:r>
      <w:r w:rsidR="00C34BA2" w:rsidRPr="00A04C52">
        <w:rPr>
          <w:rFonts w:asciiTheme="majorHAnsi" w:hAnsiTheme="majorHAnsi"/>
          <w:sz w:val="20"/>
          <w:szCs w:val="20"/>
        </w:rPr>
        <w:t xml:space="preserve">civil </w:t>
      </w:r>
      <w:r w:rsidR="001B49BB">
        <w:rPr>
          <w:rFonts w:asciiTheme="majorHAnsi" w:hAnsiTheme="majorHAnsi"/>
          <w:sz w:val="20"/>
          <w:szCs w:val="20"/>
        </w:rPr>
        <w:t xml:space="preserve">damages </w:t>
      </w:r>
      <w:r w:rsidR="00C34BA2" w:rsidRPr="00A04C52">
        <w:rPr>
          <w:rFonts w:asciiTheme="majorHAnsi" w:hAnsiTheme="majorHAnsi"/>
          <w:sz w:val="20"/>
          <w:szCs w:val="20"/>
        </w:rPr>
        <w:t xml:space="preserve">in the criminal </w:t>
      </w:r>
      <w:r w:rsidR="001B49BB">
        <w:rPr>
          <w:rFonts w:asciiTheme="majorHAnsi" w:hAnsiTheme="majorHAnsi"/>
          <w:sz w:val="20"/>
          <w:szCs w:val="20"/>
        </w:rPr>
        <w:t xml:space="preserve">procedure </w:t>
      </w:r>
      <w:r w:rsidR="00C34BA2" w:rsidRPr="00A04C52">
        <w:rPr>
          <w:rFonts w:asciiTheme="majorHAnsi" w:hAnsiTheme="majorHAnsi"/>
          <w:sz w:val="20"/>
          <w:szCs w:val="20"/>
        </w:rPr>
        <w:t xml:space="preserve">initiated </w:t>
      </w:r>
      <w:r w:rsidR="001B49BB">
        <w:rPr>
          <w:rFonts w:asciiTheme="majorHAnsi" w:hAnsiTheme="majorHAnsi"/>
          <w:sz w:val="20"/>
          <w:szCs w:val="20"/>
        </w:rPr>
        <w:t xml:space="preserve">in relation to </w:t>
      </w:r>
      <w:r w:rsidR="00C34BA2" w:rsidRPr="00A04C52">
        <w:rPr>
          <w:rFonts w:asciiTheme="majorHAnsi" w:hAnsiTheme="majorHAnsi"/>
          <w:sz w:val="20"/>
          <w:szCs w:val="20"/>
        </w:rPr>
        <w:t xml:space="preserve">his murder, since </w:t>
      </w:r>
      <w:r w:rsidR="001B49BB">
        <w:rPr>
          <w:rFonts w:asciiTheme="majorHAnsi" w:hAnsiTheme="majorHAnsi"/>
          <w:sz w:val="20"/>
          <w:szCs w:val="20"/>
        </w:rPr>
        <w:t xml:space="preserve">those proceedings </w:t>
      </w:r>
      <w:r w:rsidR="00C34BA2" w:rsidRPr="00A04C52">
        <w:rPr>
          <w:rFonts w:asciiTheme="majorHAnsi" w:hAnsiTheme="majorHAnsi"/>
          <w:sz w:val="20"/>
          <w:szCs w:val="20"/>
        </w:rPr>
        <w:t xml:space="preserve">did not advance beyond the </w:t>
      </w:r>
      <w:r w:rsidR="001B49BB">
        <w:rPr>
          <w:rFonts w:asciiTheme="majorHAnsi" w:hAnsiTheme="majorHAnsi"/>
          <w:sz w:val="20"/>
          <w:szCs w:val="20"/>
        </w:rPr>
        <w:t xml:space="preserve">preliminary </w:t>
      </w:r>
      <w:r w:rsidR="00C34BA2" w:rsidRPr="00A04C52">
        <w:rPr>
          <w:rFonts w:asciiTheme="majorHAnsi" w:hAnsiTheme="majorHAnsi"/>
          <w:sz w:val="20"/>
          <w:szCs w:val="20"/>
        </w:rPr>
        <w:t>investigation</w:t>
      </w:r>
      <w:r w:rsidR="001B49BB">
        <w:rPr>
          <w:rFonts w:asciiTheme="majorHAnsi" w:hAnsiTheme="majorHAnsi"/>
          <w:sz w:val="20"/>
          <w:szCs w:val="20"/>
        </w:rPr>
        <w:t xml:space="preserve"> phase</w:t>
      </w:r>
      <w:r w:rsidR="00C34BA2" w:rsidRPr="00A04C52">
        <w:rPr>
          <w:rFonts w:asciiTheme="majorHAnsi" w:hAnsiTheme="majorHAnsi"/>
          <w:sz w:val="20"/>
          <w:szCs w:val="20"/>
        </w:rPr>
        <w:t xml:space="preserve">. Third, the State has not explained why an investigation into a homicide </w:t>
      </w:r>
      <w:r w:rsidR="001B49BB">
        <w:rPr>
          <w:rFonts w:asciiTheme="majorHAnsi" w:hAnsiTheme="majorHAnsi"/>
          <w:sz w:val="20"/>
          <w:szCs w:val="20"/>
        </w:rPr>
        <w:t xml:space="preserve">in relation to </w:t>
      </w:r>
      <w:r w:rsidR="00C34BA2" w:rsidRPr="00A04C52">
        <w:rPr>
          <w:rFonts w:asciiTheme="majorHAnsi" w:hAnsiTheme="majorHAnsi"/>
          <w:sz w:val="20"/>
          <w:szCs w:val="20"/>
        </w:rPr>
        <w:t xml:space="preserve">which there are strong indications of its </w:t>
      </w:r>
      <w:r w:rsidR="001B49BB">
        <w:rPr>
          <w:rFonts w:asciiTheme="majorHAnsi" w:hAnsiTheme="majorHAnsi"/>
          <w:sz w:val="20"/>
          <w:szCs w:val="20"/>
        </w:rPr>
        <w:t xml:space="preserve">perpetration by members of the </w:t>
      </w:r>
      <w:r w:rsidR="00C34BA2" w:rsidRPr="00A04C52">
        <w:rPr>
          <w:rFonts w:asciiTheme="majorHAnsi" w:hAnsiTheme="majorHAnsi"/>
          <w:sz w:val="20"/>
          <w:szCs w:val="20"/>
        </w:rPr>
        <w:t xml:space="preserve">ELN guerrilla, </w:t>
      </w:r>
      <w:r w:rsidR="001B49BB">
        <w:rPr>
          <w:rFonts w:asciiTheme="majorHAnsi" w:hAnsiTheme="majorHAnsi"/>
          <w:sz w:val="20"/>
          <w:szCs w:val="20"/>
        </w:rPr>
        <w:t xml:space="preserve">and which was committed </w:t>
      </w:r>
      <w:r w:rsidR="00C34BA2" w:rsidRPr="00A04C52">
        <w:rPr>
          <w:rFonts w:asciiTheme="majorHAnsi" w:hAnsiTheme="majorHAnsi"/>
          <w:sz w:val="20"/>
          <w:szCs w:val="20"/>
        </w:rPr>
        <w:t xml:space="preserve">in an area of ​​the country </w:t>
      </w:r>
      <w:r w:rsidR="001B49BB">
        <w:rPr>
          <w:rFonts w:asciiTheme="majorHAnsi" w:hAnsiTheme="majorHAnsi"/>
          <w:sz w:val="20"/>
          <w:szCs w:val="20"/>
        </w:rPr>
        <w:t xml:space="preserve">where said </w:t>
      </w:r>
      <w:r w:rsidR="00C34BA2" w:rsidRPr="00A04C52">
        <w:rPr>
          <w:rFonts w:asciiTheme="majorHAnsi" w:hAnsiTheme="majorHAnsi"/>
          <w:sz w:val="20"/>
          <w:szCs w:val="20"/>
        </w:rPr>
        <w:t>guerrilla</w:t>
      </w:r>
      <w:r w:rsidR="001B49BB">
        <w:rPr>
          <w:rFonts w:asciiTheme="majorHAnsi" w:hAnsiTheme="majorHAnsi"/>
          <w:sz w:val="20"/>
          <w:szCs w:val="20"/>
        </w:rPr>
        <w:t xml:space="preserve"> was criminally active</w:t>
      </w:r>
      <w:r w:rsidR="00C34BA2" w:rsidRPr="00A04C52">
        <w:rPr>
          <w:rFonts w:asciiTheme="majorHAnsi" w:hAnsiTheme="majorHAnsi"/>
          <w:sz w:val="20"/>
          <w:szCs w:val="20"/>
        </w:rPr>
        <w:t xml:space="preserve">, </w:t>
      </w:r>
      <w:r w:rsidR="001B49BB">
        <w:rPr>
          <w:rFonts w:asciiTheme="majorHAnsi" w:hAnsiTheme="majorHAnsi"/>
          <w:sz w:val="20"/>
          <w:szCs w:val="20"/>
        </w:rPr>
        <w:t xml:space="preserve">would be </w:t>
      </w:r>
      <w:r w:rsidR="00C34BA2" w:rsidRPr="00A04C52">
        <w:rPr>
          <w:rFonts w:asciiTheme="majorHAnsi" w:hAnsiTheme="majorHAnsi"/>
          <w:sz w:val="20"/>
          <w:szCs w:val="20"/>
        </w:rPr>
        <w:t xml:space="preserve">particularly complex. This conclusion is </w:t>
      </w:r>
      <w:r w:rsidR="001B49BB">
        <w:rPr>
          <w:rFonts w:asciiTheme="majorHAnsi" w:hAnsiTheme="majorHAnsi"/>
          <w:sz w:val="20"/>
          <w:szCs w:val="20"/>
        </w:rPr>
        <w:t xml:space="preserve">reached </w:t>
      </w:r>
      <w:r w:rsidR="00C34BA2" w:rsidRPr="00A04C52">
        <w:rPr>
          <w:rFonts w:asciiTheme="majorHAnsi" w:hAnsiTheme="majorHAnsi"/>
          <w:sz w:val="20"/>
          <w:szCs w:val="20"/>
        </w:rPr>
        <w:t xml:space="preserve">without prejudice to </w:t>
      </w:r>
      <w:r w:rsidR="001B49BB">
        <w:rPr>
          <w:rFonts w:asciiTheme="majorHAnsi" w:hAnsiTheme="majorHAnsi"/>
          <w:sz w:val="20"/>
          <w:szCs w:val="20"/>
        </w:rPr>
        <w:t xml:space="preserve">any findings </w:t>
      </w:r>
      <w:r w:rsidR="00F4076F">
        <w:rPr>
          <w:rFonts w:asciiTheme="majorHAnsi" w:hAnsiTheme="majorHAnsi"/>
          <w:sz w:val="20"/>
          <w:szCs w:val="20"/>
        </w:rPr>
        <w:t xml:space="preserve">that may be </w:t>
      </w:r>
      <w:r w:rsidR="001B49BB">
        <w:rPr>
          <w:rFonts w:asciiTheme="majorHAnsi" w:hAnsiTheme="majorHAnsi"/>
          <w:sz w:val="20"/>
          <w:szCs w:val="20"/>
        </w:rPr>
        <w:t xml:space="preserve">made during </w:t>
      </w:r>
      <w:r w:rsidR="00C34BA2" w:rsidRPr="00A04C52">
        <w:rPr>
          <w:rFonts w:asciiTheme="majorHAnsi" w:hAnsiTheme="majorHAnsi"/>
          <w:sz w:val="20"/>
          <w:szCs w:val="20"/>
        </w:rPr>
        <w:t>the merits stage of the present procedure.</w:t>
      </w:r>
    </w:p>
    <w:p w14:paraId="003CC825" w14:textId="0163D18D" w:rsidR="00A14AAA" w:rsidRPr="001B49BB" w:rsidRDefault="001B49BB"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10. </w:t>
      </w:r>
      <w:r w:rsidR="00A14AAA" w:rsidRPr="001B49BB">
        <w:rPr>
          <w:rFonts w:asciiTheme="majorHAnsi" w:hAnsiTheme="majorHAnsi"/>
          <w:sz w:val="20"/>
          <w:szCs w:val="20"/>
        </w:rPr>
        <w:t xml:space="preserve">Thus, taking into account that the murder of Mr. Gómez was </w:t>
      </w:r>
      <w:r>
        <w:rPr>
          <w:rFonts w:asciiTheme="majorHAnsi" w:hAnsiTheme="majorHAnsi"/>
          <w:sz w:val="20"/>
          <w:szCs w:val="20"/>
        </w:rPr>
        <w:t xml:space="preserve">perpetrated </w:t>
      </w:r>
      <w:r w:rsidR="00A14AAA" w:rsidRPr="001B49BB">
        <w:rPr>
          <w:rFonts w:asciiTheme="majorHAnsi" w:hAnsiTheme="majorHAnsi"/>
          <w:sz w:val="20"/>
          <w:szCs w:val="20"/>
        </w:rPr>
        <w:t xml:space="preserve">in February 1994, that the criminal investigation was suspended and </w:t>
      </w:r>
      <w:r>
        <w:rPr>
          <w:rFonts w:asciiTheme="majorHAnsi" w:hAnsiTheme="majorHAnsi"/>
          <w:sz w:val="20"/>
          <w:szCs w:val="20"/>
        </w:rPr>
        <w:t xml:space="preserve">filed </w:t>
      </w:r>
      <w:r w:rsidR="00A14AAA" w:rsidRPr="001B49BB">
        <w:rPr>
          <w:rFonts w:asciiTheme="majorHAnsi" w:hAnsiTheme="majorHAnsi"/>
          <w:sz w:val="20"/>
          <w:szCs w:val="20"/>
        </w:rPr>
        <w:t xml:space="preserve">in 1996, and that the effects of the impunity of the case have </w:t>
      </w:r>
      <w:r>
        <w:rPr>
          <w:rFonts w:asciiTheme="majorHAnsi" w:hAnsiTheme="majorHAnsi"/>
          <w:sz w:val="20"/>
          <w:szCs w:val="20"/>
        </w:rPr>
        <w:t xml:space="preserve">continued </w:t>
      </w:r>
      <w:r w:rsidR="00A14AAA" w:rsidRPr="001B49BB">
        <w:rPr>
          <w:rFonts w:asciiTheme="majorHAnsi" w:hAnsiTheme="majorHAnsi"/>
          <w:sz w:val="20"/>
          <w:szCs w:val="20"/>
        </w:rPr>
        <w:t xml:space="preserve">to date, the IACHR considers that the petition was presented within a reasonable time </w:t>
      </w:r>
      <w:r>
        <w:rPr>
          <w:rFonts w:asciiTheme="majorHAnsi" w:hAnsiTheme="majorHAnsi"/>
          <w:sz w:val="20"/>
          <w:szCs w:val="20"/>
        </w:rPr>
        <w:t xml:space="preserve">in </w:t>
      </w:r>
      <w:r w:rsidR="00A14AAA" w:rsidRPr="001B49BB">
        <w:rPr>
          <w:rFonts w:asciiTheme="majorHAnsi" w:hAnsiTheme="majorHAnsi"/>
          <w:sz w:val="20"/>
          <w:szCs w:val="20"/>
        </w:rPr>
        <w:t xml:space="preserve">the terms of Article 32.2 of the </w:t>
      </w:r>
      <w:r>
        <w:rPr>
          <w:rFonts w:asciiTheme="majorHAnsi" w:hAnsiTheme="majorHAnsi"/>
          <w:sz w:val="20"/>
          <w:szCs w:val="20"/>
        </w:rPr>
        <w:t>Rules of Procedure</w:t>
      </w:r>
      <w:r w:rsidR="00A14AAA" w:rsidRPr="001B49BB">
        <w:rPr>
          <w:rFonts w:asciiTheme="majorHAnsi" w:hAnsiTheme="majorHAnsi"/>
          <w:sz w:val="20"/>
          <w:szCs w:val="20"/>
        </w:rPr>
        <w:t>.</w:t>
      </w:r>
    </w:p>
    <w:p w14:paraId="70146B96" w14:textId="3876113E" w:rsidR="00F621C3" w:rsidRPr="000B5E02" w:rsidRDefault="00493C6C" w:rsidP="000B5E02">
      <w:pPr>
        <w:spacing w:before="240" w:after="240"/>
        <w:jc w:val="both"/>
        <w:rPr>
          <w:rFonts w:asciiTheme="majorHAnsi" w:hAnsiTheme="majorHAnsi"/>
          <w:b/>
          <w:bCs/>
          <w:sz w:val="20"/>
          <w:szCs w:val="20"/>
        </w:rPr>
      </w:pPr>
      <w:r>
        <w:rPr>
          <w:rFonts w:asciiTheme="majorHAnsi" w:hAnsiTheme="majorHAnsi"/>
          <w:b/>
          <w:bCs/>
          <w:sz w:val="20"/>
          <w:szCs w:val="20"/>
        </w:rPr>
        <w:tab/>
      </w:r>
      <w:r w:rsidR="00F621C3" w:rsidRPr="000B5E02">
        <w:rPr>
          <w:rFonts w:asciiTheme="majorHAnsi" w:hAnsiTheme="majorHAnsi"/>
          <w:b/>
          <w:bCs/>
          <w:sz w:val="20"/>
          <w:szCs w:val="20"/>
        </w:rPr>
        <w:t>VII.</w:t>
      </w:r>
      <w:r w:rsidR="00F621C3" w:rsidRPr="000B5E02">
        <w:rPr>
          <w:rFonts w:asciiTheme="majorHAnsi" w:hAnsiTheme="majorHAnsi"/>
          <w:b/>
          <w:bCs/>
          <w:sz w:val="20"/>
          <w:szCs w:val="20"/>
        </w:rPr>
        <w:tab/>
      </w:r>
      <w:r w:rsidR="001F1902" w:rsidRPr="000B5E02">
        <w:rPr>
          <w:rFonts w:asciiTheme="majorHAnsi" w:hAnsiTheme="majorHAnsi"/>
          <w:b/>
          <w:bCs/>
          <w:sz w:val="20"/>
          <w:szCs w:val="20"/>
        </w:rPr>
        <w:t xml:space="preserve">ANALYSIS OF </w:t>
      </w:r>
      <w:r w:rsidR="00F621C3" w:rsidRPr="000B5E02">
        <w:rPr>
          <w:rFonts w:asciiTheme="majorHAnsi" w:hAnsiTheme="majorHAnsi"/>
          <w:b/>
          <w:bCs/>
          <w:sz w:val="20"/>
          <w:szCs w:val="20"/>
        </w:rPr>
        <w:t>COLORABLE CLAIM</w:t>
      </w:r>
    </w:p>
    <w:p w14:paraId="6EEE92F2" w14:textId="77777777" w:rsidR="00F57B59" w:rsidRDefault="001B49BB"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11. </w:t>
      </w:r>
      <w:r w:rsidR="00A14AAA" w:rsidRPr="001B49BB">
        <w:rPr>
          <w:rFonts w:asciiTheme="majorHAnsi" w:hAnsiTheme="majorHAnsi"/>
          <w:sz w:val="20"/>
          <w:szCs w:val="20"/>
        </w:rPr>
        <w:t>First</w:t>
      </w:r>
      <w:r>
        <w:rPr>
          <w:rFonts w:asciiTheme="majorHAnsi" w:hAnsiTheme="majorHAnsi"/>
          <w:sz w:val="20"/>
          <w:szCs w:val="20"/>
        </w:rPr>
        <w:t>ly</w:t>
      </w:r>
      <w:r w:rsidR="00A14AAA" w:rsidRPr="001B49BB">
        <w:rPr>
          <w:rFonts w:asciiTheme="majorHAnsi" w:hAnsiTheme="majorHAnsi"/>
          <w:sz w:val="20"/>
          <w:szCs w:val="20"/>
        </w:rPr>
        <w:t xml:space="preserve">, </w:t>
      </w:r>
      <w:r>
        <w:rPr>
          <w:rFonts w:asciiTheme="majorHAnsi" w:hAnsiTheme="majorHAnsi"/>
          <w:sz w:val="20"/>
          <w:szCs w:val="20"/>
        </w:rPr>
        <w:t xml:space="preserve">concerning </w:t>
      </w:r>
      <w:r w:rsidR="00A14AAA" w:rsidRPr="001B49BB">
        <w:rPr>
          <w:rFonts w:asciiTheme="majorHAnsi" w:hAnsiTheme="majorHAnsi"/>
          <w:sz w:val="20"/>
          <w:szCs w:val="20"/>
        </w:rPr>
        <w:t xml:space="preserve">the "fourth instance" argument presented by the State, the Commission reiterates that within </w:t>
      </w:r>
      <w:r w:rsidR="00F57B59">
        <w:rPr>
          <w:rFonts w:asciiTheme="majorHAnsi" w:hAnsiTheme="majorHAnsi"/>
          <w:sz w:val="20"/>
          <w:szCs w:val="20"/>
        </w:rPr>
        <w:t xml:space="preserve">the framework of </w:t>
      </w:r>
      <w:r w:rsidR="00A14AAA" w:rsidRPr="001B49BB">
        <w:rPr>
          <w:rFonts w:asciiTheme="majorHAnsi" w:hAnsiTheme="majorHAnsi"/>
          <w:sz w:val="20"/>
          <w:szCs w:val="20"/>
        </w:rPr>
        <w:t xml:space="preserve">its mandate it is competent to declare a petition admissible when it refers to internal </w:t>
      </w:r>
      <w:r w:rsidR="00F57B59">
        <w:rPr>
          <w:rFonts w:asciiTheme="majorHAnsi" w:hAnsiTheme="majorHAnsi"/>
          <w:sz w:val="20"/>
          <w:szCs w:val="20"/>
        </w:rPr>
        <w:t xml:space="preserve">proceedings </w:t>
      </w:r>
      <w:r w:rsidR="00A14AAA" w:rsidRPr="001B49BB">
        <w:rPr>
          <w:rFonts w:asciiTheme="majorHAnsi" w:hAnsiTheme="majorHAnsi"/>
          <w:sz w:val="20"/>
          <w:szCs w:val="20"/>
        </w:rPr>
        <w:t xml:space="preserve">that </w:t>
      </w:r>
      <w:r w:rsidR="00F57B59">
        <w:rPr>
          <w:rFonts w:asciiTheme="majorHAnsi" w:hAnsiTheme="majorHAnsi"/>
          <w:sz w:val="20"/>
          <w:szCs w:val="20"/>
        </w:rPr>
        <w:t xml:space="preserve">may have </w:t>
      </w:r>
      <w:r w:rsidR="00A14AAA" w:rsidRPr="001B49BB">
        <w:rPr>
          <w:rFonts w:asciiTheme="majorHAnsi" w:hAnsiTheme="majorHAnsi"/>
          <w:sz w:val="20"/>
          <w:szCs w:val="20"/>
        </w:rPr>
        <w:t>violate</w:t>
      </w:r>
      <w:r w:rsidR="00F57B59">
        <w:rPr>
          <w:rFonts w:asciiTheme="majorHAnsi" w:hAnsiTheme="majorHAnsi"/>
          <w:sz w:val="20"/>
          <w:szCs w:val="20"/>
        </w:rPr>
        <w:t>d</w:t>
      </w:r>
      <w:r w:rsidR="00A14AAA" w:rsidRPr="001B49BB">
        <w:rPr>
          <w:rFonts w:asciiTheme="majorHAnsi" w:hAnsiTheme="majorHAnsi"/>
          <w:sz w:val="20"/>
          <w:szCs w:val="20"/>
        </w:rPr>
        <w:t xml:space="preserve"> rights guaranteed by the American Convention. In this sense, it is </w:t>
      </w:r>
      <w:r w:rsidR="00A14AAA" w:rsidRPr="00493C6C">
        <w:rPr>
          <w:rFonts w:asciiTheme="majorHAnsi" w:hAnsiTheme="majorHAnsi"/>
          <w:sz w:val="20"/>
          <w:szCs w:val="20"/>
        </w:rPr>
        <w:t>prima facie</w:t>
      </w:r>
      <w:r w:rsidR="00A14AAA" w:rsidRPr="001B49BB">
        <w:rPr>
          <w:rFonts w:asciiTheme="majorHAnsi" w:hAnsiTheme="majorHAnsi"/>
          <w:sz w:val="20"/>
          <w:szCs w:val="20"/>
        </w:rPr>
        <w:t xml:space="preserve"> observed that the petition has clearly raised possible violations of </w:t>
      </w:r>
      <w:r w:rsidR="00F57B59">
        <w:rPr>
          <w:rFonts w:asciiTheme="majorHAnsi" w:hAnsiTheme="majorHAnsi"/>
          <w:sz w:val="20"/>
          <w:szCs w:val="20"/>
        </w:rPr>
        <w:t xml:space="preserve">several </w:t>
      </w:r>
      <w:r w:rsidR="00A14AAA" w:rsidRPr="001B49BB">
        <w:rPr>
          <w:rFonts w:asciiTheme="majorHAnsi" w:hAnsiTheme="majorHAnsi"/>
          <w:sz w:val="20"/>
          <w:szCs w:val="20"/>
        </w:rPr>
        <w:t xml:space="preserve">human rights protected in the American Convention, derived both from the </w:t>
      </w:r>
      <w:r w:rsidR="00F57B59">
        <w:rPr>
          <w:rFonts w:asciiTheme="majorHAnsi" w:hAnsiTheme="majorHAnsi"/>
          <w:sz w:val="20"/>
          <w:szCs w:val="20"/>
        </w:rPr>
        <w:t>S</w:t>
      </w:r>
      <w:r w:rsidR="00A14AAA" w:rsidRPr="001B49BB">
        <w:rPr>
          <w:rFonts w:asciiTheme="majorHAnsi" w:hAnsiTheme="majorHAnsi"/>
          <w:sz w:val="20"/>
          <w:szCs w:val="20"/>
        </w:rPr>
        <w:t>tate</w:t>
      </w:r>
      <w:r w:rsidR="00F57B59">
        <w:rPr>
          <w:rFonts w:asciiTheme="majorHAnsi" w:hAnsiTheme="majorHAnsi"/>
          <w:sz w:val="20"/>
          <w:szCs w:val="20"/>
        </w:rPr>
        <w:t xml:space="preserve">’s failure to protect </w:t>
      </w:r>
      <w:r w:rsidR="00A14AAA" w:rsidRPr="001B49BB">
        <w:rPr>
          <w:rFonts w:asciiTheme="majorHAnsi" w:hAnsiTheme="majorHAnsi"/>
          <w:sz w:val="20"/>
          <w:szCs w:val="20"/>
        </w:rPr>
        <w:t>Mr. Gómez</w:t>
      </w:r>
      <w:r w:rsidR="00F57B59">
        <w:rPr>
          <w:rFonts w:asciiTheme="majorHAnsi" w:hAnsiTheme="majorHAnsi"/>
          <w:sz w:val="20"/>
          <w:szCs w:val="20"/>
        </w:rPr>
        <w:t xml:space="preserve"> which allegedly facilitated his murder</w:t>
      </w:r>
      <w:r w:rsidR="00A14AAA" w:rsidRPr="001B49BB">
        <w:rPr>
          <w:rFonts w:asciiTheme="majorHAnsi" w:hAnsiTheme="majorHAnsi"/>
          <w:sz w:val="20"/>
          <w:szCs w:val="20"/>
        </w:rPr>
        <w:t xml:space="preserve">, and from </w:t>
      </w:r>
      <w:r w:rsidR="00F57B59">
        <w:rPr>
          <w:rFonts w:asciiTheme="majorHAnsi" w:hAnsiTheme="majorHAnsi"/>
          <w:sz w:val="20"/>
          <w:szCs w:val="20"/>
        </w:rPr>
        <w:t xml:space="preserve">the </w:t>
      </w:r>
      <w:r w:rsidR="00A14AAA" w:rsidRPr="001B49BB">
        <w:rPr>
          <w:rFonts w:asciiTheme="majorHAnsi" w:hAnsiTheme="majorHAnsi"/>
          <w:sz w:val="20"/>
          <w:szCs w:val="20"/>
        </w:rPr>
        <w:t xml:space="preserve">impunity </w:t>
      </w:r>
      <w:r w:rsidR="00F57B59">
        <w:rPr>
          <w:rFonts w:asciiTheme="majorHAnsi" w:hAnsiTheme="majorHAnsi"/>
          <w:sz w:val="20"/>
          <w:szCs w:val="20"/>
        </w:rPr>
        <w:t>which currently surrounds the case</w:t>
      </w:r>
      <w:r w:rsidR="00A14AAA" w:rsidRPr="001B49BB">
        <w:rPr>
          <w:rFonts w:asciiTheme="majorHAnsi" w:hAnsiTheme="majorHAnsi"/>
          <w:sz w:val="20"/>
          <w:szCs w:val="20"/>
        </w:rPr>
        <w:t xml:space="preserve">, </w:t>
      </w:r>
      <w:r w:rsidR="00F57B59">
        <w:rPr>
          <w:rFonts w:asciiTheme="majorHAnsi" w:hAnsiTheme="majorHAnsi"/>
          <w:sz w:val="20"/>
          <w:szCs w:val="20"/>
        </w:rPr>
        <w:t xml:space="preserve">as well as from </w:t>
      </w:r>
      <w:r w:rsidR="00A14AAA" w:rsidRPr="001B49BB">
        <w:rPr>
          <w:rFonts w:asciiTheme="majorHAnsi" w:hAnsiTheme="majorHAnsi"/>
          <w:sz w:val="20"/>
          <w:szCs w:val="20"/>
        </w:rPr>
        <w:t>the lack of State support for the relatives of the fatal victim.</w:t>
      </w:r>
    </w:p>
    <w:p w14:paraId="60BD21C9" w14:textId="77777777" w:rsidR="00F57B59" w:rsidRDefault="00F57B59" w:rsidP="00493C6C">
      <w:pPr>
        <w:spacing w:before="240" w:after="240"/>
        <w:ind w:firstLine="720"/>
        <w:jc w:val="both"/>
        <w:rPr>
          <w:rFonts w:asciiTheme="majorHAnsi" w:hAnsiTheme="majorHAnsi"/>
          <w:sz w:val="20"/>
          <w:szCs w:val="20"/>
        </w:rPr>
      </w:pPr>
      <w:r>
        <w:rPr>
          <w:rFonts w:asciiTheme="majorHAnsi" w:hAnsiTheme="majorHAnsi"/>
          <w:sz w:val="20"/>
          <w:szCs w:val="20"/>
        </w:rPr>
        <w:lastRenderedPageBreak/>
        <w:t xml:space="preserve">12. </w:t>
      </w:r>
      <w:r w:rsidR="0028259C" w:rsidRPr="00F57B59">
        <w:rPr>
          <w:rFonts w:asciiTheme="majorHAnsi" w:hAnsiTheme="majorHAnsi"/>
          <w:sz w:val="20"/>
          <w:szCs w:val="20"/>
        </w:rPr>
        <w:t xml:space="preserve">Likewise, in the case under examination it is clear that there is still no </w:t>
      </w:r>
      <w:r>
        <w:rPr>
          <w:rFonts w:asciiTheme="majorHAnsi" w:hAnsiTheme="majorHAnsi"/>
          <w:sz w:val="20"/>
          <w:szCs w:val="20"/>
        </w:rPr>
        <w:t>judgment</w:t>
      </w:r>
      <w:r w:rsidR="0028259C" w:rsidRPr="00F57B59">
        <w:rPr>
          <w:rFonts w:asciiTheme="majorHAnsi" w:hAnsiTheme="majorHAnsi"/>
          <w:sz w:val="20"/>
          <w:szCs w:val="20"/>
        </w:rPr>
        <w:t xml:space="preserve"> in the </w:t>
      </w:r>
      <w:r>
        <w:rPr>
          <w:rFonts w:asciiTheme="majorHAnsi" w:hAnsiTheme="majorHAnsi"/>
          <w:sz w:val="20"/>
          <w:szCs w:val="20"/>
        </w:rPr>
        <w:t xml:space="preserve">criminal proceedings surrounding the </w:t>
      </w:r>
      <w:r w:rsidR="0028259C" w:rsidRPr="00F57B59">
        <w:rPr>
          <w:rFonts w:asciiTheme="majorHAnsi" w:hAnsiTheme="majorHAnsi"/>
          <w:sz w:val="20"/>
          <w:szCs w:val="20"/>
        </w:rPr>
        <w:t xml:space="preserve">murder of Gustavo Emilio Gómez. There is a </w:t>
      </w:r>
      <w:r>
        <w:rPr>
          <w:rFonts w:asciiTheme="majorHAnsi" w:hAnsiTheme="majorHAnsi"/>
          <w:sz w:val="20"/>
          <w:szCs w:val="20"/>
        </w:rPr>
        <w:t xml:space="preserve">decision to </w:t>
      </w:r>
      <w:r w:rsidR="0028259C" w:rsidRPr="00F57B59">
        <w:rPr>
          <w:rFonts w:asciiTheme="majorHAnsi" w:hAnsiTheme="majorHAnsi"/>
          <w:sz w:val="20"/>
          <w:szCs w:val="20"/>
        </w:rPr>
        <w:t>provisional</w:t>
      </w:r>
      <w:r>
        <w:rPr>
          <w:rFonts w:asciiTheme="majorHAnsi" w:hAnsiTheme="majorHAnsi"/>
          <w:sz w:val="20"/>
          <w:szCs w:val="20"/>
        </w:rPr>
        <w:t>ly</w:t>
      </w:r>
      <w:r w:rsidR="0028259C" w:rsidRPr="00F57B59">
        <w:rPr>
          <w:rFonts w:asciiTheme="majorHAnsi" w:hAnsiTheme="majorHAnsi"/>
          <w:sz w:val="20"/>
          <w:szCs w:val="20"/>
        </w:rPr>
        <w:t xml:space="preserve"> </w:t>
      </w:r>
      <w:r>
        <w:rPr>
          <w:rFonts w:asciiTheme="majorHAnsi" w:hAnsiTheme="majorHAnsi"/>
          <w:sz w:val="20"/>
          <w:szCs w:val="20"/>
        </w:rPr>
        <w:t xml:space="preserve">suspend and file the preliminary </w:t>
      </w:r>
      <w:r w:rsidR="0028259C" w:rsidRPr="00F57B59">
        <w:rPr>
          <w:rFonts w:asciiTheme="majorHAnsi" w:hAnsiTheme="majorHAnsi"/>
          <w:sz w:val="20"/>
          <w:szCs w:val="20"/>
        </w:rPr>
        <w:t>investigation</w:t>
      </w:r>
      <w:r>
        <w:rPr>
          <w:rFonts w:asciiTheme="majorHAnsi" w:hAnsiTheme="majorHAnsi"/>
          <w:sz w:val="20"/>
          <w:szCs w:val="20"/>
        </w:rPr>
        <w:t>,</w:t>
      </w:r>
      <w:r w:rsidR="0028259C" w:rsidRPr="00F57B59">
        <w:rPr>
          <w:rFonts w:asciiTheme="majorHAnsi" w:hAnsiTheme="majorHAnsi"/>
          <w:sz w:val="20"/>
          <w:szCs w:val="20"/>
        </w:rPr>
        <w:t xml:space="preserve"> adopted by the Antioquia Specialized Prosecutor's Office in 1996, which does not have the nature of a </w:t>
      </w:r>
      <w:r>
        <w:rPr>
          <w:rFonts w:asciiTheme="majorHAnsi" w:hAnsiTheme="majorHAnsi"/>
          <w:sz w:val="20"/>
          <w:szCs w:val="20"/>
        </w:rPr>
        <w:t>judgment</w:t>
      </w:r>
      <w:r w:rsidR="0028259C" w:rsidRPr="00F57B59">
        <w:rPr>
          <w:rFonts w:asciiTheme="majorHAnsi" w:hAnsiTheme="majorHAnsi"/>
          <w:sz w:val="20"/>
          <w:szCs w:val="20"/>
        </w:rPr>
        <w:t xml:space="preserve"> </w:t>
      </w:r>
      <w:r>
        <w:rPr>
          <w:rFonts w:asciiTheme="majorHAnsi" w:hAnsiTheme="majorHAnsi"/>
          <w:sz w:val="20"/>
          <w:szCs w:val="20"/>
        </w:rPr>
        <w:t>-</w:t>
      </w:r>
      <w:r w:rsidR="0028259C" w:rsidRPr="00F57B59">
        <w:rPr>
          <w:rFonts w:asciiTheme="majorHAnsi" w:hAnsiTheme="majorHAnsi"/>
          <w:sz w:val="20"/>
          <w:szCs w:val="20"/>
        </w:rPr>
        <w:t>that is,</w:t>
      </w:r>
      <w:r>
        <w:rPr>
          <w:rFonts w:asciiTheme="majorHAnsi" w:hAnsiTheme="majorHAnsi"/>
          <w:sz w:val="20"/>
          <w:szCs w:val="20"/>
        </w:rPr>
        <w:t xml:space="preserve"> of</w:t>
      </w:r>
      <w:r w:rsidR="0028259C" w:rsidRPr="00F57B59">
        <w:rPr>
          <w:rFonts w:asciiTheme="majorHAnsi" w:hAnsiTheme="majorHAnsi"/>
          <w:sz w:val="20"/>
          <w:szCs w:val="20"/>
        </w:rPr>
        <w:t xml:space="preserve"> a judicial decision defining the criminal responsibility of a defendant at the end of a judicial process </w:t>
      </w:r>
      <w:r>
        <w:rPr>
          <w:rFonts w:asciiTheme="majorHAnsi" w:hAnsiTheme="majorHAnsi"/>
          <w:sz w:val="20"/>
          <w:szCs w:val="20"/>
        </w:rPr>
        <w:t xml:space="preserve">respectful of the </w:t>
      </w:r>
      <w:r w:rsidR="0028259C" w:rsidRPr="00F57B59">
        <w:rPr>
          <w:rFonts w:asciiTheme="majorHAnsi" w:hAnsiTheme="majorHAnsi"/>
          <w:sz w:val="20"/>
          <w:szCs w:val="20"/>
        </w:rPr>
        <w:t>basic judicial guarantees</w:t>
      </w:r>
      <w:r>
        <w:rPr>
          <w:rFonts w:asciiTheme="majorHAnsi" w:hAnsiTheme="majorHAnsi"/>
          <w:sz w:val="20"/>
          <w:szCs w:val="20"/>
        </w:rPr>
        <w:t>-</w:t>
      </w:r>
      <w:r w:rsidR="0028259C" w:rsidRPr="00F57B59">
        <w:rPr>
          <w:rFonts w:asciiTheme="majorHAnsi" w:hAnsiTheme="majorHAnsi"/>
          <w:sz w:val="20"/>
          <w:szCs w:val="20"/>
        </w:rPr>
        <w:t>. Furthermore, the suspension and filing decision adopted by the Prosecutor's Office is, in its own terms, “provisional” and not final</w:t>
      </w:r>
      <w:r>
        <w:rPr>
          <w:rFonts w:asciiTheme="majorHAnsi" w:hAnsiTheme="majorHAnsi"/>
          <w:sz w:val="20"/>
          <w:szCs w:val="20"/>
        </w:rPr>
        <w:t xml:space="preserve"> in nature</w:t>
      </w:r>
      <w:r w:rsidR="0028259C" w:rsidRPr="00F57B59">
        <w:rPr>
          <w:rFonts w:asciiTheme="majorHAnsi" w:hAnsiTheme="majorHAnsi"/>
          <w:sz w:val="20"/>
          <w:szCs w:val="20"/>
        </w:rPr>
        <w:t xml:space="preserve">. Therefore, </w:t>
      </w:r>
      <w:r>
        <w:rPr>
          <w:rFonts w:asciiTheme="majorHAnsi" w:hAnsiTheme="majorHAnsi"/>
          <w:sz w:val="20"/>
          <w:szCs w:val="20"/>
        </w:rPr>
        <w:t xml:space="preserve">this is not </w:t>
      </w:r>
      <w:r w:rsidR="0028259C" w:rsidRPr="00F57B59">
        <w:rPr>
          <w:rFonts w:asciiTheme="majorHAnsi" w:hAnsiTheme="majorHAnsi"/>
          <w:sz w:val="20"/>
          <w:szCs w:val="20"/>
        </w:rPr>
        <w:t xml:space="preserve">a scenario in which it can be argued that a pronouncement by the IACHR would be </w:t>
      </w:r>
      <w:r>
        <w:rPr>
          <w:rFonts w:asciiTheme="majorHAnsi" w:hAnsiTheme="majorHAnsi"/>
          <w:sz w:val="20"/>
          <w:szCs w:val="20"/>
        </w:rPr>
        <w:t xml:space="preserve">tantamount </w:t>
      </w:r>
      <w:r w:rsidR="0028259C" w:rsidRPr="00F57B59">
        <w:rPr>
          <w:rFonts w:asciiTheme="majorHAnsi" w:hAnsiTheme="majorHAnsi"/>
          <w:sz w:val="20"/>
          <w:szCs w:val="20"/>
        </w:rPr>
        <w:t xml:space="preserve">to reviewing domestic judicial </w:t>
      </w:r>
      <w:r>
        <w:rPr>
          <w:rFonts w:asciiTheme="majorHAnsi" w:hAnsiTheme="majorHAnsi"/>
          <w:sz w:val="20"/>
          <w:szCs w:val="20"/>
        </w:rPr>
        <w:t xml:space="preserve">decisions </w:t>
      </w:r>
      <w:r w:rsidR="0028259C" w:rsidRPr="00F57B59">
        <w:rPr>
          <w:rFonts w:asciiTheme="majorHAnsi" w:hAnsiTheme="majorHAnsi"/>
          <w:sz w:val="20"/>
          <w:szCs w:val="20"/>
        </w:rPr>
        <w:t>that definitively</w:t>
      </w:r>
      <w:r>
        <w:rPr>
          <w:rFonts w:asciiTheme="majorHAnsi" w:hAnsiTheme="majorHAnsi"/>
          <w:sz w:val="20"/>
          <w:szCs w:val="20"/>
        </w:rPr>
        <w:t xml:space="preserve"> resolve </w:t>
      </w:r>
      <w:r w:rsidR="0028259C" w:rsidRPr="00F57B59">
        <w:rPr>
          <w:rFonts w:asciiTheme="majorHAnsi" w:hAnsiTheme="majorHAnsi"/>
          <w:sz w:val="20"/>
          <w:szCs w:val="20"/>
        </w:rPr>
        <w:t>a certain matter.</w:t>
      </w:r>
    </w:p>
    <w:p w14:paraId="308A4251" w14:textId="3C1A6279" w:rsidR="00235D4D" w:rsidRDefault="00F57B59"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13. </w:t>
      </w:r>
      <w:r w:rsidR="00E44DF9" w:rsidRPr="00F57B59">
        <w:rPr>
          <w:rFonts w:asciiTheme="majorHAnsi" w:hAnsiTheme="majorHAnsi"/>
          <w:sz w:val="20"/>
          <w:szCs w:val="20"/>
        </w:rPr>
        <w:t xml:space="preserve">The State </w:t>
      </w:r>
      <w:r>
        <w:rPr>
          <w:rFonts w:asciiTheme="majorHAnsi" w:hAnsiTheme="majorHAnsi"/>
          <w:sz w:val="20"/>
          <w:szCs w:val="20"/>
        </w:rPr>
        <w:t xml:space="preserve">has </w:t>
      </w:r>
      <w:r w:rsidR="00E44DF9" w:rsidRPr="00F57B59">
        <w:rPr>
          <w:rFonts w:asciiTheme="majorHAnsi" w:hAnsiTheme="majorHAnsi"/>
          <w:sz w:val="20"/>
          <w:szCs w:val="20"/>
        </w:rPr>
        <w:t xml:space="preserve">also </w:t>
      </w:r>
      <w:r>
        <w:rPr>
          <w:rFonts w:asciiTheme="majorHAnsi" w:hAnsiTheme="majorHAnsi"/>
          <w:sz w:val="20"/>
          <w:szCs w:val="20"/>
        </w:rPr>
        <w:t xml:space="preserve">claimed </w:t>
      </w:r>
      <w:r w:rsidR="00E44DF9" w:rsidRPr="00F57B59">
        <w:rPr>
          <w:rFonts w:asciiTheme="majorHAnsi" w:hAnsiTheme="majorHAnsi"/>
          <w:sz w:val="20"/>
          <w:szCs w:val="20"/>
        </w:rPr>
        <w:t xml:space="preserve">that in the documentary </w:t>
      </w:r>
      <w:r>
        <w:rPr>
          <w:rFonts w:asciiTheme="majorHAnsi" w:hAnsiTheme="majorHAnsi"/>
          <w:sz w:val="20"/>
          <w:szCs w:val="20"/>
        </w:rPr>
        <w:t xml:space="preserve">archives </w:t>
      </w:r>
      <w:r w:rsidR="00E44DF9" w:rsidRPr="00F57B59">
        <w:rPr>
          <w:rFonts w:asciiTheme="majorHAnsi" w:hAnsiTheme="majorHAnsi"/>
          <w:sz w:val="20"/>
          <w:szCs w:val="20"/>
        </w:rPr>
        <w:t xml:space="preserve">reviewed by the </w:t>
      </w:r>
      <w:r>
        <w:rPr>
          <w:rFonts w:asciiTheme="majorHAnsi" w:hAnsiTheme="majorHAnsi"/>
          <w:sz w:val="20"/>
          <w:szCs w:val="20"/>
        </w:rPr>
        <w:t>Security Forces</w:t>
      </w:r>
      <w:r w:rsidR="00E44DF9" w:rsidRPr="00F57B59">
        <w:rPr>
          <w:rFonts w:asciiTheme="majorHAnsi" w:hAnsiTheme="majorHAnsi"/>
          <w:sz w:val="20"/>
          <w:szCs w:val="20"/>
        </w:rPr>
        <w:t xml:space="preserve">, the </w:t>
      </w:r>
      <w:r>
        <w:rPr>
          <w:rFonts w:asciiTheme="majorHAnsi" w:hAnsiTheme="majorHAnsi"/>
          <w:sz w:val="20"/>
          <w:szCs w:val="20"/>
        </w:rPr>
        <w:t>National Prosecutor’s Office</w:t>
      </w:r>
      <w:r w:rsidR="00E44DF9" w:rsidRPr="00F57B59">
        <w:rPr>
          <w:rFonts w:asciiTheme="majorHAnsi" w:hAnsiTheme="majorHAnsi"/>
          <w:sz w:val="20"/>
          <w:szCs w:val="20"/>
        </w:rPr>
        <w:t xml:space="preserve">, the Municipal Ombudsman and the Municipal </w:t>
      </w:r>
      <w:r>
        <w:rPr>
          <w:rFonts w:asciiTheme="majorHAnsi" w:hAnsiTheme="majorHAnsi"/>
          <w:sz w:val="20"/>
          <w:szCs w:val="20"/>
        </w:rPr>
        <w:t xml:space="preserve">Mayoralty </w:t>
      </w:r>
      <w:r w:rsidR="00E44DF9" w:rsidRPr="00F57B59">
        <w:rPr>
          <w:rFonts w:asciiTheme="majorHAnsi" w:hAnsiTheme="majorHAnsi"/>
          <w:sz w:val="20"/>
          <w:szCs w:val="20"/>
        </w:rPr>
        <w:t xml:space="preserve">of San Roque, there is no written record of </w:t>
      </w:r>
      <w:r>
        <w:rPr>
          <w:rFonts w:asciiTheme="majorHAnsi" w:hAnsiTheme="majorHAnsi"/>
          <w:sz w:val="20"/>
          <w:szCs w:val="20"/>
        </w:rPr>
        <w:t xml:space="preserve">any </w:t>
      </w:r>
      <w:r w:rsidR="00E44DF9" w:rsidRPr="00F57B59">
        <w:rPr>
          <w:rFonts w:asciiTheme="majorHAnsi" w:hAnsiTheme="majorHAnsi"/>
          <w:sz w:val="20"/>
          <w:szCs w:val="20"/>
        </w:rPr>
        <w:t>requests for protection made by Mr. Gustavo Emilio Gómez before of his death. However, the petition indicates that th</w:t>
      </w:r>
      <w:r>
        <w:rPr>
          <w:rFonts w:asciiTheme="majorHAnsi" w:hAnsiTheme="majorHAnsi"/>
          <w:sz w:val="20"/>
          <w:szCs w:val="20"/>
        </w:rPr>
        <w:t>o</w:t>
      </w:r>
      <w:r w:rsidR="00E44DF9" w:rsidRPr="00F57B59">
        <w:rPr>
          <w:rFonts w:asciiTheme="majorHAnsi" w:hAnsiTheme="majorHAnsi"/>
          <w:sz w:val="20"/>
          <w:szCs w:val="20"/>
        </w:rPr>
        <w:t xml:space="preserve">se requests for protection were </w:t>
      </w:r>
      <w:r>
        <w:rPr>
          <w:rFonts w:asciiTheme="majorHAnsi" w:hAnsiTheme="majorHAnsi"/>
          <w:sz w:val="20"/>
          <w:szCs w:val="20"/>
        </w:rPr>
        <w:t xml:space="preserve">indeed </w:t>
      </w:r>
      <w:r w:rsidR="00E44DF9" w:rsidRPr="00F57B59">
        <w:rPr>
          <w:rFonts w:asciiTheme="majorHAnsi" w:hAnsiTheme="majorHAnsi"/>
          <w:sz w:val="20"/>
          <w:szCs w:val="20"/>
        </w:rPr>
        <w:t>made on more than one occasion</w:t>
      </w:r>
      <w:r>
        <w:rPr>
          <w:rFonts w:asciiTheme="majorHAnsi" w:hAnsiTheme="majorHAnsi"/>
          <w:sz w:val="20"/>
          <w:szCs w:val="20"/>
        </w:rPr>
        <w:t>,</w:t>
      </w:r>
      <w:r w:rsidR="00E44DF9" w:rsidRPr="00F57B59">
        <w:rPr>
          <w:rFonts w:asciiTheme="majorHAnsi" w:hAnsiTheme="majorHAnsi"/>
          <w:sz w:val="20"/>
          <w:szCs w:val="20"/>
        </w:rPr>
        <w:t xml:space="preserve"> before </w:t>
      </w:r>
      <w:r>
        <w:rPr>
          <w:rFonts w:asciiTheme="majorHAnsi" w:hAnsiTheme="majorHAnsi"/>
          <w:sz w:val="20"/>
          <w:szCs w:val="20"/>
        </w:rPr>
        <w:t xml:space="preserve">several </w:t>
      </w:r>
      <w:r w:rsidR="00E44DF9" w:rsidRPr="00F57B59">
        <w:rPr>
          <w:rFonts w:asciiTheme="majorHAnsi" w:hAnsiTheme="majorHAnsi"/>
          <w:sz w:val="20"/>
          <w:szCs w:val="20"/>
        </w:rPr>
        <w:t>authorities</w:t>
      </w:r>
      <w:r>
        <w:rPr>
          <w:rFonts w:asciiTheme="majorHAnsi" w:hAnsiTheme="majorHAnsi"/>
          <w:sz w:val="20"/>
          <w:szCs w:val="20"/>
        </w:rPr>
        <w:t xml:space="preserve"> at the municipal and national levels;</w:t>
      </w:r>
      <w:r w:rsidR="00E44DF9" w:rsidRPr="00F57B59">
        <w:rPr>
          <w:rFonts w:asciiTheme="majorHAnsi" w:hAnsiTheme="majorHAnsi"/>
          <w:sz w:val="20"/>
          <w:szCs w:val="20"/>
        </w:rPr>
        <w:t xml:space="preserve"> </w:t>
      </w:r>
      <w:r>
        <w:rPr>
          <w:rFonts w:asciiTheme="majorHAnsi" w:hAnsiTheme="majorHAnsi"/>
          <w:sz w:val="20"/>
          <w:szCs w:val="20"/>
        </w:rPr>
        <w:t>t</w:t>
      </w:r>
      <w:r w:rsidR="00E44DF9" w:rsidRPr="00F57B59">
        <w:rPr>
          <w:rFonts w:asciiTheme="majorHAnsi" w:hAnsiTheme="majorHAnsi"/>
          <w:sz w:val="20"/>
          <w:szCs w:val="20"/>
        </w:rPr>
        <w:t xml:space="preserve">he petitioner </w:t>
      </w:r>
      <w:r>
        <w:rPr>
          <w:rFonts w:asciiTheme="majorHAnsi" w:hAnsiTheme="majorHAnsi"/>
          <w:sz w:val="20"/>
          <w:szCs w:val="20"/>
        </w:rPr>
        <w:t xml:space="preserve">has </w:t>
      </w:r>
      <w:r w:rsidR="00E44DF9" w:rsidRPr="00F57B59">
        <w:rPr>
          <w:rFonts w:asciiTheme="majorHAnsi" w:hAnsiTheme="majorHAnsi"/>
          <w:sz w:val="20"/>
          <w:szCs w:val="20"/>
        </w:rPr>
        <w:t xml:space="preserve">also </w:t>
      </w:r>
      <w:r>
        <w:rPr>
          <w:rFonts w:asciiTheme="majorHAnsi" w:hAnsiTheme="majorHAnsi"/>
          <w:sz w:val="20"/>
          <w:szCs w:val="20"/>
        </w:rPr>
        <w:t xml:space="preserve">argued </w:t>
      </w:r>
      <w:r w:rsidR="00E44DF9" w:rsidRPr="00F57B59">
        <w:rPr>
          <w:rFonts w:asciiTheme="majorHAnsi" w:hAnsiTheme="majorHAnsi"/>
          <w:sz w:val="20"/>
          <w:szCs w:val="20"/>
        </w:rPr>
        <w:t xml:space="preserve">that the </w:t>
      </w:r>
      <w:r>
        <w:rPr>
          <w:rFonts w:asciiTheme="majorHAnsi" w:hAnsiTheme="majorHAnsi"/>
          <w:sz w:val="20"/>
          <w:szCs w:val="20"/>
        </w:rPr>
        <w:t xml:space="preserve">situation of </w:t>
      </w:r>
      <w:r w:rsidR="00E44DF9" w:rsidRPr="00F57B59">
        <w:rPr>
          <w:rFonts w:asciiTheme="majorHAnsi" w:hAnsiTheme="majorHAnsi"/>
          <w:sz w:val="20"/>
          <w:szCs w:val="20"/>
        </w:rPr>
        <w:t xml:space="preserve">risk </w:t>
      </w:r>
      <w:r>
        <w:rPr>
          <w:rFonts w:asciiTheme="majorHAnsi" w:hAnsiTheme="majorHAnsi"/>
          <w:sz w:val="20"/>
          <w:szCs w:val="20"/>
        </w:rPr>
        <w:t xml:space="preserve">for </w:t>
      </w:r>
      <w:r w:rsidR="00E44DF9" w:rsidRPr="00F57B59">
        <w:rPr>
          <w:rFonts w:asciiTheme="majorHAnsi" w:hAnsiTheme="majorHAnsi"/>
          <w:sz w:val="20"/>
          <w:szCs w:val="20"/>
        </w:rPr>
        <w:t xml:space="preserve">the exercise of political rights </w:t>
      </w:r>
      <w:r>
        <w:rPr>
          <w:rFonts w:asciiTheme="majorHAnsi" w:hAnsiTheme="majorHAnsi"/>
          <w:sz w:val="20"/>
          <w:szCs w:val="20"/>
        </w:rPr>
        <w:t xml:space="preserve">which was consubstantial to </w:t>
      </w:r>
      <w:r w:rsidR="00E44DF9" w:rsidRPr="00F57B59">
        <w:rPr>
          <w:rFonts w:asciiTheme="majorHAnsi" w:hAnsiTheme="majorHAnsi"/>
          <w:sz w:val="20"/>
          <w:szCs w:val="20"/>
        </w:rPr>
        <w:t xml:space="preserve">an area </w:t>
      </w:r>
      <w:r>
        <w:rPr>
          <w:rFonts w:asciiTheme="majorHAnsi" w:hAnsiTheme="majorHAnsi"/>
          <w:sz w:val="20"/>
          <w:szCs w:val="20"/>
        </w:rPr>
        <w:t xml:space="preserve">of the country where the </w:t>
      </w:r>
      <w:r w:rsidR="00E44DF9" w:rsidRPr="00F57B59">
        <w:rPr>
          <w:rFonts w:asciiTheme="majorHAnsi" w:hAnsiTheme="majorHAnsi"/>
          <w:sz w:val="20"/>
          <w:szCs w:val="20"/>
        </w:rPr>
        <w:t xml:space="preserve">ELN guerrilla </w:t>
      </w:r>
      <w:r>
        <w:rPr>
          <w:rFonts w:asciiTheme="majorHAnsi" w:hAnsiTheme="majorHAnsi"/>
          <w:sz w:val="20"/>
          <w:szCs w:val="20"/>
        </w:rPr>
        <w:t xml:space="preserve">was present and active, </w:t>
      </w:r>
      <w:r w:rsidR="00E44DF9" w:rsidRPr="00F57B59">
        <w:rPr>
          <w:rFonts w:asciiTheme="majorHAnsi" w:hAnsiTheme="majorHAnsi"/>
          <w:sz w:val="20"/>
          <w:szCs w:val="20"/>
        </w:rPr>
        <w:t xml:space="preserve">was </w:t>
      </w:r>
      <w:r w:rsidR="00703594">
        <w:rPr>
          <w:rFonts w:asciiTheme="majorHAnsi" w:hAnsiTheme="majorHAnsi"/>
          <w:sz w:val="20"/>
          <w:szCs w:val="20"/>
        </w:rPr>
        <w:t xml:space="preserve">a </w:t>
      </w:r>
      <w:r w:rsidR="00E44DF9" w:rsidRPr="00F57B59">
        <w:rPr>
          <w:rFonts w:asciiTheme="majorHAnsi" w:hAnsiTheme="majorHAnsi"/>
          <w:sz w:val="20"/>
          <w:szCs w:val="20"/>
        </w:rPr>
        <w:t xml:space="preserve">sufficient </w:t>
      </w:r>
      <w:r w:rsidR="00703594">
        <w:rPr>
          <w:rFonts w:asciiTheme="majorHAnsi" w:hAnsiTheme="majorHAnsi"/>
          <w:sz w:val="20"/>
          <w:szCs w:val="20"/>
        </w:rPr>
        <w:t xml:space="preserve">reason </w:t>
      </w:r>
      <w:r w:rsidR="00E44DF9" w:rsidRPr="00F57B59">
        <w:rPr>
          <w:rFonts w:asciiTheme="majorHAnsi" w:hAnsiTheme="majorHAnsi"/>
          <w:sz w:val="20"/>
          <w:szCs w:val="20"/>
        </w:rPr>
        <w:t xml:space="preserve">for the State to </w:t>
      </w:r>
      <w:r>
        <w:rPr>
          <w:rFonts w:asciiTheme="majorHAnsi" w:hAnsiTheme="majorHAnsi"/>
          <w:sz w:val="20"/>
          <w:szCs w:val="20"/>
        </w:rPr>
        <w:t xml:space="preserve">have </w:t>
      </w:r>
      <w:r w:rsidRPr="00493C6C">
        <w:rPr>
          <w:rFonts w:asciiTheme="majorHAnsi" w:hAnsiTheme="majorHAnsi"/>
          <w:sz w:val="20"/>
          <w:szCs w:val="20"/>
        </w:rPr>
        <w:t>ex officio</w:t>
      </w:r>
      <w:r>
        <w:rPr>
          <w:rFonts w:asciiTheme="majorHAnsi" w:hAnsiTheme="majorHAnsi"/>
          <w:sz w:val="20"/>
          <w:szCs w:val="20"/>
        </w:rPr>
        <w:t xml:space="preserve"> </w:t>
      </w:r>
      <w:r w:rsidR="00E44DF9" w:rsidRPr="00F57B59">
        <w:rPr>
          <w:rFonts w:asciiTheme="majorHAnsi" w:hAnsiTheme="majorHAnsi"/>
          <w:sz w:val="20"/>
          <w:szCs w:val="20"/>
        </w:rPr>
        <w:t>protect</w:t>
      </w:r>
      <w:r>
        <w:rPr>
          <w:rFonts w:asciiTheme="majorHAnsi" w:hAnsiTheme="majorHAnsi"/>
          <w:sz w:val="20"/>
          <w:szCs w:val="20"/>
        </w:rPr>
        <w:t xml:space="preserve">ed </w:t>
      </w:r>
      <w:r w:rsidR="00E44DF9" w:rsidRPr="00F57B59">
        <w:rPr>
          <w:rFonts w:asciiTheme="majorHAnsi" w:hAnsiTheme="majorHAnsi"/>
          <w:sz w:val="20"/>
          <w:szCs w:val="20"/>
        </w:rPr>
        <w:t xml:space="preserve">Mr. Gómez. Thus, a factual and evidentiary controversy between the parties </w:t>
      </w:r>
      <w:r>
        <w:rPr>
          <w:rFonts w:asciiTheme="majorHAnsi" w:hAnsiTheme="majorHAnsi"/>
          <w:sz w:val="20"/>
          <w:szCs w:val="20"/>
        </w:rPr>
        <w:t xml:space="preserve">has been </w:t>
      </w:r>
      <w:r w:rsidR="00703594">
        <w:rPr>
          <w:rFonts w:asciiTheme="majorHAnsi" w:hAnsiTheme="majorHAnsi"/>
          <w:sz w:val="20"/>
          <w:szCs w:val="20"/>
        </w:rPr>
        <w:t>established</w:t>
      </w:r>
      <w:r w:rsidR="00E44DF9" w:rsidRPr="00F57B59">
        <w:rPr>
          <w:rFonts w:asciiTheme="majorHAnsi" w:hAnsiTheme="majorHAnsi"/>
          <w:sz w:val="20"/>
          <w:szCs w:val="20"/>
        </w:rPr>
        <w:t xml:space="preserve">, which must be resolved at the merits stage of this proceeding, since this exceeds the </w:t>
      </w:r>
      <w:r w:rsidR="00E44DF9" w:rsidRPr="00493C6C">
        <w:rPr>
          <w:rFonts w:asciiTheme="majorHAnsi" w:hAnsiTheme="majorHAnsi"/>
          <w:sz w:val="20"/>
          <w:szCs w:val="20"/>
        </w:rPr>
        <w:t>prima facie</w:t>
      </w:r>
      <w:r w:rsidR="00E44DF9" w:rsidRPr="00F57B59">
        <w:rPr>
          <w:rFonts w:asciiTheme="majorHAnsi" w:hAnsiTheme="majorHAnsi"/>
          <w:sz w:val="20"/>
          <w:szCs w:val="20"/>
        </w:rPr>
        <w:t xml:space="preserve"> valuation standard </w:t>
      </w:r>
      <w:r w:rsidR="00235D4D">
        <w:rPr>
          <w:rFonts w:asciiTheme="majorHAnsi" w:hAnsiTheme="majorHAnsi"/>
          <w:sz w:val="20"/>
          <w:szCs w:val="20"/>
        </w:rPr>
        <w:t xml:space="preserve">appertaining to </w:t>
      </w:r>
      <w:r w:rsidR="00E44DF9" w:rsidRPr="00F57B59">
        <w:rPr>
          <w:rFonts w:asciiTheme="majorHAnsi" w:hAnsiTheme="majorHAnsi"/>
          <w:sz w:val="20"/>
          <w:szCs w:val="20"/>
        </w:rPr>
        <w:t>the admissibility phase.</w:t>
      </w:r>
    </w:p>
    <w:p w14:paraId="7633016F" w14:textId="77777777" w:rsidR="00235D4D" w:rsidRDefault="00235D4D"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14. </w:t>
      </w:r>
      <w:r w:rsidR="00E44DF9" w:rsidRPr="00235D4D">
        <w:rPr>
          <w:rFonts w:asciiTheme="majorHAnsi" w:hAnsiTheme="majorHAnsi"/>
          <w:sz w:val="20"/>
          <w:szCs w:val="20"/>
        </w:rPr>
        <w:t>In light of these considerations and after examining the factual and legal elements presented by the parties, the Commission considers that the petitioner's allegations are not manifestly unfounded and require a study</w:t>
      </w:r>
      <w:r>
        <w:rPr>
          <w:rFonts w:asciiTheme="majorHAnsi" w:hAnsiTheme="majorHAnsi"/>
          <w:sz w:val="20"/>
          <w:szCs w:val="20"/>
        </w:rPr>
        <w:t xml:space="preserve"> on the merits</w:t>
      </w:r>
      <w:r w:rsidR="00E44DF9" w:rsidRPr="00235D4D">
        <w:rPr>
          <w:rFonts w:asciiTheme="majorHAnsi" w:hAnsiTheme="majorHAnsi"/>
          <w:sz w:val="20"/>
          <w:szCs w:val="20"/>
        </w:rPr>
        <w:t>, since the alleged facts, if corroborated, could characterize violations of Articles 4 (life), 5 (humane treatment), 8 (fair trial), 23 (right to participate in government) and 25 (judicial protection) of the American Convention, in relation to its Article 1.1 (obligation to respect rights).</w:t>
      </w:r>
    </w:p>
    <w:p w14:paraId="4380D7BE" w14:textId="5CA2EE68" w:rsidR="00E44DF9" w:rsidRPr="00235D4D" w:rsidRDefault="00235D4D" w:rsidP="00493C6C">
      <w:pPr>
        <w:spacing w:before="240" w:after="240"/>
        <w:ind w:firstLine="720"/>
        <w:jc w:val="both"/>
        <w:rPr>
          <w:rFonts w:asciiTheme="majorHAnsi" w:hAnsiTheme="majorHAnsi"/>
          <w:sz w:val="20"/>
          <w:szCs w:val="20"/>
        </w:rPr>
      </w:pPr>
      <w:r>
        <w:rPr>
          <w:rFonts w:asciiTheme="majorHAnsi" w:hAnsiTheme="majorHAnsi"/>
          <w:sz w:val="20"/>
          <w:szCs w:val="20"/>
        </w:rPr>
        <w:t xml:space="preserve">15. </w:t>
      </w:r>
      <w:r w:rsidR="00E44DF9" w:rsidRPr="00235D4D">
        <w:rPr>
          <w:rFonts w:asciiTheme="majorHAnsi" w:hAnsiTheme="majorHAnsi"/>
          <w:sz w:val="20"/>
          <w:szCs w:val="20"/>
        </w:rPr>
        <w:t xml:space="preserve">Finally, the Inter-American Commission agrees with the State that the legal standard for evaluating this petition must be the American Convention, and not the American Declaration. The IACHR has previously established that, once the American Convention enters into force in relation to a State, it </w:t>
      </w:r>
      <w:r>
        <w:rPr>
          <w:rFonts w:asciiTheme="majorHAnsi" w:hAnsiTheme="majorHAnsi"/>
          <w:sz w:val="20"/>
          <w:szCs w:val="20"/>
        </w:rPr>
        <w:t xml:space="preserve">is the American Convention, </w:t>
      </w:r>
      <w:r w:rsidR="00E44DF9" w:rsidRPr="00235D4D">
        <w:rPr>
          <w:rFonts w:asciiTheme="majorHAnsi" w:hAnsiTheme="majorHAnsi"/>
          <w:sz w:val="20"/>
          <w:szCs w:val="20"/>
        </w:rPr>
        <w:t>and not the Declaration</w:t>
      </w:r>
      <w:r>
        <w:rPr>
          <w:rFonts w:asciiTheme="majorHAnsi" w:hAnsiTheme="majorHAnsi"/>
          <w:sz w:val="20"/>
          <w:szCs w:val="20"/>
        </w:rPr>
        <w:t>,</w:t>
      </w:r>
      <w:r w:rsidR="00E44DF9" w:rsidRPr="00235D4D">
        <w:rPr>
          <w:rFonts w:asciiTheme="majorHAnsi" w:hAnsiTheme="majorHAnsi"/>
          <w:sz w:val="20"/>
          <w:szCs w:val="20"/>
        </w:rPr>
        <w:t xml:space="preserve"> </w:t>
      </w:r>
      <w:r>
        <w:rPr>
          <w:rFonts w:asciiTheme="majorHAnsi" w:hAnsiTheme="majorHAnsi"/>
          <w:sz w:val="20"/>
          <w:szCs w:val="20"/>
        </w:rPr>
        <w:t xml:space="preserve">which </w:t>
      </w:r>
      <w:r w:rsidR="00E44DF9" w:rsidRPr="00235D4D">
        <w:rPr>
          <w:rFonts w:asciiTheme="majorHAnsi" w:hAnsiTheme="majorHAnsi"/>
          <w:sz w:val="20"/>
          <w:szCs w:val="20"/>
        </w:rPr>
        <w:t xml:space="preserve">becomes the primary source of law applicable by the Commission, provided that the petition refers to the alleged violation of rights </w:t>
      </w:r>
      <w:r>
        <w:rPr>
          <w:rFonts w:asciiTheme="majorHAnsi" w:hAnsiTheme="majorHAnsi"/>
          <w:sz w:val="20"/>
          <w:szCs w:val="20"/>
        </w:rPr>
        <w:t xml:space="preserve">which are identically enshrined </w:t>
      </w:r>
      <w:r w:rsidR="00E44DF9" w:rsidRPr="00235D4D">
        <w:rPr>
          <w:rFonts w:asciiTheme="majorHAnsi" w:hAnsiTheme="majorHAnsi"/>
          <w:sz w:val="20"/>
          <w:szCs w:val="20"/>
        </w:rPr>
        <w:t>in both instruments</w:t>
      </w:r>
      <w:r>
        <w:rPr>
          <w:rFonts w:asciiTheme="majorHAnsi" w:hAnsiTheme="majorHAnsi"/>
          <w:sz w:val="20"/>
          <w:szCs w:val="20"/>
        </w:rPr>
        <w:t>,</w:t>
      </w:r>
      <w:r w:rsidR="00E44DF9" w:rsidRPr="00235D4D">
        <w:rPr>
          <w:rFonts w:asciiTheme="majorHAnsi" w:hAnsiTheme="majorHAnsi"/>
          <w:sz w:val="20"/>
          <w:szCs w:val="20"/>
        </w:rPr>
        <w:t xml:space="preserve"> and </w:t>
      </w:r>
      <w:r>
        <w:rPr>
          <w:rFonts w:asciiTheme="majorHAnsi" w:hAnsiTheme="majorHAnsi"/>
          <w:sz w:val="20"/>
          <w:szCs w:val="20"/>
        </w:rPr>
        <w:t xml:space="preserve">that </w:t>
      </w:r>
      <w:r w:rsidR="00E44DF9" w:rsidRPr="00235D4D">
        <w:rPr>
          <w:rFonts w:asciiTheme="majorHAnsi" w:hAnsiTheme="majorHAnsi"/>
          <w:sz w:val="20"/>
          <w:szCs w:val="20"/>
        </w:rPr>
        <w:t>it is not a situation of continuous violation initiated prior to the entry into force of the American Convention for the State in question</w:t>
      </w:r>
      <w:r w:rsidR="00493C6C">
        <w:rPr>
          <w:rFonts w:asciiTheme="majorHAnsi" w:hAnsiTheme="majorHAnsi"/>
          <w:sz w:val="20"/>
          <w:szCs w:val="20"/>
        </w:rPr>
        <w:t>.</w:t>
      </w:r>
      <w:r w:rsidR="00E44DF9" w:rsidRPr="00A47A32">
        <w:rPr>
          <w:rStyle w:val="FootnoteReference"/>
          <w:rFonts w:asciiTheme="majorHAnsi" w:hAnsiTheme="majorHAnsi"/>
          <w:sz w:val="20"/>
          <w:szCs w:val="20"/>
          <w:lang w:val="es-ES_tradnl"/>
        </w:rPr>
        <w:footnoteReference w:id="11"/>
      </w:r>
    </w:p>
    <w:p w14:paraId="5A70550C" w14:textId="26DC5D7C" w:rsidR="00F621C3" w:rsidRPr="00EB6B8C" w:rsidRDefault="00493C6C" w:rsidP="00EB6B8C">
      <w:pPr>
        <w:spacing w:before="240" w:after="240"/>
        <w:jc w:val="both"/>
        <w:rPr>
          <w:rFonts w:asciiTheme="majorHAnsi" w:hAnsiTheme="majorHAnsi"/>
          <w:b/>
          <w:bCs/>
          <w:sz w:val="20"/>
          <w:szCs w:val="20"/>
        </w:rPr>
      </w:pPr>
      <w:r>
        <w:rPr>
          <w:rFonts w:asciiTheme="majorHAnsi" w:hAnsiTheme="majorHAnsi"/>
          <w:b/>
          <w:bCs/>
          <w:sz w:val="20"/>
          <w:szCs w:val="20"/>
        </w:rPr>
        <w:tab/>
      </w:r>
      <w:r w:rsidR="00F621C3" w:rsidRPr="00EB6B8C">
        <w:rPr>
          <w:rFonts w:asciiTheme="majorHAnsi" w:hAnsiTheme="majorHAnsi"/>
          <w:b/>
          <w:bCs/>
          <w:sz w:val="20"/>
          <w:szCs w:val="20"/>
        </w:rPr>
        <w:t xml:space="preserve">VIII. </w:t>
      </w:r>
      <w:r w:rsidR="00F621C3" w:rsidRPr="00EB6B8C">
        <w:rPr>
          <w:rFonts w:asciiTheme="majorHAnsi" w:hAnsiTheme="majorHAnsi"/>
          <w:b/>
          <w:bCs/>
          <w:sz w:val="20"/>
          <w:szCs w:val="20"/>
        </w:rPr>
        <w:tab/>
        <w:t>DECISION</w:t>
      </w:r>
    </w:p>
    <w:p w14:paraId="64E01200" w14:textId="77777777" w:rsidR="00235D4D" w:rsidRDefault="00235D4D" w:rsidP="00493C6C">
      <w:pPr>
        <w:tabs>
          <w:tab w:val="left" w:pos="2820"/>
        </w:tabs>
        <w:suppressAutoHyphens/>
        <w:spacing w:line="276" w:lineRule="auto"/>
        <w:ind w:firstLine="720"/>
        <w:jc w:val="both"/>
        <w:rPr>
          <w:rFonts w:asciiTheme="majorHAnsi" w:hAnsiTheme="majorHAnsi"/>
          <w:sz w:val="20"/>
          <w:szCs w:val="20"/>
        </w:rPr>
      </w:pPr>
      <w:r>
        <w:rPr>
          <w:rFonts w:asciiTheme="majorHAnsi" w:hAnsiTheme="majorHAnsi"/>
          <w:sz w:val="20"/>
          <w:szCs w:val="20"/>
        </w:rPr>
        <w:t xml:space="preserve">1. </w:t>
      </w:r>
      <w:r w:rsidR="00E44DF9" w:rsidRPr="00235D4D">
        <w:rPr>
          <w:rFonts w:asciiTheme="majorHAnsi" w:hAnsiTheme="majorHAnsi"/>
          <w:sz w:val="20"/>
          <w:szCs w:val="20"/>
        </w:rPr>
        <w:t>To declare this petition admissible in relation to Articles 4, 5, 8, 23, and 25 of the American Convention, in connection with its Article 1.1; and</w:t>
      </w:r>
    </w:p>
    <w:p w14:paraId="663D612A" w14:textId="77777777" w:rsidR="00235D4D" w:rsidRDefault="00235D4D" w:rsidP="00493C6C">
      <w:pPr>
        <w:tabs>
          <w:tab w:val="left" w:pos="2820"/>
        </w:tabs>
        <w:suppressAutoHyphens/>
        <w:spacing w:line="276" w:lineRule="auto"/>
        <w:jc w:val="both"/>
        <w:rPr>
          <w:rFonts w:asciiTheme="majorHAnsi" w:hAnsiTheme="majorHAnsi"/>
          <w:sz w:val="20"/>
          <w:szCs w:val="20"/>
        </w:rPr>
      </w:pPr>
    </w:p>
    <w:p w14:paraId="2122B46A" w14:textId="2DD77A0D" w:rsidR="00C55560" w:rsidRDefault="00235D4D" w:rsidP="00493C6C">
      <w:pPr>
        <w:tabs>
          <w:tab w:val="left" w:pos="2820"/>
        </w:tabs>
        <w:suppressAutoHyphens/>
        <w:spacing w:line="276" w:lineRule="auto"/>
        <w:ind w:firstLine="720"/>
        <w:jc w:val="both"/>
        <w:rPr>
          <w:rFonts w:asciiTheme="majorHAnsi" w:hAnsiTheme="majorHAnsi"/>
          <w:sz w:val="20"/>
          <w:szCs w:val="20"/>
        </w:rPr>
      </w:pPr>
      <w:r>
        <w:rPr>
          <w:rFonts w:asciiTheme="majorHAnsi" w:hAnsiTheme="majorHAnsi"/>
          <w:sz w:val="20"/>
          <w:szCs w:val="20"/>
        </w:rPr>
        <w:t>2.</w:t>
      </w:r>
      <w:r w:rsidR="000B5E02" w:rsidRPr="00235D4D">
        <w:rPr>
          <w:rFonts w:asciiTheme="majorHAnsi" w:hAnsiTheme="majorHAnsi"/>
          <w:sz w:val="20"/>
          <w:szCs w:val="20"/>
        </w:rPr>
        <w:t xml:space="preserve"> </w:t>
      </w:r>
      <w:r>
        <w:rPr>
          <w:rFonts w:asciiTheme="majorHAnsi" w:hAnsiTheme="majorHAnsi"/>
          <w:sz w:val="20"/>
          <w:szCs w:val="20"/>
        </w:rPr>
        <w:t>To n</w:t>
      </w:r>
      <w:r w:rsidR="000B5E02" w:rsidRPr="00235D4D">
        <w:rPr>
          <w:rFonts w:asciiTheme="majorHAnsi" w:hAnsiTheme="majorHAnsi"/>
          <w:sz w:val="20"/>
          <w:szCs w:val="20"/>
        </w:rPr>
        <w:t xml:space="preserve">otify the parties of this decision; </w:t>
      </w:r>
      <w:r>
        <w:rPr>
          <w:rFonts w:asciiTheme="majorHAnsi" w:hAnsiTheme="majorHAnsi"/>
          <w:sz w:val="20"/>
          <w:szCs w:val="20"/>
        </w:rPr>
        <w:t xml:space="preserve">to </w:t>
      </w:r>
      <w:r w:rsidR="000B5E02" w:rsidRPr="00235D4D">
        <w:rPr>
          <w:rFonts w:asciiTheme="majorHAnsi" w:hAnsiTheme="majorHAnsi"/>
          <w:sz w:val="20"/>
          <w:szCs w:val="20"/>
        </w:rPr>
        <w:t xml:space="preserve">continue with the analysis of the merits of the matter; and </w:t>
      </w:r>
      <w:r>
        <w:rPr>
          <w:rFonts w:asciiTheme="majorHAnsi" w:hAnsiTheme="majorHAnsi"/>
          <w:sz w:val="20"/>
          <w:szCs w:val="20"/>
        </w:rPr>
        <w:t xml:space="preserve">to </w:t>
      </w:r>
      <w:r w:rsidR="000B5E02" w:rsidRPr="00235D4D">
        <w:rPr>
          <w:rFonts w:asciiTheme="majorHAnsi" w:hAnsiTheme="majorHAnsi"/>
          <w:sz w:val="20"/>
          <w:szCs w:val="20"/>
        </w:rPr>
        <w:t>publish this decision and include it in its Annual Report to the General Assembly of the Organization of American States.</w:t>
      </w:r>
    </w:p>
    <w:p w14:paraId="3E7202B0" w14:textId="77777777" w:rsidR="00493C6C" w:rsidRDefault="00493C6C" w:rsidP="00493C6C">
      <w:pPr>
        <w:tabs>
          <w:tab w:val="left" w:pos="2820"/>
        </w:tabs>
        <w:suppressAutoHyphens/>
        <w:spacing w:line="276" w:lineRule="auto"/>
        <w:ind w:firstLine="720"/>
        <w:jc w:val="both"/>
        <w:rPr>
          <w:rFonts w:asciiTheme="majorHAnsi" w:hAnsiTheme="majorHAnsi"/>
          <w:sz w:val="20"/>
          <w:szCs w:val="20"/>
        </w:rPr>
      </w:pPr>
    </w:p>
    <w:p w14:paraId="34594F70" w14:textId="08C10DCD" w:rsidR="00493C6C" w:rsidRDefault="00493C6C" w:rsidP="00493C6C">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7</w:t>
      </w:r>
      <w:r w:rsidRPr="00493C6C">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23FB044B" w14:textId="77777777" w:rsidR="00493C6C" w:rsidRPr="00235D4D" w:rsidRDefault="00493C6C" w:rsidP="00493C6C">
      <w:pPr>
        <w:tabs>
          <w:tab w:val="left" w:pos="2820"/>
        </w:tabs>
        <w:suppressAutoHyphens/>
        <w:spacing w:line="276" w:lineRule="auto"/>
        <w:ind w:firstLine="720"/>
        <w:jc w:val="both"/>
        <w:rPr>
          <w:rFonts w:asciiTheme="majorHAnsi" w:hAnsiTheme="majorHAnsi"/>
          <w:sz w:val="20"/>
          <w:szCs w:val="20"/>
        </w:rPr>
      </w:pPr>
    </w:p>
    <w:sectPr w:rsidR="00493C6C" w:rsidRPr="00235D4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B44BD" w14:textId="77777777" w:rsidR="00903A36" w:rsidRDefault="00903A36" w:rsidP="00036A8A">
      <w:r>
        <w:separator/>
      </w:r>
    </w:p>
  </w:endnote>
  <w:endnote w:type="continuationSeparator" w:id="0">
    <w:p w14:paraId="39788CC6" w14:textId="77777777" w:rsidR="00903A36" w:rsidRDefault="00903A3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4E01" w14:textId="77777777" w:rsidR="00D71B76" w:rsidRDefault="00D7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83200F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71B76">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3581" w14:textId="77777777" w:rsidR="00903A36" w:rsidRPr="00036A8A" w:rsidRDefault="00903A3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AD6056F" w14:textId="77777777" w:rsidR="00903A36" w:rsidRPr="00036A8A" w:rsidRDefault="00903A36" w:rsidP="00036A8A">
      <w:pPr>
        <w:rPr>
          <w:rFonts w:asciiTheme="majorHAnsi" w:hAnsiTheme="majorHAnsi"/>
          <w:sz w:val="16"/>
          <w:szCs w:val="16"/>
        </w:rPr>
      </w:pPr>
      <w:r w:rsidRPr="00036A8A">
        <w:rPr>
          <w:rFonts w:asciiTheme="majorHAnsi" w:hAnsiTheme="majorHAnsi"/>
          <w:sz w:val="16"/>
          <w:szCs w:val="16"/>
        </w:rPr>
        <w:separator/>
      </w:r>
    </w:p>
    <w:p w14:paraId="7F9B7AF1" w14:textId="77777777" w:rsidR="00903A36" w:rsidRPr="00036A8A" w:rsidRDefault="00903A3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5269FDD" w14:textId="77777777" w:rsidR="00903A36" w:rsidRPr="0093441A" w:rsidRDefault="00903A3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94429B3" w14:textId="6AD642F0" w:rsidR="003826B3" w:rsidRPr="00F5148D" w:rsidRDefault="00493C6C" w:rsidP="00220CFD">
      <w:pPr>
        <w:pStyle w:val="FootnoteText"/>
        <w:jc w:val="both"/>
        <w:rPr>
          <w:rFonts w:asciiTheme="majorHAnsi" w:hAnsiTheme="majorHAnsi"/>
          <w:sz w:val="16"/>
          <w:szCs w:val="16"/>
        </w:rPr>
      </w:pPr>
      <w:r>
        <w:rPr>
          <w:rFonts w:asciiTheme="majorHAnsi" w:hAnsiTheme="majorHAnsi"/>
          <w:sz w:val="16"/>
          <w:szCs w:val="16"/>
        </w:rPr>
        <w:tab/>
      </w:r>
      <w:r w:rsidR="003826B3" w:rsidRPr="001376C0">
        <w:rPr>
          <w:rStyle w:val="FootnoteReference"/>
          <w:rFonts w:asciiTheme="majorHAnsi" w:hAnsiTheme="majorHAnsi"/>
          <w:sz w:val="16"/>
          <w:szCs w:val="16"/>
        </w:rPr>
        <w:footnoteRef/>
      </w:r>
      <w:r w:rsidR="00220CFD" w:rsidRPr="00F5148D">
        <w:rPr>
          <w:rFonts w:asciiTheme="majorHAnsi" w:hAnsiTheme="majorHAnsi"/>
          <w:sz w:val="16"/>
          <w:szCs w:val="16"/>
        </w:rPr>
        <w:t xml:space="preserve">In the petition, the following persons are identified as the immediate relatives of Mr. Gustavo Emilio Gómez: (1) Luz Estella </w:t>
      </w:r>
      <w:proofErr w:type="spellStart"/>
      <w:r w:rsidR="00220CFD" w:rsidRPr="00F5148D">
        <w:rPr>
          <w:rFonts w:asciiTheme="majorHAnsi" w:hAnsiTheme="majorHAnsi"/>
          <w:sz w:val="16"/>
          <w:szCs w:val="16"/>
        </w:rPr>
        <w:t>López</w:t>
      </w:r>
      <w:proofErr w:type="spellEnd"/>
      <w:r w:rsidR="00220CFD" w:rsidRPr="00F5148D">
        <w:rPr>
          <w:rFonts w:asciiTheme="majorHAnsi" w:hAnsiTheme="majorHAnsi"/>
          <w:sz w:val="16"/>
          <w:szCs w:val="16"/>
        </w:rPr>
        <w:t xml:space="preserve"> </w:t>
      </w:r>
      <w:proofErr w:type="spellStart"/>
      <w:r w:rsidR="00220CFD" w:rsidRPr="00F5148D">
        <w:rPr>
          <w:rFonts w:asciiTheme="majorHAnsi" w:hAnsiTheme="majorHAnsi"/>
          <w:sz w:val="16"/>
          <w:szCs w:val="16"/>
        </w:rPr>
        <w:t>Rendón</w:t>
      </w:r>
      <w:proofErr w:type="spellEnd"/>
      <w:r w:rsidR="00220CFD" w:rsidRPr="00F5148D">
        <w:rPr>
          <w:rFonts w:asciiTheme="majorHAnsi" w:hAnsiTheme="majorHAnsi"/>
          <w:sz w:val="16"/>
          <w:szCs w:val="16"/>
        </w:rPr>
        <w:t xml:space="preserve">, wife; (2) Valentina Gómez López, daughter; (3) Simón Gómez López, son; and (4) Mateo Gómez López, </w:t>
      </w:r>
      <w:r w:rsidR="00F4076F">
        <w:rPr>
          <w:rFonts w:asciiTheme="majorHAnsi" w:hAnsiTheme="majorHAnsi"/>
          <w:sz w:val="16"/>
          <w:szCs w:val="16"/>
        </w:rPr>
        <w:t>son</w:t>
      </w:r>
      <w:r w:rsidR="003826B3" w:rsidRPr="00F5148D">
        <w:rPr>
          <w:rFonts w:asciiTheme="majorHAnsi" w:hAnsiTheme="majorHAnsi"/>
          <w:sz w:val="16"/>
          <w:szCs w:val="16"/>
        </w:rPr>
        <w:t>.</w:t>
      </w:r>
    </w:p>
  </w:footnote>
  <w:footnote w:id="3">
    <w:p w14:paraId="2F39CA41" w14:textId="500C1AB5" w:rsidR="00DB2771" w:rsidRPr="00F5148D" w:rsidRDefault="00493C6C" w:rsidP="00F210CE">
      <w:pPr>
        <w:pStyle w:val="FootnoteText"/>
        <w:jc w:val="both"/>
        <w:rPr>
          <w:rFonts w:asciiTheme="majorHAnsi" w:hAnsiTheme="majorHAnsi"/>
          <w:sz w:val="16"/>
          <w:szCs w:val="16"/>
        </w:rPr>
      </w:pPr>
      <w:r>
        <w:rPr>
          <w:rFonts w:asciiTheme="majorHAnsi" w:hAnsiTheme="majorHAnsi"/>
          <w:sz w:val="16"/>
          <w:szCs w:val="16"/>
        </w:rPr>
        <w:tab/>
      </w:r>
      <w:r w:rsidR="00DB2771" w:rsidRPr="00C9699F">
        <w:rPr>
          <w:rStyle w:val="FootnoteReference"/>
          <w:rFonts w:asciiTheme="majorHAnsi" w:hAnsiTheme="majorHAnsi"/>
          <w:sz w:val="16"/>
          <w:szCs w:val="16"/>
        </w:rPr>
        <w:footnoteRef/>
      </w:r>
      <w:r w:rsidR="00DB2771" w:rsidRPr="00F5148D">
        <w:rPr>
          <w:rFonts w:asciiTheme="majorHAnsi" w:hAnsiTheme="majorHAnsi"/>
          <w:sz w:val="16"/>
          <w:szCs w:val="16"/>
        </w:rPr>
        <w:t xml:space="preserve"> </w:t>
      </w:r>
      <w:r w:rsidR="00F210CE" w:rsidRPr="00F5148D">
        <w:rPr>
          <w:rFonts w:asciiTheme="majorHAnsi" w:hAnsiTheme="majorHAnsi"/>
          <w:sz w:val="16"/>
          <w:szCs w:val="16"/>
        </w:rPr>
        <w:t>Hereinafter "the American Convention" or "the Convention".</w:t>
      </w:r>
    </w:p>
  </w:footnote>
  <w:footnote w:id="4">
    <w:p w14:paraId="1CB137AC" w14:textId="57F5A16A" w:rsidR="003826B3" w:rsidRPr="00F5148D" w:rsidRDefault="00493C6C" w:rsidP="00220CFD">
      <w:pPr>
        <w:pStyle w:val="FootnoteText"/>
        <w:rPr>
          <w:rFonts w:asciiTheme="majorHAnsi" w:hAnsiTheme="majorHAnsi"/>
          <w:sz w:val="16"/>
          <w:szCs w:val="16"/>
        </w:rPr>
      </w:pPr>
      <w:r>
        <w:rPr>
          <w:rFonts w:asciiTheme="majorHAnsi" w:hAnsiTheme="majorHAnsi"/>
          <w:sz w:val="16"/>
          <w:szCs w:val="16"/>
        </w:rPr>
        <w:tab/>
      </w:r>
      <w:r w:rsidR="003826B3" w:rsidRPr="00233583">
        <w:rPr>
          <w:rStyle w:val="FootnoteReference"/>
          <w:rFonts w:asciiTheme="majorHAnsi" w:hAnsiTheme="majorHAnsi"/>
          <w:sz w:val="16"/>
          <w:szCs w:val="16"/>
        </w:rPr>
        <w:footnoteRef/>
      </w:r>
      <w:r w:rsidR="003826B3" w:rsidRPr="00F5148D">
        <w:rPr>
          <w:rFonts w:asciiTheme="majorHAnsi" w:hAnsiTheme="majorHAnsi"/>
          <w:sz w:val="16"/>
          <w:szCs w:val="16"/>
        </w:rPr>
        <w:t xml:space="preserve"> </w:t>
      </w:r>
      <w:r w:rsidR="00893AF4" w:rsidRPr="00F5148D">
        <w:rPr>
          <w:rFonts w:asciiTheme="majorHAnsi" w:hAnsiTheme="majorHAnsi"/>
          <w:sz w:val="16"/>
          <w:szCs w:val="16"/>
        </w:rPr>
        <w:t>Hereinafter, "the American Declaration".</w:t>
      </w:r>
    </w:p>
  </w:footnote>
  <w:footnote w:id="5">
    <w:p w14:paraId="6F51BDAF" w14:textId="6D39B6E9" w:rsidR="00653EA6" w:rsidRPr="000B6B7A" w:rsidRDefault="00493C6C" w:rsidP="00CA14B3">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6">
    <w:p w14:paraId="452BE612" w14:textId="0D8DB6B3" w:rsidR="00A14AAA" w:rsidRPr="00F5148D" w:rsidRDefault="00493C6C" w:rsidP="00A14AAA">
      <w:pPr>
        <w:pStyle w:val="FootnoteText"/>
        <w:jc w:val="both"/>
        <w:rPr>
          <w:rFonts w:asciiTheme="majorHAnsi" w:hAnsiTheme="majorHAnsi"/>
          <w:sz w:val="16"/>
          <w:szCs w:val="16"/>
        </w:rPr>
      </w:pPr>
      <w:r>
        <w:rPr>
          <w:rFonts w:asciiTheme="majorHAnsi" w:hAnsiTheme="majorHAnsi"/>
          <w:sz w:val="16"/>
          <w:szCs w:val="16"/>
        </w:rPr>
        <w:tab/>
      </w:r>
      <w:r w:rsidR="00A14AAA" w:rsidRPr="002774D2">
        <w:rPr>
          <w:rStyle w:val="FootnoteReference"/>
          <w:rFonts w:asciiTheme="majorHAnsi" w:hAnsiTheme="majorHAnsi"/>
          <w:sz w:val="16"/>
          <w:szCs w:val="16"/>
        </w:rPr>
        <w:footnoteRef/>
      </w:r>
      <w:r w:rsidR="00A14AAA" w:rsidRPr="00F5148D">
        <w:rPr>
          <w:rFonts w:asciiTheme="majorHAnsi" w:hAnsiTheme="majorHAnsi"/>
          <w:sz w:val="16"/>
          <w:szCs w:val="16"/>
        </w:rPr>
        <w:t xml:space="preserve"> IACHR, Report No. 72/18, Petition 1131-08. Admissibility. </w:t>
      </w:r>
      <w:r w:rsidR="00A14AAA" w:rsidRPr="00493C6C">
        <w:rPr>
          <w:rFonts w:asciiTheme="majorHAnsi" w:hAnsiTheme="majorHAnsi"/>
          <w:sz w:val="16"/>
          <w:szCs w:val="16"/>
          <w:lang w:val="pt-BR"/>
        </w:rPr>
        <w:t xml:space="preserve">Moisés de Jesús Hernández Pinto and family. Guatemala. June 20, 2018, para. 10. IACHR, Report No. 70/14. Petition 1453-06. Admissibility. Maicon de Souza Silva. Renato da Silva Paixão and others. July 25, 2014, para. 18; Report No. 3/12, Petition 12.224, Admissibility, Santiago Antezana Cueto et al., Peru, January 27, 2012, par. 24; Report No. 124/17, Petition 21-08, Admissibility, Fernanda López Medina et al., Peru, September 7, 2017, paras. </w:t>
      </w:r>
      <w:r w:rsidR="00A14AAA" w:rsidRPr="00F5148D">
        <w:rPr>
          <w:rFonts w:asciiTheme="majorHAnsi" w:hAnsiTheme="majorHAnsi"/>
          <w:sz w:val="16"/>
          <w:szCs w:val="16"/>
        </w:rPr>
        <w:t>3, 9-11.</w:t>
      </w:r>
    </w:p>
  </w:footnote>
  <w:footnote w:id="7">
    <w:p w14:paraId="0FEF4E2F" w14:textId="6DAB634C" w:rsidR="00A14AAA" w:rsidRPr="00F5148D" w:rsidRDefault="00493C6C" w:rsidP="00A14AAA">
      <w:pPr>
        <w:pStyle w:val="FootnoteText"/>
        <w:jc w:val="both"/>
        <w:rPr>
          <w:rFonts w:asciiTheme="majorHAnsi" w:hAnsiTheme="majorHAnsi" w:cstheme="minorHAnsi"/>
          <w:sz w:val="16"/>
          <w:szCs w:val="16"/>
        </w:rPr>
      </w:pPr>
      <w:r>
        <w:rPr>
          <w:rFonts w:asciiTheme="majorHAnsi" w:hAnsiTheme="majorHAnsi" w:cstheme="minorHAnsi"/>
          <w:sz w:val="16"/>
          <w:szCs w:val="16"/>
        </w:rPr>
        <w:tab/>
      </w:r>
      <w:r w:rsidR="00A14AAA" w:rsidRPr="002774D2">
        <w:rPr>
          <w:rStyle w:val="FootnoteReference"/>
          <w:rFonts w:asciiTheme="majorHAnsi" w:hAnsiTheme="majorHAnsi" w:cstheme="minorHAnsi"/>
          <w:sz w:val="16"/>
          <w:szCs w:val="16"/>
        </w:rPr>
        <w:footnoteRef/>
      </w:r>
      <w:r w:rsidR="00A14AAA" w:rsidRPr="00F5148D">
        <w:rPr>
          <w:rFonts w:asciiTheme="majorHAnsi" w:hAnsiTheme="majorHAnsi" w:cstheme="minorHAnsi"/>
          <w:sz w:val="16"/>
          <w:szCs w:val="16"/>
        </w:rPr>
        <w:t xml:space="preserve"> IACHR, Report No. 159/17, Petition 712-08. Admissibility. </w:t>
      </w:r>
      <w:proofErr w:type="spellStart"/>
      <w:r w:rsidR="00A14AAA" w:rsidRPr="00F5148D">
        <w:rPr>
          <w:rFonts w:asciiTheme="majorHAnsi" w:hAnsiTheme="majorHAnsi" w:cstheme="minorHAnsi"/>
          <w:sz w:val="16"/>
          <w:szCs w:val="16"/>
        </w:rPr>
        <w:t>Sebastián</w:t>
      </w:r>
      <w:proofErr w:type="spellEnd"/>
      <w:r w:rsidR="00A14AAA" w:rsidRPr="00F5148D">
        <w:rPr>
          <w:rFonts w:asciiTheme="majorHAnsi" w:hAnsiTheme="majorHAnsi" w:cstheme="minorHAnsi"/>
          <w:sz w:val="16"/>
          <w:szCs w:val="16"/>
        </w:rPr>
        <w:t xml:space="preserve"> </w:t>
      </w:r>
      <w:proofErr w:type="spellStart"/>
      <w:r w:rsidR="00A14AAA" w:rsidRPr="00F5148D">
        <w:rPr>
          <w:rFonts w:asciiTheme="majorHAnsi" w:hAnsiTheme="majorHAnsi" w:cstheme="minorHAnsi"/>
          <w:sz w:val="16"/>
          <w:szCs w:val="16"/>
        </w:rPr>
        <w:t>Larroza</w:t>
      </w:r>
      <w:proofErr w:type="spellEnd"/>
      <w:r w:rsidR="00A14AAA" w:rsidRPr="00F5148D">
        <w:rPr>
          <w:rFonts w:asciiTheme="majorHAnsi" w:hAnsiTheme="majorHAnsi" w:cstheme="minorHAnsi"/>
          <w:sz w:val="16"/>
          <w:szCs w:val="16"/>
        </w:rPr>
        <w:t xml:space="preserve"> Velázquez and family. Paraguay. November 30, 2017, para. 14.</w:t>
      </w:r>
    </w:p>
  </w:footnote>
  <w:footnote w:id="8">
    <w:p w14:paraId="48193443" w14:textId="23860395" w:rsidR="0028259C" w:rsidRPr="00F5148D" w:rsidRDefault="00493C6C" w:rsidP="0028259C">
      <w:pPr>
        <w:pStyle w:val="FootnoteText"/>
        <w:rPr>
          <w:rFonts w:asciiTheme="majorHAnsi" w:hAnsiTheme="majorHAnsi" w:cstheme="minorHAnsi"/>
          <w:sz w:val="16"/>
          <w:szCs w:val="16"/>
        </w:rPr>
      </w:pPr>
      <w:r>
        <w:rPr>
          <w:rFonts w:asciiTheme="majorHAnsi" w:hAnsiTheme="majorHAnsi" w:cstheme="minorHAnsi"/>
          <w:sz w:val="16"/>
          <w:szCs w:val="16"/>
        </w:rPr>
        <w:tab/>
      </w:r>
      <w:r w:rsidR="0028259C" w:rsidRPr="00A84F6B">
        <w:rPr>
          <w:rStyle w:val="FootnoteReference"/>
          <w:rFonts w:asciiTheme="majorHAnsi" w:hAnsiTheme="majorHAnsi" w:cstheme="minorHAnsi"/>
          <w:sz w:val="16"/>
          <w:szCs w:val="16"/>
        </w:rPr>
        <w:footnoteRef/>
      </w:r>
      <w:r w:rsidR="0028259C" w:rsidRPr="00F5148D">
        <w:rPr>
          <w:rFonts w:asciiTheme="majorHAnsi" w:hAnsiTheme="majorHAnsi" w:cstheme="minorHAnsi"/>
          <w:sz w:val="16"/>
          <w:szCs w:val="16"/>
        </w:rPr>
        <w:t xml:space="preserve"> IACHR, Report No. 108/19. Petition 81-09. Admissibility. </w:t>
      </w:r>
      <w:proofErr w:type="spellStart"/>
      <w:r w:rsidR="0028259C" w:rsidRPr="00F5148D">
        <w:rPr>
          <w:rFonts w:asciiTheme="majorHAnsi" w:hAnsiTheme="majorHAnsi" w:cstheme="minorHAnsi"/>
          <w:sz w:val="16"/>
          <w:szCs w:val="16"/>
        </w:rPr>
        <w:t>Anael</w:t>
      </w:r>
      <w:proofErr w:type="spellEnd"/>
      <w:r w:rsidR="0028259C" w:rsidRPr="00F5148D">
        <w:rPr>
          <w:rFonts w:asciiTheme="majorHAnsi" w:hAnsiTheme="majorHAnsi" w:cstheme="minorHAnsi"/>
          <w:sz w:val="16"/>
          <w:szCs w:val="16"/>
        </w:rPr>
        <w:t xml:space="preserve"> Fidel </w:t>
      </w:r>
      <w:proofErr w:type="spellStart"/>
      <w:r w:rsidR="0028259C" w:rsidRPr="00F5148D">
        <w:rPr>
          <w:rFonts w:asciiTheme="majorHAnsi" w:hAnsiTheme="majorHAnsi" w:cstheme="minorHAnsi"/>
          <w:sz w:val="16"/>
          <w:szCs w:val="16"/>
        </w:rPr>
        <w:t>Sanjuanelo</w:t>
      </w:r>
      <w:proofErr w:type="spellEnd"/>
      <w:r w:rsidR="0028259C" w:rsidRPr="00F5148D">
        <w:rPr>
          <w:rFonts w:asciiTheme="majorHAnsi" w:hAnsiTheme="majorHAnsi" w:cstheme="minorHAnsi"/>
          <w:sz w:val="16"/>
          <w:szCs w:val="16"/>
        </w:rPr>
        <w:t xml:space="preserve"> Polo and family. Colombia. July 28, 2019, paras. 17-19.</w:t>
      </w:r>
    </w:p>
  </w:footnote>
  <w:footnote w:id="9">
    <w:p w14:paraId="38804D89" w14:textId="3285B624" w:rsidR="00E44DF9" w:rsidRPr="00F5148D" w:rsidRDefault="00493C6C" w:rsidP="00E44DF9">
      <w:pPr>
        <w:pStyle w:val="FootnoteText"/>
        <w:rPr>
          <w:rFonts w:asciiTheme="majorHAnsi" w:hAnsiTheme="majorHAnsi"/>
          <w:sz w:val="16"/>
          <w:szCs w:val="16"/>
        </w:rPr>
      </w:pPr>
      <w:r>
        <w:rPr>
          <w:rFonts w:asciiTheme="majorHAnsi" w:hAnsiTheme="majorHAnsi"/>
          <w:sz w:val="16"/>
          <w:szCs w:val="16"/>
        </w:rPr>
        <w:tab/>
      </w:r>
      <w:r w:rsidR="00E44DF9" w:rsidRPr="004A62AD">
        <w:rPr>
          <w:rStyle w:val="FootnoteReference"/>
          <w:rFonts w:asciiTheme="majorHAnsi" w:hAnsiTheme="majorHAnsi"/>
          <w:sz w:val="16"/>
          <w:szCs w:val="16"/>
        </w:rPr>
        <w:footnoteRef/>
      </w:r>
      <w:r w:rsidR="00E44DF9" w:rsidRPr="00F5148D">
        <w:rPr>
          <w:rFonts w:asciiTheme="majorHAnsi" w:hAnsiTheme="majorHAnsi"/>
          <w:sz w:val="16"/>
          <w:szCs w:val="16"/>
        </w:rPr>
        <w:t xml:space="preserve"> Code of </w:t>
      </w:r>
      <w:r w:rsidR="001B49BB">
        <w:rPr>
          <w:rFonts w:asciiTheme="majorHAnsi" w:hAnsiTheme="majorHAnsi"/>
          <w:sz w:val="16"/>
          <w:szCs w:val="16"/>
        </w:rPr>
        <w:t xml:space="preserve">Criminal Procedure of </w:t>
      </w:r>
      <w:r w:rsidR="00E44DF9" w:rsidRPr="00F5148D">
        <w:rPr>
          <w:rFonts w:asciiTheme="majorHAnsi" w:hAnsiTheme="majorHAnsi"/>
          <w:sz w:val="16"/>
          <w:szCs w:val="16"/>
        </w:rPr>
        <w:t>1991, Article 45.</w:t>
      </w:r>
    </w:p>
  </w:footnote>
  <w:footnote w:id="10">
    <w:p w14:paraId="02029104" w14:textId="695FF724" w:rsidR="00E44DF9" w:rsidRPr="00F5148D" w:rsidRDefault="00493C6C" w:rsidP="00E44DF9">
      <w:pPr>
        <w:pStyle w:val="FootnoteText"/>
        <w:rPr>
          <w:rFonts w:asciiTheme="majorHAnsi" w:hAnsiTheme="majorHAnsi"/>
          <w:sz w:val="16"/>
          <w:szCs w:val="16"/>
        </w:rPr>
      </w:pPr>
      <w:r>
        <w:rPr>
          <w:rFonts w:asciiTheme="majorHAnsi" w:hAnsiTheme="majorHAnsi"/>
          <w:sz w:val="16"/>
          <w:szCs w:val="16"/>
        </w:rPr>
        <w:tab/>
      </w:r>
      <w:r w:rsidR="00E44DF9" w:rsidRPr="004A62AD">
        <w:rPr>
          <w:rStyle w:val="FootnoteReference"/>
          <w:rFonts w:asciiTheme="majorHAnsi" w:hAnsiTheme="majorHAnsi"/>
          <w:sz w:val="16"/>
          <w:szCs w:val="16"/>
        </w:rPr>
        <w:footnoteRef/>
      </w:r>
      <w:r w:rsidR="00E44DF9" w:rsidRPr="00F5148D">
        <w:rPr>
          <w:rFonts w:asciiTheme="majorHAnsi" w:hAnsiTheme="majorHAnsi"/>
          <w:sz w:val="16"/>
          <w:szCs w:val="16"/>
        </w:rPr>
        <w:t xml:space="preserve">  Code of Criminal Procedure of 1991, Articles 324 and 325.</w:t>
      </w:r>
    </w:p>
  </w:footnote>
  <w:footnote w:id="11">
    <w:p w14:paraId="6B12A2CD" w14:textId="0ECF3A5E" w:rsidR="00E44DF9" w:rsidRPr="00493C6C" w:rsidRDefault="00493C6C" w:rsidP="00E44DF9">
      <w:pPr>
        <w:pStyle w:val="FootnoteText"/>
        <w:rPr>
          <w:rFonts w:asciiTheme="majorHAnsi" w:hAnsiTheme="majorHAnsi" w:cstheme="minorHAnsi"/>
          <w:sz w:val="16"/>
          <w:szCs w:val="16"/>
        </w:rPr>
      </w:pPr>
      <w:r>
        <w:rPr>
          <w:rFonts w:asciiTheme="majorHAnsi" w:hAnsiTheme="majorHAnsi" w:cstheme="minorHAnsi"/>
          <w:sz w:val="16"/>
          <w:szCs w:val="16"/>
        </w:rPr>
        <w:tab/>
      </w:r>
      <w:r w:rsidR="00E44DF9" w:rsidRPr="00C67FF7">
        <w:rPr>
          <w:rStyle w:val="FootnoteReference"/>
          <w:rFonts w:asciiTheme="majorHAnsi" w:hAnsiTheme="majorHAnsi" w:cstheme="minorHAnsi"/>
          <w:sz w:val="16"/>
          <w:szCs w:val="16"/>
        </w:rPr>
        <w:footnoteRef/>
      </w:r>
      <w:r w:rsidR="00E44DF9" w:rsidRPr="00F5148D">
        <w:rPr>
          <w:rFonts w:asciiTheme="majorHAnsi" w:hAnsiTheme="majorHAnsi" w:cstheme="minorHAnsi"/>
          <w:sz w:val="16"/>
          <w:szCs w:val="16"/>
        </w:rPr>
        <w:t xml:space="preserve"> IACHR, Report No. 180/18, Petition 1616-07, Admissibility, A.G.A. and relatives, Colombia, December 26, 2018, para. </w:t>
      </w:r>
      <w:r w:rsidR="00E44DF9" w:rsidRPr="00493C6C">
        <w:rPr>
          <w:rFonts w:asciiTheme="majorHAnsi" w:hAnsiTheme="majorHAnsi" w:cstheme="minorHAnsi"/>
          <w:sz w:val="16"/>
          <w:szCs w:val="16"/>
        </w:rPr>
        <w:t xml:space="preserve">17; Report No. 27/19, Admissibility, Miguel </w:t>
      </w:r>
      <w:proofErr w:type="spellStart"/>
      <w:r w:rsidR="00E44DF9" w:rsidRPr="00493C6C">
        <w:rPr>
          <w:rFonts w:asciiTheme="majorHAnsi" w:hAnsiTheme="majorHAnsi" w:cstheme="minorHAnsi"/>
          <w:sz w:val="16"/>
          <w:szCs w:val="16"/>
        </w:rPr>
        <w:t>Ángel</w:t>
      </w:r>
      <w:proofErr w:type="spellEnd"/>
      <w:r w:rsidR="00E44DF9" w:rsidRPr="00493C6C">
        <w:rPr>
          <w:rFonts w:asciiTheme="majorHAnsi" w:hAnsiTheme="majorHAnsi" w:cstheme="minorHAnsi"/>
          <w:sz w:val="16"/>
          <w:szCs w:val="16"/>
        </w:rPr>
        <w:t xml:space="preserve"> Córdoba, Argentina, March 16, 2019, para.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03A36"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7B36" w14:textId="77777777" w:rsidR="00D71B76" w:rsidRDefault="00D71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E2B186E"/>
    <w:multiLevelType w:val="hybridMultilevel"/>
    <w:tmpl w:val="0C8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F90DD6"/>
    <w:multiLevelType w:val="hybridMultilevel"/>
    <w:tmpl w:val="2EE4408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8"/>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8"/>
  </w:num>
  <w:num w:numId="55">
    <w:abstractNumId w:val="39"/>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9"/>
  </w:num>
  <w:num w:numId="85">
    <w:abstractNumId w:val="52"/>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3"/>
  </w:num>
  <w:num w:numId="96">
    <w:abstractNumId w:val="55"/>
  </w:num>
  <w:num w:numId="97">
    <w:abstractNumId w:val="53"/>
  </w:num>
  <w:num w:numId="98">
    <w:abstractNumId w:val="48"/>
  </w:num>
  <w:num w:numId="99">
    <w:abstractNumId w:val="37"/>
  </w:num>
  <w:num w:numId="100">
    <w:abstractNumId w:val="3"/>
  </w:num>
  <w:num w:numId="101">
    <w:abstractNumId w:val="26"/>
  </w:num>
  <w:num w:numId="102">
    <w:abstractNumId w:val="50"/>
  </w:num>
  <w:num w:numId="103">
    <w:abstractNumId w:val="5"/>
  </w:num>
  <w:num w:numId="104">
    <w:abstractNumId w:val="11"/>
  </w:num>
  <w:num w:numId="105">
    <w:abstractNumId w:val="46"/>
  </w:num>
  <w:num w:numId="106">
    <w:abstractNumId w:val="56"/>
  </w:num>
  <w:num w:numId="107">
    <w:abstractNumId w:val="45"/>
  </w:num>
  <w:num w:numId="108">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4856"/>
    <w:rsid w:val="00036A8A"/>
    <w:rsid w:val="00040C3A"/>
    <w:rsid w:val="00044569"/>
    <w:rsid w:val="000639C0"/>
    <w:rsid w:val="00070571"/>
    <w:rsid w:val="00070F3A"/>
    <w:rsid w:val="000716C5"/>
    <w:rsid w:val="00075E23"/>
    <w:rsid w:val="00092F32"/>
    <w:rsid w:val="0009344A"/>
    <w:rsid w:val="00094D5B"/>
    <w:rsid w:val="000A575F"/>
    <w:rsid w:val="000B5E02"/>
    <w:rsid w:val="000C4365"/>
    <w:rsid w:val="000D10DB"/>
    <w:rsid w:val="001162AF"/>
    <w:rsid w:val="00124116"/>
    <w:rsid w:val="00130279"/>
    <w:rsid w:val="0013104F"/>
    <w:rsid w:val="00137EBA"/>
    <w:rsid w:val="00145EDC"/>
    <w:rsid w:val="00153084"/>
    <w:rsid w:val="00153439"/>
    <w:rsid w:val="00157B97"/>
    <w:rsid w:val="00167A34"/>
    <w:rsid w:val="00167D72"/>
    <w:rsid w:val="001714B4"/>
    <w:rsid w:val="0018037F"/>
    <w:rsid w:val="00185E08"/>
    <w:rsid w:val="001A5F27"/>
    <w:rsid w:val="001A65E4"/>
    <w:rsid w:val="001A7870"/>
    <w:rsid w:val="001B2EA5"/>
    <w:rsid w:val="001B49BB"/>
    <w:rsid w:val="001C1B41"/>
    <w:rsid w:val="001D7F83"/>
    <w:rsid w:val="001E366B"/>
    <w:rsid w:val="001F1902"/>
    <w:rsid w:val="00210E0E"/>
    <w:rsid w:val="00210F4B"/>
    <w:rsid w:val="00220CFD"/>
    <w:rsid w:val="00230163"/>
    <w:rsid w:val="00232B3E"/>
    <w:rsid w:val="0023351C"/>
    <w:rsid w:val="00235D4D"/>
    <w:rsid w:val="002467C2"/>
    <w:rsid w:val="00247403"/>
    <w:rsid w:val="00247542"/>
    <w:rsid w:val="00257893"/>
    <w:rsid w:val="00266092"/>
    <w:rsid w:val="00266B61"/>
    <w:rsid w:val="0026712A"/>
    <w:rsid w:val="002704DB"/>
    <w:rsid w:val="002760CE"/>
    <w:rsid w:val="0028259C"/>
    <w:rsid w:val="002B7A85"/>
    <w:rsid w:val="002C1641"/>
    <w:rsid w:val="002D7EA2"/>
    <w:rsid w:val="002E15DF"/>
    <w:rsid w:val="002E187C"/>
    <w:rsid w:val="002E6E57"/>
    <w:rsid w:val="00301075"/>
    <w:rsid w:val="00302733"/>
    <w:rsid w:val="00302748"/>
    <w:rsid w:val="00311A4F"/>
    <w:rsid w:val="00314078"/>
    <w:rsid w:val="00321AFD"/>
    <w:rsid w:val="00322450"/>
    <w:rsid w:val="003246B5"/>
    <w:rsid w:val="0033169F"/>
    <w:rsid w:val="003414AC"/>
    <w:rsid w:val="00347852"/>
    <w:rsid w:val="00356185"/>
    <w:rsid w:val="00360380"/>
    <w:rsid w:val="003771A3"/>
    <w:rsid w:val="003826B3"/>
    <w:rsid w:val="003854F5"/>
    <w:rsid w:val="00386CF0"/>
    <w:rsid w:val="003A18A7"/>
    <w:rsid w:val="003A4348"/>
    <w:rsid w:val="003C32BC"/>
    <w:rsid w:val="003E3E03"/>
    <w:rsid w:val="003F1BBF"/>
    <w:rsid w:val="004162B1"/>
    <w:rsid w:val="004165C2"/>
    <w:rsid w:val="00441718"/>
    <w:rsid w:val="00450A4A"/>
    <w:rsid w:val="004666FB"/>
    <w:rsid w:val="00466D0B"/>
    <w:rsid w:val="00467B7E"/>
    <w:rsid w:val="00476D29"/>
    <w:rsid w:val="00484FE3"/>
    <w:rsid w:val="00493C6C"/>
    <w:rsid w:val="0049419D"/>
    <w:rsid w:val="004B2762"/>
    <w:rsid w:val="004B7EB6"/>
    <w:rsid w:val="004C41DE"/>
    <w:rsid w:val="004C4B62"/>
    <w:rsid w:val="004C7A36"/>
    <w:rsid w:val="004D6025"/>
    <w:rsid w:val="004D72BC"/>
    <w:rsid w:val="004F6B67"/>
    <w:rsid w:val="00501399"/>
    <w:rsid w:val="00507BC4"/>
    <w:rsid w:val="005128E4"/>
    <w:rsid w:val="00521B60"/>
    <w:rsid w:val="00525560"/>
    <w:rsid w:val="00530E42"/>
    <w:rsid w:val="005357A6"/>
    <w:rsid w:val="005406C2"/>
    <w:rsid w:val="00544C49"/>
    <w:rsid w:val="0057402A"/>
    <w:rsid w:val="00576A49"/>
    <w:rsid w:val="005771D0"/>
    <w:rsid w:val="005816E5"/>
    <w:rsid w:val="0059191A"/>
    <w:rsid w:val="005921FF"/>
    <w:rsid w:val="00592718"/>
    <w:rsid w:val="005A4F7C"/>
    <w:rsid w:val="005A6D0E"/>
    <w:rsid w:val="005B0771"/>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5506C"/>
    <w:rsid w:val="006614CA"/>
    <w:rsid w:val="0067654C"/>
    <w:rsid w:val="0068009E"/>
    <w:rsid w:val="006A17D2"/>
    <w:rsid w:val="006A73E6"/>
    <w:rsid w:val="006B2D5C"/>
    <w:rsid w:val="006C4EB1"/>
    <w:rsid w:val="006D4707"/>
    <w:rsid w:val="006E0166"/>
    <w:rsid w:val="006E7B34"/>
    <w:rsid w:val="00701B24"/>
    <w:rsid w:val="00702338"/>
    <w:rsid w:val="00703594"/>
    <w:rsid w:val="0071495F"/>
    <w:rsid w:val="0073798E"/>
    <w:rsid w:val="00745899"/>
    <w:rsid w:val="007607C4"/>
    <w:rsid w:val="007656D5"/>
    <w:rsid w:val="0076643F"/>
    <w:rsid w:val="00781653"/>
    <w:rsid w:val="007A2F70"/>
    <w:rsid w:val="007C3334"/>
    <w:rsid w:val="007C52BB"/>
    <w:rsid w:val="007D1585"/>
    <w:rsid w:val="007D2B98"/>
    <w:rsid w:val="007F196E"/>
    <w:rsid w:val="00803F1C"/>
    <w:rsid w:val="0080600E"/>
    <w:rsid w:val="00817612"/>
    <w:rsid w:val="00817887"/>
    <w:rsid w:val="00837C45"/>
    <w:rsid w:val="00842B67"/>
    <w:rsid w:val="00853419"/>
    <w:rsid w:val="00893AF4"/>
    <w:rsid w:val="00897E12"/>
    <w:rsid w:val="008A614D"/>
    <w:rsid w:val="008A61AD"/>
    <w:rsid w:val="008D43BA"/>
    <w:rsid w:val="008E10AB"/>
    <w:rsid w:val="008E3759"/>
    <w:rsid w:val="00903A36"/>
    <w:rsid w:val="009041DC"/>
    <w:rsid w:val="009104B4"/>
    <w:rsid w:val="009228DA"/>
    <w:rsid w:val="00925FCD"/>
    <w:rsid w:val="009320A2"/>
    <w:rsid w:val="0093441A"/>
    <w:rsid w:val="00954BF7"/>
    <w:rsid w:val="0096706E"/>
    <w:rsid w:val="00981FBA"/>
    <w:rsid w:val="009B381B"/>
    <w:rsid w:val="009D7611"/>
    <w:rsid w:val="009E53DE"/>
    <w:rsid w:val="009E566A"/>
    <w:rsid w:val="009F1B3B"/>
    <w:rsid w:val="00A04C52"/>
    <w:rsid w:val="00A12DBC"/>
    <w:rsid w:val="00A14AAA"/>
    <w:rsid w:val="00A43458"/>
    <w:rsid w:val="00A528D1"/>
    <w:rsid w:val="00A66BE5"/>
    <w:rsid w:val="00AD37C1"/>
    <w:rsid w:val="00AE0C9C"/>
    <w:rsid w:val="00AE66EC"/>
    <w:rsid w:val="00AE6F91"/>
    <w:rsid w:val="00AF5571"/>
    <w:rsid w:val="00B06BB7"/>
    <w:rsid w:val="00B167E9"/>
    <w:rsid w:val="00B179ED"/>
    <w:rsid w:val="00B314DB"/>
    <w:rsid w:val="00B31EBE"/>
    <w:rsid w:val="00B3718B"/>
    <w:rsid w:val="00B44B23"/>
    <w:rsid w:val="00B4632A"/>
    <w:rsid w:val="00B51815"/>
    <w:rsid w:val="00B92E49"/>
    <w:rsid w:val="00B930DB"/>
    <w:rsid w:val="00B96994"/>
    <w:rsid w:val="00BA276C"/>
    <w:rsid w:val="00BB306F"/>
    <w:rsid w:val="00BD232B"/>
    <w:rsid w:val="00BD2E42"/>
    <w:rsid w:val="00BD4B89"/>
    <w:rsid w:val="00BE45B0"/>
    <w:rsid w:val="00BF1835"/>
    <w:rsid w:val="00BF4B32"/>
    <w:rsid w:val="00C05480"/>
    <w:rsid w:val="00C14851"/>
    <w:rsid w:val="00C20982"/>
    <w:rsid w:val="00C21762"/>
    <w:rsid w:val="00C24543"/>
    <w:rsid w:val="00C256A2"/>
    <w:rsid w:val="00C27939"/>
    <w:rsid w:val="00C3492D"/>
    <w:rsid w:val="00C34BA2"/>
    <w:rsid w:val="00C447F0"/>
    <w:rsid w:val="00C55560"/>
    <w:rsid w:val="00C66B72"/>
    <w:rsid w:val="00C9567A"/>
    <w:rsid w:val="00CA14B3"/>
    <w:rsid w:val="00CA6577"/>
    <w:rsid w:val="00CB2660"/>
    <w:rsid w:val="00CC5E90"/>
    <w:rsid w:val="00CD046C"/>
    <w:rsid w:val="00CE5199"/>
    <w:rsid w:val="00CE5F36"/>
    <w:rsid w:val="00CE66D5"/>
    <w:rsid w:val="00D34786"/>
    <w:rsid w:val="00D40A1E"/>
    <w:rsid w:val="00D533C0"/>
    <w:rsid w:val="00D712D3"/>
    <w:rsid w:val="00D71422"/>
    <w:rsid w:val="00D7145E"/>
    <w:rsid w:val="00D71B76"/>
    <w:rsid w:val="00D720D9"/>
    <w:rsid w:val="00D74450"/>
    <w:rsid w:val="00D75084"/>
    <w:rsid w:val="00D7558D"/>
    <w:rsid w:val="00D81D92"/>
    <w:rsid w:val="00D93446"/>
    <w:rsid w:val="00DA7B5F"/>
    <w:rsid w:val="00DB2771"/>
    <w:rsid w:val="00DF078B"/>
    <w:rsid w:val="00DF350D"/>
    <w:rsid w:val="00E227C1"/>
    <w:rsid w:val="00E43157"/>
    <w:rsid w:val="00E44DF9"/>
    <w:rsid w:val="00E47F3D"/>
    <w:rsid w:val="00E533FF"/>
    <w:rsid w:val="00E709B3"/>
    <w:rsid w:val="00E7588C"/>
    <w:rsid w:val="00E850B6"/>
    <w:rsid w:val="00E8789F"/>
    <w:rsid w:val="00E97B71"/>
    <w:rsid w:val="00EB454D"/>
    <w:rsid w:val="00EB6B8C"/>
    <w:rsid w:val="00ED0D1B"/>
    <w:rsid w:val="00EE3522"/>
    <w:rsid w:val="00EF1E27"/>
    <w:rsid w:val="00EF619B"/>
    <w:rsid w:val="00F00B55"/>
    <w:rsid w:val="00F1380F"/>
    <w:rsid w:val="00F14F0E"/>
    <w:rsid w:val="00F15A3B"/>
    <w:rsid w:val="00F210CE"/>
    <w:rsid w:val="00F24C29"/>
    <w:rsid w:val="00F253CC"/>
    <w:rsid w:val="00F3670C"/>
    <w:rsid w:val="00F4076F"/>
    <w:rsid w:val="00F42B71"/>
    <w:rsid w:val="00F5148D"/>
    <w:rsid w:val="00F56BA5"/>
    <w:rsid w:val="00F57B59"/>
    <w:rsid w:val="00F621C3"/>
    <w:rsid w:val="00F644E6"/>
    <w:rsid w:val="00F862D8"/>
    <w:rsid w:val="00F9653B"/>
    <w:rsid w:val="00FB62CF"/>
    <w:rsid w:val="00FC3EB4"/>
    <w:rsid w:val="00FC6C58"/>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0D1A0F"/>
    <w:rsid w:val="00142C8C"/>
    <w:rsid w:val="001664DB"/>
    <w:rsid w:val="00356B42"/>
    <w:rsid w:val="004108B1"/>
    <w:rsid w:val="00602DBB"/>
    <w:rsid w:val="00733948"/>
    <w:rsid w:val="007A28FD"/>
    <w:rsid w:val="009405F6"/>
    <w:rsid w:val="00AB44F1"/>
    <w:rsid w:val="00B27754"/>
    <w:rsid w:val="00BD73EC"/>
    <w:rsid w:val="00C46B03"/>
    <w:rsid w:val="00D7165A"/>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C710-6718-4D74-8A86-22E934C7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3077</Words>
  <Characters>16805</Characters>
  <Application>Microsoft Office Word</Application>
  <DocSecurity>0</DocSecurity>
  <Lines>317</Lines>
  <Paragraphs>92</Paragraphs>
  <ScaleCrop>false</ScaleCrop>
  <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181/20</dc:title>
  <dc:creator/>
  <cp:lastModifiedBy/>
  <cp:revision>1</cp:revision>
  <dcterms:created xsi:type="dcterms:W3CDTF">2020-07-30T18:43:00Z</dcterms:created>
  <dcterms:modified xsi:type="dcterms:W3CDTF">2020-07-30T18:43:00Z</dcterms:modified>
</cp:coreProperties>
</file>