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7D" w:rsidRDefault="003F32A0">
      <w:pPr>
        <w:pStyle w:val="Body"/>
        <w:jc w:val="both"/>
        <w:rPr>
          <w:rFonts w:ascii="Cambria" w:eastAsia="Cambria" w:hAnsi="Cambria" w:cs="Cambria"/>
          <w:b/>
          <w:bCs/>
          <w:sz w:val="22"/>
          <w:szCs w:val="22"/>
        </w:rPr>
      </w:pPr>
      <w:bookmarkStart w:id="0" w:name="_GoBack"/>
      <w:bookmarkEnd w:id="0"/>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1115786</wp:posOffset>
                </wp:positionH>
                <wp:positionV relativeFrom="line">
                  <wp:posOffset>-494756</wp:posOffset>
                </wp:positionV>
                <wp:extent cx="2581275" cy="7524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581275" cy="752475"/>
                        </a:xfrm>
                        <a:prstGeom prst="rect">
                          <a:avLst/>
                        </a:prstGeom>
                        <a:noFill/>
                        <a:ln w="12700" cap="flat">
                          <a:noFill/>
                          <a:miter lim="400000"/>
                        </a:ln>
                        <a:effectLst/>
                      </wps:spPr>
                      <wps:txbx>
                        <w:txbxContent>
                          <w:p w:rsidR="007C527D" w:rsidRDefault="003F32A0">
                            <w:pPr>
                              <w:pStyle w:val="Body"/>
                            </w:pPr>
                            <w:r>
                              <w:rPr>
                                <w:lang w:val="de-DE"/>
                              </w:rPr>
                              <w:t xml:space="preserve">                                               </w:t>
                            </w:r>
                            <w:r>
                              <w:rPr>
                                <w:noProof/>
                              </w:rPr>
                              <w:drawing>
                                <wp:inline distT="0" distB="0" distL="0" distR="0" wp14:anchorId="094522E5" wp14:editId="3C5854E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wrap="square" lIns="45719" tIns="45719" rIns="45719" bIns="45719" numCol="1" anchor="t">
                        <a:noAutofit/>
                      </wps:bodyPr>
                    </wps:wsp>
                  </a:graphicData>
                </a:graphic>
                <wp14:sizeRelH relativeFrom="margin">
                  <wp14:pctWidth>0</wp14:pctWidth>
                </wp14:sizeRelH>
              </wp:anchor>
            </w:drawing>
          </mc:Choice>
          <mc:Fallback>
            <w:pict>
              <v:rect id="officeArt object" o:spid="_x0000_s1026" style="position:absolute;left:0;text-align:left;margin-left:87.85pt;margin-top:-38.95pt;width:203.25pt;height:59.25pt;z-index:251663360;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" filled="f" stroked="f" strokeweight="1pt">
                <v:stroke miterlimit="4"/>
                <v:textbox inset="1.27mm,1.27mm,1.27mm,1.27mm">
                  <w:txbxContent>
                    <w:p w:rsidR="007C527D" w:rsidRDefault="003F32A0">
                      <w:pPr>
                        <w:pStyle w:val="Body"/>
                      </w:pPr>
                      <w:r>
                        <w:rPr>
                          <w:lang w:val="de-DE"/>
                        </w:rPr>
                        <w:t xml:space="preserve">                                               </w:t>
                      </w:r>
                      <w:r>
                        <w:rPr>
                          <w:noProof/>
                        </w:rPr>
                        <w:drawing>
                          <wp:inline distT="0" distB="0" distL="0" distR="0" wp14:anchorId="094522E5" wp14:editId="3C5854E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59264" behindDoc="0" locked="0" layoutInCell="1" allowOverlap="1">
                <wp:simplePos x="0" y="0"/>
                <wp:positionH relativeFrom="column">
                  <wp:posOffset>-415925</wp:posOffset>
                </wp:positionH>
                <wp:positionV relativeFrom="line">
                  <wp:posOffset>-356869</wp:posOffset>
                </wp:positionV>
                <wp:extent cx="1409700" cy="897763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10103383" id="officeArt object" o:spid="_x0000_s1026" style="position:absolute;margin-left:-32.75pt;margin-top:-28.1pt;width:111pt;height:706.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" fillcolor="#67ae3c" stroked="f" strokeweight="1pt">
                <v:stroke miterlimit="4"/>
                <w10:wrap anchory="line"/>
              </v:rect>
            </w:pict>
          </mc:Fallback>
        </mc:AlternateContent>
      </w:r>
    </w:p>
    <w:p w:rsidR="007C527D" w:rsidRDefault="007C527D">
      <w:pPr>
        <w:pStyle w:val="Body"/>
        <w:tabs>
          <w:tab w:val="center" w:pos="5400"/>
        </w:tabs>
        <w:suppressAutoHyphens/>
        <w:jc w:val="both"/>
        <w:rPr>
          <w:rFonts w:ascii="Cambria" w:eastAsia="Cambria" w:hAnsi="Cambria" w:cs="Cambria"/>
          <w:sz w:val="22"/>
          <w:szCs w:val="22"/>
          <w:lang w:val="es-ES_tradnl"/>
        </w:rPr>
      </w:pPr>
    </w:p>
    <w:p w:rsidR="007C527D" w:rsidRDefault="007C527D">
      <w:pPr>
        <w:pStyle w:val="Body"/>
        <w:tabs>
          <w:tab w:val="center" w:pos="5400"/>
        </w:tabs>
        <w:suppressAutoHyphens/>
        <w:jc w:val="both"/>
        <w:rPr>
          <w:rFonts w:ascii="Cambria" w:eastAsia="Cambria" w:hAnsi="Cambria" w:cs="Cambria"/>
          <w:sz w:val="22"/>
          <w:szCs w:val="22"/>
          <w:lang w:val="es-ES_tradnl"/>
        </w:rPr>
      </w:pPr>
    </w:p>
    <w:p w:rsidR="007C527D" w:rsidRDefault="007C527D">
      <w:pPr>
        <w:pStyle w:val="Body"/>
        <w:tabs>
          <w:tab w:val="center" w:pos="5400"/>
        </w:tabs>
        <w:suppressAutoHyphens/>
        <w:rPr>
          <w:rFonts w:ascii="Cambria" w:eastAsia="Cambria" w:hAnsi="Cambria" w:cs="Cambria"/>
          <w:sz w:val="22"/>
          <w:szCs w:val="22"/>
          <w:lang w:val="es-ES_tradnl"/>
        </w:rPr>
      </w:pPr>
    </w:p>
    <w:p w:rsidR="007C527D" w:rsidRDefault="007C527D">
      <w:pPr>
        <w:pStyle w:val="Body"/>
        <w:tabs>
          <w:tab w:val="center" w:pos="5400"/>
        </w:tabs>
        <w:suppressAutoHyphens/>
        <w:rPr>
          <w:rFonts w:ascii="Cambria" w:eastAsia="Cambria" w:hAnsi="Cambria" w:cs="Cambria"/>
          <w:sz w:val="22"/>
          <w:szCs w:val="22"/>
          <w:lang w:val="es-ES_tradnl"/>
        </w:rPr>
      </w:pPr>
    </w:p>
    <w:p w:rsidR="007C527D" w:rsidRDefault="007C527D">
      <w:pPr>
        <w:pStyle w:val="Body"/>
        <w:tabs>
          <w:tab w:val="center" w:pos="5400"/>
        </w:tabs>
        <w:suppressAutoHyphens/>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3F32A0">
      <w:pPr>
        <w:pStyle w:val="Body"/>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1209674</wp:posOffset>
                </wp:positionH>
                <wp:positionV relativeFrom="line">
                  <wp:posOffset>79375</wp:posOffset>
                </wp:positionV>
                <wp:extent cx="4333875" cy="235077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333875" cy="2350770"/>
                        </a:xfrm>
                        <a:prstGeom prst="rect">
                          <a:avLst/>
                        </a:prstGeom>
                        <a:noFill/>
                        <a:ln w="12700" cap="flat">
                          <a:noFill/>
                          <a:miter lim="400000"/>
                        </a:ln>
                        <a:effectLst/>
                      </wps:spPr>
                      <wps:txbx>
                        <w:txbxContent>
                          <w:p w:rsidR="007C527D" w:rsidRDefault="002F41D4">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93</w:t>
                            </w:r>
                            <w:r w:rsidR="003F32A0">
                              <w:rPr>
                                <w:rFonts w:ascii="Cambria" w:eastAsia="Cambria" w:hAnsi="Cambria" w:cs="Cambria"/>
                                <w:b/>
                                <w:bCs/>
                                <w:color w:val="0D0D0D"/>
                                <w:sz w:val="36"/>
                                <w:szCs w:val="36"/>
                                <w:u w:color="0D0D0D"/>
                              </w:rPr>
                              <w:t>/20</w:t>
                            </w:r>
                          </w:p>
                          <w:p w:rsidR="007C527D" w:rsidRDefault="003F32A0">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501-09</w:t>
                            </w:r>
                          </w:p>
                          <w:p w:rsidR="007C527D" w:rsidRDefault="003F32A0">
                            <w:pPr>
                              <w:pStyle w:val="Body"/>
                              <w:spacing w:line="276" w:lineRule="auto"/>
                              <w:rPr>
                                <w:rFonts w:ascii="Cambria" w:eastAsia="Cambria" w:hAnsi="Cambria" w:cs="Cambria"/>
                                <w:color w:val="0D0D0D"/>
                                <w:u w:color="0D0D0D"/>
                              </w:rPr>
                            </w:pPr>
                            <w:r>
                              <w:rPr>
                                <w:rFonts w:ascii="Cambria" w:eastAsia="Cambria" w:hAnsi="Cambria" w:cs="Cambria"/>
                                <w:color w:val="0D0D0D"/>
                                <w:u w:color="0D0D0D"/>
                                <w:lang w:val="de-DE"/>
                              </w:rPr>
                              <w:t xml:space="preserve">REPORT ON </w:t>
                            </w:r>
                            <w:r>
                              <w:rPr>
                                <w:rFonts w:ascii="Cambria" w:eastAsia="Cambria" w:hAnsi="Cambria" w:cs="Cambria"/>
                                <w:lang w:val="da-DK"/>
                              </w:rPr>
                              <w:t>ADMISSIBILITY</w:t>
                            </w:r>
                            <w:r>
                              <w:rPr>
                                <w:rFonts w:ascii="Cambria" w:eastAsia="Cambria" w:hAnsi="Cambria" w:cs="Cambria"/>
                                <w:color w:val="FF0000"/>
                                <w:u w:color="FF0000"/>
                              </w:rPr>
                              <w:t xml:space="preserve"> </w:t>
                            </w:r>
                          </w:p>
                          <w:p w:rsidR="007C527D" w:rsidRDefault="007C527D">
                            <w:pPr>
                              <w:pStyle w:val="Body"/>
                              <w:spacing w:line="276" w:lineRule="auto"/>
                              <w:rPr>
                                <w:rFonts w:ascii="Cambria" w:eastAsia="Cambria" w:hAnsi="Cambria" w:cs="Cambria"/>
                                <w:color w:val="0D0D0D"/>
                                <w:u w:color="0D0D0D"/>
                              </w:rPr>
                            </w:pPr>
                          </w:p>
                          <w:p w:rsidR="007C527D" w:rsidRDefault="003F32A0">
                            <w:pPr>
                              <w:pStyle w:val="Body"/>
                              <w:spacing w:line="276" w:lineRule="auto"/>
                              <w:rPr>
                                <w:rFonts w:ascii="Cambria" w:eastAsia="Cambria" w:hAnsi="Cambria" w:cs="Cambria"/>
                                <w:color w:val="0D0D0D"/>
                                <w:u w:color="0D0D0D"/>
                              </w:rPr>
                            </w:pPr>
                            <w:r>
                              <w:rPr>
                                <w:rFonts w:ascii="Cambria" w:eastAsia="Cambria" w:hAnsi="Cambria" w:cs="Cambria"/>
                                <w:color w:val="0D0D0D"/>
                                <w:u w:color="0D0D0D"/>
                              </w:rPr>
                              <w:t xml:space="preserve">RUBIELA ROJAS CHICA AND OTHERS </w:t>
                            </w:r>
                          </w:p>
                          <w:p w:rsidR="007C527D" w:rsidRDefault="003F32A0">
                            <w:pPr>
                              <w:pStyle w:val="Body"/>
                              <w:spacing w:line="276" w:lineRule="auto"/>
                              <w:rPr>
                                <w:rFonts w:ascii="Cambria" w:eastAsia="Cambria" w:hAnsi="Cambria" w:cs="Cambria"/>
                                <w:color w:val="0D0D0D"/>
                                <w:u w:color="0D0D0D"/>
                              </w:rPr>
                            </w:pPr>
                            <w:r>
                              <w:rPr>
                                <w:rFonts w:ascii="Cambria" w:eastAsia="Cambria" w:hAnsi="Cambria" w:cs="Cambria"/>
                                <w:color w:val="0D0D0D"/>
                                <w:u w:color="0D0D0D"/>
                              </w:rPr>
                              <w:t>COLOMBIA</w:t>
                            </w:r>
                          </w:p>
                        </w:txbxContent>
                      </wps:txbx>
                      <wps:bodyPr wrap="square" lIns="45719" tIns="45719" rIns="45719" bIns="45719" numCol="1" anchor="t">
                        <a:noAutofit/>
                      </wps:bodyPr>
                    </wps:wsp>
                  </a:graphicData>
                </a:graphic>
              </wp:anchor>
            </w:drawing>
          </mc:Choice>
          <mc:Fallback>
            <w:pict>
              <v:rect id="_x0000_s1027" style="position:absolute;left:0;text-align:left;margin-left:95.25pt;margin-top:6.25pt;width:341.25pt;height:185.1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" filled="f" stroked="f" strokeweight="1pt">
                <v:stroke miterlimit="4"/>
                <v:textbox inset="1.27mm,1.27mm,1.27mm,1.27mm">
                  <w:txbxContent>
                    <w:p w:rsidR="007C527D" w:rsidRDefault="002F41D4">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93</w:t>
                      </w:r>
                      <w:r w:rsidR="003F32A0">
                        <w:rPr>
                          <w:rFonts w:ascii="Cambria" w:eastAsia="Cambria" w:hAnsi="Cambria" w:cs="Cambria"/>
                          <w:b/>
                          <w:bCs/>
                          <w:color w:val="0D0D0D"/>
                          <w:sz w:val="36"/>
                          <w:szCs w:val="36"/>
                          <w:u w:color="0D0D0D"/>
                        </w:rPr>
                        <w:t>/20</w:t>
                      </w:r>
                    </w:p>
                    <w:p w:rsidR="007C527D" w:rsidRDefault="003F32A0">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501-09</w:t>
                      </w:r>
                    </w:p>
                    <w:p w:rsidR="007C527D" w:rsidRDefault="003F32A0">
                      <w:pPr>
                        <w:pStyle w:val="Body"/>
                        <w:spacing w:line="276" w:lineRule="auto"/>
                        <w:rPr>
                          <w:rFonts w:ascii="Cambria" w:eastAsia="Cambria" w:hAnsi="Cambria" w:cs="Cambria"/>
                          <w:color w:val="0D0D0D"/>
                          <w:u w:color="0D0D0D"/>
                        </w:rPr>
                      </w:pPr>
                      <w:r>
                        <w:rPr>
                          <w:rFonts w:ascii="Cambria" w:eastAsia="Cambria" w:hAnsi="Cambria" w:cs="Cambria"/>
                          <w:color w:val="0D0D0D"/>
                          <w:u w:color="0D0D0D"/>
                          <w:lang w:val="de-DE"/>
                        </w:rPr>
                        <w:t xml:space="preserve">REPORT ON </w:t>
                      </w:r>
                      <w:r>
                        <w:rPr>
                          <w:rFonts w:ascii="Cambria" w:eastAsia="Cambria" w:hAnsi="Cambria" w:cs="Cambria"/>
                          <w:lang w:val="da-DK"/>
                        </w:rPr>
                        <w:t>ADMISSIBILITY</w:t>
                      </w:r>
                      <w:r>
                        <w:rPr>
                          <w:rFonts w:ascii="Cambria" w:eastAsia="Cambria" w:hAnsi="Cambria" w:cs="Cambria"/>
                          <w:color w:val="FF0000"/>
                          <w:u w:color="FF0000"/>
                        </w:rPr>
                        <w:t xml:space="preserve"> </w:t>
                      </w:r>
                    </w:p>
                    <w:p w:rsidR="007C527D" w:rsidRDefault="007C527D">
                      <w:pPr>
                        <w:pStyle w:val="Body"/>
                        <w:spacing w:line="276" w:lineRule="auto"/>
                        <w:rPr>
                          <w:rFonts w:ascii="Cambria" w:eastAsia="Cambria" w:hAnsi="Cambria" w:cs="Cambria"/>
                          <w:color w:val="0D0D0D"/>
                          <w:u w:color="0D0D0D"/>
                        </w:rPr>
                      </w:pPr>
                    </w:p>
                    <w:p w:rsidR="007C527D" w:rsidRDefault="003F32A0">
                      <w:pPr>
                        <w:pStyle w:val="Body"/>
                        <w:spacing w:line="276" w:lineRule="auto"/>
                        <w:rPr>
                          <w:rFonts w:ascii="Cambria" w:eastAsia="Cambria" w:hAnsi="Cambria" w:cs="Cambria"/>
                          <w:color w:val="0D0D0D"/>
                          <w:u w:color="0D0D0D"/>
                        </w:rPr>
                      </w:pPr>
                      <w:r>
                        <w:rPr>
                          <w:rFonts w:ascii="Cambria" w:eastAsia="Cambria" w:hAnsi="Cambria" w:cs="Cambria"/>
                          <w:color w:val="0D0D0D"/>
                          <w:u w:color="0D0D0D"/>
                        </w:rPr>
                        <w:t xml:space="preserve">RUBIELA ROJAS CHICA AND OTHERS </w:t>
                      </w:r>
                    </w:p>
                    <w:p w:rsidR="007C527D" w:rsidRDefault="003F32A0">
                      <w:pPr>
                        <w:pStyle w:val="Body"/>
                        <w:spacing w:line="276" w:lineRule="auto"/>
                        <w:rPr>
                          <w:rFonts w:ascii="Cambria" w:eastAsia="Cambria" w:hAnsi="Cambria" w:cs="Cambria"/>
                          <w:color w:val="0D0D0D"/>
                          <w:u w:color="0D0D0D"/>
                        </w:rPr>
                      </w:pPr>
                      <w:r>
                        <w:rPr>
                          <w:rFonts w:ascii="Cambria" w:eastAsia="Cambria" w:hAnsi="Cambria" w:cs="Cambria"/>
                          <w:color w:val="0D0D0D"/>
                          <w:u w:color="0D0D0D"/>
                        </w:rPr>
                        <w:t>COLOMBIA</w:t>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-371475</wp:posOffset>
                </wp:positionH>
                <wp:positionV relativeFrom="line">
                  <wp:posOffset>126999</wp:posOffset>
                </wp:positionV>
                <wp:extent cx="1334136" cy="1377316"/>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34136" cy="1377316"/>
                        </a:xfrm>
                        <a:prstGeom prst="rect">
                          <a:avLst/>
                        </a:prstGeom>
                        <a:noFill/>
                        <a:ln w="12700" cap="flat">
                          <a:noFill/>
                          <a:miter lim="400000"/>
                        </a:ln>
                        <a:effectLst/>
                      </wps:spPr>
                      <wps:txbx>
                        <w:txbxContent>
                          <w:p w:rsidR="007C527D" w:rsidRPr="002F41D4" w:rsidRDefault="003F32A0">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7C527D" w:rsidRPr="002F41D4" w:rsidRDefault="003F32A0">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w:t>
                            </w:r>
                            <w:r w:rsidR="002F41D4">
                              <w:rPr>
                                <w:rFonts w:ascii="Calibri" w:eastAsia="Calibri" w:hAnsi="Calibri" w:cs="Calibri"/>
                                <w:color w:val="FFFFFF"/>
                                <w:sz w:val="22"/>
                                <w:szCs w:val="22"/>
                                <w:u w:color="FFFFFF"/>
                                <w:lang w:val="pt-PT"/>
                              </w:rPr>
                              <w:t xml:space="preserve"> 103</w:t>
                            </w:r>
                          </w:p>
                          <w:p w:rsidR="007C527D" w:rsidRDefault="003F32A0">
                            <w:pPr>
                              <w:pStyle w:val="Body"/>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pt-PT"/>
                              </w:rPr>
                              <w:t xml:space="preserve"> </w:t>
                            </w:r>
                            <w:r w:rsidR="002F41D4">
                              <w:rPr>
                                <w:rFonts w:ascii="Calibri" w:eastAsia="Calibri" w:hAnsi="Calibri" w:cs="Calibri"/>
                                <w:color w:val="FFFFFF"/>
                                <w:sz w:val="22"/>
                                <w:szCs w:val="22"/>
                                <w:u w:color="FFFFFF"/>
                              </w:rPr>
                              <w:t>21 April 2020</w:t>
                            </w:r>
                          </w:p>
                          <w:p w:rsidR="007C527D" w:rsidRDefault="003F32A0">
                            <w:pPr>
                              <w:pStyle w:val="Body"/>
                              <w:jc w:val="right"/>
                            </w:pPr>
                            <w:r>
                              <w:rPr>
                                <w:rFonts w:ascii="Calibri" w:eastAsia="Calibri" w:hAnsi="Calibri" w:cs="Calibri"/>
                                <w:color w:val="FFFFFF"/>
                                <w:sz w:val="22"/>
                                <w:szCs w:val="22"/>
                                <w:u w:color="FFFFFF"/>
                              </w:rPr>
                              <w:t xml:space="preserve">Original: </w:t>
                            </w:r>
                            <w:r w:rsidRPr="002F41D4">
                              <w:rPr>
                                <w:rFonts w:ascii="Calibri" w:eastAsia="Calibri" w:hAnsi="Calibri" w:cs="Calibri"/>
                                <w:color w:val="FFFFFF" w:themeColor="background1"/>
                                <w:sz w:val="22"/>
                                <w:szCs w:val="22"/>
                                <w:u w:color="FF0000"/>
                              </w:rPr>
                              <w:t>English</w:t>
                            </w:r>
                          </w:p>
                        </w:txbxContent>
                      </wps:txbx>
                      <wps:bodyPr wrap="square" lIns="45719" tIns="45719" rIns="45719" bIns="45719" numCol="1" anchor="t">
                        <a:noAutofit/>
                      </wps:bodyPr>
                    </wps:wsp>
                  </a:graphicData>
                </a:graphic>
              </wp:anchor>
            </w:drawing>
          </mc:Choice>
          <mc:Fallback>
            <w:pict>
              <v:rect id="_x0000_s1028" style="position:absolute;left:0;text-align:left;margin-left:-29.25pt;margin-top:10pt;width:105.05pt;height:108.4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" filled="f" stroked="f" strokeweight="1pt">
                <v:stroke miterlimit="4"/>
                <v:textbox inset="1.27mm,1.27mm,1.27mm,1.27mm">
                  <w:txbxContent>
                    <w:p w:rsidR="007C527D" w:rsidRPr="002F41D4" w:rsidRDefault="003F32A0">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7C527D" w:rsidRPr="002F41D4" w:rsidRDefault="003F32A0">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w:t>
                      </w:r>
                      <w:r w:rsidR="002F41D4">
                        <w:rPr>
                          <w:rFonts w:ascii="Calibri" w:eastAsia="Calibri" w:hAnsi="Calibri" w:cs="Calibri"/>
                          <w:color w:val="FFFFFF"/>
                          <w:sz w:val="22"/>
                          <w:szCs w:val="22"/>
                          <w:u w:color="FFFFFF"/>
                          <w:lang w:val="pt-PT"/>
                        </w:rPr>
                        <w:t xml:space="preserve"> 103</w:t>
                      </w:r>
                    </w:p>
                    <w:p w:rsidR="007C527D" w:rsidRDefault="003F32A0">
                      <w:pPr>
                        <w:pStyle w:val="Body"/>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pt-PT"/>
                        </w:rPr>
                        <w:t xml:space="preserve"> </w:t>
                      </w:r>
                      <w:r w:rsidR="002F41D4">
                        <w:rPr>
                          <w:rFonts w:ascii="Calibri" w:eastAsia="Calibri" w:hAnsi="Calibri" w:cs="Calibri"/>
                          <w:color w:val="FFFFFF"/>
                          <w:sz w:val="22"/>
                          <w:szCs w:val="22"/>
                          <w:u w:color="FFFFFF"/>
                        </w:rPr>
                        <w:t>21 April 2020</w:t>
                      </w:r>
                    </w:p>
                    <w:p w:rsidR="007C527D" w:rsidRDefault="003F32A0">
                      <w:pPr>
                        <w:pStyle w:val="Body"/>
                        <w:jc w:val="right"/>
                      </w:pPr>
                      <w:r>
                        <w:rPr>
                          <w:rFonts w:ascii="Calibri" w:eastAsia="Calibri" w:hAnsi="Calibri" w:cs="Calibri"/>
                          <w:color w:val="FFFFFF"/>
                          <w:sz w:val="22"/>
                          <w:szCs w:val="22"/>
                          <w:u w:color="FFFFFF"/>
                        </w:rPr>
                        <w:t xml:space="preserve">Original: </w:t>
                      </w:r>
                      <w:r w:rsidRPr="002F41D4">
                        <w:rPr>
                          <w:rFonts w:ascii="Calibri" w:eastAsia="Calibri" w:hAnsi="Calibri" w:cs="Calibri"/>
                          <w:color w:val="FFFFFF" w:themeColor="background1"/>
                          <w:sz w:val="22"/>
                          <w:szCs w:val="22"/>
                          <w:u w:color="FF0000"/>
                        </w:rPr>
                        <w:t>English</w:t>
                      </w:r>
                    </w:p>
                  </w:txbxContent>
                </v:textbox>
                <w10:wrap anchory="line"/>
              </v:rect>
            </w:pict>
          </mc:Fallback>
        </mc:AlternateContent>
      </w: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22"/>
          <w:szCs w:val="22"/>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3F32A0">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1207007</wp:posOffset>
                </wp:positionH>
                <wp:positionV relativeFrom="line">
                  <wp:posOffset>68021</wp:posOffset>
                </wp:positionV>
                <wp:extent cx="4595496" cy="504749"/>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595496" cy="504749"/>
                        </a:xfrm>
                        <a:prstGeom prst="rect">
                          <a:avLst/>
                        </a:prstGeom>
                        <a:noFill/>
                        <a:ln w="12700" cap="flat">
                          <a:noFill/>
                          <a:miter lim="400000"/>
                        </a:ln>
                        <a:effectLst/>
                      </wps:spPr>
                      <wps:txbx>
                        <w:txbxContent>
                          <w:p w:rsidR="007C527D" w:rsidRDefault="003F32A0">
                            <w:pPr>
                              <w:pStyle w:val="Body"/>
                              <w:tabs>
                                <w:tab w:val="center" w:pos="5400"/>
                              </w:tabs>
                              <w:suppressAutoHyphens/>
                              <w:spacing w:before="60"/>
                            </w:pPr>
                            <w:r>
                              <w:rPr>
                                <w:rFonts w:ascii="Cambria" w:eastAsia="Cambria" w:hAnsi="Cambria" w:cs="Cambria"/>
                                <w:color w:val="0D0D0D"/>
                                <w:sz w:val="18"/>
                                <w:szCs w:val="18"/>
                                <w:u w:color="0D0D0D"/>
                              </w:rPr>
                              <w:t>Approved electronically by the Commission on April 21, 2020</w:t>
                            </w:r>
                            <w:r w:rsidR="00FC7E33">
                              <w:rPr>
                                <w:rFonts w:ascii="Cambria" w:eastAsia="Cambria" w:hAnsi="Cambria" w:cs="Cambria"/>
                                <w:color w:val="0D0D0D"/>
                                <w:sz w:val="18"/>
                                <w:szCs w:val="18"/>
                                <w:u w:color="0D0D0D"/>
                              </w:rPr>
                              <w:t>.</w:t>
                            </w:r>
                          </w:p>
                        </w:txbxContent>
                      </wps:txbx>
                      <wps:bodyPr wrap="square" lIns="45719" tIns="45719" rIns="45719" bIns="45719" numCol="1" anchor="t">
                        <a:noAutofit/>
                      </wps:bodyPr>
                    </wps:wsp>
                  </a:graphicData>
                </a:graphic>
              </wp:anchor>
            </w:drawing>
          </mc:Choice>
          <mc:Fallback>
            <w:pict>
              <v:rect id="_x0000_s1029" style="position:absolute;left:0;text-align:left;margin-left:95.05pt;margin-top:5.35pt;width:361.85pt;height:39.7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" filled="f" stroked="f" strokeweight="1pt">
                <v:stroke miterlimit="4"/>
                <v:textbox inset="1.27mm,1.27mm,1.27mm,1.27mm">
                  <w:txbxContent>
                    <w:p w:rsidR="007C527D" w:rsidRDefault="003F32A0">
                      <w:pPr>
                        <w:pStyle w:val="Body"/>
                        <w:tabs>
                          <w:tab w:val="center" w:pos="5400"/>
                        </w:tabs>
                        <w:suppressAutoHyphens/>
                        <w:spacing w:before="60"/>
                      </w:pPr>
                      <w:r>
                        <w:rPr>
                          <w:rFonts w:ascii="Cambria" w:eastAsia="Cambria" w:hAnsi="Cambria" w:cs="Cambria"/>
                          <w:color w:val="0D0D0D"/>
                          <w:sz w:val="18"/>
                          <w:szCs w:val="18"/>
                          <w:u w:color="0D0D0D"/>
                        </w:rPr>
                        <w:t>Approved electronically by the Commission on April 21, 2020</w:t>
                      </w:r>
                      <w:r w:rsidR="00FC7E33">
                        <w:rPr>
                          <w:rFonts w:ascii="Cambria" w:eastAsia="Cambria" w:hAnsi="Cambria" w:cs="Cambria"/>
                          <w:color w:val="0D0D0D"/>
                          <w:sz w:val="18"/>
                          <w:szCs w:val="18"/>
                          <w:u w:color="0D0D0D"/>
                        </w:rPr>
                        <w:t>.</w:t>
                      </w:r>
                    </w:p>
                  </w:txbxContent>
                </v:textbox>
                <w10:wrap anchory="line"/>
              </v:rect>
            </w:pict>
          </mc:Fallback>
        </mc:AlternateContent>
      </w: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3F32A0">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4384" behindDoc="0" locked="0" layoutInCell="1" allowOverlap="1">
                <wp:simplePos x="0" y="0"/>
                <wp:positionH relativeFrom="column">
                  <wp:posOffset>1209674</wp:posOffset>
                </wp:positionH>
                <wp:positionV relativeFrom="line">
                  <wp:posOffset>92075</wp:posOffset>
                </wp:positionV>
                <wp:extent cx="4824096" cy="609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824096" cy="609600"/>
                        </a:xfrm>
                        <a:prstGeom prst="rect">
                          <a:avLst/>
                        </a:prstGeom>
                        <a:noFill/>
                        <a:ln w="12700" cap="flat">
                          <a:noFill/>
                          <a:miter lim="400000"/>
                        </a:ln>
                        <a:effectLst/>
                      </wps:spPr>
                      <wps:txbx>
                        <w:txbxContent>
                          <w:p w:rsidR="007C527D" w:rsidRDefault="003F32A0">
                            <w:pPr>
                              <w:pStyle w:val="Body"/>
                              <w:spacing w:line="276" w:lineRule="auto"/>
                            </w:pPr>
                            <w:r w:rsidRPr="002F41D4">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93/20, Petition 501-09. Admissibility. </w:t>
                            </w:r>
                            <w:proofErr w:type="spellStart"/>
                            <w:r>
                              <w:rPr>
                                <w:rFonts w:ascii="Cambria" w:eastAsia="Cambria" w:hAnsi="Cambria" w:cs="Cambria"/>
                                <w:color w:val="595959"/>
                                <w:sz w:val="18"/>
                                <w:szCs w:val="18"/>
                                <w:u w:color="595959"/>
                              </w:rPr>
                              <w:t>Rubiela</w:t>
                            </w:r>
                            <w:proofErr w:type="spellEnd"/>
                            <w:r>
                              <w:rPr>
                                <w:rFonts w:ascii="Cambria" w:eastAsia="Cambria" w:hAnsi="Cambria" w:cs="Cambria"/>
                                <w:color w:val="595959"/>
                                <w:sz w:val="18"/>
                                <w:szCs w:val="18"/>
                                <w:u w:color="595959"/>
                              </w:rPr>
                              <w:t xml:space="preserve"> Rojas </w:t>
                            </w:r>
                            <w:proofErr w:type="spellStart"/>
                            <w:r>
                              <w:rPr>
                                <w:rFonts w:ascii="Cambria" w:eastAsia="Cambria" w:hAnsi="Cambria" w:cs="Cambria"/>
                                <w:color w:val="595959"/>
                                <w:sz w:val="18"/>
                                <w:szCs w:val="18"/>
                                <w:u w:color="595959"/>
                              </w:rPr>
                              <w:t>Chica</w:t>
                            </w:r>
                            <w:proofErr w:type="spellEnd"/>
                            <w:r>
                              <w:rPr>
                                <w:rFonts w:ascii="Cambria" w:eastAsia="Cambria" w:hAnsi="Cambria" w:cs="Cambria"/>
                                <w:color w:val="595959"/>
                                <w:sz w:val="18"/>
                                <w:szCs w:val="18"/>
                                <w:u w:color="595959"/>
                              </w:rPr>
                              <w:t xml:space="preserve"> and others. Colombia. April 21, 2020.</w:t>
                            </w:r>
                          </w:p>
                        </w:txbxContent>
                      </wps:txbx>
                      <wps:bodyPr wrap="square" lIns="45719" tIns="45719" rIns="45719" bIns="45719" numCol="1" anchor="t">
                        <a:noAutofit/>
                      </wps:bodyPr>
                    </wps:wsp>
                  </a:graphicData>
                </a:graphic>
              </wp:anchor>
            </w:drawing>
          </mc:Choice>
          <mc:Fallback>
            <w:pict>
              <v:rect id="_x0000_s1030" style="position:absolute;left:0;text-align:left;margin-left:95.25pt;margin-top:7.25pt;width:379.85pt;height:48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" filled="f" stroked="f" strokeweight="1pt">
                <v:stroke miterlimit="4"/>
                <v:textbox inset="1.27mm,1.27mm,1.27mm,1.27mm">
                  <w:txbxContent>
                    <w:p w:rsidR="007C527D" w:rsidRDefault="003F32A0">
                      <w:pPr>
                        <w:pStyle w:val="Body"/>
                        <w:spacing w:line="276" w:lineRule="auto"/>
                      </w:pPr>
                      <w:r w:rsidRPr="002F41D4">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93/20, Petition 501-09. Admissibility. </w:t>
                      </w:r>
                      <w:proofErr w:type="spellStart"/>
                      <w:r>
                        <w:rPr>
                          <w:rFonts w:ascii="Cambria" w:eastAsia="Cambria" w:hAnsi="Cambria" w:cs="Cambria"/>
                          <w:color w:val="595959"/>
                          <w:sz w:val="18"/>
                          <w:szCs w:val="18"/>
                          <w:u w:color="595959"/>
                        </w:rPr>
                        <w:t>Rubiela</w:t>
                      </w:r>
                      <w:proofErr w:type="spellEnd"/>
                      <w:r>
                        <w:rPr>
                          <w:rFonts w:ascii="Cambria" w:eastAsia="Cambria" w:hAnsi="Cambria" w:cs="Cambria"/>
                          <w:color w:val="595959"/>
                          <w:sz w:val="18"/>
                          <w:szCs w:val="18"/>
                          <w:u w:color="595959"/>
                        </w:rPr>
                        <w:t xml:space="preserve"> Rojas </w:t>
                      </w:r>
                      <w:proofErr w:type="spellStart"/>
                      <w:r>
                        <w:rPr>
                          <w:rFonts w:ascii="Cambria" w:eastAsia="Cambria" w:hAnsi="Cambria" w:cs="Cambria"/>
                          <w:color w:val="595959"/>
                          <w:sz w:val="18"/>
                          <w:szCs w:val="18"/>
                          <w:u w:color="595959"/>
                        </w:rPr>
                        <w:t>Chica</w:t>
                      </w:r>
                      <w:proofErr w:type="spellEnd"/>
                      <w:r>
                        <w:rPr>
                          <w:rFonts w:ascii="Cambria" w:eastAsia="Cambria" w:hAnsi="Cambria" w:cs="Cambria"/>
                          <w:color w:val="595959"/>
                          <w:sz w:val="18"/>
                          <w:szCs w:val="18"/>
                          <w:u w:color="595959"/>
                        </w:rPr>
                        <w:t xml:space="preserve"> and others. Colombia. April 21, 2020.</w:t>
                      </w:r>
                    </w:p>
                  </w:txbxContent>
                </v:textbox>
                <w10:wrap anchory="line"/>
              </v:rect>
            </w:pict>
          </mc:Fallback>
        </mc:AlternateContent>
      </w: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lang w:val="es-ES_tradnl"/>
        </w:rPr>
      </w:pPr>
    </w:p>
    <w:p w:rsidR="007C527D" w:rsidRDefault="007C527D">
      <w:pPr>
        <w:pStyle w:val="Body"/>
        <w:tabs>
          <w:tab w:val="center" w:pos="5400"/>
        </w:tabs>
        <w:suppressAutoHyphens/>
        <w:jc w:val="center"/>
        <w:rPr>
          <w:rFonts w:ascii="Cambria" w:eastAsia="Cambria" w:hAnsi="Cambria" w:cs="Cambria"/>
          <w:sz w:val="18"/>
          <w:szCs w:val="18"/>
        </w:rPr>
      </w:pPr>
    </w:p>
    <w:p w:rsidR="007C527D" w:rsidRDefault="00081153">
      <w:pPr>
        <w:pStyle w:val="Body"/>
        <w:tabs>
          <w:tab w:val="center" w:pos="5400"/>
        </w:tabs>
        <w:suppressAutoHyphens/>
        <w:jc w:val="center"/>
        <w:rPr>
          <w:rFonts w:ascii="Cambria" w:eastAsia="Cambria" w:hAnsi="Cambria" w:cs="Cambria"/>
          <w:sz w:val="18"/>
          <w:szCs w:val="18"/>
        </w:rPr>
      </w:pPr>
      <w:r>
        <w:rPr>
          <w:noProof/>
        </w:rPr>
        <w:drawing>
          <wp:anchor distT="0" distB="0" distL="114300" distR="114300" simplePos="0" relativeHeight="251667456" behindDoc="0" locked="0" layoutInCell="1" allowOverlap="1">
            <wp:simplePos x="0" y="0"/>
            <wp:positionH relativeFrom="margin">
              <wp:posOffset>1266825</wp:posOffset>
            </wp:positionH>
            <wp:positionV relativeFrom="margin">
              <wp:posOffset>8070215</wp:posOffset>
            </wp:positionV>
            <wp:extent cx="1519555" cy="387985"/>
            <wp:effectExtent l="0" t="0" r="4445"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anchor>
        </w:drawing>
      </w:r>
      <w:r w:rsidR="003F32A0">
        <w:rPr>
          <w:rFonts w:ascii="Cambria" w:eastAsia="Cambria" w:hAnsi="Cambria" w:cs="Cambria"/>
          <w:noProof/>
          <w:sz w:val="22"/>
          <w:szCs w:val="22"/>
        </w:rPr>
        <mc:AlternateContent>
          <mc:Choice Requires="wps">
            <w:drawing>
              <wp:anchor distT="0" distB="0" distL="0" distR="0" simplePos="0" relativeHeight="251666432" behindDoc="0" locked="0" layoutInCell="1" allowOverlap="1">
                <wp:simplePos x="0" y="0"/>
                <wp:positionH relativeFrom="column">
                  <wp:posOffset>-298895</wp:posOffset>
                </wp:positionH>
                <wp:positionV relativeFrom="line">
                  <wp:posOffset>859154</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wps:spPr>
                      <wps:txbx>
                        <w:txbxContent>
                          <w:p w:rsidR="007C527D" w:rsidRDefault="003F32A0">
                            <w:pPr>
                              <w:pStyle w:val="Body"/>
                              <w:jc w:val="center"/>
                            </w:pPr>
                            <w:r>
                              <w:rPr>
                                <w:rFonts w:ascii="Calibri" w:eastAsia="Calibri" w:hAnsi="Calibri" w:cs="Calibri"/>
                                <w:b/>
                                <w:bCs/>
                                <w:color w:val="FFFFFF"/>
                                <w:u w:color="FFFFFF"/>
                                <w:lang w:val="pt-PT"/>
                              </w:rPr>
                              <w:t>www.</w:t>
                            </w:r>
                            <w:r w:rsidR="002F41D4">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wps:txbx>
                      <wps:bodyPr wrap="square" lIns="45719" tIns="45719" rIns="45719" bIns="45719" numCol="1" anchor="t">
                        <a:noAutofit/>
                      </wps:bodyPr>
                    </wps:wsp>
                  </a:graphicData>
                </a:graphic>
              </wp:anchor>
            </w:drawing>
          </mc:Choice>
          <mc:Fallback>
            <w:pict>
              <v:rect id="_x0000_s1031" style="position:absolute;left:0;text-align:left;margin-left:-23.55pt;margin-top:67.65pt;width:93pt;height:26.2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" filled="f" stroked="f" strokeweight="1pt">
                <v:stroke miterlimit="4"/>
                <v:textbox inset="1.27mm,1.27mm,1.27mm,1.27mm">
                  <w:txbxContent>
                    <w:p w:rsidR="007C527D" w:rsidRDefault="003F32A0">
                      <w:pPr>
                        <w:pStyle w:val="Body"/>
                        <w:jc w:val="center"/>
                      </w:pPr>
                      <w:r>
                        <w:rPr>
                          <w:rFonts w:ascii="Calibri" w:eastAsia="Calibri" w:hAnsi="Calibri" w:cs="Calibri"/>
                          <w:b/>
                          <w:bCs/>
                          <w:color w:val="FFFFFF"/>
                          <w:u w:color="FFFFFF"/>
                          <w:lang w:val="pt-PT"/>
                        </w:rPr>
                        <w:t>www.</w:t>
                      </w:r>
                      <w:r w:rsidR="002F41D4">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v:textbox>
                <w10:wrap anchory="line"/>
              </v:rect>
            </w:pict>
          </mc:Fallback>
        </mc:AlternateContent>
      </w:r>
      <w:r w:rsidR="003F32A0">
        <w:rPr>
          <w:rFonts w:ascii="Cambria" w:eastAsia="Cambria" w:hAnsi="Cambria" w:cs="Cambria"/>
          <w:noProof/>
          <w:sz w:val="22"/>
          <w:szCs w:val="22"/>
        </w:rPr>
        <mc:AlternateContent>
          <mc:Choice Requires="wpg">
            <w:drawing>
              <wp:anchor distT="0" distB="0" distL="0" distR="0" simplePos="0" relativeHeight="251665408" behindDoc="0" locked="0" layoutInCell="1" allowOverlap="1">
                <wp:simplePos x="0" y="0"/>
                <wp:positionH relativeFrom="column">
                  <wp:posOffset>1208215</wp:posOffset>
                </wp:positionH>
                <wp:positionV relativeFrom="line">
                  <wp:posOffset>722630</wp:posOffset>
                </wp:positionV>
                <wp:extent cx="2085975" cy="485775"/>
                <wp:effectExtent l="0" t="0" r="0" b="0"/>
                <wp:wrapNone/>
                <wp:docPr id="1073741836" name="officeArt object"/>
                <wp:cNvGraphicFramePr/>
                <a:graphic xmlns:a="http://schemas.openxmlformats.org/drawingml/2006/main">
                  <a:graphicData uri="http://schemas.microsoft.com/office/word/2010/wordprocessingGroup">
                    <wpg:wgp>
                      <wpg:cNvGrpSpPr/>
                      <wpg:grpSpPr>
                        <a:xfrm>
                          <a:off x="0" y="0"/>
                          <a:ext cx="2085975" cy="485775"/>
                          <a:chOff x="0" y="0"/>
                          <a:chExt cx="2085975" cy="485775"/>
                        </a:xfrm>
                      </wpg:grpSpPr>
                      <wps:wsp>
                        <wps:cNvPr id="1073741834" name="Shape 1073741834"/>
                        <wps:cNvSpPr/>
                        <wps:spPr>
                          <a:xfrm>
                            <a:off x="0" y="0"/>
                            <a:ext cx="2085975" cy="485775"/>
                          </a:xfrm>
                          <a:prstGeom prst="rect">
                            <a:avLst/>
                          </a:prstGeom>
                          <a:solidFill>
                            <a:srgbClr val="FFFFFF"/>
                          </a:solidFill>
                          <a:ln w="12700" cap="flat">
                            <a:noFill/>
                            <a:miter lim="400000"/>
                          </a:ln>
                          <a:effectLst/>
                        </wps:spPr>
                        <wps:bodyPr/>
                      </wps:wsp>
                      <wps:wsp>
                        <wps:cNvPr id="1073741835" name="Shape 1073741835"/>
                        <wps:cNvSpPr/>
                        <wps:spPr>
                          <a:xfrm>
                            <a:off x="0" y="0"/>
                            <a:ext cx="2085975" cy="485775"/>
                          </a:xfrm>
                          <a:prstGeom prst="rect">
                            <a:avLst/>
                          </a:prstGeom>
                          <a:noFill/>
                          <a:ln w="12700" cap="flat">
                            <a:noFill/>
                            <a:miter lim="400000"/>
                          </a:ln>
                          <a:effectLst/>
                        </wps:spPr>
                        <wps:bodyPr/>
                      </wps:wsp>
                    </wpg:wgp>
                  </a:graphicData>
                </a:graphic>
              </wp:anchor>
            </w:drawing>
          </mc:Choice>
          <mc:Fallback xmlns:w16se="http://schemas.microsoft.com/office/word/2015/wordml/symex" xmlns:cx1="http://schemas.microsoft.com/office/drawing/2015/9/8/chartex" xmlns:cx="http://schemas.microsoft.com/office/drawing/2014/chartex">
            <w:pict>
              <v:group id="_x0000_s1033" style="visibility:visible;position:absolute;margin-left:95.1pt;margin-top:56.9pt;width:164.2pt;height:38.2pt;z-index:251665408;mso-position-horizontal:absolute;mso-position-horizontal-relative:text;mso-position-vertical:absolute;mso-position-vertical-relative:line;mso-wrap-distance-left:0.0pt;mso-wrap-distance-top:0.0pt;mso-wrap-distance-right:0.0pt;mso-wrap-distance-bottom:0.0pt;" coordorigin="0,0" coordsize="2085975,485775">
                <w10:wrap type="none" side="bothSides" anchorx="text"/>
                <v:rect id="_x0000_s1034" style="position:absolute;left:0;top:0;width:2085975;height:485775;">
                  <v:fill color="#FFFFFF"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0;top:0;width:2085975;height:485775;">
                  <v:fill on="f"/>
                  <v:stroke on="f" weight="1.0pt" dashstyle="solid" endcap="flat" miterlimit="400.0%" joinstyle="miter" linestyle="single" startarrow="none" startarrowwidth="medium" startarrowlength="medium" endarrow="none" endarrowwidth="medium" endarrowlength="medium"/>
                </v:rect>
              </v:group>
            </w:pict>
          </mc:Fallback>
        </mc:AlternateContent>
      </w:r>
    </w:p>
    <w:p w:rsidR="007C527D" w:rsidRDefault="007C527D">
      <w:pPr>
        <w:pStyle w:val="Body"/>
        <w:tabs>
          <w:tab w:val="center" w:pos="5400"/>
        </w:tabs>
        <w:suppressAutoHyphens/>
        <w:jc w:val="center"/>
        <w:sectPr w:rsidR="007C527D">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sectPr>
      </w:pPr>
    </w:p>
    <w:p w:rsidR="007C527D" w:rsidRDefault="003F32A0">
      <w:pPr>
        <w:pStyle w:val="Body"/>
        <w:spacing w:after="120"/>
        <w:ind w:firstLine="720"/>
        <w:jc w:val="both"/>
        <w:rPr>
          <w:rFonts w:ascii="Cambria" w:eastAsia="Cambria" w:hAnsi="Cambria" w:cs="Cambria"/>
          <w:b/>
          <w:bCs/>
          <w:sz w:val="20"/>
          <w:szCs w:val="20"/>
        </w:rPr>
      </w:pPr>
      <w:r>
        <w:rPr>
          <w:rFonts w:ascii="Cambria" w:eastAsia="Cambria" w:hAnsi="Cambria" w:cs="Cambria"/>
          <w:b/>
          <w:bCs/>
          <w:sz w:val="20"/>
          <w:szCs w:val="20"/>
        </w:rPr>
        <w:lastRenderedPageBreak/>
        <w:t>I.</w:t>
      </w:r>
      <w:r>
        <w:rPr>
          <w:rFonts w:ascii="Cambria" w:eastAsia="Cambria" w:hAnsi="Cambria" w:cs="Cambria"/>
          <w:b/>
          <w:bCs/>
          <w:sz w:val="20"/>
          <w:szCs w:val="20"/>
        </w:rPr>
        <w:tab/>
        <w:t xml:space="preserve">INFORMATION ABOUT THE PETITION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7C527D">
        <w:trPr>
          <w:trHeight w:val="204"/>
        </w:trPr>
        <w:tc>
          <w:tcPr>
            <w:tcW w:w="279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Petitioners</w:t>
            </w:r>
          </w:p>
        </w:tc>
        <w:tc>
          <w:tcPr>
            <w:tcW w:w="65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pPr>
            <w:proofErr w:type="spellStart"/>
            <w:r>
              <w:rPr>
                <w:rFonts w:ascii="Cambria" w:eastAsia="Cambria" w:hAnsi="Cambria" w:cs="Cambria"/>
                <w:sz w:val="19"/>
                <w:szCs w:val="19"/>
              </w:rPr>
              <w:t>Rubiela</w:t>
            </w:r>
            <w:proofErr w:type="spellEnd"/>
            <w:r>
              <w:rPr>
                <w:rFonts w:ascii="Cambria" w:eastAsia="Cambria" w:hAnsi="Cambria" w:cs="Cambria"/>
                <w:sz w:val="19"/>
                <w:szCs w:val="19"/>
              </w:rPr>
              <w:t xml:space="preserve"> Rojas </w:t>
            </w:r>
            <w:proofErr w:type="spellStart"/>
            <w:r>
              <w:rPr>
                <w:rFonts w:ascii="Cambria" w:eastAsia="Cambria" w:hAnsi="Cambria" w:cs="Cambria"/>
                <w:sz w:val="19"/>
                <w:szCs w:val="19"/>
              </w:rPr>
              <w:t>Chica</w:t>
            </w:r>
            <w:proofErr w:type="spellEnd"/>
            <w:r>
              <w:rPr>
                <w:rFonts w:ascii="Cambria" w:eastAsia="Cambria" w:hAnsi="Cambria" w:cs="Cambria"/>
                <w:sz w:val="19"/>
                <w:szCs w:val="19"/>
              </w:rPr>
              <w:t xml:space="preserve"> and others</w:t>
            </w:r>
          </w:p>
        </w:tc>
      </w:tr>
      <w:tr w:rsidR="007C527D">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Alleged victims</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pPr>
            <w:proofErr w:type="spellStart"/>
            <w:r>
              <w:rPr>
                <w:rFonts w:ascii="Cambria" w:eastAsia="Cambria" w:hAnsi="Cambria" w:cs="Cambria"/>
                <w:sz w:val="19"/>
                <w:szCs w:val="19"/>
              </w:rPr>
              <w:t>Rubiela</w:t>
            </w:r>
            <w:proofErr w:type="spellEnd"/>
            <w:r>
              <w:rPr>
                <w:rFonts w:ascii="Cambria" w:eastAsia="Cambria" w:hAnsi="Cambria" w:cs="Cambria"/>
                <w:sz w:val="19"/>
                <w:szCs w:val="19"/>
              </w:rPr>
              <w:t xml:space="preserve"> Rojas </w:t>
            </w:r>
            <w:proofErr w:type="spellStart"/>
            <w:r>
              <w:rPr>
                <w:rFonts w:ascii="Cambria" w:eastAsia="Cambria" w:hAnsi="Cambria" w:cs="Cambria"/>
                <w:sz w:val="19"/>
                <w:szCs w:val="19"/>
              </w:rPr>
              <w:t>Chica</w:t>
            </w:r>
            <w:proofErr w:type="spellEnd"/>
            <w:r>
              <w:rPr>
                <w:rFonts w:ascii="Cambria" w:eastAsia="Cambria" w:hAnsi="Cambria" w:cs="Cambria"/>
                <w:sz w:val="19"/>
                <w:szCs w:val="19"/>
              </w:rPr>
              <w:t xml:space="preserve"> and others</w:t>
            </w:r>
          </w:p>
        </w:tc>
      </w:tr>
      <w:tr w:rsidR="007C527D">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Respondent State</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pPr>
            <w:r>
              <w:rPr>
                <w:rFonts w:ascii="Cambria" w:eastAsia="Cambria" w:hAnsi="Cambria" w:cs="Cambria"/>
                <w:sz w:val="19"/>
                <w:szCs w:val="19"/>
              </w:rPr>
              <w:t xml:space="preserve">Colombia </w:t>
            </w:r>
          </w:p>
        </w:tc>
      </w:tr>
      <w:tr w:rsidR="007C527D">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Rights invoked</w:t>
            </w:r>
          </w:p>
        </w:tc>
        <w:tc>
          <w:tcPr>
            <w:tcW w:w="65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pPr>
            <w:r>
              <w:rPr>
                <w:rFonts w:ascii="Cambria" w:eastAsia="Cambria" w:hAnsi="Cambria" w:cs="Cambria"/>
                <w:sz w:val="19"/>
                <w:szCs w:val="19"/>
              </w:rPr>
              <w:t>Articles 8 and 26   of the American Convention on Human Rights</w:t>
            </w:r>
          </w:p>
        </w:tc>
      </w:tr>
    </w:tbl>
    <w:p w:rsidR="007C527D" w:rsidRDefault="003F32A0">
      <w:pPr>
        <w:pStyle w:val="Body"/>
        <w:spacing w:before="120" w:after="120"/>
        <w:ind w:firstLine="720"/>
        <w:jc w:val="both"/>
        <w:rPr>
          <w:rFonts w:ascii="Cambria" w:eastAsia="Cambria" w:hAnsi="Cambria" w:cs="Cambria"/>
          <w:b/>
          <w:bCs/>
          <w:sz w:val="20"/>
          <w:szCs w:val="20"/>
        </w:rPr>
      </w:pPr>
      <w:r>
        <w:rPr>
          <w:rFonts w:ascii="Cambria" w:eastAsia="Cambria" w:hAnsi="Cambria" w:cs="Cambria"/>
          <w:b/>
          <w:bCs/>
          <w:sz w:val="20"/>
          <w:szCs w:val="20"/>
        </w:rPr>
        <w:t>II.</w:t>
      </w:r>
      <w:r>
        <w:rPr>
          <w:rFonts w:ascii="Cambria" w:eastAsia="Cambria" w:hAnsi="Cambria" w:cs="Cambria"/>
          <w:b/>
          <w:bCs/>
          <w:sz w:val="20"/>
          <w:szCs w:val="20"/>
        </w:rPr>
        <w:tab/>
        <w:t>PROCEEDINGS BEFORE THE IACHR</w:t>
      </w:r>
      <w:r w:rsidRPr="00FC7E33">
        <w:rPr>
          <w:rFonts w:ascii="Cambria" w:eastAsia="Cambria" w:hAnsi="Cambria" w:cs="Cambria"/>
          <w:b/>
          <w:bCs/>
          <w:sz w:val="20"/>
          <w:szCs w:val="20"/>
          <w:vertAlign w:val="superscript"/>
        </w:rPr>
        <w:footnoteReference w:id="2"/>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7C527D">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Filing of the petition</w:t>
            </w:r>
          </w:p>
        </w:tc>
        <w:tc>
          <w:tcPr>
            <w:tcW w:w="65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pPr>
            <w:r>
              <w:rPr>
                <w:rFonts w:ascii="Cambria" w:eastAsia="Cambria" w:hAnsi="Cambria" w:cs="Cambria"/>
                <w:sz w:val="19"/>
                <w:szCs w:val="19"/>
              </w:rPr>
              <w:t>April 24, 2009</w:t>
            </w:r>
          </w:p>
        </w:tc>
      </w:tr>
      <w:tr w:rsidR="007C527D">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Notification of the petition</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pPr>
            <w:r>
              <w:rPr>
                <w:rFonts w:ascii="Cambria" w:eastAsia="Cambria" w:hAnsi="Cambria" w:cs="Cambria"/>
                <w:sz w:val="19"/>
                <w:szCs w:val="19"/>
              </w:rPr>
              <w:t>June 11, 2014</w:t>
            </w:r>
          </w:p>
        </w:tc>
      </w:tr>
      <w:tr w:rsidR="007C527D">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State’s first response</w:t>
            </w:r>
          </w:p>
        </w:tc>
        <w:tc>
          <w:tcPr>
            <w:tcW w:w="65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pPr>
            <w:r>
              <w:rPr>
                <w:rFonts w:ascii="Cambria" w:eastAsia="Cambria" w:hAnsi="Cambria" w:cs="Cambria"/>
                <w:sz w:val="19"/>
                <w:szCs w:val="19"/>
              </w:rPr>
              <w:t>November 13, 2015</w:t>
            </w:r>
          </w:p>
        </w:tc>
      </w:tr>
    </w:tbl>
    <w:p w:rsidR="007C527D" w:rsidRDefault="003F32A0">
      <w:pPr>
        <w:pStyle w:val="Body"/>
        <w:spacing w:before="120" w:after="120"/>
        <w:ind w:firstLine="720"/>
        <w:jc w:val="both"/>
        <w:rPr>
          <w:rFonts w:ascii="Cambria" w:eastAsia="Cambria" w:hAnsi="Cambria" w:cs="Cambria"/>
          <w:b/>
          <w:bCs/>
          <w:sz w:val="20"/>
          <w:szCs w:val="20"/>
        </w:rPr>
      </w:pPr>
      <w:r>
        <w:rPr>
          <w:rFonts w:ascii="Cambria" w:eastAsia="Cambria" w:hAnsi="Cambria" w:cs="Cambria"/>
          <w:b/>
          <w:bCs/>
          <w:sz w:val="20"/>
          <w:szCs w:val="20"/>
          <w:lang w:val="de-DE"/>
        </w:rPr>
        <w:t xml:space="preserve">III. </w:t>
      </w:r>
      <w:r>
        <w:rPr>
          <w:rFonts w:ascii="Cambria" w:eastAsia="Cambria" w:hAnsi="Cambria" w:cs="Cambria"/>
          <w:b/>
          <w:bCs/>
          <w:sz w:val="20"/>
          <w:szCs w:val="20"/>
          <w:lang w:val="de-DE"/>
        </w:rPr>
        <w:tab/>
        <w:t xml:space="preserve">COMPETENCE </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0"/>
        <w:gridCol w:w="6482"/>
      </w:tblGrid>
      <w:tr w:rsidR="007C527D">
        <w:trPr>
          <w:trHeight w:val="204"/>
        </w:trPr>
        <w:tc>
          <w:tcPr>
            <w:tcW w:w="276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personae:</w:t>
            </w:r>
          </w:p>
        </w:tc>
        <w:tc>
          <w:tcPr>
            <w:tcW w:w="648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pPr>
            <w:r>
              <w:rPr>
                <w:rFonts w:ascii="Cambria" w:eastAsia="Cambria" w:hAnsi="Cambria" w:cs="Cambria"/>
                <w:sz w:val="19"/>
                <w:szCs w:val="19"/>
              </w:rPr>
              <w:t>Yes</w:t>
            </w:r>
          </w:p>
        </w:tc>
      </w:tr>
      <w:tr w:rsidR="007C527D">
        <w:trPr>
          <w:trHeight w:val="207"/>
        </w:trPr>
        <w:tc>
          <w:tcPr>
            <w:tcW w:w="276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loci</w:t>
            </w:r>
            <w:r>
              <w:rPr>
                <w:rFonts w:ascii="Cambria" w:eastAsia="Cambria" w:hAnsi="Cambria" w:cs="Cambria"/>
                <w:color w:val="FFFFFF"/>
                <w:sz w:val="19"/>
                <w:szCs w:val="19"/>
                <w:u w:color="FFFFFF"/>
              </w:rPr>
              <w:t>:</w:t>
            </w:r>
          </w:p>
        </w:tc>
        <w:tc>
          <w:tcPr>
            <w:tcW w:w="648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pPr>
            <w:r>
              <w:rPr>
                <w:rFonts w:ascii="Cambria" w:eastAsia="Cambria" w:hAnsi="Cambria" w:cs="Cambria"/>
                <w:sz w:val="19"/>
                <w:szCs w:val="19"/>
              </w:rPr>
              <w:t>Yes</w:t>
            </w:r>
          </w:p>
        </w:tc>
      </w:tr>
      <w:tr w:rsidR="007C527D">
        <w:trPr>
          <w:trHeight w:val="207"/>
        </w:trPr>
        <w:tc>
          <w:tcPr>
            <w:tcW w:w="276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w:t>
            </w:r>
            <w:proofErr w:type="spellStart"/>
            <w:r>
              <w:rPr>
                <w:rFonts w:ascii="Cambria" w:eastAsia="Cambria" w:hAnsi="Cambria" w:cs="Cambria"/>
                <w:i/>
                <w:iCs/>
                <w:color w:val="FFFFFF"/>
                <w:sz w:val="19"/>
                <w:szCs w:val="19"/>
                <w:u w:color="FFFFFF"/>
              </w:rPr>
              <w:t>temporis</w:t>
            </w:r>
            <w:proofErr w:type="spellEnd"/>
            <w:r>
              <w:rPr>
                <w:rFonts w:ascii="Cambria" w:eastAsia="Cambria" w:hAnsi="Cambria" w:cs="Cambria"/>
                <w:color w:val="FFFFFF"/>
                <w:sz w:val="19"/>
                <w:szCs w:val="19"/>
                <w:u w:color="FFFFFF"/>
              </w:rPr>
              <w:t>:</w:t>
            </w:r>
          </w:p>
        </w:tc>
        <w:tc>
          <w:tcPr>
            <w:tcW w:w="648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pPr>
            <w:r>
              <w:rPr>
                <w:rFonts w:ascii="Cambria" w:eastAsia="Cambria" w:hAnsi="Cambria" w:cs="Cambria"/>
                <w:sz w:val="19"/>
                <w:szCs w:val="19"/>
              </w:rPr>
              <w:t>Yes</w:t>
            </w:r>
          </w:p>
        </w:tc>
      </w:tr>
      <w:tr w:rsidR="007C527D">
        <w:trPr>
          <w:trHeight w:val="207"/>
        </w:trPr>
        <w:tc>
          <w:tcPr>
            <w:tcW w:w="276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w:t>
            </w:r>
            <w:proofErr w:type="spellStart"/>
            <w:r>
              <w:rPr>
                <w:rFonts w:ascii="Cambria" w:eastAsia="Cambria" w:hAnsi="Cambria" w:cs="Cambria"/>
                <w:i/>
                <w:iCs/>
                <w:color w:val="FFFFFF"/>
                <w:sz w:val="19"/>
                <w:szCs w:val="19"/>
                <w:u w:color="FFFFFF"/>
              </w:rPr>
              <w:t>materiae</w:t>
            </w:r>
            <w:proofErr w:type="spellEnd"/>
            <w:r>
              <w:rPr>
                <w:rFonts w:ascii="Cambria" w:eastAsia="Cambria" w:hAnsi="Cambria" w:cs="Cambria"/>
                <w:color w:val="FFFFFF"/>
                <w:sz w:val="19"/>
                <w:szCs w:val="19"/>
                <w:u w:color="FFFFFF"/>
              </w:rPr>
              <w:t>:</w:t>
            </w:r>
          </w:p>
        </w:tc>
        <w:tc>
          <w:tcPr>
            <w:tcW w:w="648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pPr>
            <w:r>
              <w:rPr>
                <w:rFonts w:ascii="Cambria" w:eastAsia="Cambria" w:hAnsi="Cambria" w:cs="Cambria"/>
                <w:sz w:val="19"/>
                <w:szCs w:val="19"/>
              </w:rPr>
              <w:t>Yes, American Convention (instrument deposited on July 31, 1973)</w:t>
            </w:r>
          </w:p>
        </w:tc>
      </w:tr>
    </w:tbl>
    <w:p w:rsidR="007C527D" w:rsidRDefault="003F32A0">
      <w:pPr>
        <w:pStyle w:val="Body"/>
        <w:spacing w:before="120" w:after="120"/>
        <w:ind w:firstLine="720"/>
        <w:jc w:val="both"/>
        <w:rPr>
          <w:rFonts w:ascii="Cambria" w:eastAsia="Cambria" w:hAnsi="Cambria" w:cs="Cambria"/>
          <w:b/>
          <w:bCs/>
          <w:sz w:val="20"/>
          <w:szCs w:val="20"/>
        </w:rPr>
      </w:pPr>
      <w:r>
        <w:rPr>
          <w:rFonts w:ascii="Cambria" w:eastAsia="Cambria" w:hAnsi="Cambria" w:cs="Cambria"/>
          <w:b/>
          <w:bCs/>
          <w:sz w:val="20"/>
          <w:szCs w:val="20"/>
        </w:rPr>
        <w:t xml:space="preserve">IV. </w:t>
      </w:r>
      <w:r>
        <w:rPr>
          <w:rFonts w:ascii="Cambria" w:eastAsia="Cambria" w:hAnsi="Cambria" w:cs="Cambria"/>
          <w:b/>
          <w:bCs/>
          <w:sz w:val="20"/>
          <w:szCs w:val="20"/>
        </w:rPr>
        <w:tab/>
        <w:t xml:space="preserve">DUPLICATION OF PROCEDURES AND INTERNATIONAL </w:t>
      </w:r>
      <w:r w:rsidRPr="002F41D4">
        <w:rPr>
          <w:rFonts w:ascii="Cambria" w:eastAsia="Cambria" w:hAnsi="Cambria" w:cs="Cambria"/>
          <w:b/>
          <w:bCs/>
          <w:i/>
          <w:iCs/>
          <w:sz w:val="20"/>
          <w:szCs w:val="20"/>
        </w:rPr>
        <w:t>RES JUDICATA</w:t>
      </w:r>
      <w:r>
        <w:rPr>
          <w:rFonts w:ascii="Cambria" w:eastAsia="Cambria" w:hAnsi="Cambria" w:cs="Cambria"/>
          <w:b/>
          <w:bCs/>
          <w:sz w:val="20"/>
          <w:szCs w:val="20"/>
        </w:rPr>
        <w:t>, COLORABLE CLAIM, EXHAUSTION OF DOMESTIC REMEDIES AND TIMELINESS OF THE PETITION</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4"/>
        <w:gridCol w:w="6478"/>
      </w:tblGrid>
      <w:tr w:rsidR="007C527D">
        <w:trPr>
          <w:trHeight w:val="404"/>
        </w:trPr>
        <w:tc>
          <w:tcPr>
            <w:tcW w:w="2764"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 xml:space="preserve">Duplication of procedures and international </w:t>
            </w:r>
            <w:r>
              <w:rPr>
                <w:rFonts w:ascii="Cambria" w:eastAsia="Cambria" w:hAnsi="Cambria" w:cs="Cambria"/>
                <w:i/>
                <w:iCs/>
                <w:color w:val="FFFFFF"/>
                <w:sz w:val="19"/>
                <w:szCs w:val="19"/>
                <w:u w:color="FFFFFF"/>
              </w:rPr>
              <w:t>res judicata</w:t>
            </w:r>
          </w:p>
        </w:tc>
        <w:tc>
          <w:tcPr>
            <w:tcW w:w="6478"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pPr>
            <w:r>
              <w:rPr>
                <w:rFonts w:ascii="Cambria" w:eastAsia="Cambria" w:hAnsi="Cambria" w:cs="Cambria"/>
                <w:sz w:val="19"/>
                <w:szCs w:val="19"/>
              </w:rPr>
              <w:t>No</w:t>
            </w:r>
          </w:p>
        </w:tc>
      </w:tr>
      <w:tr w:rsidR="007C527D">
        <w:trPr>
          <w:trHeight w:val="1107"/>
        </w:trPr>
        <w:tc>
          <w:tcPr>
            <w:tcW w:w="2764"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Rights declared admissible</w:t>
            </w:r>
          </w:p>
        </w:tc>
        <w:tc>
          <w:tcPr>
            <w:tcW w:w="647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jc w:val="both"/>
              <w:rPr>
                <w:rFonts w:ascii="Cambria" w:eastAsia="Cambria" w:hAnsi="Cambria" w:cs="Cambria"/>
                <w:sz w:val="19"/>
                <w:szCs w:val="19"/>
              </w:rPr>
            </w:pPr>
            <w:r>
              <w:rPr>
                <w:rFonts w:ascii="Cambria" w:eastAsia="Cambria" w:hAnsi="Cambria" w:cs="Cambria"/>
                <w:sz w:val="19"/>
                <w:szCs w:val="19"/>
              </w:rPr>
              <w:t>Articles 8 (right to a fair trial), 21 ( right to property), 25 (right to judicial protection), and 26 (economic, social and cultural rights)</w:t>
            </w:r>
            <w:r>
              <w:rPr>
                <w:rFonts w:ascii="Cambria" w:eastAsia="Cambria" w:hAnsi="Cambria" w:cs="Cambria"/>
              </w:rPr>
              <w:t xml:space="preserve"> </w:t>
            </w:r>
            <w:r>
              <w:rPr>
                <w:rFonts w:ascii="Cambria" w:eastAsia="Cambria" w:hAnsi="Cambria" w:cs="Cambria"/>
                <w:sz w:val="19"/>
                <w:szCs w:val="19"/>
              </w:rPr>
              <w:t>all in conjunction with Articles 1 (obligation to respect rights) and 2 (obligation to adopt</w:t>
            </w:r>
          </w:p>
          <w:p w:rsidR="007C527D" w:rsidRDefault="003F32A0">
            <w:pPr>
              <w:pStyle w:val="Body"/>
              <w:jc w:val="both"/>
              <w:rPr>
                <w:rFonts w:ascii="Cambria" w:eastAsia="Cambria" w:hAnsi="Cambria" w:cs="Cambria"/>
                <w:sz w:val="19"/>
                <w:szCs w:val="19"/>
              </w:rPr>
            </w:pPr>
            <w:r>
              <w:rPr>
                <w:rFonts w:ascii="Cambria" w:eastAsia="Cambria" w:hAnsi="Cambria" w:cs="Cambria"/>
                <w:sz w:val="19"/>
                <w:szCs w:val="19"/>
              </w:rPr>
              <w:t>domestic law provisions) of the American Convention on</w:t>
            </w:r>
          </w:p>
          <w:p w:rsidR="007C527D" w:rsidRDefault="003F32A0">
            <w:pPr>
              <w:pStyle w:val="Body"/>
              <w:jc w:val="both"/>
            </w:pPr>
            <w:r>
              <w:rPr>
                <w:rFonts w:ascii="Cambria" w:eastAsia="Cambria" w:hAnsi="Cambria" w:cs="Cambria"/>
                <w:sz w:val="19"/>
                <w:szCs w:val="19"/>
              </w:rPr>
              <w:t>Human Rights.</w:t>
            </w:r>
          </w:p>
        </w:tc>
      </w:tr>
      <w:tr w:rsidR="007C527D">
        <w:trPr>
          <w:trHeight w:val="407"/>
        </w:trPr>
        <w:tc>
          <w:tcPr>
            <w:tcW w:w="2764"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 xml:space="preserve">Exhaustion or exception to the exhaustion of remedies </w:t>
            </w:r>
          </w:p>
        </w:tc>
        <w:tc>
          <w:tcPr>
            <w:tcW w:w="647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27D" w:rsidRDefault="007C527D">
            <w:pPr>
              <w:pStyle w:val="Body"/>
              <w:rPr>
                <w:rFonts w:ascii="Cambria" w:eastAsia="Cambria" w:hAnsi="Cambria" w:cs="Cambria"/>
                <w:sz w:val="19"/>
                <w:szCs w:val="19"/>
              </w:rPr>
            </w:pPr>
          </w:p>
          <w:p w:rsidR="007C527D" w:rsidRDefault="003F32A0">
            <w:pPr>
              <w:pStyle w:val="Body"/>
            </w:pPr>
            <w:r>
              <w:rPr>
                <w:rFonts w:ascii="Cambria" w:eastAsia="Cambria" w:hAnsi="Cambria" w:cs="Cambria"/>
                <w:sz w:val="19"/>
                <w:szCs w:val="19"/>
              </w:rPr>
              <w:t>Yes</w:t>
            </w:r>
          </w:p>
        </w:tc>
      </w:tr>
      <w:tr w:rsidR="007C527D">
        <w:trPr>
          <w:trHeight w:val="207"/>
        </w:trPr>
        <w:tc>
          <w:tcPr>
            <w:tcW w:w="2764"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7C527D" w:rsidRDefault="003F32A0">
            <w:pPr>
              <w:pStyle w:val="Body"/>
              <w:jc w:val="center"/>
            </w:pPr>
            <w:r>
              <w:rPr>
                <w:rFonts w:ascii="Cambria" w:eastAsia="Cambria" w:hAnsi="Cambria" w:cs="Cambria"/>
                <w:color w:val="FFFFFF"/>
                <w:sz w:val="19"/>
                <w:szCs w:val="19"/>
                <w:u w:color="FFFFFF"/>
              </w:rPr>
              <w:t>Timeliness of the petition</w:t>
            </w:r>
          </w:p>
        </w:tc>
        <w:tc>
          <w:tcPr>
            <w:tcW w:w="6478"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27D" w:rsidRDefault="003F32A0">
            <w:pPr>
              <w:pStyle w:val="Body"/>
            </w:pPr>
            <w:r>
              <w:rPr>
                <w:rFonts w:ascii="Cambria" w:eastAsia="Cambria" w:hAnsi="Cambria" w:cs="Cambria"/>
                <w:sz w:val="19"/>
                <w:szCs w:val="19"/>
              </w:rPr>
              <w:t>Yes</w:t>
            </w:r>
          </w:p>
        </w:tc>
      </w:tr>
    </w:tbl>
    <w:p w:rsidR="007C527D" w:rsidRDefault="007C527D">
      <w:pPr>
        <w:pStyle w:val="Body"/>
        <w:widowControl w:val="0"/>
        <w:spacing w:before="120" w:after="120"/>
        <w:ind w:left="108" w:hanging="108"/>
        <w:jc w:val="both"/>
        <w:rPr>
          <w:rFonts w:ascii="Cambria" w:eastAsia="Cambria" w:hAnsi="Cambria" w:cs="Cambria"/>
          <w:b/>
          <w:bCs/>
          <w:sz w:val="20"/>
          <w:szCs w:val="20"/>
        </w:rPr>
      </w:pPr>
    </w:p>
    <w:p w:rsidR="007C527D" w:rsidRDefault="003F32A0">
      <w:pPr>
        <w:pStyle w:val="Body"/>
        <w:spacing w:before="120" w:after="120"/>
        <w:ind w:firstLine="720"/>
        <w:jc w:val="both"/>
        <w:rPr>
          <w:rFonts w:ascii="Cambria" w:eastAsia="Cambria" w:hAnsi="Cambria" w:cs="Cambria"/>
          <w:b/>
          <w:bCs/>
          <w:sz w:val="20"/>
          <w:szCs w:val="20"/>
        </w:rPr>
      </w:pPr>
      <w:r>
        <w:rPr>
          <w:rFonts w:ascii="Cambria" w:eastAsia="Cambria" w:hAnsi="Cambria" w:cs="Cambria"/>
          <w:b/>
          <w:bCs/>
          <w:sz w:val="20"/>
          <w:szCs w:val="20"/>
        </w:rPr>
        <w:t xml:space="preserve">V. </w:t>
      </w:r>
      <w:r>
        <w:rPr>
          <w:rFonts w:ascii="Cambria" w:eastAsia="Cambria" w:hAnsi="Cambria" w:cs="Cambria"/>
          <w:b/>
          <w:bCs/>
          <w:sz w:val="20"/>
          <w:szCs w:val="20"/>
        </w:rPr>
        <w:tab/>
        <w:t xml:space="preserve">SUMMARY OF ALLEGED FACTS </w:t>
      </w:r>
    </w:p>
    <w:p w:rsidR="007C527D"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 xml:space="preserve">This petition is primarily centered on the right to property, arising out of the destruction of houses as a result of an earthquake.  These houses were allegedly in a “high risk” </w:t>
      </w:r>
      <w:r>
        <w:rPr>
          <w:rFonts w:ascii="Cambria" w:eastAsia="Cambria" w:hAnsi="Cambria" w:cs="Cambria"/>
          <w:sz w:val="20"/>
          <w:szCs w:val="20"/>
          <w:lang w:val="it-IT"/>
        </w:rPr>
        <w:t>zone.</w:t>
      </w:r>
    </w:p>
    <w:p w:rsidR="007C527D"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 xml:space="preserve">The petition alleges that in 1992 the Municipality of </w:t>
      </w:r>
      <w:r w:rsidRPr="002F41D4">
        <w:rPr>
          <w:rFonts w:ascii="Cambria" w:eastAsia="Cambria" w:hAnsi="Cambria" w:cs="Cambria"/>
          <w:sz w:val="20"/>
          <w:szCs w:val="20"/>
        </w:rPr>
        <w:t xml:space="preserve">La </w:t>
      </w:r>
      <w:proofErr w:type="spellStart"/>
      <w:r w:rsidRPr="002F41D4">
        <w:rPr>
          <w:rFonts w:ascii="Cambria" w:eastAsia="Cambria" w:hAnsi="Cambria" w:cs="Cambria"/>
          <w:sz w:val="20"/>
          <w:szCs w:val="20"/>
        </w:rPr>
        <w:t>Tebaida</w:t>
      </w:r>
      <w:proofErr w:type="spellEnd"/>
      <w:r>
        <w:rPr>
          <w:rFonts w:ascii="Cambria" w:eastAsia="Cambria" w:hAnsi="Cambria" w:cs="Cambria"/>
          <w:sz w:val="20"/>
          <w:szCs w:val="20"/>
        </w:rPr>
        <w:t xml:space="preserve"> (department of Quindío, Colombia) authorized the construction of 372 houses on lots located in an area of </w:t>
      </w:r>
      <w:r w:rsidRPr="002F41D4">
        <w:rPr>
          <w:rFonts w:ascii="Cambria" w:eastAsia="Cambria" w:hAnsi="Cambria" w:cs="Cambria"/>
          <w:sz w:val="20"/>
          <w:szCs w:val="20"/>
        </w:rPr>
        <w:t xml:space="preserve">La </w:t>
      </w:r>
      <w:proofErr w:type="spellStart"/>
      <w:r w:rsidRPr="002F41D4">
        <w:rPr>
          <w:rFonts w:ascii="Cambria" w:eastAsia="Cambria" w:hAnsi="Cambria" w:cs="Cambria"/>
          <w:sz w:val="20"/>
          <w:szCs w:val="20"/>
        </w:rPr>
        <w:t>Tebaida</w:t>
      </w:r>
      <w:proofErr w:type="spellEnd"/>
      <w:r>
        <w:rPr>
          <w:rFonts w:ascii="Cambria" w:eastAsia="Cambria" w:hAnsi="Cambria" w:cs="Cambria"/>
          <w:sz w:val="20"/>
          <w:szCs w:val="20"/>
        </w:rPr>
        <w:t xml:space="preserve"> known as </w:t>
      </w:r>
      <w:r w:rsidRPr="002F41D4">
        <w:rPr>
          <w:rFonts w:ascii="Cambria" w:eastAsia="Cambria" w:hAnsi="Cambria" w:cs="Cambria"/>
          <w:sz w:val="20"/>
          <w:szCs w:val="20"/>
        </w:rPr>
        <w:t xml:space="preserve">El </w:t>
      </w:r>
      <w:proofErr w:type="spellStart"/>
      <w:r w:rsidRPr="002F41D4">
        <w:rPr>
          <w:rFonts w:ascii="Cambria" w:eastAsia="Cambria" w:hAnsi="Cambria" w:cs="Cambria"/>
          <w:sz w:val="20"/>
          <w:szCs w:val="20"/>
        </w:rPr>
        <w:t>Mirador</w:t>
      </w:r>
      <w:proofErr w:type="spellEnd"/>
      <w:r w:rsidRPr="00FC7E33">
        <w:rPr>
          <w:vertAlign w:val="superscript"/>
        </w:rPr>
        <w:footnoteReference w:id="3"/>
      </w:r>
      <w:r>
        <w:rPr>
          <w:rFonts w:ascii="Cambria" w:eastAsia="Cambria" w:hAnsi="Cambria" w:cs="Cambria"/>
          <w:sz w:val="20"/>
          <w:szCs w:val="20"/>
        </w:rPr>
        <w:t xml:space="preserve"> .  The petitioners allege that the Municipality authorized this construction despite the existence of a </w:t>
      </w:r>
      <w:r>
        <w:rPr>
          <w:rFonts w:ascii="Cambria" w:eastAsia="Cambria" w:hAnsi="Cambria" w:cs="Cambria"/>
          <w:sz w:val="20"/>
          <w:szCs w:val="20"/>
        </w:rPr>
        <w:lastRenderedPageBreak/>
        <w:t xml:space="preserve">March 1992 study by a municipal body known as CRQ-INGEOMINAS that indicated that </w:t>
      </w:r>
      <w:r w:rsidRPr="002F41D4">
        <w:rPr>
          <w:rFonts w:ascii="Cambria" w:eastAsia="Cambria" w:hAnsi="Cambria" w:cs="Cambria"/>
          <w:sz w:val="20"/>
          <w:szCs w:val="20"/>
        </w:rPr>
        <w:t xml:space="preserve">El </w:t>
      </w:r>
      <w:proofErr w:type="spellStart"/>
      <w:r w:rsidRPr="002F41D4">
        <w:rPr>
          <w:rFonts w:ascii="Cambria" w:eastAsia="Cambria" w:hAnsi="Cambria" w:cs="Cambria"/>
          <w:sz w:val="20"/>
          <w:szCs w:val="20"/>
        </w:rPr>
        <w:t>Mirador</w:t>
      </w:r>
      <w:proofErr w:type="spellEnd"/>
      <w:r>
        <w:rPr>
          <w:rFonts w:ascii="Cambria" w:eastAsia="Cambria" w:hAnsi="Cambria" w:cs="Cambria"/>
          <w:sz w:val="20"/>
          <w:szCs w:val="20"/>
        </w:rPr>
        <w:t xml:space="preserve"> was a zone of “high risk”.  The petitioners assert that they were unaware of this study when they subsequently bought lots/houses in or about 1996</w:t>
      </w:r>
      <w:r w:rsidRPr="00FC7E33">
        <w:rPr>
          <w:vertAlign w:val="superscript"/>
        </w:rPr>
        <w:footnoteReference w:id="4"/>
      </w:r>
      <w:r>
        <w:rPr>
          <w:rFonts w:ascii="Cambria" w:eastAsia="Cambria" w:hAnsi="Cambria" w:cs="Cambria"/>
          <w:sz w:val="20"/>
          <w:szCs w:val="20"/>
        </w:rPr>
        <w:t xml:space="preserve"> .  According to the petitioners, the houses were ultimately constructed by </w:t>
      </w:r>
      <w:r w:rsidRPr="002F41D4">
        <w:rPr>
          <w:rFonts w:ascii="Cambria" w:eastAsia="Cambria" w:hAnsi="Cambria" w:cs="Cambria"/>
          <w:sz w:val="20"/>
          <w:szCs w:val="20"/>
        </w:rPr>
        <w:t xml:space="preserve">La </w:t>
      </w:r>
      <w:proofErr w:type="spellStart"/>
      <w:r w:rsidRPr="002F41D4">
        <w:rPr>
          <w:rFonts w:ascii="Cambria" w:eastAsia="Cambria" w:hAnsi="Cambria" w:cs="Cambria"/>
          <w:sz w:val="20"/>
          <w:szCs w:val="20"/>
        </w:rPr>
        <w:t>Corporacion</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GranColombia</w:t>
      </w:r>
      <w:proofErr w:type="spellEnd"/>
      <w:r w:rsidRPr="002F41D4">
        <w:rPr>
          <w:rFonts w:ascii="Cambria" w:eastAsia="Cambria" w:hAnsi="Cambria" w:cs="Cambria"/>
          <w:sz w:val="20"/>
          <w:szCs w:val="20"/>
        </w:rPr>
        <w:t xml:space="preserve"> de </w:t>
      </w:r>
      <w:proofErr w:type="spellStart"/>
      <w:r w:rsidRPr="002F41D4">
        <w:rPr>
          <w:rFonts w:ascii="Cambria" w:eastAsia="Cambria" w:hAnsi="Cambria" w:cs="Cambria"/>
          <w:sz w:val="20"/>
          <w:szCs w:val="20"/>
        </w:rPr>
        <w:t>Ahorro</w:t>
      </w:r>
      <w:proofErr w:type="spellEnd"/>
      <w:r w:rsidRPr="002F41D4">
        <w:rPr>
          <w:rFonts w:ascii="Cambria" w:eastAsia="Cambria" w:hAnsi="Cambria" w:cs="Cambria"/>
          <w:sz w:val="20"/>
          <w:szCs w:val="20"/>
        </w:rPr>
        <w:t xml:space="preserve"> y </w:t>
      </w:r>
      <w:proofErr w:type="spellStart"/>
      <w:r w:rsidRPr="002F41D4">
        <w:rPr>
          <w:rFonts w:ascii="Cambria" w:eastAsia="Cambria" w:hAnsi="Cambria" w:cs="Cambria"/>
          <w:sz w:val="20"/>
          <w:szCs w:val="20"/>
        </w:rPr>
        <w:t>Vividenda</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Granahorrar</w:t>
      </w:r>
      <w:proofErr w:type="spellEnd"/>
      <w:r w:rsidRPr="002F41D4">
        <w:rPr>
          <w:rFonts w:ascii="Cambria" w:eastAsia="Cambria" w:hAnsi="Cambria" w:cs="Cambria"/>
          <w:sz w:val="20"/>
          <w:szCs w:val="20"/>
        </w:rPr>
        <w:t xml:space="preserve"> S.A</w:t>
      </w:r>
      <w:r w:rsidRPr="00FC7E33">
        <w:rPr>
          <w:vertAlign w:val="superscript"/>
        </w:rPr>
        <w:footnoteReference w:id="5"/>
      </w:r>
      <w:r>
        <w:rPr>
          <w:rFonts w:ascii="Cambria" w:eastAsia="Cambria" w:hAnsi="Cambria" w:cs="Cambria"/>
          <w:sz w:val="20"/>
          <w:szCs w:val="20"/>
        </w:rPr>
        <w:t xml:space="preserve"> . The petitioners also allege that an environmental permit was also granted by </w:t>
      </w:r>
      <w:r w:rsidRPr="002F41D4">
        <w:rPr>
          <w:rFonts w:ascii="Cambria" w:eastAsia="Cambria" w:hAnsi="Cambria" w:cs="Cambria"/>
          <w:sz w:val="20"/>
          <w:szCs w:val="20"/>
        </w:rPr>
        <w:t xml:space="preserve">La </w:t>
      </w:r>
      <w:proofErr w:type="spellStart"/>
      <w:r w:rsidRPr="002F41D4">
        <w:rPr>
          <w:rFonts w:ascii="Cambria" w:eastAsia="Cambria" w:hAnsi="Cambria" w:cs="Cambria"/>
          <w:sz w:val="20"/>
          <w:szCs w:val="20"/>
        </w:rPr>
        <w:t>Corporacion</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Autonoma</w:t>
      </w:r>
      <w:proofErr w:type="spellEnd"/>
      <w:r w:rsidRPr="002F41D4">
        <w:rPr>
          <w:rFonts w:ascii="Cambria" w:eastAsia="Cambria" w:hAnsi="Cambria" w:cs="Cambria"/>
          <w:sz w:val="20"/>
          <w:szCs w:val="20"/>
        </w:rPr>
        <w:t xml:space="preserve"> Regional de </w:t>
      </w:r>
      <w:proofErr w:type="spellStart"/>
      <w:r w:rsidRPr="002F41D4">
        <w:rPr>
          <w:rFonts w:ascii="Cambria" w:eastAsia="Cambria" w:hAnsi="Cambria" w:cs="Cambria"/>
          <w:sz w:val="20"/>
          <w:szCs w:val="20"/>
        </w:rPr>
        <w:t>Quindio</w:t>
      </w:r>
      <w:proofErr w:type="spellEnd"/>
      <w:r>
        <w:rPr>
          <w:rFonts w:ascii="Cambria" w:eastAsia="Cambria" w:hAnsi="Cambria" w:cs="Cambria"/>
          <w:sz w:val="20"/>
          <w:szCs w:val="20"/>
        </w:rPr>
        <w:t xml:space="preserve"> despite the risk identified by the 1992 study.</w:t>
      </w:r>
    </w:p>
    <w:p w:rsidR="007C527D" w:rsidRPr="002F41D4"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sidRPr="002F41D4">
        <w:rPr>
          <w:rFonts w:ascii="Cambria" w:eastAsia="Cambria" w:hAnsi="Cambria" w:cs="Cambria"/>
          <w:sz w:val="20"/>
          <w:szCs w:val="20"/>
        </w:rPr>
        <w:t xml:space="preserve"> The petitioners also allege that in January 1999, there was an earthquake in the area which led to a decree from the mayor of La </w:t>
      </w:r>
      <w:proofErr w:type="spellStart"/>
      <w:r w:rsidRPr="002F41D4">
        <w:rPr>
          <w:rFonts w:ascii="Cambria" w:eastAsia="Cambria" w:hAnsi="Cambria" w:cs="Cambria"/>
          <w:sz w:val="20"/>
          <w:szCs w:val="20"/>
        </w:rPr>
        <w:t>Tebaida</w:t>
      </w:r>
      <w:proofErr w:type="spellEnd"/>
      <w:r w:rsidRPr="002F41D4">
        <w:rPr>
          <w:rFonts w:ascii="Cambria" w:eastAsia="Cambria" w:hAnsi="Cambria" w:cs="Cambria"/>
          <w:sz w:val="20"/>
          <w:szCs w:val="20"/>
        </w:rPr>
        <w:t xml:space="preserve"> ordering the evacuation/relocation of the petitioners (and other purchasers/owners of lots in El </w:t>
      </w:r>
      <w:proofErr w:type="spellStart"/>
      <w:r w:rsidRPr="002F41D4">
        <w:rPr>
          <w:rFonts w:ascii="Cambria" w:eastAsia="Cambria" w:hAnsi="Cambria" w:cs="Cambria"/>
          <w:sz w:val="20"/>
          <w:szCs w:val="20"/>
        </w:rPr>
        <w:t>Mirador</w:t>
      </w:r>
      <w:proofErr w:type="spellEnd"/>
      <w:r w:rsidRPr="002F41D4">
        <w:rPr>
          <w:rFonts w:ascii="Cambria" w:eastAsia="Cambria" w:hAnsi="Cambria" w:cs="Cambria"/>
          <w:sz w:val="20"/>
          <w:szCs w:val="20"/>
        </w:rPr>
        <w:t xml:space="preserve">).   The petitioners also claim that following the earthquake, there was a series of studies on the urban areas of La </w:t>
      </w:r>
      <w:proofErr w:type="spellStart"/>
      <w:r w:rsidRPr="002F41D4">
        <w:rPr>
          <w:rFonts w:ascii="Cambria" w:eastAsia="Cambria" w:hAnsi="Cambria" w:cs="Cambria"/>
          <w:sz w:val="20"/>
          <w:szCs w:val="20"/>
        </w:rPr>
        <w:t>Tebaida</w:t>
      </w:r>
      <w:proofErr w:type="spellEnd"/>
      <w:r w:rsidRPr="002F41D4">
        <w:rPr>
          <w:rFonts w:ascii="Cambria" w:eastAsia="Cambria" w:hAnsi="Cambria" w:cs="Cambria"/>
          <w:sz w:val="20"/>
          <w:szCs w:val="20"/>
        </w:rPr>
        <w:t xml:space="preserve"> – including El </w:t>
      </w:r>
      <w:proofErr w:type="spellStart"/>
      <w:r w:rsidRPr="002F41D4">
        <w:rPr>
          <w:rFonts w:ascii="Cambria" w:eastAsia="Cambria" w:hAnsi="Cambria" w:cs="Cambria"/>
          <w:sz w:val="20"/>
          <w:szCs w:val="20"/>
        </w:rPr>
        <w:t>Mirador</w:t>
      </w:r>
      <w:proofErr w:type="spellEnd"/>
      <w:r w:rsidRPr="002F41D4">
        <w:rPr>
          <w:rFonts w:ascii="Cambria" w:eastAsia="Cambria" w:hAnsi="Cambria" w:cs="Cambria"/>
          <w:sz w:val="20"/>
          <w:szCs w:val="20"/>
        </w:rPr>
        <w:t xml:space="preserve"> – which showed that the area was at “high risk” and not suitable for housing .   The </w:t>
      </w:r>
      <w:proofErr w:type="gramStart"/>
      <w:r w:rsidRPr="002F41D4">
        <w:rPr>
          <w:rFonts w:ascii="Cambria" w:eastAsia="Cambria" w:hAnsi="Cambria" w:cs="Cambria"/>
          <w:sz w:val="20"/>
          <w:szCs w:val="20"/>
        </w:rPr>
        <w:t>petitioners</w:t>
      </w:r>
      <w:proofErr w:type="gramEnd"/>
      <w:r w:rsidRPr="002F41D4">
        <w:rPr>
          <w:rFonts w:ascii="Cambria" w:eastAsia="Cambria" w:hAnsi="Cambria" w:cs="Cambria"/>
          <w:sz w:val="20"/>
          <w:szCs w:val="20"/>
        </w:rPr>
        <w:t xml:space="preserve"> claim that they have been forced to abandon their homes, without reparation, and that they continue to be obliged to pay mortgages.    The petitioners also allege that there were technical studies done after the earthquake that showed that the houses built had a number of structural flaws</w:t>
      </w:r>
      <w:r w:rsidRPr="00FC7E33">
        <w:rPr>
          <w:rFonts w:ascii="Cambria" w:eastAsia="Cambria" w:hAnsi="Cambria" w:cs="Cambria"/>
          <w:sz w:val="20"/>
          <w:szCs w:val="20"/>
          <w:vertAlign w:val="superscript"/>
        </w:rPr>
        <w:footnoteReference w:id="6"/>
      </w:r>
      <w:r w:rsidRPr="002F41D4">
        <w:rPr>
          <w:rFonts w:ascii="Cambria" w:eastAsia="Cambria" w:hAnsi="Cambria" w:cs="Cambria"/>
          <w:sz w:val="20"/>
          <w:szCs w:val="20"/>
        </w:rPr>
        <w:t xml:space="preserve">.  </w:t>
      </w:r>
    </w:p>
    <w:p w:rsidR="007C527D" w:rsidRPr="002F41D4"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sidRPr="002F41D4">
        <w:rPr>
          <w:rFonts w:ascii="Cambria" w:eastAsia="Cambria" w:hAnsi="Cambria" w:cs="Cambria"/>
          <w:sz w:val="20"/>
          <w:szCs w:val="20"/>
        </w:rPr>
        <w:t xml:space="preserve"> In December 2001, the petitioners filed an action for reparation in the Tribunal </w:t>
      </w:r>
      <w:proofErr w:type="spellStart"/>
      <w:r w:rsidRPr="002F41D4">
        <w:rPr>
          <w:rFonts w:ascii="Cambria" w:eastAsia="Cambria" w:hAnsi="Cambria" w:cs="Cambria"/>
          <w:sz w:val="20"/>
          <w:szCs w:val="20"/>
        </w:rPr>
        <w:t>Administrativo</w:t>
      </w:r>
      <w:proofErr w:type="spellEnd"/>
      <w:r w:rsidRPr="002F41D4">
        <w:rPr>
          <w:rFonts w:ascii="Cambria" w:eastAsia="Cambria" w:hAnsi="Cambria" w:cs="Cambria"/>
          <w:sz w:val="20"/>
          <w:szCs w:val="20"/>
        </w:rPr>
        <w:t xml:space="preserve"> del </w:t>
      </w:r>
      <w:proofErr w:type="spellStart"/>
      <w:r w:rsidRPr="002F41D4">
        <w:rPr>
          <w:rFonts w:ascii="Cambria" w:eastAsia="Cambria" w:hAnsi="Cambria" w:cs="Cambria"/>
          <w:sz w:val="20"/>
          <w:szCs w:val="20"/>
        </w:rPr>
        <w:t>Quindio</w:t>
      </w:r>
      <w:proofErr w:type="spellEnd"/>
      <w:r w:rsidRPr="002F41D4">
        <w:rPr>
          <w:rFonts w:ascii="Cambria" w:eastAsia="Cambria" w:hAnsi="Cambria" w:cs="Cambria"/>
          <w:sz w:val="20"/>
          <w:szCs w:val="20"/>
        </w:rPr>
        <w:t xml:space="preserve"> against the </w:t>
      </w:r>
      <w:proofErr w:type="spellStart"/>
      <w:r w:rsidRPr="002F41D4">
        <w:rPr>
          <w:rFonts w:ascii="Cambria" w:eastAsia="Cambria" w:hAnsi="Cambria" w:cs="Cambria"/>
          <w:sz w:val="20"/>
          <w:szCs w:val="20"/>
        </w:rPr>
        <w:t>Munipality</w:t>
      </w:r>
      <w:proofErr w:type="spellEnd"/>
      <w:r w:rsidRPr="002F41D4">
        <w:rPr>
          <w:rFonts w:ascii="Cambria" w:eastAsia="Cambria" w:hAnsi="Cambria" w:cs="Cambria"/>
          <w:sz w:val="20"/>
          <w:szCs w:val="20"/>
        </w:rPr>
        <w:t xml:space="preserve"> of La </w:t>
      </w:r>
      <w:proofErr w:type="spellStart"/>
      <w:r w:rsidRPr="002F41D4">
        <w:rPr>
          <w:rFonts w:ascii="Cambria" w:eastAsia="Cambria" w:hAnsi="Cambria" w:cs="Cambria"/>
          <w:sz w:val="20"/>
          <w:szCs w:val="20"/>
        </w:rPr>
        <w:t>Tebaida</w:t>
      </w:r>
      <w:proofErr w:type="spellEnd"/>
      <w:r w:rsidRPr="002F41D4">
        <w:rPr>
          <w:rFonts w:ascii="Cambria" w:eastAsia="Cambria" w:hAnsi="Cambria" w:cs="Cambria"/>
          <w:sz w:val="20"/>
          <w:szCs w:val="20"/>
        </w:rPr>
        <w:t xml:space="preserve">, the </w:t>
      </w:r>
      <w:proofErr w:type="spellStart"/>
      <w:r w:rsidRPr="002F41D4">
        <w:rPr>
          <w:rFonts w:ascii="Cambria" w:eastAsia="Cambria" w:hAnsi="Cambria" w:cs="Cambria"/>
          <w:sz w:val="20"/>
          <w:szCs w:val="20"/>
        </w:rPr>
        <w:t>Corporacion</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Autonoma</w:t>
      </w:r>
      <w:proofErr w:type="spellEnd"/>
      <w:r w:rsidRPr="002F41D4">
        <w:rPr>
          <w:rFonts w:ascii="Cambria" w:eastAsia="Cambria" w:hAnsi="Cambria" w:cs="Cambria"/>
          <w:sz w:val="20"/>
          <w:szCs w:val="20"/>
        </w:rPr>
        <w:t xml:space="preserve"> Regional de </w:t>
      </w:r>
      <w:proofErr w:type="spellStart"/>
      <w:r w:rsidRPr="002F41D4">
        <w:rPr>
          <w:rFonts w:ascii="Cambria" w:eastAsia="Cambria" w:hAnsi="Cambria" w:cs="Cambria"/>
          <w:sz w:val="20"/>
          <w:szCs w:val="20"/>
        </w:rPr>
        <w:t>Quindio</w:t>
      </w:r>
      <w:proofErr w:type="spellEnd"/>
      <w:r w:rsidRPr="002F41D4">
        <w:rPr>
          <w:rFonts w:ascii="Cambria" w:eastAsia="Cambria" w:hAnsi="Cambria" w:cs="Cambria"/>
          <w:sz w:val="20"/>
          <w:szCs w:val="20"/>
        </w:rPr>
        <w:t xml:space="preserve"> and the La </w:t>
      </w:r>
      <w:proofErr w:type="spellStart"/>
      <w:r w:rsidRPr="002F41D4">
        <w:rPr>
          <w:rFonts w:ascii="Cambria" w:eastAsia="Cambria" w:hAnsi="Cambria" w:cs="Cambria"/>
          <w:sz w:val="20"/>
          <w:szCs w:val="20"/>
        </w:rPr>
        <w:t>Corporacion</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GranColombia</w:t>
      </w:r>
      <w:proofErr w:type="spellEnd"/>
      <w:r w:rsidRPr="002F41D4">
        <w:rPr>
          <w:rFonts w:ascii="Cambria" w:eastAsia="Cambria" w:hAnsi="Cambria" w:cs="Cambria"/>
          <w:sz w:val="20"/>
          <w:szCs w:val="20"/>
        </w:rPr>
        <w:t xml:space="preserve"> de </w:t>
      </w:r>
      <w:proofErr w:type="spellStart"/>
      <w:r w:rsidRPr="002F41D4">
        <w:rPr>
          <w:rFonts w:ascii="Cambria" w:eastAsia="Cambria" w:hAnsi="Cambria" w:cs="Cambria"/>
          <w:sz w:val="20"/>
          <w:szCs w:val="20"/>
        </w:rPr>
        <w:t>Ahorro</w:t>
      </w:r>
      <w:proofErr w:type="spellEnd"/>
      <w:r w:rsidRPr="002F41D4">
        <w:rPr>
          <w:rFonts w:ascii="Cambria" w:eastAsia="Cambria" w:hAnsi="Cambria" w:cs="Cambria"/>
          <w:sz w:val="20"/>
          <w:szCs w:val="20"/>
        </w:rPr>
        <w:t xml:space="preserve"> y </w:t>
      </w:r>
      <w:proofErr w:type="spellStart"/>
      <w:r w:rsidRPr="002F41D4">
        <w:rPr>
          <w:rFonts w:ascii="Cambria" w:eastAsia="Cambria" w:hAnsi="Cambria" w:cs="Cambria"/>
          <w:sz w:val="20"/>
          <w:szCs w:val="20"/>
        </w:rPr>
        <w:t>Vividenda</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Granahorrar</w:t>
      </w:r>
      <w:proofErr w:type="spellEnd"/>
      <w:r w:rsidRPr="002F41D4">
        <w:rPr>
          <w:rFonts w:ascii="Cambria" w:eastAsia="Cambria" w:hAnsi="Cambria" w:cs="Cambria"/>
          <w:sz w:val="20"/>
          <w:szCs w:val="20"/>
        </w:rPr>
        <w:t xml:space="preserve"> S.A.  The petitioners contended that these defendants had acted negligently in authorizing or carrying out the construction of houses in an area of high risk; and that the houses were poorly constructed.   In Tribunal ultimately dismissed the claim – mainly on the ground that they had failed to provide a certified copy of the study that the area of construction (where the houses were built) was a high risk zone.  The petitioners’ subsequent appeal to </w:t>
      </w:r>
      <w:proofErr w:type="spellStart"/>
      <w:r w:rsidRPr="002F41D4">
        <w:rPr>
          <w:rFonts w:ascii="Cambria" w:eastAsia="Cambria" w:hAnsi="Cambria" w:cs="Cambria"/>
          <w:sz w:val="20"/>
          <w:szCs w:val="20"/>
        </w:rPr>
        <w:t>Consejo</w:t>
      </w:r>
      <w:proofErr w:type="spellEnd"/>
      <w:r w:rsidRPr="002F41D4">
        <w:rPr>
          <w:rFonts w:ascii="Cambria" w:eastAsia="Cambria" w:hAnsi="Cambria" w:cs="Cambria"/>
          <w:sz w:val="20"/>
          <w:szCs w:val="20"/>
        </w:rPr>
        <w:t xml:space="preserve"> de Estado, was dismissed on January 27, 2009</w:t>
      </w:r>
      <w:r w:rsidRPr="00FC7E33">
        <w:rPr>
          <w:rFonts w:ascii="Cambria" w:eastAsia="Cambria" w:hAnsi="Cambria" w:cs="Cambria"/>
          <w:sz w:val="20"/>
          <w:szCs w:val="20"/>
          <w:vertAlign w:val="superscript"/>
        </w:rPr>
        <w:footnoteReference w:id="7"/>
      </w:r>
      <w:r w:rsidRPr="002F41D4">
        <w:rPr>
          <w:rFonts w:ascii="Cambria" w:eastAsia="Cambria" w:hAnsi="Cambria" w:cs="Cambria"/>
          <w:sz w:val="20"/>
          <w:szCs w:val="20"/>
        </w:rPr>
        <w:t xml:space="preserve"> .  Based on the record, the petitioners were notified of this decision on the same day (January 27, 2009).  The petitioners also assert that they made a criminal complaint against Senator Ricardo Arias and against La </w:t>
      </w:r>
      <w:proofErr w:type="spellStart"/>
      <w:r w:rsidRPr="002F41D4">
        <w:rPr>
          <w:rFonts w:ascii="Cambria" w:eastAsia="Cambria" w:hAnsi="Cambria" w:cs="Cambria"/>
          <w:sz w:val="20"/>
          <w:szCs w:val="20"/>
        </w:rPr>
        <w:t>Corporacion</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GranColombia</w:t>
      </w:r>
      <w:proofErr w:type="spellEnd"/>
      <w:r w:rsidRPr="002F41D4">
        <w:rPr>
          <w:rFonts w:ascii="Cambria" w:eastAsia="Cambria" w:hAnsi="Cambria" w:cs="Cambria"/>
          <w:sz w:val="20"/>
          <w:szCs w:val="20"/>
        </w:rPr>
        <w:t xml:space="preserve"> de </w:t>
      </w:r>
      <w:proofErr w:type="spellStart"/>
      <w:r w:rsidRPr="002F41D4">
        <w:rPr>
          <w:rFonts w:ascii="Cambria" w:eastAsia="Cambria" w:hAnsi="Cambria" w:cs="Cambria"/>
          <w:sz w:val="20"/>
          <w:szCs w:val="20"/>
        </w:rPr>
        <w:t>Ahorro</w:t>
      </w:r>
      <w:proofErr w:type="spellEnd"/>
      <w:r w:rsidRPr="002F41D4">
        <w:rPr>
          <w:rFonts w:ascii="Cambria" w:eastAsia="Cambria" w:hAnsi="Cambria" w:cs="Cambria"/>
          <w:sz w:val="20"/>
          <w:szCs w:val="20"/>
        </w:rPr>
        <w:t xml:space="preserve"> y </w:t>
      </w:r>
      <w:proofErr w:type="spellStart"/>
      <w:r w:rsidRPr="002F41D4">
        <w:rPr>
          <w:rFonts w:ascii="Cambria" w:eastAsia="Cambria" w:hAnsi="Cambria" w:cs="Cambria"/>
          <w:sz w:val="20"/>
          <w:szCs w:val="20"/>
        </w:rPr>
        <w:t>Vividenda</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Granahorrar</w:t>
      </w:r>
      <w:proofErr w:type="spellEnd"/>
      <w:r w:rsidRPr="002F41D4">
        <w:rPr>
          <w:rFonts w:ascii="Cambria" w:eastAsia="Cambria" w:hAnsi="Cambria" w:cs="Cambria"/>
          <w:sz w:val="20"/>
          <w:szCs w:val="20"/>
        </w:rPr>
        <w:t xml:space="preserve"> S.A</w:t>
      </w:r>
      <w:proofErr w:type="gramStart"/>
      <w:r w:rsidRPr="002F41D4">
        <w:rPr>
          <w:rFonts w:ascii="Cambria" w:eastAsia="Cambria" w:hAnsi="Cambria" w:cs="Cambria"/>
          <w:sz w:val="20"/>
          <w:szCs w:val="20"/>
        </w:rPr>
        <w:t>,  for</w:t>
      </w:r>
      <w:proofErr w:type="gramEnd"/>
      <w:r w:rsidRPr="002F41D4">
        <w:rPr>
          <w:rFonts w:ascii="Cambria" w:eastAsia="Cambria" w:hAnsi="Cambria" w:cs="Cambria"/>
          <w:sz w:val="20"/>
          <w:szCs w:val="20"/>
        </w:rPr>
        <w:t xml:space="preserve">  fraud and illegal urbanization, but this complaint was archived in 2003</w:t>
      </w:r>
      <w:r w:rsidR="00FC7E33">
        <w:rPr>
          <w:rFonts w:ascii="Cambria" w:eastAsia="Cambria" w:hAnsi="Cambria" w:cs="Cambria"/>
          <w:sz w:val="20"/>
          <w:szCs w:val="20"/>
        </w:rPr>
        <w:t>.</w:t>
      </w:r>
    </w:p>
    <w:p w:rsidR="007C527D" w:rsidRPr="002F41D4"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sidRPr="002F41D4">
        <w:rPr>
          <w:rFonts w:ascii="Cambria" w:eastAsia="Cambria" w:hAnsi="Cambria" w:cs="Cambria"/>
          <w:sz w:val="20"/>
          <w:szCs w:val="20"/>
        </w:rPr>
        <w:t xml:space="preserve">The State rejects the petition as inadmissible principally on the grounds that (a) it violates the fourth instance formula; and (b) it fails to characterize any prima facie violations of the American Convention.  With respect to the first ground, the State argues that the complaint of the petitioners was dismissed after being fully ventilated before the domestic courts. In this regard, the State notes that the court of first instance dismissed the claim because of the petitioners’ failure to adduce admissible evidence in support of their claim (i.e. certified copy of the 1992 study)  pursuant to the </w:t>
      </w:r>
      <w:proofErr w:type="spellStart"/>
      <w:r w:rsidRPr="002F41D4">
        <w:rPr>
          <w:rFonts w:ascii="Cambria" w:eastAsia="Cambria" w:hAnsi="Cambria" w:cs="Cambria"/>
          <w:sz w:val="20"/>
          <w:szCs w:val="20"/>
        </w:rPr>
        <w:t>Codigo</w:t>
      </w:r>
      <w:proofErr w:type="spellEnd"/>
      <w:r w:rsidRPr="002F41D4">
        <w:rPr>
          <w:rFonts w:ascii="Cambria" w:eastAsia="Cambria" w:hAnsi="Cambria" w:cs="Cambria"/>
          <w:sz w:val="20"/>
          <w:szCs w:val="20"/>
        </w:rPr>
        <w:t xml:space="preserve"> de </w:t>
      </w:r>
      <w:proofErr w:type="spellStart"/>
      <w:r w:rsidRPr="002F41D4">
        <w:rPr>
          <w:rFonts w:ascii="Cambria" w:eastAsia="Cambria" w:hAnsi="Cambria" w:cs="Cambria"/>
          <w:sz w:val="20"/>
          <w:szCs w:val="20"/>
        </w:rPr>
        <w:t>Procedimiento</w:t>
      </w:r>
      <w:proofErr w:type="spellEnd"/>
      <w:r w:rsidRPr="002F41D4">
        <w:rPr>
          <w:rFonts w:ascii="Cambria" w:eastAsia="Cambria" w:hAnsi="Cambria" w:cs="Cambria"/>
          <w:sz w:val="20"/>
          <w:szCs w:val="20"/>
        </w:rPr>
        <w:t xml:space="preserve"> Civil.    </w:t>
      </w:r>
    </w:p>
    <w:p w:rsidR="007C527D" w:rsidRPr="002F41D4"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sidRPr="002F41D4">
        <w:rPr>
          <w:rFonts w:ascii="Cambria" w:eastAsia="Cambria" w:hAnsi="Cambria" w:cs="Cambria"/>
          <w:sz w:val="20"/>
          <w:szCs w:val="20"/>
        </w:rPr>
        <w:t xml:space="preserve">With respect to the second ground, the State contends that (a) the  1992 study referred to by the petitioners did not include El </w:t>
      </w:r>
      <w:proofErr w:type="spellStart"/>
      <w:r w:rsidRPr="002F41D4">
        <w:rPr>
          <w:rFonts w:ascii="Cambria" w:eastAsia="Cambria" w:hAnsi="Cambria" w:cs="Cambria"/>
          <w:sz w:val="20"/>
          <w:szCs w:val="20"/>
        </w:rPr>
        <w:t>Mirador</w:t>
      </w:r>
      <w:proofErr w:type="spellEnd"/>
      <w:r w:rsidRPr="002F41D4">
        <w:rPr>
          <w:rFonts w:ascii="Cambria" w:eastAsia="Cambria" w:hAnsi="Cambria" w:cs="Cambria"/>
          <w:sz w:val="20"/>
          <w:szCs w:val="20"/>
        </w:rPr>
        <w:t xml:space="preserve"> but surrounding areas; (b)  authorization for construction was given after verifying that the applicants had completed the requisite technical studies to adequately ensure the design, construction, and stability of the construction work; (c) there was no environmental </w:t>
      </w:r>
      <w:proofErr w:type="spellStart"/>
      <w:r w:rsidRPr="002F41D4">
        <w:rPr>
          <w:rFonts w:ascii="Cambria" w:eastAsia="Cambria" w:hAnsi="Cambria" w:cs="Cambria"/>
          <w:sz w:val="20"/>
          <w:szCs w:val="20"/>
        </w:rPr>
        <w:t>licence</w:t>
      </w:r>
      <w:proofErr w:type="spellEnd"/>
      <w:r w:rsidRPr="002F41D4">
        <w:rPr>
          <w:rFonts w:ascii="Cambria" w:eastAsia="Cambria" w:hAnsi="Cambria" w:cs="Cambria"/>
          <w:sz w:val="20"/>
          <w:szCs w:val="20"/>
        </w:rPr>
        <w:t xml:space="preserve"> issued by the </w:t>
      </w:r>
      <w:proofErr w:type="spellStart"/>
      <w:r w:rsidRPr="002F41D4">
        <w:rPr>
          <w:rFonts w:ascii="Cambria" w:eastAsia="Cambria" w:hAnsi="Cambria" w:cs="Cambria"/>
          <w:sz w:val="20"/>
          <w:szCs w:val="20"/>
        </w:rPr>
        <w:t>Corporacion</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Autonoma</w:t>
      </w:r>
      <w:proofErr w:type="spellEnd"/>
      <w:r w:rsidRPr="002F41D4">
        <w:rPr>
          <w:rFonts w:ascii="Cambria" w:eastAsia="Cambria" w:hAnsi="Cambria" w:cs="Cambria"/>
          <w:sz w:val="20"/>
          <w:szCs w:val="20"/>
        </w:rPr>
        <w:t xml:space="preserve"> Regional del </w:t>
      </w:r>
      <w:proofErr w:type="spellStart"/>
      <w:r w:rsidRPr="002F41D4">
        <w:rPr>
          <w:rFonts w:ascii="Cambria" w:eastAsia="Cambria" w:hAnsi="Cambria" w:cs="Cambria"/>
          <w:sz w:val="20"/>
          <w:szCs w:val="20"/>
        </w:rPr>
        <w:t>Quindio</w:t>
      </w:r>
      <w:proofErr w:type="spellEnd"/>
      <w:r w:rsidRPr="002F41D4">
        <w:rPr>
          <w:rFonts w:ascii="Cambria" w:eastAsia="Cambria" w:hAnsi="Cambria" w:cs="Cambria"/>
          <w:sz w:val="20"/>
          <w:szCs w:val="20"/>
        </w:rPr>
        <w:t xml:space="preserve"> as claimed by the petitioners, because the law did not require this until 1993. </w:t>
      </w:r>
    </w:p>
    <w:p w:rsidR="007C527D"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 xml:space="preserve">The State also alleges that following the earthquake in 1999, there were mayoral decrees ordering an evacuation/relocation of the houses in </w:t>
      </w:r>
      <w:r w:rsidRPr="002F41D4">
        <w:rPr>
          <w:rFonts w:ascii="Cambria" w:eastAsia="Cambria" w:hAnsi="Cambria" w:cs="Cambria"/>
          <w:sz w:val="20"/>
          <w:szCs w:val="20"/>
        </w:rPr>
        <w:t xml:space="preserve">El </w:t>
      </w:r>
      <w:proofErr w:type="spellStart"/>
      <w:r w:rsidRPr="002F41D4">
        <w:rPr>
          <w:rFonts w:ascii="Cambria" w:eastAsia="Cambria" w:hAnsi="Cambria" w:cs="Cambria"/>
          <w:sz w:val="20"/>
          <w:szCs w:val="20"/>
        </w:rPr>
        <w:t>Mirador</w:t>
      </w:r>
      <w:proofErr w:type="spellEnd"/>
      <w:r>
        <w:rPr>
          <w:rFonts w:ascii="Cambria" w:eastAsia="Cambria" w:hAnsi="Cambria" w:cs="Cambria"/>
          <w:sz w:val="20"/>
          <w:szCs w:val="20"/>
        </w:rPr>
        <w:t xml:space="preserve">.  However, in 2002, a study done by </w:t>
      </w:r>
      <w:proofErr w:type="spellStart"/>
      <w:r w:rsidRPr="002F41D4">
        <w:rPr>
          <w:rFonts w:ascii="Cambria" w:eastAsia="Cambria" w:hAnsi="Cambria" w:cs="Cambria"/>
          <w:sz w:val="20"/>
          <w:szCs w:val="20"/>
        </w:rPr>
        <w:t>Corporacion</w:t>
      </w:r>
      <w:proofErr w:type="spellEnd"/>
      <w:r w:rsidRPr="002F41D4">
        <w:rPr>
          <w:rFonts w:ascii="Cambria" w:eastAsia="Cambria" w:hAnsi="Cambria" w:cs="Cambria"/>
          <w:sz w:val="20"/>
          <w:szCs w:val="20"/>
        </w:rPr>
        <w:t xml:space="preserve"> </w:t>
      </w:r>
      <w:proofErr w:type="spellStart"/>
      <w:r w:rsidRPr="002F41D4">
        <w:rPr>
          <w:rFonts w:ascii="Cambria" w:eastAsia="Cambria" w:hAnsi="Cambria" w:cs="Cambria"/>
          <w:sz w:val="20"/>
          <w:szCs w:val="20"/>
        </w:rPr>
        <w:t>Autonoma</w:t>
      </w:r>
      <w:proofErr w:type="spellEnd"/>
      <w:r w:rsidRPr="002F41D4">
        <w:rPr>
          <w:rFonts w:ascii="Cambria" w:eastAsia="Cambria" w:hAnsi="Cambria" w:cs="Cambria"/>
          <w:sz w:val="20"/>
          <w:szCs w:val="20"/>
        </w:rPr>
        <w:t xml:space="preserve"> Regional del </w:t>
      </w:r>
      <w:proofErr w:type="spellStart"/>
      <w:r w:rsidRPr="002F41D4">
        <w:rPr>
          <w:rFonts w:ascii="Cambria" w:eastAsia="Cambria" w:hAnsi="Cambria" w:cs="Cambria"/>
          <w:sz w:val="20"/>
          <w:szCs w:val="20"/>
        </w:rPr>
        <w:t>Quindio</w:t>
      </w:r>
      <w:proofErr w:type="spellEnd"/>
      <w:r>
        <w:rPr>
          <w:rFonts w:ascii="Cambria" w:eastAsia="Cambria" w:hAnsi="Cambria" w:cs="Cambria"/>
          <w:sz w:val="20"/>
          <w:szCs w:val="20"/>
        </w:rPr>
        <w:t xml:space="preserve"> that 90% of </w:t>
      </w:r>
      <w:r w:rsidRPr="002F41D4">
        <w:rPr>
          <w:rFonts w:ascii="Cambria" w:eastAsia="Cambria" w:hAnsi="Cambria" w:cs="Cambria"/>
          <w:sz w:val="20"/>
          <w:szCs w:val="20"/>
        </w:rPr>
        <w:t xml:space="preserve">El </w:t>
      </w:r>
      <w:proofErr w:type="spellStart"/>
      <w:r w:rsidRPr="002F41D4">
        <w:rPr>
          <w:rFonts w:ascii="Cambria" w:eastAsia="Cambria" w:hAnsi="Cambria" w:cs="Cambria"/>
          <w:sz w:val="20"/>
          <w:szCs w:val="20"/>
        </w:rPr>
        <w:t>Mirador</w:t>
      </w:r>
      <w:proofErr w:type="spellEnd"/>
      <w:r w:rsidRPr="002F41D4">
        <w:rPr>
          <w:rFonts w:ascii="Cambria" w:eastAsia="Cambria" w:hAnsi="Cambria" w:cs="Cambria"/>
          <w:sz w:val="20"/>
          <w:szCs w:val="20"/>
        </w:rPr>
        <w:t xml:space="preserve"> </w:t>
      </w:r>
      <w:r>
        <w:rPr>
          <w:rFonts w:ascii="Cambria" w:eastAsia="Cambria" w:hAnsi="Cambria" w:cs="Cambria"/>
          <w:sz w:val="20"/>
          <w:szCs w:val="20"/>
        </w:rPr>
        <w:t xml:space="preserve">was fit for construction.  As a result, the mayor revoked the previous decrees and ordered that in respect of houses that had not been evacuated/relocated, these would be repaired according to plan of repair.   As it relates to the petitioners claims of faulty construction, the State argues that this is attributable to third parties and not to the State.   The State also argues that the damage caused to the petitioners (by the earthquake) was unforeseeable, and not attributable to the State. </w:t>
      </w:r>
    </w:p>
    <w:p w:rsidR="007C527D" w:rsidRDefault="003F32A0">
      <w:pPr>
        <w:pStyle w:val="Body"/>
        <w:spacing w:before="120" w:after="120"/>
        <w:ind w:firstLine="720"/>
        <w:jc w:val="both"/>
        <w:rPr>
          <w:rFonts w:ascii="Cambria" w:eastAsia="Cambria" w:hAnsi="Cambria" w:cs="Cambria"/>
          <w:sz w:val="20"/>
          <w:szCs w:val="20"/>
        </w:rPr>
      </w:pPr>
      <w:r>
        <w:rPr>
          <w:rFonts w:ascii="Cambria" w:eastAsia="Cambria" w:hAnsi="Cambria" w:cs="Cambria"/>
          <w:b/>
          <w:bCs/>
          <w:sz w:val="20"/>
          <w:szCs w:val="20"/>
        </w:rPr>
        <w:lastRenderedPageBreak/>
        <w:t>VI.</w:t>
      </w:r>
      <w:r>
        <w:rPr>
          <w:rFonts w:ascii="Cambria" w:eastAsia="Cambria" w:hAnsi="Cambria" w:cs="Cambria"/>
          <w:b/>
          <w:bCs/>
          <w:sz w:val="20"/>
          <w:szCs w:val="20"/>
        </w:rPr>
        <w:tab/>
        <w:t xml:space="preserve">EXHAUSTION OF DOMESTIC REMEDIES AND TIMELINESS OF THE PETITION </w:t>
      </w:r>
    </w:p>
    <w:p w:rsidR="007C527D"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 xml:space="preserve">As between the parties, it is undisputed that the petitioners unsuccessfully litigated their claim before the </w:t>
      </w:r>
      <w:r w:rsidRPr="002F41D4">
        <w:rPr>
          <w:rFonts w:ascii="Cambria" w:eastAsia="Cambria" w:hAnsi="Cambria" w:cs="Cambria"/>
          <w:sz w:val="20"/>
          <w:szCs w:val="20"/>
        </w:rPr>
        <w:t xml:space="preserve">Tribunal </w:t>
      </w:r>
      <w:proofErr w:type="spellStart"/>
      <w:r w:rsidRPr="002F41D4">
        <w:rPr>
          <w:rFonts w:ascii="Cambria" w:eastAsia="Cambria" w:hAnsi="Cambria" w:cs="Cambria"/>
          <w:sz w:val="20"/>
          <w:szCs w:val="20"/>
        </w:rPr>
        <w:t>Administrativo</w:t>
      </w:r>
      <w:proofErr w:type="spellEnd"/>
      <w:r w:rsidRPr="002F41D4">
        <w:rPr>
          <w:rFonts w:ascii="Cambria" w:eastAsia="Cambria" w:hAnsi="Cambria" w:cs="Cambria"/>
          <w:sz w:val="20"/>
          <w:szCs w:val="20"/>
        </w:rPr>
        <w:t xml:space="preserve"> del </w:t>
      </w:r>
      <w:proofErr w:type="spellStart"/>
      <w:r w:rsidRPr="002F41D4">
        <w:rPr>
          <w:rFonts w:ascii="Cambria" w:eastAsia="Cambria" w:hAnsi="Cambria" w:cs="Cambria"/>
          <w:sz w:val="20"/>
          <w:szCs w:val="20"/>
        </w:rPr>
        <w:t>Quindio</w:t>
      </w:r>
      <w:proofErr w:type="spellEnd"/>
      <w:r>
        <w:rPr>
          <w:rFonts w:ascii="Cambria" w:eastAsia="Cambria" w:hAnsi="Cambria" w:cs="Cambria"/>
          <w:sz w:val="20"/>
          <w:szCs w:val="20"/>
        </w:rPr>
        <w:t xml:space="preserve"> and the </w:t>
      </w:r>
      <w:proofErr w:type="spellStart"/>
      <w:r w:rsidRPr="002F41D4">
        <w:rPr>
          <w:rFonts w:ascii="Cambria" w:eastAsia="Cambria" w:hAnsi="Cambria" w:cs="Cambria"/>
          <w:sz w:val="20"/>
          <w:szCs w:val="20"/>
        </w:rPr>
        <w:t>Consejo</w:t>
      </w:r>
      <w:proofErr w:type="spellEnd"/>
      <w:r w:rsidRPr="002F41D4">
        <w:rPr>
          <w:rFonts w:ascii="Cambria" w:eastAsia="Cambria" w:hAnsi="Cambria" w:cs="Cambria"/>
          <w:sz w:val="20"/>
          <w:szCs w:val="20"/>
        </w:rPr>
        <w:t xml:space="preserve"> de Estado</w:t>
      </w:r>
      <w:r>
        <w:rPr>
          <w:rFonts w:ascii="Cambria" w:eastAsia="Cambria" w:hAnsi="Cambria" w:cs="Cambria"/>
          <w:sz w:val="20"/>
          <w:szCs w:val="20"/>
        </w:rPr>
        <w:t xml:space="preserve">.  The State, for its part, did not submit any allegations concerning the exhaustion of domestic remedies or the timeliness of the petition. </w:t>
      </w:r>
    </w:p>
    <w:p w:rsidR="007C527D"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In this case, the Commission notes, for the purpose of the analysis of admissibility, that the petitioners exhausted all the remedies available in the domestic legal framework, and that, consequently, the petition meets the requirement established in Article 46.1.</w:t>
      </w:r>
      <w:proofErr w:type="spellStart"/>
      <w:r>
        <w:rPr>
          <w:rFonts w:ascii="Cambria" w:eastAsia="Cambria" w:hAnsi="Cambria" w:cs="Cambria"/>
          <w:sz w:val="20"/>
          <w:szCs w:val="20"/>
        </w:rPr>
        <w:t>a</w:t>
      </w:r>
      <w:proofErr w:type="spellEnd"/>
      <w:r>
        <w:rPr>
          <w:rFonts w:ascii="Cambria" w:eastAsia="Cambria" w:hAnsi="Cambria" w:cs="Cambria"/>
          <w:sz w:val="20"/>
          <w:szCs w:val="20"/>
        </w:rPr>
        <w:t xml:space="preserve"> of the Convention.  As to the timeliness requirement, the Commission notes that the petition was filed within the six months period following the date of notification of the final decision by which the domestic remedies were exhausted. The date of notification was January 27, 2009, and the petition was received on April 24, 2009. Thus, the requirement set forth in Article 46.1.b of the Convention is declared met. </w:t>
      </w:r>
    </w:p>
    <w:p w:rsidR="007C527D" w:rsidRDefault="003F32A0">
      <w:pPr>
        <w:pStyle w:val="ListParagraph"/>
        <w:spacing w:before="120" w:after="120"/>
        <w:jc w:val="both"/>
        <w:rPr>
          <w:b/>
          <w:bCs/>
          <w:sz w:val="20"/>
          <w:szCs w:val="20"/>
        </w:rPr>
      </w:pPr>
      <w:r>
        <w:rPr>
          <w:b/>
          <w:bCs/>
          <w:sz w:val="20"/>
          <w:szCs w:val="20"/>
        </w:rPr>
        <w:t>VII.</w:t>
      </w:r>
      <w:r>
        <w:rPr>
          <w:b/>
          <w:bCs/>
          <w:sz w:val="20"/>
          <w:szCs w:val="20"/>
        </w:rPr>
        <w:tab/>
        <w:t>COLORABLE CLAIM</w:t>
      </w:r>
    </w:p>
    <w:p w:rsidR="007C527D"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 xml:space="preserve">In the instant case, the petitioners allege that the State has incurred responsibility for (a) authorizing and permitting the construction of houses in an area of “high risk” (that were ultimately damaged by an earthquake in 1999); (b) failing to take adequate measures to ensure that the houses were structurally sound; and (c) failing to provide any compensation for losses incurred as a result of having to relocate as a result of damage done to the houses.   The Commission notes that the parties are at variance on the question of whether the area of construction was one of “high risk”, and that the State has attributed any faulty construction to third parties.   However, given that this construction was authorized by the State, the Commission considers that the petitioners' allegations are not manifestly unfounded and require a substantive study, since if the facts denounced are confirmed as true, they could constitute violations of Articles 21, 8, 25 and 26 of the American Convention with regard to the obligations established in Articles 1.1. </w:t>
      </w:r>
      <w:proofErr w:type="gramStart"/>
      <w:r>
        <w:rPr>
          <w:rFonts w:ascii="Cambria" w:eastAsia="Cambria" w:hAnsi="Cambria" w:cs="Cambria"/>
          <w:sz w:val="20"/>
          <w:szCs w:val="20"/>
        </w:rPr>
        <w:t>and</w:t>
      </w:r>
      <w:proofErr w:type="gramEnd"/>
      <w:r>
        <w:rPr>
          <w:rFonts w:ascii="Cambria" w:eastAsia="Cambria" w:hAnsi="Cambria" w:cs="Cambria"/>
          <w:sz w:val="20"/>
          <w:szCs w:val="20"/>
        </w:rPr>
        <w:t xml:space="preserve"> 2 of the same instrument.  </w:t>
      </w:r>
    </w:p>
    <w:p w:rsidR="007C527D" w:rsidRDefault="003F32A0" w:rsidP="002F41D4">
      <w:pPr>
        <w:pStyle w:val="Body"/>
        <w:numPr>
          <w:ilvl w:val="0"/>
          <w:numId w:val="2"/>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As for the State’s allegations that this petition leads to a court of fourth instance, the Commission reiterates that, under its mandate, it is competent to declare a petition admissible and rule on the merits of the case when the matter concerns domestic proceedings where any of the rights protected by the American Convention might have been violated.</w:t>
      </w:r>
    </w:p>
    <w:p w:rsidR="007C527D" w:rsidRDefault="003F32A0">
      <w:pPr>
        <w:pStyle w:val="ListParagraph"/>
        <w:spacing w:before="120" w:after="120"/>
        <w:jc w:val="both"/>
        <w:rPr>
          <w:b/>
          <w:bCs/>
          <w:sz w:val="20"/>
          <w:szCs w:val="20"/>
        </w:rPr>
      </w:pPr>
      <w:r>
        <w:rPr>
          <w:b/>
          <w:bCs/>
          <w:sz w:val="20"/>
          <w:szCs w:val="20"/>
        </w:rPr>
        <w:t xml:space="preserve">VIII. </w:t>
      </w:r>
      <w:r>
        <w:rPr>
          <w:b/>
          <w:bCs/>
          <w:sz w:val="20"/>
          <w:szCs w:val="20"/>
        </w:rPr>
        <w:tab/>
        <w:t>DECISION</w:t>
      </w:r>
    </w:p>
    <w:p w:rsidR="007C527D" w:rsidRPr="002F41D4" w:rsidRDefault="003F32A0" w:rsidP="002F41D4">
      <w:pPr>
        <w:pStyle w:val="Body"/>
        <w:numPr>
          <w:ilvl w:val="0"/>
          <w:numId w:val="7"/>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To find the instant petition admissible in relation to Articles 8, 21, 25, and 26 all in conjunction with Articles 1.1 and 2 of the American Convention on Human Rights.</w:t>
      </w:r>
    </w:p>
    <w:p w:rsidR="007C527D" w:rsidRPr="002F41D4" w:rsidRDefault="007C527D" w:rsidP="002F41D4">
      <w:pPr>
        <w:pStyle w:val="Body"/>
        <w:tabs>
          <w:tab w:val="left" w:pos="0"/>
        </w:tabs>
        <w:suppressAutoHyphens/>
        <w:spacing w:before="120" w:after="120"/>
        <w:ind w:left="720"/>
        <w:jc w:val="both"/>
        <w:rPr>
          <w:rFonts w:ascii="Cambria" w:eastAsia="Cambria" w:hAnsi="Cambria" w:cs="Cambria"/>
          <w:sz w:val="20"/>
          <w:szCs w:val="20"/>
        </w:rPr>
      </w:pPr>
    </w:p>
    <w:p w:rsidR="007C527D" w:rsidRDefault="003F32A0" w:rsidP="002F41D4">
      <w:pPr>
        <w:pStyle w:val="Body"/>
        <w:numPr>
          <w:ilvl w:val="0"/>
          <w:numId w:val="7"/>
        </w:numPr>
        <w:tabs>
          <w:tab w:val="clear" w:pos="1440"/>
          <w:tab w:val="left" w:pos="0"/>
          <w:tab w:val="num" w:pos="720"/>
        </w:tabs>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To notify the parties of this decision; to continue with the analysis on the merits; and to publish this decision and include it in its Annual Report to the General Assembly of the Organization of American States.</w:t>
      </w:r>
    </w:p>
    <w:p w:rsidR="002F41D4" w:rsidRPr="00FC7E33" w:rsidRDefault="002F41D4" w:rsidP="00FC7E33">
      <w:pPr>
        <w:suppressAutoHyphens/>
        <w:ind w:firstLine="720"/>
        <w:jc w:val="both"/>
        <w:rPr>
          <w:rFonts w:ascii="Cambria" w:hAnsi="Cambria"/>
          <w:spacing w:val="-2"/>
          <w:sz w:val="20"/>
        </w:rPr>
      </w:pPr>
      <w:r w:rsidRPr="002F41D4">
        <w:rPr>
          <w:rFonts w:ascii="Cambria" w:hAnsi="Cambria"/>
          <w:spacing w:val="-2"/>
          <w:sz w:val="20"/>
        </w:rPr>
        <w:t xml:space="preserve">Approved by the Inter-American Commission on Human Rights on the </w:t>
      </w:r>
      <w:r>
        <w:rPr>
          <w:rFonts w:ascii="Cambria" w:hAnsi="Cambria"/>
          <w:spacing w:val="-2"/>
          <w:sz w:val="20"/>
        </w:rPr>
        <w:t>21</w:t>
      </w:r>
      <w:r w:rsidRPr="002F41D4">
        <w:rPr>
          <w:rFonts w:ascii="Cambria" w:hAnsi="Cambria"/>
          <w:spacing w:val="-2"/>
          <w:sz w:val="20"/>
          <w:vertAlign w:val="superscript"/>
        </w:rPr>
        <w:t>st</w:t>
      </w:r>
      <w:r>
        <w:rPr>
          <w:rFonts w:ascii="Cambria" w:hAnsi="Cambria"/>
          <w:spacing w:val="-2"/>
          <w:sz w:val="20"/>
        </w:rPr>
        <w:t xml:space="preserve"> </w:t>
      </w:r>
      <w:r w:rsidRPr="002F41D4">
        <w:rPr>
          <w:rFonts w:ascii="Cambria" w:hAnsi="Cambria"/>
          <w:spacing w:val="-2"/>
          <w:sz w:val="20"/>
        </w:rPr>
        <w:t>day of the month of</w:t>
      </w:r>
      <w:r>
        <w:rPr>
          <w:rFonts w:ascii="Cambria" w:hAnsi="Cambria"/>
          <w:spacing w:val="-2"/>
          <w:sz w:val="20"/>
        </w:rPr>
        <w:t xml:space="preserve"> April</w:t>
      </w:r>
      <w:r w:rsidRPr="002F41D4">
        <w:rPr>
          <w:rFonts w:ascii="Cambria" w:hAnsi="Cambria"/>
          <w:spacing w:val="-2"/>
          <w:sz w:val="20"/>
        </w:rPr>
        <w:t xml:space="preserve">, 2020. (Signed):  </w:t>
      </w:r>
      <w:r w:rsidRPr="002F41D4">
        <w:rPr>
          <w:rFonts w:ascii="Cambria" w:hAnsi="Cambria" w:cs="Arial"/>
          <w:noProof/>
          <w:spacing w:val="-2"/>
          <w:sz w:val="20"/>
          <w:szCs w:val="20"/>
        </w:rPr>
        <w:t>Joel Hernández, President; Antonia Urrejola, First Vice President; Flávia Piovesan, Second Vice President; Margarette May Macaulay, Esmeralda E. Arosemena Bernal de Troitiño,</w:t>
      </w:r>
      <w:r>
        <w:rPr>
          <w:rFonts w:ascii="Cambria" w:hAnsi="Cambria" w:cs="Arial"/>
          <w:noProof/>
          <w:spacing w:val="-2"/>
          <w:sz w:val="20"/>
          <w:szCs w:val="20"/>
        </w:rPr>
        <w:t xml:space="preserve"> and</w:t>
      </w:r>
      <w:r w:rsidRPr="002F41D4">
        <w:rPr>
          <w:rFonts w:ascii="Cambria" w:hAnsi="Cambria" w:cs="Arial"/>
          <w:noProof/>
          <w:spacing w:val="-2"/>
          <w:sz w:val="20"/>
          <w:szCs w:val="20"/>
        </w:rPr>
        <w:t xml:space="preserve"> Julissa Mantilla Falcón,</w:t>
      </w:r>
      <w:r>
        <w:rPr>
          <w:rFonts w:ascii="Cambria" w:hAnsi="Cambria" w:cs="Arial"/>
          <w:noProof/>
          <w:spacing w:val="-2"/>
          <w:sz w:val="20"/>
          <w:szCs w:val="20"/>
        </w:rPr>
        <w:t xml:space="preserve"> </w:t>
      </w:r>
      <w:r w:rsidRPr="002F41D4">
        <w:rPr>
          <w:rFonts w:ascii="Cambria" w:hAnsi="Cambria"/>
          <w:spacing w:val="-2"/>
          <w:sz w:val="20"/>
        </w:rPr>
        <w:t>Commissioners.</w:t>
      </w:r>
    </w:p>
    <w:sectPr w:rsidR="002F41D4" w:rsidRPr="00FC7E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C57" w:rsidRDefault="00740C57">
      <w:r>
        <w:separator/>
      </w:r>
    </w:p>
  </w:endnote>
  <w:endnote w:type="continuationSeparator" w:id="0">
    <w:p w:rsidR="00740C57" w:rsidRDefault="0074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96" w:rsidRDefault="00C32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7D" w:rsidRPr="00C32196" w:rsidRDefault="007C527D" w:rsidP="00C32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7D" w:rsidRDefault="007C527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C57" w:rsidRDefault="00740C57">
      <w:r>
        <w:separator/>
      </w:r>
    </w:p>
  </w:footnote>
  <w:footnote w:type="continuationSeparator" w:id="0">
    <w:p w:rsidR="00740C57" w:rsidRDefault="00740C57">
      <w:r>
        <w:continuationSeparator/>
      </w:r>
    </w:p>
  </w:footnote>
  <w:footnote w:type="continuationNotice" w:id="1">
    <w:p w:rsidR="00740C57" w:rsidRDefault="00740C57"/>
  </w:footnote>
  <w:footnote w:id="2">
    <w:p w:rsidR="007C527D" w:rsidRDefault="003F32A0">
      <w:pPr>
        <w:pStyle w:val="FootnoteText"/>
      </w:pPr>
      <w:r w:rsidRPr="00FC7E33">
        <w:rPr>
          <w:rFonts w:ascii="Cambria" w:eastAsia="Cambria" w:hAnsi="Cambria" w:cs="Cambria"/>
          <w:b/>
          <w:bCs/>
          <w:vertAlign w:val="superscript"/>
        </w:rPr>
        <w:footnoteRef/>
      </w:r>
      <w:r>
        <w:rPr>
          <w:rFonts w:ascii="Cambria" w:eastAsia="Cambria" w:hAnsi="Cambria" w:cs="Cambria"/>
          <w:sz w:val="16"/>
          <w:szCs w:val="16"/>
        </w:rPr>
        <w:t xml:space="preserve"> The observations submitted by each party were duly transmitted to the opposing party.</w:t>
      </w:r>
    </w:p>
  </w:footnote>
  <w:footnote w:id="3">
    <w:p w:rsidR="007C527D" w:rsidRDefault="003F32A0">
      <w:pPr>
        <w:pStyle w:val="FootnoteText"/>
      </w:pPr>
      <w:r w:rsidRPr="00FC7E33">
        <w:rPr>
          <w:rFonts w:ascii="Cambria" w:eastAsia="Cambria" w:hAnsi="Cambria" w:cs="Cambria"/>
          <w:vertAlign w:val="superscript"/>
        </w:rPr>
        <w:footnoteRef/>
      </w:r>
      <w:r>
        <w:rPr>
          <w:rFonts w:ascii="Cambria" w:eastAsia="Cambria" w:hAnsi="Cambria" w:cs="Cambria"/>
          <w:sz w:val="16"/>
          <w:szCs w:val="16"/>
        </w:rPr>
        <w:t xml:space="preserve"> The petitioners claim that the Municipality conferred this authority on two engineers Jose Daniel Rincon </w:t>
      </w:r>
      <w:proofErr w:type="spellStart"/>
      <w:r>
        <w:rPr>
          <w:rFonts w:ascii="Cambria" w:eastAsia="Cambria" w:hAnsi="Cambria" w:cs="Cambria"/>
          <w:sz w:val="16"/>
          <w:szCs w:val="16"/>
        </w:rPr>
        <w:t>Zulaga</w:t>
      </w:r>
      <w:proofErr w:type="spellEnd"/>
      <w:r>
        <w:rPr>
          <w:rFonts w:ascii="Cambria" w:eastAsia="Cambria" w:hAnsi="Cambria" w:cs="Cambria"/>
          <w:sz w:val="16"/>
          <w:szCs w:val="16"/>
        </w:rPr>
        <w:t xml:space="preserve"> and Jorge Hernando Echeverria who were acting nominally for a senator – Ricardo Arias Mora.</w:t>
      </w:r>
    </w:p>
  </w:footnote>
  <w:footnote w:id="4">
    <w:p w:rsidR="007C527D" w:rsidRDefault="003F32A0">
      <w:pPr>
        <w:pStyle w:val="FootnoteText"/>
      </w:pPr>
      <w:r w:rsidRPr="00FC7E33">
        <w:rPr>
          <w:rFonts w:ascii="Cambria" w:eastAsia="Cambria" w:hAnsi="Cambria" w:cs="Cambria"/>
          <w:vertAlign w:val="superscript"/>
        </w:rPr>
        <w:footnoteRef/>
      </w:r>
      <w:r>
        <w:rPr>
          <w:rFonts w:ascii="Cambria" w:eastAsia="Cambria" w:hAnsi="Cambria" w:cs="Cambria"/>
          <w:sz w:val="16"/>
          <w:szCs w:val="16"/>
        </w:rPr>
        <w:t xml:space="preserve"> According to the petitioners, they purchased the houses/lots by way of mortgages (from La </w:t>
      </w:r>
      <w:proofErr w:type="spellStart"/>
      <w:r>
        <w:rPr>
          <w:rFonts w:ascii="Cambria" w:eastAsia="Cambria" w:hAnsi="Cambria" w:cs="Cambria"/>
          <w:sz w:val="16"/>
          <w:szCs w:val="16"/>
        </w:rPr>
        <w:t>Corporacion</w:t>
      </w:r>
      <w:proofErr w:type="spellEnd"/>
      <w:r>
        <w:rPr>
          <w:rFonts w:ascii="Cambria" w:eastAsia="Cambria" w:hAnsi="Cambria" w:cs="Cambria"/>
          <w:sz w:val="16"/>
          <w:szCs w:val="16"/>
        </w:rPr>
        <w:t xml:space="preserve"> </w:t>
      </w:r>
      <w:proofErr w:type="spellStart"/>
      <w:r>
        <w:rPr>
          <w:rFonts w:ascii="Cambria" w:eastAsia="Cambria" w:hAnsi="Cambria" w:cs="Cambria"/>
          <w:sz w:val="16"/>
          <w:szCs w:val="16"/>
        </w:rPr>
        <w:t>GranColombia</w:t>
      </w:r>
      <w:proofErr w:type="spellEnd"/>
      <w:r>
        <w:rPr>
          <w:rFonts w:ascii="Cambria" w:eastAsia="Cambria" w:hAnsi="Cambria" w:cs="Cambria"/>
          <w:sz w:val="16"/>
          <w:szCs w:val="16"/>
        </w:rPr>
        <w:t xml:space="preserve"> de </w:t>
      </w:r>
      <w:proofErr w:type="spellStart"/>
      <w:r>
        <w:rPr>
          <w:rFonts w:ascii="Cambria" w:eastAsia="Cambria" w:hAnsi="Cambria" w:cs="Cambria"/>
          <w:sz w:val="16"/>
          <w:szCs w:val="16"/>
        </w:rPr>
        <w:t>Ahorro</w:t>
      </w:r>
      <w:proofErr w:type="spellEnd"/>
      <w:r>
        <w:rPr>
          <w:rFonts w:ascii="Cambria" w:eastAsia="Cambria" w:hAnsi="Cambria" w:cs="Cambria"/>
          <w:sz w:val="16"/>
          <w:szCs w:val="16"/>
        </w:rPr>
        <w:t xml:space="preserve"> y </w:t>
      </w:r>
      <w:proofErr w:type="spellStart"/>
      <w:r>
        <w:rPr>
          <w:rFonts w:ascii="Cambria" w:eastAsia="Cambria" w:hAnsi="Cambria" w:cs="Cambria"/>
          <w:sz w:val="16"/>
          <w:szCs w:val="16"/>
        </w:rPr>
        <w:t>Vividenda</w:t>
      </w:r>
      <w:proofErr w:type="spellEnd"/>
      <w:r>
        <w:rPr>
          <w:rFonts w:ascii="Cambria" w:eastAsia="Cambria" w:hAnsi="Cambria" w:cs="Cambria"/>
          <w:sz w:val="16"/>
          <w:szCs w:val="16"/>
        </w:rPr>
        <w:t xml:space="preserve"> </w:t>
      </w:r>
      <w:proofErr w:type="spellStart"/>
      <w:r>
        <w:rPr>
          <w:rFonts w:ascii="Cambria" w:eastAsia="Cambria" w:hAnsi="Cambria" w:cs="Cambria"/>
          <w:sz w:val="16"/>
          <w:szCs w:val="16"/>
        </w:rPr>
        <w:t>Granahorrar</w:t>
      </w:r>
      <w:proofErr w:type="spellEnd"/>
      <w:r>
        <w:rPr>
          <w:rFonts w:ascii="Cambria" w:eastAsia="Cambria" w:hAnsi="Cambria" w:cs="Cambria"/>
          <w:sz w:val="16"/>
          <w:szCs w:val="16"/>
        </w:rPr>
        <w:t xml:space="preserve"> S.A).   The petitioners also contend that an environmental permit was also granted by the </w:t>
      </w:r>
      <w:proofErr w:type="spellStart"/>
      <w:r>
        <w:rPr>
          <w:rFonts w:ascii="Cambria" w:eastAsia="Cambria" w:hAnsi="Cambria" w:cs="Cambria"/>
          <w:sz w:val="16"/>
          <w:szCs w:val="16"/>
        </w:rPr>
        <w:t>Corporacion</w:t>
      </w:r>
      <w:proofErr w:type="spellEnd"/>
      <w:r>
        <w:rPr>
          <w:rFonts w:ascii="Cambria" w:eastAsia="Cambria" w:hAnsi="Cambria" w:cs="Cambria"/>
          <w:sz w:val="16"/>
          <w:szCs w:val="16"/>
        </w:rPr>
        <w:t xml:space="preserve"> </w:t>
      </w:r>
      <w:proofErr w:type="spellStart"/>
      <w:r>
        <w:rPr>
          <w:rFonts w:ascii="Cambria" w:eastAsia="Cambria" w:hAnsi="Cambria" w:cs="Cambria"/>
          <w:sz w:val="16"/>
          <w:szCs w:val="16"/>
        </w:rPr>
        <w:t>Autonoma</w:t>
      </w:r>
      <w:proofErr w:type="spellEnd"/>
      <w:r>
        <w:rPr>
          <w:rFonts w:ascii="Cambria" w:eastAsia="Cambria" w:hAnsi="Cambria" w:cs="Cambria"/>
          <w:sz w:val="16"/>
          <w:szCs w:val="16"/>
        </w:rPr>
        <w:t xml:space="preserve"> Regional de </w:t>
      </w:r>
      <w:proofErr w:type="spellStart"/>
      <w:r>
        <w:rPr>
          <w:rFonts w:ascii="Cambria" w:eastAsia="Cambria" w:hAnsi="Cambria" w:cs="Cambria"/>
          <w:sz w:val="16"/>
          <w:szCs w:val="16"/>
        </w:rPr>
        <w:t>Quindio</w:t>
      </w:r>
      <w:proofErr w:type="spellEnd"/>
      <w:r>
        <w:rPr>
          <w:rFonts w:ascii="Cambria" w:eastAsia="Cambria" w:hAnsi="Cambria" w:cs="Cambria"/>
          <w:sz w:val="16"/>
          <w:szCs w:val="16"/>
        </w:rPr>
        <w:t xml:space="preserve"> despite the risk.     </w:t>
      </w:r>
    </w:p>
  </w:footnote>
  <w:footnote w:id="5">
    <w:p w:rsidR="007C527D" w:rsidRDefault="003F32A0">
      <w:pPr>
        <w:pStyle w:val="FootnoteText"/>
      </w:pPr>
      <w:r w:rsidRPr="00FC7E33">
        <w:rPr>
          <w:rFonts w:ascii="Cambria" w:eastAsia="Cambria" w:hAnsi="Cambria" w:cs="Cambria"/>
          <w:vertAlign w:val="superscript"/>
        </w:rPr>
        <w:footnoteRef/>
      </w:r>
      <w:r>
        <w:rPr>
          <w:rFonts w:ascii="Cambria" w:eastAsia="Cambria" w:hAnsi="Cambria" w:cs="Cambria"/>
          <w:sz w:val="16"/>
          <w:szCs w:val="16"/>
        </w:rPr>
        <w:t xml:space="preserve"> According to the petitioners the construction was initially started by a company known as El </w:t>
      </w:r>
      <w:proofErr w:type="spellStart"/>
      <w:r>
        <w:rPr>
          <w:rFonts w:ascii="Cambria" w:eastAsia="Cambria" w:hAnsi="Cambria" w:cs="Cambria"/>
          <w:sz w:val="16"/>
          <w:szCs w:val="16"/>
        </w:rPr>
        <w:t>Mirador</w:t>
      </w:r>
      <w:proofErr w:type="spellEnd"/>
      <w:r>
        <w:rPr>
          <w:rFonts w:ascii="Cambria" w:eastAsia="Cambria" w:hAnsi="Cambria" w:cs="Cambria"/>
          <w:sz w:val="16"/>
          <w:szCs w:val="16"/>
        </w:rPr>
        <w:t xml:space="preserve"> y </w:t>
      </w:r>
      <w:proofErr w:type="spellStart"/>
      <w:r>
        <w:rPr>
          <w:rFonts w:ascii="Cambria" w:eastAsia="Cambria" w:hAnsi="Cambria" w:cs="Cambria"/>
          <w:sz w:val="16"/>
          <w:szCs w:val="16"/>
        </w:rPr>
        <w:t>compania</w:t>
      </w:r>
      <w:proofErr w:type="spellEnd"/>
      <w:r>
        <w:rPr>
          <w:rFonts w:ascii="Cambria" w:eastAsia="Cambria" w:hAnsi="Cambria" w:cs="Cambria"/>
          <w:sz w:val="16"/>
          <w:szCs w:val="16"/>
        </w:rPr>
        <w:t xml:space="preserve"> </w:t>
      </w:r>
      <w:proofErr w:type="spellStart"/>
      <w:r>
        <w:rPr>
          <w:rFonts w:ascii="Cambria" w:eastAsia="Cambria" w:hAnsi="Cambria" w:cs="Cambria"/>
          <w:sz w:val="16"/>
          <w:szCs w:val="16"/>
        </w:rPr>
        <w:t>Ltda</w:t>
      </w:r>
      <w:proofErr w:type="spellEnd"/>
      <w:r>
        <w:rPr>
          <w:rFonts w:ascii="Cambria" w:eastAsia="Cambria" w:hAnsi="Cambria" w:cs="Cambria"/>
          <w:sz w:val="16"/>
          <w:szCs w:val="16"/>
        </w:rPr>
        <w:t xml:space="preserve">, but was subsequently taken over and completed by La </w:t>
      </w:r>
      <w:proofErr w:type="spellStart"/>
      <w:r>
        <w:rPr>
          <w:rFonts w:ascii="Cambria" w:eastAsia="Cambria" w:hAnsi="Cambria" w:cs="Cambria"/>
          <w:sz w:val="16"/>
          <w:szCs w:val="16"/>
        </w:rPr>
        <w:t>Corporacion</w:t>
      </w:r>
      <w:proofErr w:type="spellEnd"/>
      <w:r>
        <w:rPr>
          <w:rFonts w:ascii="Cambria" w:eastAsia="Cambria" w:hAnsi="Cambria" w:cs="Cambria"/>
          <w:sz w:val="16"/>
          <w:szCs w:val="16"/>
        </w:rPr>
        <w:t xml:space="preserve"> </w:t>
      </w:r>
      <w:proofErr w:type="spellStart"/>
      <w:r>
        <w:rPr>
          <w:rFonts w:ascii="Cambria" w:eastAsia="Cambria" w:hAnsi="Cambria" w:cs="Cambria"/>
          <w:sz w:val="16"/>
          <w:szCs w:val="16"/>
        </w:rPr>
        <w:t>GranColombia</w:t>
      </w:r>
      <w:proofErr w:type="spellEnd"/>
      <w:r>
        <w:rPr>
          <w:rFonts w:ascii="Cambria" w:eastAsia="Cambria" w:hAnsi="Cambria" w:cs="Cambria"/>
          <w:sz w:val="16"/>
          <w:szCs w:val="16"/>
        </w:rPr>
        <w:t xml:space="preserve"> de </w:t>
      </w:r>
      <w:proofErr w:type="spellStart"/>
      <w:r>
        <w:rPr>
          <w:rFonts w:ascii="Cambria" w:eastAsia="Cambria" w:hAnsi="Cambria" w:cs="Cambria"/>
          <w:sz w:val="16"/>
          <w:szCs w:val="16"/>
        </w:rPr>
        <w:t>Ahorro</w:t>
      </w:r>
      <w:proofErr w:type="spellEnd"/>
      <w:r>
        <w:rPr>
          <w:rFonts w:ascii="Cambria" w:eastAsia="Cambria" w:hAnsi="Cambria" w:cs="Cambria"/>
          <w:sz w:val="16"/>
          <w:szCs w:val="16"/>
        </w:rPr>
        <w:t xml:space="preserve"> y </w:t>
      </w:r>
      <w:proofErr w:type="spellStart"/>
      <w:r>
        <w:rPr>
          <w:rFonts w:ascii="Cambria" w:eastAsia="Cambria" w:hAnsi="Cambria" w:cs="Cambria"/>
          <w:sz w:val="16"/>
          <w:szCs w:val="16"/>
        </w:rPr>
        <w:t>Vividenda</w:t>
      </w:r>
      <w:proofErr w:type="spellEnd"/>
      <w:r>
        <w:rPr>
          <w:rFonts w:ascii="Cambria" w:eastAsia="Cambria" w:hAnsi="Cambria" w:cs="Cambria"/>
          <w:sz w:val="16"/>
          <w:szCs w:val="16"/>
        </w:rPr>
        <w:t xml:space="preserve"> </w:t>
      </w:r>
      <w:proofErr w:type="spellStart"/>
      <w:r>
        <w:rPr>
          <w:rFonts w:ascii="Cambria" w:eastAsia="Cambria" w:hAnsi="Cambria" w:cs="Cambria"/>
          <w:sz w:val="16"/>
          <w:szCs w:val="16"/>
        </w:rPr>
        <w:t>Granahorrar</w:t>
      </w:r>
      <w:proofErr w:type="spellEnd"/>
      <w:r>
        <w:rPr>
          <w:rFonts w:ascii="Cambria" w:eastAsia="Cambria" w:hAnsi="Cambria" w:cs="Cambria"/>
          <w:sz w:val="16"/>
          <w:szCs w:val="16"/>
        </w:rPr>
        <w:t xml:space="preserve"> S.A.</w:t>
      </w:r>
    </w:p>
  </w:footnote>
  <w:footnote w:id="6">
    <w:p w:rsidR="007C527D" w:rsidRDefault="003F32A0">
      <w:pPr>
        <w:pStyle w:val="FootnoteText"/>
      </w:pPr>
      <w:r w:rsidRPr="00FC7E33">
        <w:rPr>
          <w:vertAlign w:val="superscript"/>
        </w:rPr>
        <w:footnoteRef/>
      </w:r>
      <w:r>
        <w:rPr>
          <w:rFonts w:ascii="Cambria" w:eastAsia="Cambria" w:hAnsi="Cambria" w:cs="Cambria"/>
          <w:sz w:val="16"/>
          <w:szCs w:val="16"/>
        </w:rPr>
        <w:t xml:space="preserve"> In this regard, the petitioners refer to a study by a NGO – “Antioquia </w:t>
      </w:r>
      <w:proofErr w:type="spellStart"/>
      <w:r>
        <w:rPr>
          <w:rFonts w:ascii="Cambria" w:eastAsia="Cambria" w:hAnsi="Cambria" w:cs="Cambria"/>
          <w:sz w:val="16"/>
          <w:szCs w:val="16"/>
        </w:rPr>
        <w:t>Presente</w:t>
      </w:r>
      <w:proofErr w:type="spellEnd"/>
      <w:r>
        <w:rPr>
          <w:rFonts w:ascii="Cambria" w:eastAsia="Cambria" w:hAnsi="Cambria" w:cs="Cambria"/>
          <w:sz w:val="16"/>
          <w:szCs w:val="16"/>
        </w:rPr>
        <w:t>” as the principal study done.</w:t>
      </w:r>
    </w:p>
  </w:footnote>
  <w:footnote w:id="7">
    <w:p w:rsidR="007C527D" w:rsidRDefault="003F32A0">
      <w:pPr>
        <w:pStyle w:val="FootnoteText"/>
      </w:pPr>
      <w:r w:rsidRPr="00FC7E33">
        <w:rPr>
          <w:vertAlign w:val="superscript"/>
        </w:rPr>
        <w:footnoteRef/>
      </w:r>
      <w:r>
        <w:rPr>
          <w:rFonts w:ascii="Cambria" w:eastAsia="Cambria" w:hAnsi="Cambria" w:cs="Cambria"/>
          <w:sz w:val="16"/>
          <w:szCs w:val="16"/>
        </w:rPr>
        <w:t xml:space="preserve">  According to the petition, the </w:t>
      </w:r>
      <w:proofErr w:type="spellStart"/>
      <w:r>
        <w:rPr>
          <w:rFonts w:ascii="Cambria" w:eastAsia="Cambria" w:hAnsi="Cambria" w:cs="Cambria"/>
          <w:sz w:val="16"/>
          <w:szCs w:val="16"/>
        </w:rPr>
        <w:t>Consejo</w:t>
      </w:r>
      <w:proofErr w:type="spellEnd"/>
      <w:r>
        <w:rPr>
          <w:rFonts w:ascii="Cambria" w:eastAsia="Cambria" w:hAnsi="Cambria" w:cs="Cambria"/>
          <w:sz w:val="16"/>
          <w:szCs w:val="16"/>
        </w:rPr>
        <w:t xml:space="preserve"> de Estado held that the amount being claimed fell below its jurisdiction.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96" w:rsidRDefault="00C32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7D" w:rsidRPr="00C32196" w:rsidRDefault="007C527D" w:rsidP="00C32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7D" w:rsidRDefault="007C527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A1C3A"/>
    <w:multiLevelType w:val="hybridMultilevel"/>
    <w:tmpl w:val="46A6C0BC"/>
    <w:numStyleLink w:val="ImportedStyle2"/>
  </w:abstractNum>
  <w:abstractNum w:abstractNumId="1" w15:restartNumberingAfterBreak="0">
    <w:nsid w:val="24883458"/>
    <w:multiLevelType w:val="hybridMultilevel"/>
    <w:tmpl w:val="1A70805C"/>
    <w:lvl w:ilvl="0" w:tplc="CA4425A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354C448">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D22A380">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63ABE78">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BE13EE">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D547970">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FFEAAD4">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12E3618">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1850A8">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44750793"/>
    <w:multiLevelType w:val="hybridMultilevel"/>
    <w:tmpl w:val="2E32A704"/>
    <w:numStyleLink w:val="ImportedStyle3"/>
  </w:abstractNum>
  <w:abstractNum w:abstractNumId="3" w15:restartNumberingAfterBreak="0">
    <w:nsid w:val="447E4F54"/>
    <w:multiLevelType w:val="hybridMultilevel"/>
    <w:tmpl w:val="2E32A704"/>
    <w:styleLink w:val="ImportedStyle3"/>
    <w:lvl w:ilvl="0" w:tplc="D2721F4E">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814E5E6">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9EA744A">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5807B26">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D325302">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5989F18">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6A483C">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36A4D52">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AACF57C">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EC043FE"/>
    <w:multiLevelType w:val="hybridMultilevel"/>
    <w:tmpl w:val="46A6C0BC"/>
    <w:styleLink w:val="ImportedStyle2"/>
    <w:lvl w:ilvl="0" w:tplc="9918AB4E">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21ADF70">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9A9CAA">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E1655EA">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2084F3C">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3222ABA">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5988FEE">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BECA110">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F72F2D6">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4"/>
  </w:num>
  <w:num w:numId="2">
    <w:abstractNumId w:val="0"/>
    <w:lvlOverride w:ilvl="0">
      <w:lvl w:ilvl="0" w:tplc="A946733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lvl w:ilvl="0" w:tplc="A946733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A46E37A">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EA84722">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AD6693A">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F904D82">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D908F2C">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B0489F0">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06C28B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272AF9C">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7D"/>
    <w:rsid w:val="00081153"/>
    <w:rsid w:val="002F41D4"/>
    <w:rsid w:val="003F32A0"/>
    <w:rsid w:val="00625B58"/>
    <w:rsid w:val="00740C57"/>
    <w:rsid w:val="00752DD8"/>
    <w:rsid w:val="007C527D"/>
    <w:rsid w:val="00C32196"/>
    <w:rsid w:val="00FC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Univers" w:eastAsia="Univers" w:hAnsi="Univers" w:cs="Univer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character" w:styleId="FootnoteReference">
    <w:name w:val="footnote reference"/>
    <w:rPr>
      <w:vertAlign w:val="superscript"/>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93/20</dc:title>
  <cp:lastModifiedBy/>
  <cp:revision>1</cp:revision>
  <dcterms:created xsi:type="dcterms:W3CDTF">2020-06-25T15:43:00Z</dcterms:created>
  <dcterms:modified xsi:type="dcterms:W3CDTF">2020-06-25T15:44:00Z</dcterms:modified>
</cp:coreProperties>
</file>