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A209E" w:rsidRDefault="005F76DE">
      <w:pPr>
        <w:pStyle w:val="Body"/>
        <w:jc w:val="both"/>
      </w:pP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simplePos x="0" y="0"/>
                <wp:positionH relativeFrom="column">
                  <wp:posOffset>-415925</wp:posOffset>
                </wp:positionH>
                <wp:positionV relativeFrom="line">
                  <wp:posOffset>-356869</wp:posOffset>
                </wp:positionV>
                <wp:extent cx="1409700" cy="89776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8pt;margin-top:-28.1pt;width:111.0pt;height:706.9pt;z-index:251659264;mso-position-horizontal:absolute;mso-position-horizontal-relative:text;mso-position-vertical:absolute;mso-position-vertical-relative:line;mso-wrap-distance-left:0.0pt;mso-wrap-distance-top:0.0pt;mso-wrap-distance-right:0.0pt;mso-wrap-distance-bottom:0.0pt;">
                <v:fill color="#67AE3C"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txbx>
                        <w:txbxContent>
                          <w:p w:rsidR="008A209E" w:rsidRDefault="005F76DE">
                            <w:pPr>
                              <w:pStyle w:val="Body"/>
                            </w:pPr>
                            <w:r>
                              <w:rPr>
                                <w:lang w:val="de-DE"/>
                              </w:rPr>
                              <w:t xml:space="preserve">   </w:t>
                            </w:r>
                            <w:r w:rsidR="00AF0507">
                              <w:rPr>
                                <w:noProof/>
                              </w:rPr>
                              <w:drawing>
                                <wp:inline distT="0" distB="0" distL="0" distR="0" wp14:anchorId="2F6A12F0" wp14:editId="13653B4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de-DE"/>
                              </w:rPr>
                              <w:t xml:space="preserve">                                            </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90pt;margin-top:-29.25pt;width:353.25pt;height:59.2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" filled="f" stroked="f" strokeweight="1pt">
                <v:stroke miterlimit="4"/>
                <v:textbox inset="1.27mm,1.27mm,1.27mm,1.27mm">
                  <w:txbxContent>
                    <w:p w:rsidR="008A209E" w:rsidRDefault="005F76DE">
                      <w:pPr>
                        <w:pStyle w:val="Body"/>
                      </w:pPr>
                      <w:r>
                        <w:rPr>
                          <w:lang w:val="de-DE"/>
                        </w:rPr>
                        <w:t xml:space="preserve">   </w:t>
                      </w:r>
                      <w:r w:rsidR="00AF0507">
                        <w:rPr>
                          <w:noProof/>
                        </w:rPr>
                        <w:drawing>
                          <wp:inline distT="0" distB="0" distL="0" distR="0" wp14:anchorId="2F6A12F0" wp14:editId="13653B4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de-DE"/>
                        </w:rPr>
                        <w:t xml:space="preserve">                                            </w:t>
                      </w:r>
                    </w:p>
                  </w:txbxContent>
                </v:textbox>
                <w10:wrap anchory="line"/>
              </v:rect>
            </w:pict>
          </mc:Fallback>
        </mc:AlternateContent>
      </w:r>
    </w:p>
    <w:p w:rsidR="008A209E" w:rsidRDefault="008A209E">
      <w:pPr>
        <w:pStyle w:val="Body"/>
        <w:tabs>
          <w:tab w:val="center" w:pos="5400"/>
        </w:tabs>
        <w:suppressAutoHyphens/>
        <w:jc w:val="both"/>
      </w:pPr>
    </w:p>
    <w:p w:rsidR="008A209E" w:rsidRDefault="008A209E">
      <w:pPr>
        <w:pStyle w:val="Body"/>
        <w:tabs>
          <w:tab w:val="center" w:pos="5400"/>
        </w:tabs>
        <w:suppressAutoHyphens/>
        <w:jc w:val="both"/>
      </w:pPr>
    </w:p>
    <w:p w:rsidR="008A209E" w:rsidRDefault="008A209E">
      <w:pPr>
        <w:pStyle w:val="Body"/>
        <w:tabs>
          <w:tab w:val="center" w:pos="5400"/>
        </w:tabs>
        <w:suppressAutoHyphens/>
      </w:pPr>
    </w:p>
    <w:p w:rsidR="008A209E" w:rsidRDefault="008A209E">
      <w:pPr>
        <w:pStyle w:val="Body"/>
        <w:tabs>
          <w:tab w:val="center" w:pos="5400"/>
        </w:tabs>
        <w:suppressAutoHyphens/>
      </w:pPr>
    </w:p>
    <w:p w:rsidR="008A209E" w:rsidRDefault="008A209E">
      <w:pPr>
        <w:pStyle w:val="Body"/>
        <w:tabs>
          <w:tab w:val="center" w:pos="5400"/>
        </w:tabs>
        <w:suppressAutoHyphens/>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5F76DE">
      <w:pPr>
        <w:pStyle w:val="Body"/>
        <w:tabs>
          <w:tab w:val="center" w:pos="5400"/>
        </w:tabs>
        <w:suppressAutoHyphens/>
        <w:jc w:val="cente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1209675</wp:posOffset>
                </wp:positionH>
                <wp:positionV relativeFrom="line">
                  <wp:posOffset>79375</wp:posOffset>
                </wp:positionV>
                <wp:extent cx="4333875" cy="235077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33875" cy="2350770"/>
                        </a:xfrm>
                        <a:prstGeom prst="rect">
                          <a:avLst/>
                        </a:prstGeom>
                        <a:noFill/>
                        <a:ln w="12700" cap="flat">
                          <a:noFill/>
                          <a:miter lim="400000"/>
                        </a:ln>
                        <a:effectLst/>
                      </wps:spPr>
                      <wps:txbx>
                        <w:txbxContent>
                          <w:p w:rsidR="008A209E" w:rsidRDefault="00B64526">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118</w:t>
                            </w:r>
                            <w:r w:rsidR="005F76DE">
                              <w:rPr>
                                <w:rFonts w:ascii="Cambria" w:eastAsia="Cambria" w:hAnsi="Cambria" w:cs="Cambria"/>
                                <w:b/>
                                <w:bCs/>
                                <w:color w:val="0D0D0D"/>
                                <w:sz w:val="36"/>
                                <w:szCs w:val="36"/>
                                <w:u w:color="0D0D0D"/>
                              </w:rPr>
                              <w:t>/20</w:t>
                            </w:r>
                          </w:p>
                          <w:p w:rsidR="008A209E" w:rsidRDefault="005F76DE">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777-08</w:t>
                            </w:r>
                          </w:p>
                          <w:p w:rsidR="008A209E" w:rsidRDefault="005F76DE">
                            <w:pPr>
                              <w:pStyle w:val="Body"/>
                              <w:spacing w:line="276" w:lineRule="auto"/>
                              <w:rPr>
                                <w:rFonts w:ascii="Cambria" w:eastAsia="Cambria" w:hAnsi="Cambria" w:cs="Cambria"/>
                                <w:color w:val="0D0D0D"/>
                                <w:u w:color="0D0D0D"/>
                              </w:rPr>
                            </w:pPr>
                            <w:r>
                              <w:rPr>
                                <w:rFonts w:ascii="Cambria" w:eastAsia="Cambria" w:hAnsi="Cambria" w:cs="Cambria"/>
                                <w:color w:val="0D0D0D"/>
                                <w:u w:color="0D0D0D"/>
                              </w:rPr>
                              <w:t xml:space="preserve">REPORT </w:t>
                            </w:r>
                            <w:r>
                              <w:rPr>
                                <w:rFonts w:ascii="Cambria" w:eastAsia="Cambria" w:hAnsi="Cambria" w:cs="Cambria"/>
                                <w:lang w:val="de-DE"/>
                              </w:rPr>
                              <w:t xml:space="preserve">ON ADMISSIBILITY </w:t>
                            </w:r>
                          </w:p>
                          <w:p w:rsidR="008A209E" w:rsidRDefault="008A209E">
                            <w:pPr>
                              <w:pStyle w:val="Body"/>
                              <w:spacing w:line="276" w:lineRule="auto"/>
                              <w:rPr>
                                <w:rFonts w:ascii="Cambria" w:eastAsia="Cambria" w:hAnsi="Cambria" w:cs="Cambria"/>
                                <w:color w:val="0D0D0D"/>
                                <w:u w:color="0D0D0D"/>
                              </w:rPr>
                            </w:pPr>
                          </w:p>
                          <w:p w:rsidR="008A209E" w:rsidRPr="00AF0507" w:rsidRDefault="005F76DE">
                            <w:pPr>
                              <w:pStyle w:val="Body"/>
                              <w:spacing w:line="276" w:lineRule="auto"/>
                              <w:rPr>
                                <w:rFonts w:ascii="Cambria" w:eastAsia="Cambria" w:hAnsi="Cambria" w:cs="Cambria"/>
                                <w:color w:val="0D0D0D"/>
                                <w:u w:color="0D0D0D"/>
                                <w:lang w:val="es-419"/>
                              </w:rPr>
                            </w:pPr>
                            <w:r w:rsidRPr="00AF0507">
                              <w:rPr>
                                <w:rFonts w:ascii="Cambria" w:eastAsia="Cambria" w:hAnsi="Cambria" w:cs="Cambria"/>
                                <w:color w:val="0D0D0D"/>
                                <w:u w:color="0D0D0D"/>
                                <w:lang w:val="es-419"/>
                              </w:rPr>
                              <w:t>GUSTAVO ALDAZ CASTILLO AND FAMILY</w:t>
                            </w:r>
                          </w:p>
                          <w:p w:rsidR="008A209E" w:rsidRPr="00AF0507" w:rsidRDefault="005F76DE">
                            <w:pPr>
                              <w:pStyle w:val="Body"/>
                              <w:spacing w:line="276" w:lineRule="auto"/>
                              <w:rPr>
                                <w:lang w:val="es-419"/>
                              </w:rPr>
                            </w:pPr>
                            <w:r>
                              <w:rPr>
                                <w:rFonts w:ascii="Cambria" w:eastAsia="Cambria" w:hAnsi="Cambria" w:cs="Cambria"/>
                                <w:color w:val="0D0D0D"/>
                                <w:u w:color="0D0D0D"/>
                                <w:lang w:val="es-ES_tradnl"/>
                              </w:rPr>
                              <w:t>COLOMBIA</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95.25pt;margin-top:6.25pt;width:341.25pt;height:185.1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" filled="f" stroked="f" strokeweight="1pt">
                <v:stroke miterlimit="4"/>
                <v:textbox inset="1.27mm,1.27mm,1.27mm,1.27mm">
                  <w:txbxContent>
                    <w:p w:rsidR="008A209E" w:rsidRDefault="00B64526">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118</w:t>
                      </w:r>
                      <w:r w:rsidR="005F76DE">
                        <w:rPr>
                          <w:rFonts w:ascii="Cambria" w:eastAsia="Cambria" w:hAnsi="Cambria" w:cs="Cambria"/>
                          <w:b/>
                          <w:bCs/>
                          <w:color w:val="0D0D0D"/>
                          <w:sz w:val="36"/>
                          <w:szCs w:val="36"/>
                          <w:u w:color="0D0D0D"/>
                        </w:rPr>
                        <w:t>/20</w:t>
                      </w:r>
                    </w:p>
                    <w:p w:rsidR="008A209E" w:rsidRDefault="005F76DE">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777-08</w:t>
                      </w:r>
                    </w:p>
                    <w:p w:rsidR="008A209E" w:rsidRDefault="005F76DE">
                      <w:pPr>
                        <w:pStyle w:val="Body"/>
                        <w:spacing w:line="276" w:lineRule="auto"/>
                        <w:rPr>
                          <w:rFonts w:ascii="Cambria" w:eastAsia="Cambria" w:hAnsi="Cambria" w:cs="Cambria"/>
                          <w:color w:val="0D0D0D"/>
                          <w:u w:color="0D0D0D"/>
                        </w:rPr>
                      </w:pPr>
                      <w:r>
                        <w:rPr>
                          <w:rFonts w:ascii="Cambria" w:eastAsia="Cambria" w:hAnsi="Cambria" w:cs="Cambria"/>
                          <w:color w:val="0D0D0D"/>
                          <w:u w:color="0D0D0D"/>
                        </w:rPr>
                        <w:t xml:space="preserve">REPORT </w:t>
                      </w:r>
                      <w:r>
                        <w:rPr>
                          <w:rFonts w:ascii="Cambria" w:eastAsia="Cambria" w:hAnsi="Cambria" w:cs="Cambria"/>
                          <w:lang w:val="de-DE"/>
                        </w:rPr>
                        <w:t xml:space="preserve">ON ADMISSIBILITY </w:t>
                      </w:r>
                    </w:p>
                    <w:p w:rsidR="008A209E" w:rsidRDefault="008A209E">
                      <w:pPr>
                        <w:pStyle w:val="Body"/>
                        <w:spacing w:line="276" w:lineRule="auto"/>
                        <w:rPr>
                          <w:rFonts w:ascii="Cambria" w:eastAsia="Cambria" w:hAnsi="Cambria" w:cs="Cambria"/>
                          <w:color w:val="0D0D0D"/>
                          <w:u w:color="0D0D0D"/>
                        </w:rPr>
                      </w:pPr>
                    </w:p>
                    <w:p w:rsidR="008A209E" w:rsidRPr="00AF0507" w:rsidRDefault="005F76DE">
                      <w:pPr>
                        <w:pStyle w:val="Body"/>
                        <w:spacing w:line="276" w:lineRule="auto"/>
                        <w:rPr>
                          <w:rFonts w:ascii="Cambria" w:eastAsia="Cambria" w:hAnsi="Cambria" w:cs="Cambria"/>
                          <w:color w:val="0D0D0D"/>
                          <w:u w:color="0D0D0D"/>
                          <w:lang w:val="es-419"/>
                        </w:rPr>
                      </w:pPr>
                      <w:r w:rsidRPr="00AF0507">
                        <w:rPr>
                          <w:rFonts w:ascii="Cambria" w:eastAsia="Cambria" w:hAnsi="Cambria" w:cs="Cambria"/>
                          <w:color w:val="0D0D0D"/>
                          <w:u w:color="0D0D0D"/>
                          <w:lang w:val="es-419"/>
                        </w:rPr>
                        <w:t>GUSTAVO ALDAZ CASTILLO AND FAMILY</w:t>
                      </w:r>
                    </w:p>
                    <w:p w:rsidR="008A209E" w:rsidRPr="00AF0507" w:rsidRDefault="005F76DE">
                      <w:pPr>
                        <w:pStyle w:val="Body"/>
                        <w:spacing w:line="276" w:lineRule="auto"/>
                        <w:rPr>
                          <w:lang w:val="es-419"/>
                        </w:rPr>
                      </w:pPr>
                      <w:r>
                        <w:rPr>
                          <w:rFonts w:ascii="Cambria" w:eastAsia="Cambria" w:hAnsi="Cambria" w:cs="Cambria"/>
                          <w:color w:val="0D0D0D"/>
                          <w:u w:color="0D0D0D"/>
                          <w:lang w:val="es-ES_tradnl"/>
                        </w:rPr>
                        <w:t>COLOMBIA</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-371475</wp:posOffset>
                </wp:positionH>
                <wp:positionV relativeFrom="line">
                  <wp:posOffset>126999</wp:posOffset>
                </wp:positionV>
                <wp:extent cx="1334136"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6" cy="1377316"/>
                        </a:xfrm>
                        <a:prstGeom prst="rect">
                          <a:avLst/>
                        </a:prstGeom>
                        <a:noFill/>
                        <a:ln w="12700" cap="flat">
                          <a:noFill/>
                          <a:miter lim="400000"/>
                        </a:ln>
                        <a:effectLst/>
                      </wps:spPr>
                      <wps:txbx>
                        <w:txbxContent>
                          <w:p w:rsidR="008A209E" w:rsidRPr="00AF0507" w:rsidRDefault="005F76DE">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8A209E" w:rsidRPr="00B64526" w:rsidRDefault="005F76DE">
                            <w:pPr>
                              <w:pStyle w:val="Body"/>
                              <w:jc w:val="right"/>
                              <w:rPr>
                                <w:rFonts w:ascii="Calibri" w:eastAsia="Calibri" w:hAnsi="Calibri" w:cs="Calibri"/>
                                <w:color w:val="FFFFFF"/>
                                <w:sz w:val="22"/>
                                <w:szCs w:val="22"/>
                                <w:u w:color="FFFFFF"/>
                              </w:rPr>
                            </w:pPr>
                            <w:r w:rsidRPr="00B64526">
                              <w:rPr>
                                <w:rFonts w:ascii="Calibri" w:eastAsia="Calibri" w:hAnsi="Calibri" w:cs="Calibri"/>
                                <w:color w:val="FFFFFF"/>
                                <w:sz w:val="22"/>
                                <w:szCs w:val="22"/>
                                <w:u w:color="FFFFFF"/>
                              </w:rPr>
                              <w:t>Doc.</w:t>
                            </w:r>
                            <w:r w:rsidR="00B64526" w:rsidRPr="00B64526">
                              <w:rPr>
                                <w:rFonts w:ascii="Calibri" w:eastAsia="Calibri" w:hAnsi="Calibri" w:cs="Calibri"/>
                                <w:color w:val="FFFFFF"/>
                                <w:sz w:val="22"/>
                                <w:szCs w:val="22"/>
                                <w:u w:color="FFFFFF"/>
                              </w:rPr>
                              <w:t xml:space="preserve"> 128</w:t>
                            </w:r>
                            <w:r w:rsidRPr="00B64526">
                              <w:rPr>
                                <w:rFonts w:ascii="Calibri" w:eastAsia="Calibri" w:hAnsi="Calibri" w:cs="Calibri"/>
                                <w:color w:val="FFFFFF"/>
                                <w:sz w:val="22"/>
                                <w:szCs w:val="22"/>
                                <w:u w:color="FFFFFF"/>
                              </w:rPr>
                              <w:t xml:space="preserve"> </w:t>
                            </w:r>
                          </w:p>
                          <w:p w:rsidR="008A209E" w:rsidRDefault="005F76DE">
                            <w:pPr>
                              <w:pStyle w:val="Body"/>
                              <w:jc w:val="right"/>
                              <w:rPr>
                                <w:rFonts w:ascii="Calibri" w:eastAsia="Calibri" w:hAnsi="Calibri" w:cs="Calibri"/>
                                <w:color w:val="FFFFFF"/>
                                <w:sz w:val="22"/>
                                <w:szCs w:val="22"/>
                                <w:u w:color="FFFFFF"/>
                              </w:rPr>
                            </w:pPr>
                            <w:r w:rsidRPr="00B64526">
                              <w:rPr>
                                <w:rFonts w:ascii="Calibri" w:eastAsia="Calibri" w:hAnsi="Calibri" w:cs="Calibri"/>
                                <w:color w:val="FFFFFF"/>
                                <w:sz w:val="22"/>
                                <w:szCs w:val="22"/>
                                <w:u w:color="FFFFFF"/>
                              </w:rPr>
                              <w:t xml:space="preserve"> </w:t>
                            </w:r>
                            <w:r>
                              <w:rPr>
                                <w:rFonts w:ascii="Calibri" w:eastAsia="Calibri" w:hAnsi="Calibri" w:cs="Calibri"/>
                                <w:color w:val="FFFFFF"/>
                                <w:sz w:val="22"/>
                                <w:szCs w:val="22"/>
                                <w:u w:color="FFFFFF"/>
                              </w:rPr>
                              <w:t>2</w:t>
                            </w:r>
                            <w:r w:rsidR="00B64526">
                              <w:rPr>
                                <w:rFonts w:ascii="Calibri" w:eastAsia="Calibri" w:hAnsi="Calibri" w:cs="Calibri"/>
                                <w:color w:val="FFFFFF"/>
                                <w:sz w:val="22"/>
                                <w:szCs w:val="22"/>
                                <w:u w:color="FFFFFF"/>
                              </w:rPr>
                              <w:t>5 April 202</w:t>
                            </w:r>
                            <w:r>
                              <w:rPr>
                                <w:rFonts w:ascii="Calibri" w:eastAsia="Calibri" w:hAnsi="Calibri" w:cs="Calibri"/>
                                <w:color w:val="FFFFFF"/>
                                <w:sz w:val="22"/>
                                <w:szCs w:val="22"/>
                                <w:u w:color="FFFFFF"/>
                              </w:rPr>
                              <w:t>0</w:t>
                            </w:r>
                          </w:p>
                          <w:p w:rsidR="008A209E" w:rsidRDefault="005F76DE">
                            <w:pPr>
                              <w:pStyle w:val="Body"/>
                              <w:jc w:val="right"/>
                            </w:pPr>
                            <w:r>
                              <w:rPr>
                                <w:rFonts w:ascii="Calibri" w:eastAsia="Calibri" w:hAnsi="Calibri" w:cs="Calibri"/>
                                <w:color w:val="FFFFFF"/>
                                <w:sz w:val="22"/>
                                <w:szCs w:val="22"/>
                                <w:u w:color="FFFFFF"/>
                              </w:rPr>
                              <w:t>Original:</w:t>
                            </w:r>
                            <w:r w:rsidR="00B64526">
                              <w:rPr>
                                <w:rFonts w:ascii="Calibri" w:eastAsia="Calibri" w:hAnsi="Calibri" w:cs="Calibri"/>
                                <w:color w:val="FFFFFF"/>
                                <w:sz w:val="22"/>
                                <w:szCs w:val="22"/>
                                <w:u w:color="FFFFFF"/>
                              </w:rPr>
                              <w:t xml:space="preserve"> English</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29.25pt;margin-top:10pt;width:105.05pt;height:108.4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" filled="f" stroked="f" strokeweight="1pt">
                <v:stroke miterlimit="4"/>
                <v:textbox inset="1.27mm,1.27mm,1.27mm,1.27mm">
                  <w:txbxContent>
                    <w:p w:rsidR="008A209E" w:rsidRPr="00AF0507" w:rsidRDefault="005F76DE">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8A209E" w:rsidRPr="00B64526" w:rsidRDefault="005F76DE">
                      <w:pPr>
                        <w:pStyle w:val="Body"/>
                        <w:jc w:val="right"/>
                        <w:rPr>
                          <w:rFonts w:ascii="Calibri" w:eastAsia="Calibri" w:hAnsi="Calibri" w:cs="Calibri"/>
                          <w:color w:val="FFFFFF"/>
                          <w:sz w:val="22"/>
                          <w:szCs w:val="22"/>
                          <w:u w:color="FFFFFF"/>
                        </w:rPr>
                      </w:pPr>
                      <w:r w:rsidRPr="00B64526">
                        <w:rPr>
                          <w:rFonts w:ascii="Calibri" w:eastAsia="Calibri" w:hAnsi="Calibri" w:cs="Calibri"/>
                          <w:color w:val="FFFFFF"/>
                          <w:sz w:val="22"/>
                          <w:szCs w:val="22"/>
                          <w:u w:color="FFFFFF"/>
                        </w:rPr>
                        <w:t>Doc.</w:t>
                      </w:r>
                      <w:r w:rsidR="00B64526" w:rsidRPr="00B64526">
                        <w:rPr>
                          <w:rFonts w:ascii="Calibri" w:eastAsia="Calibri" w:hAnsi="Calibri" w:cs="Calibri"/>
                          <w:color w:val="FFFFFF"/>
                          <w:sz w:val="22"/>
                          <w:szCs w:val="22"/>
                          <w:u w:color="FFFFFF"/>
                        </w:rPr>
                        <w:t xml:space="preserve"> 128</w:t>
                      </w:r>
                      <w:r w:rsidRPr="00B64526">
                        <w:rPr>
                          <w:rFonts w:ascii="Calibri" w:eastAsia="Calibri" w:hAnsi="Calibri" w:cs="Calibri"/>
                          <w:color w:val="FFFFFF"/>
                          <w:sz w:val="22"/>
                          <w:szCs w:val="22"/>
                          <w:u w:color="FFFFFF"/>
                        </w:rPr>
                        <w:t xml:space="preserve"> </w:t>
                      </w:r>
                    </w:p>
                    <w:p w:rsidR="008A209E" w:rsidRDefault="005F76DE">
                      <w:pPr>
                        <w:pStyle w:val="Body"/>
                        <w:jc w:val="right"/>
                        <w:rPr>
                          <w:rFonts w:ascii="Calibri" w:eastAsia="Calibri" w:hAnsi="Calibri" w:cs="Calibri"/>
                          <w:color w:val="FFFFFF"/>
                          <w:sz w:val="22"/>
                          <w:szCs w:val="22"/>
                          <w:u w:color="FFFFFF"/>
                        </w:rPr>
                      </w:pPr>
                      <w:r w:rsidRPr="00B64526">
                        <w:rPr>
                          <w:rFonts w:ascii="Calibri" w:eastAsia="Calibri" w:hAnsi="Calibri" w:cs="Calibri"/>
                          <w:color w:val="FFFFFF"/>
                          <w:sz w:val="22"/>
                          <w:szCs w:val="22"/>
                          <w:u w:color="FFFFFF"/>
                        </w:rPr>
                        <w:t xml:space="preserve"> </w:t>
                      </w:r>
                      <w:r>
                        <w:rPr>
                          <w:rFonts w:ascii="Calibri" w:eastAsia="Calibri" w:hAnsi="Calibri" w:cs="Calibri"/>
                          <w:color w:val="FFFFFF"/>
                          <w:sz w:val="22"/>
                          <w:szCs w:val="22"/>
                          <w:u w:color="FFFFFF"/>
                        </w:rPr>
                        <w:t>2</w:t>
                      </w:r>
                      <w:r w:rsidR="00B64526">
                        <w:rPr>
                          <w:rFonts w:ascii="Calibri" w:eastAsia="Calibri" w:hAnsi="Calibri" w:cs="Calibri"/>
                          <w:color w:val="FFFFFF"/>
                          <w:sz w:val="22"/>
                          <w:szCs w:val="22"/>
                          <w:u w:color="FFFFFF"/>
                        </w:rPr>
                        <w:t>5 April 202</w:t>
                      </w:r>
                      <w:r>
                        <w:rPr>
                          <w:rFonts w:ascii="Calibri" w:eastAsia="Calibri" w:hAnsi="Calibri" w:cs="Calibri"/>
                          <w:color w:val="FFFFFF"/>
                          <w:sz w:val="22"/>
                          <w:szCs w:val="22"/>
                          <w:u w:color="FFFFFF"/>
                        </w:rPr>
                        <w:t>0</w:t>
                      </w:r>
                    </w:p>
                    <w:p w:rsidR="008A209E" w:rsidRDefault="005F76DE">
                      <w:pPr>
                        <w:pStyle w:val="Body"/>
                        <w:jc w:val="right"/>
                      </w:pPr>
                      <w:r>
                        <w:rPr>
                          <w:rFonts w:ascii="Calibri" w:eastAsia="Calibri" w:hAnsi="Calibri" w:cs="Calibri"/>
                          <w:color w:val="FFFFFF"/>
                          <w:sz w:val="22"/>
                          <w:szCs w:val="22"/>
                          <w:u w:color="FFFFFF"/>
                        </w:rPr>
                        <w:t>Original:</w:t>
                      </w:r>
                      <w:r w:rsidR="00B64526">
                        <w:rPr>
                          <w:rFonts w:ascii="Calibri" w:eastAsia="Calibri" w:hAnsi="Calibri" w:cs="Calibri"/>
                          <w:color w:val="FFFFFF"/>
                          <w:sz w:val="22"/>
                          <w:szCs w:val="22"/>
                          <w:u w:color="FFFFFF"/>
                        </w:rPr>
                        <w:t xml:space="preserve"> English</w:t>
                      </w:r>
                      <w:bookmarkStart w:id="1" w:name="_GoBack"/>
                      <w:bookmarkEnd w:id="1"/>
                    </w:p>
                  </w:txbxContent>
                </v:textbox>
                <w10:wrap anchory="line"/>
              </v:rect>
            </w:pict>
          </mc:Fallback>
        </mc:AlternateContent>
      </w: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5F76DE">
      <w:pPr>
        <w:pStyle w:val="Body"/>
        <w:tabs>
          <w:tab w:val="center" w:pos="5400"/>
        </w:tabs>
        <w:suppressAutoHyphens/>
        <w:jc w:val="cente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1207007</wp:posOffset>
                </wp:positionH>
                <wp:positionV relativeFrom="line">
                  <wp:posOffset>68021</wp:posOffset>
                </wp:positionV>
                <wp:extent cx="4595496" cy="50474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749"/>
                        </a:xfrm>
                        <a:prstGeom prst="rect">
                          <a:avLst/>
                        </a:prstGeom>
                        <a:noFill/>
                        <a:ln w="12700" cap="flat">
                          <a:noFill/>
                          <a:miter lim="400000"/>
                        </a:ln>
                        <a:effectLst/>
                      </wps:spPr>
                      <wps:txbx>
                        <w:txbxContent>
                          <w:p w:rsidR="008A209E" w:rsidRDefault="005F76DE">
                            <w:pPr>
                              <w:pStyle w:val="Body"/>
                              <w:tabs>
                                <w:tab w:val="center" w:pos="5400"/>
                              </w:tabs>
                              <w:suppressAutoHyphens/>
                              <w:spacing w:before="60"/>
                            </w:pPr>
                            <w:r>
                              <w:rPr>
                                <w:rFonts w:ascii="Cambria" w:eastAsia="Cambria" w:hAnsi="Cambria" w:cs="Cambria"/>
                                <w:color w:val="0D0D0D"/>
                                <w:sz w:val="18"/>
                                <w:szCs w:val="18"/>
                                <w:u w:color="0D0D0D"/>
                              </w:rPr>
                              <w:t>Approved</w:t>
                            </w:r>
                            <w:r w:rsidR="00B64526">
                              <w:rPr>
                                <w:rFonts w:ascii="Cambria" w:eastAsia="Cambria" w:hAnsi="Cambria" w:cs="Cambria"/>
                                <w:color w:val="0D0D0D"/>
                                <w:sz w:val="18"/>
                                <w:szCs w:val="18"/>
                                <w:u w:color="0D0D0D"/>
                              </w:rPr>
                              <w:t xml:space="preserve"> electronically</w:t>
                            </w:r>
                            <w:r>
                              <w:rPr>
                                <w:rFonts w:ascii="Cambria" w:eastAsia="Cambria" w:hAnsi="Cambria" w:cs="Cambria"/>
                                <w:color w:val="0D0D0D"/>
                                <w:sz w:val="18"/>
                                <w:szCs w:val="18"/>
                                <w:u w:color="0D0D0D"/>
                              </w:rPr>
                              <w:t xml:space="preserve"> by the Commission </w:t>
                            </w:r>
                            <w:r w:rsidR="00B64526">
                              <w:rPr>
                                <w:rFonts w:ascii="Cambria" w:eastAsia="Cambria" w:hAnsi="Cambria" w:cs="Cambria"/>
                                <w:color w:val="0D0D0D"/>
                                <w:sz w:val="18"/>
                                <w:szCs w:val="18"/>
                                <w:u w:color="0D0D0D"/>
                              </w:rPr>
                              <w:t>on April 25, 2020</w:t>
                            </w:r>
                            <w:r w:rsidR="001E6EE8">
                              <w:rPr>
                                <w:rFonts w:ascii="Cambria" w:eastAsia="Cambria" w:hAnsi="Cambria" w:cs="Cambria"/>
                                <w:color w:val="0D0D0D"/>
                                <w:sz w:val="18"/>
                                <w:szCs w:val="18"/>
                                <w:u w:color="0D0D0D"/>
                              </w:rPr>
                              <w:t>.</w:t>
                            </w:r>
                          </w:p>
                        </w:txbxContent>
                      </wps:txbx>
                      <wps:bodyPr wrap="square" lIns="45719" tIns="45719" rIns="45719" bIns="45719" numCol="1" anchor="t">
                        <a:noAutofit/>
                      </wps:bodyPr>
                    </wps:wsp>
                  </a:graphicData>
                </a:graphic>
              </wp:anchor>
            </w:drawing>
          </mc:Choice>
          <mc:Fallback>
            <w:pict>
              <v:rect id="_x0000_s1029" style="position:absolute;left:0;text-align:left;margin-left:95.05pt;margin-top:5.35pt;width:361.85pt;height:39.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" filled="f" stroked="f" strokeweight="1pt">
                <v:stroke miterlimit="4"/>
                <v:textbox inset="1.27mm,1.27mm,1.27mm,1.27mm">
                  <w:txbxContent>
                    <w:p w:rsidR="008A209E" w:rsidRDefault="005F76DE">
                      <w:pPr>
                        <w:pStyle w:val="Body"/>
                        <w:tabs>
                          <w:tab w:val="center" w:pos="5400"/>
                        </w:tabs>
                        <w:suppressAutoHyphens/>
                        <w:spacing w:before="60"/>
                      </w:pPr>
                      <w:r>
                        <w:rPr>
                          <w:rFonts w:ascii="Cambria" w:eastAsia="Cambria" w:hAnsi="Cambria" w:cs="Cambria"/>
                          <w:color w:val="0D0D0D"/>
                          <w:sz w:val="18"/>
                          <w:szCs w:val="18"/>
                          <w:u w:color="0D0D0D"/>
                        </w:rPr>
                        <w:t>Approved</w:t>
                      </w:r>
                      <w:r w:rsidR="00B64526">
                        <w:rPr>
                          <w:rFonts w:ascii="Cambria" w:eastAsia="Cambria" w:hAnsi="Cambria" w:cs="Cambria"/>
                          <w:color w:val="0D0D0D"/>
                          <w:sz w:val="18"/>
                          <w:szCs w:val="18"/>
                          <w:u w:color="0D0D0D"/>
                        </w:rPr>
                        <w:t xml:space="preserve"> electronically</w:t>
                      </w:r>
                      <w:r>
                        <w:rPr>
                          <w:rFonts w:ascii="Cambria" w:eastAsia="Cambria" w:hAnsi="Cambria" w:cs="Cambria"/>
                          <w:color w:val="0D0D0D"/>
                          <w:sz w:val="18"/>
                          <w:szCs w:val="18"/>
                          <w:u w:color="0D0D0D"/>
                        </w:rPr>
                        <w:t xml:space="preserve"> by the Commission </w:t>
                      </w:r>
                      <w:r w:rsidR="00B64526">
                        <w:rPr>
                          <w:rFonts w:ascii="Cambria" w:eastAsia="Cambria" w:hAnsi="Cambria" w:cs="Cambria"/>
                          <w:color w:val="0D0D0D"/>
                          <w:sz w:val="18"/>
                          <w:szCs w:val="18"/>
                          <w:u w:color="0D0D0D"/>
                        </w:rPr>
                        <w:t>on April 25, 2020</w:t>
                      </w:r>
                      <w:r w:rsidR="001E6EE8">
                        <w:rPr>
                          <w:rFonts w:ascii="Cambria" w:eastAsia="Cambria" w:hAnsi="Cambria" w:cs="Cambria"/>
                          <w:color w:val="0D0D0D"/>
                          <w:sz w:val="18"/>
                          <w:szCs w:val="18"/>
                          <w:u w:color="0D0D0D"/>
                        </w:rPr>
                        <w:t>.</w:t>
                      </w:r>
                    </w:p>
                  </w:txbxContent>
                </v:textbox>
                <w10:wrap anchory="line"/>
              </v:rect>
            </w:pict>
          </mc:Fallback>
        </mc:AlternateContent>
      </w: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5F76DE">
      <w:pPr>
        <w:pStyle w:val="Body"/>
        <w:tabs>
          <w:tab w:val="center" w:pos="5400"/>
        </w:tabs>
        <w:suppressAutoHyphens/>
        <w:jc w:val="center"/>
      </w:pPr>
      <w:r>
        <w:rPr>
          <w:rFonts w:ascii="Cambria" w:eastAsia="Cambria" w:hAnsi="Cambria" w:cs="Cambria"/>
          <w:noProof/>
          <w:sz w:val="18"/>
          <w:szCs w:val="18"/>
        </w:rPr>
        <mc:AlternateContent>
          <mc:Choice Requires="wps">
            <w:drawing>
              <wp:anchor distT="0" distB="0" distL="0" distR="0" simplePos="0" relativeHeight="251664384" behindDoc="0" locked="0" layoutInCell="1" allowOverlap="1">
                <wp:simplePos x="0" y="0"/>
                <wp:positionH relativeFrom="column">
                  <wp:posOffset>1209675</wp:posOffset>
                </wp:positionH>
                <wp:positionV relativeFrom="line">
                  <wp:posOffset>92075</wp:posOffset>
                </wp:positionV>
                <wp:extent cx="4824096"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6" cy="609600"/>
                        </a:xfrm>
                        <a:prstGeom prst="rect">
                          <a:avLst/>
                        </a:prstGeom>
                        <a:noFill/>
                        <a:ln w="12700" cap="flat">
                          <a:noFill/>
                          <a:miter lim="400000"/>
                        </a:ln>
                        <a:effectLst/>
                      </wps:spPr>
                      <wps:txbx>
                        <w:txbxContent>
                          <w:p w:rsidR="008A209E" w:rsidRDefault="005F76DE">
                            <w:pPr>
                              <w:pStyle w:val="Body"/>
                              <w:spacing w:line="276" w:lineRule="auto"/>
                            </w:pPr>
                            <w:r w:rsidRPr="00AF0507">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B64526">
                              <w:rPr>
                                <w:rFonts w:ascii="Cambria" w:eastAsia="Cambria" w:hAnsi="Cambria" w:cs="Cambria"/>
                                <w:color w:val="595959"/>
                                <w:sz w:val="18"/>
                                <w:szCs w:val="18"/>
                                <w:u w:color="595959"/>
                              </w:rPr>
                              <w:t>118</w:t>
                            </w:r>
                            <w:r>
                              <w:rPr>
                                <w:rFonts w:ascii="Cambria" w:eastAsia="Cambria" w:hAnsi="Cambria" w:cs="Cambria"/>
                                <w:color w:val="595959"/>
                                <w:sz w:val="18"/>
                                <w:szCs w:val="18"/>
                                <w:u w:color="595959"/>
                              </w:rPr>
                              <w:t>/</w:t>
                            </w:r>
                            <w:r w:rsidR="00B64526">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B64526">
                              <w:rPr>
                                <w:rFonts w:ascii="Cambria" w:eastAsia="Cambria" w:hAnsi="Cambria" w:cs="Cambria"/>
                                <w:color w:val="595959"/>
                                <w:sz w:val="18"/>
                                <w:szCs w:val="18"/>
                                <w:u w:color="595959"/>
                              </w:rPr>
                              <w:t>777</w:t>
                            </w:r>
                            <w:r>
                              <w:rPr>
                                <w:rFonts w:ascii="Cambria" w:eastAsia="Cambria" w:hAnsi="Cambria" w:cs="Cambria"/>
                                <w:color w:val="595959"/>
                                <w:sz w:val="18"/>
                                <w:szCs w:val="18"/>
                                <w:u w:color="595959"/>
                              </w:rPr>
                              <w:t>-</w:t>
                            </w:r>
                            <w:r w:rsidR="00B64526">
                              <w:rPr>
                                <w:rFonts w:ascii="Cambria" w:eastAsia="Cambria" w:hAnsi="Cambria" w:cs="Cambria"/>
                                <w:color w:val="595959"/>
                                <w:sz w:val="18"/>
                                <w:szCs w:val="18"/>
                                <w:u w:color="595959"/>
                              </w:rPr>
                              <w:t>08</w:t>
                            </w:r>
                            <w:r>
                              <w:rPr>
                                <w:rFonts w:ascii="Cambria" w:eastAsia="Cambria" w:hAnsi="Cambria" w:cs="Cambria"/>
                                <w:color w:val="595959"/>
                                <w:sz w:val="18"/>
                                <w:szCs w:val="18"/>
                                <w:u w:color="595959"/>
                              </w:rPr>
                              <w:t xml:space="preserve">. Admissibility. </w:t>
                            </w:r>
                            <w:r w:rsidR="00B64526">
                              <w:rPr>
                                <w:rFonts w:ascii="Cambria" w:eastAsia="Cambria" w:hAnsi="Cambria" w:cs="Cambria"/>
                                <w:color w:val="595959"/>
                                <w:sz w:val="18"/>
                                <w:szCs w:val="18"/>
                                <w:u w:color="595959"/>
                              </w:rPr>
                              <w:t xml:space="preserve">Gustavo </w:t>
                            </w:r>
                            <w:proofErr w:type="spellStart"/>
                            <w:r w:rsidR="00B64526">
                              <w:rPr>
                                <w:rFonts w:ascii="Cambria" w:eastAsia="Cambria" w:hAnsi="Cambria" w:cs="Cambria"/>
                                <w:color w:val="595959"/>
                                <w:sz w:val="18"/>
                                <w:szCs w:val="18"/>
                                <w:u w:color="595959"/>
                              </w:rPr>
                              <w:t>Aldaz</w:t>
                            </w:r>
                            <w:proofErr w:type="spellEnd"/>
                            <w:r w:rsidR="00B64526">
                              <w:rPr>
                                <w:rFonts w:ascii="Cambria" w:eastAsia="Cambria" w:hAnsi="Cambria" w:cs="Cambria"/>
                                <w:color w:val="595959"/>
                                <w:sz w:val="18"/>
                                <w:szCs w:val="18"/>
                                <w:u w:color="595959"/>
                              </w:rPr>
                              <w:t xml:space="preserve"> Castillo and family</w:t>
                            </w:r>
                            <w:r>
                              <w:rPr>
                                <w:rFonts w:ascii="Cambria" w:eastAsia="Cambria" w:hAnsi="Cambria" w:cs="Cambria"/>
                                <w:color w:val="595959"/>
                                <w:sz w:val="18"/>
                                <w:szCs w:val="18"/>
                                <w:u w:color="595959"/>
                              </w:rPr>
                              <w:t xml:space="preserve">. </w:t>
                            </w:r>
                            <w:r w:rsidR="00B64526">
                              <w:rPr>
                                <w:rFonts w:ascii="Cambria" w:eastAsia="Cambria" w:hAnsi="Cambria" w:cs="Cambria"/>
                                <w:color w:val="595959"/>
                                <w:sz w:val="18"/>
                                <w:szCs w:val="18"/>
                                <w:u w:color="595959"/>
                              </w:rPr>
                              <w:t>Colombia</w:t>
                            </w:r>
                            <w:r>
                              <w:rPr>
                                <w:rFonts w:ascii="Cambria" w:eastAsia="Cambria" w:hAnsi="Cambria" w:cs="Cambria"/>
                                <w:color w:val="595959"/>
                                <w:sz w:val="18"/>
                                <w:szCs w:val="18"/>
                                <w:u w:color="595959"/>
                              </w:rPr>
                              <w:t xml:space="preserve">. </w:t>
                            </w:r>
                            <w:r w:rsidR="00B64526">
                              <w:rPr>
                                <w:rFonts w:ascii="Cambria" w:eastAsia="Cambria" w:hAnsi="Cambria" w:cs="Cambria"/>
                                <w:color w:val="595959"/>
                                <w:sz w:val="18"/>
                                <w:szCs w:val="18"/>
                                <w:u w:color="595959"/>
                              </w:rPr>
                              <w:t>April 25, 2020.</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0" style="position:absolute;left:0;text-align:left;margin-left:95.25pt;margin-top:7.25pt;width:379.85pt;height:48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" filled="f" stroked="f" strokeweight="1pt">
                <v:stroke miterlimit="4"/>
                <v:textbox inset="1.27mm,1.27mm,1.27mm,1.27mm">
                  <w:txbxContent>
                    <w:p w:rsidR="008A209E" w:rsidRDefault="005F76DE">
                      <w:pPr>
                        <w:pStyle w:val="Body"/>
                        <w:spacing w:line="276" w:lineRule="auto"/>
                      </w:pPr>
                      <w:r w:rsidRPr="00AF0507">
                        <w:rPr>
                          <w:rFonts w:ascii="Cambria" w:eastAsia="Cambria" w:hAnsi="Cambria" w:cs="Cambria"/>
                          <w:b/>
                          <w:bCs/>
                          <w:color w:val="595959"/>
                          <w:sz w:val="18"/>
                          <w:szCs w:val="18"/>
                          <w:u w:color="595959"/>
                        </w:rPr>
                        <w:t xml:space="preserve">Cite </w:t>
                      </w:r>
                      <w:proofErr w:type="gramStart"/>
                      <w:r w:rsidRPr="00AF0507">
                        <w:rPr>
                          <w:rFonts w:ascii="Cambria" w:eastAsia="Cambria" w:hAnsi="Cambria" w:cs="Cambria"/>
                          <w:b/>
                          <w:bCs/>
                          <w:color w:val="595959"/>
                          <w:sz w:val="18"/>
                          <w:szCs w:val="18"/>
                          <w:u w:color="595959"/>
                        </w:rPr>
                        <w:t>as:</w:t>
                      </w:r>
                      <w:proofErr w:type="gramEnd"/>
                      <w:r w:rsidRPr="00AF0507">
                        <w:rPr>
                          <w:rFonts w:ascii="Cambria" w:eastAsia="Cambria" w:hAnsi="Cambria" w:cs="Cambria"/>
                          <w:b/>
                          <w:bCs/>
                          <w:color w:val="595959"/>
                          <w:sz w:val="18"/>
                          <w:szCs w:val="18"/>
                          <w:u w:color="595959"/>
                        </w:rPr>
                        <w:t xml:space="preserve"> </w:t>
                      </w:r>
                      <w:r>
                        <w:rPr>
                          <w:rFonts w:ascii="Cambria" w:eastAsia="Cambria" w:hAnsi="Cambria" w:cs="Cambria"/>
                          <w:color w:val="595959"/>
                          <w:sz w:val="18"/>
                          <w:szCs w:val="18"/>
                          <w:u w:color="595959"/>
                        </w:rPr>
                        <w:t xml:space="preserve">IACHR, Report No. </w:t>
                      </w:r>
                      <w:r w:rsidR="00B64526">
                        <w:rPr>
                          <w:rFonts w:ascii="Cambria" w:eastAsia="Cambria" w:hAnsi="Cambria" w:cs="Cambria"/>
                          <w:color w:val="595959"/>
                          <w:sz w:val="18"/>
                          <w:szCs w:val="18"/>
                          <w:u w:color="595959"/>
                        </w:rPr>
                        <w:t>118</w:t>
                      </w:r>
                      <w:r>
                        <w:rPr>
                          <w:rFonts w:ascii="Cambria" w:eastAsia="Cambria" w:hAnsi="Cambria" w:cs="Cambria"/>
                          <w:color w:val="595959"/>
                          <w:sz w:val="18"/>
                          <w:szCs w:val="18"/>
                          <w:u w:color="595959"/>
                        </w:rPr>
                        <w:t>/</w:t>
                      </w:r>
                      <w:r w:rsidR="00B64526">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B64526">
                        <w:rPr>
                          <w:rFonts w:ascii="Cambria" w:eastAsia="Cambria" w:hAnsi="Cambria" w:cs="Cambria"/>
                          <w:color w:val="595959"/>
                          <w:sz w:val="18"/>
                          <w:szCs w:val="18"/>
                          <w:u w:color="595959"/>
                        </w:rPr>
                        <w:t>777</w:t>
                      </w:r>
                      <w:r>
                        <w:rPr>
                          <w:rFonts w:ascii="Cambria" w:eastAsia="Cambria" w:hAnsi="Cambria" w:cs="Cambria"/>
                          <w:color w:val="595959"/>
                          <w:sz w:val="18"/>
                          <w:szCs w:val="18"/>
                          <w:u w:color="595959"/>
                        </w:rPr>
                        <w:t>-</w:t>
                      </w:r>
                      <w:r w:rsidR="00B64526">
                        <w:rPr>
                          <w:rFonts w:ascii="Cambria" w:eastAsia="Cambria" w:hAnsi="Cambria" w:cs="Cambria"/>
                          <w:color w:val="595959"/>
                          <w:sz w:val="18"/>
                          <w:szCs w:val="18"/>
                          <w:u w:color="595959"/>
                        </w:rPr>
                        <w:t>08</w:t>
                      </w:r>
                      <w:r>
                        <w:rPr>
                          <w:rFonts w:ascii="Cambria" w:eastAsia="Cambria" w:hAnsi="Cambria" w:cs="Cambria"/>
                          <w:color w:val="595959"/>
                          <w:sz w:val="18"/>
                          <w:szCs w:val="18"/>
                          <w:u w:color="595959"/>
                        </w:rPr>
                        <w:t xml:space="preserve">. Admissibility. </w:t>
                      </w:r>
                      <w:r w:rsidR="00B64526">
                        <w:rPr>
                          <w:rFonts w:ascii="Cambria" w:eastAsia="Cambria" w:hAnsi="Cambria" w:cs="Cambria"/>
                          <w:color w:val="595959"/>
                          <w:sz w:val="18"/>
                          <w:szCs w:val="18"/>
                          <w:u w:color="595959"/>
                        </w:rPr>
                        <w:t xml:space="preserve">Gustavo </w:t>
                      </w:r>
                      <w:proofErr w:type="spellStart"/>
                      <w:r w:rsidR="00B64526">
                        <w:rPr>
                          <w:rFonts w:ascii="Cambria" w:eastAsia="Cambria" w:hAnsi="Cambria" w:cs="Cambria"/>
                          <w:color w:val="595959"/>
                          <w:sz w:val="18"/>
                          <w:szCs w:val="18"/>
                          <w:u w:color="595959"/>
                        </w:rPr>
                        <w:t>Aldaz</w:t>
                      </w:r>
                      <w:proofErr w:type="spellEnd"/>
                      <w:r w:rsidR="00B64526">
                        <w:rPr>
                          <w:rFonts w:ascii="Cambria" w:eastAsia="Cambria" w:hAnsi="Cambria" w:cs="Cambria"/>
                          <w:color w:val="595959"/>
                          <w:sz w:val="18"/>
                          <w:szCs w:val="18"/>
                          <w:u w:color="595959"/>
                        </w:rPr>
                        <w:t xml:space="preserve"> Castillo and family</w:t>
                      </w:r>
                      <w:r>
                        <w:rPr>
                          <w:rFonts w:ascii="Cambria" w:eastAsia="Cambria" w:hAnsi="Cambria" w:cs="Cambria"/>
                          <w:color w:val="595959"/>
                          <w:sz w:val="18"/>
                          <w:szCs w:val="18"/>
                          <w:u w:color="595959"/>
                        </w:rPr>
                        <w:t xml:space="preserve">. </w:t>
                      </w:r>
                      <w:r w:rsidR="00B64526">
                        <w:rPr>
                          <w:rFonts w:ascii="Cambria" w:eastAsia="Cambria" w:hAnsi="Cambria" w:cs="Cambria"/>
                          <w:color w:val="595959"/>
                          <w:sz w:val="18"/>
                          <w:szCs w:val="18"/>
                          <w:u w:color="595959"/>
                        </w:rPr>
                        <w:t>Colombia</w:t>
                      </w:r>
                      <w:r>
                        <w:rPr>
                          <w:rFonts w:ascii="Cambria" w:eastAsia="Cambria" w:hAnsi="Cambria" w:cs="Cambria"/>
                          <w:color w:val="595959"/>
                          <w:sz w:val="18"/>
                          <w:szCs w:val="18"/>
                          <w:u w:color="595959"/>
                        </w:rPr>
                        <w:t xml:space="preserve">. </w:t>
                      </w:r>
                      <w:r w:rsidR="00B64526">
                        <w:rPr>
                          <w:rFonts w:ascii="Cambria" w:eastAsia="Cambria" w:hAnsi="Cambria" w:cs="Cambria"/>
                          <w:color w:val="595959"/>
                          <w:sz w:val="18"/>
                          <w:szCs w:val="18"/>
                          <w:u w:color="595959"/>
                        </w:rPr>
                        <w:t>April 25, 2020.</w:t>
                      </w:r>
                    </w:p>
                  </w:txbxContent>
                </v:textbox>
                <w10:wrap anchory="line"/>
              </v:rect>
            </w:pict>
          </mc:Fallback>
        </mc:AlternateContent>
      </w: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8A209E">
      <w:pPr>
        <w:pStyle w:val="Body"/>
        <w:tabs>
          <w:tab w:val="center" w:pos="5400"/>
        </w:tabs>
        <w:suppressAutoHyphens/>
        <w:jc w:val="center"/>
      </w:pPr>
    </w:p>
    <w:p w:rsidR="008A209E" w:rsidRDefault="00AF0507">
      <w:pPr>
        <w:pStyle w:val="Body"/>
        <w:tabs>
          <w:tab w:val="center" w:pos="5400"/>
        </w:tabs>
        <w:suppressAutoHyphens/>
        <w:jc w:val="center"/>
      </w:pPr>
      <w:r w:rsidRPr="0062503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FEE3B9F" wp14:editId="71724163">
                <wp:simplePos x="0" y="0"/>
                <wp:positionH relativeFrom="column">
                  <wp:posOffset>-353423</wp:posOffset>
                </wp:positionH>
                <wp:positionV relativeFrom="paragraph">
                  <wp:posOffset>338092</wp:posOffset>
                </wp:positionV>
                <wp:extent cx="1274264"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4264"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507" w:rsidRPr="00B64526" w:rsidRDefault="00AF0507" w:rsidP="00AF0507">
                            <w:pPr>
                              <w:jc w:val="center"/>
                              <w:rPr>
                                <w:rFonts w:asciiTheme="minorHAnsi" w:hAnsiTheme="minorHAnsi"/>
                                <w:b/>
                                <w:color w:val="FFFFFF" w:themeColor="background1"/>
                                <w:sz w:val="22"/>
                                <w:szCs w:val="22"/>
                              </w:rPr>
                            </w:pPr>
                            <w:r w:rsidRPr="00B64526">
                              <w:rPr>
                                <w:rFonts w:asciiTheme="minorHAnsi" w:hAnsiTheme="minorHAnsi"/>
                                <w:b/>
                                <w:color w:val="FFFFFF" w:themeColor="background1"/>
                                <w:sz w:val="22"/>
                                <w:szCs w:val="22"/>
                                <w:lang w:val="pt-BR"/>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FEE3B9F" id="_x0000_t202" coordsize="21600,21600" o:spt="202" path="m,l,21600r21600,l21600,xe">
                <v:stroke joinstyle="miter"/>
                <v:path gradientshapeok="t" o:connecttype="rect"/>
              </v:shapetype>
              <v:shape id="Text Box 3" o:spid="_x0000_s1031" type="#_x0000_t202" style="position:absolute;left:0;text-align:left;margin-left:-27.85pt;margin-top:26.6pt;width:100.3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" filled="f" stroked="f" strokeweight=".5pt">
                <v:textbox>
                  <w:txbxContent>
                    <w:p w:rsidR="00AF0507" w:rsidRPr="00B64526" w:rsidRDefault="00AF0507" w:rsidP="00AF0507">
                      <w:pPr>
                        <w:jc w:val="center"/>
                        <w:rPr>
                          <w:rFonts w:asciiTheme="minorHAnsi" w:hAnsiTheme="minorHAnsi"/>
                          <w:b/>
                          <w:color w:val="FFFFFF" w:themeColor="background1"/>
                          <w:sz w:val="22"/>
                          <w:szCs w:val="22"/>
                        </w:rPr>
                      </w:pPr>
                      <w:r w:rsidRPr="00B64526">
                        <w:rPr>
                          <w:rFonts w:asciiTheme="minorHAnsi" w:hAnsiTheme="minorHAnsi"/>
                          <w:b/>
                          <w:color w:val="FFFFFF" w:themeColor="background1"/>
                          <w:sz w:val="22"/>
                          <w:szCs w:val="22"/>
                          <w:lang w:val="pt-BR"/>
                        </w:rPr>
                        <w:t>www.iachr.org</w:t>
                      </w:r>
                    </w:p>
                  </w:txbxContent>
                </v:textbox>
              </v:shape>
            </w:pict>
          </mc:Fallback>
        </mc:AlternateContent>
      </w:r>
      <w:r>
        <w:rPr>
          <w:noProof/>
        </w:rPr>
        <w:drawing>
          <wp:anchor distT="0" distB="0" distL="114300" distR="114300" simplePos="0" relativeHeight="251667456" behindDoc="1" locked="0" layoutInCell="1" allowOverlap="1">
            <wp:simplePos x="0" y="0"/>
            <wp:positionH relativeFrom="column">
              <wp:posOffset>1273629</wp:posOffset>
            </wp:positionH>
            <wp:positionV relativeFrom="bottomMargin">
              <wp:align>top</wp:align>
            </wp:positionV>
            <wp:extent cx="1519555" cy="38798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anchor>
        </w:drawing>
      </w:r>
      <w:r w:rsidR="005F76DE">
        <w:rPr>
          <w:rFonts w:ascii="Cambria" w:eastAsia="Cambria" w:hAnsi="Cambria" w:cs="Cambria"/>
          <w:noProof/>
          <w:sz w:val="22"/>
          <w:szCs w:val="22"/>
        </w:rPr>
        <mc:AlternateContent>
          <mc:Choice Requires="wps">
            <w:drawing>
              <wp:anchor distT="0" distB="0" distL="0" distR="0" simplePos="0" relativeHeight="251666432" behindDoc="0" locked="0" layoutInCell="1" allowOverlap="1">
                <wp:simplePos x="0" y="0"/>
                <wp:positionH relativeFrom="column">
                  <wp:posOffset>-298895</wp:posOffset>
                </wp:positionH>
                <wp:positionV relativeFrom="line">
                  <wp:posOffset>859155</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rsidR="008A209E" w:rsidRDefault="005F76DE">
                            <w:pPr>
                              <w:pStyle w:val="Body"/>
                              <w:jc w:val="center"/>
                            </w:pPr>
                            <w:r>
                              <w:rPr>
                                <w:rFonts w:ascii="Calibri" w:eastAsia="Calibri" w:hAnsi="Calibri" w:cs="Calibri"/>
                                <w:b/>
                                <w:bCs/>
                                <w:color w:val="FFFFFF"/>
                                <w:u w:color="FFFFFF"/>
                                <w:lang w:val="pt-PT"/>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2" style="position:absolute;left:0;text-align:left;margin-left:-23.55pt;margin-top:67.65pt;width:93pt;height:26.2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" filled="f" stroked="f" strokeweight="1pt">
                <v:stroke miterlimit="4"/>
                <v:textbox inset="1.27mm,1.27mm,1.27mm,1.27mm">
                  <w:txbxContent>
                    <w:p w:rsidR="008A209E" w:rsidRDefault="005F76DE">
                      <w:pPr>
                        <w:pStyle w:val="Body"/>
                        <w:jc w:val="center"/>
                      </w:pPr>
                      <w:r>
                        <w:rPr>
                          <w:rFonts w:ascii="Calibri" w:eastAsia="Calibri" w:hAnsi="Calibri" w:cs="Calibri"/>
                          <w:b/>
                          <w:bCs/>
                          <w:color w:val="FFFFFF"/>
                          <w:u w:color="FFFFFF"/>
                          <w:lang w:val="pt-PT"/>
                        </w:rPr>
                        <w:t>www.cidh.org</w:t>
                      </w:r>
                    </w:p>
                  </w:txbxContent>
                </v:textbox>
                <w10:wrap anchory="line"/>
              </v:rect>
            </w:pict>
          </mc:Fallback>
        </mc:AlternateContent>
      </w:r>
      <w:r w:rsidR="005F76DE">
        <w:rPr>
          <w:rFonts w:ascii="Cambria" w:eastAsia="Cambria" w:hAnsi="Cambria" w:cs="Cambria"/>
          <w:noProof/>
          <w:sz w:val="22"/>
          <w:szCs w:val="22"/>
        </w:rPr>
        <mc:AlternateContent>
          <mc:Choice Requires="wpg">
            <w:drawing>
              <wp:anchor distT="0" distB="0" distL="0" distR="0" simplePos="0" relativeHeight="251665408" behindDoc="0" locked="0" layoutInCell="1" allowOverlap="1">
                <wp:simplePos x="0" y="0"/>
                <wp:positionH relativeFrom="column">
                  <wp:posOffset>1208215</wp:posOffset>
                </wp:positionH>
                <wp:positionV relativeFrom="line">
                  <wp:posOffset>722630</wp:posOffset>
                </wp:positionV>
                <wp:extent cx="2085975" cy="485775"/>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2085975" cy="485775"/>
                          <a:chOff x="0" y="0"/>
                          <a:chExt cx="2085975" cy="485775"/>
                        </a:xfrm>
                      </wpg:grpSpPr>
                      <wps:wsp>
                        <wps:cNvPr id="1073741834" name="Shape 1073741834"/>
                        <wps:cNvSpPr/>
                        <wps:spPr>
                          <a:xfrm>
                            <a:off x="0" y="0"/>
                            <a:ext cx="2085975" cy="485775"/>
                          </a:xfrm>
                          <a:prstGeom prst="rect">
                            <a:avLst/>
                          </a:prstGeom>
                          <a:solidFill>
                            <a:srgbClr val="FFFFFF"/>
                          </a:solidFill>
                          <a:ln w="12700" cap="flat">
                            <a:noFill/>
                            <a:miter lim="400000"/>
                          </a:ln>
                          <a:effectLst/>
                        </wps:spPr>
                        <wps:bodyPr/>
                      </wps:wsp>
                      <wps:wsp>
                        <wps:cNvPr id="1073741835" name="Shape 1073741835"/>
                        <wps:cNvSpPr/>
                        <wps:spPr>
                          <a:xfrm>
                            <a:off x="0" y="0"/>
                            <a:ext cx="2085975" cy="485775"/>
                          </a:xfrm>
                          <a:prstGeom prst="rect">
                            <a:avLst/>
                          </a:prstGeom>
                          <a:noFill/>
                          <a:ln w="12700" cap="flat">
                            <a:noFill/>
                            <a:miter lim="400000"/>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w:pict>
              <v:group id="_x0000_s1033" style="visibility:visible;position:absolute;margin-left:95.1pt;margin-top:56.9pt;width:164.2pt;height:38.2pt;z-index:251665408;mso-position-horizontal:absolute;mso-position-horizontal-relative:text;mso-position-vertical:absolute;mso-position-vertical-relative:line;mso-wrap-distance-left:0.0pt;mso-wrap-distance-top:0.0pt;mso-wrap-distance-right:0.0pt;mso-wrap-distance-bottom:0.0pt;" coordorigin="0,0" coordsize="2085975,485775">
                <w10:wrap type="none" side="bothSides" anchorx="text"/>
                <v:rect id="_x0000_s1034" style="position:absolute;left:0;top:0;width:2085975;height:485775;">
                  <v:fill color="#FFFFFF"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0;top:0;width:2085975;height:485775;">
                  <v:fill on="f"/>
                  <v:stroke on="f" weight="1.0pt" dashstyle="solid" endcap="flat" miterlimit="400.0%" joinstyle="miter" linestyle="single" startarrow="none" startarrowwidth="medium" startarrowlength="medium" endarrow="none" endarrowwidth="medium" endarrowlength="medium"/>
                </v:rect>
              </v:group>
            </w:pict>
          </mc:Fallback>
        </mc:AlternateContent>
      </w:r>
    </w:p>
    <w:p w:rsidR="008A209E" w:rsidRDefault="008A209E">
      <w:pPr>
        <w:pStyle w:val="Body"/>
        <w:tabs>
          <w:tab w:val="center" w:pos="5400"/>
        </w:tabs>
        <w:suppressAutoHyphens/>
        <w:jc w:val="center"/>
        <w:sectPr w:rsidR="008A209E">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sectPr>
      </w:pPr>
    </w:p>
    <w:p w:rsidR="008A209E" w:rsidRDefault="005F76DE">
      <w:pPr>
        <w:pStyle w:val="Body"/>
        <w:spacing w:after="120"/>
        <w:ind w:firstLine="720"/>
        <w:jc w:val="both"/>
      </w:pPr>
      <w:r>
        <w:rPr>
          <w:rFonts w:ascii="Cambria" w:eastAsia="Cambria" w:hAnsi="Cambria" w:cs="Cambria"/>
          <w:b/>
          <w:bCs/>
          <w:sz w:val="20"/>
          <w:szCs w:val="20"/>
        </w:rPr>
        <w:lastRenderedPageBreak/>
        <w:t>I.</w:t>
      </w:r>
      <w:r>
        <w:rPr>
          <w:rFonts w:ascii="Cambria" w:eastAsia="Cambria" w:hAnsi="Cambria" w:cs="Cambria"/>
          <w:b/>
          <w:bCs/>
          <w:sz w:val="20"/>
          <w:szCs w:val="20"/>
        </w:rPr>
        <w:tab/>
        <w:t xml:space="preserve">INFORMATION ABOUT THE PETITION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8A209E">
        <w:trPr>
          <w:trHeight w:val="204"/>
        </w:trPr>
        <w:tc>
          <w:tcPr>
            <w:tcW w:w="27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Petitioner</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 xml:space="preserve">Miguel </w:t>
            </w:r>
            <w:proofErr w:type="spellStart"/>
            <w:r>
              <w:rPr>
                <w:rFonts w:ascii="Cambria" w:eastAsia="Cambria" w:hAnsi="Cambria" w:cs="Cambria"/>
                <w:sz w:val="19"/>
                <w:szCs w:val="19"/>
              </w:rPr>
              <w:t>Piñeros</w:t>
            </w:r>
            <w:proofErr w:type="spellEnd"/>
            <w:r>
              <w:rPr>
                <w:rFonts w:ascii="Cambria" w:eastAsia="Cambria" w:hAnsi="Cambria" w:cs="Cambria"/>
                <w:sz w:val="19"/>
                <w:szCs w:val="19"/>
              </w:rPr>
              <w:t xml:space="preserve"> Rey</w:t>
            </w:r>
          </w:p>
        </w:tc>
      </w:tr>
      <w:tr w:rsidR="008A209E" w:rsidRPr="001E6EE8">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Alleged victim</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Pr="00622F98" w:rsidRDefault="005F76DE">
            <w:pPr>
              <w:pStyle w:val="Body"/>
              <w:jc w:val="both"/>
              <w:rPr>
                <w:lang w:val="es-US"/>
              </w:rPr>
            </w:pPr>
            <w:r>
              <w:rPr>
                <w:rFonts w:ascii="Cambria" w:eastAsia="Cambria" w:hAnsi="Cambria" w:cs="Cambria"/>
                <w:sz w:val="19"/>
                <w:szCs w:val="19"/>
                <w:lang w:val="es-ES_tradnl"/>
              </w:rPr>
              <w:t xml:space="preserve">Gustavo </w:t>
            </w:r>
            <w:proofErr w:type="spellStart"/>
            <w:r>
              <w:rPr>
                <w:rFonts w:ascii="Cambria" w:eastAsia="Cambria" w:hAnsi="Cambria" w:cs="Cambria"/>
                <w:sz w:val="19"/>
                <w:szCs w:val="19"/>
                <w:lang w:val="es-ES_tradnl"/>
              </w:rPr>
              <w:t>Aldaz</w:t>
            </w:r>
            <w:proofErr w:type="spellEnd"/>
            <w:r>
              <w:rPr>
                <w:rFonts w:ascii="Cambria" w:eastAsia="Cambria" w:hAnsi="Cambria" w:cs="Cambria"/>
                <w:sz w:val="19"/>
                <w:szCs w:val="19"/>
                <w:lang w:val="es-ES_tradnl"/>
              </w:rPr>
              <w:t xml:space="preserve"> Castillo and </w:t>
            </w:r>
            <w:proofErr w:type="spellStart"/>
            <w:r>
              <w:rPr>
                <w:rFonts w:ascii="Cambria" w:eastAsia="Cambria" w:hAnsi="Cambria" w:cs="Cambria"/>
                <w:sz w:val="19"/>
                <w:szCs w:val="19"/>
                <w:lang w:val="es-ES_tradnl"/>
              </w:rPr>
              <w:t>family</w:t>
            </w:r>
            <w:proofErr w:type="spellEnd"/>
          </w:p>
        </w:tc>
      </w:tr>
      <w:tr w:rsidR="008A209E">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Respondent State</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Colombia</w:t>
            </w:r>
            <w:r>
              <w:rPr>
                <w:rFonts w:ascii="Cambria" w:eastAsia="Cambria" w:hAnsi="Cambria" w:cs="Cambria"/>
                <w:color w:val="FF0000"/>
                <w:sz w:val="19"/>
                <w:szCs w:val="19"/>
                <w:u w:color="FF0000"/>
              </w:rPr>
              <w:t xml:space="preserve"> </w:t>
            </w:r>
          </w:p>
        </w:tc>
      </w:tr>
      <w:tr w:rsidR="008A209E">
        <w:trPr>
          <w:trHeight w:val="10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Rights invoked</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Articles 8 (fair trial), 21 (property), 22 (movement and residency) , 24 (equal protection) 25 (judicial protection) and 31 of the American Convention on Human Rights and Articles VIII, (right to residence and movement); XI (right to health/well-being), and  XVIII (right to justice/fair trial) of the American Declaration on the Rights and Duties of Man</w:t>
            </w:r>
          </w:p>
        </w:tc>
      </w:tr>
    </w:tbl>
    <w:p w:rsidR="008A209E" w:rsidRDefault="005F76DE">
      <w:pPr>
        <w:pStyle w:val="Body"/>
        <w:spacing w:before="120" w:after="120"/>
        <w:ind w:firstLine="720"/>
        <w:jc w:val="both"/>
      </w:pPr>
      <w:r>
        <w:rPr>
          <w:rFonts w:ascii="Cambria" w:eastAsia="Cambria" w:hAnsi="Cambria" w:cs="Cambria"/>
          <w:b/>
          <w:bCs/>
          <w:sz w:val="20"/>
          <w:szCs w:val="20"/>
        </w:rPr>
        <w:t>II.</w:t>
      </w:r>
      <w:r>
        <w:rPr>
          <w:rFonts w:ascii="Cambria" w:eastAsia="Cambria" w:hAnsi="Cambria" w:cs="Cambria"/>
          <w:b/>
          <w:bCs/>
          <w:sz w:val="20"/>
          <w:szCs w:val="20"/>
        </w:rPr>
        <w:tab/>
        <w:t>PROCEEDINGS BEFORE THE IACHR</w:t>
      </w:r>
      <w:r>
        <w:rPr>
          <w:rFonts w:ascii="Cambria" w:eastAsia="Cambria" w:hAnsi="Cambria" w:cs="Cambria"/>
          <w:b/>
          <w:bCs/>
          <w:sz w:val="20"/>
          <w:szCs w:val="20"/>
          <w:vertAlign w:val="superscript"/>
        </w:rPr>
        <w:footnoteReference w:id="2"/>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8A209E">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Filing of the petition</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June 8, 2008</w:t>
            </w:r>
          </w:p>
        </w:tc>
      </w:tr>
      <w:tr w:rsidR="008A209E">
        <w:trPr>
          <w:trHeight w:val="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Additional information received during initial review</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July 22, 2008; November 7,2013,June 10, 2014</w:t>
            </w:r>
          </w:p>
        </w:tc>
      </w:tr>
      <w:tr w:rsidR="008A209E">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Notification of the petition</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September 28, 2016</w:t>
            </w:r>
          </w:p>
        </w:tc>
      </w:tr>
      <w:tr w:rsidR="008A209E">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State’s first response</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August 17, 2017</w:t>
            </w:r>
          </w:p>
        </w:tc>
      </w:tr>
      <w:tr w:rsidR="008A209E">
        <w:trPr>
          <w:trHeight w:val="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Additional observations from the petitioner</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December 1, 2016; March 9, 2017; July 13, 2017; March 1, 2018</w:t>
            </w:r>
          </w:p>
        </w:tc>
      </w:tr>
    </w:tbl>
    <w:p w:rsidR="008A209E" w:rsidRDefault="005F76DE">
      <w:pPr>
        <w:pStyle w:val="Body"/>
        <w:spacing w:before="120" w:after="120"/>
        <w:ind w:firstLine="720"/>
        <w:jc w:val="both"/>
      </w:pPr>
      <w:r>
        <w:rPr>
          <w:rFonts w:ascii="Cambria" w:eastAsia="Cambria" w:hAnsi="Cambria" w:cs="Cambria"/>
          <w:b/>
          <w:bCs/>
          <w:sz w:val="20"/>
          <w:szCs w:val="20"/>
          <w:lang w:val="de-DE"/>
        </w:rPr>
        <w:t xml:space="preserve">III. </w:t>
      </w:r>
      <w:r>
        <w:rPr>
          <w:rFonts w:ascii="Cambria" w:eastAsia="Cambria" w:hAnsi="Cambria" w:cs="Cambria"/>
          <w:b/>
          <w:bCs/>
          <w:sz w:val="20"/>
          <w:szCs w:val="20"/>
          <w:lang w:val="de-DE"/>
        </w:rPr>
        <w:tab/>
        <w:t xml:space="preserve">COMPETENCE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1"/>
        <w:gridCol w:w="6481"/>
      </w:tblGrid>
      <w:tr w:rsidR="008A209E">
        <w:trPr>
          <w:trHeight w:val="204"/>
        </w:trPr>
        <w:tc>
          <w:tcPr>
            <w:tcW w:w="2761"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personae:</w:t>
            </w:r>
          </w:p>
        </w:tc>
        <w:tc>
          <w:tcPr>
            <w:tcW w:w="6481"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pPr>
            <w:r>
              <w:rPr>
                <w:rFonts w:ascii="Cambria" w:eastAsia="Cambria" w:hAnsi="Cambria" w:cs="Cambria"/>
                <w:sz w:val="19"/>
                <w:szCs w:val="19"/>
              </w:rPr>
              <w:t>Yes and no (see Section VI)</w:t>
            </w:r>
          </w:p>
        </w:tc>
      </w:tr>
      <w:tr w:rsidR="008A209E">
        <w:trPr>
          <w:trHeight w:val="207"/>
        </w:trPr>
        <w:tc>
          <w:tcPr>
            <w:tcW w:w="2761"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loci</w:t>
            </w:r>
            <w:r>
              <w:rPr>
                <w:rFonts w:ascii="Cambria" w:eastAsia="Cambria" w:hAnsi="Cambria" w:cs="Cambria"/>
                <w:color w:val="FFFFFF"/>
                <w:sz w:val="19"/>
                <w:szCs w:val="19"/>
                <w:u w:color="FFFFFF"/>
              </w:rPr>
              <w:t>:</w:t>
            </w:r>
          </w:p>
        </w:tc>
        <w:tc>
          <w:tcPr>
            <w:tcW w:w="648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pPr>
            <w:r>
              <w:rPr>
                <w:rFonts w:ascii="Cambria" w:eastAsia="Cambria" w:hAnsi="Cambria" w:cs="Cambria"/>
                <w:sz w:val="19"/>
                <w:szCs w:val="19"/>
              </w:rPr>
              <w:t>Yes</w:t>
            </w:r>
          </w:p>
        </w:tc>
      </w:tr>
      <w:tr w:rsidR="008A209E">
        <w:trPr>
          <w:trHeight w:val="207"/>
        </w:trPr>
        <w:tc>
          <w:tcPr>
            <w:tcW w:w="2761"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w:t>
            </w:r>
            <w:proofErr w:type="spellStart"/>
            <w:r>
              <w:rPr>
                <w:rFonts w:ascii="Cambria" w:eastAsia="Cambria" w:hAnsi="Cambria" w:cs="Cambria"/>
                <w:i/>
                <w:iCs/>
                <w:color w:val="FFFFFF"/>
                <w:sz w:val="19"/>
                <w:szCs w:val="19"/>
                <w:u w:color="FFFFFF"/>
              </w:rPr>
              <w:t>temporis</w:t>
            </w:r>
            <w:proofErr w:type="spellEnd"/>
            <w:r>
              <w:rPr>
                <w:rFonts w:ascii="Cambria" w:eastAsia="Cambria" w:hAnsi="Cambria" w:cs="Cambria"/>
                <w:color w:val="FFFFFF"/>
                <w:sz w:val="19"/>
                <w:szCs w:val="19"/>
                <w:u w:color="FFFFFF"/>
              </w:rPr>
              <w:t>:</w:t>
            </w:r>
          </w:p>
        </w:tc>
        <w:tc>
          <w:tcPr>
            <w:tcW w:w="648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pPr>
            <w:r>
              <w:rPr>
                <w:rFonts w:ascii="Cambria" w:eastAsia="Cambria" w:hAnsi="Cambria" w:cs="Cambria"/>
                <w:sz w:val="19"/>
                <w:szCs w:val="19"/>
              </w:rPr>
              <w:t>Yes</w:t>
            </w:r>
          </w:p>
        </w:tc>
      </w:tr>
      <w:tr w:rsidR="008A209E">
        <w:trPr>
          <w:trHeight w:val="207"/>
        </w:trPr>
        <w:tc>
          <w:tcPr>
            <w:tcW w:w="2761"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w:t>
            </w:r>
            <w:proofErr w:type="spellStart"/>
            <w:r>
              <w:rPr>
                <w:rFonts w:ascii="Cambria" w:eastAsia="Cambria" w:hAnsi="Cambria" w:cs="Cambria"/>
                <w:i/>
                <w:iCs/>
                <w:color w:val="FFFFFF"/>
                <w:sz w:val="19"/>
                <w:szCs w:val="19"/>
                <w:u w:color="FFFFFF"/>
              </w:rPr>
              <w:t>materiae</w:t>
            </w:r>
            <w:proofErr w:type="spellEnd"/>
            <w:r>
              <w:rPr>
                <w:rFonts w:ascii="Cambria" w:eastAsia="Cambria" w:hAnsi="Cambria" w:cs="Cambria"/>
                <w:color w:val="FFFFFF"/>
                <w:sz w:val="19"/>
                <w:szCs w:val="19"/>
                <w:u w:color="FFFFFF"/>
              </w:rPr>
              <w:t>:</w:t>
            </w:r>
          </w:p>
        </w:tc>
        <w:tc>
          <w:tcPr>
            <w:tcW w:w="6481"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Partially Yes, American Convention (deposit of instrument on July 31, 1973)</w:t>
            </w:r>
          </w:p>
        </w:tc>
      </w:tr>
    </w:tbl>
    <w:p w:rsidR="008A209E" w:rsidRDefault="005F76DE">
      <w:pPr>
        <w:pStyle w:val="Body"/>
        <w:spacing w:before="120" w:after="120"/>
        <w:ind w:firstLine="720"/>
        <w:jc w:val="both"/>
      </w:pPr>
      <w:r>
        <w:rPr>
          <w:rFonts w:ascii="Cambria" w:eastAsia="Cambria" w:hAnsi="Cambria" w:cs="Cambria"/>
          <w:b/>
          <w:bCs/>
          <w:sz w:val="20"/>
          <w:szCs w:val="20"/>
        </w:rPr>
        <w:t xml:space="preserve">IV. </w:t>
      </w:r>
      <w:r>
        <w:rPr>
          <w:rFonts w:ascii="Cambria" w:eastAsia="Cambria" w:hAnsi="Cambria" w:cs="Cambria"/>
          <w:b/>
          <w:bCs/>
          <w:sz w:val="20"/>
          <w:szCs w:val="20"/>
        </w:rPr>
        <w:tab/>
        <w:t xml:space="preserve">DUPLICATION OF PROCEDURES AND INTERNATIONAL </w:t>
      </w:r>
      <w:r w:rsidRPr="00AF0507">
        <w:rPr>
          <w:rFonts w:ascii="Cambria" w:eastAsia="Cambria" w:hAnsi="Cambria" w:cs="Cambria"/>
          <w:b/>
          <w:bCs/>
          <w:i/>
          <w:iCs/>
          <w:sz w:val="20"/>
          <w:szCs w:val="20"/>
        </w:rPr>
        <w:t>RES JUDICATA</w:t>
      </w:r>
      <w:r>
        <w:rPr>
          <w:rFonts w:ascii="Cambria" w:eastAsia="Cambria" w:hAnsi="Cambria" w:cs="Cambria"/>
          <w:b/>
          <w:bCs/>
          <w:sz w:val="20"/>
          <w:szCs w:val="20"/>
        </w:rPr>
        <w:t>, COLORABLE CLAIM, EXHAUSTION OF DOMESTIC REMEDIES AND TIMELINESS OF THE PETITION</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6478"/>
      </w:tblGrid>
      <w:tr w:rsidR="008A209E">
        <w:trPr>
          <w:trHeight w:val="404"/>
        </w:trPr>
        <w:tc>
          <w:tcPr>
            <w:tcW w:w="2764"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 xml:space="preserve">Duplication of procedures and international </w:t>
            </w:r>
            <w:r>
              <w:rPr>
                <w:rFonts w:ascii="Cambria" w:eastAsia="Cambria" w:hAnsi="Cambria" w:cs="Cambria"/>
                <w:i/>
                <w:iCs/>
                <w:color w:val="FFFFFF"/>
                <w:sz w:val="19"/>
                <w:szCs w:val="19"/>
                <w:u w:color="FFFFFF"/>
              </w:rPr>
              <w:t>res judicata</w:t>
            </w:r>
          </w:p>
        </w:tc>
        <w:tc>
          <w:tcPr>
            <w:tcW w:w="6478"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No</w:t>
            </w:r>
          </w:p>
        </w:tc>
      </w:tr>
      <w:tr w:rsidR="008A209E">
        <w:trPr>
          <w:trHeight w:val="407"/>
        </w:trPr>
        <w:tc>
          <w:tcPr>
            <w:tcW w:w="2764"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Rights declared admissible</w:t>
            </w:r>
          </w:p>
        </w:tc>
        <w:tc>
          <w:tcPr>
            <w:tcW w:w="647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jc w:val="both"/>
            </w:pPr>
            <w:r>
              <w:rPr>
                <w:rFonts w:ascii="Cambria" w:eastAsia="Cambria" w:hAnsi="Cambria" w:cs="Cambria"/>
                <w:sz w:val="19"/>
                <w:szCs w:val="19"/>
              </w:rPr>
              <w:t xml:space="preserve">Articles, 8 (fair trial), 21 (property), and 25 (judicial protection) of the American Convention in connection with Articles 1.1 and 2 thereof.  </w:t>
            </w:r>
          </w:p>
        </w:tc>
      </w:tr>
      <w:tr w:rsidR="008A209E">
        <w:trPr>
          <w:trHeight w:val="407"/>
        </w:trPr>
        <w:tc>
          <w:tcPr>
            <w:tcW w:w="2764"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 xml:space="preserve">Exhaustion or exception to the exhaustion of remedies </w:t>
            </w:r>
          </w:p>
        </w:tc>
        <w:tc>
          <w:tcPr>
            <w:tcW w:w="647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8A209E" w:rsidRDefault="008A209E">
            <w:pPr>
              <w:pStyle w:val="Body"/>
              <w:rPr>
                <w:rFonts w:ascii="Cambria" w:eastAsia="Cambria" w:hAnsi="Cambria" w:cs="Cambria"/>
                <w:sz w:val="19"/>
                <w:szCs w:val="19"/>
              </w:rPr>
            </w:pPr>
          </w:p>
          <w:p w:rsidR="008A209E" w:rsidRDefault="005F76DE">
            <w:pPr>
              <w:pStyle w:val="Body"/>
            </w:pPr>
            <w:r>
              <w:rPr>
                <w:rFonts w:ascii="Cambria" w:eastAsia="Cambria" w:hAnsi="Cambria" w:cs="Cambria"/>
                <w:sz w:val="19"/>
                <w:szCs w:val="19"/>
              </w:rPr>
              <w:t>Yes, in terms of Section VII</w:t>
            </w:r>
          </w:p>
        </w:tc>
      </w:tr>
      <w:tr w:rsidR="008A209E">
        <w:trPr>
          <w:trHeight w:val="207"/>
        </w:trPr>
        <w:tc>
          <w:tcPr>
            <w:tcW w:w="2764"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8A209E" w:rsidRDefault="005F76DE">
            <w:pPr>
              <w:pStyle w:val="Body"/>
              <w:jc w:val="center"/>
            </w:pPr>
            <w:r>
              <w:rPr>
                <w:rFonts w:ascii="Cambria" w:eastAsia="Cambria" w:hAnsi="Cambria" w:cs="Cambria"/>
                <w:color w:val="FFFFFF"/>
                <w:sz w:val="19"/>
                <w:szCs w:val="19"/>
                <w:u w:color="FFFFFF"/>
              </w:rPr>
              <w:t>Timeliness of the petition</w:t>
            </w:r>
          </w:p>
        </w:tc>
        <w:tc>
          <w:tcPr>
            <w:tcW w:w="647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209E" w:rsidRDefault="005F76DE">
            <w:pPr>
              <w:pStyle w:val="Body"/>
            </w:pPr>
            <w:r>
              <w:rPr>
                <w:rFonts w:ascii="Cambria" w:eastAsia="Cambria" w:hAnsi="Cambria" w:cs="Cambria"/>
                <w:sz w:val="19"/>
                <w:szCs w:val="19"/>
              </w:rPr>
              <w:t>Yes, in terms of Section VII</w:t>
            </w:r>
          </w:p>
        </w:tc>
      </w:tr>
    </w:tbl>
    <w:p w:rsidR="00AF0507" w:rsidRDefault="00AF0507">
      <w:pPr>
        <w:pStyle w:val="Body"/>
        <w:spacing w:before="120" w:after="120"/>
        <w:ind w:firstLine="720"/>
        <w:jc w:val="both"/>
        <w:rPr>
          <w:rFonts w:ascii="Cambria" w:eastAsia="Cambria" w:hAnsi="Cambria" w:cs="Cambria"/>
          <w:b/>
          <w:bCs/>
          <w:sz w:val="20"/>
          <w:szCs w:val="20"/>
        </w:rPr>
      </w:pPr>
    </w:p>
    <w:p w:rsidR="00AF0507" w:rsidRDefault="00AF0507">
      <w:pPr>
        <w:rPr>
          <w:rFonts w:ascii="Cambria" w:eastAsia="Cambria" w:hAnsi="Cambria" w:cs="Cambria"/>
          <w:b/>
          <w:bCs/>
          <w:color w:val="000000"/>
          <w:sz w:val="20"/>
          <w:szCs w:val="20"/>
          <w:u w:color="000000"/>
        </w:rPr>
      </w:pPr>
      <w:r>
        <w:rPr>
          <w:rFonts w:ascii="Cambria" w:eastAsia="Cambria" w:hAnsi="Cambria" w:cs="Cambria"/>
          <w:b/>
          <w:bCs/>
          <w:sz w:val="20"/>
          <w:szCs w:val="20"/>
        </w:rPr>
        <w:br w:type="page"/>
      </w:r>
    </w:p>
    <w:p w:rsidR="008A209E" w:rsidRDefault="005F76DE" w:rsidP="001E6EE8">
      <w:pPr>
        <w:pStyle w:val="Body"/>
        <w:spacing w:after="240"/>
        <w:ind w:firstLine="720"/>
        <w:jc w:val="both"/>
      </w:pPr>
      <w:r>
        <w:rPr>
          <w:rFonts w:ascii="Cambria" w:eastAsia="Cambria" w:hAnsi="Cambria" w:cs="Cambria"/>
          <w:b/>
          <w:bCs/>
          <w:sz w:val="20"/>
          <w:szCs w:val="20"/>
        </w:rPr>
        <w:lastRenderedPageBreak/>
        <w:t xml:space="preserve">V. </w:t>
      </w:r>
      <w:r>
        <w:rPr>
          <w:rFonts w:ascii="Cambria" w:eastAsia="Cambria" w:hAnsi="Cambria" w:cs="Cambria"/>
          <w:b/>
          <w:bCs/>
          <w:sz w:val="20"/>
          <w:szCs w:val="20"/>
        </w:rPr>
        <w:tab/>
        <w:t xml:space="preserve">SUMMARY OF ALLEGED FACTS </w:t>
      </w:r>
    </w:p>
    <w:p w:rsidR="008A209E" w:rsidRDefault="005F76DE" w:rsidP="001E6EE8">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This petition was originally brought on behalf of Gustavo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Castillo (hereinafter “Mr. </w:t>
      </w:r>
      <w:proofErr w:type="spellStart"/>
      <w:r>
        <w:rPr>
          <w:rFonts w:ascii="Cambria" w:eastAsia="Cambria" w:hAnsi="Cambria" w:cs="Cambria"/>
          <w:sz w:val="20"/>
          <w:szCs w:val="20"/>
        </w:rPr>
        <w:t>Aldaz</w:t>
      </w:r>
      <w:proofErr w:type="spellEnd"/>
      <w:r>
        <w:rPr>
          <w:rFonts w:ascii="Cambria" w:eastAsia="Cambria" w:hAnsi="Cambria" w:cs="Cambria"/>
          <w:sz w:val="20"/>
          <w:szCs w:val="20"/>
        </w:rPr>
        <w:t>”) in his personal capacity; “</w:t>
      </w:r>
      <w:r w:rsidRPr="00622F98">
        <w:rPr>
          <w:rFonts w:ascii="Cambria" w:eastAsia="Cambria" w:hAnsi="Cambria" w:cs="Cambria"/>
          <w:i/>
          <w:iCs/>
          <w:sz w:val="20"/>
          <w:szCs w:val="20"/>
        </w:rPr>
        <w:t xml:space="preserve">El </w:t>
      </w:r>
      <w:proofErr w:type="spellStart"/>
      <w:r w:rsidRPr="00622F98">
        <w:rPr>
          <w:rFonts w:ascii="Cambria" w:eastAsia="Cambria" w:hAnsi="Cambria" w:cs="Cambria"/>
          <w:i/>
          <w:iCs/>
          <w:sz w:val="20"/>
          <w:szCs w:val="20"/>
        </w:rPr>
        <w:t>Proveedor</w:t>
      </w:r>
      <w:proofErr w:type="spellEnd"/>
      <w:r w:rsidRPr="00622F98">
        <w:rPr>
          <w:rFonts w:ascii="Cambria" w:eastAsia="Cambria" w:hAnsi="Cambria" w:cs="Cambria"/>
          <w:i/>
          <w:iCs/>
          <w:sz w:val="20"/>
          <w:szCs w:val="20"/>
        </w:rPr>
        <w:t xml:space="preserve"> </w:t>
      </w:r>
      <w:proofErr w:type="spellStart"/>
      <w:r w:rsidRPr="00622F98">
        <w:rPr>
          <w:rFonts w:ascii="Cambria" w:eastAsia="Cambria" w:hAnsi="Cambria" w:cs="Cambria"/>
          <w:i/>
          <w:iCs/>
          <w:sz w:val="20"/>
          <w:szCs w:val="20"/>
        </w:rPr>
        <w:t>Mayorista</w:t>
      </w:r>
      <w:proofErr w:type="spellEnd"/>
      <w:r w:rsidRPr="00622F98">
        <w:rPr>
          <w:rFonts w:ascii="Cambria" w:eastAsia="Cambria" w:hAnsi="Cambria" w:cs="Cambria"/>
          <w:i/>
          <w:iCs/>
          <w:sz w:val="20"/>
          <w:szCs w:val="20"/>
        </w:rPr>
        <w:t xml:space="preserve"> </w:t>
      </w:r>
      <w:proofErr w:type="spellStart"/>
      <w:r w:rsidRPr="00622F98">
        <w:rPr>
          <w:rFonts w:ascii="Cambria" w:eastAsia="Cambria" w:hAnsi="Cambria" w:cs="Cambria"/>
          <w:i/>
          <w:iCs/>
          <w:sz w:val="20"/>
          <w:szCs w:val="20"/>
        </w:rPr>
        <w:t>Limitada</w:t>
      </w:r>
      <w:proofErr w:type="spellEnd"/>
      <w:r>
        <w:rPr>
          <w:rFonts w:ascii="Cambria" w:eastAsia="Cambria" w:hAnsi="Cambria" w:cs="Cambria"/>
          <w:sz w:val="20"/>
          <w:szCs w:val="20"/>
        </w:rPr>
        <w:t>”, a limited liability company;</w:t>
      </w:r>
      <w:r>
        <w:rPr>
          <w:rStyle w:val="FootnoteReference"/>
          <w:rFonts w:ascii="Cambria" w:eastAsia="Cambria" w:hAnsi="Cambria" w:cs="Cambria"/>
          <w:sz w:val="20"/>
          <w:szCs w:val="20"/>
        </w:rPr>
        <w:footnoteReference w:id="3"/>
      </w:r>
      <w:r>
        <w:rPr>
          <w:rFonts w:ascii="Cambria" w:eastAsia="Cambria" w:hAnsi="Cambria" w:cs="Cambria"/>
          <w:sz w:val="20"/>
          <w:szCs w:val="20"/>
        </w:rPr>
        <w:t xml:space="preserve"> and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and five members of his family</w:t>
      </w:r>
      <w:r>
        <w:rPr>
          <w:rStyle w:val="FootnoteReference"/>
          <w:rFonts w:ascii="Cambria" w:eastAsia="Cambria" w:hAnsi="Cambria" w:cs="Cambria"/>
          <w:sz w:val="20"/>
          <w:szCs w:val="20"/>
        </w:rPr>
        <w:footnoteReference w:id="4"/>
      </w:r>
      <w:r>
        <w:rPr>
          <w:rFonts w:ascii="Cambria" w:eastAsia="Cambria" w:hAnsi="Cambria" w:cs="Cambria"/>
          <w:sz w:val="20"/>
          <w:szCs w:val="20"/>
        </w:rPr>
        <w:t xml:space="preserve"> in their capacity as members/owners of </w:t>
      </w:r>
      <w:r w:rsidRPr="00622F98">
        <w:rPr>
          <w:rFonts w:ascii="Cambria" w:eastAsia="Cambria" w:hAnsi="Cambria" w:cs="Cambria"/>
          <w:i/>
          <w:iCs/>
          <w:sz w:val="20"/>
          <w:szCs w:val="20"/>
        </w:rPr>
        <w:t xml:space="preserve">El </w:t>
      </w:r>
      <w:proofErr w:type="spellStart"/>
      <w:r w:rsidRPr="00622F98">
        <w:rPr>
          <w:rFonts w:ascii="Cambria" w:eastAsia="Cambria" w:hAnsi="Cambria" w:cs="Cambria"/>
          <w:i/>
          <w:iCs/>
          <w:sz w:val="20"/>
          <w:szCs w:val="20"/>
        </w:rPr>
        <w:t>Proveedor</w:t>
      </w:r>
      <w:proofErr w:type="spellEnd"/>
      <w:r w:rsidRPr="00622F98">
        <w:rPr>
          <w:rFonts w:ascii="Cambria" w:eastAsia="Cambria" w:hAnsi="Cambria" w:cs="Cambria"/>
          <w:i/>
          <w:iCs/>
          <w:sz w:val="20"/>
          <w:szCs w:val="20"/>
        </w:rPr>
        <w:t xml:space="preserve"> </w:t>
      </w:r>
      <w:proofErr w:type="spellStart"/>
      <w:r w:rsidRPr="00622F98">
        <w:rPr>
          <w:rFonts w:ascii="Cambria" w:eastAsia="Cambria" w:hAnsi="Cambria" w:cs="Cambria"/>
          <w:i/>
          <w:iCs/>
          <w:sz w:val="20"/>
          <w:szCs w:val="20"/>
        </w:rPr>
        <w:t>Mayorista</w:t>
      </w:r>
      <w:proofErr w:type="spellEnd"/>
      <w:r w:rsidRPr="00622F98">
        <w:rPr>
          <w:rFonts w:ascii="Cambria" w:eastAsia="Cambria" w:hAnsi="Cambria" w:cs="Cambria"/>
          <w:i/>
          <w:iCs/>
          <w:sz w:val="20"/>
          <w:szCs w:val="20"/>
        </w:rPr>
        <w:t xml:space="preserve"> </w:t>
      </w:r>
      <w:proofErr w:type="spellStart"/>
      <w:r w:rsidRPr="00622F98">
        <w:rPr>
          <w:rFonts w:ascii="Cambria" w:eastAsia="Cambria" w:hAnsi="Cambria" w:cs="Cambria"/>
          <w:i/>
          <w:iCs/>
          <w:sz w:val="20"/>
          <w:szCs w:val="20"/>
        </w:rPr>
        <w:t>Limitada</w:t>
      </w:r>
      <w:proofErr w:type="spellEnd"/>
      <w:r>
        <w:rPr>
          <w:rFonts w:ascii="Cambria" w:eastAsia="Cambria" w:hAnsi="Cambria" w:cs="Cambria"/>
          <w:i/>
          <w:iCs/>
          <w:sz w:val="20"/>
          <w:szCs w:val="20"/>
          <w:vertAlign w:val="superscript"/>
        </w:rPr>
        <w:footnoteReference w:id="5"/>
      </w:r>
      <w:r>
        <w:rPr>
          <w:rFonts w:ascii="Cambria" w:eastAsia="Cambria" w:hAnsi="Cambria" w:cs="Cambria"/>
          <w:sz w:val="20"/>
          <w:szCs w:val="20"/>
        </w:rPr>
        <w:t xml:space="preserve"> (hereinafter referred to as “</w:t>
      </w:r>
      <w:r w:rsidRPr="00622F98">
        <w:rPr>
          <w:rFonts w:ascii="Cambria" w:eastAsia="Cambria" w:hAnsi="Cambria" w:cs="Cambria"/>
          <w:i/>
          <w:iCs/>
          <w:sz w:val="20"/>
          <w:szCs w:val="20"/>
        </w:rPr>
        <w:t xml:space="preserve">El </w:t>
      </w:r>
      <w:proofErr w:type="spellStart"/>
      <w:r w:rsidRPr="00622F98">
        <w:rPr>
          <w:rFonts w:ascii="Cambria" w:eastAsia="Cambria" w:hAnsi="Cambria" w:cs="Cambria"/>
          <w:i/>
          <w:iCs/>
          <w:sz w:val="20"/>
          <w:szCs w:val="20"/>
        </w:rPr>
        <w:t>Proveedor</w:t>
      </w:r>
      <w:proofErr w:type="spellEnd"/>
      <w:r w:rsidRPr="00622F98">
        <w:rPr>
          <w:rFonts w:ascii="Cambria" w:eastAsia="Cambria" w:hAnsi="Cambria" w:cs="Cambria"/>
          <w:i/>
          <w:iCs/>
          <w:sz w:val="20"/>
          <w:szCs w:val="20"/>
        </w:rPr>
        <w:t xml:space="preserve"> </w:t>
      </w:r>
      <w:proofErr w:type="spellStart"/>
      <w:r w:rsidRPr="00622F98">
        <w:rPr>
          <w:rFonts w:ascii="Cambria" w:eastAsia="Cambria" w:hAnsi="Cambria" w:cs="Cambria"/>
          <w:i/>
          <w:iCs/>
          <w:sz w:val="20"/>
          <w:szCs w:val="20"/>
        </w:rPr>
        <w:t>Mayorista</w:t>
      </w:r>
      <w:proofErr w:type="spellEnd"/>
      <w:r>
        <w:rPr>
          <w:rFonts w:ascii="Cambria" w:eastAsia="Cambria" w:hAnsi="Cambria" w:cs="Cambria"/>
          <w:sz w:val="20"/>
          <w:szCs w:val="20"/>
        </w:rPr>
        <w:t xml:space="preserve">” or “the company”).  The claims in the petition arise out of the destruction of businesses and properties associated with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(and his family) as a result of an armed conflict between FARC</w:t>
      </w:r>
      <w:r>
        <w:rPr>
          <w:rStyle w:val="FootnoteReference"/>
          <w:rFonts w:ascii="Cambria" w:eastAsia="Cambria" w:hAnsi="Cambria" w:cs="Cambria"/>
          <w:sz w:val="20"/>
          <w:szCs w:val="20"/>
        </w:rPr>
        <w:footnoteReference w:id="6"/>
      </w:r>
      <w:r>
        <w:rPr>
          <w:rFonts w:ascii="Cambria" w:eastAsia="Cambria" w:hAnsi="Cambria" w:cs="Cambria"/>
          <w:sz w:val="20"/>
          <w:szCs w:val="20"/>
        </w:rPr>
        <w:t xml:space="preserve"> guerillas and the national police and military of Colombia on February 23 and 24, 2000 in the municipality of </w:t>
      </w:r>
      <w:proofErr w:type="spellStart"/>
      <w:r>
        <w:rPr>
          <w:rFonts w:ascii="Cambria" w:eastAsia="Cambria" w:hAnsi="Cambria" w:cs="Cambria"/>
          <w:sz w:val="20"/>
          <w:szCs w:val="20"/>
        </w:rPr>
        <w:t>Mitú</w:t>
      </w:r>
      <w:proofErr w:type="spellEnd"/>
      <w:r>
        <w:rPr>
          <w:rFonts w:ascii="Cambria" w:eastAsia="Cambria" w:hAnsi="Cambria" w:cs="Cambria"/>
          <w:sz w:val="20"/>
          <w:szCs w:val="20"/>
        </w:rPr>
        <w:t xml:space="preserve">, in the Department of Vaupés. According to the record, on such dates, FARC guerrillas carried out an armed attack on a local police station and some members of the civilian population in </w:t>
      </w:r>
      <w:proofErr w:type="spellStart"/>
      <w:r>
        <w:rPr>
          <w:rFonts w:ascii="Cambria" w:eastAsia="Cambria" w:hAnsi="Cambria" w:cs="Cambria"/>
          <w:sz w:val="20"/>
          <w:szCs w:val="20"/>
        </w:rPr>
        <w:t>Mitú</w:t>
      </w:r>
      <w:proofErr w:type="spellEnd"/>
      <w:r>
        <w:rPr>
          <w:rFonts w:ascii="Cambria" w:eastAsia="Cambria" w:hAnsi="Cambria" w:cs="Cambria"/>
          <w:sz w:val="20"/>
          <w:szCs w:val="20"/>
        </w:rPr>
        <w:t xml:space="preserve">.  This attack elicited an armed response from police and military forces.  According to the petition, the ensuing conflict resulted in extensive damage and destruction to a number of commercial enterprises, including the businesses owned by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The businesses destroyed were </w:t>
      </w:r>
      <w:proofErr w:type="spellStart"/>
      <w:r w:rsidRPr="00622F98">
        <w:rPr>
          <w:rFonts w:ascii="Cambria" w:eastAsia="Cambria" w:hAnsi="Cambria" w:cs="Cambria"/>
          <w:i/>
          <w:iCs/>
          <w:sz w:val="20"/>
          <w:szCs w:val="20"/>
        </w:rPr>
        <w:t>Almacen</w:t>
      </w:r>
      <w:proofErr w:type="spellEnd"/>
      <w:r w:rsidRPr="00622F98">
        <w:rPr>
          <w:rFonts w:ascii="Cambria" w:eastAsia="Cambria" w:hAnsi="Cambria" w:cs="Cambria"/>
          <w:i/>
          <w:iCs/>
          <w:sz w:val="20"/>
          <w:szCs w:val="20"/>
        </w:rPr>
        <w:t xml:space="preserve"> El </w:t>
      </w:r>
      <w:proofErr w:type="spellStart"/>
      <w:r w:rsidRPr="00622F98">
        <w:rPr>
          <w:rFonts w:ascii="Cambria" w:eastAsia="Cambria" w:hAnsi="Cambria" w:cs="Cambria"/>
          <w:i/>
          <w:iCs/>
          <w:sz w:val="20"/>
          <w:szCs w:val="20"/>
        </w:rPr>
        <w:t>Proveedor</w:t>
      </w:r>
      <w:proofErr w:type="spellEnd"/>
      <w:r w:rsidRPr="00622F98">
        <w:rPr>
          <w:rFonts w:ascii="Cambria" w:eastAsia="Cambria" w:hAnsi="Cambria" w:cs="Cambria"/>
          <w:i/>
          <w:iCs/>
          <w:sz w:val="20"/>
          <w:szCs w:val="20"/>
        </w:rPr>
        <w:t xml:space="preserve"> </w:t>
      </w:r>
      <w:r>
        <w:rPr>
          <w:rFonts w:ascii="Cambria" w:eastAsia="Cambria" w:hAnsi="Cambria" w:cs="Cambria"/>
          <w:sz w:val="20"/>
          <w:szCs w:val="20"/>
        </w:rPr>
        <w:t>(owned by the company)</w:t>
      </w:r>
      <w:r>
        <w:rPr>
          <w:rFonts w:ascii="Cambria" w:eastAsia="Cambria" w:hAnsi="Cambria" w:cs="Cambria"/>
          <w:i/>
          <w:iCs/>
          <w:sz w:val="20"/>
          <w:szCs w:val="20"/>
        </w:rPr>
        <w:t xml:space="preserve"> </w:t>
      </w:r>
      <w:r>
        <w:rPr>
          <w:rFonts w:ascii="Cambria" w:eastAsia="Cambria" w:hAnsi="Cambria" w:cs="Cambria"/>
          <w:sz w:val="20"/>
          <w:szCs w:val="20"/>
        </w:rPr>
        <w:t xml:space="preserve">and </w:t>
      </w:r>
      <w:r w:rsidRPr="00622F98">
        <w:rPr>
          <w:rFonts w:ascii="Cambria" w:eastAsia="Cambria" w:hAnsi="Cambria" w:cs="Cambria"/>
          <w:i/>
          <w:iCs/>
          <w:sz w:val="20"/>
          <w:szCs w:val="20"/>
        </w:rPr>
        <w:t>Casa Cristal</w:t>
      </w:r>
      <w:r>
        <w:rPr>
          <w:rFonts w:ascii="Cambria" w:eastAsia="Cambria" w:hAnsi="Cambria" w:cs="Cambria"/>
          <w:sz w:val="20"/>
          <w:szCs w:val="20"/>
        </w:rPr>
        <w:t xml:space="preserve"> which was solely owned by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in his personal capacity.</w:t>
      </w:r>
    </w:p>
    <w:p w:rsidR="008A209E" w:rsidRDefault="005F76DE" w:rsidP="001E6EE8">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petitioner claims that in repelling the attack by FARC, the military and police forces used force that was arbitrary and excessive, and failed to take reasonable or adequate measures to prevent or minimize damage or destruction of these businesses that were unconnected to the conflict.  The petitioner also contends that </w:t>
      </w:r>
      <w:proofErr w:type="spellStart"/>
      <w:r>
        <w:rPr>
          <w:rFonts w:ascii="Cambria" w:eastAsia="Cambria" w:hAnsi="Cambria" w:cs="Cambria"/>
          <w:sz w:val="20"/>
          <w:szCs w:val="20"/>
        </w:rPr>
        <w:t>Mitú</w:t>
      </w:r>
      <w:proofErr w:type="spellEnd"/>
      <w:r>
        <w:rPr>
          <w:rFonts w:ascii="Cambria" w:eastAsia="Cambria" w:hAnsi="Cambria" w:cs="Cambria"/>
          <w:sz w:val="20"/>
          <w:szCs w:val="20"/>
        </w:rPr>
        <w:t xml:space="preserve"> is a frequent target for FARC; and that the government failed to take any adequate measures to prevent the attack that ultimately led to the destruction of the businesses and to protect the rights of the owners of those businesses and the population of the area. Additionally, petitioners assert that </w:t>
      </w:r>
      <w:r w:rsidR="00851897">
        <w:rPr>
          <w:rFonts w:ascii="Cambria" w:eastAsia="Cambria" w:hAnsi="Cambria" w:cs="Cambria"/>
          <w:sz w:val="20"/>
          <w:szCs w:val="20"/>
        </w:rPr>
        <w:t>due to</w:t>
      </w:r>
      <w:r>
        <w:rPr>
          <w:rFonts w:ascii="Cambria" w:eastAsia="Cambria" w:hAnsi="Cambria" w:cs="Cambria"/>
          <w:sz w:val="20"/>
          <w:szCs w:val="20"/>
        </w:rPr>
        <w:t xml:space="preserve"> the destruction of their businesses and homes the presumed victim and his family had to flee out the area which has a detrimental effect in their wellbeing.</w:t>
      </w:r>
    </w:p>
    <w:p w:rsidR="008A209E" w:rsidRDefault="005F76DE" w:rsidP="001E6EE8">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By way of background, the petition alleges that in 1997,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purchased a plot of land (in </w:t>
      </w:r>
      <w:proofErr w:type="spellStart"/>
      <w:r>
        <w:rPr>
          <w:rFonts w:ascii="Cambria" w:eastAsia="Cambria" w:hAnsi="Cambria" w:cs="Cambria"/>
          <w:sz w:val="20"/>
          <w:szCs w:val="20"/>
        </w:rPr>
        <w:t>Mitú</w:t>
      </w:r>
      <w:proofErr w:type="spellEnd"/>
      <w:r>
        <w:rPr>
          <w:rFonts w:ascii="Cambria" w:eastAsia="Cambria" w:hAnsi="Cambria" w:cs="Cambria"/>
          <w:sz w:val="20"/>
          <w:szCs w:val="20"/>
        </w:rPr>
        <w:t>) for the purpose of establishing and running two separate commercial enterprises.</w:t>
      </w:r>
      <w:r w:rsidRPr="00AF0507">
        <w:rPr>
          <w:rStyle w:val="FootnoteReference"/>
          <w:rFonts w:ascii="Cambria" w:eastAsia="Cambria" w:hAnsi="Cambria" w:cs="Cambria"/>
          <w:sz w:val="20"/>
          <w:szCs w:val="20"/>
        </w:rPr>
        <w:footnoteReference w:id="7"/>
      </w:r>
      <w:r>
        <w:rPr>
          <w:rFonts w:ascii="Cambria" w:eastAsia="Cambria" w:hAnsi="Cambria" w:cs="Cambria"/>
          <w:sz w:val="20"/>
          <w:szCs w:val="20"/>
        </w:rPr>
        <w:t xml:space="preserve">  For one of these enterprises,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together with his family established </w:t>
      </w:r>
      <w:r w:rsidRPr="00AF0507">
        <w:rPr>
          <w:rFonts w:ascii="Cambria" w:eastAsia="Cambria" w:hAnsi="Cambria" w:cs="Cambria"/>
          <w:sz w:val="20"/>
          <w:szCs w:val="20"/>
        </w:rPr>
        <w:t xml:space="preserve">El </w:t>
      </w:r>
      <w:proofErr w:type="spellStart"/>
      <w:r w:rsidRPr="00AF0507">
        <w:rPr>
          <w:rFonts w:ascii="Cambria" w:eastAsia="Cambria" w:hAnsi="Cambria" w:cs="Cambria"/>
          <w:sz w:val="20"/>
          <w:szCs w:val="20"/>
        </w:rPr>
        <w:t>Proveedor</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Mayorista</w:t>
      </w:r>
      <w:proofErr w:type="spellEnd"/>
      <w:r>
        <w:rPr>
          <w:rFonts w:ascii="Cambria" w:eastAsia="Cambria" w:hAnsi="Cambria" w:cs="Cambria"/>
          <w:sz w:val="20"/>
          <w:szCs w:val="20"/>
        </w:rPr>
        <w:t xml:space="preserve"> which owned and operated a business called </w:t>
      </w:r>
      <w:proofErr w:type="spellStart"/>
      <w:r w:rsidRPr="00AF0507">
        <w:rPr>
          <w:rFonts w:ascii="Cambria" w:eastAsia="Cambria" w:hAnsi="Cambria" w:cs="Cambria"/>
          <w:sz w:val="20"/>
          <w:szCs w:val="20"/>
        </w:rPr>
        <w:t>Almacen</w:t>
      </w:r>
      <w:proofErr w:type="spellEnd"/>
      <w:r w:rsidRPr="00AF0507">
        <w:rPr>
          <w:rFonts w:ascii="Cambria" w:eastAsia="Cambria" w:hAnsi="Cambria" w:cs="Cambria"/>
          <w:sz w:val="20"/>
          <w:szCs w:val="20"/>
        </w:rPr>
        <w:t xml:space="preserve"> El </w:t>
      </w:r>
      <w:proofErr w:type="spellStart"/>
      <w:r w:rsidRPr="00AF0507">
        <w:rPr>
          <w:rFonts w:ascii="Cambria" w:eastAsia="Cambria" w:hAnsi="Cambria" w:cs="Cambria"/>
          <w:sz w:val="20"/>
          <w:szCs w:val="20"/>
        </w:rPr>
        <w:t>Proveedor</w:t>
      </w:r>
      <w:proofErr w:type="spellEnd"/>
      <w:r>
        <w:rPr>
          <w:rFonts w:ascii="Cambria" w:eastAsia="Cambria" w:hAnsi="Cambria" w:cs="Cambria"/>
          <w:sz w:val="20"/>
          <w:szCs w:val="20"/>
        </w:rPr>
        <w:t>.  This business was involved in the sale of food, commodities, various supermarket products, stationery, electronic equipment, engines, hardware, construction materials, representation or distribution of goods manufactured by national firms including outboard motors, power plants, stationary engines, accessories boats, lubricants and spare parts.  According to the petition, the second business was called “</w:t>
      </w:r>
      <w:r w:rsidRPr="00AF0507">
        <w:rPr>
          <w:rFonts w:ascii="Cambria" w:eastAsia="Cambria" w:hAnsi="Cambria" w:cs="Cambria"/>
          <w:sz w:val="20"/>
          <w:szCs w:val="20"/>
        </w:rPr>
        <w:t>Casa Cristal</w:t>
      </w:r>
      <w:r>
        <w:rPr>
          <w:rFonts w:ascii="Cambria" w:eastAsia="Cambria" w:hAnsi="Cambria" w:cs="Cambria"/>
          <w:sz w:val="20"/>
          <w:szCs w:val="20"/>
        </w:rPr>
        <w:t xml:space="preserve">” which was solely owned by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in his personal capacity.  The petition states that this business was engaged mainly in the wholesale trade of liquor and beverages.</w:t>
      </w:r>
    </w:p>
    <w:p w:rsidR="008A209E" w:rsidRDefault="005F76DE" w:rsidP="001E6EE8">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 alleges that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sought redress primarily by means of (a) criminal complaint to the </w:t>
      </w:r>
      <w:proofErr w:type="spellStart"/>
      <w:r w:rsidRPr="00AF0507">
        <w:rPr>
          <w:rFonts w:ascii="Cambria" w:eastAsia="Cambria" w:hAnsi="Cambria" w:cs="Cambria"/>
          <w:sz w:val="20"/>
          <w:szCs w:val="20"/>
        </w:rPr>
        <w:t>Fiscalía</w:t>
      </w:r>
      <w:proofErr w:type="spellEnd"/>
      <w:r w:rsidRPr="00AF0507">
        <w:rPr>
          <w:rFonts w:ascii="Cambria" w:eastAsia="Cambria" w:hAnsi="Cambria" w:cs="Cambria"/>
          <w:sz w:val="20"/>
          <w:szCs w:val="20"/>
        </w:rPr>
        <w:t xml:space="preserve"> General de La </w:t>
      </w:r>
      <w:proofErr w:type="spellStart"/>
      <w:r w:rsidRPr="00AF0507">
        <w:rPr>
          <w:rFonts w:ascii="Cambria" w:eastAsia="Cambria" w:hAnsi="Cambria" w:cs="Cambria"/>
          <w:sz w:val="20"/>
          <w:szCs w:val="20"/>
        </w:rPr>
        <w:t>Nación</w:t>
      </w:r>
      <w:proofErr w:type="spellEnd"/>
      <w:r w:rsidRPr="00AF0507">
        <w:rPr>
          <w:rStyle w:val="FootnoteReference"/>
        </w:rPr>
        <w:footnoteReference w:id="8"/>
      </w:r>
      <w:r>
        <w:rPr>
          <w:rFonts w:ascii="Cambria" w:eastAsia="Cambria" w:hAnsi="Cambria" w:cs="Cambria"/>
          <w:sz w:val="20"/>
          <w:szCs w:val="20"/>
        </w:rPr>
        <w:t xml:space="preserve"> (National Prosecutor General); and (b) an action for reparation before the </w:t>
      </w:r>
      <w:r w:rsidRPr="00AF0507">
        <w:rPr>
          <w:rFonts w:ascii="Cambria" w:eastAsia="Cambria" w:hAnsi="Cambria" w:cs="Cambria"/>
          <w:sz w:val="20"/>
          <w:szCs w:val="20"/>
        </w:rPr>
        <w:t xml:space="preserve">Tribunal </w:t>
      </w:r>
      <w:proofErr w:type="spellStart"/>
      <w:r w:rsidRPr="00AF0507">
        <w:rPr>
          <w:rFonts w:ascii="Cambria" w:eastAsia="Cambria" w:hAnsi="Cambria" w:cs="Cambria"/>
          <w:sz w:val="20"/>
          <w:szCs w:val="20"/>
        </w:rPr>
        <w:t>Contenciosa</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Administrativa</w:t>
      </w:r>
      <w:proofErr w:type="spellEnd"/>
      <w:r w:rsidRPr="00AF0507">
        <w:rPr>
          <w:rFonts w:ascii="Cambria" w:eastAsia="Cambria" w:hAnsi="Cambria" w:cs="Cambria"/>
          <w:sz w:val="20"/>
          <w:szCs w:val="20"/>
        </w:rPr>
        <w:t xml:space="preserve"> del Meta</w:t>
      </w:r>
      <w:r w:rsidRPr="00851897">
        <w:rPr>
          <w:rStyle w:val="FootnoteReference"/>
        </w:rPr>
        <w:footnoteReference w:id="9"/>
      </w:r>
      <w:r>
        <w:rPr>
          <w:rFonts w:ascii="Cambria" w:eastAsia="Cambria" w:hAnsi="Cambria" w:cs="Cambria"/>
          <w:sz w:val="20"/>
          <w:szCs w:val="20"/>
        </w:rPr>
        <w:t xml:space="preserve"> which was ultimately resolved on appeal to the </w:t>
      </w:r>
      <w:r w:rsidRPr="00AF0507">
        <w:rPr>
          <w:rFonts w:ascii="Cambria" w:eastAsia="Cambria" w:hAnsi="Cambria" w:cs="Cambria"/>
          <w:sz w:val="20"/>
          <w:szCs w:val="20"/>
        </w:rPr>
        <w:t xml:space="preserve">Consejo de Estado </w:t>
      </w:r>
      <w:r>
        <w:rPr>
          <w:rFonts w:ascii="Cambria" w:eastAsia="Cambria" w:hAnsi="Cambria" w:cs="Cambria"/>
          <w:sz w:val="20"/>
          <w:szCs w:val="20"/>
        </w:rPr>
        <w:t xml:space="preserve">(Council of State).  With respect to the criminal complaint – this was initiated by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on April 14, 2000 on his own behalf (in respect of the destruction of </w:t>
      </w:r>
      <w:r w:rsidRPr="00AF0507">
        <w:rPr>
          <w:rFonts w:ascii="Cambria" w:eastAsia="Cambria" w:hAnsi="Cambria" w:cs="Cambria"/>
          <w:sz w:val="20"/>
          <w:szCs w:val="20"/>
        </w:rPr>
        <w:t>Casa Cristal</w:t>
      </w:r>
      <w:r>
        <w:rPr>
          <w:rFonts w:ascii="Cambria" w:eastAsia="Cambria" w:hAnsi="Cambria" w:cs="Cambria"/>
          <w:sz w:val="20"/>
          <w:szCs w:val="20"/>
        </w:rPr>
        <w:t xml:space="preserve">) and also on behalf </w:t>
      </w:r>
      <w:r w:rsidRPr="00AF0507">
        <w:rPr>
          <w:rFonts w:ascii="Cambria" w:eastAsia="Cambria" w:hAnsi="Cambria" w:cs="Cambria"/>
          <w:sz w:val="20"/>
          <w:szCs w:val="20"/>
        </w:rPr>
        <w:t xml:space="preserve">El </w:t>
      </w:r>
      <w:proofErr w:type="spellStart"/>
      <w:r w:rsidRPr="00AF0507">
        <w:rPr>
          <w:rFonts w:ascii="Cambria" w:eastAsia="Cambria" w:hAnsi="Cambria" w:cs="Cambria"/>
          <w:sz w:val="20"/>
          <w:szCs w:val="20"/>
        </w:rPr>
        <w:t>Proveedor</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Mayorista</w:t>
      </w:r>
      <w:proofErr w:type="spellEnd"/>
      <w:r>
        <w:rPr>
          <w:rFonts w:ascii="Cambria" w:eastAsia="Cambria" w:hAnsi="Cambria" w:cs="Cambria"/>
          <w:sz w:val="20"/>
          <w:szCs w:val="20"/>
        </w:rPr>
        <w:t xml:space="preserve">.  The petition alleges that an investigation was initiated by one of the FGN’s offices in </w:t>
      </w:r>
      <w:proofErr w:type="spellStart"/>
      <w:r>
        <w:rPr>
          <w:rFonts w:ascii="Cambria" w:eastAsia="Cambria" w:hAnsi="Cambria" w:cs="Cambria"/>
          <w:sz w:val="20"/>
          <w:szCs w:val="20"/>
        </w:rPr>
        <w:t>Mitú</w:t>
      </w:r>
      <w:proofErr w:type="spellEnd"/>
      <w:r>
        <w:rPr>
          <w:rFonts w:ascii="Cambria" w:eastAsia="Cambria" w:hAnsi="Cambria" w:cs="Cambria"/>
          <w:sz w:val="20"/>
          <w:szCs w:val="20"/>
        </w:rPr>
        <w:t xml:space="preserve">, </w:t>
      </w:r>
      <w:r>
        <w:rPr>
          <w:rFonts w:ascii="Cambria" w:eastAsia="Cambria" w:hAnsi="Cambria" w:cs="Cambria"/>
          <w:sz w:val="20"/>
          <w:szCs w:val="20"/>
        </w:rPr>
        <w:lastRenderedPageBreak/>
        <w:t>but was subsequently transferred to another office of the FGN in Villavicencio.</w:t>
      </w:r>
      <w:r w:rsidRPr="00851897">
        <w:rPr>
          <w:rFonts w:ascii="Cambria" w:eastAsia="Cambria" w:hAnsi="Cambria" w:cs="Cambria"/>
          <w:sz w:val="20"/>
          <w:szCs w:val="20"/>
          <w:vertAlign w:val="superscript"/>
        </w:rPr>
        <w:footnoteReference w:id="10"/>
      </w:r>
      <w:r w:rsidRPr="00851897">
        <w:rPr>
          <w:rFonts w:ascii="Cambria" w:eastAsia="Cambria" w:hAnsi="Cambria" w:cs="Cambria"/>
          <w:sz w:val="20"/>
          <w:szCs w:val="20"/>
          <w:vertAlign w:val="superscript"/>
        </w:rPr>
        <w:t xml:space="preserve">  </w:t>
      </w:r>
      <w:r>
        <w:rPr>
          <w:rFonts w:ascii="Cambria" w:eastAsia="Cambria" w:hAnsi="Cambria" w:cs="Cambria"/>
          <w:sz w:val="20"/>
          <w:szCs w:val="20"/>
        </w:rPr>
        <w:t>The petitioner complains that after more than seven years, the FGN has failed to complete an investigation that (a) clarifies the facts that led to the destruction of the businesses, or (b) identifies the persons (criminally) responsible for the destruction.</w:t>
      </w:r>
    </w:p>
    <w:p w:rsidR="008A209E" w:rsidRDefault="005F76DE" w:rsidP="001E6EE8">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respect to the litigation, the petition alleges that (a) in 2001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filed an action for reparation against the State of Colombia before the </w:t>
      </w:r>
      <w:r w:rsidRPr="00AF0507">
        <w:rPr>
          <w:rFonts w:ascii="Cambria" w:eastAsia="Cambria" w:hAnsi="Cambria" w:cs="Cambria"/>
          <w:sz w:val="20"/>
          <w:szCs w:val="20"/>
        </w:rPr>
        <w:t xml:space="preserve">Tribunal </w:t>
      </w:r>
      <w:proofErr w:type="spellStart"/>
      <w:r w:rsidRPr="00AF0507">
        <w:rPr>
          <w:rFonts w:ascii="Cambria" w:eastAsia="Cambria" w:hAnsi="Cambria" w:cs="Cambria"/>
          <w:sz w:val="20"/>
          <w:szCs w:val="20"/>
        </w:rPr>
        <w:t>Contenciosa</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Administrativa</w:t>
      </w:r>
      <w:proofErr w:type="spellEnd"/>
      <w:r w:rsidRPr="00AF0507">
        <w:rPr>
          <w:rFonts w:ascii="Cambria" w:eastAsia="Cambria" w:hAnsi="Cambria" w:cs="Cambria"/>
          <w:sz w:val="20"/>
          <w:szCs w:val="20"/>
        </w:rPr>
        <w:t xml:space="preserve"> del Meta</w:t>
      </w:r>
      <w:r>
        <w:rPr>
          <w:rFonts w:ascii="Cambria" w:eastAsia="Cambria" w:hAnsi="Cambria" w:cs="Cambria"/>
          <w:sz w:val="20"/>
          <w:szCs w:val="20"/>
        </w:rPr>
        <w:t xml:space="preserve">; (b) this suit was filed in the name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(in his personal capacity</w:t>
      </w:r>
      <w:r w:rsidRPr="00851897">
        <w:rPr>
          <w:rFonts w:ascii="Cambria" w:eastAsia="Cambria" w:hAnsi="Cambria" w:cs="Cambria"/>
          <w:sz w:val="20"/>
          <w:szCs w:val="20"/>
          <w:vertAlign w:val="superscript"/>
        </w:rPr>
        <w:footnoteReference w:id="11"/>
      </w:r>
      <w:r>
        <w:rPr>
          <w:rFonts w:ascii="Cambria" w:eastAsia="Cambria" w:hAnsi="Cambria" w:cs="Cambria"/>
          <w:sz w:val="20"/>
          <w:szCs w:val="20"/>
        </w:rPr>
        <w:t xml:space="preserve">) and on behalf of </w:t>
      </w:r>
      <w:r w:rsidRPr="00AF0507">
        <w:rPr>
          <w:rFonts w:ascii="Cambria" w:eastAsia="Cambria" w:hAnsi="Cambria" w:cs="Cambria"/>
          <w:sz w:val="20"/>
          <w:szCs w:val="20"/>
        </w:rPr>
        <w:t xml:space="preserve">El  </w:t>
      </w:r>
      <w:proofErr w:type="spellStart"/>
      <w:r w:rsidRPr="00AF0507">
        <w:rPr>
          <w:rFonts w:ascii="Cambria" w:eastAsia="Cambria" w:hAnsi="Cambria" w:cs="Cambria"/>
          <w:sz w:val="20"/>
          <w:szCs w:val="20"/>
        </w:rPr>
        <w:t>Proveedor</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Mayorista</w:t>
      </w:r>
      <w:proofErr w:type="spellEnd"/>
      <w:r>
        <w:rPr>
          <w:rFonts w:ascii="Cambria" w:eastAsia="Cambria" w:hAnsi="Cambria" w:cs="Cambria"/>
          <w:sz w:val="20"/>
          <w:szCs w:val="20"/>
        </w:rPr>
        <w:t xml:space="preserve">; (c) this action was dismissed by the Tribunal on September 20, 2005, following which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appealed to the </w:t>
      </w:r>
      <w:r w:rsidRPr="00AF0507">
        <w:rPr>
          <w:rFonts w:ascii="Cambria" w:eastAsia="Cambria" w:hAnsi="Cambria" w:cs="Cambria"/>
          <w:sz w:val="20"/>
          <w:szCs w:val="20"/>
        </w:rPr>
        <w:t>Consejo de Estado</w:t>
      </w:r>
      <w:r>
        <w:rPr>
          <w:rFonts w:ascii="Cambria" w:eastAsia="Cambria" w:hAnsi="Cambria" w:cs="Cambria"/>
          <w:sz w:val="20"/>
          <w:szCs w:val="20"/>
        </w:rPr>
        <w:t xml:space="preserve">; (d) on June 26, 2014 the </w:t>
      </w:r>
      <w:r w:rsidRPr="00AF0507">
        <w:rPr>
          <w:rFonts w:ascii="Cambria" w:eastAsia="Cambria" w:hAnsi="Cambria" w:cs="Cambria"/>
          <w:sz w:val="20"/>
          <w:szCs w:val="20"/>
        </w:rPr>
        <w:t>Consejo de Estado</w:t>
      </w:r>
      <w:r>
        <w:rPr>
          <w:rFonts w:ascii="Cambria" w:eastAsia="Cambria" w:hAnsi="Cambria" w:cs="Cambria"/>
          <w:sz w:val="20"/>
          <w:szCs w:val="20"/>
        </w:rPr>
        <w:t xml:space="preserve"> reversed the decision of the </w:t>
      </w:r>
      <w:r w:rsidRPr="00AF0507">
        <w:rPr>
          <w:rFonts w:ascii="Cambria" w:eastAsia="Cambria" w:hAnsi="Cambria" w:cs="Cambria"/>
          <w:sz w:val="20"/>
          <w:szCs w:val="20"/>
        </w:rPr>
        <w:t xml:space="preserve">Tribunal </w:t>
      </w:r>
      <w:proofErr w:type="spellStart"/>
      <w:r w:rsidRPr="00AF0507">
        <w:rPr>
          <w:rFonts w:ascii="Cambria" w:eastAsia="Cambria" w:hAnsi="Cambria" w:cs="Cambria"/>
          <w:sz w:val="20"/>
          <w:szCs w:val="20"/>
        </w:rPr>
        <w:t>Contenciosa</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Administrativa</w:t>
      </w:r>
      <w:proofErr w:type="spellEnd"/>
      <w:r w:rsidRPr="00AF0507">
        <w:rPr>
          <w:rFonts w:ascii="Cambria" w:eastAsia="Cambria" w:hAnsi="Cambria" w:cs="Cambria"/>
          <w:sz w:val="20"/>
          <w:szCs w:val="20"/>
        </w:rPr>
        <w:t xml:space="preserve"> del Meta</w:t>
      </w:r>
      <w:r>
        <w:rPr>
          <w:rFonts w:ascii="Cambria" w:eastAsia="Cambria" w:hAnsi="Cambria" w:cs="Cambria"/>
          <w:sz w:val="20"/>
          <w:szCs w:val="20"/>
        </w:rPr>
        <w:t xml:space="preserve">, issuing  a judgment in </w:t>
      </w:r>
      <w:proofErr w:type="spellStart"/>
      <w:r>
        <w:rPr>
          <w:rFonts w:ascii="Cambria" w:eastAsia="Cambria" w:hAnsi="Cambria" w:cs="Cambria"/>
          <w:sz w:val="20"/>
          <w:szCs w:val="20"/>
        </w:rPr>
        <w:t>favour</w:t>
      </w:r>
      <w:proofErr w:type="spellEnd"/>
      <w:r>
        <w:rPr>
          <w:rFonts w:ascii="Cambria" w:eastAsia="Cambria" w:hAnsi="Cambria" w:cs="Cambria"/>
          <w:sz w:val="20"/>
          <w:szCs w:val="20"/>
        </w:rPr>
        <w:t xml:space="preserve"> of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and </w:t>
      </w:r>
      <w:r w:rsidRPr="00AF0507">
        <w:rPr>
          <w:rFonts w:ascii="Cambria" w:eastAsia="Cambria" w:hAnsi="Cambria" w:cs="Cambria"/>
          <w:sz w:val="20"/>
          <w:szCs w:val="20"/>
        </w:rPr>
        <w:t xml:space="preserve">El </w:t>
      </w:r>
      <w:proofErr w:type="spellStart"/>
      <w:r w:rsidRPr="00AF0507">
        <w:rPr>
          <w:rFonts w:ascii="Cambria" w:eastAsia="Cambria" w:hAnsi="Cambria" w:cs="Cambria"/>
          <w:sz w:val="20"/>
          <w:szCs w:val="20"/>
        </w:rPr>
        <w:t>Proveedor</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Mayorista</w:t>
      </w:r>
      <w:proofErr w:type="spellEnd"/>
      <w:r>
        <w:rPr>
          <w:rFonts w:ascii="Cambria" w:eastAsia="Cambria" w:hAnsi="Cambria" w:cs="Cambria"/>
          <w:sz w:val="20"/>
          <w:szCs w:val="20"/>
        </w:rPr>
        <w:t xml:space="preserve">, that found the State responsible for the destruction of the businesses and their properties.  However, the </w:t>
      </w:r>
      <w:r w:rsidRPr="00AF0507">
        <w:rPr>
          <w:rFonts w:ascii="Cambria" w:eastAsia="Cambria" w:hAnsi="Cambria" w:cs="Cambria"/>
          <w:sz w:val="20"/>
          <w:szCs w:val="20"/>
        </w:rPr>
        <w:t>Consejo de Estado</w:t>
      </w:r>
      <w:r>
        <w:rPr>
          <w:rFonts w:ascii="Cambria" w:eastAsia="Cambria" w:hAnsi="Cambria" w:cs="Cambria"/>
          <w:sz w:val="20"/>
          <w:szCs w:val="20"/>
        </w:rPr>
        <w:t xml:space="preserve"> remitted the case to the </w:t>
      </w:r>
      <w:r w:rsidRPr="00AF0507">
        <w:rPr>
          <w:rFonts w:ascii="Cambria" w:eastAsia="Cambria" w:hAnsi="Cambria" w:cs="Cambria"/>
          <w:sz w:val="20"/>
          <w:szCs w:val="20"/>
        </w:rPr>
        <w:t xml:space="preserve">Tribunal </w:t>
      </w:r>
      <w:proofErr w:type="spellStart"/>
      <w:r w:rsidRPr="00AF0507">
        <w:rPr>
          <w:rFonts w:ascii="Cambria" w:eastAsia="Cambria" w:hAnsi="Cambria" w:cs="Cambria"/>
          <w:sz w:val="20"/>
          <w:szCs w:val="20"/>
        </w:rPr>
        <w:t>Contencioso</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Administrativo</w:t>
      </w:r>
      <w:proofErr w:type="spellEnd"/>
      <w:r w:rsidRPr="00AF0507">
        <w:rPr>
          <w:rFonts w:ascii="Cambria" w:eastAsia="Cambria" w:hAnsi="Cambria" w:cs="Cambria"/>
          <w:sz w:val="20"/>
          <w:szCs w:val="20"/>
        </w:rPr>
        <w:t xml:space="preserve"> del Meta </w:t>
      </w:r>
      <w:r>
        <w:rPr>
          <w:rFonts w:ascii="Cambria" w:eastAsia="Cambria" w:hAnsi="Cambria" w:cs="Cambria"/>
          <w:sz w:val="20"/>
          <w:szCs w:val="20"/>
        </w:rPr>
        <w:t>for an assessment of damages.</w:t>
      </w:r>
      <w:r w:rsidRPr="00851897">
        <w:rPr>
          <w:rFonts w:ascii="Cambria" w:eastAsia="Cambria" w:hAnsi="Cambria" w:cs="Cambria"/>
          <w:sz w:val="20"/>
          <w:szCs w:val="20"/>
          <w:vertAlign w:val="superscript"/>
        </w:rPr>
        <w:footnoteReference w:id="12"/>
      </w:r>
      <w:r w:rsidRPr="00851897">
        <w:rPr>
          <w:rFonts w:ascii="Cambria" w:eastAsia="Cambria" w:hAnsi="Cambria" w:cs="Cambria"/>
          <w:sz w:val="20"/>
          <w:szCs w:val="20"/>
          <w:vertAlign w:val="superscript"/>
        </w:rPr>
        <w:t xml:space="preserve"> </w:t>
      </w:r>
      <w:r>
        <w:rPr>
          <w:rFonts w:ascii="Cambria" w:eastAsia="Cambria" w:hAnsi="Cambria" w:cs="Cambria"/>
          <w:sz w:val="20"/>
          <w:szCs w:val="20"/>
        </w:rPr>
        <w:t xml:space="preserve"> The petitioner alleges that, to date, this process remains uncompleted.</w:t>
      </w:r>
    </w:p>
    <w:p w:rsidR="008A209E" w:rsidRDefault="005F76DE" w:rsidP="001E6EE8">
      <w:pPr>
        <w:pStyle w:val="Body"/>
        <w:numPr>
          <w:ilvl w:val="0"/>
          <w:numId w:val="2"/>
        </w:numPr>
        <w:suppressAutoHyphens/>
        <w:spacing w:after="240"/>
        <w:ind w:left="0" w:firstLine="720"/>
        <w:jc w:val="both"/>
        <w:rPr>
          <w:rFonts w:ascii="Cambria" w:eastAsia="Cambria" w:hAnsi="Cambria" w:cs="Cambria"/>
          <w:sz w:val="20"/>
          <w:szCs w:val="20"/>
        </w:rPr>
      </w:pPr>
      <w:r w:rsidRPr="00851897">
        <w:rPr>
          <w:rFonts w:ascii="Cambria" w:eastAsia="Cambria" w:hAnsi="Cambria" w:cs="Cambria"/>
          <w:sz w:val="20"/>
          <w:szCs w:val="20"/>
          <w:vertAlign w:val="superscript"/>
        </w:rPr>
        <w:t>The</w:t>
      </w:r>
      <w:r>
        <w:rPr>
          <w:rFonts w:ascii="Cambria" w:eastAsia="Cambria" w:hAnsi="Cambria" w:cs="Cambria"/>
          <w:sz w:val="20"/>
          <w:szCs w:val="20"/>
        </w:rPr>
        <w:t xml:space="preserve"> State challenges the admissibility of the petition primarily on the following grounds: (a) lack of jurisdiction </w:t>
      </w:r>
      <w:r w:rsidRPr="00AF0507">
        <w:rPr>
          <w:rFonts w:ascii="Cambria" w:eastAsia="Cambria" w:hAnsi="Cambria" w:cs="Cambria"/>
          <w:sz w:val="20"/>
          <w:szCs w:val="20"/>
        </w:rPr>
        <w:t>ratione personae</w:t>
      </w:r>
      <w:r>
        <w:rPr>
          <w:rFonts w:ascii="Cambria" w:eastAsia="Cambria" w:hAnsi="Cambria" w:cs="Cambria"/>
          <w:sz w:val="20"/>
          <w:szCs w:val="20"/>
        </w:rPr>
        <w:t xml:space="preserve"> on the part of the IACHR to entertain a petition that involves a juridical person; (b) lack of jurisdiction </w:t>
      </w:r>
      <w:r w:rsidRPr="00AF0507">
        <w:rPr>
          <w:rFonts w:ascii="Cambria" w:eastAsia="Cambria" w:hAnsi="Cambria" w:cs="Cambria"/>
          <w:sz w:val="20"/>
          <w:szCs w:val="20"/>
        </w:rPr>
        <w:t>ratione materiae</w:t>
      </w:r>
      <w:r>
        <w:rPr>
          <w:rFonts w:ascii="Cambria" w:eastAsia="Cambria" w:hAnsi="Cambria" w:cs="Cambria"/>
          <w:sz w:val="20"/>
          <w:szCs w:val="20"/>
        </w:rPr>
        <w:t xml:space="preserve"> on the part of the IACHR to entertain alleged violations of the American Declaration; (c) adjudication of the petition by the Commission would be a violation of the fourth instance formula.  In relation to the first ground, the State contends that </w:t>
      </w:r>
      <w:r w:rsidRPr="00AF0507">
        <w:rPr>
          <w:rFonts w:ascii="Cambria" w:eastAsia="Cambria" w:hAnsi="Cambria" w:cs="Cambria"/>
          <w:sz w:val="20"/>
          <w:szCs w:val="20"/>
        </w:rPr>
        <w:t xml:space="preserve">El </w:t>
      </w:r>
      <w:proofErr w:type="spellStart"/>
      <w:r w:rsidRPr="00AF0507">
        <w:rPr>
          <w:rFonts w:ascii="Cambria" w:eastAsia="Cambria" w:hAnsi="Cambria" w:cs="Cambria"/>
          <w:sz w:val="20"/>
          <w:szCs w:val="20"/>
        </w:rPr>
        <w:t>Proveedor</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Mayorista</w:t>
      </w:r>
      <w:proofErr w:type="spellEnd"/>
      <w:r>
        <w:rPr>
          <w:rFonts w:ascii="Cambria" w:eastAsia="Cambria" w:hAnsi="Cambria" w:cs="Cambria"/>
          <w:sz w:val="20"/>
          <w:szCs w:val="20"/>
        </w:rPr>
        <w:t xml:space="preserve"> is a juridical person, and therefore not amenable to the jurisdiction of the IACHR, </w:t>
      </w:r>
      <w:proofErr w:type="spellStart"/>
      <w:r>
        <w:rPr>
          <w:rFonts w:ascii="Cambria" w:eastAsia="Cambria" w:hAnsi="Cambria" w:cs="Cambria"/>
          <w:sz w:val="20"/>
          <w:szCs w:val="20"/>
        </w:rPr>
        <w:t>ratione</w:t>
      </w:r>
      <w:proofErr w:type="spellEnd"/>
      <w:r>
        <w:rPr>
          <w:rFonts w:ascii="Cambria" w:eastAsia="Cambria" w:hAnsi="Cambria" w:cs="Cambria"/>
          <w:sz w:val="20"/>
          <w:szCs w:val="20"/>
        </w:rPr>
        <w:t xml:space="preserve"> personae.  As regards the second ground, the State contends that the alleged violations of the American Declaration fall outside of the jurisdiction of the IACHR </w:t>
      </w:r>
      <w:r w:rsidRPr="00AF0507">
        <w:rPr>
          <w:rFonts w:ascii="Cambria" w:eastAsia="Cambria" w:hAnsi="Cambria" w:cs="Cambria"/>
          <w:sz w:val="20"/>
          <w:szCs w:val="20"/>
        </w:rPr>
        <w:t>ratione materiae</w:t>
      </w:r>
      <w:r>
        <w:rPr>
          <w:rFonts w:ascii="Cambria" w:eastAsia="Cambria" w:hAnsi="Cambria" w:cs="Cambria"/>
          <w:sz w:val="20"/>
          <w:szCs w:val="20"/>
        </w:rPr>
        <w:t xml:space="preserve">, given that the State has ratified the American Convention.  In relation to the third ground, the State submits that the alleged violations of the American Convention have been addressed by domestic tribunals, and that any further consideration by the IACHR of these alleged violations would violate the fourth instance doctrine.  In this respect, the State emphasizes that (a) the </w:t>
      </w:r>
      <w:r w:rsidRPr="00AF0507">
        <w:rPr>
          <w:rFonts w:ascii="Cambria" w:eastAsia="Cambria" w:hAnsi="Cambria" w:cs="Cambria"/>
          <w:sz w:val="20"/>
          <w:szCs w:val="20"/>
        </w:rPr>
        <w:t>Consejo de Estado</w:t>
      </w:r>
      <w:r>
        <w:rPr>
          <w:rFonts w:ascii="Cambria" w:eastAsia="Cambria" w:hAnsi="Cambria" w:cs="Cambria"/>
          <w:sz w:val="20"/>
          <w:szCs w:val="20"/>
        </w:rPr>
        <w:t xml:space="preserve"> ultimately issued a ruling in </w:t>
      </w:r>
      <w:proofErr w:type="spellStart"/>
      <w:r>
        <w:rPr>
          <w:rFonts w:ascii="Cambria" w:eastAsia="Cambria" w:hAnsi="Cambria" w:cs="Cambria"/>
          <w:sz w:val="20"/>
          <w:szCs w:val="20"/>
        </w:rPr>
        <w:t>favour</w:t>
      </w:r>
      <w:proofErr w:type="spellEnd"/>
      <w:r>
        <w:rPr>
          <w:rFonts w:ascii="Cambria" w:eastAsia="Cambria" w:hAnsi="Cambria" w:cs="Cambria"/>
          <w:sz w:val="20"/>
          <w:szCs w:val="20"/>
        </w:rPr>
        <w:t xml:space="preserve"> of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and (b) the assessment of damages ordered by the </w:t>
      </w:r>
      <w:r w:rsidRPr="00AF0507">
        <w:rPr>
          <w:rFonts w:ascii="Cambria" w:eastAsia="Cambria" w:hAnsi="Cambria" w:cs="Cambria"/>
          <w:sz w:val="20"/>
          <w:szCs w:val="20"/>
        </w:rPr>
        <w:t>Consejo de Estado</w:t>
      </w:r>
      <w:r>
        <w:rPr>
          <w:rFonts w:ascii="Cambria" w:eastAsia="Cambria" w:hAnsi="Cambria" w:cs="Cambria"/>
          <w:sz w:val="20"/>
          <w:szCs w:val="20"/>
        </w:rPr>
        <w:t xml:space="preserve"> is still ongoing.  In relation to the criminal complaint made by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the State submits that in 2004, the FGN halted the investigation because the period for investigating had elapsed.  Nevertheless, the State claims that the FGN sent a copy of its investigation file to the </w:t>
      </w:r>
      <w:r w:rsidRPr="00AF0507">
        <w:rPr>
          <w:rFonts w:ascii="Cambria" w:eastAsia="Cambria" w:hAnsi="Cambria" w:cs="Cambria"/>
          <w:sz w:val="20"/>
          <w:szCs w:val="20"/>
        </w:rPr>
        <w:t xml:space="preserve">Tribunal </w:t>
      </w:r>
      <w:proofErr w:type="spellStart"/>
      <w:r w:rsidRPr="00AF0507">
        <w:rPr>
          <w:rFonts w:ascii="Cambria" w:eastAsia="Cambria" w:hAnsi="Cambria" w:cs="Cambria"/>
          <w:sz w:val="20"/>
          <w:szCs w:val="20"/>
        </w:rPr>
        <w:t>Contencioso</w:t>
      </w:r>
      <w:proofErr w:type="spellEnd"/>
      <w:r w:rsidRPr="00AF0507">
        <w:rPr>
          <w:rFonts w:ascii="Cambria" w:eastAsia="Cambria" w:hAnsi="Cambria" w:cs="Cambria"/>
          <w:sz w:val="20"/>
          <w:szCs w:val="20"/>
        </w:rPr>
        <w:t xml:space="preserve"> </w:t>
      </w:r>
      <w:proofErr w:type="spellStart"/>
      <w:r w:rsidRPr="00AF0507">
        <w:rPr>
          <w:rFonts w:ascii="Cambria" w:eastAsia="Cambria" w:hAnsi="Cambria" w:cs="Cambria"/>
          <w:sz w:val="20"/>
          <w:szCs w:val="20"/>
        </w:rPr>
        <w:t>Administrativo</w:t>
      </w:r>
      <w:proofErr w:type="spellEnd"/>
      <w:r w:rsidRPr="00AF0507">
        <w:rPr>
          <w:rFonts w:ascii="Cambria" w:eastAsia="Cambria" w:hAnsi="Cambria" w:cs="Cambria"/>
          <w:sz w:val="20"/>
          <w:szCs w:val="20"/>
        </w:rPr>
        <w:t xml:space="preserve"> del Meta</w:t>
      </w:r>
      <w:r>
        <w:rPr>
          <w:rFonts w:ascii="Cambria" w:eastAsia="Cambria" w:hAnsi="Cambria" w:cs="Cambria"/>
          <w:sz w:val="20"/>
          <w:szCs w:val="20"/>
        </w:rPr>
        <w:t xml:space="preserve"> to be taken into account in the action for reparation.</w:t>
      </w:r>
    </w:p>
    <w:p w:rsidR="008A209E" w:rsidRDefault="005F76DE" w:rsidP="001E6EE8">
      <w:pPr>
        <w:pStyle w:val="Body"/>
        <w:suppressAutoHyphens/>
        <w:spacing w:after="240"/>
        <w:ind w:left="720"/>
        <w:jc w:val="both"/>
      </w:pPr>
      <w:r>
        <w:rPr>
          <w:rFonts w:ascii="Cambria" w:eastAsia="Cambria" w:hAnsi="Cambria" w:cs="Cambria"/>
          <w:b/>
          <w:bCs/>
          <w:sz w:val="20"/>
          <w:szCs w:val="20"/>
          <w:lang w:val="de-DE"/>
        </w:rPr>
        <w:t>VI</w:t>
      </w:r>
      <w:r w:rsidR="00AF0507">
        <w:rPr>
          <w:rFonts w:ascii="Cambria" w:eastAsia="Cambria" w:hAnsi="Cambria" w:cs="Cambria"/>
          <w:b/>
          <w:bCs/>
          <w:sz w:val="20"/>
          <w:szCs w:val="20"/>
          <w:lang w:val="de-DE"/>
        </w:rPr>
        <w:t>.</w:t>
      </w:r>
      <w:r>
        <w:rPr>
          <w:rFonts w:ascii="Cambria" w:eastAsia="Cambria" w:hAnsi="Cambria" w:cs="Cambria"/>
          <w:b/>
          <w:bCs/>
          <w:sz w:val="20"/>
          <w:szCs w:val="20"/>
          <w:lang w:val="de-DE"/>
        </w:rPr>
        <w:t xml:space="preserve">          RATIONE PERSONAE</w:t>
      </w:r>
    </w:p>
    <w:p w:rsidR="008A209E" w:rsidRDefault="005F76DE" w:rsidP="001E6EE8">
      <w:pPr>
        <w:pStyle w:val="Body"/>
        <w:spacing w:after="240"/>
        <w:ind w:firstLine="720"/>
        <w:jc w:val="both"/>
      </w:pPr>
      <w:r w:rsidRPr="00622F98">
        <w:rPr>
          <w:rFonts w:ascii="Cambria" w:eastAsia="Cambria" w:hAnsi="Cambria" w:cs="Cambria"/>
          <w:bCs/>
          <w:sz w:val="20"/>
          <w:szCs w:val="20"/>
        </w:rPr>
        <w:t>7</w:t>
      </w:r>
      <w:r>
        <w:rPr>
          <w:rFonts w:ascii="Cambria" w:eastAsia="Cambria" w:hAnsi="Cambria" w:cs="Cambria"/>
          <w:b/>
          <w:bCs/>
          <w:sz w:val="20"/>
          <w:szCs w:val="20"/>
        </w:rPr>
        <w:t xml:space="preserve">. </w:t>
      </w:r>
      <w:r>
        <w:rPr>
          <w:rFonts w:ascii="Cambria" w:eastAsia="Cambria" w:hAnsi="Cambria" w:cs="Cambria"/>
          <w:b/>
          <w:bCs/>
          <w:sz w:val="20"/>
          <w:szCs w:val="20"/>
        </w:rPr>
        <w:tab/>
      </w:r>
      <w:r>
        <w:rPr>
          <w:sz w:val="20"/>
          <w:szCs w:val="20"/>
        </w:rPr>
        <w:t xml:space="preserve">It is undisputed between the parties that </w:t>
      </w:r>
      <w:r w:rsidRPr="00622F98">
        <w:rPr>
          <w:i/>
          <w:iCs/>
          <w:sz w:val="20"/>
          <w:szCs w:val="20"/>
        </w:rPr>
        <w:t xml:space="preserve">El </w:t>
      </w:r>
      <w:proofErr w:type="spellStart"/>
      <w:r w:rsidRPr="00622F98">
        <w:rPr>
          <w:i/>
          <w:iCs/>
          <w:sz w:val="20"/>
          <w:szCs w:val="20"/>
        </w:rPr>
        <w:t>Proveedor</w:t>
      </w:r>
      <w:proofErr w:type="spellEnd"/>
      <w:r w:rsidRPr="00622F98">
        <w:rPr>
          <w:i/>
          <w:iCs/>
          <w:sz w:val="20"/>
          <w:szCs w:val="20"/>
        </w:rPr>
        <w:t xml:space="preserve"> </w:t>
      </w:r>
      <w:proofErr w:type="spellStart"/>
      <w:r w:rsidRPr="00622F98">
        <w:rPr>
          <w:i/>
          <w:iCs/>
          <w:sz w:val="20"/>
          <w:szCs w:val="20"/>
        </w:rPr>
        <w:t>Mayorista</w:t>
      </w:r>
      <w:proofErr w:type="spellEnd"/>
      <w:r>
        <w:rPr>
          <w:sz w:val="20"/>
          <w:szCs w:val="20"/>
        </w:rPr>
        <w:t xml:space="preserve"> is a juridical person. In this </w:t>
      </w:r>
      <w:r>
        <w:rPr>
          <w:sz w:val="20"/>
          <w:szCs w:val="20"/>
          <w:lang w:val="fr-FR"/>
        </w:rPr>
        <w:t xml:space="preserve">regard, </w:t>
      </w:r>
      <w:r>
        <w:rPr>
          <w:rFonts w:ascii="Cambria" w:eastAsia="Cambria" w:hAnsi="Cambria" w:cs="Cambria"/>
          <w:sz w:val="20"/>
          <w:szCs w:val="20"/>
        </w:rPr>
        <w:t>“The Commission has consistently and invariably held in its jurisprudence the inadmissibility of petitions filed by business entities or cases in which the domestic remedies were exhausted by such entities</w:t>
      </w:r>
      <w:r w:rsidR="00AF0507">
        <w:rPr>
          <w:rFonts w:ascii="Cambria" w:eastAsia="Cambria" w:hAnsi="Cambria" w:cs="Cambria"/>
          <w:sz w:val="20"/>
          <w:szCs w:val="20"/>
        </w:rPr>
        <w:t xml:space="preserve"> </w:t>
      </w:r>
      <w:r>
        <w:rPr>
          <w:rFonts w:ascii="Cambria" w:eastAsia="Cambria" w:hAnsi="Cambria" w:cs="Cambria"/>
          <w:sz w:val="20"/>
          <w:szCs w:val="20"/>
        </w:rPr>
        <w:t xml:space="preserve">and not by the person appearing as petitioners before the Commission. Such is the situation in the instant case, where the alleged victim invokes that condition as proprietor of an artificial person in the name of which domestic remedies were exhausted. The petitioner recognizes that an artificial person is a juridical instrument to engage in economic activities.  One of the reasons for the creation of artificial persons is to </w:t>
      </w:r>
      <w:r w:rsidR="00622F98">
        <w:rPr>
          <w:rFonts w:ascii="Cambria" w:eastAsia="Cambria" w:hAnsi="Cambria" w:cs="Cambria"/>
          <w:sz w:val="20"/>
          <w:szCs w:val="20"/>
        </w:rPr>
        <w:tab/>
      </w:r>
      <w:r>
        <w:rPr>
          <w:rFonts w:ascii="Cambria" w:eastAsia="Cambria" w:hAnsi="Cambria" w:cs="Cambria"/>
          <w:sz w:val="20"/>
          <w:szCs w:val="20"/>
        </w:rPr>
        <w:t>separate their assets from those of the physical persons that constitute them.  Just as the laws of Peru and of all the other countries in the hemisphere draw a distinction between artificial persons and human, physical, or natural persons, so too are the laws to which they are subject different.”</w:t>
      </w:r>
      <w:r>
        <w:rPr>
          <w:rFonts w:ascii="Cambria" w:eastAsia="Cambria" w:hAnsi="Cambria" w:cs="Cambria"/>
          <w:sz w:val="20"/>
          <w:szCs w:val="20"/>
          <w:vertAlign w:val="superscript"/>
        </w:rPr>
        <w:footnoteReference w:id="13"/>
      </w:r>
    </w:p>
    <w:p w:rsidR="008A209E" w:rsidRDefault="008A209E" w:rsidP="001E6EE8">
      <w:pPr>
        <w:pStyle w:val="Body"/>
        <w:spacing w:after="240"/>
        <w:ind w:firstLine="720"/>
        <w:jc w:val="both"/>
      </w:pPr>
    </w:p>
    <w:p w:rsidR="008A209E" w:rsidRDefault="00622F98" w:rsidP="001E6EE8">
      <w:pPr>
        <w:pStyle w:val="Body"/>
        <w:spacing w:after="240"/>
        <w:ind w:firstLine="720"/>
        <w:jc w:val="both"/>
      </w:pPr>
      <w:r w:rsidRPr="00622F98">
        <w:rPr>
          <w:rFonts w:ascii="Cambria" w:hAnsi="Cambria"/>
          <w:sz w:val="20"/>
          <w:szCs w:val="20"/>
        </w:rPr>
        <w:lastRenderedPageBreak/>
        <w:t>8</w:t>
      </w:r>
      <w:r w:rsidRPr="00622F98">
        <w:rPr>
          <w:rFonts w:ascii="Cambria" w:hAnsi="Cambria"/>
        </w:rPr>
        <w:t>.</w:t>
      </w:r>
      <w:r>
        <w:t xml:space="preserve"> </w:t>
      </w:r>
      <w:r w:rsidR="005F76DE">
        <w:t xml:space="preserve"> </w:t>
      </w:r>
      <w:r w:rsidR="00AF0507">
        <w:tab/>
      </w:r>
      <w:r w:rsidR="005F76DE">
        <w:rPr>
          <w:rFonts w:ascii="Cambria" w:eastAsia="Cambria" w:hAnsi="Cambria" w:cs="Cambria"/>
          <w:sz w:val="20"/>
          <w:szCs w:val="20"/>
        </w:rPr>
        <w:t xml:space="preserve">Accordingly, having regard for Article 44 of the American Convention and Article 23 of the </w:t>
      </w:r>
      <w:r w:rsidR="005F76DE">
        <w:rPr>
          <w:rFonts w:ascii="Cambria" w:eastAsia="Cambria" w:hAnsi="Cambria" w:cs="Cambria"/>
          <w:sz w:val="20"/>
          <w:szCs w:val="20"/>
          <w:lang w:val="fr-FR"/>
        </w:rPr>
        <w:t>Commission</w:t>
      </w:r>
      <w:r w:rsidR="005F76DE">
        <w:rPr>
          <w:rFonts w:ascii="Cambria" w:eastAsia="Cambria" w:hAnsi="Cambria" w:cs="Cambria"/>
          <w:sz w:val="20"/>
          <w:szCs w:val="20"/>
        </w:rPr>
        <w:t>’s Rules of Procedure, the IACHR has no j</w:t>
      </w:r>
      <w:r>
        <w:rPr>
          <w:rFonts w:ascii="Cambria" w:eastAsia="Cambria" w:hAnsi="Cambria" w:cs="Cambria"/>
          <w:sz w:val="20"/>
          <w:szCs w:val="20"/>
        </w:rPr>
        <w:t xml:space="preserve">urisdiction to consider alleged </w:t>
      </w:r>
      <w:r w:rsidR="005F76DE">
        <w:rPr>
          <w:rFonts w:ascii="Cambria" w:eastAsia="Cambria" w:hAnsi="Cambria" w:cs="Cambria"/>
          <w:sz w:val="20"/>
          <w:szCs w:val="20"/>
        </w:rPr>
        <w:t xml:space="preserve">violations </w:t>
      </w:r>
      <w:r>
        <w:rPr>
          <w:rFonts w:ascii="Cambria" w:eastAsia="Cambria" w:hAnsi="Cambria" w:cs="Cambria"/>
          <w:sz w:val="20"/>
          <w:szCs w:val="20"/>
        </w:rPr>
        <w:t xml:space="preserve"> </w:t>
      </w:r>
      <w:r w:rsidR="005F76DE">
        <w:rPr>
          <w:rFonts w:ascii="Cambria" w:eastAsia="Cambria" w:hAnsi="Cambria" w:cs="Cambria"/>
          <w:sz w:val="20"/>
          <w:szCs w:val="20"/>
        </w:rPr>
        <w:t xml:space="preserve">committed against </w:t>
      </w:r>
      <w:r w:rsidR="005F76DE" w:rsidRPr="00622F98">
        <w:rPr>
          <w:rFonts w:ascii="Cambria" w:eastAsia="Cambria" w:hAnsi="Cambria" w:cs="Cambria"/>
          <w:i/>
          <w:iCs/>
          <w:sz w:val="20"/>
          <w:szCs w:val="20"/>
        </w:rPr>
        <w:t xml:space="preserve">El </w:t>
      </w:r>
      <w:proofErr w:type="spellStart"/>
      <w:r w:rsidR="005F76DE" w:rsidRPr="00622F98">
        <w:rPr>
          <w:rFonts w:ascii="Cambria" w:eastAsia="Cambria" w:hAnsi="Cambria" w:cs="Cambria"/>
          <w:i/>
          <w:iCs/>
          <w:sz w:val="20"/>
          <w:szCs w:val="20"/>
        </w:rPr>
        <w:t>Proveedor</w:t>
      </w:r>
      <w:proofErr w:type="spellEnd"/>
      <w:r w:rsidR="005F76DE" w:rsidRPr="00622F98">
        <w:rPr>
          <w:rFonts w:ascii="Cambria" w:eastAsia="Cambria" w:hAnsi="Cambria" w:cs="Cambria"/>
          <w:i/>
          <w:iCs/>
          <w:sz w:val="20"/>
          <w:szCs w:val="20"/>
        </w:rPr>
        <w:t xml:space="preserve"> </w:t>
      </w:r>
      <w:proofErr w:type="spellStart"/>
      <w:r w:rsidR="005F76DE" w:rsidRPr="00622F98">
        <w:rPr>
          <w:rFonts w:ascii="Cambria" w:eastAsia="Cambria" w:hAnsi="Cambria" w:cs="Cambria"/>
          <w:i/>
          <w:iCs/>
          <w:sz w:val="20"/>
          <w:szCs w:val="20"/>
        </w:rPr>
        <w:t>Mayorista</w:t>
      </w:r>
      <w:proofErr w:type="spellEnd"/>
      <w:r w:rsidR="005F76DE" w:rsidRPr="00622F98">
        <w:rPr>
          <w:rFonts w:ascii="Cambria" w:eastAsia="Cambria" w:hAnsi="Cambria" w:cs="Cambria"/>
          <w:i/>
          <w:iCs/>
          <w:sz w:val="20"/>
          <w:szCs w:val="20"/>
        </w:rPr>
        <w:t xml:space="preserve">, </w:t>
      </w:r>
      <w:r w:rsidR="005F76DE">
        <w:rPr>
          <w:rFonts w:ascii="Cambria" w:eastAsia="Cambria" w:hAnsi="Cambria" w:cs="Cambria"/>
          <w:sz w:val="20"/>
          <w:szCs w:val="20"/>
        </w:rPr>
        <w:t xml:space="preserve">especially given that the domestic remedies were exhausted under its name.  </w:t>
      </w:r>
    </w:p>
    <w:p w:rsidR="008A209E" w:rsidRDefault="005F76DE" w:rsidP="001E6EE8">
      <w:pPr>
        <w:pStyle w:val="Body"/>
        <w:spacing w:after="240"/>
        <w:ind w:firstLine="720"/>
        <w:jc w:val="both"/>
      </w:pPr>
      <w:r>
        <w:rPr>
          <w:rFonts w:ascii="Cambria" w:eastAsia="Cambria" w:hAnsi="Cambria" w:cs="Cambria"/>
          <w:sz w:val="20"/>
          <w:szCs w:val="20"/>
        </w:rPr>
        <w:t>9.</w:t>
      </w:r>
      <w:r>
        <w:rPr>
          <w:rFonts w:ascii="Cambria" w:eastAsia="Cambria" w:hAnsi="Cambria" w:cs="Cambria"/>
          <w:sz w:val="20"/>
          <w:szCs w:val="20"/>
        </w:rPr>
        <w:tab/>
      </w:r>
      <w:r w:rsidRPr="00AF0507">
        <w:rPr>
          <w:rFonts w:ascii="Cambria" w:eastAsia="Cambria" w:hAnsi="Cambria" w:cs="Cambria"/>
          <w:sz w:val="20"/>
          <w:szCs w:val="20"/>
        </w:rPr>
        <w:t xml:space="preserve">With respect to the claims made by Mr. </w:t>
      </w:r>
      <w:proofErr w:type="spellStart"/>
      <w:r w:rsidRPr="00AF0507">
        <w:rPr>
          <w:rFonts w:ascii="Cambria" w:eastAsia="Cambria" w:hAnsi="Cambria" w:cs="Cambria"/>
          <w:sz w:val="20"/>
          <w:szCs w:val="20"/>
        </w:rPr>
        <w:t>Aldaz</w:t>
      </w:r>
      <w:proofErr w:type="spellEnd"/>
      <w:r w:rsidRPr="00AF0507">
        <w:rPr>
          <w:rFonts w:ascii="Cambria" w:eastAsia="Cambria" w:hAnsi="Cambria" w:cs="Cambria"/>
          <w:sz w:val="20"/>
          <w:szCs w:val="20"/>
        </w:rPr>
        <w:t xml:space="preserve"> as a natural person (in</w:t>
      </w:r>
      <w:r w:rsidR="00AF0507">
        <w:rPr>
          <w:rFonts w:ascii="Cambria" w:eastAsia="Cambria" w:hAnsi="Cambria" w:cs="Cambria"/>
          <w:sz w:val="20"/>
          <w:szCs w:val="20"/>
        </w:rPr>
        <w:t xml:space="preserve"> his individual capacity) the </w:t>
      </w:r>
      <w:r w:rsidRPr="00AF0507">
        <w:rPr>
          <w:rFonts w:ascii="Cambria" w:eastAsia="Cambria" w:hAnsi="Cambria" w:cs="Cambria"/>
          <w:sz w:val="20"/>
          <w:szCs w:val="20"/>
        </w:rPr>
        <w:t>Commission does consider he does en</w:t>
      </w:r>
      <w:r w:rsidR="00EE66B6">
        <w:rPr>
          <w:rFonts w:ascii="Cambria" w:eastAsia="Cambria" w:hAnsi="Cambria" w:cs="Cambria"/>
          <w:sz w:val="20"/>
          <w:szCs w:val="20"/>
        </w:rPr>
        <w:t xml:space="preserve">joy legal standing under </w:t>
      </w:r>
      <w:r w:rsidRPr="00AF0507">
        <w:rPr>
          <w:rFonts w:ascii="Cambria" w:eastAsia="Cambria" w:hAnsi="Cambria" w:cs="Cambria"/>
          <w:sz w:val="20"/>
          <w:szCs w:val="20"/>
        </w:rPr>
        <w:t>Article 4</w:t>
      </w:r>
      <w:r w:rsidR="00AF0507">
        <w:rPr>
          <w:rFonts w:ascii="Cambria" w:eastAsia="Cambria" w:hAnsi="Cambria" w:cs="Cambria"/>
          <w:sz w:val="20"/>
          <w:szCs w:val="20"/>
        </w:rPr>
        <w:t xml:space="preserve">4 of the Convention, and that </w:t>
      </w:r>
      <w:r w:rsidRPr="00AF0507">
        <w:rPr>
          <w:rFonts w:ascii="Cambria" w:eastAsia="Cambria" w:hAnsi="Cambria" w:cs="Cambria"/>
          <w:sz w:val="20"/>
          <w:szCs w:val="20"/>
        </w:rPr>
        <w:t>accordingly, the Commission may exercise jurisdiction ratione personae in this regard.</w:t>
      </w:r>
    </w:p>
    <w:p w:rsidR="008A209E" w:rsidRDefault="005F76DE" w:rsidP="001E6EE8">
      <w:pPr>
        <w:pStyle w:val="Body"/>
        <w:spacing w:after="240"/>
        <w:ind w:firstLine="720"/>
        <w:jc w:val="both"/>
      </w:pPr>
      <w:r>
        <w:rPr>
          <w:rFonts w:ascii="Cambria" w:eastAsia="Cambria" w:hAnsi="Cambria" w:cs="Cambria"/>
          <w:b/>
          <w:bCs/>
          <w:sz w:val="20"/>
          <w:szCs w:val="20"/>
        </w:rPr>
        <w:t>VII.</w:t>
      </w:r>
      <w:r>
        <w:rPr>
          <w:rFonts w:ascii="Cambria" w:eastAsia="Cambria" w:hAnsi="Cambria" w:cs="Cambria"/>
          <w:b/>
          <w:bCs/>
          <w:sz w:val="20"/>
          <w:szCs w:val="20"/>
        </w:rPr>
        <w:tab/>
        <w:t xml:space="preserve">EXHAUSTION OF DOMESTIC REMEDIES AND TIMELINESS OF THE PETITION </w:t>
      </w:r>
    </w:p>
    <w:p w:rsidR="008A209E" w:rsidRPr="00AF0507" w:rsidRDefault="005F76DE" w:rsidP="001E6EE8">
      <w:pPr>
        <w:pStyle w:val="Body"/>
        <w:spacing w:after="240"/>
        <w:ind w:firstLine="720"/>
        <w:jc w:val="both"/>
        <w:rPr>
          <w:rFonts w:ascii="Cambria" w:eastAsia="Cambria" w:hAnsi="Cambria" w:cs="Cambria"/>
          <w:sz w:val="20"/>
          <w:szCs w:val="20"/>
        </w:rPr>
      </w:pPr>
      <w:r>
        <w:rPr>
          <w:rFonts w:ascii="Cambria" w:eastAsia="Cambria" w:hAnsi="Cambria" w:cs="Cambria"/>
          <w:sz w:val="20"/>
          <w:szCs w:val="20"/>
        </w:rPr>
        <w:t>10</w:t>
      </w:r>
      <w:r>
        <w:rPr>
          <w:rFonts w:ascii="Cambria" w:eastAsia="Cambria" w:hAnsi="Cambria" w:cs="Cambria"/>
          <w:b/>
          <w:bCs/>
          <w:sz w:val="20"/>
          <w:szCs w:val="20"/>
        </w:rPr>
        <w:t xml:space="preserve">. </w:t>
      </w:r>
      <w:r>
        <w:rPr>
          <w:rFonts w:ascii="Cambria" w:eastAsia="Cambria" w:hAnsi="Cambria" w:cs="Cambria"/>
          <w:b/>
          <w:bCs/>
          <w:sz w:val="20"/>
          <w:szCs w:val="20"/>
        </w:rPr>
        <w:tab/>
      </w:r>
      <w:r>
        <w:rPr>
          <w:rFonts w:ascii="Cambria" w:eastAsia="Cambria" w:hAnsi="Cambria" w:cs="Cambria"/>
          <w:sz w:val="20"/>
          <w:szCs w:val="20"/>
        </w:rPr>
        <w:t xml:space="preserve">Having regard for the preceding analysis on </w:t>
      </w:r>
      <w:proofErr w:type="spellStart"/>
      <w:r w:rsidRPr="00AF0507">
        <w:rPr>
          <w:rFonts w:ascii="Cambria" w:eastAsia="Cambria" w:hAnsi="Cambria" w:cs="Cambria"/>
          <w:sz w:val="20"/>
          <w:szCs w:val="20"/>
        </w:rPr>
        <w:t>rationae</w:t>
      </w:r>
      <w:proofErr w:type="spellEnd"/>
      <w:r w:rsidRPr="00AF0507">
        <w:rPr>
          <w:rFonts w:ascii="Cambria" w:eastAsia="Cambria" w:hAnsi="Cambria" w:cs="Cambria"/>
          <w:sz w:val="20"/>
          <w:szCs w:val="20"/>
        </w:rPr>
        <w:t xml:space="preserve"> personae</w:t>
      </w:r>
      <w:r>
        <w:rPr>
          <w:rFonts w:ascii="Cambria" w:eastAsia="Cambria" w:hAnsi="Cambria" w:cs="Cambria"/>
          <w:sz w:val="20"/>
          <w:szCs w:val="20"/>
        </w:rPr>
        <w:t xml:space="preserve">, the Commission will now </w:t>
      </w:r>
      <w:r w:rsidR="00622F98">
        <w:rPr>
          <w:rFonts w:ascii="Cambria" w:eastAsia="Cambria" w:hAnsi="Cambria" w:cs="Cambria"/>
          <w:sz w:val="20"/>
          <w:szCs w:val="20"/>
        </w:rPr>
        <w:t xml:space="preserve">  </w:t>
      </w:r>
      <w:r>
        <w:rPr>
          <w:rFonts w:ascii="Cambria" w:eastAsia="Cambria" w:hAnsi="Cambria" w:cs="Cambria"/>
          <w:sz w:val="20"/>
          <w:szCs w:val="20"/>
        </w:rPr>
        <w:t xml:space="preserve">confine </w:t>
      </w:r>
      <w:r w:rsidR="00622F98">
        <w:rPr>
          <w:rFonts w:ascii="Cambria" w:eastAsia="Cambria" w:hAnsi="Cambria" w:cs="Cambria"/>
          <w:sz w:val="20"/>
          <w:szCs w:val="20"/>
        </w:rPr>
        <w:tab/>
      </w:r>
      <w:r>
        <w:rPr>
          <w:rFonts w:ascii="Cambria" w:eastAsia="Cambria" w:hAnsi="Cambria" w:cs="Cambria"/>
          <w:sz w:val="20"/>
          <w:szCs w:val="20"/>
        </w:rPr>
        <w:t xml:space="preserve">its analysis of exhaustion of domestic remedies and timeliness to the claims relating to Mr. </w:t>
      </w:r>
      <w:proofErr w:type="spellStart"/>
      <w:r>
        <w:rPr>
          <w:rFonts w:ascii="Cambria" w:eastAsia="Cambria" w:hAnsi="Cambria" w:cs="Cambria"/>
          <w:sz w:val="20"/>
          <w:szCs w:val="20"/>
        </w:rPr>
        <w:t>Aldaz</w:t>
      </w:r>
      <w:proofErr w:type="spellEnd"/>
      <w:r>
        <w:rPr>
          <w:rFonts w:ascii="Cambria" w:eastAsia="Cambria" w:hAnsi="Cambria" w:cs="Cambria"/>
          <w:sz w:val="20"/>
          <w:szCs w:val="20"/>
        </w:rPr>
        <w:t xml:space="preserve"> in his </w:t>
      </w:r>
      <w:r w:rsidRPr="00AF0507">
        <w:rPr>
          <w:rFonts w:ascii="Cambria" w:eastAsia="Cambria" w:hAnsi="Cambria" w:cs="Cambria"/>
          <w:sz w:val="20"/>
          <w:szCs w:val="20"/>
        </w:rPr>
        <w:t>personal capacity</w:t>
      </w:r>
      <w:r w:rsidR="00851897">
        <w:rPr>
          <w:rFonts w:ascii="Cambria" w:eastAsia="Cambria" w:hAnsi="Cambria" w:cs="Cambria"/>
          <w:sz w:val="20"/>
          <w:szCs w:val="20"/>
        </w:rPr>
        <w:t>.</w:t>
      </w:r>
      <w:r w:rsidRPr="00AF0507">
        <w:rPr>
          <w:rFonts w:ascii="Cambria" w:eastAsia="Cambria" w:hAnsi="Cambria" w:cs="Cambria"/>
          <w:sz w:val="20"/>
          <w:szCs w:val="20"/>
          <w:vertAlign w:val="superscript"/>
        </w:rPr>
        <w:footnoteReference w:id="14"/>
      </w:r>
      <w:r>
        <w:rPr>
          <w:rFonts w:ascii="Cambria" w:eastAsia="Cambria" w:hAnsi="Cambria" w:cs="Cambria"/>
          <w:sz w:val="20"/>
          <w:szCs w:val="20"/>
        </w:rPr>
        <w:t>.</w:t>
      </w:r>
      <w:r w:rsidRPr="00AF0507">
        <w:rPr>
          <w:rFonts w:ascii="Cambria" w:eastAsia="Cambria" w:hAnsi="Cambria" w:cs="Cambria"/>
          <w:sz w:val="20"/>
          <w:szCs w:val="20"/>
        </w:rPr>
        <w:t xml:space="preserve">   </w:t>
      </w:r>
    </w:p>
    <w:p w:rsidR="008A209E" w:rsidRPr="00AF0507" w:rsidRDefault="005F76DE" w:rsidP="001E6EE8">
      <w:pPr>
        <w:pStyle w:val="Body"/>
        <w:spacing w:after="240"/>
        <w:ind w:firstLine="720"/>
        <w:jc w:val="both"/>
        <w:rPr>
          <w:rFonts w:ascii="Cambria" w:eastAsia="Cambria" w:hAnsi="Cambria" w:cs="Cambria"/>
          <w:sz w:val="20"/>
          <w:szCs w:val="20"/>
        </w:rPr>
      </w:pPr>
      <w:r>
        <w:rPr>
          <w:rFonts w:ascii="Cambria" w:eastAsia="Cambria" w:hAnsi="Cambria" w:cs="Cambria"/>
          <w:sz w:val="20"/>
          <w:szCs w:val="20"/>
        </w:rPr>
        <w:t>11.</w:t>
      </w:r>
      <w:r>
        <w:rPr>
          <w:rFonts w:ascii="Cambria" w:eastAsia="Cambria" w:hAnsi="Cambria" w:cs="Cambria"/>
          <w:sz w:val="20"/>
          <w:szCs w:val="20"/>
        </w:rPr>
        <w:tab/>
        <w:t xml:space="preserve">The petitioner argues that almost two decades following the events that gave rise to Mr. </w:t>
      </w:r>
      <w:proofErr w:type="spellStart"/>
      <w:r>
        <w:rPr>
          <w:rFonts w:ascii="Cambria" w:eastAsia="Cambria" w:hAnsi="Cambria" w:cs="Cambria"/>
          <w:sz w:val="20"/>
          <w:szCs w:val="20"/>
        </w:rPr>
        <w:t>Aldaz’s</w:t>
      </w:r>
      <w:proofErr w:type="spellEnd"/>
      <w:r>
        <w:rPr>
          <w:rFonts w:ascii="Cambria" w:eastAsia="Cambria" w:hAnsi="Cambria" w:cs="Cambria"/>
          <w:sz w:val="20"/>
          <w:szCs w:val="20"/>
        </w:rPr>
        <w:t xml:space="preserve"> </w:t>
      </w:r>
      <w:r w:rsidR="00622F98">
        <w:rPr>
          <w:rFonts w:ascii="Cambria" w:eastAsia="Cambria" w:hAnsi="Cambria" w:cs="Cambria"/>
          <w:sz w:val="20"/>
          <w:szCs w:val="20"/>
        </w:rPr>
        <w:tab/>
      </w:r>
      <w:r>
        <w:rPr>
          <w:rFonts w:ascii="Cambria" w:eastAsia="Cambria" w:hAnsi="Cambria" w:cs="Cambria"/>
          <w:sz w:val="20"/>
          <w:szCs w:val="20"/>
        </w:rPr>
        <w:t xml:space="preserve">claims, the State has failed to comply with its investigative obligations or to conclude the litigation regarding the claim for reparation.   Given these circumstances, the petitioner contends that there has been undue delay which warrants an exception to the requirement of exhaustion of domestic remedies pursuant to Article 46.2.c of the Convention.  On the other hand, the State contends that Mr. </w:t>
      </w:r>
      <w:proofErr w:type="spellStart"/>
      <w:r>
        <w:rPr>
          <w:rFonts w:ascii="Cambria" w:eastAsia="Cambria" w:hAnsi="Cambria" w:cs="Cambria"/>
          <w:sz w:val="20"/>
          <w:szCs w:val="20"/>
        </w:rPr>
        <w:t>Aldaz’s</w:t>
      </w:r>
      <w:proofErr w:type="spellEnd"/>
      <w:r w:rsidR="00AF0507">
        <w:rPr>
          <w:rFonts w:ascii="Cambria" w:eastAsia="Cambria" w:hAnsi="Cambria" w:cs="Cambria"/>
          <w:sz w:val="20"/>
          <w:szCs w:val="20"/>
        </w:rPr>
        <w:t xml:space="preserve"> </w:t>
      </w:r>
      <w:r>
        <w:rPr>
          <w:rFonts w:ascii="Cambria" w:eastAsia="Cambria" w:hAnsi="Cambria" w:cs="Cambria"/>
          <w:sz w:val="20"/>
          <w:szCs w:val="20"/>
        </w:rPr>
        <w:t>complaints have been adequately addressed by the domestic authorities of Colombia, and that any review by the Commission would be an infringement of the fourth instance doctrine.</w:t>
      </w:r>
      <w:r w:rsidRPr="00AF0507">
        <w:rPr>
          <w:rFonts w:ascii="Cambria" w:eastAsia="Cambria" w:hAnsi="Cambria" w:cs="Cambria"/>
          <w:sz w:val="20"/>
          <w:szCs w:val="20"/>
        </w:rPr>
        <w:t xml:space="preserve">  </w:t>
      </w:r>
    </w:p>
    <w:p w:rsidR="008A209E" w:rsidRPr="00AF0507" w:rsidRDefault="005F76DE" w:rsidP="001E6EE8">
      <w:pPr>
        <w:pStyle w:val="Body"/>
        <w:spacing w:after="240"/>
        <w:ind w:firstLine="720"/>
        <w:jc w:val="both"/>
        <w:rPr>
          <w:rFonts w:ascii="Cambria" w:eastAsia="Cambria" w:hAnsi="Cambria" w:cs="Cambria"/>
          <w:sz w:val="20"/>
          <w:szCs w:val="20"/>
        </w:rPr>
      </w:pPr>
      <w:r>
        <w:rPr>
          <w:rFonts w:ascii="Cambria" w:eastAsia="Cambria" w:hAnsi="Cambria" w:cs="Cambria"/>
          <w:sz w:val="20"/>
          <w:szCs w:val="20"/>
        </w:rPr>
        <w:t>12.</w:t>
      </w:r>
      <w:r>
        <w:rPr>
          <w:rFonts w:ascii="Cambria" w:eastAsia="Cambria" w:hAnsi="Cambria" w:cs="Cambria"/>
          <w:sz w:val="20"/>
          <w:szCs w:val="20"/>
        </w:rPr>
        <w:tab/>
        <w:t xml:space="preserve">The Commission considers that in situations such as the one proposed, the domestic remedies that must be taken into account for purposes of admissibility of the petition </w:t>
      </w:r>
      <w:r>
        <w:rPr>
          <w:rFonts w:ascii="Cambria" w:eastAsia="Cambria" w:hAnsi="Cambria" w:cs="Cambria"/>
          <w:sz w:val="20"/>
          <w:szCs w:val="20"/>
        </w:rPr>
        <w:tab/>
        <w:t xml:space="preserve">are those related to the criminal investigation.  Such an investigation is the remedy suitable for establishing the facts, prosecuting the </w:t>
      </w:r>
      <w:r w:rsidR="00622F98">
        <w:rPr>
          <w:rFonts w:ascii="Cambria" w:eastAsia="Cambria" w:hAnsi="Cambria" w:cs="Cambria"/>
          <w:sz w:val="20"/>
          <w:szCs w:val="20"/>
        </w:rPr>
        <w:tab/>
      </w:r>
      <w:r>
        <w:rPr>
          <w:rFonts w:ascii="Cambria" w:eastAsia="Cambria" w:hAnsi="Cambria" w:cs="Cambria"/>
          <w:sz w:val="20"/>
          <w:szCs w:val="20"/>
        </w:rPr>
        <w:t>persons responsible, and imposing the appropriate punishment, in addition to enabling other forms of compensation. In this regard, the Commission notes that the criminal investigation was suspended in 2004 by the State without any tangible measures taken to identify, prosecute, and pu</w:t>
      </w:r>
      <w:r w:rsidR="00AF0507">
        <w:rPr>
          <w:rFonts w:ascii="Cambria" w:eastAsia="Cambria" w:hAnsi="Cambria" w:cs="Cambria"/>
          <w:sz w:val="20"/>
          <w:szCs w:val="20"/>
        </w:rPr>
        <w:t xml:space="preserve">nish those responsible for the </w:t>
      </w:r>
      <w:r>
        <w:rPr>
          <w:rFonts w:ascii="Cambria" w:eastAsia="Cambria" w:hAnsi="Cambria" w:cs="Cambria"/>
          <w:sz w:val="20"/>
          <w:szCs w:val="20"/>
        </w:rPr>
        <w:t xml:space="preserve">destruction of the business owned by Mr. </w:t>
      </w:r>
      <w:proofErr w:type="spellStart"/>
      <w:r>
        <w:rPr>
          <w:rFonts w:ascii="Cambria" w:eastAsia="Cambria" w:hAnsi="Cambria" w:cs="Cambria"/>
          <w:sz w:val="20"/>
          <w:szCs w:val="20"/>
        </w:rPr>
        <w:t>Aldaz</w:t>
      </w:r>
      <w:proofErr w:type="spellEnd"/>
      <w:r>
        <w:rPr>
          <w:rFonts w:ascii="Cambria" w:eastAsia="Cambria" w:hAnsi="Cambria" w:cs="Cambria"/>
          <w:sz w:val="20"/>
          <w:szCs w:val="20"/>
        </w:rPr>
        <w:t>. Given the absence of a conclusive criminal investigation and the delay in judicial proceedings, the Commission considers that in the present case the exception to the exhaustion of domestic remedies provided for in Article 46.2.c of the American Convention applies.</w:t>
      </w:r>
    </w:p>
    <w:p w:rsidR="008A209E" w:rsidRDefault="005F76DE" w:rsidP="001E6EE8">
      <w:pPr>
        <w:pStyle w:val="ListParagraph"/>
        <w:spacing w:after="240"/>
        <w:jc w:val="both"/>
      </w:pPr>
      <w:r>
        <w:rPr>
          <w:b/>
          <w:bCs/>
          <w:sz w:val="20"/>
          <w:szCs w:val="20"/>
        </w:rPr>
        <w:t>VII.</w:t>
      </w:r>
      <w:r>
        <w:rPr>
          <w:b/>
          <w:bCs/>
          <w:sz w:val="20"/>
          <w:szCs w:val="20"/>
        </w:rPr>
        <w:tab/>
        <w:t xml:space="preserve">COLORABLE CLAIM </w:t>
      </w:r>
    </w:p>
    <w:p w:rsidR="008A209E" w:rsidRPr="00851897" w:rsidRDefault="005F76DE" w:rsidP="001E6EE8">
      <w:pPr>
        <w:pStyle w:val="Body"/>
        <w:spacing w:after="240"/>
        <w:ind w:firstLine="720"/>
        <w:jc w:val="both"/>
        <w:rPr>
          <w:rFonts w:ascii="Cambria" w:eastAsia="Cambria" w:hAnsi="Cambria" w:cs="Cambria"/>
          <w:sz w:val="20"/>
          <w:szCs w:val="20"/>
        </w:rPr>
      </w:pPr>
      <w:r>
        <w:rPr>
          <w:sz w:val="20"/>
          <w:szCs w:val="20"/>
        </w:rPr>
        <w:t>13.</w:t>
      </w:r>
      <w:r>
        <w:rPr>
          <w:b/>
          <w:bCs/>
          <w:sz w:val="20"/>
          <w:szCs w:val="20"/>
        </w:rPr>
        <w:t xml:space="preserve"> </w:t>
      </w:r>
      <w:r>
        <w:rPr>
          <w:b/>
          <w:bCs/>
          <w:sz w:val="20"/>
          <w:szCs w:val="20"/>
        </w:rPr>
        <w:tab/>
      </w:r>
      <w:r w:rsidRPr="00851897">
        <w:rPr>
          <w:rFonts w:ascii="Cambria" w:eastAsia="Cambria" w:hAnsi="Cambria" w:cs="Cambria"/>
          <w:sz w:val="20"/>
          <w:szCs w:val="20"/>
        </w:rPr>
        <w:t xml:space="preserve">The IACHR considers that in the light of the factual and legal arguments set out by the parties, the instant petition is not manifestly groundless and that a report on the merits is required to determine the claims regarding the purported lack of diligent investigation and the delay in concluding the action for reparation (made by Mr. </w:t>
      </w:r>
      <w:proofErr w:type="spellStart"/>
      <w:r w:rsidRPr="00851897">
        <w:rPr>
          <w:rFonts w:ascii="Cambria" w:eastAsia="Cambria" w:hAnsi="Cambria" w:cs="Cambria"/>
          <w:sz w:val="20"/>
          <w:szCs w:val="20"/>
        </w:rPr>
        <w:t>Aldaz</w:t>
      </w:r>
      <w:proofErr w:type="spellEnd"/>
      <w:r w:rsidRPr="00851897">
        <w:rPr>
          <w:rFonts w:ascii="Cambria" w:eastAsia="Cambria" w:hAnsi="Cambria" w:cs="Cambria"/>
          <w:sz w:val="20"/>
          <w:szCs w:val="20"/>
        </w:rPr>
        <w:t xml:space="preserve"> in his personal capacity) could establish violations of the rights protected by Articles, 8 (fair trial), 21 (property), and 25 (judicial protection) of the American Convention in connection with Articles 1.1 and 2 thereof.  As for the claims made pursuant to Articles 22 (movement and residency), 24 (equal protection) and 31 (recognition of other rights) the Commission considers that the petitioner has not supplied any material to establish prima facie violations of these provisions with respect to Mr. </w:t>
      </w:r>
      <w:proofErr w:type="spellStart"/>
      <w:r w:rsidRPr="00851897">
        <w:rPr>
          <w:rFonts w:ascii="Cambria" w:eastAsia="Cambria" w:hAnsi="Cambria" w:cs="Cambria"/>
          <w:sz w:val="20"/>
          <w:szCs w:val="20"/>
        </w:rPr>
        <w:t>Aldaz</w:t>
      </w:r>
      <w:proofErr w:type="spellEnd"/>
      <w:r w:rsidRPr="00851897">
        <w:rPr>
          <w:rFonts w:ascii="Cambria" w:eastAsia="Cambria" w:hAnsi="Cambria" w:cs="Cambria"/>
          <w:sz w:val="20"/>
          <w:szCs w:val="20"/>
        </w:rPr>
        <w:t xml:space="preserve">. </w:t>
      </w:r>
    </w:p>
    <w:p w:rsidR="008A209E" w:rsidRPr="00851897" w:rsidRDefault="005F76DE" w:rsidP="001E6EE8">
      <w:pPr>
        <w:pStyle w:val="Body"/>
        <w:spacing w:after="240"/>
        <w:ind w:firstLine="720"/>
        <w:jc w:val="both"/>
        <w:rPr>
          <w:rFonts w:ascii="Cambria" w:eastAsia="Cambria" w:hAnsi="Cambria" w:cs="Cambria"/>
          <w:sz w:val="20"/>
          <w:szCs w:val="20"/>
        </w:rPr>
      </w:pPr>
      <w:r w:rsidRPr="00851897">
        <w:rPr>
          <w:rFonts w:ascii="Cambria" w:eastAsia="Cambria" w:hAnsi="Cambria" w:cs="Cambria"/>
          <w:sz w:val="20"/>
          <w:szCs w:val="20"/>
        </w:rPr>
        <w:t>14.</w:t>
      </w:r>
      <w:r w:rsidRPr="00851897">
        <w:rPr>
          <w:rFonts w:ascii="Cambria" w:eastAsia="Cambria" w:hAnsi="Cambria" w:cs="Cambria"/>
          <w:sz w:val="20"/>
          <w:szCs w:val="20"/>
        </w:rPr>
        <w:tab/>
        <w:t>As for the claim about the alleged violation of Articles VIII (right to residence and movement);  XI (right to health/well-being);  and XVIII (right to justice/fair trial of the American Declaration, the Commission reiterates that once the Convention comes into force in relation to a State, it is this, not the Declaration, that becomes the primary source of law to be applied by the Commission provided that the petition concerns alleged violations of substantially identical rights set forth both instruments.</w:t>
      </w:r>
    </w:p>
    <w:p w:rsidR="001E6EE8" w:rsidRDefault="005F76DE" w:rsidP="001E6EE8">
      <w:pPr>
        <w:pStyle w:val="Body"/>
        <w:suppressAutoHyphens/>
        <w:spacing w:after="240"/>
        <w:ind w:left="720"/>
        <w:jc w:val="both"/>
        <w:rPr>
          <w:rFonts w:ascii="Cambria" w:eastAsia="Cambria" w:hAnsi="Cambria" w:cs="Cambria"/>
          <w:b/>
          <w:bCs/>
          <w:sz w:val="20"/>
          <w:szCs w:val="20"/>
        </w:rPr>
        <w:sectPr w:rsidR="001E6EE8">
          <w:pgSz w:w="12240" w:h="15840"/>
          <w:pgMar w:top="1440" w:right="1440" w:bottom="1440" w:left="1440" w:header="720" w:footer="720" w:gutter="0"/>
          <w:pgNumType w:start="1"/>
          <w:cols w:space="720"/>
        </w:sectPr>
      </w:pPr>
      <w:r w:rsidRPr="00622F98">
        <w:rPr>
          <w:rFonts w:ascii="Cambria" w:eastAsia="Cambria" w:hAnsi="Cambria" w:cs="Cambria"/>
          <w:b/>
          <w:bCs/>
          <w:sz w:val="20"/>
          <w:szCs w:val="20"/>
        </w:rPr>
        <w:t xml:space="preserve"> </w:t>
      </w:r>
    </w:p>
    <w:p w:rsidR="008A209E" w:rsidRDefault="005F76DE" w:rsidP="001E6EE8">
      <w:pPr>
        <w:pStyle w:val="Body"/>
        <w:suppressAutoHyphens/>
        <w:spacing w:after="240"/>
        <w:ind w:left="720"/>
        <w:jc w:val="both"/>
      </w:pPr>
      <w:r>
        <w:rPr>
          <w:rFonts w:ascii="Cambria" w:eastAsia="Cambria" w:hAnsi="Cambria" w:cs="Cambria"/>
          <w:b/>
          <w:bCs/>
          <w:sz w:val="20"/>
          <w:szCs w:val="20"/>
          <w:lang w:val="es-ES_tradnl"/>
        </w:rPr>
        <w:lastRenderedPageBreak/>
        <w:t xml:space="preserve">VIII. </w:t>
      </w:r>
      <w:r>
        <w:rPr>
          <w:rFonts w:ascii="Cambria" w:eastAsia="Cambria" w:hAnsi="Cambria" w:cs="Cambria"/>
          <w:b/>
          <w:bCs/>
          <w:sz w:val="20"/>
          <w:szCs w:val="20"/>
          <w:lang w:val="es-ES_tradnl"/>
        </w:rPr>
        <w:tab/>
        <w:t>DECISION</w:t>
      </w:r>
    </w:p>
    <w:p w:rsidR="008A209E" w:rsidRPr="00851897" w:rsidRDefault="005F76DE" w:rsidP="001E6EE8">
      <w:pPr>
        <w:pStyle w:val="Body"/>
        <w:numPr>
          <w:ilvl w:val="0"/>
          <w:numId w:val="5"/>
        </w:numPr>
        <w:spacing w:after="240"/>
        <w:ind w:left="0" w:firstLine="720"/>
        <w:jc w:val="both"/>
        <w:rPr>
          <w:rFonts w:ascii="Cambria" w:eastAsia="Cambria" w:hAnsi="Cambria" w:cs="Cambria"/>
          <w:sz w:val="20"/>
          <w:szCs w:val="20"/>
        </w:rPr>
      </w:pPr>
      <w:r w:rsidRPr="00851897">
        <w:rPr>
          <w:rFonts w:ascii="Cambria" w:eastAsia="Cambria" w:hAnsi="Cambria" w:cs="Cambria"/>
          <w:sz w:val="20"/>
          <w:szCs w:val="20"/>
        </w:rPr>
        <w:t xml:space="preserve">To find the instant petition admissible (in relation to the claims made by Mr. </w:t>
      </w:r>
      <w:proofErr w:type="spellStart"/>
      <w:r w:rsidRPr="00851897">
        <w:rPr>
          <w:rFonts w:ascii="Cambria" w:eastAsia="Cambria" w:hAnsi="Cambria" w:cs="Cambria"/>
          <w:sz w:val="20"/>
          <w:szCs w:val="20"/>
        </w:rPr>
        <w:t>Aldaz</w:t>
      </w:r>
      <w:proofErr w:type="spellEnd"/>
      <w:r w:rsidRPr="00851897">
        <w:rPr>
          <w:rFonts w:ascii="Cambria" w:eastAsia="Cambria" w:hAnsi="Cambria" w:cs="Cambria"/>
          <w:sz w:val="20"/>
          <w:szCs w:val="20"/>
        </w:rPr>
        <w:t xml:space="preserve"> in his personal capacity) in relation to Articles 8, 21, and 25 of the American Convention on Human Rights, in connection with Articles 1.1 and 2 thereof;</w:t>
      </w:r>
    </w:p>
    <w:p w:rsidR="008A209E" w:rsidRDefault="005F76DE" w:rsidP="001E6EE8">
      <w:pPr>
        <w:pStyle w:val="Body"/>
        <w:numPr>
          <w:ilvl w:val="0"/>
          <w:numId w:val="5"/>
        </w:numPr>
        <w:spacing w:after="240"/>
        <w:ind w:left="0" w:firstLine="720"/>
        <w:jc w:val="both"/>
        <w:rPr>
          <w:rFonts w:ascii="Cambria" w:eastAsia="Cambria" w:hAnsi="Cambria" w:cs="Cambria"/>
          <w:sz w:val="20"/>
          <w:szCs w:val="20"/>
        </w:rPr>
      </w:pPr>
      <w:r w:rsidRPr="00851897">
        <w:rPr>
          <w:rFonts w:ascii="Cambria" w:eastAsia="Cambria" w:hAnsi="Cambria" w:cs="Cambria"/>
          <w:sz w:val="20"/>
          <w:szCs w:val="20"/>
        </w:rPr>
        <w:t>To find the instant petition inadmissible in connection with Articles 22, 24 and 31 of the American Convention; and</w:t>
      </w:r>
    </w:p>
    <w:p w:rsidR="008A209E" w:rsidRDefault="005F76DE" w:rsidP="001E6EE8">
      <w:pPr>
        <w:pStyle w:val="Body"/>
        <w:numPr>
          <w:ilvl w:val="0"/>
          <w:numId w:val="5"/>
        </w:numPr>
        <w:spacing w:after="240"/>
        <w:ind w:left="0" w:firstLine="720"/>
        <w:jc w:val="both"/>
        <w:rPr>
          <w:rFonts w:ascii="Cambria" w:eastAsia="Cambria" w:hAnsi="Cambria" w:cs="Cambria"/>
          <w:sz w:val="20"/>
          <w:szCs w:val="20"/>
        </w:rPr>
      </w:pPr>
      <w:r>
        <w:rPr>
          <w:rFonts w:ascii="Cambria" w:eastAsia="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rsidR="00851897" w:rsidRDefault="00851897" w:rsidP="00851897">
      <w:pPr>
        <w:pStyle w:val="Body"/>
        <w:jc w:val="both"/>
        <w:rPr>
          <w:rFonts w:ascii="Cambria" w:eastAsia="Cambria" w:hAnsi="Cambria" w:cs="Cambria"/>
          <w:sz w:val="20"/>
          <w:szCs w:val="20"/>
        </w:rPr>
      </w:pPr>
      <w:r>
        <w:rPr>
          <w:rFonts w:ascii="Cambria" w:eastAsia="Cambria" w:hAnsi="Cambria" w:cs="Cambria"/>
          <w:sz w:val="20"/>
          <w:szCs w:val="20"/>
        </w:rPr>
        <w:tab/>
      </w:r>
      <w:r w:rsidRPr="00851897">
        <w:rPr>
          <w:rFonts w:ascii="Cambria" w:eastAsia="Cambria" w:hAnsi="Cambria" w:cs="Cambria"/>
          <w:sz w:val="20"/>
          <w:szCs w:val="20"/>
        </w:rPr>
        <w:t xml:space="preserve">Approved by the Inter-American Commission on Human Rights on the </w:t>
      </w:r>
      <w:r>
        <w:rPr>
          <w:rFonts w:ascii="Cambria" w:eastAsia="Cambria" w:hAnsi="Cambria" w:cs="Cambria"/>
          <w:sz w:val="20"/>
          <w:szCs w:val="20"/>
        </w:rPr>
        <w:t xml:space="preserve">25th </w:t>
      </w:r>
      <w:r w:rsidRPr="00851897">
        <w:rPr>
          <w:rFonts w:ascii="Cambria" w:eastAsia="Cambria" w:hAnsi="Cambria" w:cs="Cambria"/>
          <w:sz w:val="20"/>
          <w:szCs w:val="20"/>
        </w:rPr>
        <w:t xml:space="preserve">day of the month of </w:t>
      </w:r>
      <w:r>
        <w:rPr>
          <w:rFonts w:ascii="Cambria" w:eastAsia="Cambria" w:hAnsi="Cambria" w:cs="Cambria"/>
          <w:sz w:val="20"/>
          <w:szCs w:val="20"/>
        </w:rPr>
        <w:t>April</w:t>
      </w:r>
      <w:r w:rsidRPr="00851897">
        <w:rPr>
          <w:rFonts w:ascii="Cambria" w:eastAsia="Cambria" w:hAnsi="Cambria" w:cs="Cambria"/>
          <w:sz w:val="20"/>
          <w:szCs w:val="20"/>
        </w:rPr>
        <w:t xml:space="preserve">, 2020. (Signed):  Joel Hernández, President; Antonia Urrejola, First Vice President; </w:t>
      </w:r>
      <w:proofErr w:type="spellStart"/>
      <w:r w:rsidRPr="00851897">
        <w:rPr>
          <w:rFonts w:ascii="Cambria" w:eastAsia="Cambria" w:hAnsi="Cambria" w:cs="Cambria"/>
          <w:sz w:val="20"/>
          <w:szCs w:val="20"/>
        </w:rPr>
        <w:t>Flávia</w:t>
      </w:r>
      <w:proofErr w:type="spellEnd"/>
      <w:r w:rsidRPr="00851897">
        <w:rPr>
          <w:rFonts w:ascii="Cambria" w:eastAsia="Cambria" w:hAnsi="Cambria" w:cs="Cambria"/>
          <w:sz w:val="20"/>
          <w:szCs w:val="20"/>
        </w:rPr>
        <w:t xml:space="preserve"> </w:t>
      </w:r>
      <w:proofErr w:type="spellStart"/>
      <w:r w:rsidRPr="00851897">
        <w:rPr>
          <w:rFonts w:ascii="Cambria" w:eastAsia="Cambria" w:hAnsi="Cambria" w:cs="Cambria"/>
          <w:sz w:val="20"/>
          <w:szCs w:val="20"/>
        </w:rPr>
        <w:t>Piovesan</w:t>
      </w:r>
      <w:proofErr w:type="spellEnd"/>
      <w:r w:rsidRPr="00851897">
        <w:rPr>
          <w:rFonts w:ascii="Cambria" w:eastAsia="Cambria" w:hAnsi="Cambria" w:cs="Cambria"/>
          <w:sz w:val="20"/>
          <w:szCs w:val="20"/>
        </w:rPr>
        <w:t xml:space="preserve">, Second Vice President; Margarette May Macaulay, Esmeralda E. </w:t>
      </w:r>
      <w:proofErr w:type="spellStart"/>
      <w:r w:rsidRPr="00851897">
        <w:rPr>
          <w:rFonts w:ascii="Cambria" w:eastAsia="Cambria" w:hAnsi="Cambria" w:cs="Cambria"/>
          <w:sz w:val="20"/>
          <w:szCs w:val="20"/>
        </w:rPr>
        <w:t>Arosemena</w:t>
      </w:r>
      <w:proofErr w:type="spellEnd"/>
      <w:r w:rsidRPr="00851897">
        <w:rPr>
          <w:rFonts w:ascii="Cambria" w:eastAsia="Cambria" w:hAnsi="Cambria" w:cs="Cambria"/>
          <w:sz w:val="20"/>
          <w:szCs w:val="20"/>
        </w:rPr>
        <w:t xml:space="preserve"> Bernal de </w:t>
      </w:r>
      <w:proofErr w:type="spellStart"/>
      <w:r w:rsidRPr="00851897">
        <w:rPr>
          <w:rFonts w:ascii="Cambria" w:eastAsia="Cambria" w:hAnsi="Cambria" w:cs="Cambria"/>
          <w:sz w:val="20"/>
          <w:szCs w:val="20"/>
        </w:rPr>
        <w:t>Troitiño</w:t>
      </w:r>
      <w:proofErr w:type="spellEnd"/>
      <w:r w:rsidRPr="00851897">
        <w:rPr>
          <w:rFonts w:ascii="Cambria" w:eastAsia="Cambria" w:hAnsi="Cambria" w:cs="Cambria"/>
          <w:sz w:val="20"/>
          <w:szCs w:val="20"/>
        </w:rPr>
        <w:t xml:space="preserve">, Julissa Mantilla Falcón, and </w:t>
      </w:r>
      <w:proofErr w:type="spellStart"/>
      <w:r w:rsidRPr="00851897">
        <w:rPr>
          <w:rFonts w:ascii="Cambria" w:eastAsia="Cambria" w:hAnsi="Cambria" w:cs="Cambria"/>
          <w:sz w:val="20"/>
          <w:szCs w:val="20"/>
        </w:rPr>
        <w:t>Stuardo</w:t>
      </w:r>
      <w:proofErr w:type="spellEnd"/>
      <w:r w:rsidRPr="00851897">
        <w:rPr>
          <w:rFonts w:ascii="Cambria" w:eastAsia="Cambria" w:hAnsi="Cambria" w:cs="Cambria"/>
          <w:sz w:val="20"/>
          <w:szCs w:val="20"/>
        </w:rPr>
        <w:t xml:space="preserve"> </w:t>
      </w:r>
      <w:proofErr w:type="spellStart"/>
      <w:r w:rsidRPr="00851897">
        <w:rPr>
          <w:rFonts w:ascii="Cambria" w:eastAsia="Cambria" w:hAnsi="Cambria" w:cs="Cambria"/>
          <w:sz w:val="20"/>
          <w:szCs w:val="20"/>
        </w:rPr>
        <w:t>Ralón</w:t>
      </w:r>
      <w:proofErr w:type="spellEnd"/>
      <w:r w:rsidRPr="00851897">
        <w:rPr>
          <w:rFonts w:ascii="Cambria" w:eastAsia="Cambria" w:hAnsi="Cambria" w:cs="Cambria"/>
          <w:sz w:val="20"/>
          <w:szCs w:val="20"/>
        </w:rPr>
        <w:t xml:space="preserve"> Orellana, Commissioners.</w:t>
      </w:r>
      <w:r>
        <w:rPr>
          <w:rFonts w:ascii="Cambria" w:eastAsia="Cambria" w:hAnsi="Cambria" w:cs="Cambria"/>
          <w:sz w:val="20"/>
          <w:szCs w:val="20"/>
        </w:rPr>
        <w:tab/>
      </w:r>
    </w:p>
    <w:sectPr w:rsidR="0085189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CE" w:rsidRDefault="00005DCE">
      <w:r>
        <w:separator/>
      </w:r>
    </w:p>
  </w:endnote>
  <w:endnote w:type="continuationSeparator" w:id="0">
    <w:p w:rsidR="00005DCE" w:rsidRDefault="0000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F6" w:rsidRDefault="00D77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E" w:rsidRDefault="005F76DE">
    <w:pPr>
      <w:pStyle w:val="Footer"/>
      <w:jc w:val="center"/>
    </w:pPr>
    <w:r>
      <w:rPr>
        <w:sz w:val="16"/>
        <w:szCs w:val="16"/>
      </w:rPr>
      <w:fldChar w:fldCharType="begin"/>
    </w:r>
    <w:r>
      <w:rPr>
        <w:sz w:val="16"/>
        <w:szCs w:val="16"/>
      </w:rPr>
      <w:instrText xml:space="preserve"> PAGE </w:instrText>
    </w:r>
    <w:r>
      <w:rPr>
        <w:sz w:val="16"/>
        <w:szCs w:val="16"/>
      </w:rPr>
      <w:fldChar w:fldCharType="separate"/>
    </w:r>
    <w:r w:rsidR="00D77EF6">
      <w:rPr>
        <w:noProof/>
        <w:sz w:val="16"/>
        <w:szCs w:val="16"/>
      </w:rPr>
      <w:t>1</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E" w:rsidRDefault="008A209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CE" w:rsidRDefault="00005DCE">
      <w:r>
        <w:separator/>
      </w:r>
    </w:p>
  </w:footnote>
  <w:footnote w:type="continuationSeparator" w:id="0">
    <w:p w:rsidR="00005DCE" w:rsidRDefault="00005DCE">
      <w:r>
        <w:continuationSeparator/>
      </w:r>
    </w:p>
  </w:footnote>
  <w:footnote w:type="continuationNotice" w:id="1">
    <w:p w:rsidR="00005DCE" w:rsidRDefault="00005DCE"/>
  </w:footnote>
  <w:footnote w:id="2">
    <w:p w:rsidR="008A209E" w:rsidRDefault="00851897">
      <w:pPr>
        <w:pStyle w:val="FootnoteText"/>
        <w:jc w:val="both"/>
      </w:pPr>
      <w:r>
        <w:rPr>
          <w:rFonts w:ascii="Cambria" w:eastAsia="Cambria" w:hAnsi="Cambria" w:cs="Cambria"/>
          <w:sz w:val="16"/>
          <w:szCs w:val="16"/>
        </w:rPr>
        <w:tab/>
      </w:r>
      <w:r w:rsidR="005F76DE" w:rsidRPr="00851897">
        <w:rPr>
          <w:rFonts w:ascii="Cambria" w:eastAsia="Cambria" w:hAnsi="Cambria" w:cs="Cambria"/>
          <w:bCs/>
          <w:vertAlign w:val="superscript"/>
        </w:rPr>
        <w:footnoteRef/>
      </w:r>
      <w:r w:rsidR="005F76DE" w:rsidRPr="00851897">
        <w:rPr>
          <w:rFonts w:ascii="Cambria" w:eastAsia="Cambria" w:hAnsi="Cambria" w:cs="Cambria"/>
          <w:sz w:val="16"/>
          <w:szCs w:val="16"/>
        </w:rPr>
        <w:t xml:space="preserve"> </w:t>
      </w:r>
      <w:r w:rsidR="005F76DE">
        <w:rPr>
          <w:rFonts w:ascii="Cambria" w:eastAsia="Cambria" w:hAnsi="Cambria" w:cs="Cambria"/>
          <w:sz w:val="16"/>
          <w:szCs w:val="16"/>
        </w:rPr>
        <w:t>The observations submitted by each party were duly transmitted to the opposing party.</w:t>
      </w:r>
    </w:p>
  </w:footnote>
  <w:footnote w:id="3">
    <w:p w:rsidR="008A209E" w:rsidRDefault="00AF0507">
      <w:pPr>
        <w:pStyle w:val="FootnoteText"/>
        <w:jc w:val="both"/>
      </w:pPr>
      <w:r>
        <w:rPr>
          <w:rFonts w:ascii="Cambria" w:eastAsia="Cambria" w:hAnsi="Cambria" w:cs="Cambria"/>
          <w:sz w:val="16"/>
          <w:szCs w:val="16"/>
        </w:rPr>
        <w:tab/>
      </w:r>
      <w:r w:rsidR="005F76DE">
        <w:rPr>
          <w:rFonts w:ascii="Cambria" w:eastAsia="Cambria" w:hAnsi="Cambria" w:cs="Cambria"/>
          <w:vertAlign w:val="superscript"/>
        </w:rPr>
        <w:footnoteRef/>
      </w:r>
      <w:r w:rsidR="005F76DE">
        <w:rPr>
          <w:rFonts w:ascii="Cambria" w:eastAsia="Cambria" w:hAnsi="Cambria" w:cs="Cambria"/>
          <w:sz w:val="16"/>
          <w:szCs w:val="16"/>
        </w:rPr>
        <w:t xml:space="preserve"> In Spanish “</w:t>
      </w:r>
      <w:proofErr w:type="spellStart"/>
      <w:r w:rsidR="005F76DE">
        <w:rPr>
          <w:rFonts w:ascii="Cambria" w:eastAsia="Cambria" w:hAnsi="Cambria" w:cs="Cambria"/>
          <w:sz w:val="16"/>
          <w:szCs w:val="16"/>
        </w:rPr>
        <w:t>una</w:t>
      </w:r>
      <w:proofErr w:type="spellEnd"/>
      <w:r w:rsidR="005F76DE">
        <w:rPr>
          <w:rFonts w:ascii="Cambria" w:eastAsia="Cambria" w:hAnsi="Cambria" w:cs="Cambria"/>
          <w:sz w:val="16"/>
          <w:szCs w:val="16"/>
        </w:rPr>
        <w:t xml:space="preserve"> </w:t>
      </w:r>
      <w:proofErr w:type="spellStart"/>
      <w:r w:rsidR="005F76DE">
        <w:rPr>
          <w:rFonts w:ascii="Cambria" w:eastAsia="Cambria" w:hAnsi="Cambria" w:cs="Cambria"/>
          <w:sz w:val="16"/>
          <w:szCs w:val="16"/>
        </w:rPr>
        <w:t>sociedad</w:t>
      </w:r>
      <w:proofErr w:type="spellEnd"/>
      <w:r w:rsidR="005F76DE">
        <w:rPr>
          <w:rFonts w:ascii="Cambria" w:eastAsia="Cambria" w:hAnsi="Cambria" w:cs="Cambria"/>
          <w:sz w:val="16"/>
          <w:szCs w:val="16"/>
        </w:rPr>
        <w:t xml:space="preserve">”.  </w:t>
      </w:r>
    </w:p>
  </w:footnote>
  <w:footnote w:id="4">
    <w:p w:rsidR="008A209E" w:rsidRDefault="00AF0507">
      <w:pPr>
        <w:pStyle w:val="FootnoteText"/>
        <w:jc w:val="both"/>
      </w:pPr>
      <w:r>
        <w:rPr>
          <w:rFonts w:ascii="Cambria" w:eastAsia="Cambria" w:hAnsi="Cambria" w:cs="Cambria"/>
          <w:sz w:val="16"/>
          <w:szCs w:val="16"/>
        </w:rPr>
        <w:tab/>
      </w:r>
      <w:r w:rsidR="005F76DE">
        <w:rPr>
          <w:rFonts w:ascii="Cambria" w:eastAsia="Cambria" w:hAnsi="Cambria" w:cs="Cambria"/>
          <w:vertAlign w:val="superscript"/>
        </w:rPr>
        <w:footnoteRef/>
      </w:r>
      <w:r w:rsidR="005F76DE">
        <w:rPr>
          <w:rFonts w:ascii="Cambria" w:eastAsia="Cambria" w:hAnsi="Cambria" w:cs="Cambria"/>
          <w:sz w:val="16"/>
          <w:szCs w:val="16"/>
        </w:rPr>
        <w:t xml:space="preserve"> These family members are: Teresa </w:t>
      </w:r>
      <w:proofErr w:type="spellStart"/>
      <w:r w:rsidR="005F76DE">
        <w:rPr>
          <w:rFonts w:ascii="Cambria" w:eastAsia="Cambria" w:hAnsi="Cambria" w:cs="Cambria"/>
          <w:sz w:val="16"/>
          <w:szCs w:val="16"/>
        </w:rPr>
        <w:t>Gracia</w:t>
      </w:r>
      <w:proofErr w:type="spellEnd"/>
      <w:r w:rsidR="005F76DE">
        <w:rPr>
          <w:rFonts w:ascii="Cambria" w:eastAsia="Cambria" w:hAnsi="Cambria" w:cs="Cambria"/>
          <w:sz w:val="16"/>
          <w:szCs w:val="16"/>
        </w:rPr>
        <w:t xml:space="preserve"> </w:t>
      </w:r>
      <w:proofErr w:type="spellStart"/>
      <w:r w:rsidR="005F76DE">
        <w:rPr>
          <w:rFonts w:ascii="Cambria" w:eastAsia="Cambria" w:hAnsi="Cambria" w:cs="Cambria"/>
          <w:sz w:val="16"/>
          <w:szCs w:val="16"/>
        </w:rPr>
        <w:t>Olarte</w:t>
      </w:r>
      <w:proofErr w:type="spellEnd"/>
      <w:r w:rsidR="005F76DE">
        <w:rPr>
          <w:rFonts w:ascii="Cambria" w:eastAsia="Cambria" w:hAnsi="Cambria" w:cs="Cambria"/>
          <w:sz w:val="16"/>
          <w:szCs w:val="16"/>
        </w:rPr>
        <w:t xml:space="preserve"> (wife of Mr. </w:t>
      </w:r>
      <w:proofErr w:type="spellStart"/>
      <w:r w:rsidR="005F76DE">
        <w:rPr>
          <w:rFonts w:ascii="Cambria" w:eastAsia="Cambria" w:hAnsi="Cambria" w:cs="Cambria"/>
          <w:sz w:val="16"/>
          <w:szCs w:val="16"/>
        </w:rPr>
        <w:t>Aldaz</w:t>
      </w:r>
      <w:proofErr w:type="spellEnd"/>
      <w:proofErr w:type="gramStart"/>
      <w:r w:rsidR="005F76DE">
        <w:rPr>
          <w:rFonts w:ascii="Cambria" w:eastAsia="Cambria" w:hAnsi="Cambria" w:cs="Cambria"/>
          <w:sz w:val="16"/>
          <w:szCs w:val="16"/>
        </w:rPr>
        <w:t>) ,</w:t>
      </w:r>
      <w:proofErr w:type="gramEnd"/>
      <w:r w:rsidR="005F76DE">
        <w:rPr>
          <w:rFonts w:ascii="Cambria" w:eastAsia="Cambria" w:hAnsi="Cambria" w:cs="Cambria"/>
          <w:sz w:val="16"/>
          <w:szCs w:val="16"/>
        </w:rPr>
        <w:t xml:space="preserve"> Benazir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Gracias (child of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Valeria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Gracias (child of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w:t>
      </w:r>
      <w:proofErr w:type="spellStart"/>
      <w:r w:rsidR="005F76DE">
        <w:rPr>
          <w:rFonts w:ascii="Cambria" w:eastAsia="Cambria" w:hAnsi="Cambria" w:cs="Cambria"/>
          <w:sz w:val="16"/>
          <w:szCs w:val="16"/>
        </w:rPr>
        <w:t>Romelia</w:t>
      </w:r>
      <w:proofErr w:type="spellEnd"/>
      <w:r w:rsidR="005F76DE">
        <w:rPr>
          <w:rFonts w:ascii="Cambria" w:eastAsia="Cambria" w:hAnsi="Cambria" w:cs="Cambria"/>
          <w:sz w:val="16"/>
          <w:szCs w:val="16"/>
        </w:rPr>
        <w:t xml:space="preserve"> Castillo </w:t>
      </w:r>
      <w:proofErr w:type="spellStart"/>
      <w:r w:rsidR="005F76DE">
        <w:rPr>
          <w:rFonts w:ascii="Cambria" w:eastAsia="Cambria" w:hAnsi="Cambria" w:cs="Cambria"/>
          <w:sz w:val="16"/>
          <w:szCs w:val="16"/>
        </w:rPr>
        <w:t>Patiño</w:t>
      </w:r>
      <w:proofErr w:type="spellEnd"/>
      <w:r w:rsidR="005F76DE">
        <w:rPr>
          <w:rFonts w:ascii="Cambria" w:eastAsia="Cambria" w:hAnsi="Cambria" w:cs="Cambria"/>
          <w:sz w:val="16"/>
          <w:szCs w:val="16"/>
        </w:rPr>
        <w:t xml:space="preserve"> (mother of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and Jose Omar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(brother of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Apart from being a member/partner of the company,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also functioned as its manager.</w:t>
      </w:r>
    </w:p>
  </w:footnote>
  <w:footnote w:id="5">
    <w:p w:rsidR="008A209E" w:rsidRDefault="00AF0507">
      <w:pPr>
        <w:pStyle w:val="FootnoteText"/>
        <w:jc w:val="both"/>
      </w:pPr>
      <w:r>
        <w:rPr>
          <w:rFonts w:ascii="Cambria" w:eastAsia="Cambria" w:hAnsi="Cambria" w:cs="Cambria"/>
          <w:sz w:val="16"/>
          <w:szCs w:val="16"/>
        </w:rPr>
        <w:tab/>
      </w:r>
      <w:r w:rsidR="005F76DE">
        <w:rPr>
          <w:rFonts w:ascii="Cambria" w:eastAsia="Cambria" w:hAnsi="Cambria" w:cs="Cambria"/>
          <w:i/>
          <w:iCs/>
          <w:vertAlign w:val="superscript"/>
        </w:rPr>
        <w:footnoteRef/>
      </w:r>
      <w:r w:rsidR="005F76DE">
        <w:rPr>
          <w:rFonts w:ascii="Cambria" w:eastAsia="Cambria" w:hAnsi="Cambria" w:cs="Cambria"/>
          <w:sz w:val="16"/>
          <w:szCs w:val="16"/>
        </w:rPr>
        <w:t xml:space="preserve"> Shortly after filing the petition, the petitioner submitted a corrigendum requesting the deletion of “</w:t>
      </w:r>
      <w:r w:rsidR="005F76DE">
        <w:rPr>
          <w:rFonts w:ascii="Cambria" w:eastAsia="Cambria" w:hAnsi="Cambria" w:cs="Cambria"/>
          <w:i/>
          <w:iCs/>
          <w:sz w:val="16"/>
          <w:szCs w:val="16"/>
        </w:rPr>
        <w:t xml:space="preserve">El </w:t>
      </w:r>
      <w:proofErr w:type="spellStart"/>
      <w:r w:rsidR="005F76DE">
        <w:rPr>
          <w:rFonts w:ascii="Cambria" w:eastAsia="Cambria" w:hAnsi="Cambria" w:cs="Cambria"/>
          <w:i/>
          <w:iCs/>
          <w:sz w:val="16"/>
          <w:szCs w:val="16"/>
        </w:rPr>
        <w:t>Proveedor</w:t>
      </w:r>
      <w:proofErr w:type="spellEnd"/>
      <w:r w:rsidR="005F76DE">
        <w:rPr>
          <w:rFonts w:ascii="Cambria" w:eastAsia="Cambria" w:hAnsi="Cambria" w:cs="Cambria"/>
          <w:i/>
          <w:iCs/>
          <w:sz w:val="16"/>
          <w:szCs w:val="16"/>
        </w:rPr>
        <w:t xml:space="preserve"> </w:t>
      </w:r>
      <w:proofErr w:type="spellStart"/>
      <w:r w:rsidR="005F76DE">
        <w:rPr>
          <w:rFonts w:ascii="Cambria" w:eastAsia="Cambria" w:hAnsi="Cambria" w:cs="Cambria"/>
          <w:i/>
          <w:iCs/>
          <w:sz w:val="16"/>
          <w:szCs w:val="16"/>
        </w:rPr>
        <w:t>Mayorista</w:t>
      </w:r>
      <w:proofErr w:type="spellEnd"/>
      <w:r w:rsidR="005F76DE">
        <w:rPr>
          <w:rFonts w:ascii="Cambria" w:eastAsia="Cambria" w:hAnsi="Cambria" w:cs="Cambria"/>
          <w:i/>
          <w:iCs/>
          <w:sz w:val="16"/>
          <w:szCs w:val="16"/>
        </w:rPr>
        <w:t xml:space="preserve"> </w:t>
      </w:r>
      <w:proofErr w:type="spellStart"/>
      <w:r w:rsidR="005F76DE">
        <w:rPr>
          <w:rFonts w:ascii="Cambria" w:eastAsia="Cambria" w:hAnsi="Cambria" w:cs="Cambria"/>
          <w:i/>
          <w:iCs/>
          <w:sz w:val="16"/>
          <w:szCs w:val="16"/>
        </w:rPr>
        <w:t>Limitada</w:t>
      </w:r>
      <w:proofErr w:type="spellEnd"/>
      <w:r w:rsidR="005F76DE">
        <w:rPr>
          <w:rFonts w:ascii="Cambria" w:eastAsia="Cambria" w:hAnsi="Cambria" w:cs="Cambria"/>
          <w:sz w:val="16"/>
          <w:szCs w:val="16"/>
        </w:rPr>
        <w:t xml:space="preserve">” as an alleged victim, on the ground that it is a juridical (and not a natural) person, and therefore lacks legal standing before the IACHR.  However, the petitioner asked that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and his family continue to be processed as alleged victims, in their capacity as natural personas and as members/owners of </w:t>
      </w:r>
      <w:r w:rsidR="005F76DE">
        <w:rPr>
          <w:rFonts w:ascii="Cambria" w:eastAsia="Cambria" w:hAnsi="Cambria" w:cs="Cambria"/>
          <w:i/>
          <w:iCs/>
          <w:sz w:val="16"/>
          <w:szCs w:val="16"/>
        </w:rPr>
        <w:t xml:space="preserve">El </w:t>
      </w:r>
      <w:proofErr w:type="spellStart"/>
      <w:r w:rsidR="005F76DE">
        <w:rPr>
          <w:rFonts w:ascii="Cambria" w:eastAsia="Cambria" w:hAnsi="Cambria" w:cs="Cambria"/>
          <w:i/>
          <w:iCs/>
          <w:sz w:val="16"/>
          <w:szCs w:val="16"/>
        </w:rPr>
        <w:t>Proveedor</w:t>
      </w:r>
      <w:proofErr w:type="spellEnd"/>
      <w:r w:rsidR="005F76DE">
        <w:rPr>
          <w:rFonts w:ascii="Cambria" w:eastAsia="Cambria" w:hAnsi="Cambria" w:cs="Cambria"/>
          <w:i/>
          <w:iCs/>
          <w:sz w:val="16"/>
          <w:szCs w:val="16"/>
        </w:rPr>
        <w:t xml:space="preserve"> </w:t>
      </w:r>
      <w:proofErr w:type="spellStart"/>
      <w:r w:rsidR="005F76DE">
        <w:rPr>
          <w:rFonts w:ascii="Cambria" w:eastAsia="Cambria" w:hAnsi="Cambria" w:cs="Cambria"/>
          <w:i/>
          <w:iCs/>
          <w:sz w:val="16"/>
          <w:szCs w:val="16"/>
        </w:rPr>
        <w:t>Mayorista</w:t>
      </w:r>
      <w:proofErr w:type="spellEnd"/>
      <w:r w:rsidR="005F76DE">
        <w:rPr>
          <w:rFonts w:ascii="Cambria" w:eastAsia="Cambria" w:hAnsi="Cambria" w:cs="Cambria"/>
          <w:i/>
          <w:iCs/>
          <w:sz w:val="16"/>
          <w:szCs w:val="16"/>
        </w:rPr>
        <w:t xml:space="preserve"> </w:t>
      </w:r>
      <w:proofErr w:type="spellStart"/>
      <w:r w:rsidR="005F76DE">
        <w:rPr>
          <w:rFonts w:ascii="Cambria" w:eastAsia="Cambria" w:hAnsi="Cambria" w:cs="Cambria"/>
          <w:i/>
          <w:iCs/>
          <w:sz w:val="16"/>
          <w:szCs w:val="16"/>
        </w:rPr>
        <w:t>Limitada</w:t>
      </w:r>
      <w:proofErr w:type="spellEnd"/>
      <w:r w:rsidR="005F76DE">
        <w:rPr>
          <w:rFonts w:ascii="Cambria" w:eastAsia="Cambria" w:hAnsi="Cambria" w:cs="Cambria"/>
          <w:sz w:val="16"/>
          <w:szCs w:val="16"/>
        </w:rPr>
        <w:t>.</w:t>
      </w:r>
    </w:p>
  </w:footnote>
  <w:footnote w:id="6">
    <w:p w:rsidR="008A209E" w:rsidRPr="00622F98" w:rsidRDefault="00AF0507">
      <w:pPr>
        <w:pStyle w:val="FootnoteText"/>
        <w:jc w:val="both"/>
        <w:rPr>
          <w:lang w:val="es-US"/>
        </w:rPr>
      </w:pPr>
      <w:r w:rsidRPr="001E6EE8">
        <w:rPr>
          <w:rFonts w:ascii="Cambria" w:eastAsia="Cambria" w:hAnsi="Cambria" w:cs="Cambria"/>
          <w:sz w:val="16"/>
          <w:szCs w:val="16"/>
        </w:rPr>
        <w:tab/>
      </w:r>
      <w:r w:rsidR="005F76DE">
        <w:rPr>
          <w:rFonts w:ascii="Cambria" w:eastAsia="Cambria" w:hAnsi="Cambria" w:cs="Cambria"/>
          <w:vertAlign w:val="superscript"/>
          <w:lang w:val="es-ES_tradnl"/>
        </w:rPr>
        <w:footnoteRef/>
      </w:r>
      <w:r w:rsidR="005F76DE">
        <w:rPr>
          <w:rFonts w:ascii="Cambria" w:eastAsia="Cambria" w:hAnsi="Cambria" w:cs="Cambria"/>
          <w:sz w:val="16"/>
          <w:szCs w:val="16"/>
          <w:lang w:val="es-ES_tradnl"/>
        </w:rPr>
        <w:t xml:space="preserve"> Fuerzas Armadas de Revolucionarias de Colombia (</w:t>
      </w:r>
      <w:proofErr w:type="spellStart"/>
      <w:r w:rsidR="005F76DE">
        <w:rPr>
          <w:rFonts w:ascii="Cambria" w:eastAsia="Cambria" w:hAnsi="Cambria" w:cs="Cambria"/>
          <w:sz w:val="16"/>
          <w:szCs w:val="16"/>
          <w:lang w:val="es-ES_tradnl"/>
        </w:rPr>
        <w:t>Armed</w:t>
      </w:r>
      <w:proofErr w:type="spellEnd"/>
      <w:r w:rsidR="005F76DE">
        <w:rPr>
          <w:rFonts w:ascii="Cambria" w:eastAsia="Cambria" w:hAnsi="Cambria" w:cs="Cambria"/>
          <w:sz w:val="16"/>
          <w:szCs w:val="16"/>
          <w:lang w:val="es-ES_tradnl"/>
        </w:rPr>
        <w:t xml:space="preserve"> </w:t>
      </w:r>
      <w:proofErr w:type="spellStart"/>
      <w:r w:rsidR="005F76DE">
        <w:rPr>
          <w:rFonts w:ascii="Cambria" w:eastAsia="Cambria" w:hAnsi="Cambria" w:cs="Cambria"/>
          <w:sz w:val="16"/>
          <w:szCs w:val="16"/>
          <w:lang w:val="es-ES_tradnl"/>
        </w:rPr>
        <w:t>Revolutionary</w:t>
      </w:r>
      <w:proofErr w:type="spellEnd"/>
      <w:r w:rsidR="005F76DE">
        <w:rPr>
          <w:rFonts w:ascii="Cambria" w:eastAsia="Cambria" w:hAnsi="Cambria" w:cs="Cambria"/>
          <w:sz w:val="16"/>
          <w:szCs w:val="16"/>
          <w:lang w:val="es-ES_tradnl"/>
        </w:rPr>
        <w:t xml:space="preserve"> </w:t>
      </w:r>
      <w:proofErr w:type="spellStart"/>
      <w:r w:rsidR="005F76DE">
        <w:rPr>
          <w:rFonts w:ascii="Cambria" w:eastAsia="Cambria" w:hAnsi="Cambria" w:cs="Cambria"/>
          <w:sz w:val="16"/>
          <w:szCs w:val="16"/>
          <w:lang w:val="es-ES_tradnl"/>
        </w:rPr>
        <w:t>Forces</w:t>
      </w:r>
      <w:proofErr w:type="spellEnd"/>
      <w:r w:rsidR="005F76DE">
        <w:rPr>
          <w:rFonts w:ascii="Cambria" w:eastAsia="Cambria" w:hAnsi="Cambria" w:cs="Cambria"/>
          <w:sz w:val="16"/>
          <w:szCs w:val="16"/>
          <w:lang w:val="es-ES_tradnl"/>
        </w:rPr>
        <w:t xml:space="preserve"> of Colombia).</w:t>
      </w:r>
    </w:p>
  </w:footnote>
  <w:footnote w:id="7">
    <w:p w:rsidR="008A209E" w:rsidRDefault="00AF0507">
      <w:pPr>
        <w:pStyle w:val="FootnoteText"/>
        <w:jc w:val="both"/>
      </w:pPr>
      <w:r w:rsidRPr="001E6EE8">
        <w:rPr>
          <w:rFonts w:ascii="Cambria" w:eastAsia="Cambria" w:hAnsi="Cambria" w:cs="Cambria"/>
          <w:sz w:val="16"/>
          <w:szCs w:val="16"/>
          <w:lang w:val="es-US"/>
        </w:rPr>
        <w:tab/>
      </w:r>
      <w:r w:rsidR="005F76DE">
        <w:rPr>
          <w:rFonts w:ascii="Cambria" w:eastAsia="Cambria" w:hAnsi="Cambria" w:cs="Cambria"/>
          <w:vertAlign w:val="superscript"/>
        </w:rPr>
        <w:footnoteRef/>
      </w:r>
      <w:r>
        <w:rPr>
          <w:rFonts w:ascii="Cambria" w:eastAsia="Cambria" w:hAnsi="Cambria" w:cs="Cambria"/>
          <w:sz w:val="16"/>
          <w:szCs w:val="16"/>
        </w:rPr>
        <w:t xml:space="preserve"> </w:t>
      </w:r>
      <w:r w:rsidR="005F76DE">
        <w:rPr>
          <w:rFonts w:ascii="Cambria" w:eastAsia="Cambria" w:hAnsi="Cambria" w:cs="Cambria"/>
          <w:sz w:val="16"/>
          <w:szCs w:val="16"/>
        </w:rPr>
        <w:t>According to the record, these businesses were established and managed on the same property, but at different locations (on the property).</w:t>
      </w:r>
    </w:p>
  </w:footnote>
  <w:footnote w:id="8">
    <w:p w:rsidR="008A209E" w:rsidRDefault="00AF0507">
      <w:pPr>
        <w:pStyle w:val="FootnoteText"/>
        <w:jc w:val="both"/>
      </w:pPr>
      <w:r>
        <w:rPr>
          <w:rFonts w:ascii="Cambria" w:eastAsia="Cambria" w:hAnsi="Cambria" w:cs="Cambria"/>
          <w:sz w:val="16"/>
          <w:szCs w:val="16"/>
        </w:rPr>
        <w:tab/>
      </w:r>
      <w:r w:rsidR="005F76DE">
        <w:rPr>
          <w:rFonts w:ascii="Cambria" w:eastAsia="Cambria" w:hAnsi="Cambria" w:cs="Cambria"/>
          <w:i/>
          <w:iCs/>
          <w:vertAlign w:val="superscript"/>
        </w:rPr>
        <w:footnoteRef/>
      </w:r>
      <w:r w:rsidR="005F76DE">
        <w:rPr>
          <w:rFonts w:ascii="Cambria" w:eastAsia="Cambria" w:hAnsi="Cambria" w:cs="Cambria"/>
          <w:sz w:val="16"/>
          <w:szCs w:val="16"/>
        </w:rPr>
        <w:t xml:space="preserve"> Hereinafter referred to “the FGN”. </w:t>
      </w:r>
    </w:p>
  </w:footnote>
  <w:footnote w:id="9">
    <w:p w:rsidR="008A209E" w:rsidRDefault="00AF0507">
      <w:pPr>
        <w:pStyle w:val="FootnoteText"/>
        <w:jc w:val="both"/>
      </w:pPr>
      <w:r>
        <w:rPr>
          <w:rFonts w:ascii="Cambria" w:eastAsia="Cambria" w:hAnsi="Cambria" w:cs="Cambria"/>
          <w:sz w:val="16"/>
          <w:szCs w:val="16"/>
        </w:rPr>
        <w:tab/>
      </w:r>
      <w:r w:rsidR="005F76DE">
        <w:rPr>
          <w:rFonts w:ascii="Cambria" w:eastAsia="Cambria" w:hAnsi="Cambria" w:cs="Cambria"/>
          <w:i/>
          <w:iCs/>
          <w:vertAlign w:val="superscript"/>
        </w:rPr>
        <w:footnoteRef/>
      </w:r>
      <w:r w:rsidR="005F76DE">
        <w:rPr>
          <w:rFonts w:ascii="Cambria" w:eastAsia="Cambria" w:hAnsi="Cambria" w:cs="Cambria"/>
          <w:sz w:val="16"/>
          <w:szCs w:val="16"/>
        </w:rPr>
        <w:t xml:space="preserve"> Contentious Administrative Tribunal of Meta. </w:t>
      </w:r>
    </w:p>
  </w:footnote>
  <w:footnote w:id="10">
    <w:p w:rsidR="008A209E" w:rsidRDefault="00851897">
      <w:pPr>
        <w:pStyle w:val="FootnoteText"/>
        <w:jc w:val="both"/>
      </w:pPr>
      <w:r>
        <w:rPr>
          <w:rFonts w:ascii="Cambria" w:eastAsia="Cambria" w:hAnsi="Cambria" w:cs="Cambria"/>
          <w:sz w:val="16"/>
          <w:szCs w:val="16"/>
        </w:rPr>
        <w:tab/>
      </w:r>
      <w:r w:rsidR="005F76DE">
        <w:rPr>
          <w:rFonts w:ascii="Cambria" w:eastAsia="Cambria" w:hAnsi="Cambria" w:cs="Cambria"/>
          <w:vertAlign w:val="superscript"/>
        </w:rPr>
        <w:footnoteRef/>
      </w:r>
      <w:r w:rsidR="005F76DE">
        <w:rPr>
          <w:rFonts w:ascii="Cambria" w:eastAsia="Cambria" w:hAnsi="Cambria" w:cs="Cambria"/>
          <w:sz w:val="16"/>
          <w:szCs w:val="16"/>
        </w:rPr>
        <w:t xml:space="preserve"> According to the petitioner, this office was attached to a criminal court (</w:t>
      </w:r>
      <w:r w:rsidR="005F76DE">
        <w:rPr>
          <w:rFonts w:ascii="Cambria" w:eastAsia="Cambria" w:hAnsi="Cambria" w:cs="Cambria"/>
          <w:i/>
          <w:iCs/>
          <w:sz w:val="16"/>
          <w:szCs w:val="16"/>
        </w:rPr>
        <w:t xml:space="preserve">Los </w:t>
      </w:r>
      <w:proofErr w:type="spellStart"/>
      <w:r w:rsidR="005F76DE">
        <w:rPr>
          <w:rFonts w:ascii="Cambria" w:eastAsia="Cambria" w:hAnsi="Cambria" w:cs="Cambria"/>
          <w:i/>
          <w:iCs/>
          <w:sz w:val="16"/>
          <w:szCs w:val="16"/>
        </w:rPr>
        <w:t>Jueces</w:t>
      </w:r>
      <w:proofErr w:type="spellEnd"/>
      <w:r w:rsidR="005F76DE">
        <w:rPr>
          <w:rFonts w:ascii="Cambria" w:eastAsia="Cambria" w:hAnsi="Cambria" w:cs="Cambria"/>
          <w:i/>
          <w:iCs/>
          <w:sz w:val="16"/>
          <w:szCs w:val="16"/>
        </w:rPr>
        <w:t xml:space="preserve"> </w:t>
      </w:r>
      <w:proofErr w:type="spellStart"/>
      <w:r w:rsidR="005F76DE">
        <w:rPr>
          <w:rFonts w:ascii="Cambria" w:eastAsia="Cambria" w:hAnsi="Cambria" w:cs="Cambria"/>
          <w:i/>
          <w:iCs/>
          <w:sz w:val="16"/>
          <w:szCs w:val="16"/>
        </w:rPr>
        <w:t>Penales</w:t>
      </w:r>
      <w:proofErr w:type="spellEnd"/>
      <w:r w:rsidR="005F76DE">
        <w:rPr>
          <w:rFonts w:ascii="Cambria" w:eastAsia="Cambria" w:hAnsi="Cambria" w:cs="Cambria"/>
          <w:i/>
          <w:iCs/>
          <w:sz w:val="16"/>
          <w:szCs w:val="16"/>
        </w:rPr>
        <w:t xml:space="preserve"> </w:t>
      </w:r>
      <w:proofErr w:type="gramStart"/>
      <w:r w:rsidR="005F76DE">
        <w:rPr>
          <w:rFonts w:ascii="Cambria" w:eastAsia="Cambria" w:hAnsi="Cambria" w:cs="Cambria"/>
          <w:i/>
          <w:iCs/>
          <w:sz w:val="16"/>
          <w:szCs w:val="16"/>
        </w:rPr>
        <w:t>del</w:t>
      </w:r>
      <w:proofErr w:type="gramEnd"/>
      <w:r w:rsidR="005F76DE">
        <w:rPr>
          <w:rFonts w:ascii="Cambria" w:eastAsia="Cambria" w:hAnsi="Cambria" w:cs="Cambria"/>
          <w:i/>
          <w:iCs/>
          <w:sz w:val="16"/>
          <w:szCs w:val="16"/>
        </w:rPr>
        <w:t xml:space="preserve"> </w:t>
      </w:r>
      <w:proofErr w:type="spellStart"/>
      <w:r w:rsidR="005F76DE">
        <w:rPr>
          <w:rFonts w:ascii="Cambria" w:eastAsia="Cambria" w:hAnsi="Cambria" w:cs="Cambria"/>
          <w:i/>
          <w:iCs/>
          <w:sz w:val="16"/>
          <w:szCs w:val="16"/>
        </w:rPr>
        <w:t>Circuito</w:t>
      </w:r>
      <w:proofErr w:type="spellEnd"/>
      <w:r w:rsidR="005F76DE">
        <w:rPr>
          <w:rFonts w:ascii="Cambria" w:eastAsia="Cambria" w:hAnsi="Cambria" w:cs="Cambria"/>
          <w:i/>
          <w:iCs/>
          <w:sz w:val="16"/>
          <w:szCs w:val="16"/>
        </w:rPr>
        <w:t xml:space="preserve"> </w:t>
      </w:r>
      <w:proofErr w:type="spellStart"/>
      <w:r w:rsidR="005F76DE">
        <w:rPr>
          <w:rFonts w:ascii="Cambria" w:eastAsia="Cambria" w:hAnsi="Cambria" w:cs="Cambria"/>
          <w:i/>
          <w:iCs/>
          <w:sz w:val="16"/>
          <w:szCs w:val="16"/>
        </w:rPr>
        <w:t>Especializados</w:t>
      </w:r>
      <w:proofErr w:type="spellEnd"/>
      <w:r w:rsidR="005F76DE">
        <w:rPr>
          <w:rFonts w:ascii="Cambria" w:eastAsia="Cambria" w:hAnsi="Cambria" w:cs="Cambria"/>
          <w:i/>
          <w:iCs/>
          <w:sz w:val="16"/>
          <w:szCs w:val="16"/>
        </w:rPr>
        <w:t xml:space="preserve"> de Villavicencio</w:t>
      </w:r>
      <w:r w:rsidR="005F76DE">
        <w:rPr>
          <w:rFonts w:ascii="Cambria" w:eastAsia="Cambria" w:hAnsi="Cambria" w:cs="Cambria"/>
          <w:sz w:val="16"/>
          <w:szCs w:val="16"/>
        </w:rPr>
        <w:t>).</w:t>
      </w:r>
      <w:r>
        <w:rPr>
          <w:rFonts w:ascii="Cambria" w:eastAsia="Cambria" w:hAnsi="Cambria" w:cs="Cambria"/>
          <w:sz w:val="16"/>
          <w:szCs w:val="16"/>
        </w:rPr>
        <w:tab/>
      </w:r>
    </w:p>
  </w:footnote>
  <w:footnote w:id="11">
    <w:p w:rsidR="008A209E" w:rsidRDefault="00851897">
      <w:pPr>
        <w:pStyle w:val="FootnoteText"/>
        <w:jc w:val="both"/>
      </w:pPr>
      <w:r>
        <w:rPr>
          <w:rFonts w:ascii="Cambria" w:eastAsia="Cambria" w:hAnsi="Cambria" w:cs="Cambria"/>
          <w:sz w:val="16"/>
          <w:szCs w:val="16"/>
        </w:rPr>
        <w:tab/>
      </w:r>
      <w:r w:rsidR="005F76DE">
        <w:rPr>
          <w:rFonts w:ascii="Cambria" w:eastAsia="Cambria" w:hAnsi="Cambria" w:cs="Cambria"/>
          <w:vertAlign w:val="superscript"/>
        </w:rPr>
        <w:footnoteRef/>
      </w:r>
      <w:r w:rsidR="005F76DE">
        <w:rPr>
          <w:rFonts w:ascii="Cambria" w:eastAsia="Cambria" w:hAnsi="Cambria" w:cs="Cambria"/>
          <w:sz w:val="16"/>
          <w:szCs w:val="16"/>
        </w:rPr>
        <w:t xml:space="preserve"> Relating primarily to </w:t>
      </w:r>
      <w:r w:rsidR="005F76DE">
        <w:rPr>
          <w:rFonts w:ascii="Cambria" w:eastAsia="Cambria" w:hAnsi="Cambria" w:cs="Cambria"/>
          <w:i/>
          <w:iCs/>
          <w:sz w:val="16"/>
          <w:szCs w:val="16"/>
        </w:rPr>
        <w:t>Casa Cristal</w:t>
      </w:r>
      <w:r w:rsidR="005F76DE">
        <w:rPr>
          <w:rFonts w:ascii="Cambria" w:eastAsia="Cambria" w:hAnsi="Cambria" w:cs="Cambria"/>
          <w:sz w:val="16"/>
          <w:szCs w:val="16"/>
        </w:rPr>
        <w:t xml:space="preserve">, the business owned by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in his personal capacity.</w:t>
      </w:r>
    </w:p>
  </w:footnote>
  <w:footnote w:id="12">
    <w:p w:rsidR="008A209E" w:rsidRPr="00622F98" w:rsidRDefault="00851897">
      <w:pPr>
        <w:pStyle w:val="FootnoteText"/>
        <w:jc w:val="both"/>
        <w:rPr>
          <w:lang w:val="es-US"/>
        </w:rPr>
      </w:pPr>
      <w:r w:rsidRPr="001E6EE8">
        <w:rPr>
          <w:rFonts w:ascii="Cambria" w:eastAsia="Cambria" w:hAnsi="Cambria" w:cs="Cambria"/>
          <w:sz w:val="16"/>
          <w:szCs w:val="16"/>
        </w:rPr>
        <w:tab/>
      </w:r>
      <w:r w:rsidR="005F76DE">
        <w:rPr>
          <w:rFonts w:ascii="Cambria" w:eastAsia="Cambria" w:hAnsi="Cambria" w:cs="Cambria"/>
          <w:vertAlign w:val="superscript"/>
          <w:lang w:val="es-ES_tradnl"/>
        </w:rPr>
        <w:footnoteRef/>
      </w:r>
      <w:r w:rsidR="005F76DE">
        <w:rPr>
          <w:rFonts w:ascii="Cambria" w:eastAsia="Cambria" w:hAnsi="Cambria" w:cs="Cambria"/>
          <w:sz w:val="16"/>
          <w:szCs w:val="16"/>
          <w:lang w:val="es-ES_tradnl"/>
        </w:rPr>
        <w:t xml:space="preserve"> In </w:t>
      </w:r>
      <w:proofErr w:type="spellStart"/>
      <w:r w:rsidR="005F76DE">
        <w:rPr>
          <w:rFonts w:ascii="Cambria" w:eastAsia="Cambria" w:hAnsi="Cambria" w:cs="Cambria"/>
          <w:sz w:val="16"/>
          <w:szCs w:val="16"/>
          <w:lang w:val="es-ES_tradnl"/>
        </w:rPr>
        <w:t>Spanish</w:t>
      </w:r>
      <w:proofErr w:type="spellEnd"/>
      <w:r w:rsidR="005F76DE">
        <w:rPr>
          <w:rFonts w:ascii="Cambria" w:eastAsia="Cambria" w:hAnsi="Cambria" w:cs="Cambria"/>
          <w:sz w:val="16"/>
          <w:szCs w:val="16"/>
          <w:lang w:val="es-ES_tradnl"/>
        </w:rPr>
        <w:t xml:space="preserve"> “Liquidación de Perjuicios”.</w:t>
      </w:r>
    </w:p>
  </w:footnote>
  <w:footnote w:id="13">
    <w:p w:rsidR="008A209E" w:rsidRDefault="00851897">
      <w:pPr>
        <w:pStyle w:val="FootnoteText"/>
        <w:jc w:val="both"/>
      </w:pPr>
      <w:r w:rsidRPr="001E6EE8">
        <w:rPr>
          <w:rFonts w:ascii="Cambria" w:eastAsia="Cambria" w:hAnsi="Cambria" w:cs="Cambria"/>
          <w:sz w:val="16"/>
          <w:szCs w:val="16"/>
          <w:lang w:val="es-US"/>
        </w:rPr>
        <w:tab/>
      </w:r>
      <w:r w:rsidR="005F76DE">
        <w:rPr>
          <w:rFonts w:ascii="Cambria" w:eastAsia="Cambria" w:hAnsi="Cambria" w:cs="Cambria"/>
          <w:vertAlign w:val="superscript"/>
        </w:rPr>
        <w:footnoteRef/>
      </w:r>
      <w:r w:rsidR="005F76DE">
        <w:rPr>
          <w:rFonts w:ascii="Cambria" w:eastAsia="Cambria" w:hAnsi="Cambria" w:cs="Cambria"/>
          <w:sz w:val="16"/>
          <w:szCs w:val="16"/>
        </w:rPr>
        <w:t xml:space="preserve"> IACHR, Report No. 40/05, Petition 12.139. Inadmissibility. </w:t>
      </w:r>
      <w:r w:rsidR="005F76DE">
        <w:rPr>
          <w:rFonts w:ascii="Cambria" w:eastAsia="Cambria" w:hAnsi="Cambria" w:cs="Cambria"/>
          <w:sz w:val="16"/>
          <w:szCs w:val="16"/>
          <w:lang w:val="es-ES_tradnl"/>
        </w:rPr>
        <w:t xml:space="preserve">José Luis </w:t>
      </w:r>
      <w:proofErr w:type="spellStart"/>
      <w:r w:rsidR="005F76DE">
        <w:rPr>
          <w:rFonts w:ascii="Cambria" w:eastAsia="Cambria" w:hAnsi="Cambria" w:cs="Cambria"/>
          <w:sz w:val="16"/>
          <w:szCs w:val="16"/>
          <w:lang w:val="es-ES_tradnl"/>
        </w:rPr>
        <w:t>Forzanni</w:t>
      </w:r>
      <w:proofErr w:type="spellEnd"/>
      <w:r w:rsidR="005F76DE">
        <w:rPr>
          <w:rFonts w:ascii="Cambria" w:eastAsia="Cambria" w:hAnsi="Cambria" w:cs="Cambria"/>
          <w:sz w:val="16"/>
          <w:szCs w:val="16"/>
          <w:lang w:val="es-ES_tradnl"/>
        </w:rPr>
        <w:t xml:space="preserve"> </w:t>
      </w:r>
      <w:proofErr w:type="spellStart"/>
      <w:r w:rsidR="005F76DE">
        <w:rPr>
          <w:rFonts w:ascii="Cambria" w:eastAsia="Cambria" w:hAnsi="Cambria" w:cs="Cambria"/>
          <w:sz w:val="16"/>
          <w:szCs w:val="16"/>
          <w:lang w:val="es-ES_tradnl"/>
        </w:rPr>
        <w:t>Ballardo</w:t>
      </w:r>
      <w:proofErr w:type="spellEnd"/>
      <w:r w:rsidR="005F76DE">
        <w:rPr>
          <w:rFonts w:ascii="Cambria" w:eastAsia="Cambria" w:hAnsi="Cambria" w:cs="Cambria"/>
          <w:sz w:val="16"/>
          <w:szCs w:val="16"/>
          <w:lang w:val="es-ES_tradnl"/>
        </w:rPr>
        <w:t xml:space="preserve">. </w:t>
      </w:r>
      <w:proofErr w:type="spellStart"/>
      <w:r w:rsidR="005F76DE">
        <w:rPr>
          <w:rFonts w:ascii="Cambria" w:eastAsia="Cambria" w:hAnsi="Cambria" w:cs="Cambria"/>
          <w:sz w:val="16"/>
          <w:szCs w:val="16"/>
          <w:lang w:val="es-ES_tradnl"/>
        </w:rPr>
        <w:t>Peru</w:t>
      </w:r>
      <w:proofErr w:type="spellEnd"/>
      <w:r w:rsidR="005F76DE">
        <w:rPr>
          <w:rFonts w:ascii="Cambria" w:eastAsia="Cambria" w:hAnsi="Cambria" w:cs="Cambria"/>
          <w:sz w:val="16"/>
          <w:szCs w:val="16"/>
          <w:lang w:val="es-ES_tradnl"/>
        </w:rPr>
        <w:t xml:space="preserve">. </w:t>
      </w:r>
      <w:r w:rsidR="005F76DE">
        <w:rPr>
          <w:rFonts w:ascii="Cambria" w:eastAsia="Cambria" w:hAnsi="Cambria" w:cs="Cambria"/>
          <w:sz w:val="16"/>
          <w:szCs w:val="16"/>
        </w:rPr>
        <w:t xml:space="preserve">March 9, 2005, para. 35. [See also, IACHR, Report No. 83/05, Petition 644-00. Inadmissibility. Carlos Alberto </w:t>
      </w:r>
      <w:proofErr w:type="spellStart"/>
      <w:r w:rsidR="005F76DE">
        <w:rPr>
          <w:rFonts w:ascii="Cambria" w:eastAsia="Cambria" w:hAnsi="Cambria" w:cs="Cambria"/>
          <w:sz w:val="16"/>
          <w:szCs w:val="16"/>
        </w:rPr>
        <w:t>López</w:t>
      </w:r>
      <w:proofErr w:type="spellEnd"/>
      <w:r w:rsidR="005F76DE">
        <w:rPr>
          <w:rFonts w:ascii="Cambria" w:eastAsia="Cambria" w:hAnsi="Cambria" w:cs="Cambria"/>
          <w:sz w:val="16"/>
          <w:szCs w:val="16"/>
        </w:rPr>
        <w:t xml:space="preserve"> </w:t>
      </w:r>
      <w:proofErr w:type="spellStart"/>
      <w:r w:rsidR="005F76DE">
        <w:rPr>
          <w:rFonts w:ascii="Cambria" w:eastAsia="Cambria" w:hAnsi="Cambria" w:cs="Cambria"/>
          <w:sz w:val="16"/>
          <w:szCs w:val="16"/>
        </w:rPr>
        <w:t>Urquía</w:t>
      </w:r>
      <w:proofErr w:type="spellEnd"/>
      <w:r w:rsidR="005F76DE">
        <w:rPr>
          <w:rFonts w:ascii="Cambria" w:eastAsia="Cambria" w:hAnsi="Cambria" w:cs="Cambria"/>
          <w:sz w:val="16"/>
          <w:szCs w:val="16"/>
        </w:rPr>
        <w:t>. Honduras. October 24, 2005, para. 42.]</w:t>
      </w:r>
    </w:p>
  </w:footnote>
  <w:footnote w:id="14">
    <w:p w:rsidR="008A209E" w:rsidRDefault="00851897">
      <w:pPr>
        <w:pStyle w:val="FootnoteText"/>
        <w:jc w:val="both"/>
      </w:pPr>
      <w:r>
        <w:rPr>
          <w:rFonts w:ascii="Cambria" w:eastAsia="Cambria" w:hAnsi="Cambria" w:cs="Cambria"/>
          <w:sz w:val="16"/>
          <w:szCs w:val="16"/>
        </w:rPr>
        <w:tab/>
      </w:r>
      <w:r w:rsidR="005F76DE">
        <w:rPr>
          <w:rFonts w:ascii="Cambria" w:eastAsia="Cambria" w:hAnsi="Cambria" w:cs="Cambria"/>
          <w:vertAlign w:val="superscript"/>
        </w:rPr>
        <w:footnoteRef/>
      </w:r>
      <w:r w:rsidR="005F76DE">
        <w:rPr>
          <w:rFonts w:ascii="Cambria" w:eastAsia="Cambria" w:hAnsi="Cambria" w:cs="Cambria"/>
          <w:sz w:val="16"/>
          <w:szCs w:val="16"/>
        </w:rPr>
        <w:t xml:space="preserve"> These claims relate to the destruction of the business “Casa Cristal” which was owned by Mr. </w:t>
      </w:r>
      <w:proofErr w:type="spellStart"/>
      <w:r w:rsidR="005F76DE">
        <w:rPr>
          <w:rFonts w:ascii="Cambria" w:eastAsia="Cambria" w:hAnsi="Cambria" w:cs="Cambria"/>
          <w:sz w:val="16"/>
          <w:szCs w:val="16"/>
        </w:rPr>
        <w:t>Aldaz</w:t>
      </w:r>
      <w:proofErr w:type="spellEnd"/>
      <w:r w:rsidR="005F76DE">
        <w:rPr>
          <w:rFonts w:ascii="Cambria" w:eastAsia="Cambria" w:hAnsi="Cambria" w:cs="Cambria"/>
          <w:sz w:val="16"/>
          <w:szCs w:val="16"/>
        </w:rPr>
        <w:t xml:space="preserve"> in his personal capacity.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F6" w:rsidRDefault="00D77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E" w:rsidRDefault="005F76DE">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1073741825" name="officeArt object"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1073741825" name="image3.jpg" descr="C:\Users\mfontana\Documents\Eva Fontana\GRAFICA CIDH\cartas\logos\iachr-peq.jpg"/>
                  <pic:cNvPicPr>
                    <a:picLocks noChangeAspect="1"/>
                  </pic:cNvPicPr>
                </pic:nvPicPr>
                <pic:blipFill>
                  <a:blip r:embed="rId1">
                    <a:extLst/>
                  </a:blip>
                  <a:stretch>
                    <a:fillRect/>
                  </a:stretch>
                </pic:blipFill>
                <pic:spPr>
                  <a:xfrm>
                    <a:off x="0" y="0"/>
                    <a:ext cx="2209800" cy="117396"/>
                  </a:xfrm>
                  <a:prstGeom prst="rect">
                    <a:avLst/>
                  </a:prstGeom>
                  <a:ln w="12700" cap="flat">
                    <a:noFill/>
                    <a:miter lim="400000"/>
                  </a:ln>
                  <a:effectLst/>
                </pic:spPr>
              </pic:pic>
            </a:graphicData>
          </a:graphic>
        </wp:inline>
      </w:drawing>
    </w:r>
  </w:p>
  <w:p w:rsidR="008A209E" w:rsidRDefault="005F76DE">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E" w:rsidRDefault="008A209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363C"/>
    <w:multiLevelType w:val="hybridMultilevel"/>
    <w:tmpl w:val="C9EE3198"/>
    <w:numStyleLink w:val="ImportedStyle2"/>
  </w:abstractNum>
  <w:abstractNum w:abstractNumId="1" w15:restartNumberingAfterBreak="0">
    <w:nsid w:val="396762E8"/>
    <w:multiLevelType w:val="hybridMultilevel"/>
    <w:tmpl w:val="599C1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1E2851"/>
    <w:multiLevelType w:val="hybridMultilevel"/>
    <w:tmpl w:val="C9EE3198"/>
    <w:styleLink w:val="ImportedStyle2"/>
    <w:lvl w:ilvl="0" w:tplc="0E24C094">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2942680">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64EF928">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8D866F2">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F963268">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BF0BF9E">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1F2951E">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EF63492">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1FAD7EE">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20F0A60"/>
    <w:multiLevelType w:val="hybridMultilevel"/>
    <w:tmpl w:val="A54845CC"/>
    <w:numStyleLink w:val="ImportedStyle3"/>
  </w:abstractNum>
  <w:abstractNum w:abstractNumId="4" w15:restartNumberingAfterBreak="0">
    <w:nsid w:val="4845531A"/>
    <w:multiLevelType w:val="hybridMultilevel"/>
    <w:tmpl w:val="A54845CC"/>
    <w:styleLink w:val="ImportedStyle3"/>
    <w:lvl w:ilvl="0" w:tplc="237497EA">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8CE02">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D4EA3A">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B2AAB6A">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182F314">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50C14DE">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0447824">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C640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06ECFB0">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9E"/>
    <w:rsid w:val="00005DCE"/>
    <w:rsid w:val="001E6EE8"/>
    <w:rsid w:val="005F76DE"/>
    <w:rsid w:val="00622F98"/>
    <w:rsid w:val="00851897"/>
    <w:rsid w:val="008A209E"/>
    <w:rsid w:val="00AF0507"/>
    <w:rsid w:val="00B64526"/>
    <w:rsid w:val="00D77EF6"/>
    <w:rsid w:val="00E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Arial" w:hAnsi="Arial" w:cs="Arial Unicode M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character" w:styleId="FootnoteReference">
    <w:name w:val="footnote reference"/>
    <w:rPr>
      <w:vertAlign w:val="superscript"/>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12023</Characters>
  <Application>Microsoft Office Word</Application>
  <DocSecurity>0</DocSecurity>
  <Lines>214</Lines>
  <Paragraphs>60</Paragraphs>
  <ScaleCrop>false</ScaleCrop>
  <Company/>
  <LinksUpToDate>false</LinksUpToDate>
  <CharactersWithSpaces>14214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118/20</dc:title>
  <cp:lastModifiedBy/>
  <cp:revision>1</cp:revision>
  <dcterms:created xsi:type="dcterms:W3CDTF">2020-07-13T15:33:00Z</dcterms:created>
  <dcterms:modified xsi:type="dcterms:W3CDTF">2020-07-13T15:34:00Z</dcterms:modified>
</cp:coreProperties>
</file>