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77BD60B4">
                <wp:simplePos x="0" y="0"/>
                <wp:positionH relativeFrom="column">
                  <wp:posOffset>1209675</wp:posOffset>
                </wp:positionH>
                <wp:positionV relativeFrom="paragraph">
                  <wp:posOffset>79375</wp:posOffset>
                </wp:positionV>
                <wp:extent cx="4333875" cy="2350008"/>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597EF5A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B47CB">
                              <w:rPr>
                                <w:rFonts w:asciiTheme="majorHAnsi" w:hAnsiTheme="majorHAnsi" w:cs="Arial"/>
                                <w:b/>
                                <w:bCs/>
                                <w:color w:val="0D0D0D" w:themeColor="text1" w:themeTint="F2"/>
                                <w:sz w:val="36"/>
                                <w:szCs w:val="40"/>
                              </w:rPr>
                              <w:t>342</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3BC576DE" w14:textId="05DC6BE6" w:rsidR="00BE4842" w:rsidRPr="008D5990" w:rsidRDefault="00F42B71" w:rsidP="00BE484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51F05" w:rsidRPr="008D5990">
                              <w:rPr>
                                <w:rFonts w:asciiTheme="majorHAnsi" w:hAnsiTheme="majorHAnsi" w:cs="Arial"/>
                                <w:b/>
                                <w:color w:val="0D0D0D" w:themeColor="text1" w:themeTint="F2"/>
                                <w:sz w:val="36"/>
                                <w:szCs w:val="22"/>
                              </w:rPr>
                              <w:t>863-10</w:t>
                            </w:r>
                          </w:p>
                          <w:p w14:paraId="34978E5A" w14:textId="57FDEB9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B0864A0" w14:textId="77777777" w:rsidR="00D51F05" w:rsidRPr="00CB1AAC" w:rsidRDefault="00D51F05" w:rsidP="00D51F05">
                            <w:pPr>
                              <w:spacing w:line="276" w:lineRule="auto"/>
                              <w:rPr>
                                <w:rFonts w:asciiTheme="majorHAnsi" w:hAnsiTheme="majorHAnsi" w:cs="Arial"/>
                                <w:color w:val="0D0D0D" w:themeColor="text1" w:themeTint="F2"/>
                                <w:szCs w:val="22"/>
                                <w:lang w:val="es-CO"/>
                              </w:rPr>
                            </w:pPr>
                            <w:r w:rsidRPr="00CB1AAC">
                              <w:rPr>
                                <w:rFonts w:asciiTheme="majorHAnsi" w:hAnsiTheme="majorHAnsi" w:cs="Arial"/>
                                <w:color w:val="0D0D0D" w:themeColor="text1" w:themeTint="F2"/>
                                <w:szCs w:val="22"/>
                                <w:lang w:val="es-CO"/>
                              </w:rPr>
                              <w:t>HELVIR ANTONIO TORRES CLAVIJO, FREDDY TORRES</w:t>
                            </w:r>
                          </w:p>
                          <w:p w14:paraId="7C09293C" w14:textId="516B2E27" w:rsidR="00D51F05" w:rsidRPr="008D5990" w:rsidRDefault="00D51F05" w:rsidP="00D51F05">
                            <w:pPr>
                              <w:spacing w:line="276" w:lineRule="auto"/>
                              <w:rPr>
                                <w:rFonts w:asciiTheme="majorHAnsi" w:hAnsiTheme="majorHAnsi" w:cs="Arial"/>
                                <w:color w:val="0D0D0D" w:themeColor="text1" w:themeTint="F2"/>
                                <w:szCs w:val="22"/>
                              </w:rPr>
                            </w:pPr>
                            <w:r w:rsidRPr="008D5990">
                              <w:rPr>
                                <w:rFonts w:asciiTheme="majorHAnsi" w:hAnsiTheme="majorHAnsi" w:cs="Arial"/>
                                <w:color w:val="0D0D0D" w:themeColor="text1" w:themeTint="F2"/>
                                <w:szCs w:val="22"/>
                              </w:rPr>
                              <w:t xml:space="preserve">TORRES AND </w:t>
                            </w:r>
                            <w:r w:rsidR="008D5990">
                              <w:rPr>
                                <w:rFonts w:asciiTheme="majorHAnsi" w:hAnsiTheme="majorHAnsi" w:cs="Arial"/>
                                <w:color w:val="0D0D0D" w:themeColor="text1" w:themeTint="F2"/>
                                <w:szCs w:val="22"/>
                              </w:rPr>
                              <w:t xml:space="preserve">THEIR </w:t>
                            </w:r>
                            <w:r w:rsidRPr="008D5990">
                              <w:rPr>
                                <w:rFonts w:asciiTheme="majorHAnsi" w:hAnsiTheme="majorHAnsi" w:cs="Arial"/>
                                <w:color w:val="0D0D0D" w:themeColor="text1" w:themeTint="F2"/>
                                <w:szCs w:val="22"/>
                              </w:rPr>
                              <w:t>FAMIL</w:t>
                            </w:r>
                            <w:r w:rsidR="008D5990">
                              <w:rPr>
                                <w:rFonts w:asciiTheme="majorHAnsi" w:hAnsiTheme="majorHAnsi" w:cs="Arial"/>
                                <w:color w:val="0D0D0D" w:themeColor="text1" w:themeTint="F2"/>
                                <w:szCs w:val="22"/>
                              </w:rPr>
                              <w:t>IES</w:t>
                            </w:r>
                          </w:p>
                          <w:p w14:paraId="2123D85E" w14:textId="067FDE35" w:rsidR="002670A7" w:rsidRPr="008D5990" w:rsidRDefault="00D51F05" w:rsidP="00D51F05">
                            <w:pPr>
                              <w:spacing w:line="276" w:lineRule="auto"/>
                              <w:rPr>
                                <w:rFonts w:asciiTheme="majorHAnsi" w:hAnsiTheme="majorHAnsi" w:cs="Arial"/>
                                <w:color w:val="0D0D0D" w:themeColor="text1" w:themeTint="F2"/>
                                <w:szCs w:val="22"/>
                              </w:rPr>
                            </w:pPr>
                            <w:r w:rsidRPr="008D5990">
                              <w:rPr>
                                <w:rFonts w:asciiTheme="majorHAnsi" w:hAnsiTheme="majorHAnsi" w:cs="Arial"/>
                                <w:color w:val="0D0D0D" w:themeColor="text1" w:themeTint="F2"/>
                                <w:szCs w:val="22"/>
                              </w:rPr>
                              <w:t>COLOMBIA</w:t>
                            </w:r>
                          </w:p>
                          <w:p w14:paraId="11C2DF21" w14:textId="77777777" w:rsidR="00CA6808" w:rsidRPr="008D5990" w:rsidRDefault="00CA6808" w:rsidP="00CA6808">
                            <w:pPr>
                              <w:pBdr>
                                <w:top w:val="none" w:sz="0" w:space="0" w:color="auto"/>
                                <w:left w:val="none" w:sz="0" w:space="0" w:color="auto"/>
                                <w:bottom w:val="none" w:sz="0" w:space="0" w:color="auto"/>
                                <w:right w:val="none" w:sz="0" w:space="0" w:color="auto"/>
                                <w:bar w:val="none" w:sz="0" w:color="auto"/>
                              </w:pBdr>
                              <w:rPr>
                                <w:color w:val="0D0D0D"/>
                              </w:rPr>
                            </w:pPr>
                          </w:p>
                          <w:p w14:paraId="17A89EFB" w14:textId="69DCBE99" w:rsidR="005B52B0" w:rsidRPr="000C4365" w:rsidRDefault="005B52B0" w:rsidP="00A23E3E">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" filled="f" stroked="f" strokeweight=".5pt">
                <v:textbox>
                  <w:txbxContent>
                    <w:p w14:paraId="6F7C2188" w14:textId="597EF5A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B47CB">
                        <w:rPr>
                          <w:rFonts w:asciiTheme="majorHAnsi" w:hAnsiTheme="majorHAnsi" w:cs="Arial"/>
                          <w:b/>
                          <w:bCs/>
                          <w:color w:val="0D0D0D" w:themeColor="text1" w:themeTint="F2"/>
                          <w:sz w:val="36"/>
                          <w:szCs w:val="40"/>
                        </w:rPr>
                        <w:t>342</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3BC576DE" w14:textId="05DC6BE6" w:rsidR="00BE4842" w:rsidRPr="008D5990" w:rsidRDefault="00F42B71" w:rsidP="00BE4842">
                      <w:pPr>
                        <w:spacing w:line="276" w:lineRule="auto"/>
                        <w:rPr>
                          <w:rFonts w:asciiTheme="majorHAnsi" w:hAnsiTheme="majorHAnsi" w:cs="Arial"/>
                          <w:b/>
                          <w:color w:val="0D0D0D" w:themeColor="text1" w:themeTint="F2"/>
                          <w:sz w:val="36"/>
                          <w:szCs w:val="22"/>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51F05" w:rsidRPr="008D5990">
                        <w:rPr>
                          <w:rFonts w:asciiTheme="majorHAnsi" w:hAnsiTheme="majorHAnsi" w:cs="Arial"/>
                          <w:b/>
                          <w:color w:val="0D0D0D" w:themeColor="text1" w:themeTint="F2"/>
                          <w:sz w:val="36"/>
                          <w:szCs w:val="22"/>
                        </w:rPr>
                        <w:t>863-10</w:t>
                      </w:r>
                    </w:p>
                    <w:p w14:paraId="34978E5A" w14:textId="57FDEB9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bookmarkStart w:id="1" w:name="_GoBack"/>
                      <w:bookmarkEnd w:id="1"/>
                    </w:p>
                    <w:p w14:paraId="2B0864A0" w14:textId="77777777" w:rsidR="00D51F05" w:rsidRPr="00CB1AAC" w:rsidRDefault="00D51F05" w:rsidP="00D51F05">
                      <w:pPr>
                        <w:spacing w:line="276" w:lineRule="auto"/>
                        <w:rPr>
                          <w:rFonts w:asciiTheme="majorHAnsi" w:hAnsiTheme="majorHAnsi" w:cs="Arial"/>
                          <w:color w:val="0D0D0D" w:themeColor="text1" w:themeTint="F2"/>
                          <w:szCs w:val="22"/>
                          <w:lang w:val="es-CO"/>
                        </w:rPr>
                      </w:pPr>
                      <w:r w:rsidRPr="00CB1AAC">
                        <w:rPr>
                          <w:rFonts w:asciiTheme="majorHAnsi" w:hAnsiTheme="majorHAnsi" w:cs="Arial"/>
                          <w:color w:val="0D0D0D" w:themeColor="text1" w:themeTint="F2"/>
                          <w:szCs w:val="22"/>
                          <w:lang w:val="es-CO"/>
                        </w:rPr>
                        <w:t>HELVIR ANTONIO TORRES CLAVIJO, FREDDY TORRES</w:t>
                      </w:r>
                    </w:p>
                    <w:p w14:paraId="7C09293C" w14:textId="516B2E27" w:rsidR="00D51F05" w:rsidRPr="008D5990" w:rsidRDefault="00D51F05" w:rsidP="00D51F05">
                      <w:pPr>
                        <w:spacing w:line="276" w:lineRule="auto"/>
                        <w:rPr>
                          <w:rFonts w:asciiTheme="majorHAnsi" w:hAnsiTheme="majorHAnsi" w:cs="Arial"/>
                          <w:color w:val="0D0D0D" w:themeColor="text1" w:themeTint="F2"/>
                          <w:szCs w:val="22"/>
                        </w:rPr>
                      </w:pPr>
                      <w:r w:rsidRPr="008D5990">
                        <w:rPr>
                          <w:rFonts w:asciiTheme="majorHAnsi" w:hAnsiTheme="majorHAnsi" w:cs="Arial"/>
                          <w:color w:val="0D0D0D" w:themeColor="text1" w:themeTint="F2"/>
                          <w:szCs w:val="22"/>
                        </w:rPr>
                        <w:t xml:space="preserve">TORRES AND </w:t>
                      </w:r>
                      <w:r w:rsidR="008D5990">
                        <w:rPr>
                          <w:rFonts w:asciiTheme="majorHAnsi" w:hAnsiTheme="majorHAnsi" w:cs="Arial"/>
                          <w:color w:val="0D0D0D" w:themeColor="text1" w:themeTint="F2"/>
                          <w:szCs w:val="22"/>
                        </w:rPr>
                        <w:t xml:space="preserve">THEIR </w:t>
                      </w:r>
                      <w:r w:rsidRPr="008D5990">
                        <w:rPr>
                          <w:rFonts w:asciiTheme="majorHAnsi" w:hAnsiTheme="majorHAnsi" w:cs="Arial"/>
                          <w:color w:val="0D0D0D" w:themeColor="text1" w:themeTint="F2"/>
                          <w:szCs w:val="22"/>
                        </w:rPr>
                        <w:t>FAMIL</w:t>
                      </w:r>
                      <w:r w:rsidR="008D5990">
                        <w:rPr>
                          <w:rFonts w:asciiTheme="majorHAnsi" w:hAnsiTheme="majorHAnsi" w:cs="Arial"/>
                          <w:color w:val="0D0D0D" w:themeColor="text1" w:themeTint="F2"/>
                          <w:szCs w:val="22"/>
                        </w:rPr>
                        <w:t>IES</w:t>
                      </w:r>
                    </w:p>
                    <w:p w14:paraId="2123D85E" w14:textId="067FDE35" w:rsidR="002670A7" w:rsidRPr="008D5990" w:rsidRDefault="00D51F05" w:rsidP="00D51F05">
                      <w:pPr>
                        <w:spacing w:line="276" w:lineRule="auto"/>
                        <w:rPr>
                          <w:rFonts w:asciiTheme="majorHAnsi" w:hAnsiTheme="majorHAnsi" w:cs="Arial"/>
                          <w:color w:val="0D0D0D" w:themeColor="text1" w:themeTint="F2"/>
                          <w:szCs w:val="22"/>
                        </w:rPr>
                      </w:pPr>
                      <w:r w:rsidRPr="008D5990">
                        <w:rPr>
                          <w:rFonts w:asciiTheme="majorHAnsi" w:hAnsiTheme="majorHAnsi" w:cs="Arial"/>
                          <w:color w:val="0D0D0D" w:themeColor="text1" w:themeTint="F2"/>
                          <w:szCs w:val="22"/>
                        </w:rPr>
                        <w:t>COLOMBIA</w:t>
                      </w:r>
                    </w:p>
                    <w:p w14:paraId="11C2DF21" w14:textId="77777777" w:rsidR="00CA6808" w:rsidRPr="008D5990" w:rsidRDefault="00CA6808" w:rsidP="00CA6808">
                      <w:pPr>
                        <w:pBdr>
                          <w:top w:val="none" w:sz="0" w:space="0" w:color="auto"/>
                          <w:left w:val="none" w:sz="0" w:space="0" w:color="auto"/>
                          <w:bottom w:val="none" w:sz="0" w:space="0" w:color="auto"/>
                          <w:right w:val="none" w:sz="0" w:space="0" w:color="auto"/>
                          <w:bar w:val="none" w:sz="0" w:color="auto"/>
                        </w:pBdr>
                        <w:rPr>
                          <w:color w:val="0D0D0D"/>
                        </w:rPr>
                      </w:pPr>
                    </w:p>
                    <w:p w14:paraId="17A89EFB" w14:textId="69DCBE99" w:rsidR="005B52B0" w:rsidRPr="000C4365" w:rsidRDefault="005B52B0" w:rsidP="00A23E3E">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788E995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76A388BE"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1F103788"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1B47CB">
                              <w:rPr>
                                <w:rFonts w:asciiTheme="minorHAnsi" w:hAnsiTheme="minorHAnsi"/>
                                <w:color w:val="FFFFFF" w:themeColor="background1"/>
                                <w:sz w:val="22"/>
                                <w:lang w:val="pt-BR"/>
                              </w:rPr>
                              <w:t>360</w:t>
                            </w:r>
                          </w:p>
                          <w:p w14:paraId="0BEFF61A" w14:textId="4C166E85"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1B47CB">
                              <w:rPr>
                                <w:rFonts w:asciiTheme="minorHAnsi" w:hAnsiTheme="minorHAnsi"/>
                                <w:color w:val="FFFFFF" w:themeColor="background1"/>
                                <w:sz w:val="22"/>
                              </w:rPr>
                              <w:t>23 November</w:t>
                            </w:r>
                            <w:r w:rsidR="00167D72">
                              <w:rPr>
                                <w:rFonts w:asciiTheme="minorHAnsi" w:hAnsiTheme="minorHAnsi"/>
                                <w:color w:val="FFFFFF" w:themeColor="background1"/>
                                <w:sz w:val="22"/>
                              </w:rPr>
                              <w:t xml:space="preserve"> 2020</w:t>
                            </w:r>
                          </w:p>
                          <w:p w14:paraId="5F1F7BEA" w14:textId="4100F515" w:rsidR="00302748" w:rsidRPr="00302748"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1B47CB">
                              <w:rPr>
                                <w:rFonts w:asciiTheme="minorHAnsi" w:hAnsiTheme="minorHAnsi"/>
                                <w:color w:val="FFFFFF" w:themeColor="background1"/>
                                <w:sz w:val="22"/>
                              </w:rPr>
                              <w:t xml:space="preserve"> </w:t>
                            </w:r>
                            <w:r w:rsidR="00DB277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F823D97" w14:textId="76A388BE"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1F103788"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1B47CB">
                        <w:rPr>
                          <w:rFonts w:asciiTheme="minorHAnsi" w:hAnsiTheme="minorHAnsi"/>
                          <w:color w:val="FFFFFF" w:themeColor="background1"/>
                          <w:sz w:val="22"/>
                          <w:lang w:val="pt-BR"/>
                        </w:rPr>
                        <w:t>360</w:t>
                      </w:r>
                    </w:p>
                    <w:p w14:paraId="0BEFF61A" w14:textId="4C166E85"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1B47CB">
                        <w:rPr>
                          <w:rFonts w:asciiTheme="minorHAnsi" w:hAnsiTheme="minorHAnsi"/>
                          <w:color w:val="FFFFFF" w:themeColor="background1"/>
                          <w:sz w:val="22"/>
                        </w:rPr>
                        <w:t>23 November</w:t>
                      </w:r>
                      <w:r w:rsidR="00167D72">
                        <w:rPr>
                          <w:rFonts w:asciiTheme="minorHAnsi" w:hAnsiTheme="minorHAnsi"/>
                          <w:color w:val="FFFFFF" w:themeColor="background1"/>
                          <w:sz w:val="22"/>
                        </w:rPr>
                        <w:t xml:space="preserve"> 2020</w:t>
                      </w:r>
                    </w:p>
                    <w:p w14:paraId="5F1F7BEA" w14:textId="4100F515" w:rsidR="00302748" w:rsidRPr="00302748"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1B47CB">
                        <w:rPr>
                          <w:rFonts w:asciiTheme="minorHAnsi" w:hAnsiTheme="minorHAnsi"/>
                          <w:color w:val="FFFFFF" w:themeColor="background1"/>
                          <w:sz w:val="22"/>
                        </w:rPr>
                        <w:t xml:space="preserve"> </w:t>
                      </w:r>
                      <w:r w:rsidR="00DB2771">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308984A">
                <wp:simplePos x="0" y="0"/>
                <wp:positionH relativeFrom="column">
                  <wp:posOffset>1209675</wp:posOffset>
                </wp:positionH>
                <wp:positionV relativeFrom="paragraph">
                  <wp:posOffset>64134</wp:posOffset>
                </wp:positionV>
                <wp:extent cx="4595495" cy="657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4A820D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1B47CB">
                              <w:rPr>
                                <w:rFonts w:asciiTheme="majorHAnsi" w:hAnsiTheme="majorHAnsi"/>
                                <w:color w:val="0D0D0D" w:themeColor="text1" w:themeTint="F2"/>
                                <w:sz w:val="18"/>
                                <w:szCs w:val="20"/>
                              </w:rPr>
                              <w:t>November 23,</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1B47C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25pt;margin-top:5.05pt;width:361.8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" filled="f" stroked="f" strokeweight=".5pt">
                <v:textbox>
                  <w:txbxContent>
                    <w:p w14:paraId="29BF637A" w14:textId="04A820DA"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1B47CB">
                        <w:rPr>
                          <w:rFonts w:asciiTheme="majorHAnsi" w:hAnsiTheme="majorHAnsi"/>
                          <w:color w:val="0D0D0D" w:themeColor="text1" w:themeTint="F2"/>
                          <w:sz w:val="18"/>
                          <w:szCs w:val="20"/>
                        </w:rPr>
                        <w:t>November 23,</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1B47C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381307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C67C5">
                              <w:rPr>
                                <w:rFonts w:asciiTheme="majorHAnsi" w:hAnsiTheme="majorHAnsi"/>
                                <w:color w:val="595959" w:themeColor="text1" w:themeTint="A6"/>
                                <w:sz w:val="18"/>
                              </w:rPr>
                              <w:t>342</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D5990">
                              <w:rPr>
                                <w:rFonts w:asciiTheme="majorHAnsi" w:hAnsiTheme="majorHAnsi"/>
                                <w:color w:val="595959" w:themeColor="text1" w:themeTint="A6"/>
                                <w:sz w:val="18"/>
                              </w:rPr>
                              <w:t>863-10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EC67C5">
                              <w:rPr>
                                <w:rFonts w:asciiTheme="majorHAnsi" w:hAnsiTheme="majorHAnsi"/>
                                <w:color w:val="595959" w:themeColor="text1" w:themeTint="A6"/>
                                <w:sz w:val="18"/>
                              </w:rPr>
                              <w:t>Admissibility</w:t>
                            </w:r>
                            <w:r w:rsidRPr="00EC67C5">
                              <w:rPr>
                                <w:rFonts w:asciiTheme="majorHAnsi" w:hAnsiTheme="majorHAnsi"/>
                                <w:color w:val="595959" w:themeColor="text1" w:themeTint="A6"/>
                                <w:sz w:val="18"/>
                              </w:rPr>
                              <w:t xml:space="preserve">. </w:t>
                            </w:r>
                            <w:proofErr w:type="spellStart"/>
                            <w:r w:rsidR="008D5990" w:rsidRPr="00EC67C5">
                              <w:rPr>
                                <w:rFonts w:asciiTheme="majorHAnsi" w:hAnsiTheme="majorHAnsi"/>
                                <w:color w:val="595959" w:themeColor="text1" w:themeTint="A6"/>
                                <w:sz w:val="18"/>
                              </w:rPr>
                              <w:t>Helvir</w:t>
                            </w:r>
                            <w:proofErr w:type="spellEnd"/>
                            <w:r w:rsidR="008D5990" w:rsidRPr="00EC67C5">
                              <w:rPr>
                                <w:rFonts w:asciiTheme="majorHAnsi" w:hAnsiTheme="majorHAnsi"/>
                                <w:color w:val="595959" w:themeColor="text1" w:themeTint="A6"/>
                                <w:sz w:val="18"/>
                              </w:rPr>
                              <w:t xml:space="preserve"> Antonio Torres et al</w:t>
                            </w:r>
                            <w:r w:rsidRPr="00EC67C5">
                              <w:rPr>
                                <w:rFonts w:asciiTheme="majorHAnsi" w:hAnsiTheme="majorHAnsi"/>
                                <w:color w:val="595959" w:themeColor="text1" w:themeTint="A6"/>
                                <w:sz w:val="18"/>
                              </w:rPr>
                              <w:t xml:space="preserve">. </w:t>
                            </w:r>
                            <w:r w:rsidR="008D5990">
                              <w:rPr>
                                <w:rFonts w:asciiTheme="majorHAnsi" w:hAnsiTheme="majorHAnsi"/>
                                <w:color w:val="595959" w:themeColor="text1" w:themeTint="A6"/>
                                <w:sz w:val="18"/>
                              </w:rPr>
                              <w:t>Colombia</w:t>
                            </w:r>
                            <w:r w:rsidR="00022CF5">
                              <w:rPr>
                                <w:rFonts w:asciiTheme="majorHAnsi" w:hAnsiTheme="majorHAnsi"/>
                                <w:color w:val="595959" w:themeColor="text1" w:themeTint="A6"/>
                                <w:sz w:val="18"/>
                              </w:rPr>
                              <w:t>.</w:t>
                            </w:r>
                            <w:r w:rsidR="00EC67C5">
                              <w:rPr>
                                <w:rFonts w:asciiTheme="majorHAnsi" w:hAnsiTheme="majorHAnsi"/>
                                <w:color w:val="595959" w:themeColor="text1" w:themeTint="A6"/>
                                <w:sz w:val="18"/>
                              </w:rPr>
                              <w:t xml:space="preserve"> </w:t>
                            </w:r>
                            <w:r w:rsidR="00EC67C5">
                              <w:rPr>
                                <w:rFonts w:asciiTheme="majorHAnsi" w:hAnsiTheme="majorHAnsi"/>
                                <w:color w:val="595959" w:themeColor="text1" w:themeTint="A6"/>
                                <w:sz w:val="18"/>
                              </w:rPr>
                              <w:t>November 23, 2020.</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A30C6"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3813075"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C67C5">
                        <w:rPr>
                          <w:rFonts w:asciiTheme="majorHAnsi" w:hAnsiTheme="majorHAnsi"/>
                          <w:color w:val="595959" w:themeColor="text1" w:themeTint="A6"/>
                          <w:sz w:val="18"/>
                        </w:rPr>
                        <w:t>342</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8D5990">
                        <w:rPr>
                          <w:rFonts w:asciiTheme="majorHAnsi" w:hAnsiTheme="majorHAnsi"/>
                          <w:color w:val="595959" w:themeColor="text1" w:themeTint="A6"/>
                          <w:sz w:val="18"/>
                        </w:rPr>
                        <w:t>863-10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EC67C5">
                        <w:rPr>
                          <w:rFonts w:asciiTheme="majorHAnsi" w:hAnsiTheme="majorHAnsi"/>
                          <w:color w:val="595959" w:themeColor="text1" w:themeTint="A6"/>
                          <w:sz w:val="18"/>
                        </w:rPr>
                        <w:t>Admissibility</w:t>
                      </w:r>
                      <w:r w:rsidRPr="00EC67C5">
                        <w:rPr>
                          <w:rFonts w:asciiTheme="majorHAnsi" w:hAnsiTheme="majorHAnsi"/>
                          <w:color w:val="595959" w:themeColor="text1" w:themeTint="A6"/>
                          <w:sz w:val="18"/>
                        </w:rPr>
                        <w:t xml:space="preserve">. </w:t>
                      </w:r>
                      <w:proofErr w:type="spellStart"/>
                      <w:r w:rsidR="008D5990" w:rsidRPr="00EC67C5">
                        <w:rPr>
                          <w:rFonts w:asciiTheme="majorHAnsi" w:hAnsiTheme="majorHAnsi"/>
                          <w:color w:val="595959" w:themeColor="text1" w:themeTint="A6"/>
                          <w:sz w:val="18"/>
                        </w:rPr>
                        <w:t>Helvir</w:t>
                      </w:r>
                      <w:proofErr w:type="spellEnd"/>
                      <w:r w:rsidR="008D5990" w:rsidRPr="00EC67C5">
                        <w:rPr>
                          <w:rFonts w:asciiTheme="majorHAnsi" w:hAnsiTheme="majorHAnsi"/>
                          <w:color w:val="595959" w:themeColor="text1" w:themeTint="A6"/>
                          <w:sz w:val="18"/>
                        </w:rPr>
                        <w:t xml:space="preserve"> Antonio Torres et al</w:t>
                      </w:r>
                      <w:r w:rsidRPr="00EC67C5">
                        <w:rPr>
                          <w:rFonts w:asciiTheme="majorHAnsi" w:hAnsiTheme="majorHAnsi"/>
                          <w:color w:val="595959" w:themeColor="text1" w:themeTint="A6"/>
                          <w:sz w:val="18"/>
                        </w:rPr>
                        <w:t xml:space="preserve">. </w:t>
                      </w:r>
                      <w:r w:rsidR="008D5990">
                        <w:rPr>
                          <w:rFonts w:asciiTheme="majorHAnsi" w:hAnsiTheme="majorHAnsi"/>
                          <w:color w:val="595959" w:themeColor="text1" w:themeTint="A6"/>
                          <w:sz w:val="18"/>
                        </w:rPr>
                        <w:t>Colombia</w:t>
                      </w:r>
                      <w:r w:rsidR="00022CF5">
                        <w:rPr>
                          <w:rFonts w:asciiTheme="majorHAnsi" w:hAnsiTheme="majorHAnsi"/>
                          <w:color w:val="595959" w:themeColor="text1" w:themeTint="A6"/>
                          <w:sz w:val="18"/>
                        </w:rPr>
                        <w:t>.</w:t>
                      </w:r>
                      <w:r w:rsidR="00EC67C5">
                        <w:rPr>
                          <w:rFonts w:asciiTheme="majorHAnsi" w:hAnsiTheme="majorHAnsi"/>
                          <w:color w:val="595959" w:themeColor="text1" w:themeTint="A6"/>
                          <w:sz w:val="18"/>
                        </w:rPr>
                        <w:t xml:space="preserve"> </w:t>
                      </w:r>
                      <w:r w:rsidR="00EC67C5">
                        <w:rPr>
                          <w:rFonts w:asciiTheme="majorHAnsi" w:hAnsiTheme="majorHAnsi"/>
                          <w:color w:val="595959" w:themeColor="text1" w:themeTint="A6"/>
                          <w:sz w:val="18"/>
                        </w:rPr>
                        <w:t>November 23, 2020.</w:t>
                      </w:r>
                      <w:bookmarkStart w:id="1" w:name="_GoBack"/>
                      <w:bookmarkEnd w:id="1"/>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A6808" w:rsidRPr="001B47CB"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0674C7B8" w14:textId="16E3E1FD" w:rsidR="00CA6808" w:rsidRPr="008D5990" w:rsidRDefault="008D5990" w:rsidP="00CA6808">
            <w:pPr>
              <w:jc w:val="both"/>
              <w:rPr>
                <w:rFonts w:asciiTheme="majorHAnsi" w:hAnsiTheme="majorHAnsi"/>
                <w:bCs/>
                <w:sz w:val="20"/>
                <w:szCs w:val="20"/>
                <w:lang w:val="es-CO"/>
              </w:rPr>
            </w:pPr>
            <w:r w:rsidRPr="008D5990">
              <w:rPr>
                <w:rFonts w:asciiTheme="majorHAnsi" w:hAnsiTheme="majorHAnsi"/>
                <w:bCs/>
                <w:i/>
                <w:iCs/>
                <w:sz w:val="20"/>
                <w:szCs w:val="20"/>
                <w:lang w:val="es-CO"/>
              </w:rPr>
              <w:t xml:space="preserve">Colectivo de Abogados </w:t>
            </w:r>
            <w:r w:rsidR="00D51F05" w:rsidRPr="008D5990">
              <w:rPr>
                <w:rFonts w:asciiTheme="majorHAnsi" w:hAnsiTheme="majorHAnsi"/>
                <w:bCs/>
                <w:i/>
                <w:iCs/>
                <w:sz w:val="20"/>
                <w:szCs w:val="20"/>
                <w:lang w:val="es-CO"/>
              </w:rPr>
              <w:t>Jos</w:t>
            </w:r>
            <w:r w:rsidRPr="008D5990">
              <w:rPr>
                <w:rFonts w:asciiTheme="majorHAnsi" w:hAnsiTheme="majorHAnsi"/>
                <w:bCs/>
                <w:i/>
                <w:iCs/>
                <w:sz w:val="20"/>
                <w:szCs w:val="20"/>
                <w:lang w:val="es-CO"/>
              </w:rPr>
              <w:t>e</w:t>
            </w:r>
            <w:r w:rsidR="00D51F05" w:rsidRPr="008D5990">
              <w:rPr>
                <w:rFonts w:asciiTheme="majorHAnsi" w:hAnsiTheme="majorHAnsi"/>
                <w:bCs/>
                <w:i/>
                <w:iCs/>
                <w:sz w:val="20"/>
                <w:szCs w:val="20"/>
                <w:lang w:val="es-CO"/>
              </w:rPr>
              <w:t xml:space="preserve"> Alvear Restrepo</w:t>
            </w:r>
            <w:r>
              <w:rPr>
                <w:rFonts w:asciiTheme="majorHAnsi" w:hAnsiTheme="majorHAnsi"/>
                <w:bCs/>
                <w:sz w:val="20"/>
                <w:szCs w:val="20"/>
                <w:lang w:val="es-CO"/>
              </w:rPr>
              <w:t xml:space="preserve"> Corporation</w:t>
            </w:r>
            <w:r w:rsidR="00D51F05" w:rsidRPr="008D5990">
              <w:rPr>
                <w:rFonts w:asciiTheme="majorHAnsi" w:hAnsiTheme="majorHAnsi"/>
                <w:bCs/>
                <w:sz w:val="20"/>
                <w:szCs w:val="20"/>
                <w:lang w:val="es-CO"/>
              </w:rPr>
              <w:t xml:space="preserve"> </w:t>
            </w:r>
          </w:p>
        </w:tc>
      </w:tr>
      <w:tr w:rsidR="00CA6808"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CA6808" w:rsidRPr="000B6B7A" w:rsidRDefault="00FE1A8D" w:rsidP="00CA680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DEB03EE20A890B4A93B9EA56A04B733C"/>
                </w:placeholder>
                <w:dropDownList>
                  <w:listItem w:value="Choose an item."/>
                  <w:listItem w:displayText="Alleged victim" w:value="Alleged victim"/>
                  <w:listItem w:displayText="Alleged victims" w:value="Alleged victims"/>
                </w:dropDownList>
              </w:sdtPr>
              <w:sdtEndPr/>
              <w:sdtContent>
                <w:r w:rsidR="00CA6808">
                  <w:rPr>
                    <w:rFonts w:ascii="Cambria" w:hAnsi="Cambria"/>
                    <w:b/>
                    <w:bCs/>
                    <w:color w:val="FFFFFF" w:themeColor="background1"/>
                    <w:sz w:val="20"/>
                    <w:szCs w:val="20"/>
                  </w:rPr>
                  <w:t>Alleged victim</w:t>
                </w:r>
              </w:sdtContent>
            </w:sdt>
            <w:r w:rsidR="00CA6808" w:rsidRPr="000C4365">
              <w:rPr>
                <w:rFonts w:ascii="Cambria" w:hAnsi="Cambria"/>
                <w:b/>
                <w:bCs/>
                <w:color w:val="FFFFFF" w:themeColor="background1"/>
                <w:sz w:val="20"/>
                <w:szCs w:val="20"/>
              </w:rPr>
              <w:t>:</w:t>
            </w:r>
          </w:p>
        </w:tc>
        <w:tc>
          <w:tcPr>
            <w:tcW w:w="5670" w:type="dxa"/>
            <w:vAlign w:val="center"/>
          </w:tcPr>
          <w:p w14:paraId="60895337" w14:textId="3F042425" w:rsidR="00CA6808" w:rsidRPr="00FE5113" w:rsidRDefault="00D51F05" w:rsidP="00CA6808">
            <w:pPr>
              <w:jc w:val="both"/>
              <w:rPr>
                <w:rFonts w:asciiTheme="majorHAnsi" w:hAnsiTheme="majorHAnsi"/>
                <w:bCs/>
                <w:sz w:val="20"/>
                <w:szCs w:val="20"/>
              </w:rPr>
            </w:pPr>
            <w:proofErr w:type="spellStart"/>
            <w:r w:rsidRPr="00D51F05">
              <w:rPr>
                <w:rFonts w:asciiTheme="majorHAnsi" w:hAnsiTheme="majorHAnsi"/>
                <w:bCs/>
                <w:sz w:val="20"/>
                <w:szCs w:val="20"/>
              </w:rPr>
              <w:t>Helvir</w:t>
            </w:r>
            <w:proofErr w:type="spellEnd"/>
            <w:r w:rsidRPr="00D51F05">
              <w:rPr>
                <w:rFonts w:asciiTheme="majorHAnsi" w:hAnsiTheme="majorHAnsi"/>
                <w:bCs/>
                <w:sz w:val="20"/>
                <w:szCs w:val="20"/>
              </w:rPr>
              <w:t xml:space="preserve"> Antonio Torres </w:t>
            </w:r>
            <w:proofErr w:type="spellStart"/>
            <w:r w:rsidRPr="00D51F05">
              <w:rPr>
                <w:rFonts w:asciiTheme="majorHAnsi" w:hAnsiTheme="majorHAnsi"/>
                <w:bCs/>
                <w:sz w:val="20"/>
                <w:szCs w:val="20"/>
              </w:rPr>
              <w:t>Clavijo</w:t>
            </w:r>
            <w:proofErr w:type="spellEnd"/>
            <w:r w:rsidRPr="00D51F05">
              <w:rPr>
                <w:rFonts w:asciiTheme="majorHAnsi" w:hAnsiTheme="majorHAnsi"/>
                <w:bCs/>
                <w:sz w:val="20"/>
                <w:szCs w:val="20"/>
              </w:rPr>
              <w:t xml:space="preserve">, Freddy Torres </w:t>
            </w:r>
            <w:proofErr w:type="spellStart"/>
            <w:r w:rsidRPr="00D51F05">
              <w:rPr>
                <w:rFonts w:asciiTheme="majorHAnsi" w:hAnsiTheme="majorHAnsi"/>
                <w:bCs/>
                <w:sz w:val="20"/>
                <w:szCs w:val="20"/>
              </w:rPr>
              <w:t>Torres</w:t>
            </w:r>
            <w:proofErr w:type="spellEnd"/>
            <w:r w:rsidRPr="00D51F05">
              <w:rPr>
                <w:rFonts w:asciiTheme="majorHAnsi" w:hAnsiTheme="majorHAnsi"/>
                <w:bCs/>
                <w:sz w:val="20"/>
                <w:szCs w:val="20"/>
              </w:rPr>
              <w:t xml:space="preserve"> and relatives</w:t>
            </w:r>
            <w:r w:rsidRPr="00507154">
              <w:rPr>
                <w:rStyle w:val="FootnoteReference"/>
                <w:rFonts w:asciiTheme="majorHAnsi" w:hAnsiTheme="majorHAnsi"/>
                <w:bCs/>
                <w:sz w:val="20"/>
                <w:szCs w:val="20"/>
                <w:lang w:val="es-ES"/>
              </w:rPr>
              <w:footnoteReference w:id="2"/>
            </w:r>
          </w:p>
        </w:tc>
      </w:tr>
      <w:tr w:rsidR="00CA6808"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3539D391" w14:textId="7757B63B" w:rsidR="00CA6808" w:rsidRPr="00FE5113" w:rsidRDefault="00D51F05" w:rsidP="00CA6808">
            <w:pPr>
              <w:jc w:val="both"/>
              <w:rPr>
                <w:rFonts w:asciiTheme="majorHAnsi" w:hAnsiTheme="majorHAnsi"/>
                <w:bCs/>
                <w:sz w:val="20"/>
                <w:szCs w:val="20"/>
              </w:rPr>
            </w:pPr>
            <w:r>
              <w:rPr>
                <w:rFonts w:asciiTheme="majorHAnsi" w:hAnsiTheme="majorHAnsi"/>
                <w:bCs/>
                <w:sz w:val="20"/>
                <w:szCs w:val="20"/>
              </w:rPr>
              <w:t>Colombia</w:t>
            </w:r>
          </w:p>
        </w:tc>
      </w:tr>
      <w:tr w:rsidR="00CA6808"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CA6808" w:rsidRPr="000B6B7A" w:rsidRDefault="00CA6808" w:rsidP="00CA6808">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51EEF9D2" w14:textId="23E69A6E" w:rsidR="00CA6808" w:rsidRPr="00FE5113" w:rsidRDefault="009B0A44" w:rsidP="00CA6808">
            <w:pPr>
              <w:jc w:val="both"/>
              <w:rPr>
                <w:rFonts w:ascii="Cambria" w:hAnsi="Cambria"/>
                <w:bCs/>
                <w:sz w:val="20"/>
                <w:szCs w:val="20"/>
              </w:rPr>
            </w:pPr>
            <w:r w:rsidRPr="009B0A44">
              <w:rPr>
                <w:rFonts w:ascii="Cambria" w:hAnsi="Cambria"/>
                <w:bCs/>
                <w:sz w:val="20"/>
                <w:szCs w:val="20"/>
              </w:rPr>
              <w:t>Articles 4 (life), 5 (</w:t>
            </w:r>
            <w:r w:rsidR="006B4808">
              <w:rPr>
                <w:rFonts w:ascii="Cambria" w:hAnsi="Cambria"/>
                <w:bCs/>
                <w:sz w:val="20"/>
                <w:szCs w:val="20"/>
              </w:rPr>
              <w:t>humane treatment</w:t>
            </w:r>
            <w:r w:rsidRPr="009B0A44">
              <w:rPr>
                <w:rFonts w:ascii="Cambria" w:hAnsi="Cambria"/>
                <w:bCs/>
                <w:sz w:val="20"/>
                <w:szCs w:val="20"/>
              </w:rPr>
              <w:t xml:space="preserve">), 8 </w:t>
            </w:r>
            <w:r>
              <w:rPr>
                <w:rFonts w:ascii="Cambria" w:hAnsi="Cambria"/>
                <w:bCs/>
                <w:sz w:val="20"/>
                <w:szCs w:val="20"/>
              </w:rPr>
              <w:t>(fair trial</w:t>
            </w:r>
            <w:r w:rsidRPr="009B0A44">
              <w:rPr>
                <w:rFonts w:ascii="Cambria" w:hAnsi="Cambria"/>
                <w:bCs/>
                <w:sz w:val="20"/>
                <w:szCs w:val="20"/>
              </w:rPr>
              <w:t>), 11 (</w:t>
            </w:r>
            <w:r>
              <w:rPr>
                <w:rFonts w:ascii="Cambria" w:hAnsi="Cambria"/>
                <w:bCs/>
                <w:sz w:val="20"/>
                <w:szCs w:val="20"/>
              </w:rPr>
              <w:t>privacy</w:t>
            </w:r>
            <w:r w:rsidRPr="009B0A44">
              <w:rPr>
                <w:rFonts w:ascii="Cambria" w:hAnsi="Cambria"/>
                <w:bCs/>
                <w:sz w:val="20"/>
                <w:szCs w:val="20"/>
              </w:rPr>
              <w:t>), 22 (movement and residence) and 25 (judicial protection) of the American Convention on Human Rights</w:t>
            </w:r>
            <w:r w:rsidRPr="00507154">
              <w:rPr>
                <w:rStyle w:val="FootnoteReference"/>
                <w:rFonts w:asciiTheme="majorHAnsi" w:hAnsiTheme="majorHAnsi"/>
                <w:bCs/>
                <w:sz w:val="20"/>
                <w:szCs w:val="20"/>
                <w:lang w:val="es-CO"/>
              </w:rPr>
              <w:footnoteReference w:id="3"/>
            </w:r>
            <w:r w:rsidRPr="009B0A44">
              <w:rPr>
                <w:rFonts w:ascii="Cambria" w:hAnsi="Cambria"/>
                <w:bCs/>
                <w:sz w:val="20"/>
                <w:szCs w:val="20"/>
              </w:rPr>
              <w:t>, in relation to Article 1.1 (obligation to respect rights)</w:t>
            </w:r>
            <w:r w:rsidR="006B4808">
              <w:rPr>
                <w:rFonts w:ascii="Cambria" w:hAnsi="Cambria"/>
                <w:bCs/>
                <w:sz w:val="20"/>
                <w:szCs w:val="20"/>
              </w:rPr>
              <w:t xml:space="preserve"> thereof</w:t>
            </w:r>
            <w:r w:rsidRPr="009B0A44">
              <w:rPr>
                <w:rFonts w:ascii="Cambria" w:hAnsi="Cambria"/>
                <w:bCs/>
                <w:sz w:val="20"/>
                <w:szCs w:val="20"/>
              </w:rPr>
              <w:t>; Articles 1, 6 and 8 of the Inter-American Convention to Prevent and Punish Torture.</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0519CE31" w:rsidR="00F621C3" w:rsidRPr="00521B60" w:rsidRDefault="004F35AC" w:rsidP="008D5990">
            <w:pPr>
              <w:jc w:val="center"/>
              <w:rPr>
                <w:rFonts w:ascii="Cambria" w:hAnsi="Cambria"/>
                <w:b/>
                <w:bCs/>
                <w:color w:val="FFFFFF" w:themeColor="background1"/>
                <w:sz w:val="22"/>
                <w:szCs w:val="22"/>
              </w:rPr>
            </w:pPr>
            <w:r w:rsidRPr="004F35AC">
              <w:rPr>
                <w:rFonts w:ascii="Cambria" w:hAnsi="Cambria"/>
                <w:b/>
                <w:bCs/>
                <w:color w:val="FFFFFF" w:themeColor="background1"/>
                <w:sz w:val="22"/>
                <w:szCs w:val="22"/>
              </w:rPr>
              <w:t>Date of receipt</w:t>
            </w:r>
          </w:p>
        </w:tc>
        <w:tc>
          <w:tcPr>
            <w:tcW w:w="5670" w:type="dxa"/>
            <w:vAlign w:val="center"/>
          </w:tcPr>
          <w:p w14:paraId="1C0C3DE2" w14:textId="39AA79C8" w:rsidR="00F621C3" w:rsidRPr="00FE5113" w:rsidRDefault="009B0A44" w:rsidP="009163FC">
            <w:pPr>
              <w:jc w:val="both"/>
              <w:rPr>
                <w:rFonts w:ascii="Cambria" w:hAnsi="Cambria"/>
                <w:bCs/>
                <w:sz w:val="20"/>
                <w:szCs w:val="20"/>
              </w:rPr>
            </w:pPr>
            <w:r>
              <w:rPr>
                <w:rFonts w:ascii="Cambria" w:hAnsi="Cambria"/>
                <w:bCs/>
                <w:sz w:val="20"/>
                <w:szCs w:val="20"/>
              </w:rPr>
              <w:t>June 3, 2010</w:t>
            </w:r>
          </w:p>
        </w:tc>
      </w:tr>
      <w:tr w:rsidR="00DB2771" w:rsidRPr="000B6B7A" w14:paraId="6AA51B6F" w14:textId="77777777" w:rsidTr="009B0A44">
        <w:trPr>
          <w:trHeight w:val="858"/>
        </w:trPr>
        <w:tc>
          <w:tcPr>
            <w:tcW w:w="3690" w:type="dxa"/>
            <w:tcBorders>
              <w:top w:val="single" w:sz="6" w:space="0" w:color="auto"/>
              <w:bottom w:val="single" w:sz="6" w:space="0" w:color="auto"/>
            </w:tcBorders>
            <w:shd w:val="clear" w:color="auto" w:fill="67AE3C"/>
            <w:vAlign w:val="center"/>
          </w:tcPr>
          <w:p w14:paraId="08AF1E5E" w14:textId="590E862F" w:rsidR="00DB2771" w:rsidRPr="00521B60" w:rsidRDefault="004F35AC" w:rsidP="008D5990">
            <w:pPr>
              <w:jc w:val="center"/>
              <w:rPr>
                <w:rFonts w:ascii="Cambria" w:hAnsi="Cambria"/>
                <w:b/>
                <w:color w:val="FFFFFF" w:themeColor="background1"/>
                <w:sz w:val="22"/>
                <w:szCs w:val="22"/>
              </w:rPr>
            </w:pPr>
            <w:r w:rsidRPr="004F35AC">
              <w:rPr>
                <w:rFonts w:ascii="Cambria" w:hAnsi="Cambria"/>
                <w:b/>
                <w:color w:val="FFFFFF" w:themeColor="background1"/>
                <w:sz w:val="22"/>
                <w:szCs w:val="22"/>
              </w:rPr>
              <w:t>Notification of the petition to the State</w:t>
            </w:r>
          </w:p>
        </w:tc>
        <w:tc>
          <w:tcPr>
            <w:tcW w:w="5670" w:type="dxa"/>
            <w:vAlign w:val="center"/>
          </w:tcPr>
          <w:p w14:paraId="412CB193" w14:textId="40EB96E2" w:rsidR="00DB2771" w:rsidRPr="00FE5113" w:rsidRDefault="009B0A44" w:rsidP="009163FC">
            <w:pPr>
              <w:jc w:val="both"/>
              <w:rPr>
                <w:rFonts w:ascii="Cambria" w:hAnsi="Cambria"/>
                <w:bCs/>
                <w:sz w:val="20"/>
                <w:szCs w:val="20"/>
              </w:rPr>
            </w:pPr>
            <w:r>
              <w:rPr>
                <w:rFonts w:ascii="Cambria" w:hAnsi="Cambria"/>
                <w:bCs/>
                <w:sz w:val="20"/>
                <w:szCs w:val="20"/>
              </w:rPr>
              <w:t>May 10, 2016</w:t>
            </w:r>
          </w:p>
        </w:tc>
      </w:tr>
      <w:tr w:rsidR="004F35AC" w:rsidRPr="000B6B7A" w14:paraId="6C8DD469" w14:textId="77777777" w:rsidTr="00B06BB7">
        <w:tc>
          <w:tcPr>
            <w:tcW w:w="3690" w:type="dxa"/>
            <w:tcBorders>
              <w:top w:val="single" w:sz="6" w:space="0" w:color="auto"/>
              <w:bottom w:val="single" w:sz="6" w:space="0" w:color="auto"/>
            </w:tcBorders>
            <w:shd w:val="clear" w:color="auto" w:fill="67AE3C"/>
            <w:vAlign w:val="center"/>
          </w:tcPr>
          <w:p w14:paraId="41C256C0" w14:textId="4132C969" w:rsidR="004F35AC" w:rsidRPr="00521B60" w:rsidRDefault="004F35AC" w:rsidP="006B4808">
            <w:pPr>
              <w:jc w:val="center"/>
              <w:rPr>
                <w:rFonts w:ascii="Cambria" w:hAnsi="Cambria"/>
                <w:b/>
                <w:color w:val="FFFFFF" w:themeColor="background1"/>
                <w:sz w:val="22"/>
                <w:szCs w:val="22"/>
              </w:rPr>
            </w:pPr>
            <w:r w:rsidRPr="004F35AC">
              <w:rPr>
                <w:rFonts w:ascii="Cambria" w:hAnsi="Cambria"/>
                <w:b/>
                <w:color w:val="FFFFFF" w:themeColor="background1"/>
                <w:sz w:val="22"/>
                <w:szCs w:val="22"/>
              </w:rPr>
              <w:t>State’s first response</w:t>
            </w:r>
          </w:p>
        </w:tc>
        <w:tc>
          <w:tcPr>
            <w:tcW w:w="5670" w:type="dxa"/>
            <w:vAlign w:val="center"/>
          </w:tcPr>
          <w:p w14:paraId="5786E1B5" w14:textId="20B228B7" w:rsidR="004F35AC" w:rsidRDefault="009B0A44" w:rsidP="009163FC">
            <w:pPr>
              <w:jc w:val="both"/>
              <w:rPr>
                <w:rFonts w:ascii="Cambria" w:hAnsi="Cambria"/>
                <w:bCs/>
                <w:sz w:val="20"/>
                <w:szCs w:val="20"/>
              </w:rPr>
            </w:pPr>
            <w:r>
              <w:rPr>
                <w:rFonts w:ascii="Cambria" w:hAnsi="Cambria"/>
                <w:bCs/>
                <w:sz w:val="20"/>
                <w:szCs w:val="20"/>
              </w:rPr>
              <w:t>November 17, 2017</w:t>
            </w:r>
          </w:p>
        </w:tc>
      </w:tr>
      <w:tr w:rsidR="004F35AC" w:rsidRPr="000B6B7A" w14:paraId="29D5073D" w14:textId="77777777" w:rsidTr="00B06BB7">
        <w:tc>
          <w:tcPr>
            <w:tcW w:w="3690" w:type="dxa"/>
            <w:tcBorders>
              <w:top w:val="single" w:sz="6" w:space="0" w:color="auto"/>
              <w:bottom w:val="single" w:sz="6" w:space="0" w:color="auto"/>
            </w:tcBorders>
            <w:shd w:val="clear" w:color="auto" w:fill="67AE3C"/>
            <w:vAlign w:val="center"/>
          </w:tcPr>
          <w:p w14:paraId="5E23FCC0" w14:textId="1ADEE01E" w:rsidR="004F35AC" w:rsidRPr="004F35AC" w:rsidRDefault="006D1D3A" w:rsidP="006B4808">
            <w:pPr>
              <w:jc w:val="center"/>
              <w:rPr>
                <w:rFonts w:ascii="Cambria" w:hAnsi="Cambria"/>
                <w:b/>
                <w:color w:val="FFFFFF" w:themeColor="background1"/>
                <w:sz w:val="22"/>
                <w:szCs w:val="22"/>
              </w:rPr>
            </w:pPr>
            <w:r w:rsidRPr="006D1D3A">
              <w:rPr>
                <w:rFonts w:ascii="Cambria" w:hAnsi="Cambria"/>
                <w:b/>
                <w:color w:val="FFFFFF" w:themeColor="background1"/>
                <w:sz w:val="22"/>
                <w:szCs w:val="22"/>
              </w:rPr>
              <w:t xml:space="preserve">Additional </w:t>
            </w:r>
            <w:r w:rsidR="00CA6808">
              <w:rPr>
                <w:rFonts w:ascii="Cambria" w:hAnsi="Cambria"/>
                <w:b/>
                <w:color w:val="FFFFFF" w:themeColor="background1"/>
                <w:sz w:val="22"/>
                <w:szCs w:val="22"/>
              </w:rPr>
              <w:t>observations from the petitioners</w:t>
            </w:r>
          </w:p>
        </w:tc>
        <w:tc>
          <w:tcPr>
            <w:tcW w:w="5670" w:type="dxa"/>
            <w:vAlign w:val="center"/>
          </w:tcPr>
          <w:p w14:paraId="25A44418" w14:textId="4EA7B958" w:rsidR="004F35AC" w:rsidRPr="006D1D3A" w:rsidRDefault="009B0A44" w:rsidP="006D1D3A">
            <w:pPr>
              <w:jc w:val="both"/>
              <w:rPr>
                <w:rFonts w:asciiTheme="majorHAnsi" w:hAnsiTheme="majorHAnsi"/>
                <w:bCs/>
                <w:sz w:val="20"/>
                <w:szCs w:val="20"/>
                <w:lang w:val="es-ES"/>
              </w:rPr>
            </w:pPr>
            <w:proofErr w:type="spellStart"/>
            <w:r>
              <w:rPr>
                <w:rFonts w:asciiTheme="majorHAnsi" w:hAnsiTheme="majorHAnsi"/>
                <w:bCs/>
                <w:sz w:val="20"/>
                <w:szCs w:val="20"/>
                <w:lang w:val="es-ES"/>
              </w:rPr>
              <w:t>September</w:t>
            </w:r>
            <w:proofErr w:type="spellEnd"/>
            <w:r>
              <w:rPr>
                <w:rFonts w:asciiTheme="majorHAnsi" w:hAnsiTheme="majorHAnsi"/>
                <w:bCs/>
                <w:sz w:val="20"/>
                <w:szCs w:val="20"/>
                <w:lang w:val="es-ES"/>
              </w:rPr>
              <w:t xml:space="preserve"> 24, 2019</w:t>
            </w:r>
          </w:p>
        </w:tc>
      </w:tr>
      <w:tr w:rsidR="006B4808" w:rsidRPr="000B6B7A" w14:paraId="7CBE4D7C" w14:textId="77777777" w:rsidTr="00B06BB7">
        <w:tc>
          <w:tcPr>
            <w:tcW w:w="3690" w:type="dxa"/>
            <w:tcBorders>
              <w:top w:val="single" w:sz="6" w:space="0" w:color="auto"/>
              <w:bottom w:val="single" w:sz="6" w:space="0" w:color="auto"/>
            </w:tcBorders>
            <w:shd w:val="clear" w:color="auto" w:fill="67AE3C"/>
            <w:vAlign w:val="center"/>
          </w:tcPr>
          <w:p w14:paraId="419AA231" w14:textId="744D04FE" w:rsidR="006B4808" w:rsidRPr="006D1D3A" w:rsidRDefault="006B4808" w:rsidP="006B4808">
            <w:pPr>
              <w:jc w:val="center"/>
              <w:rPr>
                <w:rFonts w:ascii="Cambria" w:hAnsi="Cambria"/>
                <w:b/>
                <w:color w:val="FFFFFF" w:themeColor="background1"/>
                <w:sz w:val="22"/>
                <w:szCs w:val="22"/>
              </w:rPr>
            </w:pPr>
            <w:r>
              <w:rPr>
                <w:rFonts w:ascii="Cambria" w:hAnsi="Cambria"/>
                <w:b/>
                <w:color w:val="FFFFFF" w:themeColor="background1"/>
                <w:sz w:val="22"/>
                <w:szCs w:val="22"/>
              </w:rPr>
              <w:t xml:space="preserve">Advisement of possible archiving </w:t>
            </w:r>
          </w:p>
        </w:tc>
        <w:tc>
          <w:tcPr>
            <w:tcW w:w="5670" w:type="dxa"/>
            <w:vAlign w:val="center"/>
          </w:tcPr>
          <w:p w14:paraId="644D18D3" w14:textId="49C58BE5" w:rsidR="006B4808" w:rsidRDefault="006B4808" w:rsidP="006B4808">
            <w:pPr>
              <w:jc w:val="both"/>
              <w:rPr>
                <w:rFonts w:asciiTheme="majorHAnsi" w:hAnsiTheme="majorHAnsi"/>
                <w:bCs/>
                <w:sz w:val="20"/>
                <w:szCs w:val="20"/>
                <w:lang w:val="es-ES"/>
              </w:rPr>
            </w:pPr>
            <w:r>
              <w:rPr>
                <w:rFonts w:ascii="Cambria" w:hAnsi="Cambria"/>
                <w:bCs/>
                <w:sz w:val="20"/>
                <w:szCs w:val="20"/>
              </w:rPr>
              <w:t>October 13, 2018</w:t>
            </w:r>
          </w:p>
        </w:tc>
      </w:tr>
      <w:tr w:rsidR="001646B5" w:rsidRPr="000B6B7A" w14:paraId="579756B9" w14:textId="77777777" w:rsidTr="00B06BB7">
        <w:tc>
          <w:tcPr>
            <w:tcW w:w="3690" w:type="dxa"/>
            <w:tcBorders>
              <w:top w:val="single" w:sz="6" w:space="0" w:color="auto"/>
              <w:bottom w:val="single" w:sz="6" w:space="0" w:color="auto"/>
            </w:tcBorders>
            <w:shd w:val="clear" w:color="auto" w:fill="67AE3C"/>
            <w:vAlign w:val="center"/>
          </w:tcPr>
          <w:p w14:paraId="45116D47" w14:textId="5421D433" w:rsidR="001646B5" w:rsidRPr="006D1D3A" w:rsidRDefault="009B0A44" w:rsidP="006D1D3A">
            <w:pPr>
              <w:jc w:val="center"/>
              <w:rPr>
                <w:rFonts w:ascii="Cambria" w:hAnsi="Cambria"/>
                <w:b/>
                <w:color w:val="FFFFFF" w:themeColor="background1"/>
                <w:sz w:val="22"/>
                <w:szCs w:val="22"/>
              </w:rPr>
            </w:pPr>
            <w:r w:rsidRPr="009B0A44">
              <w:rPr>
                <w:rFonts w:ascii="Cambria" w:hAnsi="Cambria"/>
                <w:b/>
                <w:color w:val="FFFFFF" w:themeColor="background1"/>
                <w:sz w:val="22"/>
                <w:szCs w:val="22"/>
              </w:rPr>
              <w:t xml:space="preserve">Response of the </w:t>
            </w:r>
            <w:r>
              <w:rPr>
                <w:rFonts w:ascii="Cambria" w:hAnsi="Cambria"/>
                <w:b/>
                <w:color w:val="FFFFFF" w:themeColor="background1"/>
                <w:sz w:val="22"/>
                <w:szCs w:val="22"/>
              </w:rPr>
              <w:t>Petitioner regarding possible archiving:</w:t>
            </w:r>
          </w:p>
        </w:tc>
        <w:tc>
          <w:tcPr>
            <w:tcW w:w="5670" w:type="dxa"/>
            <w:vAlign w:val="center"/>
          </w:tcPr>
          <w:p w14:paraId="489A03FA" w14:textId="67A2BB23" w:rsidR="001646B5" w:rsidRDefault="009B0A44" w:rsidP="006D1D3A">
            <w:pPr>
              <w:jc w:val="both"/>
              <w:rPr>
                <w:rFonts w:asciiTheme="majorHAnsi" w:hAnsiTheme="majorHAnsi"/>
                <w:bCs/>
                <w:sz w:val="20"/>
                <w:szCs w:val="20"/>
                <w:lang w:val="es-ES"/>
              </w:rPr>
            </w:pPr>
            <w:proofErr w:type="spellStart"/>
            <w:r>
              <w:rPr>
                <w:rFonts w:asciiTheme="majorHAnsi" w:hAnsiTheme="majorHAnsi"/>
                <w:bCs/>
                <w:sz w:val="20"/>
                <w:szCs w:val="20"/>
                <w:lang w:val="es-ES"/>
              </w:rPr>
              <w:t>October</w:t>
            </w:r>
            <w:proofErr w:type="spellEnd"/>
            <w:r>
              <w:rPr>
                <w:rFonts w:asciiTheme="majorHAnsi" w:hAnsiTheme="majorHAnsi"/>
                <w:bCs/>
                <w:sz w:val="20"/>
                <w:szCs w:val="20"/>
                <w:lang w:val="es-ES"/>
              </w:rPr>
              <w:t xml:space="preserve"> 16, 2018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6B12BB8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39C38C6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1DEF3181"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60EDFA2E" w:rsidR="00F621C3" w:rsidRPr="000B6B7A" w:rsidRDefault="009B0A44" w:rsidP="009163FC">
            <w:pPr>
              <w:jc w:val="both"/>
              <w:rPr>
                <w:rFonts w:asciiTheme="majorHAnsi" w:hAnsiTheme="majorHAnsi"/>
                <w:bCs/>
                <w:sz w:val="20"/>
                <w:szCs w:val="20"/>
              </w:rPr>
            </w:pPr>
            <w:r w:rsidRPr="009B0A44">
              <w:rPr>
                <w:rFonts w:asciiTheme="majorHAnsi" w:hAnsiTheme="majorHAnsi"/>
                <w:bCs/>
                <w:sz w:val="20"/>
                <w:szCs w:val="20"/>
              </w:rPr>
              <w:t xml:space="preserve">Yes, American Convention (instrument of ratification </w:t>
            </w:r>
            <w:r w:rsidR="006B4808">
              <w:rPr>
                <w:rFonts w:asciiTheme="majorHAnsi" w:hAnsiTheme="majorHAnsi"/>
                <w:bCs/>
                <w:sz w:val="20"/>
                <w:szCs w:val="20"/>
              </w:rPr>
              <w:t xml:space="preserve">deposited </w:t>
            </w:r>
            <w:r w:rsidRPr="009B0A44">
              <w:rPr>
                <w:rFonts w:asciiTheme="majorHAnsi" w:hAnsiTheme="majorHAnsi"/>
                <w:bCs/>
                <w:sz w:val="20"/>
                <w:szCs w:val="20"/>
              </w:rPr>
              <w:t xml:space="preserve">on July 31, 1973) and Inter-American Convention to Prevent and Punish Torture (instrument of ratification </w:t>
            </w:r>
            <w:r w:rsidR="006B4808">
              <w:rPr>
                <w:rFonts w:asciiTheme="majorHAnsi" w:hAnsiTheme="majorHAnsi"/>
                <w:bCs/>
                <w:sz w:val="20"/>
                <w:szCs w:val="20"/>
              </w:rPr>
              <w:t xml:space="preserve">deposited </w:t>
            </w:r>
            <w:r w:rsidRPr="009B0A44">
              <w:rPr>
                <w:rFonts w:asciiTheme="majorHAnsi" w:hAnsiTheme="majorHAnsi"/>
                <w:bCs/>
                <w:sz w:val="20"/>
                <w:szCs w:val="20"/>
              </w:rPr>
              <w:t>on January 19, 1999)</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C3CBFCF" w:rsidR="00F621C3" w:rsidRPr="000B6B7A" w:rsidRDefault="0030274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33BE4040" w14:textId="736979D6" w:rsidR="00F621C3" w:rsidRPr="000B6B7A" w:rsidRDefault="009B0A44" w:rsidP="009163FC">
            <w:pPr>
              <w:jc w:val="both"/>
              <w:rPr>
                <w:rFonts w:ascii="Cambria" w:hAnsi="Cambria"/>
                <w:bCs/>
                <w:sz w:val="20"/>
                <w:szCs w:val="20"/>
              </w:rPr>
            </w:pPr>
            <w:r w:rsidRPr="009B0A44">
              <w:rPr>
                <w:rFonts w:ascii="Cambria" w:hAnsi="Cambria"/>
                <w:bCs/>
                <w:sz w:val="20"/>
                <w:szCs w:val="20"/>
              </w:rPr>
              <w:t>Articles 4 (life), 5 (</w:t>
            </w:r>
            <w:r w:rsidR="006B4808">
              <w:rPr>
                <w:rFonts w:ascii="Cambria" w:hAnsi="Cambria"/>
                <w:bCs/>
                <w:sz w:val="20"/>
                <w:szCs w:val="20"/>
              </w:rPr>
              <w:t>humane treatment</w:t>
            </w:r>
            <w:r w:rsidRPr="009B0A44">
              <w:rPr>
                <w:rFonts w:ascii="Cambria" w:hAnsi="Cambria"/>
                <w:bCs/>
                <w:sz w:val="20"/>
                <w:szCs w:val="20"/>
              </w:rPr>
              <w:t>), 8 (</w:t>
            </w:r>
            <w:r>
              <w:rPr>
                <w:rFonts w:ascii="Cambria" w:hAnsi="Cambria"/>
                <w:bCs/>
                <w:sz w:val="20"/>
                <w:szCs w:val="20"/>
              </w:rPr>
              <w:t>fair trial</w:t>
            </w:r>
            <w:r w:rsidRPr="009B0A44">
              <w:rPr>
                <w:rFonts w:ascii="Cambria" w:hAnsi="Cambria"/>
                <w:bCs/>
                <w:sz w:val="20"/>
                <w:szCs w:val="20"/>
              </w:rPr>
              <w:t>), 11 (</w:t>
            </w:r>
            <w:r>
              <w:rPr>
                <w:rFonts w:ascii="Cambria" w:hAnsi="Cambria"/>
                <w:bCs/>
                <w:sz w:val="20"/>
                <w:szCs w:val="20"/>
              </w:rPr>
              <w:t>privacy</w:t>
            </w:r>
            <w:r w:rsidRPr="009B0A44">
              <w:rPr>
                <w:rFonts w:ascii="Cambria" w:hAnsi="Cambria"/>
                <w:bCs/>
                <w:sz w:val="20"/>
                <w:szCs w:val="20"/>
              </w:rPr>
              <w:t xml:space="preserve">), 22 (movement and residence) 25 (judicial protection) and 26 (economic, social and cultural rights) of the American Convention, in connection with </w:t>
            </w:r>
            <w:r w:rsidR="006B4808">
              <w:rPr>
                <w:rFonts w:ascii="Cambria" w:hAnsi="Cambria"/>
                <w:bCs/>
                <w:sz w:val="20"/>
                <w:szCs w:val="20"/>
              </w:rPr>
              <w:t>A</w:t>
            </w:r>
            <w:r w:rsidRPr="009B0A44">
              <w:rPr>
                <w:rFonts w:ascii="Cambria" w:hAnsi="Cambria"/>
                <w:bCs/>
                <w:sz w:val="20"/>
                <w:szCs w:val="20"/>
              </w:rPr>
              <w:t>rticles 1.1 (obligation to respect rights) and 2 (</w:t>
            </w:r>
            <w:r w:rsidR="006B4808">
              <w:rPr>
                <w:rFonts w:ascii="Cambria" w:hAnsi="Cambria"/>
                <w:bCs/>
                <w:sz w:val="20"/>
                <w:szCs w:val="20"/>
              </w:rPr>
              <w:t>domestic legal effects</w:t>
            </w:r>
            <w:r w:rsidRPr="009B0A44">
              <w:rPr>
                <w:rFonts w:ascii="Cambria" w:hAnsi="Cambria"/>
                <w:bCs/>
                <w:sz w:val="20"/>
                <w:szCs w:val="20"/>
              </w:rPr>
              <w:t>)</w:t>
            </w:r>
            <w:r w:rsidR="006B4808">
              <w:rPr>
                <w:rFonts w:ascii="Cambria" w:hAnsi="Cambria"/>
                <w:bCs/>
                <w:sz w:val="20"/>
                <w:szCs w:val="20"/>
              </w:rPr>
              <w:t xml:space="preserve"> thereof</w:t>
            </w:r>
            <w:r w:rsidRPr="009B0A44">
              <w:rPr>
                <w:rFonts w:ascii="Cambria" w:hAnsi="Cambria"/>
                <w:bCs/>
                <w:sz w:val="20"/>
                <w:szCs w:val="20"/>
              </w:rPr>
              <w:t>; and Articles 1, 6 and 8 of the Inter-American Convention to Prevent and Punish Torture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412B8E4D" w:rsidR="00F621C3" w:rsidRPr="000B6B7A" w:rsidRDefault="005B6898" w:rsidP="009163FC">
            <w:pPr>
              <w:rPr>
                <w:rFonts w:ascii="Cambria" w:hAnsi="Cambria"/>
                <w:bCs/>
                <w:sz w:val="20"/>
                <w:szCs w:val="20"/>
              </w:rPr>
            </w:pPr>
            <w:r w:rsidRPr="005B6898">
              <w:rPr>
                <w:rFonts w:ascii="Cambria" w:hAnsi="Cambria"/>
                <w:bCs/>
                <w:sz w:val="20"/>
                <w:szCs w:val="20"/>
              </w:rPr>
              <w:t xml:space="preserve">Yes, the exception of Article 46.2.c) of the American Convention </w:t>
            </w:r>
            <w:r w:rsidR="006B4808">
              <w:rPr>
                <w:rFonts w:ascii="Cambria" w:hAnsi="Cambria"/>
                <w:bCs/>
                <w:sz w:val="20"/>
                <w:szCs w:val="20"/>
              </w:rPr>
              <w:t>is applicable</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1A586E74" w:rsidR="00F621C3" w:rsidRPr="000B6B7A" w:rsidRDefault="00BD32AB" w:rsidP="009163FC">
            <w:pPr>
              <w:rPr>
                <w:rFonts w:asciiTheme="majorHAnsi" w:hAnsiTheme="majorHAnsi"/>
                <w:bCs/>
                <w:sz w:val="20"/>
                <w:szCs w:val="20"/>
              </w:rPr>
            </w:pPr>
            <w:r w:rsidRPr="00BD32AB">
              <w:rPr>
                <w:rFonts w:asciiTheme="majorHAnsi" w:hAnsiTheme="majorHAnsi"/>
                <w:bCs/>
                <w:sz w:val="20"/>
                <w:szCs w:val="20"/>
              </w:rPr>
              <w:t xml:space="preserve">Yes, in the terms of </w:t>
            </w:r>
            <w:r w:rsidR="001E5727">
              <w:rPr>
                <w:rFonts w:asciiTheme="majorHAnsi" w:hAnsiTheme="majorHAnsi"/>
                <w:bCs/>
                <w:sz w:val="20"/>
                <w:szCs w:val="20"/>
              </w:rPr>
              <w:t>S</w:t>
            </w:r>
            <w:r w:rsidRPr="00BD32AB">
              <w:rPr>
                <w:rFonts w:asciiTheme="majorHAnsi" w:hAnsiTheme="majorHAnsi"/>
                <w:bCs/>
                <w:sz w:val="20"/>
                <w:szCs w:val="20"/>
              </w:rPr>
              <w:t>ection VI</w:t>
            </w:r>
          </w:p>
        </w:tc>
      </w:tr>
    </w:tbl>
    <w:p w14:paraId="1AAED5A1" w14:textId="77777777" w:rsidR="006D1D3A" w:rsidRDefault="006D1D3A" w:rsidP="001E3A95">
      <w:pPr>
        <w:rPr>
          <w:rFonts w:asciiTheme="majorHAnsi" w:hAnsiTheme="majorHAnsi"/>
          <w:b/>
          <w:sz w:val="20"/>
          <w:szCs w:val="20"/>
        </w:rPr>
      </w:pPr>
    </w:p>
    <w:p w14:paraId="34585AB7" w14:textId="12184595" w:rsidR="001E3A95" w:rsidRDefault="00631AA3" w:rsidP="001E5727">
      <w:pPr>
        <w:ind w:firstLine="360"/>
        <w:rPr>
          <w:rFonts w:asciiTheme="majorHAnsi" w:hAnsiTheme="majorHAnsi"/>
          <w:b/>
          <w:sz w:val="20"/>
          <w:szCs w:val="20"/>
        </w:rPr>
      </w:pPr>
      <w:r>
        <w:rPr>
          <w:rFonts w:asciiTheme="majorHAnsi" w:hAnsiTheme="majorHAnsi"/>
          <w:b/>
          <w:sz w:val="20"/>
          <w:szCs w:val="20"/>
        </w:rPr>
        <w:t xml:space="preserve">V. </w:t>
      </w:r>
      <w:r w:rsidR="005816E5" w:rsidRPr="00167D72">
        <w:rPr>
          <w:rFonts w:asciiTheme="majorHAnsi" w:hAnsiTheme="majorHAnsi"/>
          <w:b/>
          <w:sz w:val="20"/>
          <w:szCs w:val="20"/>
        </w:rPr>
        <w:t>ALLEGED</w:t>
      </w:r>
      <w:r w:rsidR="001E5727">
        <w:rPr>
          <w:rFonts w:asciiTheme="majorHAnsi" w:hAnsiTheme="majorHAnsi"/>
          <w:b/>
          <w:sz w:val="20"/>
          <w:szCs w:val="20"/>
        </w:rPr>
        <w:t xml:space="preserve"> FACTS</w:t>
      </w:r>
    </w:p>
    <w:p w14:paraId="336B508C" w14:textId="36FDDEDB" w:rsidR="0073400E" w:rsidRPr="0073400E" w:rsidRDefault="0073400E" w:rsidP="0073400E">
      <w:pPr>
        <w:jc w:val="both"/>
        <w:rPr>
          <w:rFonts w:asciiTheme="majorHAnsi" w:hAnsiTheme="majorHAnsi"/>
          <w:bCs/>
          <w:sz w:val="20"/>
          <w:szCs w:val="20"/>
        </w:rPr>
      </w:pPr>
    </w:p>
    <w:p w14:paraId="6DEAA23C" w14:textId="1ACE7D83" w:rsidR="005B6898" w:rsidRPr="001E5727" w:rsidRDefault="001E5727" w:rsidP="001E5727">
      <w:pPr>
        <w:ind w:firstLine="360"/>
        <w:jc w:val="both"/>
        <w:rPr>
          <w:rFonts w:asciiTheme="majorHAnsi" w:hAnsiTheme="majorHAnsi"/>
          <w:bCs/>
          <w:sz w:val="20"/>
          <w:szCs w:val="20"/>
        </w:rPr>
      </w:pPr>
      <w:r>
        <w:rPr>
          <w:rFonts w:asciiTheme="majorHAnsi" w:hAnsiTheme="majorHAnsi"/>
          <w:bCs/>
          <w:sz w:val="20"/>
          <w:szCs w:val="20"/>
        </w:rPr>
        <w:t xml:space="preserve">1. </w:t>
      </w:r>
      <w:r w:rsidR="005B6898" w:rsidRPr="001E5727">
        <w:rPr>
          <w:rFonts w:asciiTheme="majorHAnsi" w:hAnsiTheme="majorHAnsi"/>
          <w:bCs/>
          <w:sz w:val="20"/>
          <w:szCs w:val="20"/>
        </w:rPr>
        <w:t xml:space="preserve">The petitioners request the IACHR to declare the Colombian State internationally responsible for the extrajudicial execution of </w:t>
      </w:r>
      <w:proofErr w:type="spellStart"/>
      <w:r w:rsidR="005B6898" w:rsidRPr="001E5727">
        <w:rPr>
          <w:rFonts w:asciiTheme="majorHAnsi" w:hAnsiTheme="majorHAnsi"/>
          <w:bCs/>
          <w:sz w:val="20"/>
          <w:szCs w:val="20"/>
        </w:rPr>
        <w:t>Helvir</w:t>
      </w:r>
      <w:proofErr w:type="spellEnd"/>
      <w:r w:rsidR="005B6898" w:rsidRPr="001E5727">
        <w:rPr>
          <w:rFonts w:asciiTheme="majorHAnsi" w:hAnsiTheme="majorHAnsi"/>
          <w:bCs/>
          <w:sz w:val="20"/>
          <w:szCs w:val="20"/>
        </w:rPr>
        <w:t xml:space="preserve"> Antonio Torres </w:t>
      </w:r>
      <w:proofErr w:type="spellStart"/>
      <w:r w:rsidR="005B6898" w:rsidRPr="001E5727">
        <w:rPr>
          <w:rFonts w:asciiTheme="majorHAnsi" w:hAnsiTheme="majorHAnsi"/>
          <w:bCs/>
          <w:sz w:val="20"/>
          <w:szCs w:val="20"/>
        </w:rPr>
        <w:t>Clavijo</w:t>
      </w:r>
      <w:proofErr w:type="spellEnd"/>
      <w:r w:rsidR="005B6898" w:rsidRPr="001E5727">
        <w:rPr>
          <w:rFonts w:asciiTheme="majorHAnsi" w:hAnsiTheme="majorHAnsi"/>
          <w:bCs/>
          <w:sz w:val="20"/>
          <w:szCs w:val="20"/>
        </w:rPr>
        <w:t xml:space="preserve"> by members of the National Army, and the subsequent alteration of the scene and</w:t>
      </w:r>
      <w:r>
        <w:rPr>
          <w:rFonts w:asciiTheme="majorHAnsi" w:hAnsiTheme="majorHAnsi"/>
          <w:bCs/>
          <w:sz w:val="20"/>
          <w:szCs w:val="20"/>
        </w:rPr>
        <w:t xml:space="preserve"> the</w:t>
      </w:r>
      <w:r w:rsidR="005B6898" w:rsidRPr="001E5727">
        <w:rPr>
          <w:rFonts w:asciiTheme="majorHAnsi" w:hAnsiTheme="majorHAnsi"/>
          <w:bCs/>
          <w:sz w:val="20"/>
          <w:szCs w:val="20"/>
        </w:rPr>
        <w:t xml:space="preserve"> circumstances of the crime </w:t>
      </w:r>
      <w:r>
        <w:rPr>
          <w:rFonts w:asciiTheme="majorHAnsi" w:hAnsiTheme="majorHAnsi"/>
          <w:bCs/>
          <w:sz w:val="20"/>
          <w:szCs w:val="20"/>
        </w:rPr>
        <w:t xml:space="preserve">in order </w:t>
      </w:r>
      <w:r w:rsidR="005B6898" w:rsidRPr="001E5727">
        <w:rPr>
          <w:rFonts w:asciiTheme="majorHAnsi" w:hAnsiTheme="majorHAnsi"/>
          <w:bCs/>
          <w:sz w:val="20"/>
          <w:szCs w:val="20"/>
        </w:rPr>
        <w:t>to present him officially and publicly as a guerrilla killed in combat</w:t>
      </w:r>
      <w:r>
        <w:rPr>
          <w:rFonts w:asciiTheme="majorHAnsi" w:hAnsiTheme="majorHAnsi"/>
          <w:bCs/>
          <w:sz w:val="20"/>
          <w:szCs w:val="20"/>
        </w:rPr>
        <w:t>;</w:t>
      </w:r>
      <w:r w:rsidR="005B6898" w:rsidRPr="001E5727">
        <w:rPr>
          <w:rFonts w:asciiTheme="majorHAnsi" w:hAnsiTheme="majorHAnsi"/>
          <w:bCs/>
          <w:sz w:val="20"/>
          <w:szCs w:val="20"/>
        </w:rPr>
        <w:t xml:space="preserve"> </w:t>
      </w:r>
      <w:r>
        <w:rPr>
          <w:rFonts w:asciiTheme="majorHAnsi" w:hAnsiTheme="majorHAnsi"/>
          <w:bCs/>
          <w:sz w:val="20"/>
          <w:szCs w:val="20"/>
        </w:rPr>
        <w:t xml:space="preserve">also for the </w:t>
      </w:r>
      <w:r w:rsidR="005B6898" w:rsidRPr="001E5727">
        <w:rPr>
          <w:rFonts w:asciiTheme="majorHAnsi" w:hAnsiTheme="majorHAnsi"/>
          <w:bCs/>
          <w:sz w:val="20"/>
          <w:szCs w:val="20"/>
        </w:rPr>
        <w:t xml:space="preserve">attempted murder of Freddy Torres </w:t>
      </w:r>
      <w:proofErr w:type="spellStart"/>
      <w:r w:rsidR="005B6898" w:rsidRPr="001E5727">
        <w:rPr>
          <w:rFonts w:asciiTheme="majorHAnsi" w:hAnsiTheme="majorHAnsi"/>
          <w:bCs/>
          <w:sz w:val="20"/>
          <w:szCs w:val="20"/>
        </w:rPr>
        <w:t>Torres</w:t>
      </w:r>
      <w:proofErr w:type="spellEnd"/>
      <w:r w:rsidR="005B6898" w:rsidRPr="001E5727">
        <w:rPr>
          <w:rFonts w:asciiTheme="majorHAnsi" w:hAnsiTheme="majorHAnsi"/>
          <w:bCs/>
          <w:sz w:val="20"/>
          <w:szCs w:val="20"/>
        </w:rPr>
        <w:t xml:space="preserve"> in the same attack, and </w:t>
      </w:r>
      <w:r>
        <w:rPr>
          <w:rFonts w:asciiTheme="majorHAnsi" w:hAnsiTheme="majorHAnsi"/>
          <w:bCs/>
          <w:sz w:val="20"/>
          <w:szCs w:val="20"/>
        </w:rPr>
        <w:t xml:space="preserve">for </w:t>
      </w:r>
      <w:r w:rsidR="005B6898" w:rsidRPr="001E5727">
        <w:rPr>
          <w:rFonts w:asciiTheme="majorHAnsi" w:hAnsiTheme="majorHAnsi"/>
          <w:bCs/>
          <w:sz w:val="20"/>
          <w:szCs w:val="20"/>
        </w:rPr>
        <w:t xml:space="preserve">the impunity </w:t>
      </w:r>
      <w:r>
        <w:rPr>
          <w:rFonts w:asciiTheme="majorHAnsi" w:hAnsiTheme="majorHAnsi"/>
          <w:bCs/>
          <w:sz w:val="20"/>
          <w:szCs w:val="20"/>
        </w:rPr>
        <w:t xml:space="preserve">allegedly surrounding </w:t>
      </w:r>
      <w:r w:rsidR="005B6898" w:rsidRPr="001E5727">
        <w:rPr>
          <w:rFonts w:asciiTheme="majorHAnsi" w:hAnsiTheme="majorHAnsi"/>
          <w:bCs/>
          <w:sz w:val="20"/>
          <w:szCs w:val="20"/>
        </w:rPr>
        <w:t xml:space="preserve">both cases. Petitioners also </w:t>
      </w:r>
      <w:r>
        <w:rPr>
          <w:rFonts w:asciiTheme="majorHAnsi" w:hAnsiTheme="majorHAnsi"/>
          <w:bCs/>
          <w:sz w:val="20"/>
          <w:szCs w:val="20"/>
        </w:rPr>
        <w:t xml:space="preserve">denounce the </w:t>
      </w:r>
      <w:r w:rsidR="005B6898" w:rsidRPr="001E5727">
        <w:rPr>
          <w:rFonts w:asciiTheme="majorHAnsi" w:hAnsiTheme="majorHAnsi"/>
          <w:bCs/>
          <w:sz w:val="20"/>
          <w:szCs w:val="20"/>
        </w:rPr>
        <w:t xml:space="preserve">internal displacement suffered by Freddy Torres as a </w:t>
      </w:r>
      <w:r>
        <w:rPr>
          <w:rFonts w:asciiTheme="majorHAnsi" w:hAnsiTheme="majorHAnsi"/>
          <w:bCs/>
          <w:sz w:val="20"/>
          <w:szCs w:val="20"/>
        </w:rPr>
        <w:t xml:space="preserve">consequence </w:t>
      </w:r>
      <w:r w:rsidR="005B6898" w:rsidRPr="001E5727">
        <w:rPr>
          <w:rFonts w:asciiTheme="majorHAnsi" w:hAnsiTheme="majorHAnsi"/>
          <w:bCs/>
          <w:sz w:val="20"/>
          <w:szCs w:val="20"/>
        </w:rPr>
        <w:t>of the attack</w:t>
      </w:r>
      <w:r>
        <w:rPr>
          <w:rFonts w:asciiTheme="majorHAnsi" w:hAnsiTheme="majorHAnsi"/>
          <w:bCs/>
          <w:sz w:val="20"/>
          <w:szCs w:val="20"/>
        </w:rPr>
        <w:t>,</w:t>
      </w:r>
      <w:r w:rsidR="005B6898" w:rsidRPr="001E5727">
        <w:rPr>
          <w:rFonts w:asciiTheme="majorHAnsi" w:hAnsiTheme="majorHAnsi"/>
          <w:bCs/>
          <w:sz w:val="20"/>
          <w:szCs w:val="20"/>
        </w:rPr>
        <w:t xml:space="preserve"> and the subsequent persecution that affected him; as well as the subsequent internal displacement of the relatives </w:t>
      </w:r>
      <w:r>
        <w:rPr>
          <w:rFonts w:asciiTheme="majorHAnsi" w:hAnsiTheme="majorHAnsi"/>
          <w:bCs/>
          <w:sz w:val="20"/>
          <w:szCs w:val="20"/>
        </w:rPr>
        <w:t xml:space="preserve">of both so as </w:t>
      </w:r>
      <w:r w:rsidR="005B6898" w:rsidRPr="001E5727">
        <w:rPr>
          <w:rFonts w:asciiTheme="majorHAnsi" w:hAnsiTheme="majorHAnsi"/>
          <w:bCs/>
          <w:sz w:val="20"/>
          <w:szCs w:val="20"/>
        </w:rPr>
        <w:t>to preserve their safety.</w:t>
      </w:r>
    </w:p>
    <w:p w14:paraId="1929F9FD" w14:textId="77777777" w:rsidR="005B6898" w:rsidRPr="005B6898" w:rsidRDefault="005B6898" w:rsidP="005B6898">
      <w:pPr>
        <w:jc w:val="both"/>
        <w:rPr>
          <w:rFonts w:asciiTheme="majorHAnsi" w:hAnsiTheme="majorHAnsi"/>
          <w:bCs/>
          <w:sz w:val="20"/>
          <w:szCs w:val="20"/>
        </w:rPr>
      </w:pPr>
    </w:p>
    <w:p w14:paraId="3CB54C52" w14:textId="77777777" w:rsidR="000F44C1" w:rsidRDefault="001E5727" w:rsidP="000F44C1">
      <w:pPr>
        <w:ind w:firstLine="360"/>
        <w:jc w:val="both"/>
        <w:rPr>
          <w:rFonts w:asciiTheme="majorHAnsi" w:hAnsiTheme="majorHAnsi"/>
          <w:bCs/>
          <w:sz w:val="20"/>
          <w:szCs w:val="20"/>
        </w:rPr>
      </w:pPr>
      <w:r>
        <w:rPr>
          <w:rFonts w:asciiTheme="majorHAnsi" w:hAnsiTheme="majorHAnsi"/>
          <w:bCs/>
          <w:sz w:val="20"/>
          <w:szCs w:val="20"/>
        </w:rPr>
        <w:t xml:space="preserve">2. </w:t>
      </w:r>
      <w:r w:rsidR="005B6898" w:rsidRPr="001E5727">
        <w:rPr>
          <w:rFonts w:asciiTheme="majorHAnsi" w:hAnsiTheme="majorHAnsi"/>
          <w:bCs/>
          <w:sz w:val="20"/>
          <w:szCs w:val="20"/>
        </w:rPr>
        <w:t xml:space="preserve">The petition </w:t>
      </w:r>
      <w:r>
        <w:rPr>
          <w:rFonts w:asciiTheme="majorHAnsi" w:hAnsiTheme="majorHAnsi"/>
          <w:bCs/>
          <w:sz w:val="20"/>
          <w:szCs w:val="20"/>
        </w:rPr>
        <w:t>reports</w:t>
      </w:r>
      <w:r w:rsidR="005B6898" w:rsidRPr="001E5727">
        <w:rPr>
          <w:rFonts w:asciiTheme="majorHAnsi" w:hAnsiTheme="majorHAnsi"/>
          <w:bCs/>
          <w:sz w:val="20"/>
          <w:szCs w:val="20"/>
        </w:rPr>
        <w:t xml:space="preserve"> that Mr. </w:t>
      </w:r>
      <w:proofErr w:type="spellStart"/>
      <w:r w:rsidR="005B6898" w:rsidRPr="001E5727">
        <w:rPr>
          <w:rFonts w:asciiTheme="majorHAnsi" w:hAnsiTheme="majorHAnsi"/>
          <w:bCs/>
          <w:sz w:val="20"/>
          <w:szCs w:val="20"/>
        </w:rPr>
        <w:t>Helvir</w:t>
      </w:r>
      <w:proofErr w:type="spellEnd"/>
      <w:r w:rsidR="005B6898" w:rsidRPr="001E5727">
        <w:rPr>
          <w:rFonts w:asciiTheme="majorHAnsi" w:hAnsiTheme="majorHAnsi"/>
          <w:bCs/>
          <w:sz w:val="20"/>
          <w:szCs w:val="20"/>
        </w:rPr>
        <w:t xml:space="preserve"> Antonio Torres, 26 years old at the time of his death, was a private citizen who worked in agriculture, various trades and commerce in the town of Cabrera, Cundinamarca; and that Mr. Freddy Torres </w:t>
      </w:r>
      <w:proofErr w:type="spellStart"/>
      <w:r w:rsidR="005B6898" w:rsidRPr="001E5727">
        <w:rPr>
          <w:rFonts w:asciiTheme="majorHAnsi" w:hAnsiTheme="majorHAnsi"/>
          <w:bCs/>
          <w:sz w:val="20"/>
          <w:szCs w:val="20"/>
        </w:rPr>
        <w:t>Torres</w:t>
      </w:r>
      <w:proofErr w:type="spellEnd"/>
      <w:r w:rsidR="005B6898" w:rsidRPr="001E5727">
        <w:rPr>
          <w:rFonts w:asciiTheme="majorHAnsi" w:hAnsiTheme="majorHAnsi"/>
          <w:bCs/>
          <w:sz w:val="20"/>
          <w:szCs w:val="20"/>
        </w:rPr>
        <w:t>, his cousin, is also a private citizen who at the time worked in the transport</w:t>
      </w:r>
      <w:r>
        <w:rPr>
          <w:rFonts w:asciiTheme="majorHAnsi" w:hAnsiTheme="majorHAnsi"/>
          <w:bCs/>
          <w:sz w:val="20"/>
          <w:szCs w:val="20"/>
        </w:rPr>
        <w:t>ation</w:t>
      </w:r>
      <w:r w:rsidR="005B6898" w:rsidRPr="001E5727">
        <w:rPr>
          <w:rFonts w:asciiTheme="majorHAnsi" w:hAnsiTheme="majorHAnsi"/>
          <w:bCs/>
          <w:sz w:val="20"/>
          <w:szCs w:val="20"/>
        </w:rPr>
        <w:t xml:space="preserve"> and </w:t>
      </w:r>
      <w:r>
        <w:rPr>
          <w:rFonts w:asciiTheme="majorHAnsi" w:hAnsiTheme="majorHAnsi"/>
          <w:bCs/>
          <w:sz w:val="20"/>
          <w:szCs w:val="20"/>
        </w:rPr>
        <w:t xml:space="preserve">trade </w:t>
      </w:r>
      <w:r w:rsidR="005B6898" w:rsidRPr="001E5727">
        <w:rPr>
          <w:rFonts w:asciiTheme="majorHAnsi" w:hAnsiTheme="majorHAnsi"/>
          <w:bCs/>
          <w:sz w:val="20"/>
          <w:szCs w:val="20"/>
        </w:rPr>
        <w:t xml:space="preserve">sectors of the same municipality. It is indicated that on September 16, 2006, the two were consuming liquor in a public establishment with a man who called himself “Freddy”, whom they had met days before </w:t>
      </w:r>
      <w:r>
        <w:rPr>
          <w:rFonts w:asciiTheme="majorHAnsi" w:hAnsiTheme="majorHAnsi"/>
          <w:bCs/>
          <w:sz w:val="20"/>
          <w:szCs w:val="20"/>
        </w:rPr>
        <w:t>on</w:t>
      </w:r>
      <w:r w:rsidR="005B6898" w:rsidRPr="001E5727">
        <w:rPr>
          <w:rFonts w:asciiTheme="majorHAnsi" w:hAnsiTheme="majorHAnsi"/>
          <w:bCs/>
          <w:sz w:val="20"/>
          <w:szCs w:val="20"/>
        </w:rPr>
        <w:t xml:space="preserve"> a social occasion. This so-called "Freddy" invited them to a farm in the town of </w:t>
      </w:r>
      <w:proofErr w:type="spellStart"/>
      <w:r w:rsidR="005B6898" w:rsidRPr="001E5727">
        <w:rPr>
          <w:rFonts w:asciiTheme="majorHAnsi" w:hAnsiTheme="majorHAnsi"/>
          <w:bCs/>
          <w:sz w:val="20"/>
          <w:szCs w:val="20"/>
        </w:rPr>
        <w:t>Fusagasugá</w:t>
      </w:r>
      <w:proofErr w:type="spellEnd"/>
      <w:r w:rsidR="005B6898" w:rsidRPr="001E5727">
        <w:rPr>
          <w:rFonts w:asciiTheme="majorHAnsi" w:hAnsiTheme="majorHAnsi"/>
          <w:bCs/>
          <w:sz w:val="20"/>
          <w:szCs w:val="20"/>
        </w:rPr>
        <w:t xml:space="preserve"> to continue consuming alcohol, to which the Torres cousins ​​agreed. On the way </w:t>
      </w:r>
      <w:r>
        <w:rPr>
          <w:rFonts w:asciiTheme="majorHAnsi" w:hAnsiTheme="majorHAnsi"/>
          <w:bCs/>
          <w:sz w:val="20"/>
          <w:szCs w:val="20"/>
        </w:rPr>
        <w:t xml:space="preserve">there </w:t>
      </w:r>
      <w:r w:rsidR="005B6898" w:rsidRPr="001E5727">
        <w:rPr>
          <w:rFonts w:asciiTheme="majorHAnsi" w:hAnsiTheme="majorHAnsi"/>
          <w:bCs/>
          <w:sz w:val="20"/>
          <w:szCs w:val="20"/>
        </w:rPr>
        <w:t xml:space="preserve">they met two other </w:t>
      </w:r>
      <w:r>
        <w:rPr>
          <w:rFonts w:asciiTheme="majorHAnsi" w:hAnsiTheme="majorHAnsi"/>
          <w:bCs/>
          <w:sz w:val="20"/>
          <w:szCs w:val="20"/>
        </w:rPr>
        <w:t>persons</w:t>
      </w:r>
      <w:r w:rsidR="005B6898" w:rsidRPr="001E5727">
        <w:rPr>
          <w:rFonts w:asciiTheme="majorHAnsi" w:hAnsiTheme="majorHAnsi"/>
          <w:bCs/>
          <w:sz w:val="20"/>
          <w:szCs w:val="20"/>
        </w:rPr>
        <w:t>, one of them nicknamed "</w:t>
      </w:r>
      <w:r w:rsidRPr="001E5727">
        <w:rPr>
          <w:rFonts w:asciiTheme="majorHAnsi" w:hAnsiTheme="majorHAnsi"/>
          <w:bCs/>
          <w:i/>
          <w:iCs/>
          <w:sz w:val="20"/>
          <w:szCs w:val="20"/>
        </w:rPr>
        <w:t xml:space="preserve">el </w:t>
      </w:r>
      <w:proofErr w:type="spellStart"/>
      <w:r w:rsidRPr="001E5727">
        <w:rPr>
          <w:rFonts w:asciiTheme="majorHAnsi" w:hAnsiTheme="majorHAnsi"/>
          <w:bCs/>
          <w:i/>
          <w:iCs/>
          <w:sz w:val="20"/>
          <w:szCs w:val="20"/>
        </w:rPr>
        <w:t>costeño</w:t>
      </w:r>
      <w:proofErr w:type="spellEnd"/>
      <w:r w:rsidR="005B6898" w:rsidRPr="001E5727">
        <w:rPr>
          <w:rFonts w:asciiTheme="majorHAnsi" w:hAnsiTheme="majorHAnsi"/>
          <w:bCs/>
          <w:sz w:val="20"/>
          <w:szCs w:val="20"/>
        </w:rPr>
        <w:t>" and the other nicknamed "</w:t>
      </w:r>
      <w:r w:rsidRPr="001E5727">
        <w:rPr>
          <w:rFonts w:asciiTheme="majorHAnsi" w:hAnsiTheme="majorHAnsi"/>
          <w:bCs/>
          <w:i/>
          <w:iCs/>
          <w:sz w:val="20"/>
          <w:szCs w:val="20"/>
        </w:rPr>
        <w:t xml:space="preserve">el </w:t>
      </w:r>
      <w:r w:rsidR="005B6898" w:rsidRPr="001E5727">
        <w:rPr>
          <w:rFonts w:asciiTheme="majorHAnsi" w:hAnsiTheme="majorHAnsi"/>
          <w:bCs/>
          <w:i/>
          <w:iCs/>
          <w:sz w:val="20"/>
          <w:szCs w:val="20"/>
        </w:rPr>
        <w:t>paisa</w:t>
      </w:r>
      <w:r w:rsidR="005B6898" w:rsidRPr="001E5727">
        <w:rPr>
          <w:rFonts w:asciiTheme="majorHAnsi" w:hAnsiTheme="majorHAnsi"/>
          <w:bCs/>
          <w:sz w:val="20"/>
          <w:szCs w:val="20"/>
        </w:rPr>
        <w:t xml:space="preserve">", with whom they continued the journey to a property with a house in a secluded sector of the </w:t>
      </w:r>
      <w:r>
        <w:rPr>
          <w:rFonts w:asciiTheme="majorHAnsi" w:hAnsiTheme="majorHAnsi"/>
          <w:bCs/>
          <w:sz w:val="20"/>
          <w:szCs w:val="20"/>
        </w:rPr>
        <w:t>countryside</w:t>
      </w:r>
      <w:r w:rsidR="005B6898" w:rsidRPr="001E5727">
        <w:rPr>
          <w:rFonts w:asciiTheme="majorHAnsi" w:hAnsiTheme="majorHAnsi"/>
          <w:bCs/>
          <w:sz w:val="20"/>
          <w:szCs w:val="20"/>
        </w:rPr>
        <w:t xml:space="preserve">, in the Quebrada Honda </w:t>
      </w:r>
      <w:r>
        <w:rPr>
          <w:rFonts w:asciiTheme="majorHAnsi" w:hAnsiTheme="majorHAnsi"/>
          <w:bCs/>
          <w:sz w:val="20"/>
          <w:szCs w:val="20"/>
        </w:rPr>
        <w:t xml:space="preserve">shire </w:t>
      </w:r>
      <w:r w:rsidR="005B6898" w:rsidRPr="001E5727">
        <w:rPr>
          <w:rFonts w:asciiTheme="majorHAnsi" w:hAnsiTheme="majorHAnsi"/>
          <w:bCs/>
          <w:sz w:val="20"/>
          <w:szCs w:val="20"/>
        </w:rPr>
        <w:t xml:space="preserve">of the municipality of </w:t>
      </w:r>
      <w:proofErr w:type="spellStart"/>
      <w:r w:rsidR="005B6898" w:rsidRPr="001E5727">
        <w:rPr>
          <w:rFonts w:asciiTheme="majorHAnsi" w:hAnsiTheme="majorHAnsi"/>
          <w:bCs/>
          <w:sz w:val="20"/>
          <w:szCs w:val="20"/>
        </w:rPr>
        <w:t>Pasca</w:t>
      </w:r>
      <w:proofErr w:type="spellEnd"/>
      <w:r w:rsidR="005B6898" w:rsidRPr="001E5727">
        <w:rPr>
          <w:rFonts w:asciiTheme="majorHAnsi" w:hAnsiTheme="majorHAnsi"/>
          <w:bCs/>
          <w:sz w:val="20"/>
          <w:szCs w:val="20"/>
        </w:rPr>
        <w:t xml:space="preserve">, Cundinamarca. Once they arrived at the house, as can be deduced from the multiple </w:t>
      </w:r>
      <w:r>
        <w:rPr>
          <w:rFonts w:asciiTheme="majorHAnsi" w:hAnsiTheme="majorHAnsi"/>
          <w:bCs/>
          <w:sz w:val="20"/>
          <w:szCs w:val="20"/>
        </w:rPr>
        <w:t xml:space="preserve">judicial </w:t>
      </w:r>
      <w:r w:rsidR="005B6898" w:rsidRPr="001E5727">
        <w:rPr>
          <w:rFonts w:asciiTheme="majorHAnsi" w:hAnsiTheme="majorHAnsi"/>
          <w:bCs/>
          <w:sz w:val="20"/>
          <w:szCs w:val="20"/>
        </w:rPr>
        <w:t xml:space="preserve">statements in </w:t>
      </w:r>
      <w:r w:rsidR="00826F6E" w:rsidRPr="001E5727">
        <w:rPr>
          <w:rFonts w:asciiTheme="majorHAnsi" w:hAnsiTheme="majorHAnsi"/>
          <w:bCs/>
          <w:sz w:val="20"/>
          <w:szCs w:val="20"/>
        </w:rPr>
        <w:t xml:space="preserve">the </w:t>
      </w:r>
      <w:r>
        <w:rPr>
          <w:rFonts w:asciiTheme="majorHAnsi" w:hAnsiTheme="majorHAnsi"/>
          <w:bCs/>
          <w:sz w:val="20"/>
          <w:szCs w:val="20"/>
        </w:rPr>
        <w:t>case</w:t>
      </w:r>
      <w:r w:rsidR="005B6898" w:rsidRPr="001E5727">
        <w:rPr>
          <w:rFonts w:asciiTheme="majorHAnsi" w:hAnsiTheme="majorHAnsi"/>
          <w:bCs/>
          <w:sz w:val="20"/>
          <w:szCs w:val="20"/>
        </w:rPr>
        <w:t xml:space="preserve">file, </w:t>
      </w:r>
      <w:proofErr w:type="spellStart"/>
      <w:r w:rsidR="005B6898" w:rsidRPr="001E5727">
        <w:rPr>
          <w:rFonts w:asciiTheme="majorHAnsi" w:hAnsiTheme="majorHAnsi"/>
          <w:bCs/>
          <w:sz w:val="20"/>
          <w:szCs w:val="20"/>
        </w:rPr>
        <w:t>Helvir</w:t>
      </w:r>
      <w:proofErr w:type="spellEnd"/>
      <w:r w:rsidR="005B6898" w:rsidRPr="001E5727">
        <w:rPr>
          <w:rFonts w:asciiTheme="majorHAnsi" w:hAnsiTheme="majorHAnsi"/>
          <w:bCs/>
          <w:sz w:val="20"/>
          <w:szCs w:val="20"/>
        </w:rPr>
        <w:t xml:space="preserve"> Antonio and Freddy were invited to shoot different firearms at the trees </w:t>
      </w:r>
      <w:r w:rsidR="000F44C1">
        <w:rPr>
          <w:rFonts w:asciiTheme="majorHAnsi" w:hAnsiTheme="majorHAnsi"/>
          <w:bCs/>
          <w:sz w:val="20"/>
          <w:szCs w:val="20"/>
        </w:rPr>
        <w:t>as an entertainment</w:t>
      </w:r>
      <w:r w:rsidR="005B6898" w:rsidRPr="001E5727">
        <w:rPr>
          <w:rFonts w:asciiTheme="majorHAnsi" w:hAnsiTheme="majorHAnsi"/>
          <w:bCs/>
          <w:sz w:val="20"/>
          <w:szCs w:val="20"/>
        </w:rPr>
        <w:t xml:space="preserve">, which they did; after which they were left alone in the house by their companions, and shortly </w:t>
      </w:r>
      <w:r w:rsidR="000F44C1">
        <w:rPr>
          <w:rFonts w:asciiTheme="majorHAnsi" w:hAnsiTheme="majorHAnsi"/>
          <w:bCs/>
          <w:sz w:val="20"/>
          <w:szCs w:val="20"/>
        </w:rPr>
        <w:t>there</w:t>
      </w:r>
      <w:r w:rsidR="005B6898" w:rsidRPr="001E5727">
        <w:rPr>
          <w:rFonts w:asciiTheme="majorHAnsi" w:hAnsiTheme="majorHAnsi"/>
          <w:bCs/>
          <w:sz w:val="20"/>
          <w:szCs w:val="20"/>
        </w:rPr>
        <w:t xml:space="preserve">after, </w:t>
      </w:r>
      <w:r w:rsidR="000F44C1">
        <w:rPr>
          <w:rFonts w:asciiTheme="majorHAnsi" w:hAnsiTheme="majorHAnsi"/>
          <w:bCs/>
          <w:sz w:val="20"/>
          <w:szCs w:val="20"/>
        </w:rPr>
        <w:t xml:space="preserve">on </w:t>
      </w:r>
      <w:r w:rsidR="005B6898" w:rsidRPr="001E5727">
        <w:rPr>
          <w:rFonts w:asciiTheme="majorHAnsi" w:hAnsiTheme="majorHAnsi"/>
          <w:bCs/>
          <w:sz w:val="20"/>
          <w:szCs w:val="20"/>
        </w:rPr>
        <w:t xml:space="preserve">the morning of September 17, they were the target of an attack with firearms </w:t>
      </w:r>
      <w:r w:rsidR="000F44C1">
        <w:rPr>
          <w:rFonts w:asciiTheme="majorHAnsi" w:hAnsiTheme="majorHAnsi"/>
          <w:bCs/>
          <w:sz w:val="20"/>
          <w:szCs w:val="20"/>
        </w:rPr>
        <w:t xml:space="preserve">coming </w:t>
      </w:r>
      <w:r w:rsidR="005B6898" w:rsidRPr="001E5727">
        <w:rPr>
          <w:rFonts w:asciiTheme="majorHAnsi" w:hAnsiTheme="majorHAnsi"/>
          <w:bCs/>
          <w:sz w:val="20"/>
          <w:szCs w:val="20"/>
        </w:rPr>
        <w:t xml:space="preserve">from outside the house, in which </w:t>
      </w:r>
      <w:proofErr w:type="spellStart"/>
      <w:r w:rsidR="005B6898" w:rsidRPr="001E5727">
        <w:rPr>
          <w:rFonts w:asciiTheme="majorHAnsi" w:hAnsiTheme="majorHAnsi"/>
          <w:bCs/>
          <w:sz w:val="20"/>
          <w:szCs w:val="20"/>
        </w:rPr>
        <w:t>Helvir</w:t>
      </w:r>
      <w:proofErr w:type="spellEnd"/>
      <w:r w:rsidR="005B6898" w:rsidRPr="001E5727">
        <w:rPr>
          <w:rFonts w:asciiTheme="majorHAnsi" w:hAnsiTheme="majorHAnsi"/>
          <w:bCs/>
          <w:sz w:val="20"/>
          <w:szCs w:val="20"/>
        </w:rPr>
        <w:t xml:space="preserve"> Antonio</w:t>
      </w:r>
      <w:r w:rsidR="00793977" w:rsidRPr="001E5727">
        <w:rPr>
          <w:rFonts w:asciiTheme="majorHAnsi" w:hAnsiTheme="majorHAnsi"/>
          <w:bCs/>
          <w:sz w:val="20"/>
          <w:szCs w:val="20"/>
        </w:rPr>
        <w:t xml:space="preserve"> lost his life</w:t>
      </w:r>
      <w:r w:rsidR="005B6898" w:rsidRPr="001E5727">
        <w:rPr>
          <w:rFonts w:asciiTheme="majorHAnsi" w:hAnsiTheme="majorHAnsi"/>
          <w:bCs/>
          <w:sz w:val="20"/>
          <w:szCs w:val="20"/>
        </w:rPr>
        <w:t xml:space="preserve">. Freddy managed to escape by running through the bush, although he claims that he was chased along the way, and the next day he reached the town of </w:t>
      </w:r>
      <w:proofErr w:type="spellStart"/>
      <w:r w:rsidR="005B6898" w:rsidRPr="001E5727">
        <w:rPr>
          <w:rFonts w:asciiTheme="majorHAnsi" w:hAnsiTheme="majorHAnsi"/>
          <w:bCs/>
          <w:sz w:val="20"/>
          <w:szCs w:val="20"/>
        </w:rPr>
        <w:t>Pasca</w:t>
      </w:r>
      <w:proofErr w:type="spellEnd"/>
      <w:r w:rsidR="005B6898" w:rsidRPr="001E5727">
        <w:rPr>
          <w:rFonts w:asciiTheme="majorHAnsi" w:hAnsiTheme="majorHAnsi"/>
          <w:bCs/>
          <w:sz w:val="20"/>
          <w:szCs w:val="20"/>
        </w:rPr>
        <w:t xml:space="preserve"> on foot, where he immediately appeared before the National Police to report what </w:t>
      </w:r>
      <w:r w:rsidR="000F44C1">
        <w:rPr>
          <w:rFonts w:asciiTheme="majorHAnsi" w:hAnsiTheme="majorHAnsi"/>
          <w:bCs/>
          <w:sz w:val="20"/>
          <w:szCs w:val="20"/>
        </w:rPr>
        <w:t xml:space="preserve">had </w:t>
      </w:r>
      <w:r w:rsidR="005B6898" w:rsidRPr="001E5727">
        <w:rPr>
          <w:rFonts w:asciiTheme="majorHAnsi" w:hAnsiTheme="majorHAnsi"/>
          <w:bCs/>
          <w:sz w:val="20"/>
          <w:szCs w:val="20"/>
        </w:rPr>
        <w:t>happened.</w:t>
      </w:r>
    </w:p>
    <w:p w14:paraId="665A903E" w14:textId="77777777" w:rsidR="000F44C1" w:rsidRDefault="000F44C1" w:rsidP="000F44C1">
      <w:pPr>
        <w:ind w:firstLine="360"/>
        <w:jc w:val="both"/>
        <w:rPr>
          <w:rFonts w:asciiTheme="majorHAnsi" w:hAnsiTheme="majorHAnsi"/>
          <w:bCs/>
          <w:sz w:val="20"/>
          <w:szCs w:val="20"/>
        </w:rPr>
      </w:pPr>
    </w:p>
    <w:p w14:paraId="37903592" w14:textId="77777777" w:rsidR="000F44C1" w:rsidRDefault="000F44C1" w:rsidP="000F44C1">
      <w:pPr>
        <w:ind w:firstLine="360"/>
        <w:jc w:val="both"/>
        <w:rPr>
          <w:rFonts w:asciiTheme="majorHAnsi" w:hAnsiTheme="majorHAnsi"/>
          <w:bCs/>
          <w:sz w:val="20"/>
          <w:szCs w:val="20"/>
        </w:rPr>
      </w:pPr>
      <w:r>
        <w:rPr>
          <w:rFonts w:asciiTheme="majorHAnsi" w:hAnsiTheme="majorHAnsi"/>
          <w:bCs/>
          <w:sz w:val="20"/>
          <w:szCs w:val="20"/>
        </w:rPr>
        <w:t xml:space="preserve">3. </w:t>
      </w:r>
      <w:r w:rsidR="00793977" w:rsidRPr="000F44C1">
        <w:rPr>
          <w:rFonts w:asciiTheme="majorHAnsi" w:hAnsiTheme="majorHAnsi"/>
          <w:bCs/>
          <w:sz w:val="20"/>
          <w:szCs w:val="20"/>
        </w:rPr>
        <w:t xml:space="preserve">Mr. </w:t>
      </w:r>
      <w:proofErr w:type="spellStart"/>
      <w:r w:rsidR="00793977" w:rsidRPr="000F44C1">
        <w:rPr>
          <w:rFonts w:asciiTheme="majorHAnsi" w:hAnsiTheme="majorHAnsi"/>
          <w:bCs/>
          <w:sz w:val="20"/>
          <w:szCs w:val="20"/>
        </w:rPr>
        <w:t>Helvir</w:t>
      </w:r>
      <w:proofErr w:type="spellEnd"/>
      <w:r w:rsidR="00793977" w:rsidRPr="000F44C1">
        <w:rPr>
          <w:rFonts w:asciiTheme="majorHAnsi" w:hAnsiTheme="majorHAnsi"/>
          <w:bCs/>
          <w:sz w:val="20"/>
          <w:szCs w:val="20"/>
        </w:rPr>
        <w:t xml:space="preserve"> Antonio Torres was officially presented by the National Army, through an Operations Report of September 17, 2006, as a FARC guerrilla killed in combat that same day</w:t>
      </w:r>
      <w:r>
        <w:rPr>
          <w:rFonts w:asciiTheme="majorHAnsi" w:hAnsiTheme="majorHAnsi"/>
          <w:bCs/>
          <w:sz w:val="20"/>
          <w:szCs w:val="20"/>
        </w:rPr>
        <w:t xml:space="preserve"> – a c</w:t>
      </w:r>
      <w:r w:rsidR="00793977" w:rsidRPr="000F44C1">
        <w:rPr>
          <w:rFonts w:asciiTheme="majorHAnsi" w:hAnsiTheme="majorHAnsi"/>
          <w:bCs/>
          <w:sz w:val="20"/>
          <w:szCs w:val="20"/>
        </w:rPr>
        <w:t xml:space="preserve">ombat that had </w:t>
      </w:r>
      <w:r>
        <w:rPr>
          <w:rFonts w:asciiTheme="majorHAnsi" w:hAnsiTheme="majorHAnsi"/>
          <w:bCs/>
          <w:sz w:val="20"/>
          <w:szCs w:val="20"/>
        </w:rPr>
        <w:t xml:space="preserve">supposedly </w:t>
      </w:r>
      <w:r w:rsidR="00793977" w:rsidRPr="000F44C1">
        <w:rPr>
          <w:rFonts w:asciiTheme="majorHAnsi" w:hAnsiTheme="majorHAnsi"/>
          <w:bCs/>
          <w:sz w:val="20"/>
          <w:szCs w:val="20"/>
        </w:rPr>
        <w:t xml:space="preserve">taken place between the </w:t>
      </w:r>
      <w:proofErr w:type="spellStart"/>
      <w:r w:rsidR="00793977" w:rsidRPr="000F44C1">
        <w:rPr>
          <w:rFonts w:asciiTheme="majorHAnsi" w:hAnsiTheme="majorHAnsi"/>
          <w:bCs/>
          <w:sz w:val="20"/>
          <w:szCs w:val="20"/>
        </w:rPr>
        <w:t>Corcel</w:t>
      </w:r>
      <w:proofErr w:type="spellEnd"/>
      <w:r w:rsidR="00793977" w:rsidRPr="000F44C1">
        <w:rPr>
          <w:rFonts w:asciiTheme="majorHAnsi" w:hAnsiTheme="majorHAnsi"/>
          <w:bCs/>
          <w:sz w:val="20"/>
          <w:szCs w:val="20"/>
        </w:rPr>
        <w:t xml:space="preserve"> Company of the </w:t>
      </w:r>
      <w:proofErr w:type="spellStart"/>
      <w:r w:rsidR="00793977" w:rsidRPr="000F44C1">
        <w:rPr>
          <w:rFonts w:asciiTheme="majorHAnsi" w:hAnsiTheme="majorHAnsi"/>
          <w:bCs/>
          <w:sz w:val="20"/>
          <w:szCs w:val="20"/>
        </w:rPr>
        <w:t>Sumapaz</w:t>
      </w:r>
      <w:proofErr w:type="spellEnd"/>
      <w:r w:rsidR="00793977" w:rsidRPr="000F44C1">
        <w:rPr>
          <w:rFonts w:asciiTheme="majorHAnsi" w:hAnsiTheme="majorHAnsi"/>
          <w:bCs/>
          <w:sz w:val="20"/>
          <w:szCs w:val="20"/>
        </w:rPr>
        <w:t xml:space="preserve"> 39th Infantry Battalion and alleged members of the FARC, in the course of an operation against kidnappers from that organization. Mr. Freddy Torres </w:t>
      </w:r>
      <w:proofErr w:type="spellStart"/>
      <w:r w:rsidR="00793977" w:rsidRPr="000F44C1">
        <w:rPr>
          <w:rFonts w:asciiTheme="majorHAnsi" w:hAnsiTheme="majorHAnsi"/>
          <w:bCs/>
          <w:sz w:val="20"/>
          <w:szCs w:val="20"/>
        </w:rPr>
        <w:t>Torres</w:t>
      </w:r>
      <w:proofErr w:type="spellEnd"/>
      <w:r w:rsidR="00793977" w:rsidRPr="000F44C1">
        <w:rPr>
          <w:rFonts w:asciiTheme="majorHAnsi" w:hAnsiTheme="majorHAnsi"/>
          <w:bCs/>
          <w:sz w:val="20"/>
          <w:szCs w:val="20"/>
        </w:rPr>
        <w:t xml:space="preserve"> assures that this is false, </w:t>
      </w:r>
      <w:r>
        <w:rPr>
          <w:rFonts w:asciiTheme="majorHAnsi" w:hAnsiTheme="majorHAnsi"/>
          <w:bCs/>
          <w:sz w:val="20"/>
          <w:szCs w:val="20"/>
        </w:rPr>
        <w:t xml:space="preserve">because </w:t>
      </w:r>
      <w:r w:rsidR="00793977" w:rsidRPr="000F44C1">
        <w:rPr>
          <w:rFonts w:asciiTheme="majorHAnsi" w:hAnsiTheme="majorHAnsi"/>
          <w:bCs/>
          <w:sz w:val="20"/>
          <w:szCs w:val="20"/>
        </w:rPr>
        <w:t xml:space="preserve">his cousin </w:t>
      </w:r>
      <w:proofErr w:type="spellStart"/>
      <w:r w:rsidR="00793977" w:rsidRPr="000F44C1">
        <w:rPr>
          <w:rFonts w:asciiTheme="majorHAnsi" w:hAnsiTheme="majorHAnsi"/>
          <w:bCs/>
          <w:sz w:val="20"/>
          <w:szCs w:val="20"/>
        </w:rPr>
        <w:t>Helvir</w:t>
      </w:r>
      <w:proofErr w:type="spellEnd"/>
      <w:r w:rsidR="00793977" w:rsidRPr="000F44C1">
        <w:rPr>
          <w:rFonts w:asciiTheme="majorHAnsi" w:hAnsiTheme="majorHAnsi"/>
          <w:bCs/>
          <w:sz w:val="20"/>
          <w:szCs w:val="20"/>
        </w:rPr>
        <w:t xml:space="preserve"> Antonio was a civilian </w:t>
      </w:r>
      <w:r>
        <w:rPr>
          <w:rFonts w:asciiTheme="majorHAnsi" w:hAnsiTheme="majorHAnsi"/>
          <w:bCs/>
          <w:sz w:val="20"/>
          <w:szCs w:val="20"/>
        </w:rPr>
        <w:t xml:space="preserve">inhabitant of </w:t>
      </w:r>
      <w:r w:rsidR="00793977" w:rsidRPr="000F44C1">
        <w:rPr>
          <w:rFonts w:asciiTheme="majorHAnsi" w:hAnsiTheme="majorHAnsi"/>
          <w:bCs/>
          <w:sz w:val="20"/>
          <w:szCs w:val="20"/>
        </w:rPr>
        <w:t xml:space="preserve">the town of </w:t>
      </w:r>
      <w:proofErr w:type="spellStart"/>
      <w:r w:rsidR="00793977" w:rsidRPr="000F44C1">
        <w:rPr>
          <w:rFonts w:asciiTheme="majorHAnsi" w:hAnsiTheme="majorHAnsi"/>
          <w:bCs/>
          <w:sz w:val="20"/>
          <w:szCs w:val="20"/>
        </w:rPr>
        <w:t>Pasca</w:t>
      </w:r>
      <w:proofErr w:type="spellEnd"/>
      <w:r w:rsidR="00793977" w:rsidRPr="000F44C1">
        <w:rPr>
          <w:rFonts w:asciiTheme="majorHAnsi" w:hAnsiTheme="majorHAnsi"/>
          <w:bCs/>
          <w:sz w:val="20"/>
          <w:szCs w:val="20"/>
        </w:rPr>
        <w:t xml:space="preserve"> who lived there and worked in different legal activities, including agricultural work, business and various trades. Thus, </w:t>
      </w:r>
      <w:r>
        <w:rPr>
          <w:rFonts w:asciiTheme="majorHAnsi" w:hAnsiTheme="majorHAnsi"/>
          <w:bCs/>
          <w:sz w:val="20"/>
          <w:szCs w:val="20"/>
        </w:rPr>
        <w:t xml:space="preserve">this was allegedly </w:t>
      </w:r>
      <w:r w:rsidR="00793977" w:rsidRPr="000F44C1">
        <w:rPr>
          <w:rFonts w:asciiTheme="majorHAnsi" w:hAnsiTheme="majorHAnsi"/>
          <w:bCs/>
          <w:sz w:val="20"/>
          <w:szCs w:val="20"/>
        </w:rPr>
        <w:t>one of so</w:t>
      </w:r>
      <w:r>
        <w:rPr>
          <w:rFonts w:asciiTheme="majorHAnsi" w:hAnsiTheme="majorHAnsi"/>
          <w:bCs/>
          <w:sz w:val="20"/>
          <w:szCs w:val="20"/>
        </w:rPr>
        <w:t>-</w:t>
      </w:r>
      <w:r w:rsidR="00793977" w:rsidRPr="000F44C1">
        <w:rPr>
          <w:rFonts w:asciiTheme="majorHAnsi" w:hAnsiTheme="majorHAnsi"/>
          <w:bCs/>
          <w:sz w:val="20"/>
          <w:szCs w:val="20"/>
        </w:rPr>
        <w:t>called "false positives"</w:t>
      </w:r>
      <w:r>
        <w:rPr>
          <w:rFonts w:asciiTheme="majorHAnsi" w:hAnsiTheme="majorHAnsi"/>
          <w:bCs/>
          <w:sz w:val="20"/>
          <w:szCs w:val="20"/>
        </w:rPr>
        <w:t xml:space="preserve"> cases</w:t>
      </w:r>
      <w:r w:rsidR="00793977" w:rsidRPr="000F44C1">
        <w:rPr>
          <w:rFonts w:asciiTheme="majorHAnsi" w:hAnsiTheme="majorHAnsi"/>
          <w:bCs/>
          <w:sz w:val="20"/>
          <w:szCs w:val="20"/>
        </w:rPr>
        <w:t xml:space="preserve">, and in the opinion of the petitioners, it </w:t>
      </w:r>
      <w:r>
        <w:rPr>
          <w:rFonts w:asciiTheme="majorHAnsi" w:hAnsiTheme="majorHAnsi"/>
          <w:bCs/>
          <w:sz w:val="20"/>
          <w:szCs w:val="20"/>
        </w:rPr>
        <w:t xml:space="preserve">formed </w:t>
      </w:r>
      <w:r w:rsidR="00793977" w:rsidRPr="000F44C1">
        <w:rPr>
          <w:rFonts w:asciiTheme="majorHAnsi" w:hAnsiTheme="majorHAnsi"/>
          <w:bCs/>
          <w:sz w:val="20"/>
          <w:szCs w:val="20"/>
        </w:rPr>
        <w:t xml:space="preserve">part of an extensive and documented pattern of extrajudicial executions of poor, marginalized </w:t>
      </w:r>
      <w:r>
        <w:rPr>
          <w:rFonts w:asciiTheme="majorHAnsi" w:hAnsiTheme="majorHAnsi"/>
          <w:bCs/>
          <w:sz w:val="20"/>
          <w:szCs w:val="20"/>
        </w:rPr>
        <w:t xml:space="preserve">persons </w:t>
      </w:r>
      <w:r w:rsidR="00793977" w:rsidRPr="000F44C1">
        <w:rPr>
          <w:rFonts w:asciiTheme="majorHAnsi" w:hAnsiTheme="majorHAnsi"/>
          <w:bCs/>
          <w:sz w:val="20"/>
          <w:szCs w:val="20"/>
        </w:rPr>
        <w:t xml:space="preserve">belonging to vulnerable social sectors by members of the Armed Forces, </w:t>
      </w:r>
      <w:r>
        <w:rPr>
          <w:rFonts w:asciiTheme="majorHAnsi" w:hAnsiTheme="majorHAnsi"/>
          <w:bCs/>
          <w:sz w:val="20"/>
          <w:szCs w:val="20"/>
        </w:rPr>
        <w:t xml:space="preserve">in order to later </w:t>
      </w:r>
      <w:r w:rsidR="00793977" w:rsidRPr="000F44C1">
        <w:rPr>
          <w:rFonts w:asciiTheme="majorHAnsi" w:hAnsiTheme="majorHAnsi"/>
          <w:bCs/>
          <w:sz w:val="20"/>
          <w:szCs w:val="20"/>
        </w:rPr>
        <w:t xml:space="preserve">present their altered corpses </w:t>
      </w:r>
      <w:r>
        <w:rPr>
          <w:rFonts w:asciiTheme="majorHAnsi" w:hAnsiTheme="majorHAnsi"/>
          <w:bCs/>
          <w:sz w:val="20"/>
          <w:szCs w:val="20"/>
        </w:rPr>
        <w:t xml:space="preserve">publicly </w:t>
      </w:r>
      <w:r w:rsidR="00793977" w:rsidRPr="000F44C1">
        <w:rPr>
          <w:rFonts w:asciiTheme="majorHAnsi" w:hAnsiTheme="majorHAnsi"/>
          <w:bCs/>
          <w:sz w:val="20"/>
          <w:szCs w:val="20"/>
        </w:rPr>
        <w:t xml:space="preserve">as if they </w:t>
      </w:r>
      <w:r>
        <w:rPr>
          <w:rFonts w:asciiTheme="majorHAnsi" w:hAnsiTheme="majorHAnsi"/>
          <w:bCs/>
          <w:sz w:val="20"/>
          <w:szCs w:val="20"/>
        </w:rPr>
        <w:t xml:space="preserve">had been </w:t>
      </w:r>
      <w:r w:rsidR="00793977" w:rsidRPr="000F44C1">
        <w:rPr>
          <w:rFonts w:asciiTheme="majorHAnsi" w:hAnsiTheme="majorHAnsi"/>
          <w:bCs/>
          <w:sz w:val="20"/>
          <w:szCs w:val="20"/>
        </w:rPr>
        <w:t xml:space="preserve">guerrillas killed in combat. The members of the Army who claimed </w:t>
      </w:r>
      <w:r>
        <w:rPr>
          <w:rFonts w:asciiTheme="majorHAnsi" w:hAnsiTheme="majorHAnsi"/>
          <w:bCs/>
          <w:sz w:val="20"/>
          <w:szCs w:val="20"/>
        </w:rPr>
        <w:t xml:space="preserve">to have executed </w:t>
      </w:r>
      <w:r w:rsidR="00793977" w:rsidRPr="000F44C1">
        <w:rPr>
          <w:rFonts w:asciiTheme="majorHAnsi" w:hAnsiTheme="majorHAnsi"/>
          <w:bCs/>
          <w:sz w:val="20"/>
          <w:szCs w:val="20"/>
        </w:rPr>
        <w:t xml:space="preserve">of the alleged guerrillas </w:t>
      </w:r>
      <w:r>
        <w:rPr>
          <w:rFonts w:asciiTheme="majorHAnsi" w:hAnsiTheme="majorHAnsi"/>
          <w:bCs/>
          <w:sz w:val="20"/>
          <w:szCs w:val="20"/>
        </w:rPr>
        <w:t xml:space="preserve">gained </w:t>
      </w:r>
      <w:r w:rsidR="00793977" w:rsidRPr="000F44C1">
        <w:rPr>
          <w:rFonts w:asciiTheme="majorHAnsi" w:hAnsiTheme="majorHAnsi"/>
          <w:bCs/>
          <w:sz w:val="20"/>
          <w:szCs w:val="20"/>
        </w:rPr>
        <w:t>access to different regulatory benefits, including economic bonuses, days off</w:t>
      </w:r>
      <w:r>
        <w:rPr>
          <w:rFonts w:asciiTheme="majorHAnsi" w:hAnsiTheme="majorHAnsi"/>
          <w:bCs/>
          <w:sz w:val="20"/>
          <w:szCs w:val="20"/>
        </w:rPr>
        <w:t>,</w:t>
      </w:r>
      <w:r w:rsidR="00793977" w:rsidRPr="000F44C1">
        <w:rPr>
          <w:rFonts w:asciiTheme="majorHAnsi" w:hAnsiTheme="majorHAnsi"/>
          <w:bCs/>
          <w:sz w:val="20"/>
          <w:szCs w:val="20"/>
        </w:rPr>
        <w:t xml:space="preserve"> and other </w:t>
      </w:r>
      <w:r>
        <w:rPr>
          <w:rFonts w:asciiTheme="majorHAnsi" w:hAnsiTheme="majorHAnsi"/>
          <w:bCs/>
          <w:sz w:val="20"/>
          <w:szCs w:val="20"/>
        </w:rPr>
        <w:t>benefits</w:t>
      </w:r>
      <w:r w:rsidR="00793977" w:rsidRPr="000F44C1">
        <w:rPr>
          <w:rFonts w:asciiTheme="majorHAnsi" w:hAnsiTheme="majorHAnsi"/>
          <w:bCs/>
          <w:sz w:val="20"/>
          <w:szCs w:val="20"/>
        </w:rPr>
        <w:t xml:space="preserve">, established in directives </w:t>
      </w:r>
      <w:r>
        <w:rPr>
          <w:rFonts w:asciiTheme="majorHAnsi" w:hAnsiTheme="majorHAnsi"/>
          <w:bCs/>
          <w:sz w:val="20"/>
          <w:szCs w:val="20"/>
        </w:rPr>
        <w:t xml:space="preserve">issued by </w:t>
      </w:r>
      <w:r w:rsidR="00793977" w:rsidRPr="000F44C1">
        <w:rPr>
          <w:rFonts w:asciiTheme="majorHAnsi" w:hAnsiTheme="majorHAnsi"/>
          <w:bCs/>
          <w:sz w:val="20"/>
          <w:szCs w:val="20"/>
        </w:rPr>
        <w:t xml:space="preserve">the Ministry of Defense. To illustrate this context, the petitioners </w:t>
      </w:r>
      <w:r>
        <w:rPr>
          <w:rFonts w:asciiTheme="majorHAnsi" w:hAnsiTheme="majorHAnsi"/>
          <w:bCs/>
          <w:sz w:val="20"/>
          <w:szCs w:val="20"/>
        </w:rPr>
        <w:t xml:space="preserve">describe </w:t>
      </w:r>
      <w:r w:rsidR="00793977" w:rsidRPr="000F44C1">
        <w:rPr>
          <w:rFonts w:asciiTheme="majorHAnsi" w:hAnsiTheme="majorHAnsi"/>
          <w:bCs/>
          <w:sz w:val="20"/>
          <w:szCs w:val="20"/>
        </w:rPr>
        <w:t xml:space="preserve">different reports produced by national and international human rights </w:t>
      </w:r>
      <w:r>
        <w:rPr>
          <w:rFonts w:asciiTheme="majorHAnsi" w:hAnsiTheme="majorHAnsi"/>
          <w:bCs/>
          <w:sz w:val="20"/>
          <w:szCs w:val="20"/>
        </w:rPr>
        <w:t xml:space="preserve">bodies </w:t>
      </w:r>
      <w:r w:rsidR="00793977" w:rsidRPr="000F44C1">
        <w:rPr>
          <w:rFonts w:asciiTheme="majorHAnsi" w:hAnsiTheme="majorHAnsi"/>
          <w:bCs/>
          <w:sz w:val="20"/>
          <w:szCs w:val="20"/>
        </w:rPr>
        <w:t>denouncing and documenting the criminal pattern of “false positives” in Colombia.</w:t>
      </w:r>
    </w:p>
    <w:p w14:paraId="40529D74" w14:textId="77777777" w:rsidR="000F44C1" w:rsidRDefault="000F44C1" w:rsidP="000F44C1">
      <w:pPr>
        <w:ind w:firstLine="360"/>
        <w:jc w:val="both"/>
        <w:rPr>
          <w:rFonts w:asciiTheme="majorHAnsi" w:hAnsiTheme="majorHAnsi"/>
          <w:bCs/>
          <w:sz w:val="20"/>
          <w:szCs w:val="20"/>
        </w:rPr>
      </w:pPr>
    </w:p>
    <w:p w14:paraId="43EE6B4E" w14:textId="77777777" w:rsidR="00334BCC" w:rsidRDefault="000F44C1" w:rsidP="00334BCC">
      <w:pPr>
        <w:ind w:firstLine="360"/>
        <w:jc w:val="both"/>
        <w:rPr>
          <w:rFonts w:asciiTheme="majorHAnsi" w:hAnsiTheme="majorHAnsi"/>
          <w:bCs/>
          <w:sz w:val="20"/>
          <w:szCs w:val="20"/>
        </w:rPr>
      </w:pPr>
      <w:r>
        <w:rPr>
          <w:rFonts w:asciiTheme="majorHAnsi" w:hAnsiTheme="majorHAnsi"/>
          <w:bCs/>
          <w:sz w:val="20"/>
          <w:szCs w:val="20"/>
        </w:rPr>
        <w:lastRenderedPageBreak/>
        <w:t xml:space="preserve">4. </w:t>
      </w:r>
      <w:r w:rsidR="00793977" w:rsidRPr="000F44C1">
        <w:rPr>
          <w:rFonts w:asciiTheme="majorHAnsi" w:hAnsiTheme="majorHAnsi"/>
          <w:bCs/>
          <w:sz w:val="20"/>
          <w:szCs w:val="20"/>
        </w:rPr>
        <w:t xml:space="preserve">With </w:t>
      </w:r>
      <w:r w:rsidR="005066DA">
        <w:rPr>
          <w:rFonts w:asciiTheme="majorHAnsi" w:hAnsiTheme="majorHAnsi"/>
          <w:bCs/>
          <w:sz w:val="20"/>
          <w:szCs w:val="20"/>
        </w:rPr>
        <w:t xml:space="preserve">regard </w:t>
      </w:r>
      <w:r w:rsidR="00793977" w:rsidRPr="000F44C1">
        <w:rPr>
          <w:rFonts w:asciiTheme="majorHAnsi" w:hAnsiTheme="majorHAnsi"/>
          <w:bCs/>
          <w:sz w:val="20"/>
          <w:szCs w:val="20"/>
        </w:rPr>
        <w:t xml:space="preserve">to the two cases that are the </w:t>
      </w:r>
      <w:r w:rsidR="00334BCC">
        <w:rPr>
          <w:rFonts w:asciiTheme="majorHAnsi" w:hAnsiTheme="majorHAnsi"/>
          <w:bCs/>
          <w:sz w:val="20"/>
          <w:szCs w:val="20"/>
        </w:rPr>
        <w:t>object</w:t>
      </w:r>
      <w:r w:rsidR="00793977" w:rsidRPr="000F44C1">
        <w:rPr>
          <w:rFonts w:asciiTheme="majorHAnsi" w:hAnsiTheme="majorHAnsi"/>
          <w:bCs/>
          <w:sz w:val="20"/>
          <w:szCs w:val="20"/>
        </w:rPr>
        <w:t xml:space="preserve"> of this petition, the petitioners note that, as was subsequently demonstrated in the criminal investigation, both alias "el paisa" and alias "el </w:t>
      </w:r>
      <w:proofErr w:type="spellStart"/>
      <w:r w:rsidR="00793977" w:rsidRPr="000F44C1">
        <w:rPr>
          <w:rFonts w:asciiTheme="majorHAnsi" w:hAnsiTheme="majorHAnsi"/>
          <w:bCs/>
          <w:sz w:val="20"/>
          <w:szCs w:val="20"/>
        </w:rPr>
        <w:t>costeño</w:t>
      </w:r>
      <w:proofErr w:type="spellEnd"/>
      <w:r w:rsidR="00793977" w:rsidRPr="000F44C1">
        <w:rPr>
          <w:rFonts w:asciiTheme="majorHAnsi" w:hAnsiTheme="majorHAnsi"/>
          <w:bCs/>
          <w:sz w:val="20"/>
          <w:szCs w:val="20"/>
        </w:rPr>
        <w:t xml:space="preserve">" were active members of the National Army, who were </w:t>
      </w:r>
      <w:r w:rsidR="00334BCC">
        <w:rPr>
          <w:rFonts w:asciiTheme="majorHAnsi" w:hAnsiTheme="majorHAnsi"/>
          <w:bCs/>
          <w:sz w:val="20"/>
          <w:szCs w:val="20"/>
        </w:rPr>
        <w:t xml:space="preserve">brought </w:t>
      </w:r>
      <w:r w:rsidR="00793977" w:rsidRPr="000F44C1">
        <w:rPr>
          <w:rFonts w:asciiTheme="majorHAnsi" w:hAnsiTheme="majorHAnsi"/>
          <w:bCs/>
          <w:sz w:val="20"/>
          <w:szCs w:val="20"/>
        </w:rPr>
        <w:t xml:space="preserve">to the criminal </w:t>
      </w:r>
      <w:r w:rsidR="00334BCC">
        <w:rPr>
          <w:rFonts w:asciiTheme="majorHAnsi" w:hAnsiTheme="majorHAnsi"/>
          <w:bCs/>
          <w:sz w:val="20"/>
          <w:szCs w:val="20"/>
        </w:rPr>
        <w:t xml:space="preserve">proceedings </w:t>
      </w:r>
      <w:r w:rsidR="00793977" w:rsidRPr="000F44C1">
        <w:rPr>
          <w:rFonts w:asciiTheme="majorHAnsi" w:hAnsiTheme="majorHAnsi"/>
          <w:bCs/>
          <w:sz w:val="20"/>
          <w:szCs w:val="20"/>
        </w:rPr>
        <w:t xml:space="preserve">as possible culprits. They also maintain that </w:t>
      </w:r>
      <w:proofErr w:type="spellStart"/>
      <w:r w:rsidR="00793977" w:rsidRPr="000F44C1">
        <w:rPr>
          <w:rFonts w:asciiTheme="majorHAnsi" w:hAnsiTheme="majorHAnsi"/>
          <w:bCs/>
          <w:sz w:val="20"/>
          <w:szCs w:val="20"/>
        </w:rPr>
        <w:t>Helvir</w:t>
      </w:r>
      <w:proofErr w:type="spellEnd"/>
      <w:r w:rsidR="00793977" w:rsidRPr="000F44C1">
        <w:rPr>
          <w:rFonts w:asciiTheme="majorHAnsi" w:hAnsiTheme="majorHAnsi"/>
          <w:bCs/>
          <w:sz w:val="20"/>
          <w:szCs w:val="20"/>
        </w:rPr>
        <w:t xml:space="preserve"> Antonio and Freddy Torres, who had previously been intoxicated with high </w:t>
      </w:r>
      <w:r w:rsidR="00334BCC">
        <w:rPr>
          <w:rFonts w:asciiTheme="majorHAnsi" w:hAnsiTheme="majorHAnsi"/>
          <w:bCs/>
          <w:sz w:val="20"/>
          <w:szCs w:val="20"/>
        </w:rPr>
        <w:t xml:space="preserve">quantities </w:t>
      </w:r>
      <w:r w:rsidR="00793977" w:rsidRPr="000F44C1">
        <w:rPr>
          <w:rFonts w:asciiTheme="majorHAnsi" w:hAnsiTheme="majorHAnsi"/>
          <w:bCs/>
          <w:sz w:val="20"/>
          <w:szCs w:val="20"/>
        </w:rPr>
        <w:t xml:space="preserve">of alcohol, had been made to change their clothes on the way </w:t>
      </w:r>
      <w:r w:rsidR="00334BCC">
        <w:rPr>
          <w:rFonts w:asciiTheme="majorHAnsi" w:hAnsiTheme="majorHAnsi"/>
          <w:bCs/>
          <w:sz w:val="20"/>
          <w:szCs w:val="20"/>
        </w:rPr>
        <w:t>to the house</w:t>
      </w:r>
      <w:r w:rsidR="00793977" w:rsidRPr="000F44C1">
        <w:rPr>
          <w:rFonts w:asciiTheme="majorHAnsi" w:hAnsiTheme="majorHAnsi"/>
          <w:bCs/>
          <w:sz w:val="20"/>
          <w:szCs w:val="20"/>
        </w:rPr>
        <w:t xml:space="preserve">, </w:t>
      </w:r>
      <w:r w:rsidR="00334BCC">
        <w:rPr>
          <w:rFonts w:asciiTheme="majorHAnsi" w:hAnsiTheme="majorHAnsi"/>
          <w:bCs/>
          <w:sz w:val="20"/>
          <w:szCs w:val="20"/>
        </w:rPr>
        <w:t xml:space="preserve">so that they would be </w:t>
      </w:r>
      <w:r w:rsidR="00793977" w:rsidRPr="000F44C1">
        <w:rPr>
          <w:rFonts w:asciiTheme="majorHAnsi" w:hAnsiTheme="majorHAnsi"/>
          <w:bCs/>
          <w:sz w:val="20"/>
          <w:szCs w:val="20"/>
        </w:rPr>
        <w:t>wear</w:t>
      </w:r>
      <w:r w:rsidR="00334BCC">
        <w:rPr>
          <w:rFonts w:asciiTheme="majorHAnsi" w:hAnsiTheme="majorHAnsi"/>
          <w:bCs/>
          <w:sz w:val="20"/>
          <w:szCs w:val="20"/>
        </w:rPr>
        <w:t>ing</w:t>
      </w:r>
      <w:r w:rsidR="00793977" w:rsidRPr="000F44C1">
        <w:rPr>
          <w:rFonts w:asciiTheme="majorHAnsi" w:hAnsiTheme="majorHAnsi"/>
          <w:bCs/>
          <w:sz w:val="20"/>
          <w:szCs w:val="20"/>
        </w:rPr>
        <w:t xml:space="preserve"> the usual guerrilla garments</w:t>
      </w:r>
      <w:r w:rsidR="00334BCC">
        <w:rPr>
          <w:rFonts w:asciiTheme="majorHAnsi" w:hAnsiTheme="majorHAnsi"/>
          <w:bCs/>
          <w:sz w:val="20"/>
          <w:szCs w:val="20"/>
        </w:rPr>
        <w:t>:</w:t>
      </w:r>
      <w:r w:rsidR="00793977" w:rsidRPr="000F44C1">
        <w:rPr>
          <w:rFonts w:asciiTheme="majorHAnsi" w:hAnsiTheme="majorHAnsi"/>
          <w:bCs/>
          <w:sz w:val="20"/>
          <w:szCs w:val="20"/>
        </w:rPr>
        <w:t xml:space="preserve"> sweatshirts, boots and balaclava</w:t>
      </w:r>
      <w:r w:rsidR="00334BCC">
        <w:rPr>
          <w:rFonts w:asciiTheme="majorHAnsi" w:hAnsiTheme="majorHAnsi"/>
          <w:bCs/>
          <w:sz w:val="20"/>
          <w:szCs w:val="20"/>
        </w:rPr>
        <w:t>s</w:t>
      </w:r>
      <w:r w:rsidR="00793977" w:rsidRPr="000F44C1">
        <w:rPr>
          <w:rFonts w:asciiTheme="majorHAnsi" w:hAnsiTheme="majorHAnsi"/>
          <w:bCs/>
          <w:sz w:val="20"/>
          <w:szCs w:val="20"/>
        </w:rPr>
        <w:t>; that under deception they were made to fire weapons, so that forensic anal</w:t>
      </w:r>
      <w:r w:rsidR="00334BCC">
        <w:rPr>
          <w:rFonts w:asciiTheme="majorHAnsi" w:hAnsiTheme="majorHAnsi"/>
          <w:bCs/>
          <w:sz w:val="20"/>
          <w:szCs w:val="20"/>
        </w:rPr>
        <w:t>ys</w:t>
      </w:r>
      <w:r w:rsidR="00793977" w:rsidRPr="000F44C1">
        <w:rPr>
          <w:rFonts w:asciiTheme="majorHAnsi" w:hAnsiTheme="majorHAnsi"/>
          <w:bCs/>
          <w:sz w:val="20"/>
          <w:szCs w:val="20"/>
        </w:rPr>
        <w:t xml:space="preserve">es </w:t>
      </w:r>
      <w:r w:rsidR="00334BCC">
        <w:rPr>
          <w:rFonts w:asciiTheme="majorHAnsi" w:hAnsiTheme="majorHAnsi"/>
          <w:bCs/>
          <w:sz w:val="20"/>
          <w:szCs w:val="20"/>
        </w:rPr>
        <w:t xml:space="preserve">would </w:t>
      </w:r>
      <w:r w:rsidR="00793977" w:rsidRPr="000F44C1">
        <w:rPr>
          <w:rFonts w:asciiTheme="majorHAnsi" w:hAnsiTheme="majorHAnsi"/>
          <w:bCs/>
          <w:sz w:val="20"/>
          <w:szCs w:val="20"/>
        </w:rPr>
        <w:t xml:space="preserve">reveal the presence of gunpowder in their hands; and that the place to which they were taken was actually a </w:t>
      </w:r>
      <w:r w:rsidR="00334BCC">
        <w:rPr>
          <w:rFonts w:asciiTheme="majorHAnsi" w:hAnsiTheme="majorHAnsi"/>
          <w:bCs/>
          <w:sz w:val="20"/>
          <w:szCs w:val="20"/>
        </w:rPr>
        <w:t xml:space="preserve">spot </w:t>
      </w:r>
      <w:r w:rsidR="00793977" w:rsidRPr="000F44C1">
        <w:rPr>
          <w:rFonts w:asciiTheme="majorHAnsi" w:hAnsiTheme="majorHAnsi"/>
          <w:bCs/>
          <w:sz w:val="20"/>
          <w:szCs w:val="20"/>
        </w:rPr>
        <w:t xml:space="preserve">that had been previously identified by the National Army as a probable FARC </w:t>
      </w:r>
      <w:r w:rsidR="00334BCC">
        <w:rPr>
          <w:rFonts w:asciiTheme="majorHAnsi" w:hAnsiTheme="majorHAnsi"/>
          <w:bCs/>
          <w:sz w:val="20"/>
          <w:szCs w:val="20"/>
        </w:rPr>
        <w:t>en</w:t>
      </w:r>
      <w:r w:rsidR="00793977" w:rsidRPr="000F44C1">
        <w:rPr>
          <w:rFonts w:asciiTheme="majorHAnsi" w:hAnsiTheme="majorHAnsi"/>
          <w:bCs/>
          <w:sz w:val="20"/>
          <w:szCs w:val="20"/>
        </w:rPr>
        <w:t>camp</w:t>
      </w:r>
      <w:r w:rsidR="00334BCC">
        <w:rPr>
          <w:rFonts w:asciiTheme="majorHAnsi" w:hAnsiTheme="majorHAnsi"/>
          <w:bCs/>
          <w:sz w:val="20"/>
          <w:szCs w:val="20"/>
        </w:rPr>
        <w:t>ment</w:t>
      </w:r>
      <w:r w:rsidR="00793977" w:rsidRPr="000F44C1">
        <w:rPr>
          <w:rFonts w:asciiTheme="majorHAnsi" w:hAnsiTheme="majorHAnsi"/>
          <w:bCs/>
          <w:sz w:val="20"/>
          <w:szCs w:val="20"/>
        </w:rPr>
        <w:t>, or as a place where people kidnapped by that group were to be held.</w:t>
      </w:r>
    </w:p>
    <w:p w14:paraId="45F178D5" w14:textId="1B4D847B" w:rsidR="00334BCC" w:rsidRDefault="00334BCC" w:rsidP="00334BCC">
      <w:pPr>
        <w:ind w:firstLine="360"/>
        <w:jc w:val="both"/>
        <w:rPr>
          <w:rFonts w:asciiTheme="majorHAnsi" w:hAnsiTheme="majorHAnsi"/>
          <w:bCs/>
          <w:sz w:val="20"/>
          <w:szCs w:val="20"/>
        </w:rPr>
      </w:pPr>
    </w:p>
    <w:p w14:paraId="53E13539" w14:textId="77777777" w:rsidR="00FE1DAC" w:rsidRDefault="00334BCC" w:rsidP="00FE1DAC">
      <w:pPr>
        <w:ind w:firstLine="360"/>
        <w:jc w:val="both"/>
        <w:rPr>
          <w:rFonts w:asciiTheme="majorHAnsi" w:hAnsiTheme="majorHAnsi"/>
          <w:bCs/>
          <w:sz w:val="20"/>
          <w:szCs w:val="20"/>
        </w:rPr>
      </w:pPr>
      <w:r>
        <w:rPr>
          <w:rFonts w:asciiTheme="majorHAnsi" w:hAnsiTheme="majorHAnsi"/>
          <w:bCs/>
          <w:sz w:val="20"/>
          <w:szCs w:val="20"/>
        </w:rPr>
        <w:t xml:space="preserve">5. </w:t>
      </w:r>
      <w:r w:rsidR="00793977" w:rsidRPr="00334BCC">
        <w:rPr>
          <w:rFonts w:asciiTheme="majorHAnsi" w:hAnsiTheme="majorHAnsi"/>
          <w:bCs/>
          <w:sz w:val="20"/>
          <w:szCs w:val="20"/>
        </w:rPr>
        <w:t xml:space="preserve">After this attack, Mr. Freddy Torres did not return to his home in the municipality of Cabrera for fear of being assassinated, leaving </w:t>
      </w:r>
      <w:r w:rsidR="002D3754">
        <w:rPr>
          <w:rFonts w:asciiTheme="majorHAnsi" w:hAnsiTheme="majorHAnsi"/>
          <w:bCs/>
          <w:sz w:val="20"/>
          <w:szCs w:val="20"/>
        </w:rPr>
        <w:t xml:space="preserve">behind </w:t>
      </w:r>
      <w:r w:rsidR="00793977" w:rsidRPr="00334BCC">
        <w:rPr>
          <w:rFonts w:asciiTheme="majorHAnsi" w:hAnsiTheme="majorHAnsi"/>
          <w:bCs/>
          <w:sz w:val="20"/>
          <w:szCs w:val="20"/>
        </w:rPr>
        <w:t xml:space="preserve">both his family and his belongings. It is alleged that later, on February 14, 2007, he was the victim of a new firearm attack, which </w:t>
      </w:r>
      <w:r w:rsidR="00FE1DAC">
        <w:rPr>
          <w:rFonts w:asciiTheme="majorHAnsi" w:hAnsiTheme="majorHAnsi"/>
          <w:bCs/>
          <w:sz w:val="20"/>
          <w:szCs w:val="20"/>
        </w:rPr>
        <w:t xml:space="preserve">left him </w:t>
      </w:r>
      <w:r w:rsidR="00793977" w:rsidRPr="00334BCC">
        <w:rPr>
          <w:rFonts w:asciiTheme="majorHAnsi" w:hAnsiTheme="majorHAnsi"/>
          <w:bCs/>
          <w:sz w:val="20"/>
          <w:szCs w:val="20"/>
        </w:rPr>
        <w:t xml:space="preserve">unharmed. It is alleged that despite the foregoing, the State </w:t>
      </w:r>
      <w:r w:rsidR="00FE1DAC">
        <w:rPr>
          <w:rFonts w:asciiTheme="majorHAnsi" w:hAnsiTheme="majorHAnsi"/>
          <w:bCs/>
          <w:sz w:val="20"/>
          <w:szCs w:val="20"/>
        </w:rPr>
        <w:t xml:space="preserve">refused to inscribe him </w:t>
      </w:r>
      <w:r w:rsidR="00793977" w:rsidRPr="00334BCC">
        <w:rPr>
          <w:rFonts w:asciiTheme="majorHAnsi" w:hAnsiTheme="majorHAnsi"/>
          <w:bCs/>
          <w:sz w:val="20"/>
          <w:szCs w:val="20"/>
        </w:rPr>
        <w:t xml:space="preserve">in the official system for </w:t>
      </w:r>
      <w:r w:rsidR="00FE1DAC">
        <w:rPr>
          <w:rFonts w:asciiTheme="majorHAnsi" w:hAnsiTheme="majorHAnsi"/>
          <w:bCs/>
          <w:sz w:val="20"/>
          <w:szCs w:val="20"/>
        </w:rPr>
        <w:t xml:space="preserve">registration of </w:t>
      </w:r>
      <w:r w:rsidR="00793977" w:rsidRPr="00334BCC">
        <w:rPr>
          <w:rFonts w:asciiTheme="majorHAnsi" w:hAnsiTheme="majorHAnsi"/>
          <w:bCs/>
          <w:sz w:val="20"/>
          <w:szCs w:val="20"/>
        </w:rPr>
        <w:t>displaced persons</w:t>
      </w:r>
      <w:r w:rsidR="00FE1DAC">
        <w:rPr>
          <w:rFonts w:asciiTheme="majorHAnsi" w:hAnsiTheme="majorHAnsi"/>
          <w:bCs/>
          <w:sz w:val="20"/>
          <w:szCs w:val="20"/>
        </w:rPr>
        <w:t>,</w:t>
      </w:r>
      <w:r w:rsidR="00793977" w:rsidRPr="00334BCC">
        <w:rPr>
          <w:rFonts w:asciiTheme="majorHAnsi" w:hAnsiTheme="majorHAnsi"/>
          <w:bCs/>
          <w:sz w:val="20"/>
          <w:szCs w:val="20"/>
        </w:rPr>
        <w:t xml:space="preserve"> </w:t>
      </w:r>
      <w:r w:rsidR="00FE1DAC">
        <w:rPr>
          <w:rFonts w:asciiTheme="majorHAnsi" w:hAnsiTheme="majorHAnsi"/>
          <w:bCs/>
          <w:sz w:val="20"/>
          <w:szCs w:val="20"/>
        </w:rPr>
        <w:t xml:space="preserve">which he needed </w:t>
      </w:r>
      <w:r w:rsidR="00793977" w:rsidRPr="00334BCC">
        <w:rPr>
          <w:rFonts w:asciiTheme="majorHAnsi" w:hAnsiTheme="majorHAnsi"/>
          <w:bCs/>
          <w:sz w:val="20"/>
          <w:szCs w:val="20"/>
        </w:rPr>
        <w:t xml:space="preserve">in order to be able to access humanitarian aid and other basic benefits to which he </w:t>
      </w:r>
      <w:r w:rsidR="00FE1DAC">
        <w:rPr>
          <w:rFonts w:asciiTheme="majorHAnsi" w:hAnsiTheme="majorHAnsi"/>
          <w:bCs/>
          <w:sz w:val="20"/>
          <w:szCs w:val="20"/>
        </w:rPr>
        <w:t xml:space="preserve">considered he </w:t>
      </w:r>
      <w:r w:rsidR="00793977" w:rsidRPr="00334BCC">
        <w:rPr>
          <w:rFonts w:asciiTheme="majorHAnsi" w:hAnsiTheme="majorHAnsi"/>
          <w:bCs/>
          <w:sz w:val="20"/>
          <w:szCs w:val="20"/>
        </w:rPr>
        <w:t xml:space="preserve">was entitled. Approximately two months after the attack, the family of </w:t>
      </w:r>
      <w:proofErr w:type="spellStart"/>
      <w:r w:rsidR="00793977" w:rsidRPr="00334BCC">
        <w:rPr>
          <w:rFonts w:asciiTheme="majorHAnsi" w:hAnsiTheme="majorHAnsi"/>
          <w:bCs/>
          <w:sz w:val="20"/>
          <w:szCs w:val="20"/>
        </w:rPr>
        <w:t>Helvir</w:t>
      </w:r>
      <w:proofErr w:type="spellEnd"/>
      <w:r w:rsidR="00793977" w:rsidRPr="00334BCC">
        <w:rPr>
          <w:rFonts w:asciiTheme="majorHAnsi" w:hAnsiTheme="majorHAnsi"/>
          <w:bCs/>
          <w:sz w:val="20"/>
          <w:szCs w:val="20"/>
        </w:rPr>
        <w:t xml:space="preserve"> Antonio Torres and the family of Freddy Torres </w:t>
      </w:r>
      <w:r w:rsidR="00FE1DAC">
        <w:rPr>
          <w:rFonts w:asciiTheme="majorHAnsi" w:hAnsiTheme="majorHAnsi"/>
          <w:bCs/>
          <w:sz w:val="20"/>
          <w:szCs w:val="20"/>
        </w:rPr>
        <w:t xml:space="preserve">were </w:t>
      </w:r>
      <w:r w:rsidR="00793977" w:rsidRPr="00334BCC">
        <w:rPr>
          <w:rFonts w:asciiTheme="majorHAnsi" w:hAnsiTheme="majorHAnsi"/>
          <w:bCs/>
          <w:sz w:val="20"/>
          <w:szCs w:val="20"/>
        </w:rPr>
        <w:t>forcibly displace</w:t>
      </w:r>
      <w:r w:rsidR="00FE1DAC">
        <w:rPr>
          <w:rFonts w:asciiTheme="majorHAnsi" w:hAnsiTheme="majorHAnsi"/>
          <w:bCs/>
          <w:sz w:val="20"/>
          <w:szCs w:val="20"/>
        </w:rPr>
        <w:t>d from</w:t>
      </w:r>
      <w:r w:rsidR="00793977" w:rsidRPr="00334BCC">
        <w:rPr>
          <w:rFonts w:asciiTheme="majorHAnsi" w:hAnsiTheme="majorHAnsi"/>
          <w:bCs/>
          <w:sz w:val="20"/>
          <w:szCs w:val="20"/>
        </w:rPr>
        <w:t xml:space="preserve"> their residence in the municipality of </w:t>
      </w:r>
      <w:proofErr w:type="spellStart"/>
      <w:r w:rsidR="00793977" w:rsidRPr="00334BCC">
        <w:rPr>
          <w:rFonts w:asciiTheme="majorHAnsi" w:hAnsiTheme="majorHAnsi"/>
          <w:bCs/>
          <w:sz w:val="20"/>
          <w:szCs w:val="20"/>
        </w:rPr>
        <w:t>Venecia</w:t>
      </w:r>
      <w:proofErr w:type="spellEnd"/>
      <w:r w:rsidR="00793977" w:rsidRPr="00334BCC">
        <w:rPr>
          <w:rFonts w:asciiTheme="majorHAnsi" w:hAnsiTheme="majorHAnsi"/>
          <w:bCs/>
          <w:sz w:val="20"/>
          <w:szCs w:val="20"/>
        </w:rPr>
        <w:t xml:space="preserve">, Cundinamarca, </w:t>
      </w:r>
      <w:r w:rsidR="00793977" w:rsidRPr="00FE1DAC">
        <w:rPr>
          <w:rFonts w:asciiTheme="majorHAnsi" w:hAnsiTheme="majorHAnsi"/>
          <w:bCs/>
          <w:i/>
          <w:iCs/>
          <w:sz w:val="20"/>
          <w:szCs w:val="20"/>
        </w:rPr>
        <w:t xml:space="preserve">“because members of the Colombian Army did not </w:t>
      </w:r>
      <w:r w:rsidR="00FE1DAC" w:rsidRPr="00FE1DAC">
        <w:rPr>
          <w:rFonts w:asciiTheme="majorHAnsi" w:hAnsiTheme="majorHAnsi"/>
          <w:bCs/>
          <w:i/>
          <w:iCs/>
          <w:sz w:val="20"/>
          <w:szCs w:val="20"/>
        </w:rPr>
        <w:t xml:space="preserve">cease to </w:t>
      </w:r>
      <w:r w:rsidR="00793977" w:rsidRPr="00FE1DAC">
        <w:rPr>
          <w:rFonts w:asciiTheme="majorHAnsi" w:hAnsiTheme="majorHAnsi"/>
          <w:bCs/>
          <w:i/>
          <w:iCs/>
          <w:sz w:val="20"/>
          <w:szCs w:val="20"/>
        </w:rPr>
        <w:t xml:space="preserve">harass and threaten them after the execution of </w:t>
      </w:r>
      <w:proofErr w:type="spellStart"/>
      <w:r w:rsidR="00793977" w:rsidRPr="00FE1DAC">
        <w:rPr>
          <w:rFonts w:asciiTheme="majorHAnsi" w:hAnsiTheme="majorHAnsi"/>
          <w:bCs/>
          <w:i/>
          <w:iCs/>
          <w:sz w:val="20"/>
          <w:szCs w:val="20"/>
        </w:rPr>
        <w:t>Helvir</w:t>
      </w:r>
      <w:proofErr w:type="spellEnd"/>
      <w:r w:rsidR="00793977" w:rsidRPr="00FE1DAC">
        <w:rPr>
          <w:rFonts w:asciiTheme="majorHAnsi" w:hAnsiTheme="majorHAnsi"/>
          <w:bCs/>
          <w:i/>
          <w:iCs/>
          <w:sz w:val="20"/>
          <w:szCs w:val="20"/>
        </w:rPr>
        <w:t xml:space="preserve"> Torres and </w:t>
      </w:r>
      <w:r w:rsidR="00FE1DAC" w:rsidRPr="00FE1DAC">
        <w:rPr>
          <w:rFonts w:asciiTheme="majorHAnsi" w:hAnsiTheme="majorHAnsi"/>
          <w:bCs/>
          <w:i/>
          <w:iCs/>
          <w:sz w:val="20"/>
          <w:szCs w:val="20"/>
        </w:rPr>
        <w:t xml:space="preserve">the </w:t>
      </w:r>
      <w:r w:rsidR="00793977" w:rsidRPr="00FE1DAC">
        <w:rPr>
          <w:rFonts w:asciiTheme="majorHAnsi" w:hAnsiTheme="majorHAnsi"/>
          <w:bCs/>
          <w:i/>
          <w:iCs/>
          <w:sz w:val="20"/>
          <w:szCs w:val="20"/>
        </w:rPr>
        <w:t>attempted murder of Freddy Torres”</w:t>
      </w:r>
      <w:r w:rsidR="00FE1DAC">
        <w:rPr>
          <w:rFonts w:asciiTheme="majorHAnsi" w:hAnsiTheme="majorHAnsi"/>
          <w:bCs/>
          <w:sz w:val="20"/>
          <w:szCs w:val="20"/>
        </w:rPr>
        <w:t xml:space="preserve"> by means of </w:t>
      </w:r>
      <w:r w:rsidR="00793977" w:rsidRPr="00334BCC">
        <w:rPr>
          <w:rFonts w:asciiTheme="majorHAnsi" w:hAnsiTheme="majorHAnsi"/>
          <w:bCs/>
          <w:sz w:val="20"/>
          <w:szCs w:val="20"/>
        </w:rPr>
        <w:t xml:space="preserve">threats, surveillance and intimidation in their homes and workplaces. </w:t>
      </w:r>
      <w:r w:rsidR="00FE1DAC">
        <w:rPr>
          <w:rFonts w:asciiTheme="majorHAnsi" w:hAnsiTheme="majorHAnsi"/>
          <w:bCs/>
          <w:sz w:val="20"/>
          <w:szCs w:val="20"/>
        </w:rPr>
        <w:t>The m</w:t>
      </w:r>
      <w:r w:rsidR="00793977" w:rsidRPr="00334BCC">
        <w:rPr>
          <w:rFonts w:asciiTheme="majorHAnsi" w:hAnsiTheme="majorHAnsi"/>
          <w:bCs/>
          <w:sz w:val="20"/>
          <w:szCs w:val="20"/>
        </w:rPr>
        <w:t xml:space="preserve">embers of both families </w:t>
      </w:r>
      <w:r w:rsidR="00FE1DAC">
        <w:rPr>
          <w:rFonts w:asciiTheme="majorHAnsi" w:hAnsiTheme="majorHAnsi"/>
          <w:bCs/>
          <w:sz w:val="20"/>
          <w:szCs w:val="20"/>
        </w:rPr>
        <w:t xml:space="preserve">who are </w:t>
      </w:r>
      <w:r w:rsidR="00793977" w:rsidRPr="00334BCC">
        <w:rPr>
          <w:rFonts w:asciiTheme="majorHAnsi" w:hAnsiTheme="majorHAnsi"/>
          <w:bCs/>
          <w:sz w:val="20"/>
          <w:szCs w:val="20"/>
        </w:rPr>
        <w:t xml:space="preserve">currently in </w:t>
      </w:r>
      <w:r w:rsidR="00FE1DAC">
        <w:rPr>
          <w:rFonts w:asciiTheme="majorHAnsi" w:hAnsiTheme="majorHAnsi"/>
          <w:bCs/>
          <w:sz w:val="20"/>
          <w:szCs w:val="20"/>
        </w:rPr>
        <w:t xml:space="preserve">a situation of </w:t>
      </w:r>
      <w:r w:rsidR="00793977" w:rsidRPr="00334BCC">
        <w:rPr>
          <w:rFonts w:asciiTheme="majorHAnsi" w:hAnsiTheme="majorHAnsi"/>
          <w:bCs/>
          <w:sz w:val="20"/>
          <w:szCs w:val="20"/>
        </w:rPr>
        <w:t>internal displacement include children. The petitioners allege that the State has not provided these families with comprehensive assistance</w:t>
      </w:r>
      <w:r w:rsidR="00FE1DAC">
        <w:rPr>
          <w:rFonts w:asciiTheme="majorHAnsi" w:hAnsiTheme="majorHAnsi"/>
          <w:bCs/>
          <w:sz w:val="20"/>
          <w:szCs w:val="20"/>
        </w:rPr>
        <w:t>,</w:t>
      </w:r>
      <w:r w:rsidR="00793977" w:rsidRPr="00334BCC">
        <w:rPr>
          <w:rFonts w:asciiTheme="majorHAnsi" w:hAnsiTheme="majorHAnsi"/>
          <w:bCs/>
          <w:sz w:val="20"/>
          <w:szCs w:val="20"/>
        </w:rPr>
        <w:t xml:space="preserve"> </w:t>
      </w:r>
      <w:r w:rsidR="00FE1DAC">
        <w:rPr>
          <w:rFonts w:asciiTheme="majorHAnsi" w:hAnsiTheme="majorHAnsi"/>
          <w:bCs/>
          <w:sz w:val="20"/>
          <w:szCs w:val="20"/>
        </w:rPr>
        <w:t>n</w:t>
      </w:r>
      <w:r w:rsidR="00793977" w:rsidRPr="00334BCC">
        <w:rPr>
          <w:rFonts w:asciiTheme="majorHAnsi" w:hAnsiTheme="majorHAnsi"/>
          <w:bCs/>
          <w:sz w:val="20"/>
          <w:szCs w:val="20"/>
        </w:rPr>
        <w:t xml:space="preserve">or </w:t>
      </w:r>
      <w:r w:rsidR="00FE1DAC">
        <w:rPr>
          <w:rFonts w:asciiTheme="majorHAnsi" w:hAnsiTheme="majorHAnsi"/>
          <w:bCs/>
          <w:sz w:val="20"/>
          <w:szCs w:val="20"/>
        </w:rPr>
        <w:t xml:space="preserve">has it </w:t>
      </w:r>
      <w:r w:rsidR="00793977" w:rsidRPr="00334BCC">
        <w:rPr>
          <w:rFonts w:asciiTheme="majorHAnsi" w:hAnsiTheme="majorHAnsi"/>
          <w:bCs/>
          <w:sz w:val="20"/>
          <w:szCs w:val="20"/>
        </w:rPr>
        <w:t>guaranteed their return in conditions of dignity and safety.</w:t>
      </w:r>
    </w:p>
    <w:p w14:paraId="4DBAAF1A" w14:textId="77777777" w:rsidR="00FE1DAC" w:rsidRDefault="00FE1DAC" w:rsidP="00FE1DAC">
      <w:pPr>
        <w:ind w:firstLine="360"/>
        <w:jc w:val="both"/>
        <w:rPr>
          <w:rFonts w:asciiTheme="majorHAnsi" w:hAnsiTheme="majorHAnsi"/>
          <w:bCs/>
          <w:sz w:val="20"/>
          <w:szCs w:val="20"/>
        </w:rPr>
      </w:pPr>
    </w:p>
    <w:p w14:paraId="0AB2DB40" w14:textId="77777777" w:rsidR="00B47F6C" w:rsidRDefault="00FE1DAC" w:rsidP="00B47F6C">
      <w:pPr>
        <w:ind w:firstLine="360"/>
        <w:jc w:val="both"/>
        <w:rPr>
          <w:rFonts w:asciiTheme="majorHAnsi" w:hAnsiTheme="majorHAnsi"/>
          <w:bCs/>
          <w:sz w:val="20"/>
          <w:szCs w:val="20"/>
        </w:rPr>
      </w:pPr>
      <w:r>
        <w:rPr>
          <w:rFonts w:asciiTheme="majorHAnsi" w:hAnsiTheme="majorHAnsi"/>
          <w:bCs/>
          <w:sz w:val="20"/>
          <w:szCs w:val="20"/>
        </w:rPr>
        <w:t xml:space="preserve">6. </w:t>
      </w:r>
      <w:r w:rsidR="00793977" w:rsidRPr="00FE1DAC">
        <w:rPr>
          <w:rFonts w:asciiTheme="majorHAnsi" w:hAnsiTheme="majorHAnsi"/>
          <w:bCs/>
          <w:sz w:val="20"/>
          <w:szCs w:val="20"/>
        </w:rPr>
        <w:t xml:space="preserve">The death of Mr. </w:t>
      </w:r>
      <w:proofErr w:type="spellStart"/>
      <w:r w:rsidR="00793977" w:rsidRPr="00FE1DAC">
        <w:rPr>
          <w:rFonts w:asciiTheme="majorHAnsi" w:hAnsiTheme="majorHAnsi"/>
          <w:bCs/>
          <w:sz w:val="20"/>
          <w:szCs w:val="20"/>
        </w:rPr>
        <w:t>Helvir</w:t>
      </w:r>
      <w:proofErr w:type="spellEnd"/>
      <w:r w:rsidR="00793977" w:rsidRPr="00FE1DAC">
        <w:rPr>
          <w:rFonts w:asciiTheme="majorHAnsi" w:hAnsiTheme="majorHAnsi"/>
          <w:bCs/>
          <w:sz w:val="20"/>
          <w:szCs w:val="20"/>
        </w:rPr>
        <w:t xml:space="preserve"> Antonio Torres and the armed attack against Mr. Freddy Torres </w:t>
      </w:r>
      <w:proofErr w:type="spellStart"/>
      <w:r w:rsidR="00793977" w:rsidRPr="00FE1DAC">
        <w:rPr>
          <w:rFonts w:asciiTheme="majorHAnsi" w:hAnsiTheme="majorHAnsi"/>
          <w:bCs/>
          <w:sz w:val="20"/>
          <w:szCs w:val="20"/>
        </w:rPr>
        <w:t>Torres</w:t>
      </w:r>
      <w:proofErr w:type="spellEnd"/>
      <w:r w:rsidR="00793977" w:rsidRPr="00FE1DAC">
        <w:rPr>
          <w:rFonts w:asciiTheme="majorHAnsi" w:hAnsiTheme="majorHAnsi"/>
          <w:bCs/>
          <w:sz w:val="20"/>
          <w:szCs w:val="20"/>
        </w:rPr>
        <w:t xml:space="preserve"> </w:t>
      </w:r>
      <w:r>
        <w:rPr>
          <w:rFonts w:asciiTheme="majorHAnsi" w:hAnsiTheme="majorHAnsi"/>
          <w:bCs/>
          <w:sz w:val="20"/>
          <w:szCs w:val="20"/>
        </w:rPr>
        <w:t xml:space="preserve">gave rise </w:t>
      </w:r>
      <w:r w:rsidR="00793977" w:rsidRPr="00FE1DAC">
        <w:rPr>
          <w:rFonts w:asciiTheme="majorHAnsi" w:hAnsiTheme="majorHAnsi"/>
          <w:bCs/>
          <w:sz w:val="20"/>
          <w:szCs w:val="20"/>
        </w:rPr>
        <w:t>to a</w:t>
      </w:r>
      <w:r>
        <w:rPr>
          <w:rFonts w:asciiTheme="majorHAnsi" w:hAnsiTheme="majorHAnsi"/>
          <w:bCs/>
          <w:sz w:val="20"/>
          <w:szCs w:val="20"/>
        </w:rPr>
        <w:t xml:space="preserve">n </w:t>
      </w:r>
      <w:r w:rsidRPr="00FE1DAC">
        <w:rPr>
          <w:rFonts w:asciiTheme="majorHAnsi" w:hAnsiTheme="majorHAnsi"/>
          <w:bCs/>
          <w:i/>
          <w:iCs/>
          <w:sz w:val="20"/>
          <w:szCs w:val="20"/>
        </w:rPr>
        <w:t>ex officio</w:t>
      </w:r>
      <w:r w:rsidR="00793977" w:rsidRPr="00FE1DAC">
        <w:rPr>
          <w:rFonts w:asciiTheme="majorHAnsi" w:hAnsiTheme="majorHAnsi"/>
          <w:bCs/>
          <w:sz w:val="20"/>
          <w:szCs w:val="20"/>
        </w:rPr>
        <w:t xml:space="preserve"> criminal investigation by the military criminal justice, through the 96th Military Criminal Investigation </w:t>
      </w:r>
      <w:r>
        <w:rPr>
          <w:rFonts w:asciiTheme="majorHAnsi" w:hAnsiTheme="majorHAnsi"/>
          <w:bCs/>
          <w:sz w:val="20"/>
          <w:szCs w:val="20"/>
        </w:rPr>
        <w:t>Judge</w:t>
      </w:r>
      <w:r w:rsidR="00793977" w:rsidRPr="00FE1DAC">
        <w:rPr>
          <w:rFonts w:asciiTheme="majorHAnsi" w:hAnsiTheme="majorHAnsi"/>
          <w:bCs/>
          <w:sz w:val="20"/>
          <w:szCs w:val="20"/>
        </w:rPr>
        <w:t xml:space="preserve"> based in </w:t>
      </w:r>
      <w:proofErr w:type="spellStart"/>
      <w:r w:rsidR="00793977" w:rsidRPr="00FE1DAC">
        <w:rPr>
          <w:rFonts w:asciiTheme="majorHAnsi" w:hAnsiTheme="majorHAnsi"/>
          <w:bCs/>
          <w:sz w:val="20"/>
          <w:szCs w:val="20"/>
        </w:rPr>
        <w:t>Fusagasugá</w:t>
      </w:r>
      <w:proofErr w:type="spellEnd"/>
      <w:r w:rsidR="00793977" w:rsidRPr="00FE1DAC">
        <w:rPr>
          <w:rFonts w:asciiTheme="majorHAnsi" w:hAnsiTheme="majorHAnsi"/>
          <w:bCs/>
          <w:sz w:val="20"/>
          <w:szCs w:val="20"/>
        </w:rPr>
        <w:t xml:space="preserve">, which </w:t>
      </w:r>
      <w:r>
        <w:rPr>
          <w:rFonts w:asciiTheme="majorHAnsi" w:hAnsiTheme="majorHAnsi"/>
          <w:bCs/>
          <w:sz w:val="20"/>
          <w:szCs w:val="20"/>
        </w:rPr>
        <w:t xml:space="preserve">on </w:t>
      </w:r>
      <w:r w:rsidR="00793977" w:rsidRPr="00FE1DAC">
        <w:rPr>
          <w:rFonts w:asciiTheme="majorHAnsi" w:hAnsiTheme="majorHAnsi"/>
          <w:bCs/>
          <w:sz w:val="20"/>
          <w:szCs w:val="20"/>
        </w:rPr>
        <w:t xml:space="preserve">November </w:t>
      </w:r>
      <w:r>
        <w:rPr>
          <w:rFonts w:asciiTheme="majorHAnsi" w:hAnsiTheme="majorHAnsi"/>
          <w:bCs/>
          <w:sz w:val="20"/>
          <w:szCs w:val="20"/>
        </w:rPr>
        <w:t>1</w:t>
      </w:r>
      <w:r w:rsidRPr="00FE1DAC">
        <w:rPr>
          <w:rFonts w:asciiTheme="majorHAnsi" w:hAnsiTheme="majorHAnsi"/>
          <w:bCs/>
          <w:sz w:val="20"/>
          <w:szCs w:val="20"/>
          <w:vertAlign w:val="superscript"/>
        </w:rPr>
        <w:t>st</w:t>
      </w:r>
      <w:r>
        <w:rPr>
          <w:rFonts w:asciiTheme="majorHAnsi" w:hAnsiTheme="majorHAnsi"/>
          <w:bCs/>
          <w:sz w:val="20"/>
          <w:szCs w:val="20"/>
        </w:rPr>
        <w:t xml:space="preserve">, </w:t>
      </w:r>
      <w:r w:rsidR="00793977" w:rsidRPr="00FE1DAC">
        <w:rPr>
          <w:rFonts w:asciiTheme="majorHAnsi" w:hAnsiTheme="majorHAnsi"/>
          <w:bCs/>
          <w:sz w:val="20"/>
          <w:szCs w:val="20"/>
        </w:rPr>
        <w:t>2006 assumed jurisdiction to investigate the complaint. On that same date, th</w:t>
      </w:r>
      <w:r>
        <w:rPr>
          <w:rFonts w:asciiTheme="majorHAnsi" w:hAnsiTheme="majorHAnsi"/>
          <w:bCs/>
          <w:sz w:val="20"/>
          <w:szCs w:val="20"/>
        </w:rPr>
        <w:t>is</w:t>
      </w:r>
      <w:r w:rsidR="00793977" w:rsidRPr="00FE1DAC">
        <w:rPr>
          <w:rFonts w:asciiTheme="majorHAnsi" w:hAnsiTheme="majorHAnsi"/>
          <w:bCs/>
          <w:sz w:val="20"/>
          <w:szCs w:val="20"/>
        </w:rPr>
        <w:t xml:space="preserve"> </w:t>
      </w:r>
      <w:r>
        <w:rPr>
          <w:rFonts w:asciiTheme="majorHAnsi" w:hAnsiTheme="majorHAnsi"/>
          <w:bCs/>
          <w:sz w:val="20"/>
          <w:szCs w:val="20"/>
        </w:rPr>
        <w:t xml:space="preserve">Judge </w:t>
      </w:r>
      <w:r w:rsidR="00793977" w:rsidRPr="00FE1DAC">
        <w:rPr>
          <w:rFonts w:asciiTheme="majorHAnsi" w:hAnsiTheme="majorHAnsi"/>
          <w:bCs/>
          <w:sz w:val="20"/>
          <w:szCs w:val="20"/>
        </w:rPr>
        <w:t xml:space="preserve">defined the legal situation of the four members of the army </w:t>
      </w:r>
      <w:r>
        <w:rPr>
          <w:rFonts w:asciiTheme="majorHAnsi" w:hAnsiTheme="majorHAnsi"/>
          <w:bCs/>
          <w:sz w:val="20"/>
          <w:szCs w:val="20"/>
        </w:rPr>
        <w:t xml:space="preserve">brought to the proceedings </w:t>
      </w:r>
      <w:r w:rsidR="00793977" w:rsidRPr="00FE1DAC">
        <w:rPr>
          <w:rFonts w:asciiTheme="majorHAnsi" w:hAnsiTheme="majorHAnsi"/>
          <w:bCs/>
          <w:sz w:val="20"/>
          <w:szCs w:val="20"/>
        </w:rPr>
        <w:t>as alleged</w:t>
      </w:r>
      <w:r>
        <w:rPr>
          <w:rFonts w:asciiTheme="majorHAnsi" w:hAnsiTheme="majorHAnsi"/>
          <w:bCs/>
          <w:sz w:val="20"/>
          <w:szCs w:val="20"/>
        </w:rPr>
        <w:t xml:space="preserve"> culprits</w:t>
      </w:r>
      <w:r w:rsidR="00793977" w:rsidRPr="00FE1DAC">
        <w:rPr>
          <w:rFonts w:asciiTheme="majorHAnsi" w:hAnsiTheme="majorHAnsi"/>
          <w:bCs/>
          <w:sz w:val="20"/>
          <w:szCs w:val="20"/>
        </w:rPr>
        <w:t>, and</w:t>
      </w:r>
      <w:r>
        <w:rPr>
          <w:rFonts w:asciiTheme="majorHAnsi" w:hAnsiTheme="majorHAnsi"/>
          <w:bCs/>
          <w:sz w:val="20"/>
          <w:szCs w:val="20"/>
        </w:rPr>
        <w:t xml:space="preserve"> </w:t>
      </w:r>
      <w:r w:rsidR="00793977" w:rsidRPr="00FE1DAC">
        <w:rPr>
          <w:rFonts w:asciiTheme="majorHAnsi" w:hAnsiTheme="majorHAnsi"/>
          <w:bCs/>
          <w:sz w:val="20"/>
          <w:szCs w:val="20"/>
        </w:rPr>
        <w:t>decided not to order a</w:t>
      </w:r>
      <w:r>
        <w:rPr>
          <w:rFonts w:asciiTheme="majorHAnsi" w:hAnsiTheme="majorHAnsi"/>
          <w:bCs/>
          <w:sz w:val="20"/>
          <w:szCs w:val="20"/>
        </w:rPr>
        <w:t xml:space="preserve"> </w:t>
      </w:r>
      <w:r w:rsidR="00793977" w:rsidRPr="00FE1DAC">
        <w:rPr>
          <w:rFonts w:asciiTheme="majorHAnsi" w:hAnsiTheme="majorHAnsi"/>
          <w:bCs/>
          <w:sz w:val="20"/>
          <w:szCs w:val="20"/>
        </w:rPr>
        <w:t xml:space="preserve">measure </w:t>
      </w:r>
      <w:r>
        <w:rPr>
          <w:rFonts w:asciiTheme="majorHAnsi" w:hAnsiTheme="majorHAnsi"/>
          <w:bCs/>
          <w:sz w:val="20"/>
          <w:szCs w:val="20"/>
        </w:rPr>
        <w:t xml:space="preserve">of detention </w:t>
      </w:r>
      <w:r w:rsidR="00793977" w:rsidRPr="00FE1DAC">
        <w:rPr>
          <w:rFonts w:asciiTheme="majorHAnsi" w:hAnsiTheme="majorHAnsi"/>
          <w:bCs/>
          <w:sz w:val="20"/>
          <w:szCs w:val="20"/>
        </w:rPr>
        <w:t xml:space="preserve">against them, for which </w:t>
      </w:r>
      <w:r>
        <w:rPr>
          <w:rFonts w:asciiTheme="majorHAnsi" w:hAnsiTheme="majorHAnsi"/>
          <w:bCs/>
          <w:sz w:val="20"/>
          <w:szCs w:val="20"/>
        </w:rPr>
        <w:t xml:space="preserve">reason </w:t>
      </w:r>
      <w:r w:rsidR="00793977" w:rsidRPr="00FE1DAC">
        <w:rPr>
          <w:rFonts w:asciiTheme="majorHAnsi" w:hAnsiTheme="majorHAnsi"/>
          <w:bCs/>
          <w:sz w:val="20"/>
          <w:szCs w:val="20"/>
        </w:rPr>
        <w:t xml:space="preserve">they remained </w:t>
      </w:r>
      <w:r>
        <w:rPr>
          <w:rFonts w:asciiTheme="majorHAnsi" w:hAnsiTheme="majorHAnsi"/>
          <w:bCs/>
          <w:sz w:val="20"/>
          <w:szCs w:val="20"/>
        </w:rPr>
        <w:t xml:space="preserve">in </w:t>
      </w:r>
      <w:r w:rsidR="00793977" w:rsidRPr="00FE1DAC">
        <w:rPr>
          <w:rFonts w:asciiTheme="majorHAnsi" w:hAnsiTheme="majorHAnsi"/>
          <w:bCs/>
          <w:sz w:val="20"/>
          <w:szCs w:val="20"/>
        </w:rPr>
        <w:t xml:space="preserve">liberty. On December 6, 2006, the 251st Criminal Judicial </w:t>
      </w:r>
      <w:r>
        <w:rPr>
          <w:rFonts w:asciiTheme="majorHAnsi" w:hAnsiTheme="majorHAnsi"/>
          <w:bCs/>
          <w:sz w:val="20"/>
          <w:szCs w:val="20"/>
        </w:rPr>
        <w:t xml:space="preserve">Attorney </w:t>
      </w:r>
      <w:r w:rsidR="00793977" w:rsidRPr="00FE1DAC">
        <w:rPr>
          <w:rFonts w:asciiTheme="majorHAnsi" w:hAnsiTheme="majorHAnsi"/>
          <w:bCs/>
          <w:sz w:val="20"/>
          <w:szCs w:val="20"/>
        </w:rPr>
        <w:t xml:space="preserve">requested that the investigation be transferred to the ordinary jurisdiction, but his request was denied by the aforementioned </w:t>
      </w:r>
      <w:r>
        <w:rPr>
          <w:rFonts w:asciiTheme="majorHAnsi" w:hAnsiTheme="majorHAnsi"/>
          <w:bCs/>
          <w:sz w:val="20"/>
          <w:szCs w:val="20"/>
        </w:rPr>
        <w:t xml:space="preserve">Judge </w:t>
      </w:r>
      <w:r w:rsidR="00793977" w:rsidRPr="00FE1DAC">
        <w:rPr>
          <w:rFonts w:asciiTheme="majorHAnsi" w:hAnsiTheme="majorHAnsi"/>
          <w:bCs/>
          <w:sz w:val="20"/>
          <w:szCs w:val="20"/>
        </w:rPr>
        <w:t xml:space="preserve">on December 19, 2006. On January 18, 2007, the </w:t>
      </w:r>
      <w:r>
        <w:rPr>
          <w:rFonts w:asciiTheme="majorHAnsi" w:hAnsiTheme="majorHAnsi"/>
          <w:bCs/>
          <w:sz w:val="20"/>
          <w:szCs w:val="20"/>
        </w:rPr>
        <w:t xml:space="preserve">Judicial Attorney </w:t>
      </w:r>
      <w:r w:rsidR="00793977" w:rsidRPr="00FE1DAC">
        <w:rPr>
          <w:rFonts w:asciiTheme="majorHAnsi" w:hAnsiTheme="majorHAnsi"/>
          <w:bCs/>
          <w:sz w:val="20"/>
          <w:szCs w:val="20"/>
        </w:rPr>
        <w:t xml:space="preserve">appealed this </w:t>
      </w:r>
      <w:proofErr w:type="gramStart"/>
      <w:r w:rsidR="00793977" w:rsidRPr="00FE1DAC">
        <w:rPr>
          <w:rFonts w:asciiTheme="majorHAnsi" w:hAnsiTheme="majorHAnsi"/>
          <w:bCs/>
          <w:sz w:val="20"/>
          <w:szCs w:val="20"/>
        </w:rPr>
        <w:t>decision ,</w:t>
      </w:r>
      <w:proofErr w:type="gramEnd"/>
      <w:r w:rsidR="00793977" w:rsidRPr="00FE1DAC">
        <w:rPr>
          <w:rFonts w:asciiTheme="majorHAnsi" w:hAnsiTheme="majorHAnsi"/>
          <w:bCs/>
          <w:sz w:val="20"/>
          <w:szCs w:val="20"/>
        </w:rPr>
        <w:t xml:space="preserve"> but on March 16, 2007, the Superior Military Court confirmed it. On October 8, 2007, Prosecutor 24 of the National Human Rights Unit of the General</w:t>
      </w:r>
      <w:r>
        <w:rPr>
          <w:rFonts w:asciiTheme="majorHAnsi" w:hAnsiTheme="majorHAnsi"/>
          <w:bCs/>
          <w:sz w:val="20"/>
          <w:szCs w:val="20"/>
        </w:rPr>
        <w:t xml:space="preserve"> Prosecutor of the Nation’s</w:t>
      </w:r>
      <w:r w:rsidR="00793977" w:rsidRPr="00FE1DAC">
        <w:rPr>
          <w:rFonts w:asciiTheme="majorHAnsi" w:hAnsiTheme="majorHAnsi"/>
          <w:bCs/>
          <w:sz w:val="20"/>
          <w:szCs w:val="20"/>
        </w:rPr>
        <w:t xml:space="preserve"> Office proposed a positive conflict of jurisdiction </w:t>
      </w:r>
      <w:r>
        <w:rPr>
          <w:rFonts w:asciiTheme="majorHAnsi" w:hAnsiTheme="majorHAnsi"/>
          <w:bCs/>
          <w:sz w:val="20"/>
          <w:szCs w:val="20"/>
        </w:rPr>
        <w:t xml:space="preserve">in relation to </w:t>
      </w:r>
      <w:r w:rsidR="00793977" w:rsidRPr="00FE1DAC">
        <w:rPr>
          <w:rFonts w:asciiTheme="majorHAnsi" w:hAnsiTheme="majorHAnsi"/>
          <w:bCs/>
          <w:sz w:val="20"/>
          <w:szCs w:val="20"/>
        </w:rPr>
        <w:t xml:space="preserve">the case. This conflict was resolved in favor of the ordinary jurisdiction by the Fifth Judge of Brigades of the Fifth Division of the Ministry of National Defense, and the Office of the General </w:t>
      </w:r>
      <w:r>
        <w:rPr>
          <w:rFonts w:asciiTheme="majorHAnsi" w:hAnsiTheme="majorHAnsi"/>
          <w:bCs/>
          <w:sz w:val="20"/>
          <w:szCs w:val="20"/>
        </w:rPr>
        <w:t xml:space="preserve">Prosecutor </w:t>
      </w:r>
      <w:r w:rsidR="00793977" w:rsidRPr="00FE1DAC">
        <w:rPr>
          <w:rFonts w:asciiTheme="majorHAnsi" w:hAnsiTheme="majorHAnsi"/>
          <w:bCs/>
          <w:sz w:val="20"/>
          <w:szCs w:val="20"/>
        </w:rPr>
        <w:t xml:space="preserve">of the Nation assumed the investigation. </w:t>
      </w:r>
      <w:r>
        <w:rPr>
          <w:rFonts w:asciiTheme="majorHAnsi" w:hAnsiTheme="majorHAnsi"/>
          <w:bCs/>
          <w:sz w:val="20"/>
          <w:szCs w:val="20"/>
        </w:rPr>
        <w:t xml:space="preserve">The case </w:t>
      </w:r>
      <w:r w:rsidR="00793977" w:rsidRPr="00FE1DAC">
        <w:rPr>
          <w:rFonts w:asciiTheme="majorHAnsi" w:hAnsiTheme="majorHAnsi"/>
          <w:bCs/>
          <w:sz w:val="20"/>
          <w:szCs w:val="20"/>
        </w:rPr>
        <w:t xml:space="preserve">was initially assigned to Specialized Prosecutor 24 of the National Human Rights Unit, and later to Prosecutor 50 of the same Unit. At the time the petition was presented to the IACHR, this process was in the investigation phase, and the four </w:t>
      </w:r>
      <w:r>
        <w:rPr>
          <w:rFonts w:asciiTheme="majorHAnsi" w:hAnsiTheme="majorHAnsi"/>
          <w:bCs/>
          <w:sz w:val="20"/>
          <w:szCs w:val="20"/>
        </w:rPr>
        <w:t xml:space="preserve">military agents </w:t>
      </w:r>
      <w:r w:rsidR="00793977" w:rsidRPr="00FE1DAC">
        <w:rPr>
          <w:rFonts w:asciiTheme="majorHAnsi" w:hAnsiTheme="majorHAnsi"/>
          <w:bCs/>
          <w:sz w:val="20"/>
          <w:szCs w:val="20"/>
        </w:rPr>
        <w:t xml:space="preserve">involved had been </w:t>
      </w:r>
      <w:r>
        <w:rPr>
          <w:rFonts w:asciiTheme="majorHAnsi" w:hAnsiTheme="majorHAnsi"/>
          <w:bCs/>
          <w:sz w:val="20"/>
          <w:szCs w:val="20"/>
        </w:rPr>
        <w:t xml:space="preserve">formally brought </w:t>
      </w:r>
      <w:r w:rsidR="00793977" w:rsidRPr="00FE1DAC">
        <w:rPr>
          <w:rFonts w:asciiTheme="majorHAnsi" w:hAnsiTheme="majorHAnsi"/>
          <w:bCs/>
          <w:sz w:val="20"/>
          <w:szCs w:val="20"/>
        </w:rPr>
        <w:t xml:space="preserve">to </w:t>
      </w:r>
      <w:r w:rsidR="00B47F6C">
        <w:rPr>
          <w:rFonts w:asciiTheme="majorHAnsi" w:hAnsiTheme="majorHAnsi"/>
          <w:bCs/>
          <w:sz w:val="20"/>
          <w:szCs w:val="20"/>
        </w:rPr>
        <w:t>the case</w:t>
      </w:r>
      <w:r w:rsidR="00793977" w:rsidRPr="00FE1DAC">
        <w:rPr>
          <w:rFonts w:asciiTheme="majorHAnsi" w:hAnsiTheme="majorHAnsi"/>
          <w:bCs/>
          <w:sz w:val="20"/>
          <w:szCs w:val="20"/>
        </w:rPr>
        <w:t xml:space="preserve">, </w:t>
      </w:r>
      <w:r w:rsidR="00B47F6C">
        <w:rPr>
          <w:rFonts w:asciiTheme="majorHAnsi" w:hAnsiTheme="majorHAnsi"/>
          <w:bCs/>
          <w:sz w:val="20"/>
          <w:szCs w:val="20"/>
        </w:rPr>
        <w:t>although they were still free</w:t>
      </w:r>
      <w:r w:rsidR="00793977" w:rsidRPr="00FE1DAC">
        <w:rPr>
          <w:rFonts w:asciiTheme="majorHAnsi" w:hAnsiTheme="majorHAnsi"/>
          <w:bCs/>
          <w:sz w:val="20"/>
          <w:szCs w:val="20"/>
        </w:rPr>
        <w:t xml:space="preserve">. The member of the Army who was in command of the </w:t>
      </w:r>
      <w:proofErr w:type="spellStart"/>
      <w:r w:rsidR="00793977" w:rsidRPr="00FE1DAC">
        <w:rPr>
          <w:rFonts w:asciiTheme="majorHAnsi" w:hAnsiTheme="majorHAnsi"/>
          <w:bCs/>
          <w:sz w:val="20"/>
          <w:szCs w:val="20"/>
        </w:rPr>
        <w:t>Corcel</w:t>
      </w:r>
      <w:proofErr w:type="spellEnd"/>
      <w:r w:rsidR="00793977" w:rsidRPr="00FE1DAC">
        <w:rPr>
          <w:rFonts w:asciiTheme="majorHAnsi" w:hAnsiTheme="majorHAnsi"/>
          <w:bCs/>
          <w:sz w:val="20"/>
          <w:szCs w:val="20"/>
        </w:rPr>
        <w:t xml:space="preserve"> Company on the day of the events had not been formally </w:t>
      </w:r>
      <w:r w:rsidR="00B47F6C">
        <w:rPr>
          <w:rFonts w:asciiTheme="majorHAnsi" w:hAnsiTheme="majorHAnsi"/>
          <w:bCs/>
          <w:sz w:val="20"/>
          <w:szCs w:val="20"/>
        </w:rPr>
        <w:t xml:space="preserve">brought </w:t>
      </w:r>
      <w:r w:rsidR="00793977" w:rsidRPr="00FE1DAC">
        <w:rPr>
          <w:rFonts w:asciiTheme="majorHAnsi" w:hAnsiTheme="majorHAnsi"/>
          <w:bCs/>
          <w:sz w:val="20"/>
          <w:szCs w:val="20"/>
        </w:rPr>
        <w:t xml:space="preserve">to the process; and the agents of the </w:t>
      </w:r>
      <w:r w:rsidR="00B47F6C">
        <w:rPr>
          <w:rFonts w:asciiTheme="majorHAnsi" w:hAnsiTheme="majorHAnsi"/>
          <w:bCs/>
          <w:sz w:val="20"/>
          <w:szCs w:val="20"/>
        </w:rPr>
        <w:t xml:space="preserve">Army </w:t>
      </w:r>
      <w:r w:rsidR="00793977" w:rsidRPr="00FE1DAC">
        <w:rPr>
          <w:rFonts w:asciiTheme="majorHAnsi" w:hAnsiTheme="majorHAnsi"/>
          <w:bCs/>
          <w:sz w:val="20"/>
          <w:szCs w:val="20"/>
        </w:rPr>
        <w:t xml:space="preserve">nicknamed "el </w:t>
      </w:r>
      <w:proofErr w:type="spellStart"/>
      <w:r w:rsidR="00793977" w:rsidRPr="00FE1DAC">
        <w:rPr>
          <w:rFonts w:asciiTheme="majorHAnsi" w:hAnsiTheme="majorHAnsi"/>
          <w:bCs/>
          <w:sz w:val="20"/>
          <w:szCs w:val="20"/>
        </w:rPr>
        <w:t>costeño</w:t>
      </w:r>
      <w:proofErr w:type="spellEnd"/>
      <w:r w:rsidR="00793977" w:rsidRPr="00FE1DAC">
        <w:rPr>
          <w:rFonts w:asciiTheme="majorHAnsi" w:hAnsiTheme="majorHAnsi"/>
          <w:bCs/>
          <w:sz w:val="20"/>
          <w:szCs w:val="20"/>
        </w:rPr>
        <w:t xml:space="preserve">" and "el paisa" had not been </w:t>
      </w:r>
      <w:r w:rsidR="00B47F6C">
        <w:rPr>
          <w:rFonts w:asciiTheme="majorHAnsi" w:hAnsiTheme="majorHAnsi"/>
          <w:bCs/>
          <w:sz w:val="20"/>
          <w:szCs w:val="20"/>
        </w:rPr>
        <w:t xml:space="preserve">brought </w:t>
      </w:r>
      <w:r w:rsidR="00793977" w:rsidRPr="00FE1DAC">
        <w:rPr>
          <w:rFonts w:asciiTheme="majorHAnsi" w:hAnsiTheme="majorHAnsi"/>
          <w:bCs/>
          <w:sz w:val="20"/>
          <w:szCs w:val="20"/>
        </w:rPr>
        <w:t xml:space="preserve">to the investigation either. </w:t>
      </w:r>
      <w:r w:rsidR="00B47F6C">
        <w:rPr>
          <w:rFonts w:asciiTheme="majorHAnsi" w:hAnsiTheme="majorHAnsi"/>
          <w:bCs/>
          <w:sz w:val="20"/>
          <w:szCs w:val="20"/>
        </w:rPr>
        <w:t>On the other hand, t</w:t>
      </w:r>
      <w:r w:rsidR="009921B6" w:rsidRPr="00FE1DAC">
        <w:rPr>
          <w:rFonts w:asciiTheme="majorHAnsi" w:hAnsiTheme="majorHAnsi"/>
          <w:bCs/>
          <w:sz w:val="20"/>
          <w:szCs w:val="20"/>
        </w:rPr>
        <w:t>he</w:t>
      </w:r>
      <w:r w:rsidR="00793977" w:rsidRPr="00FE1DAC">
        <w:rPr>
          <w:rFonts w:asciiTheme="majorHAnsi" w:hAnsiTheme="majorHAnsi"/>
          <w:bCs/>
          <w:sz w:val="20"/>
          <w:szCs w:val="20"/>
        </w:rPr>
        <w:t xml:space="preserve"> criminal investigation only dealt with the murder of </w:t>
      </w:r>
      <w:proofErr w:type="spellStart"/>
      <w:r w:rsidR="00793977" w:rsidRPr="00FE1DAC">
        <w:rPr>
          <w:rFonts w:asciiTheme="majorHAnsi" w:hAnsiTheme="majorHAnsi"/>
          <w:bCs/>
          <w:sz w:val="20"/>
          <w:szCs w:val="20"/>
        </w:rPr>
        <w:t>Helvir</w:t>
      </w:r>
      <w:proofErr w:type="spellEnd"/>
      <w:r w:rsidR="00793977" w:rsidRPr="00FE1DAC">
        <w:rPr>
          <w:rFonts w:asciiTheme="majorHAnsi" w:hAnsiTheme="majorHAnsi"/>
          <w:bCs/>
          <w:sz w:val="20"/>
          <w:szCs w:val="20"/>
        </w:rPr>
        <w:t xml:space="preserve"> Antonio Torres, and did not cover the attempted murder of Freddy Torres. In the opinion of the petitioners, the case present</w:t>
      </w:r>
      <w:r w:rsidR="009921B6" w:rsidRPr="00FE1DAC">
        <w:rPr>
          <w:rFonts w:asciiTheme="majorHAnsi" w:hAnsiTheme="majorHAnsi"/>
          <w:bCs/>
          <w:sz w:val="20"/>
          <w:szCs w:val="20"/>
        </w:rPr>
        <w:t>s</w:t>
      </w:r>
      <w:r w:rsidR="00793977" w:rsidRPr="00FE1DAC">
        <w:rPr>
          <w:rFonts w:asciiTheme="majorHAnsi" w:hAnsiTheme="majorHAnsi"/>
          <w:bCs/>
          <w:sz w:val="20"/>
          <w:szCs w:val="20"/>
        </w:rPr>
        <w:t xml:space="preserve"> an unjustified delay in the administration of criminal justice, which constitutes an exception to the duty to exhaust domestic remedies. </w:t>
      </w:r>
      <w:r w:rsidR="00B47F6C">
        <w:rPr>
          <w:rFonts w:asciiTheme="majorHAnsi" w:hAnsiTheme="majorHAnsi"/>
          <w:bCs/>
          <w:sz w:val="20"/>
          <w:szCs w:val="20"/>
        </w:rPr>
        <w:t xml:space="preserve">They </w:t>
      </w:r>
      <w:r w:rsidR="00793977" w:rsidRPr="00FE1DAC">
        <w:rPr>
          <w:rFonts w:asciiTheme="majorHAnsi" w:hAnsiTheme="majorHAnsi"/>
          <w:bCs/>
          <w:sz w:val="20"/>
          <w:szCs w:val="20"/>
        </w:rPr>
        <w:t>argue that at the time of submitting the petition, three years and eight months had elapsed since the attack without a serious criminal investigation</w:t>
      </w:r>
      <w:r w:rsidR="00B47F6C">
        <w:rPr>
          <w:rFonts w:asciiTheme="majorHAnsi" w:hAnsiTheme="majorHAnsi"/>
          <w:bCs/>
          <w:sz w:val="20"/>
          <w:szCs w:val="20"/>
        </w:rPr>
        <w:t xml:space="preserve"> advancing </w:t>
      </w:r>
      <w:r w:rsidR="00793977" w:rsidRPr="00FE1DAC">
        <w:rPr>
          <w:rFonts w:asciiTheme="majorHAnsi" w:hAnsiTheme="majorHAnsi"/>
          <w:bCs/>
          <w:sz w:val="20"/>
          <w:szCs w:val="20"/>
        </w:rPr>
        <w:t xml:space="preserve">in </w:t>
      </w:r>
      <w:r w:rsidR="00B47F6C">
        <w:rPr>
          <w:rFonts w:asciiTheme="majorHAnsi" w:hAnsiTheme="majorHAnsi"/>
          <w:bCs/>
          <w:sz w:val="20"/>
          <w:szCs w:val="20"/>
        </w:rPr>
        <w:t xml:space="preserve">the identification of </w:t>
      </w:r>
      <w:r w:rsidR="00793977" w:rsidRPr="00FE1DAC">
        <w:rPr>
          <w:rFonts w:asciiTheme="majorHAnsi" w:hAnsiTheme="majorHAnsi"/>
          <w:bCs/>
          <w:sz w:val="20"/>
          <w:szCs w:val="20"/>
        </w:rPr>
        <w:t>those responsible, in addition to the fact</w:t>
      </w:r>
      <w:r w:rsidR="00B47F6C">
        <w:rPr>
          <w:rFonts w:asciiTheme="majorHAnsi" w:hAnsiTheme="majorHAnsi"/>
          <w:bCs/>
          <w:sz w:val="20"/>
          <w:szCs w:val="20"/>
        </w:rPr>
        <w:t>s</w:t>
      </w:r>
      <w:r w:rsidR="00793977" w:rsidRPr="00FE1DAC">
        <w:rPr>
          <w:rFonts w:asciiTheme="majorHAnsi" w:hAnsiTheme="majorHAnsi"/>
          <w:bCs/>
          <w:sz w:val="20"/>
          <w:szCs w:val="20"/>
        </w:rPr>
        <w:t xml:space="preserve"> that the </w:t>
      </w:r>
      <w:r w:rsidR="00B47F6C">
        <w:rPr>
          <w:rFonts w:asciiTheme="majorHAnsi" w:hAnsiTheme="majorHAnsi"/>
          <w:bCs/>
          <w:sz w:val="20"/>
          <w:szCs w:val="20"/>
        </w:rPr>
        <w:t xml:space="preserve">proceedings were </w:t>
      </w:r>
      <w:r w:rsidR="00793977" w:rsidRPr="00FE1DAC">
        <w:rPr>
          <w:rFonts w:asciiTheme="majorHAnsi" w:hAnsiTheme="majorHAnsi"/>
          <w:bCs/>
          <w:sz w:val="20"/>
          <w:szCs w:val="20"/>
        </w:rPr>
        <w:t xml:space="preserve">initially </w:t>
      </w:r>
      <w:r w:rsidR="00B47F6C">
        <w:rPr>
          <w:rFonts w:asciiTheme="majorHAnsi" w:hAnsiTheme="majorHAnsi"/>
          <w:bCs/>
          <w:sz w:val="20"/>
          <w:szCs w:val="20"/>
        </w:rPr>
        <w:t xml:space="preserve">conducted by </w:t>
      </w:r>
      <w:r w:rsidR="00793977" w:rsidRPr="00FE1DAC">
        <w:rPr>
          <w:rFonts w:asciiTheme="majorHAnsi" w:hAnsiTheme="majorHAnsi"/>
          <w:bCs/>
          <w:sz w:val="20"/>
          <w:szCs w:val="20"/>
        </w:rPr>
        <w:t xml:space="preserve">the military criminal justice system, that </w:t>
      </w:r>
      <w:r w:rsidR="00B47F6C">
        <w:rPr>
          <w:rFonts w:asciiTheme="majorHAnsi" w:hAnsiTheme="majorHAnsi"/>
          <w:bCs/>
          <w:sz w:val="20"/>
          <w:szCs w:val="20"/>
        </w:rPr>
        <w:t xml:space="preserve">not </w:t>
      </w:r>
      <w:r w:rsidR="00793977" w:rsidRPr="00FE1DAC">
        <w:rPr>
          <w:rFonts w:asciiTheme="majorHAnsi" w:hAnsiTheme="majorHAnsi"/>
          <w:bCs/>
          <w:sz w:val="20"/>
          <w:szCs w:val="20"/>
        </w:rPr>
        <w:t xml:space="preserve">all </w:t>
      </w:r>
      <w:r w:rsidR="00B47F6C">
        <w:rPr>
          <w:rFonts w:asciiTheme="majorHAnsi" w:hAnsiTheme="majorHAnsi"/>
          <w:bCs/>
          <w:sz w:val="20"/>
          <w:szCs w:val="20"/>
        </w:rPr>
        <w:t xml:space="preserve">of </w:t>
      </w:r>
      <w:r w:rsidR="00793977" w:rsidRPr="00FE1DAC">
        <w:rPr>
          <w:rFonts w:asciiTheme="majorHAnsi" w:hAnsiTheme="majorHAnsi"/>
          <w:bCs/>
          <w:sz w:val="20"/>
          <w:szCs w:val="20"/>
        </w:rPr>
        <w:t>the alleged perpetrators</w:t>
      </w:r>
      <w:r w:rsidR="00B47F6C">
        <w:rPr>
          <w:rFonts w:asciiTheme="majorHAnsi" w:hAnsiTheme="majorHAnsi"/>
          <w:bCs/>
          <w:sz w:val="20"/>
          <w:szCs w:val="20"/>
        </w:rPr>
        <w:t xml:space="preserve"> had been brought to the investigation</w:t>
      </w:r>
      <w:r w:rsidR="00793977" w:rsidRPr="00FE1DAC">
        <w:rPr>
          <w:rFonts w:asciiTheme="majorHAnsi" w:hAnsiTheme="majorHAnsi"/>
          <w:bCs/>
          <w:sz w:val="20"/>
          <w:szCs w:val="20"/>
        </w:rPr>
        <w:t xml:space="preserve">, and that </w:t>
      </w:r>
      <w:r w:rsidR="00B47F6C">
        <w:rPr>
          <w:rFonts w:asciiTheme="majorHAnsi" w:hAnsiTheme="majorHAnsi"/>
          <w:bCs/>
          <w:sz w:val="20"/>
          <w:szCs w:val="20"/>
        </w:rPr>
        <w:t xml:space="preserve">neither </w:t>
      </w:r>
      <w:r w:rsidR="00793977" w:rsidRPr="00FE1DAC">
        <w:rPr>
          <w:rFonts w:asciiTheme="majorHAnsi" w:hAnsiTheme="majorHAnsi"/>
          <w:bCs/>
          <w:sz w:val="20"/>
          <w:szCs w:val="20"/>
        </w:rPr>
        <w:t xml:space="preserve">the attempted murder of Freddy Torres </w:t>
      </w:r>
      <w:r w:rsidR="00B47F6C">
        <w:rPr>
          <w:rFonts w:asciiTheme="majorHAnsi" w:hAnsiTheme="majorHAnsi"/>
          <w:bCs/>
          <w:sz w:val="20"/>
          <w:szCs w:val="20"/>
        </w:rPr>
        <w:t xml:space="preserve">nor </w:t>
      </w:r>
      <w:r w:rsidR="00793977" w:rsidRPr="00FE1DAC">
        <w:rPr>
          <w:rFonts w:asciiTheme="majorHAnsi" w:hAnsiTheme="majorHAnsi"/>
          <w:bCs/>
          <w:sz w:val="20"/>
          <w:szCs w:val="20"/>
        </w:rPr>
        <w:t xml:space="preserve">the internal displacement of the relatives </w:t>
      </w:r>
      <w:r w:rsidR="00B47F6C">
        <w:rPr>
          <w:rFonts w:asciiTheme="majorHAnsi" w:hAnsiTheme="majorHAnsi"/>
          <w:bCs/>
          <w:sz w:val="20"/>
          <w:szCs w:val="20"/>
        </w:rPr>
        <w:t xml:space="preserve">of both of them </w:t>
      </w:r>
      <w:r w:rsidR="00793977" w:rsidRPr="00FE1DAC">
        <w:rPr>
          <w:rFonts w:asciiTheme="majorHAnsi" w:hAnsiTheme="majorHAnsi"/>
          <w:bCs/>
          <w:sz w:val="20"/>
          <w:szCs w:val="20"/>
        </w:rPr>
        <w:t>were being investigated.</w:t>
      </w:r>
    </w:p>
    <w:p w14:paraId="1A461021" w14:textId="77777777" w:rsidR="00B47F6C" w:rsidRDefault="00B47F6C" w:rsidP="00B47F6C">
      <w:pPr>
        <w:ind w:firstLine="360"/>
        <w:jc w:val="both"/>
        <w:rPr>
          <w:rFonts w:asciiTheme="majorHAnsi" w:hAnsiTheme="majorHAnsi"/>
          <w:bCs/>
          <w:sz w:val="20"/>
          <w:szCs w:val="20"/>
        </w:rPr>
      </w:pPr>
    </w:p>
    <w:p w14:paraId="07BF18FC" w14:textId="77777777" w:rsidR="00FE262A" w:rsidRDefault="00B47F6C" w:rsidP="00FE262A">
      <w:pPr>
        <w:ind w:firstLine="360"/>
        <w:jc w:val="both"/>
        <w:rPr>
          <w:rFonts w:asciiTheme="majorHAnsi" w:hAnsiTheme="majorHAnsi"/>
          <w:bCs/>
          <w:sz w:val="20"/>
          <w:szCs w:val="20"/>
        </w:rPr>
      </w:pPr>
      <w:r>
        <w:rPr>
          <w:rFonts w:asciiTheme="majorHAnsi" w:hAnsiTheme="majorHAnsi"/>
          <w:bCs/>
          <w:sz w:val="20"/>
          <w:szCs w:val="20"/>
        </w:rPr>
        <w:t xml:space="preserve">7. </w:t>
      </w:r>
      <w:r w:rsidR="009921B6" w:rsidRPr="00B47F6C">
        <w:rPr>
          <w:rFonts w:asciiTheme="majorHAnsi" w:hAnsiTheme="majorHAnsi"/>
          <w:bCs/>
          <w:sz w:val="20"/>
          <w:szCs w:val="20"/>
        </w:rPr>
        <w:t>In sum, the petitioners argue that the State is internationally responsible for: (</w:t>
      </w:r>
      <w:proofErr w:type="spellStart"/>
      <w:r w:rsidR="009921B6" w:rsidRPr="00B47F6C">
        <w:rPr>
          <w:rFonts w:asciiTheme="majorHAnsi" w:hAnsiTheme="majorHAnsi"/>
          <w:bCs/>
          <w:sz w:val="20"/>
          <w:szCs w:val="20"/>
        </w:rPr>
        <w:t>i</w:t>
      </w:r>
      <w:proofErr w:type="spellEnd"/>
      <w:r w:rsidR="009921B6" w:rsidRPr="00B47F6C">
        <w:rPr>
          <w:rFonts w:asciiTheme="majorHAnsi" w:hAnsiTheme="majorHAnsi"/>
          <w:bCs/>
          <w:sz w:val="20"/>
          <w:szCs w:val="20"/>
        </w:rPr>
        <w:t xml:space="preserve">) a state policy of extrajudicial executions; (ii) the extrajudicial execution of </w:t>
      </w:r>
      <w:proofErr w:type="spellStart"/>
      <w:r w:rsidR="009921B6" w:rsidRPr="00B47F6C">
        <w:rPr>
          <w:rFonts w:asciiTheme="majorHAnsi" w:hAnsiTheme="majorHAnsi"/>
          <w:bCs/>
          <w:sz w:val="20"/>
          <w:szCs w:val="20"/>
        </w:rPr>
        <w:t>Helvir</w:t>
      </w:r>
      <w:proofErr w:type="spellEnd"/>
      <w:r w:rsidR="009921B6" w:rsidRPr="00B47F6C">
        <w:rPr>
          <w:rFonts w:asciiTheme="majorHAnsi" w:hAnsiTheme="majorHAnsi"/>
          <w:bCs/>
          <w:sz w:val="20"/>
          <w:szCs w:val="20"/>
        </w:rPr>
        <w:t xml:space="preserve"> Antonio Torres by members of the Army </w:t>
      </w:r>
      <w:r w:rsidR="00FE262A">
        <w:rPr>
          <w:rFonts w:asciiTheme="majorHAnsi" w:hAnsiTheme="majorHAnsi"/>
          <w:bCs/>
          <w:sz w:val="20"/>
          <w:szCs w:val="20"/>
        </w:rPr>
        <w:t xml:space="preserve">so as to later present </w:t>
      </w:r>
      <w:r w:rsidR="009921B6" w:rsidRPr="00B47F6C">
        <w:rPr>
          <w:rFonts w:asciiTheme="majorHAnsi" w:hAnsiTheme="majorHAnsi"/>
          <w:bCs/>
          <w:sz w:val="20"/>
          <w:szCs w:val="20"/>
        </w:rPr>
        <w:t xml:space="preserve">his body as that of a guerrilla killed in combat; (iii) the attempted extrajudicial execution of Freddy Torres by agents of the Public Force; (iv) </w:t>
      </w:r>
      <w:r w:rsidR="00FE262A">
        <w:rPr>
          <w:rFonts w:asciiTheme="majorHAnsi" w:hAnsiTheme="majorHAnsi"/>
          <w:bCs/>
          <w:sz w:val="20"/>
          <w:szCs w:val="20"/>
        </w:rPr>
        <w:t xml:space="preserve">the </w:t>
      </w:r>
      <w:r w:rsidR="009921B6" w:rsidRPr="00B47F6C">
        <w:rPr>
          <w:rFonts w:asciiTheme="majorHAnsi" w:hAnsiTheme="majorHAnsi"/>
          <w:bCs/>
          <w:sz w:val="20"/>
          <w:szCs w:val="20"/>
        </w:rPr>
        <w:t xml:space="preserve">impunity </w:t>
      </w:r>
      <w:r w:rsidR="00FE262A">
        <w:rPr>
          <w:rFonts w:asciiTheme="majorHAnsi" w:hAnsiTheme="majorHAnsi"/>
          <w:bCs/>
          <w:sz w:val="20"/>
          <w:szCs w:val="20"/>
        </w:rPr>
        <w:t xml:space="preserve">surrounding the facts </w:t>
      </w:r>
      <w:r w:rsidR="009921B6" w:rsidRPr="00B47F6C">
        <w:rPr>
          <w:rFonts w:asciiTheme="majorHAnsi" w:hAnsiTheme="majorHAnsi"/>
          <w:bCs/>
          <w:sz w:val="20"/>
          <w:szCs w:val="20"/>
        </w:rPr>
        <w:t xml:space="preserve">due to lack of progress in the criminal investigation and lack of </w:t>
      </w:r>
      <w:r w:rsidR="00FE262A">
        <w:rPr>
          <w:rFonts w:asciiTheme="majorHAnsi" w:hAnsiTheme="majorHAnsi"/>
          <w:bCs/>
          <w:sz w:val="20"/>
          <w:szCs w:val="20"/>
        </w:rPr>
        <w:t xml:space="preserve">investigation </w:t>
      </w:r>
      <w:r w:rsidR="009921B6" w:rsidRPr="00B47F6C">
        <w:rPr>
          <w:rFonts w:asciiTheme="majorHAnsi" w:hAnsiTheme="majorHAnsi"/>
          <w:bCs/>
          <w:sz w:val="20"/>
          <w:szCs w:val="20"/>
        </w:rPr>
        <w:t xml:space="preserve">of all those responsible, with the consequent lack of </w:t>
      </w:r>
      <w:r w:rsidR="00FE262A">
        <w:rPr>
          <w:rFonts w:asciiTheme="majorHAnsi" w:hAnsiTheme="majorHAnsi"/>
          <w:bCs/>
          <w:sz w:val="20"/>
          <w:szCs w:val="20"/>
        </w:rPr>
        <w:t xml:space="preserve">full </w:t>
      </w:r>
      <w:r w:rsidR="009921B6" w:rsidRPr="00B47F6C">
        <w:rPr>
          <w:rFonts w:asciiTheme="majorHAnsi" w:hAnsiTheme="majorHAnsi"/>
          <w:bCs/>
          <w:sz w:val="20"/>
          <w:szCs w:val="20"/>
        </w:rPr>
        <w:lastRenderedPageBreak/>
        <w:t>reparation</w:t>
      </w:r>
      <w:r w:rsidR="00FE262A">
        <w:rPr>
          <w:rFonts w:asciiTheme="majorHAnsi" w:hAnsiTheme="majorHAnsi"/>
          <w:bCs/>
          <w:sz w:val="20"/>
          <w:szCs w:val="20"/>
        </w:rPr>
        <w:t>s</w:t>
      </w:r>
      <w:r w:rsidR="009921B6" w:rsidRPr="00B47F6C">
        <w:rPr>
          <w:rFonts w:asciiTheme="majorHAnsi" w:hAnsiTheme="majorHAnsi"/>
          <w:bCs/>
          <w:sz w:val="20"/>
          <w:szCs w:val="20"/>
        </w:rPr>
        <w:t xml:space="preserve"> </w:t>
      </w:r>
      <w:r w:rsidR="00FE262A">
        <w:rPr>
          <w:rFonts w:asciiTheme="majorHAnsi" w:hAnsiTheme="majorHAnsi"/>
          <w:bCs/>
          <w:sz w:val="20"/>
          <w:szCs w:val="20"/>
        </w:rPr>
        <w:t xml:space="preserve">for </w:t>
      </w:r>
      <w:r w:rsidR="009921B6" w:rsidRPr="00B47F6C">
        <w:rPr>
          <w:rFonts w:asciiTheme="majorHAnsi" w:hAnsiTheme="majorHAnsi"/>
          <w:bCs/>
          <w:sz w:val="20"/>
          <w:szCs w:val="20"/>
        </w:rPr>
        <w:t xml:space="preserve">the victims; (v) the forced displacement of Freddy Torres as a result of the attack </w:t>
      </w:r>
      <w:r w:rsidR="00FE262A">
        <w:rPr>
          <w:rFonts w:asciiTheme="majorHAnsi" w:hAnsiTheme="majorHAnsi"/>
          <w:bCs/>
          <w:sz w:val="20"/>
          <w:szCs w:val="20"/>
        </w:rPr>
        <w:t xml:space="preserve">out of </w:t>
      </w:r>
      <w:r w:rsidR="009921B6" w:rsidRPr="00B47F6C">
        <w:rPr>
          <w:rFonts w:asciiTheme="majorHAnsi" w:hAnsiTheme="majorHAnsi"/>
          <w:bCs/>
          <w:sz w:val="20"/>
          <w:szCs w:val="20"/>
        </w:rPr>
        <w:t xml:space="preserve">fear that it </w:t>
      </w:r>
      <w:r w:rsidR="00FE262A">
        <w:rPr>
          <w:rFonts w:asciiTheme="majorHAnsi" w:hAnsiTheme="majorHAnsi"/>
          <w:bCs/>
          <w:sz w:val="20"/>
          <w:szCs w:val="20"/>
        </w:rPr>
        <w:t xml:space="preserve">could </w:t>
      </w:r>
      <w:r w:rsidR="009921B6" w:rsidRPr="00B47F6C">
        <w:rPr>
          <w:rFonts w:asciiTheme="majorHAnsi" w:hAnsiTheme="majorHAnsi"/>
          <w:bCs/>
          <w:sz w:val="20"/>
          <w:szCs w:val="20"/>
        </w:rPr>
        <w:t xml:space="preserve">be repeated, and </w:t>
      </w:r>
      <w:r w:rsidR="00FE262A">
        <w:rPr>
          <w:rFonts w:asciiTheme="majorHAnsi" w:hAnsiTheme="majorHAnsi"/>
          <w:bCs/>
          <w:sz w:val="20"/>
          <w:szCs w:val="20"/>
        </w:rPr>
        <w:t xml:space="preserve">the </w:t>
      </w:r>
      <w:r w:rsidR="009921B6" w:rsidRPr="00B47F6C">
        <w:rPr>
          <w:rFonts w:asciiTheme="majorHAnsi" w:hAnsiTheme="majorHAnsi"/>
          <w:bCs/>
          <w:sz w:val="20"/>
          <w:szCs w:val="20"/>
        </w:rPr>
        <w:t xml:space="preserve">subsequent </w:t>
      </w:r>
      <w:r w:rsidR="00FE262A">
        <w:rPr>
          <w:rFonts w:asciiTheme="majorHAnsi" w:hAnsiTheme="majorHAnsi"/>
          <w:bCs/>
          <w:sz w:val="20"/>
          <w:szCs w:val="20"/>
        </w:rPr>
        <w:t xml:space="preserve">followings </w:t>
      </w:r>
      <w:r w:rsidR="009921B6" w:rsidRPr="00B47F6C">
        <w:rPr>
          <w:rFonts w:asciiTheme="majorHAnsi" w:hAnsiTheme="majorHAnsi"/>
          <w:bCs/>
          <w:sz w:val="20"/>
          <w:szCs w:val="20"/>
        </w:rPr>
        <w:t>and pressure</w:t>
      </w:r>
      <w:r w:rsidR="00FE262A">
        <w:rPr>
          <w:rFonts w:asciiTheme="majorHAnsi" w:hAnsiTheme="majorHAnsi"/>
          <w:bCs/>
          <w:sz w:val="20"/>
          <w:szCs w:val="20"/>
        </w:rPr>
        <w:t>s</w:t>
      </w:r>
      <w:r w:rsidR="009921B6" w:rsidRPr="00B47F6C">
        <w:rPr>
          <w:rFonts w:asciiTheme="majorHAnsi" w:hAnsiTheme="majorHAnsi"/>
          <w:bCs/>
          <w:sz w:val="20"/>
          <w:szCs w:val="20"/>
        </w:rPr>
        <w:t xml:space="preserve"> that</w:t>
      </w:r>
      <w:r w:rsidR="00FE262A">
        <w:rPr>
          <w:rFonts w:asciiTheme="majorHAnsi" w:hAnsiTheme="majorHAnsi"/>
          <w:bCs/>
          <w:sz w:val="20"/>
          <w:szCs w:val="20"/>
        </w:rPr>
        <w:t>,</w:t>
      </w:r>
      <w:r w:rsidR="009921B6" w:rsidRPr="00B47F6C">
        <w:rPr>
          <w:rFonts w:asciiTheme="majorHAnsi" w:hAnsiTheme="majorHAnsi"/>
          <w:bCs/>
          <w:sz w:val="20"/>
          <w:szCs w:val="20"/>
        </w:rPr>
        <w:t xml:space="preserve"> in his perception</w:t>
      </w:r>
      <w:r w:rsidR="00FE262A">
        <w:rPr>
          <w:rFonts w:asciiTheme="majorHAnsi" w:hAnsiTheme="majorHAnsi"/>
          <w:bCs/>
          <w:sz w:val="20"/>
          <w:szCs w:val="20"/>
        </w:rPr>
        <w:t>,</w:t>
      </w:r>
      <w:r w:rsidR="009921B6" w:rsidRPr="00B47F6C">
        <w:rPr>
          <w:rFonts w:asciiTheme="majorHAnsi" w:hAnsiTheme="majorHAnsi"/>
          <w:bCs/>
          <w:sz w:val="20"/>
          <w:szCs w:val="20"/>
        </w:rPr>
        <w:t xml:space="preserve"> crossed the threshold of severity </w:t>
      </w:r>
      <w:r w:rsidR="00FE262A">
        <w:rPr>
          <w:rFonts w:asciiTheme="majorHAnsi" w:hAnsiTheme="majorHAnsi"/>
          <w:bCs/>
          <w:sz w:val="20"/>
          <w:szCs w:val="20"/>
        </w:rPr>
        <w:t xml:space="preserve">for </w:t>
      </w:r>
      <w:r w:rsidR="009921B6" w:rsidRPr="00B47F6C">
        <w:rPr>
          <w:rFonts w:asciiTheme="majorHAnsi" w:hAnsiTheme="majorHAnsi"/>
          <w:bCs/>
          <w:sz w:val="20"/>
          <w:szCs w:val="20"/>
        </w:rPr>
        <w:t>torture; and (vi) the subsequent internal displacement of the next</w:t>
      </w:r>
      <w:r w:rsidR="00FE262A">
        <w:rPr>
          <w:rFonts w:asciiTheme="majorHAnsi" w:hAnsiTheme="majorHAnsi"/>
          <w:bCs/>
          <w:sz w:val="20"/>
          <w:szCs w:val="20"/>
        </w:rPr>
        <w:t>-</w:t>
      </w:r>
      <w:r w:rsidR="009921B6" w:rsidRPr="00B47F6C">
        <w:rPr>
          <w:rFonts w:asciiTheme="majorHAnsi" w:hAnsiTheme="majorHAnsi"/>
          <w:bCs/>
          <w:sz w:val="20"/>
          <w:szCs w:val="20"/>
        </w:rPr>
        <w:t>of</w:t>
      </w:r>
      <w:r w:rsidR="00FE262A">
        <w:rPr>
          <w:rFonts w:asciiTheme="majorHAnsi" w:hAnsiTheme="majorHAnsi"/>
          <w:bCs/>
          <w:sz w:val="20"/>
          <w:szCs w:val="20"/>
        </w:rPr>
        <w:t>-</w:t>
      </w:r>
      <w:r w:rsidR="009921B6" w:rsidRPr="00B47F6C">
        <w:rPr>
          <w:rFonts w:asciiTheme="majorHAnsi" w:hAnsiTheme="majorHAnsi"/>
          <w:bCs/>
          <w:sz w:val="20"/>
          <w:szCs w:val="20"/>
        </w:rPr>
        <w:t xml:space="preserve">kin of Freddy Torres and </w:t>
      </w:r>
      <w:proofErr w:type="spellStart"/>
      <w:r w:rsidR="009921B6" w:rsidRPr="00B47F6C">
        <w:rPr>
          <w:rFonts w:asciiTheme="majorHAnsi" w:hAnsiTheme="majorHAnsi"/>
          <w:bCs/>
          <w:sz w:val="20"/>
          <w:szCs w:val="20"/>
        </w:rPr>
        <w:t>Helvir</w:t>
      </w:r>
      <w:proofErr w:type="spellEnd"/>
      <w:r w:rsidR="009921B6" w:rsidRPr="00B47F6C">
        <w:rPr>
          <w:rFonts w:asciiTheme="majorHAnsi" w:hAnsiTheme="majorHAnsi"/>
          <w:bCs/>
          <w:sz w:val="20"/>
          <w:szCs w:val="20"/>
        </w:rPr>
        <w:t xml:space="preserve"> Antonio Torres, as a consequence of these events.</w:t>
      </w:r>
    </w:p>
    <w:p w14:paraId="0DBA54BD" w14:textId="77777777" w:rsidR="00FE262A" w:rsidRDefault="00FE262A" w:rsidP="00FE262A">
      <w:pPr>
        <w:ind w:firstLine="360"/>
        <w:jc w:val="both"/>
        <w:rPr>
          <w:rFonts w:asciiTheme="majorHAnsi" w:hAnsiTheme="majorHAnsi"/>
          <w:bCs/>
          <w:sz w:val="20"/>
          <w:szCs w:val="20"/>
        </w:rPr>
      </w:pPr>
    </w:p>
    <w:p w14:paraId="25A8FBBA" w14:textId="77777777" w:rsidR="00455316" w:rsidRDefault="00FE262A" w:rsidP="00455316">
      <w:pPr>
        <w:ind w:firstLine="360"/>
        <w:jc w:val="both"/>
        <w:rPr>
          <w:rFonts w:asciiTheme="majorHAnsi" w:hAnsiTheme="majorHAnsi"/>
          <w:bCs/>
          <w:sz w:val="20"/>
          <w:szCs w:val="20"/>
        </w:rPr>
      </w:pPr>
      <w:r>
        <w:rPr>
          <w:rFonts w:asciiTheme="majorHAnsi" w:hAnsiTheme="majorHAnsi"/>
          <w:bCs/>
          <w:sz w:val="20"/>
          <w:szCs w:val="20"/>
        </w:rPr>
        <w:t xml:space="preserve">8. </w:t>
      </w:r>
      <w:r w:rsidR="009921B6" w:rsidRPr="00FE262A">
        <w:rPr>
          <w:rFonts w:asciiTheme="majorHAnsi" w:hAnsiTheme="majorHAnsi"/>
          <w:bCs/>
          <w:sz w:val="20"/>
          <w:szCs w:val="20"/>
        </w:rPr>
        <w:t xml:space="preserve">The State, in its </w:t>
      </w:r>
      <w:r w:rsidR="00455316">
        <w:rPr>
          <w:rFonts w:asciiTheme="majorHAnsi" w:hAnsiTheme="majorHAnsi"/>
          <w:bCs/>
          <w:sz w:val="20"/>
          <w:szCs w:val="20"/>
        </w:rPr>
        <w:t>response</w:t>
      </w:r>
      <w:r w:rsidR="009921B6" w:rsidRPr="00FE262A">
        <w:rPr>
          <w:rFonts w:asciiTheme="majorHAnsi" w:hAnsiTheme="majorHAnsi"/>
          <w:bCs/>
          <w:sz w:val="20"/>
          <w:szCs w:val="20"/>
        </w:rPr>
        <w:t xml:space="preserve">, </w:t>
      </w:r>
      <w:r w:rsidR="00455316">
        <w:rPr>
          <w:rFonts w:asciiTheme="majorHAnsi" w:hAnsiTheme="majorHAnsi"/>
          <w:bCs/>
          <w:sz w:val="20"/>
          <w:szCs w:val="20"/>
        </w:rPr>
        <w:t xml:space="preserve">holds </w:t>
      </w:r>
      <w:r w:rsidR="009921B6" w:rsidRPr="00FE262A">
        <w:rPr>
          <w:rFonts w:asciiTheme="majorHAnsi" w:hAnsiTheme="majorHAnsi"/>
          <w:bCs/>
          <w:sz w:val="20"/>
          <w:szCs w:val="20"/>
        </w:rPr>
        <w:t xml:space="preserve">that the petition </w:t>
      </w:r>
      <w:r w:rsidR="00455316">
        <w:rPr>
          <w:rFonts w:asciiTheme="majorHAnsi" w:hAnsiTheme="majorHAnsi"/>
          <w:bCs/>
          <w:sz w:val="20"/>
          <w:szCs w:val="20"/>
        </w:rPr>
        <w:t xml:space="preserve">must </w:t>
      </w:r>
      <w:r w:rsidR="009921B6" w:rsidRPr="00FE262A">
        <w:rPr>
          <w:rFonts w:asciiTheme="majorHAnsi" w:hAnsiTheme="majorHAnsi"/>
          <w:bCs/>
          <w:sz w:val="20"/>
          <w:szCs w:val="20"/>
        </w:rPr>
        <w:t xml:space="preserve">be declared inadmissible because Colombia has already </w:t>
      </w:r>
      <w:r w:rsidR="00455316">
        <w:rPr>
          <w:rFonts w:asciiTheme="majorHAnsi" w:hAnsiTheme="majorHAnsi"/>
          <w:bCs/>
          <w:sz w:val="20"/>
          <w:szCs w:val="20"/>
        </w:rPr>
        <w:t xml:space="preserve">given reparations to </w:t>
      </w:r>
      <w:r w:rsidR="009921B6" w:rsidRPr="00FE262A">
        <w:rPr>
          <w:rFonts w:asciiTheme="majorHAnsi" w:hAnsiTheme="majorHAnsi"/>
          <w:bCs/>
          <w:sz w:val="20"/>
          <w:szCs w:val="20"/>
        </w:rPr>
        <w:t>the victims in this case</w:t>
      </w:r>
      <w:r w:rsidR="00455316">
        <w:rPr>
          <w:rFonts w:asciiTheme="majorHAnsi" w:hAnsiTheme="majorHAnsi"/>
          <w:bCs/>
          <w:sz w:val="20"/>
          <w:szCs w:val="20"/>
        </w:rPr>
        <w:t>,</w:t>
      </w:r>
      <w:r w:rsidR="009921B6" w:rsidRPr="00FE262A">
        <w:rPr>
          <w:rFonts w:asciiTheme="majorHAnsi" w:hAnsiTheme="majorHAnsi"/>
          <w:bCs/>
          <w:sz w:val="20"/>
          <w:szCs w:val="20"/>
        </w:rPr>
        <w:t xml:space="preserve"> </w:t>
      </w:r>
      <w:r w:rsidR="00455316">
        <w:rPr>
          <w:rFonts w:asciiTheme="majorHAnsi" w:hAnsiTheme="majorHAnsi"/>
          <w:bCs/>
          <w:sz w:val="20"/>
          <w:szCs w:val="20"/>
        </w:rPr>
        <w:t xml:space="preserve">in compliance with </w:t>
      </w:r>
      <w:r w:rsidR="009921B6" w:rsidRPr="00FE262A">
        <w:rPr>
          <w:rFonts w:asciiTheme="majorHAnsi" w:hAnsiTheme="majorHAnsi"/>
          <w:bCs/>
          <w:sz w:val="20"/>
          <w:szCs w:val="20"/>
        </w:rPr>
        <w:t xml:space="preserve">a </w:t>
      </w:r>
      <w:r w:rsidR="00455316">
        <w:rPr>
          <w:rFonts w:asciiTheme="majorHAnsi" w:hAnsiTheme="majorHAnsi"/>
          <w:bCs/>
          <w:sz w:val="20"/>
          <w:szCs w:val="20"/>
        </w:rPr>
        <w:t xml:space="preserve">judicial </w:t>
      </w:r>
      <w:r w:rsidR="009921B6" w:rsidRPr="00FE262A">
        <w:rPr>
          <w:rFonts w:asciiTheme="majorHAnsi" w:hAnsiTheme="majorHAnsi"/>
          <w:bCs/>
          <w:sz w:val="20"/>
          <w:szCs w:val="20"/>
        </w:rPr>
        <w:t xml:space="preserve">order, and because the domestic criminal justice system is currently </w:t>
      </w:r>
      <w:r w:rsidR="00455316">
        <w:rPr>
          <w:rFonts w:asciiTheme="majorHAnsi" w:hAnsiTheme="majorHAnsi"/>
          <w:bCs/>
          <w:sz w:val="20"/>
          <w:szCs w:val="20"/>
        </w:rPr>
        <w:t xml:space="preserve">advancing </w:t>
      </w:r>
      <w:r w:rsidR="009921B6" w:rsidRPr="00FE262A">
        <w:rPr>
          <w:rFonts w:asciiTheme="majorHAnsi" w:hAnsiTheme="majorHAnsi"/>
          <w:bCs/>
          <w:sz w:val="20"/>
          <w:szCs w:val="20"/>
        </w:rPr>
        <w:t>in the corresponding investigative and judicial processes.</w:t>
      </w:r>
    </w:p>
    <w:p w14:paraId="18AB003D" w14:textId="77777777" w:rsidR="00455316" w:rsidRDefault="00455316" w:rsidP="00455316">
      <w:pPr>
        <w:ind w:firstLine="360"/>
        <w:jc w:val="both"/>
        <w:rPr>
          <w:rFonts w:asciiTheme="majorHAnsi" w:hAnsiTheme="majorHAnsi"/>
          <w:bCs/>
          <w:sz w:val="20"/>
          <w:szCs w:val="20"/>
        </w:rPr>
      </w:pPr>
    </w:p>
    <w:p w14:paraId="6BBE0F2D" w14:textId="5FFE0302" w:rsidR="009921B6" w:rsidRPr="00455316" w:rsidRDefault="00455316" w:rsidP="00455316">
      <w:pPr>
        <w:ind w:firstLine="360"/>
        <w:jc w:val="both"/>
        <w:rPr>
          <w:rFonts w:asciiTheme="majorHAnsi" w:hAnsiTheme="majorHAnsi"/>
          <w:bCs/>
          <w:sz w:val="20"/>
          <w:szCs w:val="20"/>
        </w:rPr>
      </w:pPr>
      <w:r>
        <w:rPr>
          <w:rFonts w:asciiTheme="majorHAnsi" w:hAnsiTheme="majorHAnsi"/>
          <w:bCs/>
          <w:sz w:val="20"/>
          <w:szCs w:val="20"/>
        </w:rPr>
        <w:t>9. In the f</w:t>
      </w:r>
      <w:r w:rsidR="009921B6" w:rsidRPr="00455316">
        <w:rPr>
          <w:rFonts w:asciiTheme="majorHAnsi" w:hAnsiTheme="majorHAnsi"/>
          <w:bCs/>
          <w:sz w:val="20"/>
          <w:szCs w:val="20"/>
        </w:rPr>
        <w:t>irst</w:t>
      </w:r>
      <w:r>
        <w:rPr>
          <w:rFonts w:asciiTheme="majorHAnsi" w:hAnsiTheme="majorHAnsi"/>
          <w:bCs/>
          <w:sz w:val="20"/>
          <w:szCs w:val="20"/>
        </w:rPr>
        <w:t xml:space="preserve"> place</w:t>
      </w:r>
      <w:r w:rsidR="009921B6" w:rsidRPr="00455316">
        <w:rPr>
          <w:rFonts w:asciiTheme="majorHAnsi" w:hAnsiTheme="majorHAnsi"/>
          <w:bCs/>
          <w:sz w:val="20"/>
          <w:szCs w:val="20"/>
        </w:rPr>
        <w:t xml:space="preserve">, the State reports that on October 16, 2008, Freddy Torres, his </w:t>
      </w:r>
      <w:r>
        <w:rPr>
          <w:rFonts w:asciiTheme="majorHAnsi" w:hAnsiTheme="majorHAnsi"/>
          <w:bCs/>
          <w:sz w:val="20"/>
          <w:szCs w:val="20"/>
        </w:rPr>
        <w:t>relatives</w:t>
      </w:r>
      <w:r w:rsidR="009921B6" w:rsidRPr="00455316">
        <w:rPr>
          <w:rFonts w:asciiTheme="majorHAnsi" w:hAnsiTheme="majorHAnsi"/>
          <w:bCs/>
          <w:sz w:val="20"/>
          <w:szCs w:val="20"/>
        </w:rPr>
        <w:t xml:space="preserve">, and the </w:t>
      </w:r>
      <w:r>
        <w:rPr>
          <w:rFonts w:asciiTheme="majorHAnsi" w:hAnsiTheme="majorHAnsi"/>
          <w:bCs/>
          <w:sz w:val="20"/>
          <w:szCs w:val="20"/>
        </w:rPr>
        <w:t xml:space="preserve">family members </w:t>
      </w:r>
      <w:r w:rsidR="009921B6" w:rsidRPr="00455316">
        <w:rPr>
          <w:rFonts w:asciiTheme="majorHAnsi" w:hAnsiTheme="majorHAnsi"/>
          <w:bCs/>
          <w:sz w:val="20"/>
          <w:szCs w:val="20"/>
        </w:rPr>
        <w:t xml:space="preserve">of </w:t>
      </w:r>
      <w:proofErr w:type="spellStart"/>
      <w:r w:rsidR="009921B6" w:rsidRPr="00455316">
        <w:rPr>
          <w:rFonts w:asciiTheme="majorHAnsi" w:hAnsiTheme="majorHAnsi"/>
          <w:bCs/>
          <w:sz w:val="20"/>
          <w:szCs w:val="20"/>
        </w:rPr>
        <w:t>Helvir</w:t>
      </w:r>
      <w:proofErr w:type="spellEnd"/>
      <w:r w:rsidR="009921B6" w:rsidRPr="00455316">
        <w:rPr>
          <w:rFonts w:asciiTheme="majorHAnsi" w:hAnsiTheme="majorHAnsi"/>
          <w:bCs/>
          <w:sz w:val="20"/>
          <w:szCs w:val="20"/>
        </w:rPr>
        <w:t xml:space="preserve"> Antonio Torres filed a direct reparation </w:t>
      </w:r>
      <w:r>
        <w:rPr>
          <w:rFonts w:asciiTheme="majorHAnsi" w:hAnsiTheme="majorHAnsi"/>
          <w:bCs/>
          <w:sz w:val="20"/>
          <w:szCs w:val="20"/>
        </w:rPr>
        <w:t xml:space="preserve">lawsuit </w:t>
      </w:r>
      <w:r w:rsidR="009921B6" w:rsidRPr="00455316">
        <w:rPr>
          <w:rFonts w:asciiTheme="majorHAnsi" w:hAnsiTheme="majorHAnsi"/>
          <w:bCs/>
          <w:sz w:val="20"/>
          <w:szCs w:val="20"/>
        </w:rPr>
        <w:t xml:space="preserve">against the Ministry of National Defense and the National Army before the contentious-administrative jurisdiction, seeking </w:t>
      </w:r>
      <w:r>
        <w:rPr>
          <w:rFonts w:asciiTheme="majorHAnsi" w:hAnsiTheme="majorHAnsi"/>
          <w:bCs/>
          <w:sz w:val="20"/>
          <w:szCs w:val="20"/>
        </w:rPr>
        <w:t xml:space="preserve">that </w:t>
      </w:r>
      <w:r w:rsidR="009921B6" w:rsidRPr="00455316">
        <w:rPr>
          <w:rFonts w:asciiTheme="majorHAnsi" w:hAnsiTheme="majorHAnsi"/>
          <w:bCs/>
          <w:sz w:val="20"/>
          <w:szCs w:val="20"/>
        </w:rPr>
        <w:t xml:space="preserve">the Colombian State </w:t>
      </w:r>
      <w:r>
        <w:rPr>
          <w:rFonts w:asciiTheme="majorHAnsi" w:hAnsiTheme="majorHAnsi"/>
          <w:bCs/>
          <w:sz w:val="20"/>
          <w:szCs w:val="20"/>
        </w:rPr>
        <w:t xml:space="preserve">be held </w:t>
      </w:r>
      <w:r w:rsidR="009921B6" w:rsidRPr="00455316">
        <w:rPr>
          <w:rFonts w:asciiTheme="majorHAnsi" w:hAnsiTheme="majorHAnsi"/>
          <w:bCs/>
          <w:sz w:val="20"/>
          <w:szCs w:val="20"/>
        </w:rPr>
        <w:t xml:space="preserve">responsible for the extrajudicial execution of </w:t>
      </w:r>
      <w:proofErr w:type="spellStart"/>
      <w:r w:rsidR="009921B6" w:rsidRPr="00455316">
        <w:rPr>
          <w:rFonts w:asciiTheme="majorHAnsi" w:hAnsiTheme="majorHAnsi"/>
          <w:bCs/>
          <w:sz w:val="20"/>
          <w:szCs w:val="20"/>
        </w:rPr>
        <w:t>Helvir</w:t>
      </w:r>
      <w:proofErr w:type="spellEnd"/>
      <w:r w:rsidR="009921B6" w:rsidRPr="00455316">
        <w:rPr>
          <w:rFonts w:asciiTheme="majorHAnsi" w:hAnsiTheme="majorHAnsi"/>
          <w:bCs/>
          <w:sz w:val="20"/>
          <w:szCs w:val="20"/>
        </w:rPr>
        <w:t xml:space="preserve"> Antonio and the attempted murder of Freddy, as well as for the damages derived therefrom for his relatives. On July 16, 2013, the First Administrative Decongestion Court of the </w:t>
      </w:r>
      <w:proofErr w:type="spellStart"/>
      <w:r w:rsidR="009921B6" w:rsidRPr="00455316">
        <w:rPr>
          <w:rFonts w:asciiTheme="majorHAnsi" w:hAnsiTheme="majorHAnsi"/>
          <w:bCs/>
          <w:sz w:val="20"/>
          <w:szCs w:val="20"/>
        </w:rPr>
        <w:t>Girardot</w:t>
      </w:r>
      <w:proofErr w:type="spellEnd"/>
      <w:r w:rsidR="009921B6" w:rsidRPr="00455316">
        <w:rPr>
          <w:rFonts w:asciiTheme="majorHAnsi" w:hAnsiTheme="majorHAnsi"/>
          <w:bCs/>
          <w:sz w:val="20"/>
          <w:szCs w:val="20"/>
        </w:rPr>
        <w:t xml:space="preserve"> Judicial Circuit denied the claims, considering that the action had </w:t>
      </w:r>
      <w:r w:rsidR="005B5A0D">
        <w:rPr>
          <w:rFonts w:asciiTheme="majorHAnsi" w:hAnsiTheme="majorHAnsi"/>
          <w:bCs/>
          <w:sz w:val="20"/>
          <w:szCs w:val="20"/>
        </w:rPr>
        <w:t>been time-barred due to the statute of limitations</w:t>
      </w:r>
      <w:r w:rsidR="009921B6" w:rsidRPr="00455316">
        <w:rPr>
          <w:rFonts w:asciiTheme="majorHAnsi" w:hAnsiTheme="majorHAnsi"/>
          <w:bCs/>
          <w:sz w:val="20"/>
          <w:szCs w:val="20"/>
        </w:rPr>
        <w:t xml:space="preserve">, as more than two years had elapsed between the date of the events and the filing of the claim. Once this decision was appealed, it was reversed on May 7, 2015 by the Administrative Court of Cundinamarca, which decided to </w:t>
      </w:r>
      <w:r w:rsidR="005B5A0D">
        <w:rPr>
          <w:rFonts w:asciiTheme="majorHAnsi" w:hAnsiTheme="majorHAnsi"/>
          <w:bCs/>
          <w:sz w:val="20"/>
          <w:szCs w:val="20"/>
        </w:rPr>
        <w:t>declare</w:t>
      </w:r>
      <w:r w:rsidR="009921B6" w:rsidRPr="00455316">
        <w:rPr>
          <w:rFonts w:asciiTheme="majorHAnsi" w:hAnsiTheme="majorHAnsi"/>
          <w:bCs/>
          <w:sz w:val="20"/>
          <w:szCs w:val="20"/>
        </w:rPr>
        <w:t xml:space="preserve"> the Nation </w:t>
      </w:r>
      <w:r w:rsidR="005B5A0D">
        <w:rPr>
          <w:rFonts w:asciiTheme="majorHAnsi" w:hAnsiTheme="majorHAnsi"/>
          <w:bCs/>
          <w:sz w:val="20"/>
          <w:szCs w:val="20"/>
        </w:rPr>
        <w:t xml:space="preserve">responsible </w:t>
      </w:r>
      <w:r w:rsidR="009921B6" w:rsidRPr="00455316">
        <w:rPr>
          <w:rFonts w:asciiTheme="majorHAnsi" w:hAnsiTheme="majorHAnsi"/>
          <w:bCs/>
          <w:sz w:val="20"/>
          <w:szCs w:val="20"/>
        </w:rPr>
        <w:t xml:space="preserve">for the extrajudicial execution of citizen </w:t>
      </w:r>
      <w:proofErr w:type="spellStart"/>
      <w:r w:rsidR="009921B6" w:rsidRPr="00455316">
        <w:rPr>
          <w:rFonts w:asciiTheme="majorHAnsi" w:hAnsiTheme="majorHAnsi"/>
          <w:bCs/>
          <w:sz w:val="20"/>
          <w:szCs w:val="20"/>
        </w:rPr>
        <w:t>Helvir</w:t>
      </w:r>
      <w:proofErr w:type="spellEnd"/>
      <w:r w:rsidR="009921B6" w:rsidRPr="00455316">
        <w:rPr>
          <w:rFonts w:asciiTheme="majorHAnsi" w:hAnsiTheme="majorHAnsi"/>
          <w:bCs/>
          <w:sz w:val="20"/>
          <w:szCs w:val="20"/>
        </w:rPr>
        <w:t xml:space="preserve"> Antonio Torres and his subsequent presentation as a guerrilla killed in combat; and order</w:t>
      </w:r>
      <w:r w:rsidR="00FB4EF7" w:rsidRPr="00455316">
        <w:rPr>
          <w:rFonts w:asciiTheme="majorHAnsi" w:hAnsiTheme="majorHAnsi"/>
          <w:bCs/>
          <w:sz w:val="20"/>
          <w:szCs w:val="20"/>
        </w:rPr>
        <w:t>ed</w:t>
      </w:r>
      <w:r w:rsidR="009921B6" w:rsidRPr="00455316">
        <w:rPr>
          <w:rFonts w:asciiTheme="majorHAnsi" w:hAnsiTheme="majorHAnsi"/>
          <w:bCs/>
          <w:sz w:val="20"/>
          <w:szCs w:val="20"/>
        </w:rPr>
        <w:t xml:space="preserve"> the payment of monetary compensation to </w:t>
      </w:r>
      <w:r w:rsidR="005B5A0D">
        <w:rPr>
          <w:rFonts w:asciiTheme="majorHAnsi" w:hAnsiTheme="majorHAnsi"/>
          <w:bCs/>
          <w:sz w:val="20"/>
          <w:szCs w:val="20"/>
        </w:rPr>
        <w:t>his relatives</w:t>
      </w:r>
      <w:r w:rsidR="009921B6" w:rsidRPr="00455316">
        <w:rPr>
          <w:rFonts w:asciiTheme="majorHAnsi" w:hAnsiTheme="majorHAnsi"/>
          <w:bCs/>
          <w:sz w:val="20"/>
          <w:szCs w:val="20"/>
        </w:rPr>
        <w:t xml:space="preserve">; as well as non-pecuniary measures of </w:t>
      </w:r>
      <w:r w:rsidR="005B5A0D">
        <w:rPr>
          <w:rFonts w:asciiTheme="majorHAnsi" w:hAnsiTheme="majorHAnsi"/>
          <w:bCs/>
          <w:sz w:val="20"/>
          <w:szCs w:val="20"/>
        </w:rPr>
        <w:t xml:space="preserve">reparation of the </w:t>
      </w:r>
      <w:r w:rsidR="009921B6" w:rsidRPr="00455316">
        <w:rPr>
          <w:rFonts w:asciiTheme="majorHAnsi" w:hAnsiTheme="majorHAnsi"/>
          <w:bCs/>
          <w:sz w:val="20"/>
          <w:szCs w:val="20"/>
        </w:rPr>
        <w:t>damage</w:t>
      </w:r>
      <w:r w:rsidR="005B5A0D">
        <w:rPr>
          <w:rFonts w:asciiTheme="majorHAnsi" w:hAnsiTheme="majorHAnsi"/>
          <w:bCs/>
          <w:sz w:val="20"/>
          <w:szCs w:val="20"/>
        </w:rPr>
        <w:t>s sustained</w:t>
      </w:r>
      <w:r w:rsidR="009921B6" w:rsidRPr="00455316">
        <w:rPr>
          <w:rFonts w:asciiTheme="majorHAnsi" w:hAnsiTheme="majorHAnsi"/>
          <w:bCs/>
          <w:sz w:val="20"/>
          <w:szCs w:val="20"/>
        </w:rPr>
        <w:t xml:space="preserve">, specifically a public act of acknowledgment of responsibility and request for forgiveness. The State </w:t>
      </w:r>
      <w:r w:rsidR="005B5A0D">
        <w:rPr>
          <w:rFonts w:asciiTheme="majorHAnsi" w:hAnsiTheme="majorHAnsi"/>
          <w:bCs/>
          <w:sz w:val="20"/>
          <w:szCs w:val="20"/>
        </w:rPr>
        <w:t>holds</w:t>
      </w:r>
      <w:r w:rsidR="009921B6" w:rsidRPr="00455316">
        <w:rPr>
          <w:rFonts w:asciiTheme="majorHAnsi" w:hAnsiTheme="majorHAnsi"/>
          <w:bCs/>
          <w:sz w:val="20"/>
          <w:szCs w:val="20"/>
        </w:rPr>
        <w:t xml:space="preserve"> that this ruling has already been complied with, since the pecuniary </w:t>
      </w:r>
      <w:r w:rsidR="005B5A0D">
        <w:rPr>
          <w:rFonts w:asciiTheme="majorHAnsi" w:hAnsiTheme="majorHAnsi"/>
          <w:bCs/>
          <w:sz w:val="20"/>
          <w:szCs w:val="20"/>
        </w:rPr>
        <w:t>compensations</w:t>
      </w:r>
      <w:r w:rsidR="009921B6" w:rsidRPr="00455316">
        <w:rPr>
          <w:rFonts w:asciiTheme="majorHAnsi" w:hAnsiTheme="majorHAnsi"/>
          <w:bCs/>
          <w:sz w:val="20"/>
          <w:szCs w:val="20"/>
        </w:rPr>
        <w:t xml:space="preserve"> were paid, and a public act of request for forgiveness and acknowledgment of responsibility was held on September 19, 2016, with the presence of the Vice</w:t>
      </w:r>
      <w:r w:rsidR="005B5A0D">
        <w:rPr>
          <w:rFonts w:asciiTheme="majorHAnsi" w:hAnsiTheme="majorHAnsi"/>
          <w:bCs/>
          <w:sz w:val="20"/>
          <w:szCs w:val="20"/>
        </w:rPr>
        <w:t>-m</w:t>
      </w:r>
      <w:r w:rsidR="009921B6" w:rsidRPr="00455316">
        <w:rPr>
          <w:rFonts w:asciiTheme="majorHAnsi" w:hAnsiTheme="majorHAnsi"/>
          <w:bCs/>
          <w:sz w:val="20"/>
          <w:szCs w:val="20"/>
        </w:rPr>
        <w:t>inister of Defense. In view of the foregoing, the State concludes that:</w:t>
      </w:r>
    </w:p>
    <w:p w14:paraId="75592170" w14:textId="77777777" w:rsidR="009921B6" w:rsidRPr="009921B6" w:rsidRDefault="009921B6" w:rsidP="009921B6">
      <w:pPr>
        <w:pStyle w:val="ListParagraph"/>
        <w:jc w:val="both"/>
        <w:rPr>
          <w:rFonts w:asciiTheme="majorHAnsi" w:hAnsiTheme="majorHAnsi"/>
          <w:bCs/>
          <w:sz w:val="20"/>
          <w:szCs w:val="20"/>
        </w:rPr>
      </w:pPr>
    </w:p>
    <w:p w14:paraId="15CED05C" w14:textId="1B62C4AD" w:rsidR="00BF0ABF" w:rsidRPr="005B5A0D" w:rsidRDefault="005B5A0D" w:rsidP="005B5A0D">
      <w:pPr>
        <w:ind w:left="567" w:right="713"/>
        <w:jc w:val="both"/>
        <w:rPr>
          <w:rFonts w:asciiTheme="majorHAnsi" w:hAnsiTheme="majorHAnsi"/>
          <w:bCs/>
          <w:sz w:val="18"/>
          <w:szCs w:val="18"/>
        </w:rPr>
      </w:pPr>
      <w:r w:rsidRPr="005B5A0D">
        <w:rPr>
          <w:rFonts w:asciiTheme="majorHAnsi" w:hAnsiTheme="majorHAnsi"/>
          <w:bCs/>
          <w:sz w:val="18"/>
          <w:szCs w:val="18"/>
        </w:rPr>
        <w:t xml:space="preserve">(a) </w:t>
      </w:r>
      <w:r w:rsidR="009921B6" w:rsidRPr="005B5A0D">
        <w:rPr>
          <w:rFonts w:asciiTheme="majorHAnsi" w:hAnsiTheme="majorHAnsi"/>
          <w:bCs/>
          <w:sz w:val="18"/>
          <w:szCs w:val="18"/>
        </w:rPr>
        <w:t xml:space="preserve">The adequate and effective remedies provided </w:t>
      </w:r>
      <w:r w:rsidR="00FB4EF7" w:rsidRPr="005B5A0D">
        <w:rPr>
          <w:rFonts w:asciiTheme="majorHAnsi" w:hAnsiTheme="majorHAnsi"/>
          <w:bCs/>
          <w:sz w:val="18"/>
          <w:szCs w:val="18"/>
        </w:rPr>
        <w:t>by</w:t>
      </w:r>
      <w:r w:rsidR="009921B6" w:rsidRPr="005B5A0D">
        <w:rPr>
          <w:rFonts w:asciiTheme="majorHAnsi" w:hAnsiTheme="majorHAnsi"/>
          <w:bCs/>
          <w:sz w:val="18"/>
          <w:szCs w:val="18"/>
        </w:rPr>
        <w:t xml:space="preserve"> </w:t>
      </w:r>
      <w:r>
        <w:rPr>
          <w:rFonts w:asciiTheme="majorHAnsi" w:hAnsiTheme="majorHAnsi"/>
          <w:bCs/>
          <w:sz w:val="18"/>
          <w:szCs w:val="18"/>
        </w:rPr>
        <w:t xml:space="preserve">the </w:t>
      </w:r>
      <w:r w:rsidR="009921B6" w:rsidRPr="005B5A0D">
        <w:rPr>
          <w:rFonts w:asciiTheme="majorHAnsi" w:hAnsiTheme="majorHAnsi"/>
          <w:bCs/>
          <w:sz w:val="18"/>
          <w:szCs w:val="18"/>
        </w:rPr>
        <w:t xml:space="preserve">Colombian </w:t>
      </w:r>
      <w:r>
        <w:rPr>
          <w:rFonts w:asciiTheme="majorHAnsi" w:hAnsiTheme="majorHAnsi"/>
          <w:bCs/>
          <w:sz w:val="18"/>
          <w:szCs w:val="18"/>
        </w:rPr>
        <w:t xml:space="preserve">legislation </w:t>
      </w:r>
      <w:r w:rsidR="009921B6" w:rsidRPr="005B5A0D">
        <w:rPr>
          <w:rFonts w:asciiTheme="majorHAnsi" w:hAnsiTheme="majorHAnsi"/>
          <w:bCs/>
          <w:sz w:val="18"/>
          <w:szCs w:val="18"/>
        </w:rPr>
        <w:t xml:space="preserve">to </w:t>
      </w:r>
      <w:r>
        <w:rPr>
          <w:rFonts w:asciiTheme="majorHAnsi" w:hAnsiTheme="majorHAnsi"/>
          <w:bCs/>
          <w:sz w:val="18"/>
          <w:szCs w:val="18"/>
        </w:rPr>
        <w:t xml:space="preserve">obtain reparations for </w:t>
      </w:r>
      <w:r w:rsidR="009921B6" w:rsidRPr="005B5A0D">
        <w:rPr>
          <w:rFonts w:asciiTheme="majorHAnsi" w:hAnsiTheme="majorHAnsi"/>
          <w:bCs/>
          <w:sz w:val="18"/>
          <w:szCs w:val="18"/>
        </w:rPr>
        <w:t xml:space="preserve">the victims of extrajudicial executions were diligently </w:t>
      </w:r>
      <w:r>
        <w:rPr>
          <w:rFonts w:asciiTheme="majorHAnsi" w:hAnsiTheme="majorHAnsi"/>
          <w:bCs/>
          <w:sz w:val="18"/>
          <w:szCs w:val="18"/>
        </w:rPr>
        <w:t xml:space="preserve">conducted </w:t>
      </w:r>
      <w:r w:rsidR="009921B6" w:rsidRPr="005B5A0D">
        <w:rPr>
          <w:rFonts w:asciiTheme="majorHAnsi" w:hAnsiTheme="majorHAnsi"/>
          <w:bCs/>
          <w:sz w:val="18"/>
          <w:szCs w:val="18"/>
        </w:rPr>
        <w:t xml:space="preserve">by the Colombian administrative judges. (b) As a result of the foregoing, the next of kin of </w:t>
      </w:r>
      <w:proofErr w:type="spellStart"/>
      <w:r w:rsidR="009921B6" w:rsidRPr="005B5A0D">
        <w:rPr>
          <w:rFonts w:asciiTheme="majorHAnsi" w:hAnsiTheme="majorHAnsi"/>
          <w:bCs/>
          <w:sz w:val="18"/>
          <w:szCs w:val="18"/>
        </w:rPr>
        <w:t>Helvir</w:t>
      </w:r>
      <w:proofErr w:type="spellEnd"/>
      <w:r w:rsidR="009921B6" w:rsidRPr="005B5A0D">
        <w:rPr>
          <w:rFonts w:asciiTheme="majorHAnsi" w:hAnsiTheme="majorHAnsi"/>
          <w:bCs/>
          <w:sz w:val="18"/>
          <w:szCs w:val="18"/>
        </w:rPr>
        <w:t xml:space="preserve"> Torres and Freddy Torres </w:t>
      </w:r>
      <w:r>
        <w:rPr>
          <w:rFonts w:asciiTheme="majorHAnsi" w:hAnsiTheme="majorHAnsi"/>
          <w:bCs/>
          <w:sz w:val="18"/>
          <w:szCs w:val="18"/>
        </w:rPr>
        <w:t xml:space="preserve">received full reparations </w:t>
      </w:r>
      <w:r w:rsidR="009921B6" w:rsidRPr="005B5A0D">
        <w:rPr>
          <w:rFonts w:asciiTheme="majorHAnsi" w:hAnsiTheme="majorHAnsi"/>
          <w:bCs/>
          <w:sz w:val="18"/>
          <w:szCs w:val="18"/>
        </w:rPr>
        <w:t xml:space="preserve">through pecuniary and non-pecuniary reparation measures that have already been </w:t>
      </w:r>
      <w:r>
        <w:rPr>
          <w:rFonts w:asciiTheme="majorHAnsi" w:hAnsiTheme="majorHAnsi"/>
          <w:bCs/>
          <w:sz w:val="18"/>
          <w:szCs w:val="18"/>
        </w:rPr>
        <w:t>complied with</w:t>
      </w:r>
      <w:r w:rsidR="009921B6" w:rsidRPr="005B5A0D">
        <w:rPr>
          <w:rFonts w:asciiTheme="majorHAnsi" w:hAnsiTheme="majorHAnsi"/>
          <w:bCs/>
          <w:sz w:val="18"/>
          <w:szCs w:val="18"/>
        </w:rPr>
        <w:t>. (c) The Colombian State held a public act of acknowledgment of responsibility for the events described in th</w:t>
      </w:r>
      <w:r>
        <w:rPr>
          <w:rFonts w:asciiTheme="majorHAnsi" w:hAnsiTheme="majorHAnsi"/>
          <w:bCs/>
          <w:sz w:val="18"/>
          <w:szCs w:val="18"/>
        </w:rPr>
        <w:t>e</w:t>
      </w:r>
      <w:r w:rsidR="009921B6" w:rsidRPr="005B5A0D">
        <w:rPr>
          <w:rFonts w:asciiTheme="majorHAnsi" w:hAnsiTheme="majorHAnsi"/>
          <w:bCs/>
          <w:sz w:val="18"/>
          <w:szCs w:val="18"/>
        </w:rPr>
        <w:t>s</w:t>
      </w:r>
      <w:r>
        <w:rPr>
          <w:rFonts w:asciiTheme="majorHAnsi" w:hAnsiTheme="majorHAnsi"/>
          <w:bCs/>
          <w:sz w:val="18"/>
          <w:szCs w:val="18"/>
        </w:rPr>
        <w:t>e</w:t>
      </w:r>
      <w:r w:rsidR="009921B6" w:rsidRPr="005B5A0D">
        <w:rPr>
          <w:rFonts w:asciiTheme="majorHAnsi" w:hAnsiTheme="majorHAnsi"/>
          <w:bCs/>
          <w:sz w:val="18"/>
          <w:szCs w:val="18"/>
        </w:rPr>
        <w:t xml:space="preserve"> international proceeding</w:t>
      </w:r>
      <w:r>
        <w:rPr>
          <w:rFonts w:asciiTheme="majorHAnsi" w:hAnsiTheme="majorHAnsi"/>
          <w:bCs/>
          <w:sz w:val="18"/>
          <w:szCs w:val="18"/>
        </w:rPr>
        <w:t>s</w:t>
      </w:r>
      <w:r w:rsidR="009921B6" w:rsidRPr="005B5A0D">
        <w:rPr>
          <w:rFonts w:asciiTheme="majorHAnsi" w:hAnsiTheme="majorHAnsi"/>
          <w:bCs/>
          <w:sz w:val="18"/>
          <w:szCs w:val="18"/>
        </w:rPr>
        <w:t>.</w:t>
      </w:r>
    </w:p>
    <w:p w14:paraId="681E3A5F" w14:textId="6AB24EDD" w:rsidR="00D1300D" w:rsidRDefault="00D1300D" w:rsidP="009921B6">
      <w:pPr>
        <w:jc w:val="both"/>
        <w:rPr>
          <w:rFonts w:asciiTheme="majorHAnsi" w:hAnsiTheme="majorHAnsi"/>
          <w:bCs/>
          <w:sz w:val="20"/>
          <w:szCs w:val="20"/>
        </w:rPr>
      </w:pPr>
    </w:p>
    <w:p w14:paraId="325832FB" w14:textId="77777777" w:rsidR="00E11DC1" w:rsidRDefault="005B5A0D" w:rsidP="00E11DC1">
      <w:pPr>
        <w:ind w:firstLine="360"/>
        <w:jc w:val="both"/>
        <w:rPr>
          <w:rFonts w:asciiTheme="majorHAnsi" w:hAnsiTheme="majorHAnsi"/>
          <w:bCs/>
          <w:sz w:val="20"/>
          <w:szCs w:val="20"/>
        </w:rPr>
      </w:pPr>
      <w:r>
        <w:rPr>
          <w:rFonts w:asciiTheme="majorHAnsi" w:hAnsiTheme="majorHAnsi"/>
          <w:bCs/>
          <w:sz w:val="20"/>
          <w:szCs w:val="20"/>
        </w:rPr>
        <w:t xml:space="preserve">10. </w:t>
      </w:r>
      <w:r w:rsidR="00070F4E">
        <w:rPr>
          <w:rFonts w:asciiTheme="majorHAnsi" w:hAnsiTheme="majorHAnsi"/>
          <w:bCs/>
          <w:sz w:val="20"/>
          <w:szCs w:val="20"/>
        </w:rPr>
        <w:t>In s</w:t>
      </w:r>
      <w:r w:rsidR="00D1300D" w:rsidRPr="005B5A0D">
        <w:rPr>
          <w:rFonts w:asciiTheme="majorHAnsi" w:hAnsiTheme="majorHAnsi"/>
          <w:bCs/>
          <w:sz w:val="20"/>
          <w:szCs w:val="20"/>
        </w:rPr>
        <w:t>econd</w:t>
      </w:r>
      <w:r w:rsidR="00070F4E">
        <w:rPr>
          <w:rFonts w:asciiTheme="majorHAnsi" w:hAnsiTheme="majorHAnsi"/>
          <w:bCs/>
          <w:sz w:val="20"/>
          <w:szCs w:val="20"/>
        </w:rPr>
        <w:t xml:space="preserve"> place</w:t>
      </w:r>
      <w:r w:rsidR="00D1300D" w:rsidRPr="005B5A0D">
        <w:rPr>
          <w:rFonts w:asciiTheme="majorHAnsi" w:hAnsiTheme="majorHAnsi"/>
          <w:bCs/>
          <w:sz w:val="20"/>
          <w:szCs w:val="20"/>
        </w:rPr>
        <w:t xml:space="preserve">, the State affirms that, </w:t>
      </w:r>
      <w:r w:rsidR="00070F4E">
        <w:rPr>
          <w:rFonts w:asciiTheme="majorHAnsi" w:hAnsiTheme="majorHAnsi"/>
          <w:bCs/>
          <w:sz w:val="20"/>
          <w:szCs w:val="20"/>
        </w:rPr>
        <w:t xml:space="preserve">in relation to </w:t>
      </w:r>
      <w:r w:rsidR="00D1300D" w:rsidRPr="005B5A0D">
        <w:rPr>
          <w:rFonts w:asciiTheme="majorHAnsi" w:hAnsiTheme="majorHAnsi"/>
          <w:bCs/>
          <w:sz w:val="20"/>
          <w:szCs w:val="20"/>
        </w:rPr>
        <w:t xml:space="preserve">the </w:t>
      </w:r>
      <w:r w:rsidR="00070F4E">
        <w:rPr>
          <w:rFonts w:asciiTheme="majorHAnsi" w:hAnsiTheme="majorHAnsi"/>
          <w:bCs/>
          <w:sz w:val="20"/>
          <w:szCs w:val="20"/>
        </w:rPr>
        <w:t xml:space="preserve">events </w:t>
      </w:r>
      <w:r w:rsidR="00D1300D" w:rsidRPr="005B5A0D">
        <w:rPr>
          <w:rFonts w:asciiTheme="majorHAnsi" w:hAnsiTheme="majorHAnsi"/>
          <w:bCs/>
          <w:sz w:val="20"/>
          <w:szCs w:val="20"/>
        </w:rPr>
        <w:t xml:space="preserve">described in the petition, the Office of the </w:t>
      </w:r>
      <w:r w:rsidR="00070F4E">
        <w:rPr>
          <w:rFonts w:asciiTheme="majorHAnsi" w:hAnsiTheme="majorHAnsi"/>
          <w:bCs/>
          <w:sz w:val="20"/>
          <w:szCs w:val="20"/>
        </w:rPr>
        <w:t xml:space="preserve">General Prosecutor </w:t>
      </w:r>
      <w:r w:rsidR="00D1300D" w:rsidRPr="005B5A0D">
        <w:rPr>
          <w:rFonts w:asciiTheme="majorHAnsi" w:hAnsiTheme="majorHAnsi"/>
          <w:bCs/>
          <w:sz w:val="20"/>
          <w:szCs w:val="20"/>
        </w:rPr>
        <w:t>of the Nation initiated two criminal investigations: one (</w:t>
      </w:r>
      <w:r w:rsidR="00070F4E">
        <w:rPr>
          <w:rFonts w:asciiTheme="majorHAnsi" w:hAnsiTheme="majorHAnsi"/>
          <w:bCs/>
          <w:sz w:val="20"/>
          <w:szCs w:val="20"/>
        </w:rPr>
        <w:t xml:space="preserve">case </w:t>
      </w:r>
      <w:r w:rsidR="00D1300D" w:rsidRPr="005B5A0D">
        <w:rPr>
          <w:rFonts w:asciiTheme="majorHAnsi" w:hAnsiTheme="majorHAnsi"/>
          <w:bCs/>
          <w:sz w:val="20"/>
          <w:szCs w:val="20"/>
        </w:rPr>
        <w:t xml:space="preserve">No. 4015) for the </w:t>
      </w:r>
      <w:r w:rsidR="00070F4E">
        <w:rPr>
          <w:rFonts w:asciiTheme="majorHAnsi" w:hAnsiTheme="majorHAnsi"/>
          <w:bCs/>
          <w:sz w:val="20"/>
          <w:szCs w:val="20"/>
        </w:rPr>
        <w:t xml:space="preserve">homicide </w:t>
      </w:r>
      <w:r w:rsidR="00D1300D" w:rsidRPr="005B5A0D">
        <w:rPr>
          <w:rFonts w:asciiTheme="majorHAnsi" w:hAnsiTheme="majorHAnsi"/>
          <w:bCs/>
          <w:sz w:val="20"/>
          <w:szCs w:val="20"/>
        </w:rPr>
        <w:t xml:space="preserve">of </w:t>
      </w:r>
      <w:proofErr w:type="spellStart"/>
      <w:r w:rsidR="00D1300D" w:rsidRPr="005B5A0D">
        <w:rPr>
          <w:rFonts w:asciiTheme="majorHAnsi" w:hAnsiTheme="majorHAnsi"/>
          <w:bCs/>
          <w:sz w:val="20"/>
          <w:szCs w:val="20"/>
        </w:rPr>
        <w:t>Helvir</w:t>
      </w:r>
      <w:proofErr w:type="spellEnd"/>
      <w:r w:rsidR="00D1300D" w:rsidRPr="005B5A0D">
        <w:rPr>
          <w:rFonts w:asciiTheme="majorHAnsi" w:hAnsiTheme="majorHAnsi"/>
          <w:bCs/>
          <w:sz w:val="20"/>
          <w:szCs w:val="20"/>
        </w:rPr>
        <w:t xml:space="preserve"> Torres and the attempted </w:t>
      </w:r>
      <w:r w:rsidR="00070F4E">
        <w:rPr>
          <w:rFonts w:asciiTheme="majorHAnsi" w:hAnsiTheme="majorHAnsi"/>
          <w:bCs/>
          <w:sz w:val="20"/>
          <w:szCs w:val="20"/>
        </w:rPr>
        <w:t xml:space="preserve">homicide </w:t>
      </w:r>
      <w:r w:rsidR="00D1300D" w:rsidRPr="005B5A0D">
        <w:rPr>
          <w:rFonts w:asciiTheme="majorHAnsi" w:hAnsiTheme="majorHAnsi"/>
          <w:bCs/>
          <w:sz w:val="20"/>
          <w:szCs w:val="20"/>
        </w:rPr>
        <w:t xml:space="preserve">of Freddy Torres, currently </w:t>
      </w:r>
      <w:r w:rsidR="00070F4E">
        <w:rPr>
          <w:rFonts w:asciiTheme="majorHAnsi" w:hAnsiTheme="majorHAnsi"/>
          <w:bCs/>
          <w:sz w:val="20"/>
          <w:szCs w:val="20"/>
        </w:rPr>
        <w:t>ongoing</w:t>
      </w:r>
      <w:r w:rsidR="00D1300D" w:rsidRPr="005B5A0D">
        <w:rPr>
          <w:rFonts w:asciiTheme="majorHAnsi" w:hAnsiTheme="majorHAnsi"/>
          <w:bCs/>
          <w:sz w:val="20"/>
          <w:szCs w:val="20"/>
        </w:rPr>
        <w:t xml:space="preserve">; and another </w:t>
      </w:r>
      <w:r w:rsidR="00070F4E">
        <w:rPr>
          <w:rFonts w:asciiTheme="majorHAnsi" w:hAnsiTheme="majorHAnsi"/>
          <w:bCs/>
          <w:sz w:val="20"/>
          <w:szCs w:val="20"/>
        </w:rPr>
        <w:t xml:space="preserve">one </w:t>
      </w:r>
      <w:r w:rsidR="00D1300D" w:rsidRPr="005B5A0D">
        <w:rPr>
          <w:rFonts w:asciiTheme="majorHAnsi" w:hAnsiTheme="majorHAnsi"/>
          <w:bCs/>
          <w:sz w:val="20"/>
          <w:szCs w:val="20"/>
        </w:rPr>
        <w:t xml:space="preserve">for the threats and the attack suffered later by Freddy Torres, which was archived. Regarding investigation No. 4015, after recounting the prosecution of the case in the military criminal justice system and </w:t>
      </w:r>
      <w:r w:rsidR="00070F4E">
        <w:rPr>
          <w:rFonts w:asciiTheme="majorHAnsi" w:hAnsiTheme="majorHAnsi"/>
          <w:bCs/>
          <w:sz w:val="20"/>
          <w:szCs w:val="20"/>
        </w:rPr>
        <w:t xml:space="preserve">its </w:t>
      </w:r>
      <w:r w:rsidR="00D1300D" w:rsidRPr="005B5A0D">
        <w:rPr>
          <w:rFonts w:asciiTheme="majorHAnsi" w:hAnsiTheme="majorHAnsi"/>
          <w:bCs/>
          <w:sz w:val="20"/>
          <w:szCs w:val="20"/>
        </w:rPr>
        <w:t xml:space="preserve">transfer to the ordinary criminal justice system - in the same terms </w:t>
      </w:r>
      <w:r w:rsidR="00070F4E">
        <w:rPr>
          <w:rFonts w:asciiTheme="majorHAnsi" w:hAnsiTheme="majorHAnsi"/>
          <w:bCs/>
          <w:sz w:val="20"/>
          <w:szCs w:val="20"/>
        </w:rPr>
        <w:t xml:space="preserve">referred </w:t>
      </w:r>
      <w:r w:rsidR="00D1300D" w:rsidRPr="005B5A0D">
        <w:rPr>
          <w:rFonts w:asciiTheme="majorHAnsi" w:hAnsiTheme="majorHAnsi"/>
          <w:bCs/>
          <w:sz w:val="20"/>
          <w:szCs w:val="20"/>
        </w:rPr>
        <w:t>by the petitioning party</w:t>
      </w:r>
      <w:r w:rsidR="00070F4E">
        <w:rPr>
          <w:rFonts w:asciiTheme="majorHAnsi" w:hAnsiTheme="majorHAnsi"/>
          <w:bCs/>
          <w:sz w:val="20"/>
          <w:szCs w:val="20"/>
        </w:rPr>
        <w:t>-</w:t>
      </w:r>
      <w:r w:rsidR="00504B37" w:rsidRPr="005B5A0D">
        <w:rPr>
          <w:rFonts w:asciiTheme="majorHAnsi" w:hAnsiTheme="majorHAnsi"/>
          <w:bCs/>
          <w:sz w:val="20"/>
          <w:szCs w:val="20"/>
        </w:rPr>
        <w:t>, t</w:t>
      </w:r>
      <w:r w:rsidR="00D1300D" w:rsidRPr="005B5A0D">
        <w:rPr>
          <w:rFonts w:asciiTheme="majorHAnsi" w:hAnsiTheme="majorHAnsi"/>
          <w:bCs/>
          <w:sz w:val="20"/>
          <w:szCs w:val="20"/>
        </w:rPr>
        <w:t xml:space="preserve">he State reports that the Office of the General </w:t>
      </w:r>
      <w:r w:rsidR="00070F4E">
        <w:rPr>
          <w:rFonts w:asciiTheme="majorHAnsi" w:hAnsiTheme="majorHAnsi"/>
          <w:bCs/>
          <w:sz w:val="20"/>
          <w:szCs w:val="20"/>
        </w:rPr>
        <w:t xml:space="preserve">Prosecutor </w:t>
      </w:r>
      <w:r w:rsidR="00D1300D" w:rsidRPr="005B5A0D">
        <w:rPr>
          <w:rFonts w:asciiTheme="majorHAnsi" w:hAnsiTheme="majorHAnsi"/>
          <w:bCs/>
          <w:sz w:val="20"/>
          <w:szCs w:val="20"/>
        </w:rPr>
        <w:t>of the Nation has carried out the following relevant actions between 2006 and 2012: (</w:t>
      </w:r>
      <w:proofErr w:type="spellStart"/>
      <w:r w:rsidR="00D1300D" w:rsidRPr="005B5A0D">
        <w:rPr>
          <w:rFonts w:asciiTheme="majorHAnsi" w:hAnsiTheme="majorHAnsi"/>
          <w:bCs/>
          <w:sz w:val="20"/>
          <w:szCs w:val="20"/>
        </w:rPr>
        <w:t>i</w:t>
      </w:r>
      <w:proofErr w:type="spellEnd"/>
      <w:r w:rsidR="00D1300D" w:rsidRPr="005B5A0D">
        <w:rPr>
          <w:rFonts w:asciiTheme="majorHAnsi" w:hAnsiTheme="majorHAnsi"/>
          <w:bCs/>
          <w:sz w:val="20"/>
          <w:szCs w:val="20"/>
        </w:rPr>
        <w:t xml:space="preserve">) numerous testimonial, documentary, forensic, technical, ballistic and other </w:t>
      </w:r>
      <w:r w:rsidR="00070F4E">
        <w:rPr>
          <w:rFonts w:asciiTheme="majorHAnsi" w:hAnsiTheme="majorHAnsi"/>
          <w:bCs/>
          <w:sz w:val="20"/>
          <w:szCs w:val="20"/>
        </w:rPr>
        <w:t xml:space="preserve">pieces of </w:t>
      </w:r>
      <w:r w:rsidR="00D1300D" w:rsidRPr="005B5A0D">
        <w:rPr>
          <w:rFonts w:asciiTheme="majorHAnsi" w:hAnsiTheme="majorHAnsi"/>
          <w:bCs/>
          <w:sz w:val="20"/>
          <w:szCs w:val="20"/>
        </w:rPr>
        <w:t xml:space="preserve">evidence have been </w:t>
      </w:r>
      <w:r w:rsidR="00E11DC1">
        <w:rPr>
          <w:rFonts w:asciiTheme="majorHAnsi" w:hAnsiTheme="majorHAnsi"/>
          <w:bCs/>
          <w:sz w:val="20"/>
          <w:szCs w:val="20"/>
        </w:rPr>
        <w:t>gathered</w:t>
      </w:r>
      <w:r w:rsidR="00D1300D" w:rsidRPr="005B5A0D">
        <w:rPr>
          <w:rFonts w:asciiTheme="majorHAnsi" w:hAnsiTheme="majorHAnsi"/>
          <w:bCs/>
          <w:sz w:val="20"/>
          <w:szCs w:val="20"/>
        </w:rPr>
        <w:t xml:space="preserve">; (ii) the Lieutenant Colonel of Battalion No. 39, the Commander of the Platoon that carried out the alleged counter-guerrilla operation, the two Second </w:t>
      </w:r>
      <w:r w:rsidR="00E11DC1">
        <w:rPr>
          <w:rFonts w:asciiTheme="majorHAnsi" w:hAnsiTheme="majorHAnsi"/>
          <w:bCs/>
          <w:sz w:val="20"/>
          <w:szCs w:val="20"/>
        </w:rPr>
        <w:t xml:space="preserve">Officers </w:t>
      </w:r>
      <w:r w:rsidR="00D1300D" w:rsidRPr="005B5A0D">
        <w:rPr>
          <w:rFonts w:asciiTheme="majorHAnsi" w:hAnsiTheme="majorHAnsi"/>
          <w:bCs/>
          <w:sz w:val="20"/>
          <w:szCs w:val="20"/>
        </w:rPr>
        <w:t xml:space="preserve">known as alias “el </w:t>
      </w:r>
      <w:proofErr w:type="spellStart"/>
      <w:r w:rsidR="00D1300D" w:rsidRPr="005B5A0D">
        <w:rPr>
          <w:rFonts w:asciiTheme="majorHAnsi" w:hAnsiTheme="majorHAnsi"/>
          <w:bCs/>
          <w:sz w:val="20"/>
          <w:szCs w:val="20"/>
        </w:rPr>
        <w:t>costeño</w:t>
      </w:r>
      <w:proofErr w:type="spellEnd"/>
      <w:r w:rsidR="00D1300D" w:rsidRPr="005B5A0D">
        <w:rPr>
          <w:rFonts w:asciiTheme="majorHAnsi" w:hAnsiTheme="majorHAnsi"/>
          <w:bCs/>
          <w:sz w:val="20"/>
          <w:szCs w:val="20"/>
        </w:rPr>
        <w:t>” and alias “el paisa”, as well as three other members of the Army</w:t>
      </w:r>
      <w:r w:rsidR="00E11DC1">
        <w:rPr>
          <w:rFonts w:asciiTheme="majorHAnsi" w:hAnsiTheme="majorHAnsi"/>
          <w:bCs/>
          <w:sz w:val="20"/>
          <w:szCs w:val="20"/>
        </w:rPr>
        <w:t>, were formally brought to the proceedings via interrogation</w:t>
      </w:r>
      <w:r w:rsidR="00D1300D" w:rsidRPr="005B5A0D">
        <w:rPr>
          <w:rFonts w:asciiTheme="majorHAnsi" w:hAnsiTheme="majorHAnsi"/>
          <w:bCs/>
          <w:sz w:val="20"/>
          <w:szCs w:val="20"/>
        </w:rPr>
        <w:t xml:space="preserve">; and (iii) some relatives of </w:t>
      </w:r>
      <w:proofErr w:type="spellStart"/>
      <w:r w:rsidR="00D1300D" w:rsidRPr="005B5A0D">
        <w:rPr>
          <w:rFonts w:asciiTheme="majorHAnsi" w:hAnsiTheme="majorHAnsi"/>
          <w:bCs/>
          <w:sz w:val="20"/>
          <w:szCs w:val="20"/>
        </w:rPr>
        <w:t>Helvir</w:t>
      </w:r>
      <w:proofErr w:type="spellEnd"/>
      <w:r w:rsidR="00D1300D" w:rsidRPr="005B5A0D">
        <w:rPr>
          <w:rFonts w:asciiTheme="majorHAnsi" w:hAnsiTheme="majorHAnsi"/>
          <w:bCs/>
          <w:sz w:val="20"/>
          <w:szCs w:val="20"/>
        </w:rPr>
        <w:t xml:space="preserve"> Antonio and Freddy </w:t>
      </w:r>
      <w:r w:rsidR="00E11DC1">
        <w:rPr>
          <w:rFonts w:asciiTheme="majorHAnsi" w:hAnsiTheme="majorHAnsi"/>
          <w:bCs/>
          <w:sz w:val="20"/>
          <w:szCs w:val="20"/>
        </w:rPr>
        <w:t xml:space="preserve">filed for civil damages </w:t>
      </w:r>
      <w:r w:rsidR="00D1300D" w:rsidRPr="005B5A0D">
        <w:rPr>
          <w:rFonts w:asciiTheme="majorHAnsi" w:hAnsiTheme="majorHAnsi"/>
          <w:bCs/>
          <w:sz w:val="20"/>
          <w:szCs w:val="20"/>
        </w:rPr>
        <w:t xml:space="preserve">in the </w:t>
      </w:r>
      <w:r w:rsidR="00E11DC1">
        <w:rPr>
          <w:rFonts w:asciiTheme="majorHAnsi" w:hAnsiTheme="majorHAnsi"/>
          <w:bCs/>
          <w:sz w:val="20"/>
          <w:szCs w:val="20"/>
        </w:rPr>
        <w:t>criminal proceedings</w:t>
      </w:r>
      <w:r w:rsidR="00D1300D" w:rsidRPr="005B5A0D">
        <w:rPr>
          <w:rFonts w:asciiTheme="majorHAnsi" w:hAnsiTheme="majorHAnsi"/>
          <w:bCs/>
          <w:sz w:val="20"/>
          <w:szCs w:val="20"/>
        </w:rPr>
        <w:t>. On December 31, 2012, a resolution was issued defining the legal situation of the Lieutenant Colonel of Battalion 39 and the Platoon Commander, imposing on them the measure of preventive detention in a prison</w:t>
      </w:r>
      <w:r w:rsidR="00E11DC1">
        <w:rPr>
          <w:rFonts w:asciiTheme="majorHAnsi" w:hAnsiTheme="majorHAnsi"/>
          <w:bCs/>
          <w:sz w:val="20"/>
          <w:szCs w:val="20"/>
        </w:rPr>
        <w:t xml:space="preserve"> facility</w:t>
      </w:r>
      <w:r w:rsidR="00D1300D" w:rsidRPr="005B5A0D">
        <w:rPr>
          <w:rFonts w:asciiTheme="majorHAnsi" w:hAnsiTheme="majorHAnsi"/>
          <w:bCs/>
          <w:sz w:val="20"/>
          <w:szCs w:val="20"/>
        </w:rPr>
        <w:t xml:space="preserve">; arrest warrants were also issued against four </w:t>
      </w:r>
      <w:r w:rsidR="00E11DC1">
        <w:rPr>
          <w:rFonts w:asciiTheme="majorHAnsi" w:hAnsiTheme="majorHAnsi"/>
          <w:bCs/>
          <w:sz w:val="20"/>
          <w:szCs w:val="20"/>
        </w:rPr>
        <w:t>military agents</w:t>
      </w:r>
      <w:r w:rsidR="00D1300D" w:rsidRPr="005B5A0D">
        <w:rPr>
          <w:rFonts w:asciiTheme="majorHAnsi" w:hAnsiTheme="majorHAnsi"/>
          <w:bCs/>
          <w:sz w:val="20"/>
          <w:szCs w:val="20"/>
        </w:rPr>
        <w:t xml:space="preserve">. Later, on June 18, 2013, said Lieutenant Colonel, named Luis Fernando Borja </w:t>
      </w:r>
      <w:proofErr w:type="spellStart"/>
      <w:r w:rsidR="00D1300D" w:rsidRPr="005B5A0D">
        <w:rPr>
          <w:rFonts w:asciiTheme="majorHAnsi" w:hAnsiTheme="majorHAnsi"/>
          <w:bCs/>
          <w:sz w:val="20"/>
          <w:szCs w:val="20"/>
        </w:rPr>
        <w:t>Aristizábal</w:t>
      </w:r>
      <w:proofErr w:type="spellEnd"/>
      <w:r w:rsidR="00D1300D" w:rsidRPr="005B5A0D">
        <w:rPr>
          <w:rFonts w:asciiTheme="majorHAnsi" w:hAnsiTheme="majorHAnsi"/>
          <w:bCs/>
          <w:sz w:val="20"/>
          <w:szCs w:val="20"/>
        </w:rPr>
        <w:t xml:space="preserve">, requested the Prosecutor's Office to summon him to a hearing </w:t>
      </w:r>
      <w:r w:rsidR="00E11DC1">
        <w:rPr>
          <w:rFonts w:asciiTheme="majorHAnsi" w:hAnsiTheme="majorHAnsi"/>
          <w:bCs/>
          <w:sz w:val="20"/>
          <w:szCs w:val="20"/>
        </w:rPr>
        <w:t xml:space="preserve">in order </w:t>
      </w:r>
      <w:r w:rsidR="00D1300D" w:rsidRPr="005B5A0D">
        <w:rPr>
          <w:rFonts w:asciiTheme="majorHAnsi" w:hAnsiTheme="majorHAnsi"/>
          <w:bCs/>
          <w:sz w:val="20"/>
          <w:szCs w:val="20"/>
        </w:rPr>
        <w:t xml:space="preserve">to </w:t>
      </w:r>
      <w:r w:rsidR="00E11DC1">
        <w:rPr>
          <w:rFonts w:asciiTheme="majorHAnsi" w:hAnsiTheme="majorHAnsi"/>
          <w:bCs/>
          <w:sz w:val="20"/>
          <w:szCs w:val="20"/>
        </w:rPr>
        <w:t xml:space="preserve">admit </w:t>
      </w:r>
      <w:r w:rsidR="00D1300D" w:rsidRPr="005B5A0D">
        <w:rPr>
          <w:rFonts w:asciiTheme="majorHAnsi" w:hAnsiTheme="majorHAnsi"/>
          <w:bCs/>
          <w:sz w:val="20"/>
          <w:szCs w:val="20"/>
        </w:rPr>
        <w:t xml:space="preserve">the charges </w:t>
      </w:r>
      <w:r w:rsidR="00E11DC1">
        <w:rPr>
          <w:rFonts w:asciiTheme="majorHAnsi" w:hAnsiTheme="majorHAnsi"/>
          <w:bCs/>
          <w:sz w:val="20"/>
          <w:szCs w:val="20"/>
        </w:rPr>
        <w:t xml:space="preserve">of which he was being accused </w:t>
      </w:r>
      <w:r w:rsidR="00D1300D" w:rsidRPr="005B5A0D">
        <w:rPr>
          <w:rFonts w:asciiTheme="majorHAnsi" w:hAnsiTheme="majorHAnsi"/>
          <w:bCs/>
          <w:sz w:val="20"/>
          <w:szCs w:val="20"/>
        </w:rPr>
        <w:t>and t</w:t>
      </w:r>
      <w:r w:rsidR="00E11DC1">
        <w:rPr>
          <w:rFonts w:asciiTheme="majorHAnsi" w:hAnsiTheme="majorHAnsi"/>
          <w:bCs/>
          <w:sz w:val="20"/>
          <w:szCs w:val="20"/>
        </w:rPr>
        <w:t>hus</w:t>
      </w:r>
      <w:r w:rsidR="00D1300D" w:rsidRPr="005B5A0D">
        <w:rPr>
          <w:rFonts w:asciiTheme="majorHAnsi" w:hAnsiTheme="majorHAnsi"/>
          <w:bCs/>
          <w:sz w:val="20"/>
          <w:szCs w:val="20"/>
        </w:rPr>
        <w:t xml:space="preserve"> avail himself of an early judgment</w:t>
      </w:r>
      <w:r w:rsidR="00504B37" w:rsidRPr="005B5A0D">
        <w:rPr>
          <w:rFonts w:asciiTheme="majorHAnsi" w:hAnsiTheme="majorHAnsi"/>
          <w:bCs/>
          <w:sz w:val="20"/>
          <w:szCs w:val="20"/>
        </w:rPr>
        <w:t xml:space="preserve">. </w:t>
      </w:r>
      <w:r w:rsidR="00D1300D" w:rsidRPr="005B5A0D">
        <w:rPr>
          <w:rFonts w:asciiTheme="majorHAnsi" w:hAnsiTheme="majorHAnsi"/>
          <w:bCs/>
          <w:sz w:val="20"/>
          <w:szCs w:val="20"/>
        </w:rPr>
        <w:t xml:space="preserve">This </w:t>
      </w:r>
      <w:r w:rsidR="00E11DC1">
        <w:rPr>
          <w:rFonts w:asciiTheme="majorHAnsi" w:hAnsiTheme="majorHAnsi"/>
          <w:bCs/>
          <w:sz w:val="20"/>
          <w:szCs w:val="20"/>
        </w:rPr>
        <w:t xml:space="preserve">hearing </w:t>
      </w:r>
      <w:r w:rsidR="00D1300D" w:rsidRPr="005B5A0D">
        <w:rPr>
          <w:rFonts w:asciiTheme="majorHAnsi" w:hAnsiTheme="majorHAnsi"/>
          <w:bCs/>
          <w:sz w:val="20"/>
          <w:szCs w:val="20"/>
        </w:rPr>
        <w:t xml:space="preserve">to </w:t>
      </w:r>
      <w:r w:rsidR="00E11DC1">
        <w:rPr>
          <w:rFonts w:asciiTheme="majorHAnsi" w:hAnsiTheme="majorHAnsi"/>
          <w:bCs/>
          <w:sz w:val="20"/>
          <w:szCs w:val="20"/>
        </w:rPr>
        <w:t xml:space="preserve">admit </w:t>
      </w:r>
      <w:r w:rsidR="00D1300D" w:rsidRPr="005B5A0D">
        <w:rPr>
          <w:rFonts w:asciiTheme="majorHAnsi" w:hAnsiTheme="majorHAnsi"/>
          <w:bCs/>
          <w:sz w:val="20"/>
          <w:szCs w:val="20"/>
        </w:rPr>
        <w:t xml:space="preserve">the charges was </w:t>
      </w:r>
      <w:r w:rsidR="00E11DC1">
        <w:rPr>
          <w:rFonts w:asciiTheme="majorHAnsi" w:hAnsiTheme="majorHAnsi"/>
          <w:bCs/>
          <w:sz w:val="20"/>
          <w:szCs w:val="20"/>
        </w:rPr>
        <w:t xml:space="preserve">held </w:t>
      </w:r>
      <w:r w:rsidR="00D1300D" w:rsidRPr="005B5A0D">
        <w:rPr>
          <w:rFonts w:asciiTheme="majorHAnsi" w:hAnsiTheme="majorHAnsi"/>
          <w:bCs/>
          <w:sz w:val="20"/>
          <w:szCs w:val="20"/>
        </w:rPr>
        <w:t>on December 12, 2013, and</w:t>
      </w:r>
      <w:r w:rsidR="00E11DC1">
        <w:rPr>
          <w:rFonts w:asciiTheme="majorHAnsi" w:hAnsiTheme="majorHAnsi"/>
          <w:bCs/>
          <w:sz w:val="20"/>
          <w:szCs w:val="20"/>
        </w:rPr>
        <w:t xml:space="preserve"> in its course</w:t>
      </w:r>
      <w:r w:rsidR="00D1300D" w:rsidRPr="005B5A0D">
        <w:rPr>
          <w:rFonts w:asciiTheme="majorHAnsi" w:hAnsiTheme="majorHAnsi"/>
          <w:bCs/>
          <w:sz w:val="20"/>
          <w:szCs w:val="20"/>
        </w:rPr>
        <w:t xml:space="preserve"> Lieutenant Borja admitted the accusation made by the Prosecutor's Office in the sense that </w:t>
      </w:r>
      <w:r w:rsidR="00D1300D" w:rsidRPr="00E11DC1">
        <w:rPr>
          <w:rFonts w:asciiTheme="majorHAnsi" w:hAnsiTheme="majorHAnsi"/>
          <w:bCs/>
          <w:i/>
          <w:iCs/>
          <w:sz w:val="20"/>
          <w:szCs w:val="20"/>
        </w:rPr>
        <w:t xml:space="preserve">“the death of Mr. </w:t>
      </w:r>
      <w:proofErr w:type="spellStart"/>
      <w:r w:rsidR="00D1300D" w:rsidRPr="00E11DC1">
        <w:rPr>
          <w:rFonts w:asciiTheme="majorHAnsi" w:hAnsiTheme="majorHAnsi"/>
          <w:bCs/>
          <w:i/>
          <w:iCs/>
          <w:sz w:val="20"/>
          <w:szCs w:val="20"/>
        </w:rPr>
        <w:t>Helvir</w:t>
      </w:r>
      <w:proofErr w:type="spellEnd"/>
      <w:r w:rsidR="00D1300D" w:rsidRPr="00E11DC1">
        <w:rPr>
          <w:rFonts w:asciiTheme="majorHAnsi" w:hAnsiTheme="majorHAnsi"/>
          <w:bCs/>
          <w:i/>
          <w:iCs/>
          <w:sz w:val="20"/>
          <w:szCs w:val="20"/>
        </w:rPr>
        <w:t xml:space="preserve"> Torres had been the result of a plan of deception devised by him and other members of Battalion 39 to assassinate </w:t>
      </w:r>
      <w:proofErr w:type="spellStart"/>
      <w:r w:rsidR="00D1300D" w:rsidRPr="00E11DC1">
        <w:rPr>
          <w:rFonts w:asciiTheme="majorHAnsi" w:hAnsiTheme="majorHAnsi"/>
          <w:bCs/>
          <w:i/>
          <w:iCs/>
          <w:sz w:val="20"/>
          <w:szCs w:val="20"/>
        </w:rPr>
        <w:t>Helvir</w:t>
      </w:r>
      <w:proofErr w:type="spellEnd"/>
      <w:r w:rsidR="00D1300D" w:rsidRPr="00E11DC1">
        <w:rPr>
          <w:rFonts w:asciiTheme="majorHAnsi" w:hAnsiTheme="majorHAnsi"/>
          <w:bCs/>
          <w:i/>
          <w:iCs/>
          <w:sz w:val="20"/>
          <w:szCs w:val="20"/>
        </w:rPr>
        <w:t xml:space="preserve"> Torres and Freddy Torres and later present them as FARC guerrillas killed in combat ”</w:t>
      </w:r>
      <w:r w:rsidR="00D1300D" w:rsidRPr="005B5A0D">
        <w:rPr>
          <w:rFonts w:asciiTheme="majorHAnsi" w:hAnsiTheme="majorHAnsi"/>
          <w:bCs/>
          <w:sz w:val="20"/>
          <w:szCs w:val="20"/>
        </w:rPr>
        <w:t xml:space="preserve">; for this he </w:t>
      </w:r>
      <w:r w:rsidR="00E11DC1">
        <w:rPr>
          <w:rFonts w:asciiTheme="majorHAnsi" w:hAnsiTheme="majorHAnsi"/>
          <w:bCs/>
          <w:sz w:val="20"/>
          <w:szCs w:val="20"/>
        </w:rPr>
        <w:t xml:space="preserve">was </w:t>
      </w:r>
      <w:r w:rsidR="00D1300D" w:rsidRPr="005B5A0D">
        <w:rPr>
          <w:rFonts w:asciiTheme="majorHAnsi" w:hAnsiTheme="majorHAnsi"/>
          <w:bCs/>
          <w:sz w:val="20"/>
          <w:szCs w:val="20"/>
        </w:rPr>
        <w:t xml:space="preserve">charged with the crimes of aggravated homicide against </w:t>
      </w:r>
      <w:proofErr w:type="spellStart"/>
      <w:r w:rsidR="00D1300D" w:rsidRPr="005B5A0D">
        <w:rPr>
          <w:rFonts w:asciiTheme="majorHAnsi" w:hAnsiTheme="majorHAnsi"/>
          <w:bCs/>
          <w:sz w:val="20"/>
          <w:szCs w:val="20"/>
        </w:rPr>
        <w:t>Helvir</w:t>
      </w:r>
      <w:proofErr w:type="spellEnd"/>
      <w:r w:rsidR="00D1300D" w:rsidRPr="005B5A0D">
        <w:rPr>
          <w:rFonts w:asciiTheme="majorHAnsi" w:hAnsiTheme="majorHAnsi"/>
          <w:bCs/>
          <w:sz w:val="20"/>
          <w:szCs w:val="20"/>
        </w:rPr>
        <w:t xml:space="preserve"> Antonio Torres and attempted aggravated murder against Freddy Torres. </w:t>
      </w:r>
      <w:r w:rsidR="00D1300D" w:rsidRPr="005B5A0D">
        <w:rPr>
          <w:rFonts w:asciiTheme="majorHAnsi" w:hAnsiTheme="majorHAnsi"/>
          <w:bCs/>
          <w:sz w:val="20"/>
          <w:szCs w:val="20"/>
        </w:rPr>
        <w:lastRenderedPageBreak/>
        <w:t xml:space="preserve">Given </w:t>
      </w:r>
      <w:r w:rsidR="00D7643F" w:rsidRPr="005B5A0D">
        <w:rPr>
          <w:rFonts w:asciiTheme="majorHAnsi" w:hAnsiTheme="majorHAnsi"/>
          <w:bCs/>
          <w:sz w:val="20"/>
          <w:szCs w:val="20"/>
        </w:rPr>
        <w:t xml:space="preserve">his guilty plea to </w:t>
      </w:r>
      <w:r w:rsidR="008213A6" w:rsidRPr="005B5A0D">
        <w:rPr>
          <w:rFonts w:asciiTheme="majorHAnsi" w:hAnsiTheme="majorHAnsi"/>
          <w:bCs/>
          <w:sz w:val="20"/>
          <w:szCs w:val="20"/>
        </w:rPr>
        <w:t>the charges</w:t>
      </w:r>
      <w:r w:rsidR="00D1300D" w:rsidRPr="005B5A0D">
        <w:rPr>
          <w:rFonts w:asciiTheme="majorHAnsi" w:hAnsiTheme="majorHAnsi"/>
          <w:bCs/>
          <w:sz w:val="20"/>
          <w:szCs w:val="20"/>
        </w:rPr>
        <w:t xml:space="preserve">, on February 27, 2015, the Criminal Court of the </w:t>
      </w:r>
      <w:proofErr w:type="spellStart"/>
      <w:r w:rsidR="00D1300D" w:rsidRPr="005B5A0D">
        <w:rPr>
          <w:rFonts w:asciiTheme="majorHAnsi" w:hAnsiTheme="majorHAnsi"/>
          <w:bCs/>
          <w:sz w:val="20"/>
          <w:szCs w:val="20"/>
        </w:rPr>
        <w:t>Fusagasugá</w:t>
      </w:r>
      <w:proofErr w:type="spellEnd"/>
      <w:r w:rsidR="00D1300D" w:rsidRPr="005B5A0D">
        <w:rPr>
          <w:rFonts w:asciiTheme="majorHAnsi" w:hAnsiTheme="majorHAnsi"/>
          <w:bCs/>
          <w:sz w:val="20"/>
          <w:szCs w:val="20"/>
        </w:rPr>
        <w:t xml:space="preserve"> Circuit issued an </w:t>
      </w:r>
      <w:r w:rsidR="00E11DC1">
        <w:rPr>
          <w:rFonts w:asciiTheme="majorHAnsi" w:hAnsiTheme="majorHAnsi"/>
          <w:bCs/>
          <w:sz w:val="20"/>
          <w:szCs w:val="20"/>
        </w:rPr>
        <w:t xml:space="preserve">early judgment </w:t>
      </w:r>
      <w:r w:rsidR="00D1300D" w:rsidRPr="005B5A0D">
        <w:rPr>
          <w:rFonts w:asciiTheme="majorHAnsi" w:hAnsiTheme="majorHAnsi"/>
          <w:bCs/>
          <w:sz w:val="20"/>
          <w:szCs w:val="20"/>
        </w:rPr>
        <w:t xml:space="preserve">against Luis Fernando Borja, </w:t>
      </w:r>
      <w:r w:rsidR="00E11DC1">
        <w:rPr>
          <w:rFonts w:asciiTheme="majorHAnsi" w:hAnsiTheme="majorHAnsi"/>
          <w:bCs/>
          <w:sz w:val="20"/>
          <w:szCs w:val="20"/>
        </w:rPr>
        <w:t xml:space="preserve">sentencing </w:t>
      </w:r>
      <w:r w:rsidR="00D1300D" w:rsidRPr="005B5A0D">
        <w:rPr>
          <w:rFonts w:asciiTheme="majorHAnsi" w:hAnsiTheme="majorHAnsi"/>
          <w:bCs/>
          <w:sz w:val="20"/>
          <w:szCs w:val="20"/>
        </w:rPr>
        <w:t xml:space="preserve">him to 22 years and 2 months in prison, and </w:t>
      </w:r>
      <w:r w:rsidR="00E11DC1">
        <w:rPr>
          <w:rFonts w:asciiTheme="majorHAnsi" w:hAnsiTheme="majorHAnsi"/>
          <w:bCs/>
          <w:sz w:val="20"/>
          <w:szCs w:val="20"/>
        </w:rPr>
        <w:t xml:space="preserve">to </w:t>
      </w:r>
      <w:r w:rsidR="00D1300D" w:rsidRPr="005B5A0D">
        <w:rPr>
          <w:rFonts w:asciiTheme="majorHAnsi" w:hAnsiTheme="majorHAnsi"/>
          <w:bCs/>
          <w:sz w:val="20"/>
          <w:szCs w:val="20"/>
        </w:rPr>
        <w:t>the payment of damages to the victims' families. The State also reports that the other</w:t>
      </w:r>
      <w:r w:rsidR="00E11DC1">
        <w:rPr>
          <w:rFonts w:asciiTheme="majorHAnsi" w:hAnsiTheme="majorHAnsi"/>
          <w:bCs/>
          <w:sz w:val="20"/>
          <w:szCs w:val="20"/>
        </w:rPr>
        <w:t xml:space="preserve"> persons</w:t>
      </w:r>
      <w:r w:rsidR="00D1300D" w:rsidRPr="005B5A0D">
        <w:rPr>
          <w:rFonts w:asciiTheme="majorHAnsi" w:hAnsiTheme="majorHAnsi"/>
          <w:bCs/>
          <w:sz w:val="20"/>
          <w:szCs w:val="20"/>
        </w:rPr>
        <w:t xml:space="preserve"> implicated in the events and </w:t>
      </w:r>
      <w:r w:rsidR="00E11DC1">
        <w:rPr>
          <w:rFonts w:asciiTheme="majorHAnsi" w:hAnsiTheme="majorHAnsi"/>
          <w:bCs/>
          <w:sz w:val="20"/>
          <w:szCs w:val="20"/>
        </w:rPr>
        <w:t xml:space="preserve">brought </w:t>
      </w:r>
      <w:r w:rsidR="00D1300D" w:rsidRPr="005B5A0D">
        <w:rPr>
          <w:rFonts w:asciiTheme="majorHAnsi" w:hAnsiTheme="majorHAnsi"/>
          <w:bCs/>
          <w:sz w:val="20"/>
          <w:szCs w:val="20"/>
        </w:rPr>
        <w:t xml:space="preserve">to the criminal investigation, in particular the military </w:t>
      </w:r>
      <w:r w:rsidR="00E11DC1">
        <w:rPr>
          <w:rFonts w:asciiTheme="majorHAnsi" w:hAnsiTheme="majorHAnsi"/>
          <w:bCs/>
          <w:sz w:val="20"/>
          <w:szCs w:val="20"/>
        </w:rPr>
        <w:t xml:space="preserve">agents </w:t>
      </w:r>
      <w:r w:rsidR="00D1300D" w:rsidRPr="005B5A0D">
        <w:rPr>
          <w:rFonts w:asciiTheme="majorHAnsi" w:hAnsiTheme="majorHAnsi"/>
          <w:bCs/>
          <w:sz w:val="20"/>
          <w:szCs w:val="20"/>
        </w:rPr>
        <w:t xml:space="preserve">known as alias “el paisa” and “el </w:t>
      </w:r>
      <w:proofErr w:type="spellStart"/>
      <w:r w:rsidR="00D1300D" w:rsidRPr="005B5A0D">
        <w:rPr>
          <w:rFonts w:asciiTheme="majorHAnsi" w:hAnsiTheme="majorHAnsi"/>
          <w:bCs/>
          <w:sz w:val="20"/>
          <w:szCs w:val="20"/>
        </w:rPr>
        <w:t>costeño</w:t>
      </w:r>
      <w:proofErr w:type="spellEnd"/>
      <w:r w:rsidR="00D1300D" w:rsidRPr="005B5A0D">
        <w:rPr>
          <w:rFonts w:asciiTheme="majorHAnsi" w:hAnsiTheme="majorHAnsi"/>
          <w:bCs/>
          <w:sz w:val="20"/>
          <w:szCs w:val="20"/>
        </w:rPr>
        <w:t xml:space="preserve">”, continue to be </w:t>
      </w:r>
      <w:r w:rsidR="00E11DC1">
        <w:rPr>
          <w:rFonts w:asciiTheme="majorHAnsi" w:hAnsiTheme="majorHAnsi"/>
          <w:bCs/>
          <w:sz w:val="20"/>
          <w:szCs w:val="20"/>
        </w:rPr>
        <w:t xml:space="preserve">under </w:t>
      </w:r>
      <w:r w:rsidR="00D1300D" w:rsidRPr="005B5A0D">
        <w:rPr>
          <w:rFonts w:asciiTheme="majorHAnsi" w:hAnsiTheme="majorHAnsi"/>
          <w:bCs/>
          <w:sz w:val="20"/>
          <w:szCs w:val="20"/>
        </w:rPr>
        <w:t xml:space="preserve">investigation, and the Prosecutor's Office continues to collect evidence </w:t>
      </w:r>
      <w:r w:rsidR="00E11DC1">
        <w:rPr>
          <w:rFonts w:asciiTheme="majorHAnsi" w:hAnsiTheme="majorHAnsi"/>
          <w:bCs/>
          <w:sz w:val="20"/>
          <w:szCs w:val="20"/>
        </w:rPr>
        <w:t xml:space="preserve">in relation to them for the purpose of an </w:t>
      </w:r>
      <w:r w:rsidR="00D1300D" w:rsidRPr="005B5A0D">
        <w:rPr>
          <w:rFonts w:asciiTheme="majorHAnsi" w:hAnsiTheme="majorHAnsi"/>
          <w:bCs/>
          <w:sz w:val="20"/>
          <w:szCs w:val="20"/>
        </w:rPr>
        <w:t>eventual prosecution.</w:t>
      </w:r>
    </w:p>
    <w:p w14:paraId="6D38E936" w14:textId="77777777" w:rsidR="00E11DC1" w:rsidRDefault="00E11DC1" w:rsidP="00E11DC1">
      <w:pPr>
        <w:ind w:firstLine="360"/>
        <w:jc w:val="both"/>
        <w:rPr>
          <w:rFonts w:asciiTheme="majorHAnsi" w:hAnsiTheme="majorHAnsi"/>
          <w:bCs/>
          <w:sz w:val="20"/>
          <w:szCs w:val="20"/>
        </w:rPr>
      </w:pPr>
    </w:p>
    <w:p w14:paraId="6AE98AE1" w14:textId="77777777" w:rsidR="000F47C5" w:rsidRDefault="00E11DC1" w:rsidP="000F47C5">
      <w:pPr>
        <w:ind w:firstLine="360"/>
        <w:jc w:val="both"/>
        <w:rPr>
          <w:rFonts w:asciiTheme="majorHAnsi" w:hAnsiTheme="majorHAnsi"/>
          <w:bCs/>
          <w:sz w:val="20"/>
          <w:szCs w:val="20"/>
        </w:rPr>
      </w:pPr>
      <w:r>
        <w:rPr>
          <w:rFonts w:asciiTheme="majorHAnsi" w:hAnsiTheme="majorHAnsi"/>
          <w:bCs/>
          <w:sz w:val="20"/>
          <w:szCs w:val="20"/>
        </w:rPr>
        <w:t xml:space="preserve">11. </w:t>
      </w:r>
      <w:r w:rsidR="008213A6" w:rsidRPr="00E11DC1">
        <w:rPr>
          <w:rFonts w:asciiTheme="majorHAnsi" w:hAnsiTheme="majorHAnsi"/>
          <w:bCs/>
          <w:sz w:val="20"/>
          <w:szCs w:val="20"/>
        </w:rPr>
        <w:t xml:space="preserve">On the other hand, with regard to the investigation </w:t>
      </w:r>
      <w:r w:rsidR="000F47C5">
        <w:rPr>
          <w:rFonts w:asciiTheme="majorHAnsi" w:hAnsiTheme="majorHAnsi"/>
          <w:bCs/>
          <w:sz w:val="20"/>
          <w:szCs w:val="20"/>
        </w:rPr>
        <w:t xml:space="preserve">initiated following </w:t>
      </w:r>
      <w:r w:rsidR="008213A6" w:rsidRPr="00E11DC1">
        <w:rPr>
          <w:rFonts w:asciiTheme="majorHAnsi" w:hAnsiTheme="majorHAnsi"/>
          <w:bCs/>
          <w:sz w:val="20"/>
          <w:szCs w:val="20"/>
        </w:rPr>
        <w:t xml:space="preserve">the complaint filed by Freddy Torres </w:t>
      </w:r>
      <w:r w:rsidR="000F47C5">
        <w:rPr>
          <w:rFonts w:asciiTheme="majorHAnsi" w:hAnsiTheme="majorHAnsi"/>
          <w:bCs/>
          <w:sz w:val="20"/>
          <w:szCs w:val="20"/>
        </w:rPr>
        <w:t xml:space="preserve">for </w:t>
      </w:r>
      <w:r w:rsidR="008213A6" w:rsidRPr="00E11DC1">
        <w:rPr>
          <w:rFonts w:asciiTheme="majorHAnsi" w:hAnsiTheme="majorHAnsi"/>
          <w:bCs/>
          <w:sz w:val="20"/>
          <w:szCs w:val="20"/>
        </w:rPr>
        <w:t xml:space="preserve">the </w:t>
      </w:r>
      <w:r w:rsidR="000F47C5">
        <w:rPr>
          <w:rFonts w:asciiTheme="majorHAnsi" w:hAnsiTheme="majorHAnsi"/>
          <w:bCs/>
          <w:sz w:val="20"/>
          <w:szCs w:val="20"/>
        </w:rPr>
        <w:t xml:space="preserve">firearm </w:t>
      </w:r>
      <w:r w:rsidR="008213A6" w:rsidRPr="00E11DC1">
        <w:rPr>
          <w:rFonts w:asciiTheme="majorHAnsi" w:hAnsiTheme="majorHAnsi"/>
          <w:bCs/>
          <w:sz w:val="20"/>
          <w:szCs w:val="20"/>
        </w:rPr>
        <w:t xml:space="preserve">attack against him in February 2007, the State indicates that said investigation was closed without the alleged victim </w:t>
      </w:r>
      <w:r w:rsidR="006C32EF" w:rsidRPr="00E11DC1">
        <w:rPr>
          <w:rFonts w:asciiTheme="majorHAnsi" w:hAnsiTheme="majorHAnsi"/>
          <w:bCs/>
          <w:sz w:val="20"/>
          <w:szCs w:val="20"/>
        </w:rPr>
        <w:t xml:space="preserve">having </w:t>
      </w:r>
      <w:r w:rsidR="000F47C5">
        <w:rPr>
          <w:rFonts w:asciiTheme="majorHAnsi" w:hAnsiTheme="majorHAnsi"/>
          <w:bCs/>
          <w:sz w:val="20"/>
          <w:szCs w:val="20"/>
        </w:rPr>
        <w:t xml:space="preserve">contested </w:t>
      </w:r>
      <w:r w:rsidR="006C32EF" w:rsidRPr="00E11DC1">
        <w:rPr>
          <w:rFonts w:asciiTheme="majorHAnsi" w:hAnsiTheme="majorHAnsi"/>
          <w:bCs/>
          <w:sz w:val="20"/>
          <w:szCs w:val="20"/>
        </w:rPr>
        <w:t>the</w:t>
      </w:r>
      <w:r w:rsidR="008213A6" w:rsidRPr="00E11DC1">
        <w:rPr>
          <w:rFonts w:asciiTheme="majorHAnsi" w:hAnsiTheme="majorHAnsi"/>
          <w:bCs/>
          <w:sz w:val="20"/>
          <w:szCs w:val="20"/>
        </w:rPr>
        <w:t xml:space="preserve"> decision to archive</w:t>
      </w:r>
      <w:r w:rsidR="000F47C5">
        <w:rPr>
          <w:rFonts w:asciiTheme="majorHAnsi" w:hAnsiTheme="majorHAnsi"/>
          <w:bCs/>
          <w:sz w:val="20"/>
          <w:szCs w:val="20"/>
        </w:rPr>
        <w:t xml:space="preserve"> it</w:t>
      </w:r>
      <w:r w:rsidR="008213A6" w:rsidRPr="00E11DC1">
        <w:rPr>
          <w:rFonts w:asciiTheme="majorHAnsi" w:hAnsiTheme="majorHAnsi"/>
          <w:bCs/>
          <w:sz w:val="20"/>
          <w:szCs w:val="20"/>
        </w:rPr>
        <w:t xml:space="preserve">. Additionally, the State reports that the Office of the Attorney General of the Nation initiated a disciplinary investigation against four military </w:t>
      </w:r>
      <w:r w:rsidR="000F47C5">
        <w:rPr>
          <w:rFonts w:asciiTheme="majorHAnsi" w:hAnsiTheme="majorHAnsi"/>
          <w:bCs/>
          <w:sz w:val="20"/>
          <w:szCs w:val="20"/>
        </w:rPr>
        <w:t xml:space="preserve">agents </w:t>
      </w:r>
      <w:r w:rsidR="008213A6" w:rsidRPr="00E11DC1">
        <w:rPr>
          <w:rFonts w:asciiTheme="majorHAnsi" w:hAnsiTheme="majorHAnsi"/>
          <w:bCs/>
          <w:sz w:val="20"/>
          <w:szCs w:val="20"/>
        </w:rPr>
        <w:t xml:space="preserve">for the events </w:t>
      </w:r>
      <w:r w:rsidR="000F47C5">
        <w:rPr>
          <w:rFonts w:asciiTheme="majorHAnsi" w:hAnsiTheme="majorHAnsi"/>
          <w:bCs/>
          <w:sz w:val="20"/>
          <w:szCs w:val="20"/>
        </w:rPr>
        <w:t xml:space="preserve">of </w:t>
      </w:r>
      <w:r w:rsidR="008213A6" w:rsidRPr="00E11DC1">
        <w:rPr>
          <w:rFonts w:asciiTheme="majorHAnsi" w:hAnsiTheme="majorHAnsi"/>
          <w:bCs/>
          <w:sz w:val="20"/>
          <w:szCs w:val="20"/>
        </w:rPr>
        <w:t xml:space="preserve">July 2007, an investigation that is currently underway </w:t>
      </w:r>
      <w:r w:rsidR="000F47C5">
        <w:rPr>
          <w:rFonts w:asciiTheme="majorHAnsi" w:hAnsiTheme="majorHAnsi"/>
          <w:bCs/>
          <w:sz w:val="20"/>
          <w:szCs w:val="20"/>
        </w:rPr>
        <w:t xml:space="preserve">after </w:t>
      </w:r>
      <w:r w:rsidR="008213A6" w:rsidRPr="00E11DC1">
        <w:rPr>
          <w:rFonts w:asciiTheme="majorHAnsi" w:hAnsiTheme="majorHAnsi"/>
          <w:bCs/>
          <w:sz w:val="20"/>
          <w:szCs w:val="20"/>
        </w:rPr>
        <w:t xml:space="preserve">the Office of the Delegate Attorney for the Defense of the Human Rights </w:t>
      </w:r>
      <w:r w:rsidR="000F47C5">
        <w:rPr>
          <w:rFonts w:asciiTheme="majorHAnsi" w:hAnsiTheme="majorHAnsi"/>
          <w:bCs/>
          <w:sz w:val="20"/>
          <w:szCs w:val="20"/>
        </w:rPr>
        <w:t xml:space="preserve">formulated disciplinary charges on October 29, 2010 </w:t>
      </w:r>
      <w:r w:rsidR="008213A6" w:rsidRPr="00E11DC1">
        <w:rPr>
          <w:rFonts w:asciiTheme="majorHAnsi" w:hAnsiTheme="majorHAnsi"/>
          <w:bCs/>
          <w:sz w:val="20"/>
          <w:szCs w:val="20"/>
        </w:rPr>
        <w:t xml:space="preserve">against those investigated for having incurred a serious disciplinary offense consisting of </w:t>
      </w:r>
      <w:r w:rsidR="000F47C5">
        <w:rPr>
          <w:rFonts w:asciiTheme="majorHAnsi" w:hAnsiTheme="majorHAnsi"/>
          <w:bCs/>
          <w:sz w:val="20"/>
          <w:szCs w:val="20"/>
        </w:rPr>
        <w:t xml:space="preserve">an </w:t>
      </w:r>
      <w:r w:rsidR="008213A6" w:rsidRPr="00E11DC1">
        <w:rPr>
          <w:rFonts w:asciiTheme="majorHAnsi" w:hAnsiTheme="majorHAnsi"/>
          <w:bCs/>
          <w:sz w:val="20"/>
          <w:szCs w:val="20"/>
        </w:rPr>
        <w:t>alleged violation of international humanitarian law.</w:t>
      </w:r>
    </w:p>
    <w:p w14:paraId="3CD7C132" w14:textId="77777777" w:rsidR="000F47C5" w:rsidRDefault="000F47C5" w:rsidP="000F47C5">
      <w:pPr>
        <w:ind w:firstLine="360"/>
        <w:jc w:val="both"/>
        <w:rPr>
          <w:rFonts w:asciiTheme="majorHAnsi" w:hAnsiTheme="majorHAnsi"/>
          <w:bCs/>
          <w:sz w:val="20"/>
          <w:szCs w:val="20"/>
        </w:rPr>
      </w:pPr>
    </w:p>
    <w:p w14:paraId="46B5DE47" w14:textId="01FFFDC2" w:rsidR="006C32EF" w:rsidRPr="000F47C5" w:rsidRDefault="000F47C5" w:rsidP="000F47C5">
      <w:pPr>
        <w:ind w:firstLine="360"/>
        <w:jc w:val="both"/>
        <w:rPr>
          <w:rFonts w:asciiTheme="majorHAnsi" w:hAnsiTheme="majorHAnsi"/>
          <w:bCs/>
          <w:sz w:val="20"/>
          <w:szCs w:val="20"/>
        </w:rPr>
      </w:pPr>
      <w:r>
        <w:rPr>
          <w:rFonts w:asciiTheme="majorHAnsi" w:hAnsiTheme="majorHAnsi"/>
          <w:bCs/>
          <w:sz w:val="20"/>
          <w:szCs w:val="20"/>
        </w:rPr>
        <w:t>12. On the grounds of the above</w:t>
      </w:r>
      <w:r w:rsidR="006C32EF" w:rsidRPr="000F47C5">
        <w:rPr>
          <w:rFonts w:asciiTheme="majorHAnsi" w:hAnsiTheme="majorHAnsi"/>
          <w:bCs/>
          <w:sz w:val="20"/>
          <w:szCs w:val="20"/>
        </w:rPr>
        <w:t xml:space="preserve">, the State </w:t>
      </w:r>
      <w:r>
        <w:rPr>
          <w:rFonts w:asciiTheme="majorHAnsi" w:hAnsiTheme="majorHAnsi"/>
          <w:bCs/>
          <w:sz w:val="20"/>
          <w:szCs w:val="20"/>
        </w:rPr>
        <w:t>alleges</w:t>
      </w:r>
      <w:r w:rsidR="006C32EF" w:rsidRPr="000F47C5">
        <w:rPr>
          <w:rFonts w:asciiTheme="majorHAnsi" w:hAnsiTheme="majorHAnsi"/>
          <w:bCs/>
          <w:sz w:val="20"/>
          <w:szCs w:val="20"/>
        </w:rPr>
        <w:t>:</w:t>
      </w:r>
    </w:p>
    <w:p w14:paraId="4A1D152C" w14:textId="77777777" w:rsidR="006C32EF" w:rsidRPr="006C32EF" w:rsidRDefault="006C32EF" w:rsidP="006C32EF">
      <w:pPr>
        <w:pStyle w:val="ListParagraph"/>
        <w:jc w:val="both"/>
        <w:rPr>
          <w:rFonts w:asciiTheme="majorHAnsi" w:hAnsiTheme="majorHAnsi"/>
          <w:bCs/>
          <w:sz w:val="20"/>
          <w:szCs w:val="20"/>
        </w:rPr>
      </w:pPr>
    </w:p>
    <w:p w14:paraId="58C2087B" w14:textId="5662DEC7" w:rsidR="006C32EF" w:rsidRPr="000F47C5" w:rsidRDefault="006C32EF" w:rsidP="000F47C5">
      <w:pPr>
        <w:ind w:left="567" w:right="571"/>
        <w:jc w:val="both"/>
        <w:rPr>
          <w:rFonts w:asciiTheme="majorHAnsi" w:hAnsiTheme="majorHAnsi"/>
          <w:bCs/>
          <w:sz w:val="18"/>
          <w:szCs w:val="18"/>
        </w:rPr>
      </w:pPr>
      <w:r w:rsidRPr="000F47C5">
        <w:rPr>
          <w:rFonts w:asciiTheme="majorHAnsi" w:hAnsiTheme="majorHAnsi"/>
          <w:bCs/>
          <w:sz w:val="18"/>
          <w:szCs w:val="18"/>
        </w:rPr>
        <w:t xml:space="preserve">[T] he national jurisdiction has already taken the necessary actions to punish </w:t>
      </w:r>
      <w:r w:rsidR="000F47C5" w:rsidRPr="000F47C5">
        <w:rPr>
          <w:rFonts w:asciiTheme="majorHAnsi" w:hAnsiTheme="majorHAnsi"/>
          <w:bCs/>
          <w:sz w:val="18"/>
          <w:szCs w:val="18"/>
        </w:rPr>
        <w:t xml:space="preserve">and provide reparations for </w:t>
      </w:r>
      <w:r w:rsidRPr="000F47C5">
        <w:rPr>
          <w:rFonts w:asciiTheme="majorHAnsi" w:hAnsiTheme="majorHAnsi"/>
          <w:bCs/>
          <w:sz w:val="18"/>
          <w:szCs w:val="18"/>
        </w:rPr>
        <w:t xml:space="preserve">the violations of the ACHR alleged by the petitioners. </w:t>
      </w:r>
      <w:r w:rsidR="000F47C5" w:rsidRPr="000F47C5">
        <w:rPr>
          <w:rFonts w:asciiTheme="majorHAnsi" w:hAnsiTheme="majorHAnsi"/>
          <w:bCs/>
          <w:sz w:val="18"/>
          <w:szCs w:val="18"/>
        </w:rPr>
        <w:t xml:space="preserve">This conclusion </w:t>
      </w:r>
      <w:r w:rsidRPr="000F47C5">
        <w:rPr>
          <w:rFonts w:asciiTheme="majorHAnsi" w:hAnsiTheme="majorHAnsi"/>
          <w:bCs/>
          <w:sz w:val="18"/>
          <w:szCs w:val="18"/>
        </w:rPr>
        <w:t xml:space="preserve">is based on the rulings issued by the </w:t>
      </w:r>
      <w:proofErr w:type="spellStart"/>
      <w:r w:rsidRPr="000F47C5">
        <w:rPr>
          <w:rFonts w:asciiTheme="majorHAnsi" w:hAnsiTheme="majorHAnsi"/>
          <w:bCs/>
          <w:sz w:val="18"/>
          <w:szCs w:val="18"/>
        </w:rPr>
        <w:t>Fusagasugá</w:t>
      </w:r>
      <w:proofErr w:type="spellEnd"/>
      <w:r w:rsidRPr="000F47C5">
        <w:rPr>
          <w:rFonts w:asciiTheme="majorHAnsi" w:hAnsiTheme="majorHAnsi"/>
          <w:bCs/>
          <w:sz w:val="18"/>
          <w:szCs w:val="18"/>
        </w:rPr>
        <w:t xml:space="preserve"> Circuit Court and the Cundinamarca Administrative </w:t>
      </w:r>
      <w:r w:rsidR="000F47C5" w:rsidRPr="000F47C5">
        <w:rPr>
          <w:rFonts w:asciiTheme="majorHAnsi" w:hAnsiTheme="majorHAnsi"/>
          <w:bCs/>
          <w:sz w:val="18"/>
          <w:szCs w:val="18"/>
        </w:rPr>
        <w:t>Tribunal</w:t>
      </w:r>
      <w:r w:rsidRPr="000F47C5">
        <w:rPr>
          <w:rFonts w:asciiTheme="majorHAnsi" w:hAnsiTheme="majorHAnsi"/>
          <w:bCs/>
          <w:sz w:val="18"/>
          <w:szCs w:val="18"/>
        </w:rPr>
        <w:t xml:space="preserve">. Through said </w:t>
      </w:r>
      <w:r w:rsidR="000F47C5" w:rsidRPr="000F47C5">
        <w:rPr>
          <w:rFonts w:asciiTheme="majorHAnsi" w:hAnsiTheme="majorHAnsi"/>
          <w:bCs/>
          <w:sz w:val="18"/>
          <w:szCs w:val="18"/>
        </w:rPr>
        <w:t>judgments</w:t>
      </w:r>
      <w:r w:rsidRPr="000F47C5">
        <w:rPr>
          <w:rFonts w:asciiTheme="majorHAnsi" w:hAnsiTheme="majorHAnsi"/>
          <w:bCs/>
          <w:sz w:val="18"/>
          <w:szCs w:val="18"/>
        </w:rPr>
        <w:t xml:space="preserve">, the State definitively resolved the violations derived from the murder of Mr. </w:t>
      </w:r>
      <w:proofErr w:type="spellStart"/>
      <w:r w:rsidRPr="000F47C5">
        <w:rPr>
          <w:rFonts w:asciiTheme="majorHAnsi" w:hAnsiTheme="majorHAnsi"/>
          <w:bCs/>
          <w:sz w:val="18"/>
          <w:szCs w:val="18"/>
        </w:rPr>
        <w:t>Helvir</w:t>
      </w:r>
      <w:proofErr w:type="spellEnd"/>
      <w:r w:rsidRPr="000F47C5">
        <w:rPr>
          <w:rFonts w:asciiTheme="majorHAnsi" w:hAnsiTheme="majorHAnsi"/>
          <w:bCs/>
          <w:sz w:val="18"/>
          <w:szCs w:val="18"/>
        </w:rPr>
        <w:t xml:space="preserve"> Torres and the attempted murder of Freddy Torres, in accordance with the conventional guarantees.</w:t>
      </w:r>
    </w:p>
    <w:p w14:paraId="7FD02C2F" w14:textId="77777777" w:rsidR="006C32EF" w:rsidRDefault="006C32EF" w:rsidP="006C32EF">
      <w:pPr>
        <w:jc w:val="both"/>
        <w:rPr>
          <w:rFonts w:asciiTheme="majorHAnsi" w:hAnsiTheme="majorHAnsi"/>
          <w:bCs/>
          <w:sz w:val="20"/>
          <w:szCs w:val="20"/>
        </w:rPr>
      </w:pPr>
    </w:p>
    <w:p w14:paraId="2453DD7A" w14:textId="77777777" w:rsidR="000F47C5" w:rsidRDefault="006C32EF" w:rsidP="000F47C5">
      <w:pPr>
        <w:jc w:val="both"/>
        <w:rPr>
          <w:rFonts w:asciiTheme="majorHAnsi" w:hAnsiTheme="majorHAnsi"/>
          <w:bCs/>
          <w:sz w:val="20"/>
          <w:szCs w:val="20"/>
        </w:rPr>
      </w:pPr>
      <w:r w:rsidRPr="006C32EF">
        <w:rPr>
          <w:rFonts w:asciiTheme="majorHAnsi" w:hAnsiTheme="majorHAnsi"/>
          <w:bCs/>
          <w:sz w:val="20"/>
          <w:szCs w:val="20"/>
        </w:rPr>
        <w:t xml:space="preserve">Along </w:t>
      </w:r>
      <w:r w:rsidR="000F47C5">
        <w:rPr>
          <w:rFonts w:asciiTheme="majorHAnsi" w:hAnsiTheme="majorHAnsi"/>
          <w:bCs/>
          <w:sz w:val="20"/>
          <w:szCs w:val="20"/>
        </w:rPr>
        <w:t xml:space="preserve">this </w:t>
      </w:r>
      <w:r w:rsidRPr="006C32EF">
        <w:rPr>
          <w:rFonts w:asciiTheme="majorHAnsi" w:hAnsiTheme="majorHAnsi"/>
          <w:bCs/>
          <w:sz w:val="20"/>
          <w:szCs w:val="20"/>
        </w:rPr>
        <w:t xml:space="preserve">line, </w:t>
      </w:r>
      <w:r>
        <w:rPr>
          <w:rFonts w:asciiTheme="majorHAnsi" w:hAnsiTheme="majorHAnsi"/>
          <w:bCs/>
          <w:sz w:val="20"/>
          <w:szCs w:val="20"/>
        </w:rPr>
        <w:t>the State</w:t>
      </w:r>
      <w:r w:rsidRPr="006C32EF">
        <w:rPr>
          <w:rFonts w:asciiTheme="majorHAnsi" w:hAnsiTheme="majorHAnsi"/>
          <w:bCs/>
          <w:sz w:val="20"/>
          <w:szCs w:val="20"/>
        </w:rPr>
        <w:t xml:space="preserve"> alleges that the IACHR cannot re-examine these two domestic judicial decisions, which were respectful of human rights and have not been </w:t>
      </w:r>
      <w:r w:rsidR="000F47C5">
        <w:rPr>
          <w:rFonts w:asciiTheme="majorHAnsi" w:hAnsiTheme="majorHAnsi"/>
          <w:bCs/>
          <w:sz w:val="20"/>
          <w:szCs w:val="20"/>
        </w:rPr>
        <w:t xml:space="preserve">contested </w:t>
      </w:r>
      <w:r w:rsidRPr="006C32EF">
        <w:rPr>
          <w:rFonts w:asciiTheme="majorHAnsi" w:hAnsiTheme="majorHAnsi"/>
          <w:bCs/>
          <w:sz w:val="20"/>
          <w:szCs w:val="20"/>
        </w:rPr>
        <w:t xml:space="preserve">nationally or internationally by the victims, at the risk of </w:t>
      </w:r>
      <w:r w:rsidR="000F47C5">
        <w:rPr>
          <w:rFonts w:asciiTheme="majorHAnsi" w:hAnsiTheme="majorHAnsi"/>
          <w:bCs/>
          <w:sz w:val="20"/>
          <w:szCs w:val="20"/>
        </w:rPr>
        <w:t xml:space="preserve">acting as a </w:t>
      </w:r>
      <w:r w:rsidRPr="006C32EF">
        <w:rPr>
          <w:rFonts w:asciiTheme="majorHAnsi" w:hAnsiTheme="majorHAnsi"/>
          <w:bCs/>
          <w:sz w:val="20"/>
          <w:szCs w:val="20"/>
        </w:rPr>
        <w:t>fourth instance. The</w:t>
      </w:r>
      <w:r>
        <w:rPr>
          <w:rFonts w:asciiTheme="majorHAnsi" w:hAnsiTheme="majorHAnsi"/>
          <w:bCs/>
          <w:sz w:val="20"/>
          <w:szCs w:val="20"/>
        </w:rPr>
        <w:t xml:space="preserve"> State </w:t>
      </w:r>
      <w:r w:rsidRPr="006C32EF">
        <w:rPr>
          <w:rFonts w:asciiTheme="majorHAnsi" w:hAnsiTheme="majorHAnsi"/>
          <w:bCs/>
          <w:sz w:val="20"/>
          <w:szCs w:val="20"/>
        </w:rPr>
        <w:t>specif</w:t>
      </w:r>
      <w:r>
        <w:rPr>
          <w:rFonts w:asciiTheme="majorHAnsi" w:hAnsiTheme="majorHAnsi"/>
          <w:bCs/>
          <w:sz w:val="20"/>
          <w:szCs w:val="20"/>
        </w:rPr>
        <w:t>ies</w:t>
      </w:r>
      <w:r w:rsidRPr="006C32EF">
        <w:rPr>
          <w:rFonts w:asciiTheme="majorHAnsi" w:hAnsiTheme="majorHAnsi"/>
          <w:bCs/>
          <w:sz w:val="20"/>
          <w:szCs w:val="20"/>
        </w:rPr>
        <w:t xml:space="preserve"> in this regard that the criminal conviction of Lieutenant Colonel Luis Fernando Borja Aristizabal not only convicted the </w:t>
      </w:r>
      <w:r w:rsidR="000F47C5">
        <w:rPr>
          <w:rFonts w:asciiTheme="majorHAnsi" w:hAnsiTheme="majorHAnsi"/>
          <w:bCs/>
          <w:sz w:val="20"/>
          <w:szCs w:val="20"/>
        </w:rPr>
        <w:t xml:space="preserve">top culprit of </w:t>
      </w:r>
      <w:r w:rsidRPr="006C32EF">
        <w:rPr>
          <w:rFonts w:asciiTheme="majorHAnsi" w:hAnsiTheme="majorHAnsi"/>
          <w:bCs/>
          <w:sz w:val="20"/>
          <w:szCs w:val="20"/>
        </w:rPr>
        <w:t xml:space="preserve">the crime, but also clarified the circumstances of time, manner and place in which the homicide and the attempted </w:t>
      </w:r>
      <w:r w:rsidR="000F47C5">
        <w:rPr>
          <w:rFonts w:asciiTheme="majorHAnsi" w:hAnsiTheme="majorHAnsi"/>
          <w:bCs/>
          <w:sz w:val="20"/>
          <w:szCs w:val="20"/>
        </w:rPr>
        <w:t xml:space="preserve">homicide </w:t>
      </w:r>
      <w:r w:rsidRPr="006C32EF">
        <w:rPr>
          <w:rFonts w:asciiTheme="majorHAnsi" w:hAnsiTheme="majorHAnsi"/>
          <w:bCs/>
          <w:sz w:val="20"/>
          <w:szCs w:val="20"/>
        </w:rPr>
        <w:t xml:space="preserve">were committed, indicating the inconsistencies in the statements of the </w:t>
      </w:r>
      <w:r w:rsidR="000F47C5">
        <w:rPr>
          <w:rFonts w:asciiTheme="majorHAnsi" w:hAnsiTheme="majorHAnsi"/>
          <w:bCs/>
          <w:sz w:val="20"/>
          <w:szCs w:val="20"/>
        </w:rPr>
        <w:t xml:space="preserve">military agents </w:t>
      </w:r>
      <w:r w:rsidRPr="006C32EF">
        <w:rPr>
          <w:rFonts w:asciiTheme="majorHAnsi" w:hAnsiTheme="majorHAnsi"/>
          <w:bCs/>
          <w:sz w:val="20"/>
          <w:szCs w:val="20"/>
        </w:rPr>
        <w:t xml:space="preserve">and </w:t>
      </w:r>
      <w:r w:rsidR="000F47C5">
        <w:rPr>
          <w:rFonts w:asciiTheme="majorHAnsi" w:hAnsiTheme="majorHAnsi"/>
          <w:bCs/>
          <w:sz w:val="20"/>
          <w:szCs w:val="20"/>
        </w:rPr>
        <w:t xml:space="preserve">refuting the </w:t>
      </w:r>
      <w:r w:rsidRPr="006C32EF">
        <w:rPr>
          <w:rFonts w:asciiTheme="majorHAnsi" w:hAnsiTheme="majorHAnsi"/>
          <w:bCs/>
          <w:sz w:val="20"/>
          <w:szCs w:val="20"/>
        </w:rPr>
        <w:t xml:space="preserve">veracity of the false </w:t>
      </w:r>
      <w:r w:rsidR="000F47C5">
        <w:rPr>
          <w:rFonts w:asciiTheme="majorHAnsi" w:hAnsiTheme="majorHAnsi"/>
          <w:bCs/>
          <w:sz w:val="20"/>
          <w:szCs w:val="20"/>
        </w:rPr>
        <w:t xml:space="preserve">operations </w:t>
      </w:r>
      <w:r w:rsidRPr="006C32EF">
        <w:rPr>
          <w:rFonts w:asciiTheme="majorHAnsi" w:hAnsiTheme="majorHAnsi"/>
          <w:bCs/>
          <w:sz w:val="20"/>
          <w:szCs w:val="20"/>
        </w:rPr>
        <w:t xml:space="preserve">order and the </w:t>
      </w:r>
      <w:proofErr w:type="spellStart"/>
      <w:r w:rsidRPr="006C32EF">
        <w:rPr>
          <w:rFonts w:asciiTheme="majorHAnsi" w:hAnsiTheme="majorHAnsi"/>
          <w:bCs/>
          <w:sz w:val="20"/>
          <w:szCs w:val="20"/>
        </w:rPr>
        <w:t>Corcel</w:t>
      </w:r>
      <w:proofErr w:type="spellEnd"/>
      <w:r w:rsidRPr="006C32EF">
        <w:rPr>
          <w:rFonts w:asciiTheme="majorHAnsi" w:hAnsiTheme="majorHAnsi"/>
          <w:bCs/>
          <w:sz w:val="20"/>
          <w:szCs w:val="20"/>
        </w:rPr>
        <w:t xml:space="preserve"> Company</w:t>
      </w:r>
      <w:r w:rsidR="000F47C5">
        <w:rPr>
          <w:rFonts w:asciiTheme="majorHAnsi" w:hAnsiTheme="majorHAnsi"/>
          <w:bCs/>
          <w:sz w:val="20"/>
          <w:szCs w:val="20"/>
        </w:rPr>
        <w:t xml:space="preserve">’s operations </w:t>
      </w:r>
      <w:r w:rsidR="000F47C5" w:rsidRPr="006C32EF">
        <w:rPr>
          <w:rFonts w:asciiTheme="majorHAnsi" w:hAnsiTheme="majorHAnsi"/>
          <w:bCs/>
          <w:sz w:val="20"/>
          <w:szCs w:val="20"/>
        </w:rPr>
        <w:t>reports</w:t>
      </w:r>
      <w:r w:rsidRPr="006C32EF">
        <w:rPr>
          <w:rFonts w:asciiTheme="majorHAnsi" w:hAnsiTheme="majorHAnsi"/>
          <w:bCs/>
          <w:sz w:val="20"/>
          <w:szCs w:val="20"/>
        </w:rPr>
        <w:t xml:space="preserve">. </w:t>
      </w:r>
      <w:r w:rsidR="000F47C5">
        <w:rPr>
          <w:rFonts w:asciiTheme="majorHAnsi" w:hAnsiTheme="majorHAnsi"/>
          <w:bCs/>
          <w:sz w:val="20"/>
          <w:szCs w:val="20"/>
        </w:rPr>
        <w:t>T</w:t>
      </w:r>
      <w:r w:rsidRPr="006C32EF">
        <w:rPr>
          <w:rFonts w:asciiTheme="majorHAnsi" w:hAnsiTheme="majorHAnsi"/>
          <w:bCs/>
          <w:sz w:val="20"/>
          <w:szCs w:val="20"/>
        </w:rPr>
        <w:t xml:space="preserve">he victims did not file any </w:t>
      </w:r>
      <w:r w:rsidR="000F47C5">
        <w:rPr>
          <w:rFonts w:asciiTheme="majorHAnsi" w:hAnsiTheme="majorHAnsi"/>
          <w:bCs/>
          <w:sz w:val="20"/>
          <w:szCs w:val="20"/>
        </w:rPr>
        <w:t>remedy against this judgment</w:t>
      </w:r>
      <w:r w:rsidRPr="006C32EF">
        <w:rPr>
          <w:rFonts w:asciiTheme="majorHAnsi" w:hAnsiTheme="majorHAnsi"/>
          <w:bCs/>
          <w:sz w:val="20"/>
          <w:szCs w:val="20"/>
        </w:rPr>
        <w:t xml:space="preserve">, and furthermore, the criminal investigation continues with </w:t>
      </w:r>
      <w:r w:rsidR="000F47C5">
        <w:rPr>
          <w:rFonts w:asciiTheme="majorHAnsi" w:hAnsiTheme="majorHAnsi"/>
          <w:bCs/>
          <w:sz w:val="20"/>
          <w:szCs w:val="20"/>
        </w:rPr>
        <w:t xml:space="preserve">regard </w:t>
      </w:r>
      <w:r w:rsidRPr="006C32EF">
        <w:rPr>
          <w:rFonts w:asciiTheme="majorHAnsi" w:hAnsiTheme="majorHAnsi"/>
          <w:bCs/>
          <w:sz w:val="20"/>
          <w:szCs w:val="20"/>
        </w:rPr>
        <w:t xml:space="preserve">to the other possible perpetrators, including alias “el paisa” and alias “el </w:t>
      </w:r>
      <w:proofErr w:type="spellStart"/>
      <w:r w:rsidRPr="006C32EF">
        <w:rPr>
          <w:rFonts w:asciiTheme="majorHAnsi" w:hAnsiTheme="majorHAnsi"/>
          <w:bCs/>
          <w:sz w:val="20"/>
          <w:szCs w:val="20"/>
        </w:rPr>
        <w:t>costeño</w:t>
      </w:r>
      <w:proofErr w:type="spellEnd"/>
      <w:r w:rsidRPr="006C32EF">
        <w:rPr>
          <w:rFonts w:asciiTheme="majorHAnsi" w:hAnsiTheme="majorHAnsi"/>
          <w:bCs/>
          <w:sz w:val="20"/>
          <w:szCs w:val="20"/>
        </w:rPr>
        <w:t xml:space="preserve">”. In this </w:t>
      </w:r>
      <w:r w:rsidR="000F47C5">
        <w:rPr>
          <w:rFonts w:asciiTheme="majorHAnsi" w:hAnsiTheme="majorHAnsi"/>
          <w:bCs/>
          <w:sz w:val="20"/>
          <w:szCs w:val="20"/>
        </w:rPr>
        <w:t>connection</w:t>
      </w:r>
      <w:r w:rsidRPr="006C32EF">
        <w:rPr>
          <w:rFonts w:asciiTheme="majorHAnsi" w:hAnsiTheme="majorHAnsi"/>
          <w:bCs/>
          <w:sz w:val="20"/>
          <w:szCs w:val="20"/>
        </w:rPr>
        <w:t xml:space="preserve">, the State argues that, based on the jurisprudence of the Inter-American Court, the subsidiary jurisdiction of the organs of the </w:t>
      </w:r>
      <w:r w:rsidR="000F47C5">
        <w:rPr>
          <w:rFonts w:asciiTheme="majorHAnsi" w:hAnsiTheme="majorHAnsi"/>
          <w:bCs/>
          <w:sz w:val="20"/>
          <w:szCs w:val="20"/>
        </w:rPr>
        <w:t>Inter-American Human Rights System</w:t>
      </w:r>
      <w:r w:rsidRPr="006C32EF">
        <w:rPr>
          <w:rFonts w:asciiTheme="majorHAnsi" w:hAnsiTheme="majorHAnsi"/>
          <w:bCs/>
          <w:sz w:val="20"/>
          <w:szCs w:val="20"/>
        </w:rPr>
        <w:t xml:space="preserve"> is not activated when the State has failed to prosecute all those responsible for a specific crime, if that State has acted diligently </w:t>
      </w:r>
      <w:r w:rsidR="000F47C5">
        <w:rPr>
          <w:rFonts w:asciiTheme="majorHAnsi" w:hAnsiTheme="majorHAnsi"/>
          <w:bCs/>
          <w:sz w:val="20"/>
          <w:szCs w:val="20"/>
        </w:rPr>
        <w:t xml:space="preserve">in the clarification </w:t>
      </w:r>
      <w:r w:rsidRPr="006C32EF">
        <w:rPr>
          <w:rFonts w:asciiTheme="majorHAnsi" w:hAnsiTheme="majorHAnsi"/>
          <w:bCs/>
          <w:sz w:val="20"/>
          <w:szCs w:val="20"/>
        </w:rPr>
        <w:t xml:space="preserve">of the facts, the punishment of the </w:t>
      </w:r>
      <w:r w:rsidR="000F47C5">
        <w:rPr>
          <w:rFonts w:asciiTheme="majorHAnsi" w:hAnsiTheme="majorHAnsi"/>
          <w:bCs/>
          <w:sz w:val="20"/>
          <w:szCs w:val="20"/>
        </w:rPr>
        <w:t>top culprits</w:t>
      </w:r>
      <w:r w:rsidRPr="006C32EF">
        <w:rPr>
          <w:rFonts w:asciiTheme="majorHAnsi" w:hAnsiTheme="majorHAnsi"/>
          <w:bCs/>
          <w:sz w:val="20"/>
          <w:szCs w:val="20"/>
        </w:rPr>
        <w:t>, and the reparation of the victims.</w:t>
      </w:r>
    </w:p>
    <w:p w14:paraId="6256D047" w14:textId="77777777" w:rsidR="000F47C5" w:rsidRDefault="000F47C5" w:rsidP="000F47C5">
      <w:pPr>
        <w:jc w:val="both"/>
        <w:rPr>
          <w:rFonts w:asciiTheme="majorHAnsi" w:hAnsiTheme="majorHAnsi"/>
          <w:bCs/>
          <w:sz w:val="20"/>
          <w:szCs w:val="20"/>
        </w:rPr>
      </w:pPr>
    </w:p>
    <w:p w14:paraId="3DF1F5C2" w14:textId="18F5D76C" w:rsidR="006C32EF" w:rsidRPr="000F47C5" w:rsidRDefault="000F47C5" w:rsidP="000F47C5">
      <w:pPr>
        <w:ind w:firstLine="720"/>
        <w:jc w:val="both"/>
        <w:rPr>
          <w:rFonts w:asciiTheme="majorHAnsi" w:hAnsiTheme="majorHAnsi"/>
          <w:bCs/>
          <w:sz w:val="20"/>
          <w:szCs w:val="20"/>
        </w:rPr>
      </w:pPr>
      <w:r>
        <w:rPr>
          <w:rFonts w:asciiTheme="majorHAnsi" w:hAnsiTheme="majorHAnsi"/>
          <w:bCs/>
          <w:sz w:val="20"/>
          <w:szCs w:val="20"/>
        </w:rPr>
        <w:t xml:space="preserve">13. </w:t>
      </w:r>
      <w:r w:rsidR="006C32EF" w:rsidRPr="000F47C5">
        <w:rPr>
          <w:rFonts w:asciiTheme="majorHAnsi" w:hAnsiTheme="majorHAnsi"/>
          <w:bCs/>
          <w:sz w:val="20"/>
          <w:szCs w:val="20"/>
        </w:rPr>
        <w:t xml:space="preserve">In their additional observations to the State's response, the petitioners report that the ruling of the Administrative </w:t>
      </w:r>
      <w:r>
        <w:rPr>
          <w:rFonts w:asciiTheme="majorHAnsi" w:hAnsiTheme="majorHAnsi"/>
          <w:bCs/>
          <w:sz w:val="20"/>
          <w:szCs w:val="20"/>
        </w:rPr>
        <w:t xml:space="preserve">Tribunal </w:t>
      </w:r>
      <w:r w:rsidR="006C32EF" w:rsidRPr="000F47C5">
        <w:rPr>
          <w:rFonts w:asciiTheme="majorHAnsi" w:hAnsiTheme="majorHAnsi"/>
          <w:bCs/>
          <w:sz w:val="20"/>
          <w:szCs w:val="20"/>
        </w:rPr>
        <w:t>of Cundinamarca of May 7, 2015, which ordered the payment of financial reparations to the victims' next of kin</w:t>
      </w:r>
      <w:r>
        <w:rPr>
          <w:rFonts w:asciiTheme="majorHAnsi" w:hAnsiTheme="majorHAnsi"/>
          <w:bCs/>
          <w:sz w:val="20"/>
          <w:szCs w:val="20"/>
        </w:rPr>
        <w:t>,</w:t>
      </w:r>
      <w:r w:rsidR="006C32EF" w:rsidRPr="000F47C5">
        <w:rPr>
          <w:rFonts w:asciiTheme="majorHAnsi" w:hAnsiTheme="majorHAnsi"/>
          <w:bCs/>
          <w:sz w:val="20"/>
          <w:szCs w:val="20"/>
        </w:rPr>
        <w:t xml:space="preserve"> has not yet been complied with. They also argue that </w:t>
      </w:r>
      <w:r w:rsidR="006C32EF" w:rsidRPr="00427A2F">
        <w:rPr>
          <w:rFonts w:asciiTheme="majorHAnsi" w:hAnsiTheme="majorHAnsi"/>
          <w:bCs/>
          <w:i/>
          <w:iCs/>
          <w:sz w:val="20"/>
          <w:szCs w:val="20"/>
        </w:rPr>
        <w:t xml:space="preserve">“without </w:t>
      </w:r>
      <w:r w:rsidRPr="00427A2F">
        <w:rPr>
          <w:rFonts w:asciiTheme="majorHAnsi" w:hAnsiTheme="majorHAnsi"/>
          <w:bCs/>
          <w:i/>
          <w:iCs/>
          <w:sz w:val="20"/>
          <w:szCs w:val="20"/>
        </w:rPr>
        <w:t xml:space="preserve">disregarding </w:t>
      </w:r>
      <w:r w:rsidR="006C32EF" w:rsidRPr="00427A2F">
        <w:rPr>
          <w:rFonts w:asciiTheme="majorHAnsi" w:hAnsiTheme="majorHAnsi"/>
          <w:bCs/>
          <w:i/>
          <w:iCs/>
          <w:sz w:val="20"/>
          <w:szCs w:val="20"/>
        </w:rPr>
        <w:t xml:space="preserve">the satisfaction measures ordered by the Administrative </w:t>
      </w:r>
      <w:r w:rsidR="00427A2F" w:rsidRPr="00427A2F">
        <w:rPr>
          <w:rFonts w:asciiTheme="majorHAnsi" w:hAnsiTheme="majorHAnsi"/>
          <w:bCs/>
          <w:i/>
          <w:iCs/>
          <w:sz w:val="20"/>
          <w:szCs w:val="20"/>
        </w:rPr>
        <w:t>Tribunal</w:t>
      </w:r>
      <w:r w:rsidR="006C32EF" w:rsidRPr="00427A2F">
        <w:rPr>
          <w:rFonts w:asciiTheme="majorHAnsi" w:hAnsiTheme="majorHAnsi"/>
          <w:bCs/>
          <w:i/>
          <w:iCs/>
          <w:sz w:val="20"/>
          <w:szCs w:val="20"/>
        </w:rPr>
        <w:t xml:space="preserve">, it is important </w:t>
      </w:r>
      <w:r w:rsidR="00427A2F" w:rsidRPr="00427A2F">
        <w:rPr>
          <w:rFonts w:asciiTheme="majorHAnsi" w:hAnsiTheme="majorHAnsi"/>
          <w:bCs/>
          <w:i/>
          <w:iCs/>
          <w:sz w:val="20"/>
          <w:szCs w:val="20"/>
        </w:rPr>
        <w:t xml:space="preserve">for </w:t>
      </w:r>
      <w:r w:rsidR="006C32EF" w:rsidRPr="00427A2F">
        <w:rPr>
          <w:rFonts w:asciiTheme="majorHAnsi" w:hAnsiTheme="majorHAnsi"/>
          <w:bCs/>
          <w:i/>
          <w:iCs/>
          <w:sz w:val="20"/>
          <w:szCs w:val="20"/>
        </w:rPr>
        <w:t xml:space="preserve">the Commission </w:t>
      </w:r>
      <w:r w:rsidR="00427A2F" w:rsidRPr="00427A2F">
        <w:rPr>
          <w:rFonts w:asciiTheme="majorHAnsi" w:hAnsiTheme="majorHAnsi"/>
          <w:bCs/>
          <w:i/>
          <w:iCs/>
          <w:sz w:val="20"/>
          <w:szCs w:val="20"/>
        </w:rPr>
        <w:t xml:space="preserve">to </w:t>
      </w:r>
      <w:r w:rsidR="006C32EF" w:rsidRPr="00427A2F">
        <w:rPr>
          <w:rFonts w:asciiTheme="majorHAnsi" w:hAnsiTheme="majorHAnsi"/>
          <w:bCs/>
          <w:i/>
          <w:iCs/>
          <w:sz w:val="20"/>
          <w:szCs w:val="20"/>
        </w:rPr>
        <w:t xml:space="preserve">be able to issue orders that </w:t>
      </w:r>
      <w:r w:rsidR="00427A2F" w:rsidRPr="00427A2F">
        <w:rPr>
          <w:rFonts w:asciiTheme="majorHAnsi" w:hAnsiTheme="majorHAnsi"/>
          <w:bCs/>
          <w:i/>
          <w:iCs/>
          <w:sz w:val="20"/>
          <w:szCs w:val="20"/>
        </w:rPr>
        <w:t xml:space="preserve">include </w:t>
      </w:r>
      <w:r w:rsidR="006C32EF" w:rsidRPr="00427A2F">
        <w:rPr>
          <w:rFonts w:asciiTheme="majorHAnsi" w:hAnsiTheme="majorHAnsi"/>
          <w:bCs/>
          <w:i/>
          <w:iCs/>
          <w:sz w:val="20"/>
          <w:szCs w:val="20"/>
        </w:rPr>
        <w:t>the dimensions of rehabilitation and guarantees of non-repetition, as well as compensation orders for victims and damages not recognized in the administrative ruling”</w:t>
      </w:r>
      <w:r w:rsidR="006C32EF" w:rsidRPr="000F47C5">
        <w:rPr>
          <w:rFonts w:asciiTheme="majorHAnsi" w:hAnsiTheme="majorHAnsi"/>
          <w:bCs/>
          <w:sz w:val="20"/>
          <w:szCs w:val="20"/>
        </w:rPr>
        <w:t>.</w:t>
      </w:r>
    </w:p>
    <w:p w14:paraId="2F00E8C5" w14:textId="77777777" w:rsidR="00EE2636" w:rsidRPr="00EE2636" w:rsidRDefault="00EE2636" w:rsidP="00EE2636">
      <w:pPr>
        <w:jc w:val="both"/>
        <w:rPr>
          <w:rFonts w:asciiTheme="majorHAnsi" w:hAnsiTheme="majorHAnsi"/>
          <w:bCs/>
          <w:sz w:val="20"/>
          <w:szCs w:val="20"/>
        </w:rPr>
      </w:pPr>
    </w:p>
    <w:p w14:paraId="2B2DA3DE" w14:textId="6FEB554A" w:rsidR="00C8703D" w:rsidRPr="005556C6" w:rsidRDefault="00F621C3" w:rsidP="00CB1AAC">
      <w:pPr>
        <w:ind w:firstLine="360"/>
        <w:jc w:val="both"/>
        <w:rPr>
          <w:rFonts w:asciiTheme="majorHAnsi" w:hAnsiTheme="majorHAnsi"/>
          <w:bCs/>
          <w:sz w:val="20"/>
          <w:szCs w:val="20"/>
        </w:rPr>
      </w:pPr>
      <w:r w:rsidRPr="005556C6">
        <w:rPr>
          <w:rFonts w:asciiTheme="majorHAnsi" w:hAnsiTheme="majorHAnsi"/>
          <w:b/>
          <w:bCs/>
          <w:sz w:val="20"/>
          <w:szCs w:val="20"/>
        </w:rPr>
        <w:t>VI.</w:t>
      </w:r>
      <w:r w:rsidRPr="005556C6">
        <w:rPr>
          <w:rFonts w:asciiTheme="majorHAnsi" w:hAnsiTheme="majorHAnsi"/>
          <w:b/>
          <w:bCs/>
          <w:sz w:val="20"/>
          <w:szCs w:val="20"/>
        </w:rPr>
        <w:tab/>
      </w:r>
      <w:r w:rsidR="001F1902" w:rsidRPr="005556C6">
        <w:rPr>
          <w:rFonts w:asciiTheme="majorHAnsi" w:hAnsiTheme="majorHAnsi"/>
          <w:b/>
          <w:bCs/>
          <w:sz w:val="20"/>
          <w:szCs w:val="20"/>
        </w:rPr>
        <w:t xml:space="preserve">ANALYSIS OF </w:t>
      </w:r>
      <w:r w:rsidRPr="005556C6">
        <w:rPr>
          <w:rFonts w:asciiTheme="majorHAnsi" w:hAnsiTheme="majorHAnsi"/>
          <w:b/>
          <w:sz w:val="20"/>
          <w:szCs w:val="20"/>
        </w:rPr>
        <w:t>EXHAUSTION OF DOMESTIC REMEDIES AND TIMELINESS OF THE PETITION</w:t>
      </w:r>
    </w:p>
    <w:p w14:paraId="616D8A43" w14:textId="77777777" w:rsidR="008E00E2" w:rsidRDefault="008E00E2" w:rsidP="008E00E2">
      <w:pPr>
        <w:spacing w:before="240" w:after="240"/>
        <w:ind w:firstLine="360"/>
        <w:jc w:val="both"/>
        <w:rPr>
          <w:rFonts w:asciiTheme="majorHAnsi" w:hAnsiTheme="majorHAnsi"/>
          <w:bCs/>
          <w:sz w:val="20"/>
          <w:szCs w:val="20"/>
        </w:rPr>
      </w:pPr>
      <w:r>
        <w:rPr>
          <w:rFonts w:asciiTheme="majorHAnsi" w:hAnsiTheme="majorHAnsi"/>
          <w:bCs/>
          <w:sz w:val="20"/>
          <w:szCs w:val="20"/>
        </w:rPr>
        <w:t xml:space="preserve">14. </w:t>
      </w:r>
      <w:r w:rsidR="006C32EF" w:rsidRPr="008E00E2">
        <w:rPr>
          <w:rFonts w:asciiTheme="majorHAnsi" w:hAnsiTheme="majorHAnsi"/>
          <w:bCs/>
          <w:sz w:val="20"/>
          <w:szCs w:val="20"/>
        </w:rPr>
        <w:t xml:space="preserve">In the first place, the IACHR recalls its constant position according to which, in cases in which violations of the right to life are alleged, the appropriate remedy that must be exhausted at the domestic level is </w:t>
      </w:r>
      <w:r>
        <w:rPr>
          <w:rFonts w:asciiTheme="majorHAnsi" w:hAnsiTheme="majorHAnsi"/>
          <w:bCs/>
          <w:sz w:val="20"/>
          <w:szCs w:val="20"/>
        </w:rPr>
        <w:t xml:space="preserve">that of </w:t>
      </w:r>
      <w:r w:rsidR="006C32EF" w:rsidRPr="008E00E2">
        <w:rPr>
          <w:rFonts w:asciiTheme="majorHAnsi" w:hAnsiTheme="majorHAnsi"/>
          <w:bCs/>
          <w:sz w:val="20"/>
          <w:szCs w:val="20"/>
        </w:rPr>
        <w:t xml:space="preserve">criminal proceedings, through the </w:t>
      </w:r>
      <w:r>
        <w:rPr>
          <w:rFonts w:asciiTheme="majorHAnsi" w:hAnsiTheme="majorHAnsi"/>
          <w:bCs/>
          <w:sz w:val="20"/>
          <w:szCs w:val="20"/>
        </w:rPr>
        <w:t xml:space="preserve">ex officio </w:t>
      </w:r>
      <w:r w:rsidR="006C32EF" w:rsidRPr="008E00E2">
        <w:rPr>
          <w:rFonts w:asciiTheme="majorHAnsi" w:hAnsiTheme="majorHAnsi"/>
          <w:bCs/>
          <w:sz w:val="20"/>
          <w:szCs w:val="20"/>
        </w:rPr>
        <w:t>and diligent conduct</w:t>
      </w:r>
      <w:r>
        <w:rPr>
          <w:rFonts w:asciiTheme="majorHAnsi" w:hAnsiTheme="majorHAnsi"/>
          <w:bCs/>
          <w:sz w:val="20"/>
          <w:szCs w:val="20"/>
        </w:rPr>
        <w:t>ion</w:t>
      </w:r>
      <w:r w:rsidR="006C32EF" w:rsidRPr="008E00E2">
        <w:rPr>
          <w:rFonts w:asciiTheme="majorHAnsi" w:hAnsiTheme="majorHAnsi"/>
          <w:bCs/>
          <w:sz w:val="20"/>
          <w:szCs w:val="20"/>
        </w:rPr>
        <w:t xml:space="preserve"> of investigation</w:t>
      </w:r>
      <w:r>
        <w:rPr>
          <w:rFonts w:asciiTheme="majorHAnsi" w:hAnsiTheme="majorHAnsi"/>
          <w:bCs/>
          <w:sz w:val="20"/>
          <w:szCs w:val="20"/>
        </w:rPr>
        <w:t>s</w:t>
      </w:r>
      <w:r w:rsidR="006C32EF" w:rsidRPr="008E00E2">
        <w:rPr>
          <w:rFonts w:asciiTheme="majorHAnsi" w:hAnsiTheme="majorHAnsi"/>
          <w:bCs/>
          <w:sz w:val="20"/>
          <w:szCs w:val="20"/>
        </w:rPr>
        <w:t xml:space="preserve"> </w:t>
      </w:r>
      <w:r>
        <w:rPr>
          <w:rFonts w:asciiTheme="majorHAnsi" w:hAnsiTheme="majorHAnsi"/>
          <w:bCs/>
          <w:sz w:val="20"/>
          <w:szCs w:val="20"/>
        </w:rPr>
        <w:t xml:space="preserve">which can identify </w:t>
      </w:r>
      <w:r w:rsidR="006C32EF" w:rsidRPr="008E00E2">
        <w:rPr>
          <w:rFonts w:asciiTheme="majorHAnsi" w:hAnsiTheme="majorHAnsi"/>
          <w:bCs/>
          <w:sz w:val="20"/>
          <w:szCs w:val="20"/>
        </w:rPr>
        <w:t>those responsible for the violation and subject them to trial and punishment in accordance with the American Convention</w:t>
      </w:r>
      <w:r w:rsidR="005E2262" w:rsidRPr="00507154">
        <w:rPr>
          <w:rStyle w:val="FootnoteReference"/>
          <w:rFonts w:asciiTheme="majorHAnsi" w:hAnsiTheme="majorHAnsi"/>
          <w:sz w:val="20"/>
          <w:szCs w:val="20"/>
          <w:lang w:val="es-ES_tradnl"/>
        </w:rPr>
        <w:footnoteReference w:id="5"/>
      </w:r>
      <w:r w:rsidR="006C32EF" w:rsidRPr="008E00E2">
        <w:rPr>
          <w:rFonts w:asciiTheme="majorHAnsi" w:hAnsiTheme="majorHAnsi"/>
          <w:bCs/>
          <w:sz w:val="20"/>
          <w:szCs w:val="20"/>
        </w:rPr>
        <w:t xml:space="preserve">. This burden must be assumed by the State as its own legal duty, and not as a management of the </w:t>
      </w:r>
      <w:r w:rsidR="006C32EF" w:rsidRPr="008E00E2">
        <w:rPr>
          <w:rFonts w:asciiTheme="majorHAnsi" w:hAnsiTheme="majorHAnsi"/>
          <w:bCs/>
          <w:sz w:val="20"/>
          <w:szCs w:val="20"/>
        </w:rPr>
        <w:lastRenderedPageBreak/>
        <w:t xml:space="preserve">interests of </w:t>
      </w:r>
      <w:r>
        <w:rPr>
          <w:rFonts w:asciiTheme="majorHAnsi" w:hAnsiTheme="majorHAnsi"/>
          <w:bCs/>
          <w:sz w:val="20"/>
          <w:szCs w:val="20"/>
        </w:rPr>
        <w:t>private persons, n</w:t>
      </w:r>
      <w:r w:rsidR="006C32EF" w:rsidRPr="008E00E2">
        <w:rPr>
          <w:rFonts w:asciiTheme="majorHAnsi" w:hAnsiTheme="majorHAnsi"/>
          <w:bCs/>
          <w:sz w:val="20"/>
          <w:szCs w:val="20"/>
        </w:rPr>
        <w:t xml:space="preserve">or </w:t>
      </w:r>
      <w:r>
        <w:rPr>
          <w:rFonts w:asciiTheme="majorHAnsi" w:hAnsiTheme="majorHAnsi"/>
          <w:bCs/>
          <w:sz w:val="20"/>
          <w:szCs w:val="20"/>
        </w:rPr>
        <w:t xml:space="preserve">as </w:t>
      </w:r>
      <w:r w:rsidR="006C32EF" w:rsidRPr="008E00E2">
        <w:rPr>
          <w:rFonts w:asciiTheme="majorHAnsi" w:hAnsiTheme="majorHAnsi"/>
          <w:bCs/>
          <w:sz w:val="20"/>
          <w:szCs w:val="20"/>
        </w:rPr>
        <w:t xml:space="preserve">one that depends on </w:t>
      </w:r>
      <w:r>
        <w:rPr>
          <w:rFonts w:asciiTheme="majorHAnsi" w:hAnsiTheme="majorHAnsi"/>
          <w:bCs/>
          <w:sz w:val="20"/>
          <w:szCs w:val="20"/>
        </w:rPr>
        <w:t xml:space="preserve">their private </w:t>
      </w:r>
      <w:r w:rsidR="006C32EF" w:rsidRPr="008E00E2">
        <w:rPr>
          <w:rFonts w:asciiTheme="majorHAnsi" w:hAnsiTheme="majorHAnsi"/>
          <w:bCs/>
          <w:sz w:val="20"/>
          <w:szCs w:val="20"/>
        </w:rPr>
        <w:t>initiative or on the provision of evidence by them</w:t>
      </w:r>
      <w:r w:rsidR="005E2262" w:rsidRPr="00507154">
        <w:rPr>
          <w:rStyle w:val="FootnoteReference"/>
          <w:rFonts w:asciiTheme="majorHAnsi" w:hAnsiTheme="majorHAnsi"/>
          <w:sz w:val="20"/>
          <w:szCs w:val="20"/>
          <w:lang w:val="es-ES_tradnl"/>
        </w:rPr>
        <w:footnoteReference w:id="6"/>
      </w:r>
      <w:r w:rsidR="006C32EF" w:rsidRPr="008E00E2">
        <w:rPr>
          <w:rFonts w:asciiTheme="majorHAnsi" w:hAnsiTheme="majorHAnsi"/>
          <w:bCs/>
          <w:sz w:val="20"/>
          <w:szCs w:val="20"/>
        </w:rPr>
        <w:t xml:space="preserve">. </w:t>
      </w:r>
      <w:r>
        <w:rPr>
          <w:rFonts w:asciiTheme="majorHAnsi" w:hAnsiTheme="majorHAnsi"/>
          <w:bCs/>
          <w:sz w:val="20"/>
          <w:szCs w:val="20"/>
        </w:rPr>
        <w:t xml:space="preserve">As for </w:t>
      </w:r>
      <w:r w:rsidR="006C32EF" w:rsidRPr="008E00E2">
        <w:rPr>
          <w:rFonts w:asciiTheme="majorHAnsi" w:hAnsiTheme="majorHAnsi"/>
          <w:bCs/>
          <w:sz w:val="20"/>
          <w:szCs w:val="20"/>
        </w:rPr>
        <w:t xml:space="preserve">the direct reparation </w:t>
      </w:r>
      <w:r>
        <w:rPr>
          <w:rFonts w:asciiTheme="majorHAnsi" w:hAnsiTheme="majorHAnsi"/>
          <w:bCs/>
          <w:sz w:val="20"/>
          <w:szCs w:val="20"/>
        </w:rPr>
        <w:t xml:space="preserve">proceedings </w:t>
      </w:r>
      <w:r w:rsidR="006C32EF" w:rsidRPr="008E00E2">
        <w:rPr>
          <w:rFonts w:asciiTheme="majorHAnsi" w:hAnsiTheme="majorHAnsi"/>
          <w:bCs/>
          <w:sz w:val="20"/>
          <w:szCs w:val="20"/>
        </w:rPr>
        <w:t xml:space="preserve">before the contentious-administrative jurisdiction, the Commission has </w:t>
      </w:r>
      <w:r>
        <w:rPr>
          <w:rFonts w:asciiTheme="majorHAnsi" w:hAnsiTheme="majorHAnsi"/>
          <w:bCs/>
          <w:sz w:val="20"/>
          <w:szCs w:val="20"/>
        </w:rPr>
        <w:t xml:space="preserve">reiteratively held </w:t>
      </w:r>
      <w:r w:rsidR="006C32EF" w:rsidRPr="008E00E2">
        <w:rPr>
          <w:rFonts w:asciiTheme="majorHAnsi" w:hAnsiTheme="majorHAnsi"/>
          <w:bCs/>
          <w:sz w:val="20"/>
          <w:szCs w:val="20"/>
        </w:rPr>
        <w:t xml:space="preserve">that said avenue does not constitute a suitable remedy for the purposes of analyzing the admissibility of a claim of </w:t>
      </w:r>
      <w:r>
        <w:rPr>
          <w:rFonts w:asciiTheme="majorHAnsi" w:hAnsiTheme="majorHAnsi"/>
          <w:bCs/>
          <w:sz w:val="20"/>
          <w:szCs w:val="20"/>
        </w:rPr>
        <w:t xml:space="preserve">such </w:t>
      </w:r>
      <w:r w:rsidR="006C32EF" w:rsidRPr="008E00E2">
        <w:rPr>
          <w:rFonts w:asciiTheme="majorHAnsi" w:hAnsiTheme="majorHAnsi"/>
          <w:bCs/>
          <w:sz w:val="20"/>
          <w:szCs w:val="20"/>
        </w:rPr>
        <w:t xml:space="preserve">nature </w:t>
      </w:r>
      <w:r>
        <w:rPr>
          <w:rFonts w:asciiTheme="majorHAnsi" w:hAnsiTheme="majorHAnsi"/>
          <w:bCs/>
          <w:sz w:val="20"/>
          <w:szCs w:val="20"/>
        </w:rPr>
        <w:t xml:space="preserve">as </w:t>
      </w:r>
      <w:r w:rsidR="006C32EF" w:rsidRPr="008E00E2">
        <w:rPr>
          <w:rFonts w:asciiTheme="majorHAnsi" w:hAnsiTheme="majorHAnsi"/>
          <w:bCs/>
          <w:sz w:val="20"/>
          <w:szCs w:val="20"/>
        </w:rPr>
        <w:t>the present</w:t>
      </w:r>
      <w:r>
        <w:rPr>
          <w:rFonts w:asciiTheme="majorHAnsi" w:hAnsiTheme="majorHAnsi"/>
          <w:bCs/>
          <w:sz w:val="20"/>
          <w:szCs w:val="20"/>
        </w:rPr>
        <w:t xml:space="preserve"> one</w:t>
      </w:r>
      <w:r w:rsidR="006C32EF" w:rsidRPr="008E00E2">
        <w:rPr>
          <w:rFonts w:asciiTheme="majorHAnsi" w:hAnsiTheme="majorHAnsi"/>
          <w:bCs/>
          <w:sz w:val="20"/>
          <w:szCs w:val="20"/>
        </w:rPr>
        <w:t xml:space="preserve">, since it is not adequate to provide </w:t>
      </w:r>
      <w:r>
        <w:rPr>
          <w:rFonts w:asciiTheme="majorHAnsi" w:hAnsiTheme="majorHAnsi"/>
          <w:bCs/>
          <w:sz w:val="20"/>
          <w:szCs w:val="20"/>
        </w:rPr>
        <w:t xml:space="preserve">full </w:t>
      </w:r>
      <w:r w:rsidR="006C32EF" w:rsidRPr="008E00E2">
        <w:rPr>
          <w:rFonts w:asciiTheme="majorHAnsi" w:hAnsiTheme="majorHAnsi"/>
          <w:bCs/>
          <w:sz w:val="20"/>
          <w:szCs w:val="20"/>
        </w:rPr>
        <w:t xml:space="preserve">reparations that include </w:t>
      </w:r>
      <w:r>
        <w:rPr>
          <w:rFonts w:asciiTheme="majorHAnsi" w:hAnsiTheme="majorHAnsi"/>
          <w:bCs/>
          <w:sz w:val="20"/>
          <w:szCs w:val="20"/>
        </w:rPr>
        <w:t xml:space="preserve">the </w:t>
      </w:r>
      <w:r w:rsidR="006C32EF" w:rsidRPr="008E00E2">
        <w:rPr>
          <w:rFonts w:asciiTheme="majorHAnsi" w:hAnsiTheme="majorHAnsi"/>
          <w:bCs/>
          <w:sz w:val="20"/>
          <w:szCs w:val="20"/>
        </w:rPr>
        <w:t xml:space="preserve">clarification of the facts and the satisfaction of the </w:t>
      </w:r>
      <w:r>
        <w:rPr>
          <w:rFonts w:asciiTheme="majorHAnsi" w:hAnsiTheme="majorHAnsi"/>
          <w:bCs/>
          <w:sz w:val="20"/>
          <w:szCs w:val="20"/>
        </w:rPr>
        <w:t xml:space="preserve">legitimate </w:t>
      </w:r>
      <w:r w:rsidR="006C32EF" w:rsidRPr="008E00E2">
        <w:rPr>
          <w:rFonts w:asciiTheme="majorHAnsi" w:hAnsiTheme="majorHAnsi"/>
          <w:bCs/>
          <w:sz w:val="20"/>
          <w:szCs w:val="20"/>
        </w:rPr>
        <w:t>expectations of justice of the victims</w:t>
      </w:r>
      <w:r>
        <w:rPr>
          <w:rFonts w:asciiTheme="majorHAnsi" w:hAnsiTheme="majorHAnsi"/>
          <w:bCs/>
          <w:sz w:val="20"/>
          <w:szCs w:val="20"/>
        </w:rPr>
        <w:t>’ families</w:t>
      </w:r>
      <w:r w:rsidR="006C32EF" w:rsidRPr="008E00E2">
        <w:rPr>
          <w:rFonts w:asciiTheme="majorHAnsi" w:hAnsiTheme="majorHAnsi"/>
          <w:bCs/>
          <w:sz w:val="20"/>
          <w:szCs w:val="20"/>
        </w:rPr>
        <w:t xml:space="preserve">, in addition to the other components of the </w:t>
      </w:r>
      <w:r>
        <w:rPr>
          <w:rFonts w:asciiTheme="majorHAnsi" w:hAnsiTheme="majorHAnsi"/>
          <w:bCs/>
          <w:sz w:val="20"/>
          <w:szCs w:val="20"/>
        </w:rPr>
        <w:t xml:space="preserve">full </w:t>
      </w:r>
      <w:r w:rsidR="006C32EF" w:rsidRPr="008E00E2">
        <w:rPr>
          <w:rFonts w:asciiTheme="majorHAnsi" w:hAnsiTheme="majorHAnsi"/>
          <w:bCs/>
          <w:sz w:val="20"/>
          <w:szCs w:val="20"/>
        </w:rPr>
        <w:t>reparations that have been identified and applied by the organs of the Inter-American System</w:t>
      </w:r>
      <w:r>
        <w:rPr>
          <w:rFonts w:asciiTheme="majorHAnsi" w:hAnsiTheme="majorHAnsi"/>
          <w:bCs/>
          <w:sz w:val="20"/>
          <w:szCs w:val="20"/>
        </w:rPr>
        <w:t>.</w:t>
      </w:r>
    </w:p>
    <w:p w14:paraId="299DB8EA" w14:textId="77777777" w:rsidR="00402986" w:rsidRDefault="008E00E2" w:rsidP="00402986">
      <w:pPr>
        <w:spacing w:before="240" w:after="240"/>
        <w:ind w:firstLine="360"/>
        <w:jc w:val="both"/>
        <w:rPr>
          <w:rFonts w:asciiTheme="majorHAnsi" w:hAnsiTheme="majorHAnsi"/>
          <w:bCs/>
          <w:sz w:val="20"/>
          <w:szCs w:val="20"/>
        </w:rPr>
      </w:pPr>
      <w:r>
        <w:rPr>
          <w:rFonts w:asciiTheme="majorHAnsi" w:hAnsiTheme="majorHAnsi"/>
          <w:bCs/>
          <w:sz w:val="20"/>
          <w:szCs w:val="20"/>
        </w:rPr>
        <w:t xml:space="preserve">15. </w:t>
      </w:r>
      <w:r w:rsidR="006C32EF" w:rsidRPr="008E00E2">
        <w:rPr>
          <w:rFonts w:asciiTheme="majorHAnsi" w:hAnsiTheme="majorHAnsi"/>
          <w:bCs/>
          <w:sz w:val="20"/>
          <w:szCs w:val="20"/>
        </w:rPr>
        <w:t xml:space="preserve">In this sense, </w:t>
      </w:r>
      <w:r>
        <w:rPr>
          <w:rFonts w:asciiTheme="majorHAnsi" w:hAnsiTheme="majorHAnsi"/>
          <w:bCs/>
          <w:sz w:val="20"/>
          <w:szCs w:val="20"/>
        </w:rPr>
        <w:t xml:space="preserve">regarding </w:t>
      </w:r>
      <w:r w:rsidR="006C32EF" w:rsidRPr="008E00E2">
        <w:rPr>
          <w:rFonts w:asciiTheme="majorHAnsi" w:hAnsiTheme="majorHAnsi"/>
          <w:bCs/>
          <w:sz w:val="20"/>
          <w:szCs w:val="20"/>
        </w:rPr>
        <w:t xml:space="preserve">the violation of the right to life of Mr. </w:t>
      </w:r>
      <w:proofErr w:type="spellStart"/>
      <w:r w:rsidR="006C32EF" w:rsidRPr="008E00E2">
        <w:rPr>
          <w:rFonts w:asciiTheme="majorHAnsi" w:hAnsiTheme="majorHAnsi"/>
          <w:bCs/>
          <w:sz w:val="20"/>
          <w:szCs w:val="20"/>
        </w:rPr>
        <w:t>Helvir</w:t>
      </w:r>
      <w:proofErr w:type="spellEnd"/>
      <w:r w:rsidR="006C32EF" w:rsidRPr="008E00E2">
        <w:rPr>
          <w:rFonts w:asciiTheme="majorHAnsi" w:hAnsiTheme="majorHAnsi"/>
          <w:bCs/>
          <w:sz w:val="20"/>
          <w:szCs w:val="20"/>
        </w:rPr>
        <w:t xml:space="preserve"> Antonio Torres </w:t>
      </w:r>
      <w:proofErr w:type="spellStart"/>
      <w:r w:rsidR="006C32EF" w:rsidRPr="008E00E2">
        <w:rPr>
          <w:rFonts w:asciiTheme="majorHAnsi" w:hAnsiTheme="majorHAnsi"/>
          <w:bCs/>
          <w:sz w:val="20"/>
          <w:szCs w:val="20"/>
        </w:rPr>
        <w:t>Clavijo</w:t>
      </w:r>
      <w:proofErr w:type="spellEnd"/>
      <w:r w:rsidR="006C32EF" w:rsidRPr="008E00E2">
        <w:rPr>
          <w:rFonts w:asciiTheme="majorHAnsi" w:hAnsiTheme="majorHAnsi"/>
          <w:bCs/>
          <w:sz w:val="20"/>
          <w:szCs w:val="20"/>
        </w:rPr>
        <w:t xml:space="preserve">, as well as the attempted violation of the right to life of Mr. Freddy Torres </w:t>
      </w:r>
      <w:proofErr w:type="spellStart"/>
      <w:r w:rsidR="006C32EF" w:rsidRPr="008E00E2">
        <w:rPr>
          <w:rFonts w:asciiTheme="majorHAnsi" w:hAnsiTheme="majorHAnsi"/>
          <w:bCs/>
          <w:sz w:val="20"/>
          <w:szCs w:val="20"/>
        </w:rPr>
        <w:t>Torres</w:t>
      </w:r>
      <w:proofErr w:type="spellEnd"/>
      <w:r w:rsidR="006C32EF" w:rsidRPr="008E00E2">
        <w:rPr>
          <w:rFonts w:asciiTheme="majorHAnsi" w:hAnsiTheme="majorHAnsi"/>
          <w:bCs/>
          <w:sz w:val="20"/>
          <w:szCs w:val="20"/>
        </w:rPr>
        <w:t xml:space="preserve">, the </w:t>
      </w:r>
      <w:r>
        <w:rPr>
          <w:rFonts w:asciiTheme="majorHAnsi" w:hAnsiTheme="majorHAnsi"/>
          <w:bCs/>
          <w:sz w:val="20"/>
          <w:szCs w:val="20"/>
        </w:rPr>
        <w:t xml:space="preserve">adequate </w:t>
      </w:r>
      <w:r w:rsidR="006C32EF" w:rsidRPr="008E00E2">
        <w:rPr>
          <w:rFonts w:asciiTheme="majorHAnsi" w:hAnsiTheme="majorHAnsi"/>
          <w:bCs/>
          <w:sz w:val="20"/>
          <w:szCs w:val="20"/>
        </w:rPr>
        <w:t>remedy to exhaust was the criminal investigation of all those responsible for the attack. As it has done on other occasions</w:t>
      </w:r>
      <w:r w:rsidR="005E2262" w:rsidRPr="00507154">
        <w:rPr>
          <w:rStyle w:val="FootnoteReference"/>
          <w:rFonts w:asciiTheme="majorHAnsi" w:hAnsiTheme="majorHAnsi"/>
          <w:sz w:val="20"/>
          <w:szCs w:val="20"/>
          <w:lang w:val="es-ES"/>
        </w:rPr>
        <w:footnoteReference w:id="7"/>
      </w:r>
      <w:r w:rsidR="006C32EF" w:rsidRPr="008E00E2">
        <w:rPr>
          <w:rFonts w:asciiTheme="majorHAnsi" w:hAnsiTheme="majorHAnsi"/>
          <w:bCs/>
          <w:sz w:val="20"/>
          <w:szCs w:val="20"/>
        </w:rPr>
        <w:t xml:space="preserve">, the IACHR considers that the aforementioned criminal </w:t>
      </w:r>
      <w:r>
        <w:rPr>
          <w:rFonts w:asciiTheme="majorHAnsi" w:hAnsiTheme="majorHAnsi"/>
          <w:bCs/>
          <w:sz w:val="20"/>
          <w:szCs w:val="20"/>
        </w:rPr>
        <w:t xml:space="preserve">justice route </w:t>
      </w:r>
      <w:r w:rsidR="006C32EF" w:rsidRPr="008E00E2">
        <w:rPr>
          <w:rFonts w:asciiTheme="majorHAnsi" w:hAnsiTheme="majorHAnsi"/>
          <w:bCs/>
          <w:sz w:val="20"/>
          <w:szCs w:val="20"/>
        </w:rPr>
        <w:t xml:space="preserve">was also the </w:t>
      </w:r>
      <w:r>
        <w:rPr>
          <w:rFonts w:asciiTheme="majorHAnsi" w:hAnsiTheme="majorHAnsi"/>
          <w:bCs/>
          <w:sz w:val="20"/>
          <w:szCs w:val="20"/>
        </w:rPr>
        <w:t xml:space="preserve">adequate </w:t>
      </w:r>
      <w:r w:rsidR="006C32EF" w:rsidRPr="008E00E2">
        <w:rPr>
          <w:rFonts w:asciiTheme="majorHAnsi" w:hAnsiTheme="majorHAnsi"/>
          <w:bCs/>
          <w:sz w:val="20"/>
          <w:szCs w:val="20"/>
        </w:rPr>
        <w:t xml:space="preserve">remedy to exhaust in relation to the crime of forced displacement of which Mr. Freddy Torres, and the next of kin of Mr. </w:t>
      </w:r>
      <w:proofErr w:type="spellStart"/>
      <w:r w:rsidR="006C32EF" w:rsidRPr="008E00E2">
        <w:rPr>
          <w:rFonts w:asciiTheme="majorHAnsi" w:hAnsiTheme="majorHAnsi"/>
          <w:bCs/>
          <w:sz w:val="20"/>
          <w:szCs w:val="20"/>
        </w:rPr>
        <w:t>Helvir</w:t>
      </w:r>
      <w:proofErr w:type="spellEnd"/>
      <w:r w:rsidR="006C32EF" w:rsidRPr="008E00E2">
        <w:rPr>
          <w:rFonts w:asciiTheme="majorHAnsi" w:hAnsiTheme="majorHAnsi"/>
          <w:bCs/>
          <w:sz w:val="20"/>
          <w:szCs w:val="20"/>
        </w:rPr>
        <w:t xml:space="preserve"> Antonio and Freddy</w:t>
      </w:r>
      <w:r>
        <w:rPr>
          <w:rFonts w:asciiTheme="majorHAnsi" w:hAnsiTheme="majorHAnsi"/>
          <w:bCs/>
          <w:sz w:val="20"/>
          <w:szCs w:val="20"/>
        </w:rPr>
        <w:t>,</w:t>
      </w:r>
      <w:r w:rsidR="006C32EF" w:rsidRPr="008E00E2">
        <w:rPr>
          <w:rFonts w:asciiTheme="majorHAnsi" w:hAnsiTheme="majorHAnsi"/>
          <w:bCs/>
          <w:sz w:val="20"/>
          <w:szCs w:val="20"/>
        </w:rPr>
        <w:t xml:space="preserve"> were victims, as a direct consequence of the crime and the alleged subsequent persecution. Thus, it has been proven in the record that the criminal investigation of these events, which occurred in 2006, has only resulted in </w:t>
      </w:r>
      <w:r>
        <w:rPr>
          <w:rFonts w:asciiTheme="majorHAnsi" w:hAnsiTheme="majorHAnsi"/>
          <w:bCs/>
          <w:sz w:val="20"/>
          <w:szCs w:val="20"/>
        </w:rPr>
        <w:t xml:space="preserve">one </w:t>
      </w:r>
      <w:r w:rsidR="006C32EF" w:rsidRPr="008E00E2">
        <w:rPr>
          <w:rFonts w:asciiTheme="majorHAnsi" w:hAnsiTheme="majorHAnsi"/>
          <w:bCs/>
          <w:sz w:val="20"/>
          <w:szCs w:val="20"/>
        </w:rPr>
        <w:t xml:space="preserve">conviction, handed down against the </w:t>
      </w:r>
      <w:r>
        <w:rPr>
          <w:rFonts w:asciiTheme="majorHAnsi" w:hAnsiTheme="majorHAnsi"/>
          <w:bCs/>
          <w:sz w:val="20"/>
          <w:szCs w:val="20"/>
        </w:rPr>
        <w:t>top culprit</w:t>
      </w:r>
      <w:r w:rsidR="006C32EF" w:rsidRPr="008E00E2">
        <w:rPr>
          <w:rFonts w:asciiTheme="majorHAnsi" w:hAnsiTheme="majorHAnsi"/>
          <w:bCs/>
          <w:sz w:val="20"/>
          <w:szCs w:val="20"/>
        </w:rPr>
        <w:t xml:space="preserve">, which was </w:t>
      </w:r>
      <w:r>
        <w:rPr>
          <w:rFonts w:asciiTheme="majorHAnsi" w:hAnsiTheme="majorHAnsi"/>
          <w:bCs/>
          <w:sz w:val="20"/>
          <w:szCs w:val="20"/>
        </w:rPr>
        <w:t xml:space="preserve">handed down </w:t>
      </w:r>
      <w:r w:rsidR="006C32EF" w:rsidRPr="008E00E2">
        <w:rPr>
          <w:rFonts w:asciiTheme="majorHAnsi" w:hAnsiTheme="majorHAnsi"/>
          <w:bCs/>
          <w:sz w:val="20"/>
          <w:szCs w:val="20"/>
        </w:rPr>
        <w:t xml:space="preserve">through an </w:t>
      </w:r>
      <w:r>
        <w:rPr>
          <w:rFonts w:asciiTheme="majorHAnsi" w:hAnsiTheme="majorHAnsi"/>
          <w:bCs/>
          <w:sz w:val="20"/>
          <w:szCs w:val="20"/>
        </w:rPr>
        <w:t xml:space="preserve">early judgment </w:t>
      </w:r>
      <w:r w:rsidR="006C32EF" w:rsidRPr="008E00E2">
        <w:rPr>
          <w:rFonts w:asciiTheme="majorHAnsi" w:hAnsiTheme="majorHAnsi"/>
          <w:bCs/>
          <w:sz w:val="20"/>
          <w:szCs w:val="20"/>
        </w:rPr>
        <w:t xml:space="preserve">issued in response to the </w:t>
      </w:r>
      <w:r>
        <w:rPr>
          <w:rFonts w:asciiTheme="majorHAnsi" w:hAnsiTheme="majorHAnsi"/>
          <w:bCs/>
          <w:sz w:val="20"/>
          <w:szCs w:val="20"/>
        </w:rPr>
        <w:t xml:space="preserve">admission </w:t>
      </w:r>
      <w:r w:rsidR="006C32EF" w:rsidRPr="008E00E2">
        <w:rPr>
          <w:rFonts w:asciiTheme="majorHAnsi" w:hAnsiTheme="majorHAnsi"/>
          <w:bCs/>
          <w:sz w:val="20"/>
          <w:szCs w:val="20"/>
        </w:rPr>
        <w:t xml:space="preserve">of the charges made by Lieutenant Colonel Borja. The </w:t>
      </w:r>
      <w:r>
        <w:rPr>
          <w:rFonts w:asciiTheme="majorHAnsi" w:hAnsiTheme="majorHAnsi"/>
          <w:bCs/>
          <w:sz w:val="20"/>
          <w:szCs w:val="20"/>
        </w:rPr>
        <w:t xml:space="preserve">remaining military agents </w:t>
      </w:r>
      <w:r w:rsidR="006C32EF" w:rsidRPr="008E00E2">
        <w:rPr>
          <w:rFonts w:asciiTheme="majorHAnsi" w:hAnsiTheme="majorHAnsi"/>
          <w:bCs/>
          <w:sz w:val="20"/>
          <w:szCs w:val="20"/>
        </w:rPr>
        <w:t xml:space="preserve">who </w:t>
      </w:r>
      <w:r>
        <w:rPr>
          <w:rFonts w:asciiTheme="majorHAnsi" w:hAnsiTheme="majorHAnsi"/>
          <w:bCs/>
          <w:sz w:val="20"/>
          <w:szCs w:val="20"/>
        </w:rPr>
        <w:t xml:space="preserve">allegedly </w:t>
      </w:r>
      <w:r w:rsidR="006C32EF" w:rsidRPr="008E00E2">
        <w:rPr>
          <w:rFonts w:asciiTheme="majorHAnsi" w:hAnsiTheme="majorHAnsi"/>
          <w:bCs/>
          <w:sz w:val="20"/>
          <w:szCs w:val="20"/>
        </w:rPr>
        <w:t xml:space="preserve">participated in the attack are still being investigated, or have not been </w:t>
      </w:r>
      <w:r>
        <w:rPr>
          <w:rFonts w:asciiTheme="majorHAnsi" w:hAnsiTheme="majorHAnsi"/>
          <w:bCs/>
          <w:sz w:val="20"/>
          <w:szCs w:val="20"/>
        </w:rPr>
        <w:t xml:space="preserve">formally brought </w:t>
      </w:r>
      <w:r w:rsidR="006C32EF" w:rsidRPr="008E00E2">
        <w:rPr>
          <w:rFonts w:asciiTheme="majorHAnsi" w:hAnsiTheme="majorHAnsi"/>
          <w:bCs/>
          <w:sz w:val="20"/>
          <w:szCs w:val="20"/>
        </w:rPr>
        <w:t xml:space="preserve">to the </w:t>
      </w:r>
      <w:r>
        <w:rPr>
          <w:rFonts w:asciiTheme="majorHAnsi" w:hAnsiTheme="majorHAnsi"/>
          <w:bCs/>
          <w:sz w:val="20"/>
          <w:szCs w:val="20"/>
        </w:rPr>
        <w:t>proceedings</w:t>
      </w:r>
      <w:r w:rsidR="006C32EF" w:rsidRPr="008E00E2">
        <w:rPr>
          <w:rFonts w:asciiTheme="majorHAnsi" w:hAnsiTheme="majorHAnsi"/>
          <w:bCs/>
          <w:sz w:val="20"/>
          <w:szCs w:val="20"/>
        </w:rPr>
        <w:t xml:space="preserve">. In this </w:t>
      </w:r>
      <w:r>
        <w:rPr>
          <w:rFonts w:asciiTheme="majorHAnsi" w:hAnsiTheme="majorHAnsi"/>
          <w:bCs/>
          <w:sz w:val="20"/>
          <w:szCs w:val="20"/>
        </w:rPr>
        <w:t>sense</w:t>
      </w:r>
      <w:r w:rsidR="006C32EF" w:rsidRPr="008E00E2">
        <w:rPr>
          <w:rFonts w:asciiTheme="majorHAnsi" w:hAnsiTheme="majorHAnsi"/>
          <w:bCs/>
          <w:sz w:val="20"/>
          <w:szCs w:val="20"/>
        </w:rPr>
        <w:t xml:space="preserve">, </w:t>
      </w:r>
      <w:r>
        <w:rPr>
          <w:rFonts w:asciiTheme="majorHAnsi" w:hAnsiTheme="majorHAnsi"/>
          <w:bCs/>
          <w:sz w:val="20"/>
          <w:szCs w:val="20"/>
        </w:rPr>
        <w:t xml:space="preserve">the Commission notes </w:t>
      </w:r>
      <w:r w:rsidR="006C32EF" w:rsidRPr="008E00E2">
        <w:rPr>
          <w:rFonts w:asciiTheme="majorHAnsi" w:hAnsiTheme="majorHAnsi"/>
          <w:bCs/>
          <w:sz w:val="20"/>
          <w:szCs w:val="20"/>
        </w:rPr>
        <w:t xml:space="preserve">that more than thirteen years after the murder of Mr. </w:t>
      </w:r>
      <w:proofErr w:type="spellStart"/>
      <w:r w:rsidR="006C32EF" w:rsidRPr="008E00E2">
        <w:rPr>
          <w:rFonts w:asciiTheme="majorHAnsi" w:hAnsiTheme="majorHAnsi"/>
          <w:bCs/>
          <w:sz w:val="20"/>
          <w:szCs w:val="20"/>
        </w:rPr>
        <w:t>Helvir</w:t>
      </w:r>
      <w:proofErr w:type="spellEnd"/>
      <w:r w:rsidR="006C32EF" w:rsidRPr="008E00E2">
        <w:rPr>
          <w:rFonts w:asciiTheme="majorHAnsi" w:hAnsiTheme="majorHAnsi"/>
          <w:bCs/>
          <w:sz w:val="20"/>
          <w:szCs w:val="20"/>
        </w:rPr>
        <w:t xml:space="preserve"> Antonio Torres, all the criminal responsibilities corresponding to all of those responsible have not yet been established, although serious </w:t>
      </w:r>
      <w:r>
        <w:rPr>
          <w:rFonts w:asciiTheme="majorHAnsi" w:hAnsiTheme="majorHAnsi"/>
          <w:bCs/>
          <w:sz w:val="20"/>
          <w:szCs w:val="20"/>
        </w:rPr>
        <w:t xml:space="preserve">evidentiary </w:t>
      </w:r>
      <w:r w:rsidR="006C32EF" w:rsidRPr="008E00E2">
        <w:rPr>
          <w:rFonts w:asciiTheme="majorHAnsi" w:hAnsiTheme="majorHAnsi"/>
          <w:bCs/>
          <w:sz w:val="20"/>
          <w:szCs w:val="20"/>
        </w:rPr>
        <w:t xml:space="preserve">indications about their identity </w:t>
      </w:r>
      <w:r>
        <w:rPr>
          <w:rFonts w:asciiTheme="majorHAnsi" w:hAnsiTheme="majorHAnsi"/>
          <w:bCs/>
          <w:sz w:val="20"/>
          <w:szCs w:val="20"/>
        </w:rPr>
        <w:t xml:space="preserve">and their culpability have already been produced </w:t>
      </w:r>
      <w:r w:rsidR="006C32EF" w:rsidRPr="008E00E2">
        <w:rPr>
          <w:rFonts w:asciiTheme="majorHAnsi" w:hAnsiTheme="majorHAnsi"/>
          <w:bCs/>
          <w:sz w:val="20"/>
          <w:szCs w:val="20"/>
        </w:rPr>
        <w:t xml:space="preserve">in the course of the judicial and administrative processes developed </w:t>
      </w:r>
      <w:r>
        <w:rPr>
          <w:rFonts w:asciiTheme="majorHAnsi" w:hAnsiTheme="majorHAnsi"/>
          <w:bCs/>
          <w:sz w:val="20"/>
          <w:szCs w:val="20"/>
        </w:rPr>
        <w:t xml:space="preserve">over </w:t>
      </w:r>
      <w:r w:rsidR="006C32EF" w:rsidRPr="008E00E2">
        <w:rPr>
          <w:rFonts w:asciiTheme="majorHAnsi" w:hAnsiTheme="majorHAnsi"/>
          <w:bCs/>
          <w:sz w:val="20"/>
          <w:szCs w:val="20"/>
        </w:rPr>
        <w:t>the case</w:t>
      </w:r>
      <w:r w:rsidR="00402986">
        <w:rPr>
          <w:rFonts w:asciiTheme="majorHAnsi" w:hAnsiTheme="majorHAnsi"/>
          <w:bCs/>
          <w:sz w:val="20"/>
          <w:szCs w:val="20"/>
        </w:rPr>
        <w:t>.</w:t>
      </w:r>
    </w:p>
    <w:p w14:paraId="4C9C7F77" w14:textId="77777777" w:rsidR="00402986" w:rsidRDefault="00402986" w:rsidP="00402986">
      <w:pPr>
        <w:spacing w:before="240" w:after="240"/>
        <w:ind w:firstLine="360"/>
        <w:jc w:val="both"/>
        <w:rPr>
          <w:rFonts w:asciiTheme="majorHAnsi" w:hAnsiTheme="majorHAnsi"/>
          <w:bCs/>
          <w:sz w:val="20"/>
          <w:szCs w:val="20"/>
        </w:rPr>
      </w:pPr>
      <w:r>
        <w:rPr>
          <w:rFonts w:asciiTheme="majorHAnsi" w:hAnsiTheme="majorHAnsi"/>
          <w:bCs/>
          <w:sz w:val="20"/>
          <w:szCs w:val="20"/>
        </w:rPr>
        <w:t xml:space="preserve">16. </w:t>
      </w:r>
      <w:r w:rsidR="006C32EF" w:rsidRPr="00402986">
        <w:rPr>
          <w:rFonts w:asciiTheme="majorHAnsi" w:hAnsiTheme="majorHAnsi"/>
          <w:bCs/>
          <w:sz w:val="20"/>
          <w:szCs w:val="20"/>
        </w:rPr>
        <w:t xml:space="preserve">In light of these considerations, the Commission </w:t>
      </w:r>
      <w:r w:rsidRPr="00402986">
        <w:rPr>
          <w:rFonts w:asciiTheme="majorHAnsi" w:hAnsiTheme="majorHAnsi"/>
          <w:bCs/>
          <w:sz w:val="20"/>
          <w:szCs w:val="20"/>
        </w:rPr>
        <w:t xml:space="preserve">does indeed </w:t>
      </w:r>
      <w:r w:rsidR="006C32EF" w:rsidRPr="00402986">
        <w:rPr>
          <w:rFonts w:asciiTheme="majorHAnsi" w:hAnsiTheme="majorHAnsi"/>
          <w:bCs/>
          <w:sz w:val="20"/>
          <w:szCs w:val="20"/>
        </w:rPr>
        <w:t>consider that</w:t>
      </w:r>
      <w:r w:rsidRPr="00402986">
        <w:rPr>
          <w:rFonts w:asciiTheme="majorHAnsi" w:hAnsiTheme="majorHAnsi"/>
          <w:bCs/>
          <w:sz w:val="20"/>
          <w:szCs w:val="20"/>
        </w:rPr>
        <w:t xml:space="preserve"> </w:t>
      </w:r>
      <w:r w:rsidR="006C32EF" w:rsidRPr="00402986">
        <w:rPr>
          <w:rFonts w:asciiTheme="majorHAnsi" w:hAnsiTheme="majorHAnsi"/>
          <w:bCs/>
          <w:sz w:val="20"/>
          <w:szCs w:val="20"/>
        </w:rPr>
        <w:t xml:space="preserve">the exception of unjustified delay </w:t>
      </w:r>
      <w:r>
        <w:rPr>
          <w:rFonts w:asciiTheme="majorHAnsi" w:hAnsiTheme="majorHAnsi"/>
          <w:bCs/>
          <w:sz w:val="20"/>
          <w:szCs w:val="20"/>
        </w:rPr>
        <w:t xml:space="preserve">has been configured, </w:t>
      </w:r>
      <w:r w:rsidR="006C32EF" w:rsidRPr="00402986">
        <w:rPr>
          <w:rFonts w:asciiTheme="majorHAnsi" w:hAnsiTheme="majorHAnsi"/>
          <w:bCs/>
          <w:sz w:val="20"/>
          <w:szCs w:val="20"/>
        </w:rPr>
        <w:t>in accordance with Article 46.2.c) of the American Convention.</w:t>
      </w:r>
    </w:p>
    <w:p w14:paraId="506F6E3D" w14:textId="77777777" w:rsidR="00402986" w:rsidRDefault="00402986" w:rsidP="00402986">
      <w:pPr>
        <w:spacing w:before="240" w:after="240"/>
        <w:ind w:firstLine="360"/>
        <w:jc w:val="both"/>
        <w:rPr>
          <w:rFonts w:asciiTheme="majorHAnsi" w:hAnsiTheme="majorHAnsi"/>
          <w:bCs/>
          <w:sz w:val="20"/>
          <w:szCs w:val="20"/>
        </w:rPr>
      </w:pPr>
      <w:r>
        <w:rPr>
          <w:rFonts w:asciiTheme="majorHAnsi" w:hAnsiTheme="majorHAnsi"/>
          <w:bCs/>
          <w:sz w:val="20"/>
          <w:szCs w:val="20"/>
        </w:rPr>
        <w:t xml:space="preserve">17. </w:t>
      </w:r>
      <w:r w:rsidR="00C00EC7" w:rsidRPr="00402986">
        <w:rPr>
          <w:rFonts w:asciiTheme="majorHAnsi" w:hAnsiTheme="majorHAnsi"/>
          <w:bCs/>
          <w:sz w:val="20"/>
          <w:szCs w:val="20"/>
        </w:rPr>
        <w:t xml:space="preserve">In connection with the </w:t>
      </w:r>
      <w:r>
        <w:rPr>
          <w:rFonts w:asciiTheme="majorHAnsi" w:hAnsiTheme="majorHAnsi"/>
          <w:bCs/>
          <w:sz w:val="20"/>
          <w:szCs w:val="20"/>
        </w:rPr>
        <w:t>above</w:t>
      </w:r>
      <w:r w:rsidR="00C00EC7" w:rsidRPr="00402986">
        <w:rPr>
          <w:rFonts w:asciiTheme="majorHAnsi" w:hAnsiTheme="majorHAnsi"/>
          <w:bCs/>
          <w:sz w:val="20"/>
          <w:szCs w:val="20"/>
        </w:rPr>
        <w:t xml:space="preserve">, </w:t>
      </w:r>
      <w:r>
        <w:rPr>
          <w:rFonts w:asciiTheme="majorHAnsi" w:hAnsiTheme="majorHAnsi"/>
          <w:bCs/>
          <w:sz w:val="20"/>
          <w:szCs w:val="20"/>
        </w:rPr>
        <w:t xml:space="preserve">it is observed that </w:t>
      </w:r>
      <w:r w:rsidR="00C00EC7" w:rsidRPr="00402986">
        <w:rPr>
          <w:rFonts w:asciiTheme="majorHAnsi" w:hAnsiTheme="majorHAnsi"/>
          <w:bCs/>
          <w:sz w:val="20"/>
          <w:szCs w:val="20"/>
        </w:rPr>
        <w:t xml:space="preserve">neither the internal displacement of Freddy Torres, nor that of the relatives of </w:t>
      </w:r>
      <w:proofErr w:type="spellStart"/>
      <w:r w:rsidR="00C00EC7" w:rsidRPr="00402986">
        <w:rPr>
          <w:rFonts w:asciiTheme="majorHAnsi" w:hAnsiTheme="majorHAnsi"/>
          <w:bCs/>
          <w:sz w:val="20"/>
          <w:szCs w:val="20"/>
        </w:rPr>
        <w:t>Helvir</w:t>
      </w:r>
      <w:proofErr w:type="spellEnd"/>
      <w:r w:rsidR="00C00EC7" w:rsidRPr="00402986">
        <w:rPr>
          <w:rFonts w:asciiTheme="majorHAnsi" w:hAnsiTheme="majorHAnsi"/>
          <w:bCs/>
          <w:sz w:val="20"/>
          <w:szCs w:val="20"/>
        </w:rPr>
        <w:t xml:space="preserve"> Antonio and Freddy, has been the subject of any criminal investigation</w:t>
      </w:r>
      <w:r>
        <w:rPr>
          <w:rFonts w:asciiTheme="majorHAnsi" w:hAnsiTheme="majorHAnsi"/>
          <w:bCs/>
          <w:sz w:val="20"/>
          <w:szCs w:val="20"/>
        </w:rPr>
        <w:t xml:space="preserve"> whatsoever</w:t>
      </w:r>
      <w:r w:rsidR="00C00EC7" w:rsidRPr="00402986">
        <w:rPr>
          <w:rFonts w:asciiTheme="majorHAnsi" w:hAnsiTheme="majorHAnsi"/>
          <w:bCs/>
          <w:sz w:val="20"/>
          <w:szCs w:val="20"/>
        </w:rPr>
        <w:t>. Therefore, in this regard, the exception of unjustified delay to the duty to exhaust domestic remedies is also configured, in the terms of Article 46.2.c) of the American Convention.</w:t>
      </w:r>
    </w:p>
    <w:p w14:paraId="2874D346" w14:textId="77777777" w:rsidR="00986177" w:rsidRDefault="00402986" w:rsidP="00986177">
      <w:pPr>
        <w:spacing w:before="240" w:after="240"/>
        <w:ind w:firstLine="360"/>
        <w:jc w:val="both"/>
        <w:rPr>
          <w:rFonts w:asciiTheme="majorHAnsi" w:hAnsiTheme="majorHAnsi"/>
          <w:bCs/>
          <w:sz w:val="20"/>
          <w:szCs w:val="20"/>
        </w:rPr>
      </w:pPr>
      <w:r>
        <w:rPr>
          <w:rFonts w:asciiTheme="majorHAnsi" w:hAnsiTheme="majorHAnsi"/>
          <w:bCs/>
          <w:sz w:val="20"/>
          <w:szCs w:val="20"/>
        </w:rPr>
        <w:t xml:space="preserve">18. </w:t>
      </w:r>
      <w:r w:rsidR="005E2262" w:rsidRPr="00402986">
        <w:rPr>
          <w:rFonts w:asciiTheme="majorHAnsi" w:hAnsiTheme="majorHAnsi"/>
          <w:bCs/>
          <w:sz w:val="20"/>
          <w:szCs w:val="20"/>
        </w:rPr>
        <w:t xml:space="preserve">Regarding the requirement of </w:t>
      </w:r>
      <w:r>
        <w:rPr>
          <w:rFonts w:asciiTheme="majorHAnsi" w:hAnsiTheme="majorHAnsi"/>
          <w:bCs/>
          <w:sz w:val="20"/>
          <w:szCs w:val="20"/>
        </w:rPr>
        <w:t xml:space="preserve">timely submission of </w:t>
      </w:r>
      <w:r w:rsidR="005E2262" w:rsidRPr="00402986">
        <w:rPr>
          <w:rFonts w:asciiTheme="majorHAnsi" w:hAnsiTheme="majorHAnsi"/>
          <w:bCs/>
          <w:sz w:val="20"/>
          <w:szCs w:val="20"/>
        </w:rPr>
        <w:t xml:space="preserve">the petition, </w:t>
      </w:r>
      <w:r>
        <w:rPr>
          <w:rFonts w:asciiTheme="majorHAnsi" w:hAnsiTheme="majorHAnsi"/>
          <w:bCs/>
          <w:sz w:val="20"/>
          <w:szCs w:val="20"/>
        </w:rPr>
        <w:t xml:space="preserve">the Commission </w:t>
      </w:r>
      <w:r w:rsidR="005E2262" w:rsidRPr="00402986">
        <w:rPr>
          <w:rFonts w:asciiTheme="majorHAnsi" w:hAnsiTheme="majorHAnsi"/>
          <w:bCs/>
          <w:sz w:val="20"/>
          <w:szCs w:val="20"/>
        </w:rPr>
        <w:t>note</w:t>
      </w:r>
      <w:r>
        <w:rPr>
          <w:rFonts w:asciiTheme="majorHAnsi" w:hAnsiTheme="majorHAnsi"/>
          <w:bCs/>
          <w:sz w:val="20"/>
          <w:szCs w:val="20"/>
        </w:rPr>
        <w:t>s</w:t>
      </w:r>
      <w:r w:rsidR="005E2262" w:rsidRPr="00402986">
        <w:rPr>
          <w:rFonts w:asciiTheme="majorHAnsi" w:hAnsiTheme="majorHAnsi"/>
          <w:bCs/>
          <w:sz w:val="20"/>
          <w:szCs w:val="20"/>
        </w:rPr>
        <w:t xml:space="preserve"> that: (</w:t>
      </w:r>
      <w:proofErr w:type="spellStart"/>
      <w:r w:rsidR="005E2262" w:rsidRPr="00402986">
        <w:rPr>
          <w:rFonts w:asciiTheme="majorHAnsi" w:hAnsiTheme="majorHAnsi"/>
          <w:bCs/>
          <w:sz w:val="20"/>
          <w:szCs w:val="20"/>
        </w:rPr>
        <w:t>i</w:t>
      </w:r>
      <w:proofErr w:type="spellEnd"/>
      <w:r w:rsidR="005E2262" w:rsidRPr="00402986">
        <w:rPr>
          <w:rFonts w:asciiTheme="majorHAnsi" w:hAnsiTheme="majorHAnsi"/>
          <w:bCs/>
          <w:sz w:val="20"/>
          <w:szCs w:val="20"/>
        </w:rPr>
        <w:t xml:space="preserve">) the attack on </w:t>
      </w:r>
      <w:proofErr w:type="spellStart"/>
      <w:r w:rsidR="005E2262" w:rsidRPr="00402986">
        <w:rPr>
          <w:rFonts w:asciiTheme="majorHAnsi" w:hAnsiTheme="majorHAnsi"/>
          <w:bCs/>
          <w:sz w:val="20"/>
          <w:szCs w:val="20"/>
        </w:rPr>
        <w:t>Helvir</w:t>
      </w:r>
      <w:proofErr w:type="spellEnd"/>
      <w:r w:rsidR="005E2262" w:rsidRPr="00402986">
        <w:rPr>
          <w:rFonts w:asciiTheme="majorHAnsi" w:hAnsiTheme="majorHAnsi"/>
          <w:bCs/>
          <w:sz w:val="20"/>
          <w:szCs w:val="20"/>
        </w:rPr>
        <w:t xml:space="preserve"> Antonio and Freddy </w:t>
      </w:r>
      <w:r>
        <w:rPr>
          <w:rFonts w:asciiTheme="majorHAnsi" w:hAnsiTheme="majorHAnsi"/>
          <w:bCs/>
          <w:sz w:val="20"/>
          <w:szCs w:val="20"/>
        </w:rPr>
        <w:t xml:space="preserve">took place </w:t>
      </w:r>
      <w:r w:rsidR="005E2262" w:rsidRPr="00402986">
        <w:rPr>
          <w:rFonts w:asciiTheme="majorHAnsi" w:hAnsiTheme="majorHAnsi"/>
          <w:bCs/>
          <w:sz w:val="20"/>
          <w:szCs w:val="20"/>
        </w:rPr>
        <w:t>in September</w:t>
      </w:r>
      <w:r>
        <w:rPr>
          <w:rFonts w:asciiTheme="majorHAnsi" w:hAnsiTheme="majorHAnsi"/>
          <w:bCs/>
          <w:sz w:val="20"/>
          <w:szCs w:val="20"/>
        </w:rPr>
        <w:t>,</w:t>
      </w:r>
      <w:r w:rsidR="005E2262" w:rsidRPr="00402986">
        <w:rPr>
          <w:rFonts w:asciiTheme="majorHAnsi" w:hAnsiTheme="majorHAnsi"/>
          <w:bCs/>
          <w:sz w:val="20"/>
          <w:szCs w:val="20"/>
        </w:rPr>
        <w:t xml:space="preserve"> 2006; (ii) the criminal investigation </w:t>
      </w:r>
      <w:r>
        <w:rPr>
          <w:rFonts w:asciiTheme="majorHAnsi" w:hAnsiTheme="majorHAnsi"/>
          <w:bCs/>
          <w:sz w:val="20"/>
          <w:szCs w:val="20"/>
        </w:rPr>
        <w:t xml:space="preserve">into </w:t>
      </w:r>
      <w:r w:rsidR="005E2262" w:rsidRPr="00402986">
        <w:rPr>
          <w:rFonts w:asciiTheme="majorHAnsi" w:hAnsiTheme="majorHAnsi"/>
          <w:bCs/>
          <w:sz w:val="20"/>
          <w:szCs w:val="20"/>
        </w:rPr>
        <w:t xml:space="preserve">the extrajudicial execution of </w:t>
      </w:r>
      <w:proofErr w:type="spellStart"/>
      <w:r w:rsidR="005E2262" w:rsidRPr="00402986">
        <w:rPr>
          <w:rFonts w:asciiTheme="majorHAnsi" w:hAnsiTheme="majorHAnsi"/>
          <w:bCs/>
          <w:sz w:val="20"/>
          <w:szCs w:val="20"/>
        </w:rPr>
        <w:t>Helvir</w:t>
      </w:r>
      <w:proofErr w:type="spellEnd"/>
      <w:r w:rsidR="005E2262" w:rsidRPr="00402986">
        <w:rPr>
          <w:rFonts w:asciiTheme="majorHAnsi" w:hAnsiTheme="majorHAnsi"/>
          <w:bCs/>
          <w:sz w:val="20"/>
          <w:szCs w:val="20"/>
        </w:rPr>
        <w:t xml:space="preserve"> Antonio </w:t>
      </w:r>
      <w:r>
        <w:rPr>
          <w:rFonts w:asciiTheme="majorHAnsi" w:hAnsiTheme="majorHAnsi"/>
          <w:bCs/>
          <w:sz w:val="20"/>
          <w:szCs w:val="20"/>
        </w:rPr>
        <w:t xml:space="preserve">was initiated by </w:t>
      </w:r>
      <w:r w:rsidR="005E2262" w:rsidRPr="00402986">
        <w:rPr>
          <w:rFonts w:asciiTheme="majorHAnsi" w:hAnsiTheme="majorHAnsi"/>
          <w:bCs/>
          <w:sz w:val="20"/>
          <w:szCs w:val="20"/>
        </w:rPr>
        <w:t>the military criminal justice system and was transferred in October</w:t>
      </w:r>
      <w:r>
        <w:rPr>
          <w:rFonts w:asciiTheme="majorHAnsi" w:hAnsiTheme="majorHAnsi"/>
          <w:bCs/>
          <w:sz w:val="20"/>
          <w:szCs w:val="20"/>
        </w:rPr>
        <w:t>,</w:t>
      </w:r>
      <w:r w:rsidR="005E2262" w:rsidRPr="00402986">
        <w:rPr>
          <w:rFonts w:asciiTheme="majorHAnsi" w:hAnsiTheme="majorHAnsi"/>
          <w:bCs/>
          <w:sz w:val="20"/>
          <w:szCs w:val="20"/>
        </w:rPr>
        <w:t xml:space="preserve"> 2007 to the ordinary jurisdiction; (iii) both Freddy Torres and his family members</w:t>
      </w:r>
      <w:r>
        <w:rPr>
          <w:rFonts w:asciiTheme="majorHAnsi" w:hAnsiTheme="majorHAnsi"/>
          <w:bCs/>
          <w:sz w:val="20"/>
          <w:szCs w:val="20"/>
        </w:rPr>
        <w:t>,</w:t>
      </w:r>
      <w:r w:rsidR="005E2262" w:rsidRPr="00402986">
        <w:rPr>
          <w:rFonts w:asciiTheme="majorHAnsi" w:hAnsiTheme="majorHAnsi"/>
          <w:bCs/>
          <w:sz w:val="20"/>
          <w:szCs w:val="20"/>
        </w:rPr>
        <w:t xml:space="preserve"> </w:t>
      </w:r>
      <w:r>
        <w:rPr>
          <w:rFonts w:asciiTheme="majorHAnsi" w:hAnsiTheme="majorHAnsi"/>
          <w:bCs/>
          <w:sz w:val="20"/>
          <w:szCs w:val="20"/>
        </w:rPr>
        <w:t xml:space="preserve">as well as </w:t>
      </w:r>
      <w:r w:rsidR="005E2262" w:rsidRPr="00402986">
        <w:rPr>
          <w:rFonts w:asciiTheme="majorHAnsi" w:hAnsiTheme="majorHAnsi"/>
          <w:bCs/>
          <w:sz w:val="20"/>
          <w:szCs w:val="20"/>
        </w:rPr>
        <w:t xml:space="preserve">those of </w:t>
      </w:r>
      <w:proofErr w:type="spellStart"/>
      <w:r w:rsidR="005E2262" w:rsidRPr="00402986">
        <w:rPr>
          <w:rFonts w:asciiTheme="majorHAnsi" w:hAnsiTheme="majorHAnsi"/>
          <w:bCs/>
          <w:sz w:val="20"/>
          <w:szCs w:val="20"/>
        </w:rPr>
        <w:t>Helvir</w:t>
      </w:r>
      <w:proofErr w:type="spellEnd"/>
      <w:r w:rsidR="005E2262" w:rsidRPr="00402986">
        <w:rPr>
          <w:rFonts w:asciiTheme="majorHAnsi" w:hAnsiTheme="majorHAnsi"/>
          <w:bCs/>
          <w:sz w:val="20"/>
          <w:szCs w:val="20"/>
        </w:rPr>
        <w:t xml:space="preserve"> Antonio Torres</w:t>
      </w:r>
      <w:r>
        <w:rPr>
          <w:rFonts w:asciiTheme="majorHAnsi" w:hAnsiTheme="majorHAnsi"/>
          <w:bCs/>
          <w:sz w:val="20"/>
          <w:szCs w:val="20"/>
        </w:rPr>
        <w:t>,</w:t>
      </w:r>
      <w:r w:rsidR="005E2262" w:rsidRPr="00402986">
        <w:rPr>
          <w:rFonts w:asciiTheme="majorHAnsi" w:hAnsiTheme="majorHAnsi"/>
          <w:bCs/>
          <w:sz w:val="20"/>
          <w:szCs w:val="20"/>
        </w:rPr>
        <w:t xml:space="preserve"> are still in a situation of internal displacement as a result of the crime and </w:t>
      </w:r>
      <w:r>
        <w:rPr>
          <w:rFonts w:asciiTheme="majorHAnsi" w:hAnsiTheme="majorHAnsi"/>
          <w:bCs/>
          <w:sz w:val="20"/>
          <w:szCs w:val="20"/>
        </w:rPr>
        <w:t xml:space="preserve">the ensuing </w:t>
      </w:r>
      <w:r w:rsidR="005E2262" w:rsidRPr="00402986">
        <w:rPr>
          <w:rFonts w:asciiTheme="majorHAnsi" w:hAnsiTheme="majorHAnsi"/>
          <w:bCs/>
          <w:sz w:val="20"/>
          <w:szCs w:val="20"/>
        </w:rPr>
        <w:t xml:space="preserve">persecution; (vi) the petition was received by the IACHR in June 2010; and (vii) the alleged impunity and its effects </w:t>
      </w:r>
      <w:r w:rsidR="00986177">
        <w:rPr>
          <w:rFonts w:asciiTheme="majorHAnsi" w:hAnsiTheme="majorHAnsi"/>
          <w:bCs/>
          <w:sz w:val="20"/>
          <w:szCs w:val="20"/>
        </w:rPr>
        <w:t xml:space="preserve">arguably extend </w:t>
      </w:r>
      <w:r w:rsidR="005E2262" w:rsidRPr="00402986">
        <w:rPr>
          <w:rFonts w:asciiTheme="majorHAnsi" w:hAnsiTheme="majorHAnsi"/>
          <w:bCs/>
          <w:sz w:val="20"/>
          <w:szCs w:val="20"/>
        </w:rPr>
        <w:t>to the present</w:t>
      </w:r>
      <w:r w:rsidR="00986177">
        <w:rPr>
          <w:rFonts w:asciiTheme="majorHAnsi" w:hAnsiTheme="majorHAnsi"/>
          <w:bCs/>
          <w:sz w:val="20"/>
          <w:szCs w:val="20"/>
        </w:rPr>
        <w:t xml:space="preserve"> day</w:t>
      </w:r>
      <w:r w:rsidR="005E2262" w:rsidRPr="00402986">
        <w:rPr>
          <w:rFonts w:asciiTheme="majorHAnsi" w:hAnsiTheme="majorHAnsi"/>
          <w:bCs/>
          <w:sz w:val="20"/>
          <w:szCs w:val="20"/>
        </w:rPr>
        <w:t xml:space="preserve">. The Inter-American Commission concludes that the petition was </w:t>
      </w:r>
      <w:r w:rsidR="00986177">
        <w:rPr>
          <w:rFonts w:asciiTheme="majorHAnsi" w:hAnsiTheme="majorHAnsi"/>
          <w:bCs/>
          <w:sz w:val="20"/>
          <w:szCs w:val="20"/>
        </w:rPr>
        <w:t xml:space="preserve">therefore </w:t>
      </w:r>
      <w:r w:rsidR="005E2262" w:rsidRPr="00402986">
        <w:rPr>
          <w:rFonts w:asciiTheme="majorHAnsi" w:hAnsiTheme="majorHAnsi"/>
          <w:bCs/>
          <w:sz w:val="20"/>
          <w:szCs w:val="20"/>
        </w:rPr>
        <w:t>presented within a reasonable period of time, in the terms of Article 32.2 of its Rules of Procedure, in accordance with Article 46.1.b) of the American Convention.</w:t>
      </w:r>
    </w:p>
    <w:p w14:paraId="01BC5193" w14:textId="75E1E9C5" w:rsidR="005E2262" w:rsidRPr="00986177" w:rsidRDefault="00986177" w:rsidP="00986177">
      <w:pPr>
        <w:spacing w:before="240" w:after="240"/>
        <w:ind w:firstLine="360"/>
        <w:jc w:val="both"/>
        <w:rPr>
          <w:rFonts w:asciiTheme="majorHAnsi" w:hAnsiTheme="majorHAnsi"/>
          <w:bCs/>
          <w:sz w:val="20"/>
          <w:szCs w:val="20"/>
        </w:rPr>
      </w:pPr>
      <w:r>
        <w:rPr>
          <w:rFonts w:asciiTheme="majorHAnsi" w:hAnsiTheme="majorHAnsi"/>
          <w:bCs/>
          <w:sz w:val="20"/>
          <w:szCs w:val="20"/>
        </w:rPr>
        <w:t xml:space="preserve">19. </w:t>
      </w:r>
      <w:r w:rsidR="005E2262" w:rsidRPr="00986177">
        <w:rPr>
          <w:rFonts w:asciiTheme="majorHAnsi" w:hAnsiTheme="majorHAnsi"/>
          <w:bCs/>
          <w:sz w:val="20"/>
          <w:szCs w:val="20"/>
        </w:rPr>
        <w:t xml:space="preserve">It is relevant to </w:t>
      </w:r>
      <w:r>
        <w:rPr>
          <w:rFonts w:asciiTheme="majorHAnsi" w:hAnsiTheme="majorHAnsi"/>
          <w:bCs/>
          <w:sz w:val="20"/>
          <w:szCs w:val="20"/>
        </w:rPr>
        <w:t xml:space="preserve">recall </w:t>
      </w:r>
      <w:r w:rsidR="005E2262" w:rsidRPr="00986177">
        <w:rPr>
          <w:rFonts w:asciiTheme="majorHAnsi" w:hAnsiTheme="majorHAnsi"/>
          <w:bCs/>
          <w:sz w:val="20"/>
          <w:szCs w:val="20"/>
        </w:rPr>
        <w:t xml:space="preserve">that Article 46.2 of the Convention, </w:t>
      </w:r>
      <w:r>
        <w:rPr>
          <w:rFonts w:asciiTheme="majorHAnsi" w:hAnsiTheme="majorHAnsi"/>
          <w:bCs/>
          <w:sz w:val="20"/>
          <w:szCs w:val="20"/>
        </w:rPr>
        <w:t xml:space="preserve">given </w:t>
      </w:r>
      <w:r w:rsidR="005E2262" w:rsidRPr="00986177">
        <w:rPr>
          <w:rFonts w:asciiTheme="majorHAnsi" w:hAnsiTheme="majorHAnsi"/>
          <w:bCs/>
          <w:sz w:val="20"/>
          <w:szCs w:val="20"/>
        </w:rPr>
        <w:t xml:space="preserve">its nature and </w:t>
      </w:r>
      <w:r>
        <w:rPr>
          <w:rFonts w:asciiTheme="majorHAnsi" w:hAnsiTheme="majorHAnsi"/>
          <w:bCs/>
          <w:sz w:val="20"/>
          <w:szCs w:val="20"/>
        </w:rPr>
        <w:t>object</w:t>
      </w:r>
      <w:r w:rsidR="005E2262" w:rsidRPr="00986177">
        <w:rPr>
          <w:rFonts w:asciiTheme="majorHAnsi" w:hAnsiTheme="majorHAnsi"/>
          <w:bCs/>
          <w:sz w:val="20"/>
          <w:szCs w:val="20"/>
        </w:rPr>
        <w:t xml:space="preserve">, is a </w:t>
      </w:r>
      <w:r>
        <w:rPr>
          <w:rFonts w:asciiTheme="majorHAnsi" w:hAnsiTheme="majorHAnsi"/>
          <w:bCs/>
          <w:sz w:val="20"/>
          <w:szCs w:val="20"/>
        </w:rPr>
        <w:t xml:space="preserve">provision that has an </w:t>
      </w:r>
      <w:r w:rsidR="005E2262" w:rsidRPr="00986177">
        <w:rPr>
          <w:rFonts w:asciiTheme="majorHAnsi" w:hAnsiTheme="majorHAnsi"/>
          <w:bCs/>
          <w:sz w:val="20"/>
          <w:szCs w:val="20"/>
        </w:rPr>
        <w:t xml:space="preserve">autonomous content </w:t>
      </w:r>
      <w:r>
        <w:rPr>
          <w:rFonts w:asciiTheme="majorHAnsi" w:hAnsiTheme="majorHAnsi"/>
          <w:bCs/>
          <w:sz w:val="20"/>
          <w:szCs w:val="20"/>
        </w:rPr>
        <w:t xml:space="preserve">vis-á-vis </w:t>
      </w:r>
      <w:r w:rsidR="005E2262" w:rsidRPr="00986177">
        <w:rPr>
          <w:rFonts w:asciiTheme="majorHAnsi" w:hAnsiTheme="majorHAnsi"/>
          <w:bCs/>
          <w:sz w:val="20"/>
          <w:szCs w:val="20"/>
        </w:rPr>
        <w:t xml:space="preserve">the substantive </w:t>
      </w:r>
      <w:r>
        <w:rPr>
          <w:rFonts w:asciiTheme="majorHAnsi" w:hAnsiTheme="majorHAnsi"/>
          <w:bCs/>
          <w:sz w:val="20"/>
          <w:szCs w:val="20"/>
        </w:rPr>
        <w:t xml:space="preserve">rules </w:t>
      </w:r>
      <w:r w:rsidR="005E2262" w:rsidRPr="00986177">
        <w:rPr>
          <w:rFonts w:asciiTheme="majorHAnsi" w:hAnsiTheme="majorHAnsi"/>
          <w:bCs/>
          <w:sz w:val="20"/>
          <w:szCs w:val="20"/>
        </w:rPr>
        <w:t xml:space="preserve">of the American Convention. Therefore, the determination of whether the exceptions to the rule of exhaustion of domestic remedies are applicable to the case </w:t>
      </w:r>
      <w:r>
        <w:rPr>
          <w:rFonts w:asciiTheme="majorHAnsi" w:hAnsiTheme="majorHAnsi"/>
          <w:bCs/>
          <w:sz w:val="20"/>
          <w:szCs w:val="20"/>
        </w:rPr>
        <w:t xml:space="preserve">at hand </w:t>
      </w:r>
      <w:r w:rsidR="005E2262" w:rsidRPr="00986177">
        <w:rPr>
          <w:rFonts w:asciiTheme="majorHAnsi" w:hAnsiTheme="majorHAnsi"/>
          <w:bCs/>
          <w:sz w:val="20"/>
          <w:szCs w:val="20"/>
        </w:rPr>
        <w:t xml:space="preserve">must be carried out </w:t>
      </w:r>
      <w:r>
        <w:rPr>
          <w:rFonts w:asciiTheme="majorHAnsi" w:hAnsiTheme="majorHAnsi"/>
          <w:bCs/>
          <w:sz w:val="20"/>
          <w:szCs w:val="20"/>
        </w:rPr>
        <w:t xml:space="preserve">in a manner </w:t>
      </w:r>
      <w:r w:rsidR="005E2262" w:rsidRPr="00986177">
        <w:rPr>
          <w:rFonts w:asciiTheme="majorHAnsi" w:hAnsiTheme="majorHAnsi"/>
          <w:bCs/>
          <w:sz w:val="20"/>
          <w:szCs w:val="20"/>
        </w:rPr>
        <w:t xml:space="preserve">prior </w:t>
      </w:r>
      <w:r>
        <w:rPr>
          <w:rFonts w:asciiTheme="majorHAnsi" w:hAnsiTheme="majorHAnsi"/>
          <w:bCs/>
          <w:sz w:val="20"/>
          <w:szCs w:val="20"/>
        </w:rPr>
        <w:t xml:space="preserve">to, </w:t>
      </w:r>
      <w:r w:rsidR="005E2262" w:rsidRPr="00986177">
        <w:rPr>
          <w:rFonts w:asciiTheme="majorHAnsi" w:hAnsiTheme="majorHAnsi"/>
          <w:bCs/>
          <w:sz w:val="20"/>
          <w:szCs w:val="20"/>
        </w:rPr>
        <w:t>and separate from</w:t>
      </w:r>
      <w:r>
        <w:rPr>
          <w:rFonts w:asciiTheme="majorHAnsi" w:hAnsiTheme="majorHAnsi"/>
          <w:bCs/>
          <w:sz w:val="20"/>
          <w:szCs w:val="20"/>
        </w:rPr>
        <w:t>,</w:t>
      </w:r>
      <w:r w:rsidR="005E2262" w:rsidRPr="00986177">
        <w:rPr>
          <w:rFonts w:asciiTheme="majorHAnsi" w:hAnsiTheme="majorHAnsi"/>
          <w:bCs/>
          <w:sz w:val="20"/>
          <w:szCs w:val="20"/>
        </w:rPr>
        <w:t xml:space="preserve"> the analysis of the merits of the matter, since it depends on a different standard of appreciation than that used to determine the possible violation of Articles 8 and 25 of the Convention.</w:t>
      </w:r>
    </w:p>
    <w:p w14:paraId="3A324A8E" w14:textId="6E09A870" w:rsidR="00783564" w:rsidRPr="00E14D1E" w:rsidRDefault="00F621C3" w:rsidP="00CB1AAC">
      <w:pPr>
        <w:spacing w:before="240" w:after="240"/>
        <w:ind w:firstLine="360"/>
        <w:jc w:val="both"/>
        <w:rPr>
          <w:rFonts w:asciiTheme="majorHAnsi" w:hAnsiTheme="majorHAnsi"/>
          <w:b/>
          <w:bCs/>
          <w:sz w:val="20"/>
          <w:szCs w:val="20"/>
        </w:rPr>
      </w:pPr>
      <w:r w:rsidRPr="00E14D1E">
        <w:rPr>
          <w:rFonts w:asciiTheme="majorHAnsi" w:hAnsiTheme="majorHAnsi"/>
          <w:b/>
          <w:bCs/>
          <w:sz w:val="20"/>
          <w:szCs w:val="20"/>
        </w:rPr>
        <w:lastRenderedPageBreak/>
        <w:t>VII</w:t>
      </w:r>
      <w:r w:rsidR="00B54173" w:rsidRPr="00E14D1E">
        <w:rPr>
          <w:rFonts w:asciiTheme="majorHAnsi" w:hAnsiTheme="majorHAnsi"/>
          <w:b/>
          <w:bCs/>
          <w:sz w:val="20"/>
          <w:szCs w:val="20"/>
        </w:rPr>
        <w:t xml:space="preserve">. </w:t>
      </w:r>
      <w:r w:rsidR="00E14D1E" w:rsidRPr="00E14D1E">
        <w:rPr>
          <w:rFonts w:asciiTheme="majorHAnsi" w:hAnsiTheme="majorHAnsi"/>
          <w:b/>
          <w:bCs/>
          <w:sz w:val="20"/>
          <w:szCs w:val="20"/>
        </w:rPr>
        <w:t xml:space="preserve">ANALYSIS OF </w:t>
      </w:r>
      <w:r w:rsidR="00CB1AAC">
        <w:rPr>
          <w:rFonts w:asciiTheme="majorHAnsi" w:hAnsiTheme="majorHAnsi"/>
          <w:b/>
          <w:bCs/>
          <w:sz w:val="20"/>
          <w:szCs w:val="20"/>
        </w:rPr>
        <w:t>COLORABLE CLAIM</w:t>
      </w:r>
    </w:p>
    <w:p w14:paraId="3DA7E122" w14:textId="77777777" w:rsidR="005B4C47" w:rsidRDefault="00986177" w:rsidP="005B4C4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360"/>
        <w:jc w:val="both"/>
        <w:rPr>
          <w:rFonts w:asciiTheme="majorHAnsi" w:hAnsiTheme="majorHAnsi"/>
          <w:sz w:val="20"/>
          <w:szCs w:val="20"/>
        </w:rPr>
      </w:pPr>
      <w:r>
        <w:rPr>
          <w:rFonts w:asciiTheme="majorHAnsi" w:hAnsiTheme="majorHAnsi"/>
          <w:sz w:val="20"/>
          <w:szCs w:val="20"/>
        </w:rPr>
        <w:t xml:space="preserve">20. </w:t>
      </w:r>
      <w:r w:rsidR="005E2262" w:rsidRPr="00986177">
        <w:rPr>
          <w:rFonts w:asciiTheme="majorHAnsi" w:hAnsiTheme="majorHAnsi"/>
          <w:sz w:val="20"/>
          <w:szCs w:val="20"/>
        </w:rPr>
        <w:t xml:space="preserve">In the first place, and in light of the </w:t>
      </w:r>
      <w:r w:rsidR="005B4C47">
        <w:rPr>
          <w:rFonts w:asciiTheme="majorHAnsi" w:hAnsiTheme="majorHAnsi"/>
          <w:sz w:val="20"/>
          <w:szCs w:val="20"/>
        </w:rPr>
        <w:t xml:space="preserve">State’s </w:t>
      </w:r>
      <w:r w:rsidR="005E2262" w:rsidRPr="00986177">
        <w:rPr>
          <w:rFonts w:asciiTheme="majorHAnsi" w:hAnsiTheme="majorHAnsi"/>
          <w:sz w:val="20"/>
          <w:szCs w:val="20"/>
        </w:rPr>
        <w:t xml:space="preserve">allegation </w:t>
      </w:r>
      <w:r w:rsidR="005B4C47">
        <w:rPr>
          <w:rFonts w:asciiTheme="majorHAnsi" w:hAnsiTheme="majorHAnsi"/>
          <w:sz w:val="20"/>
          <w:szCs w:val="20"/>
        </w:rPr>
        <w:t xml:space="preserve">the so-called </w:t>
      </w:r>
      <w:r w:rsidR="005E2262" w:rsidRPr="00986177">
        <w:rPr>
          <w:rFonts w:asciiTheme="majorHAnsi" w:hAnsiTheme="majorHAnsi"/>
          <w:sz w:val="20"/>
          <w:szCs w:val="20"/>
        </w:rPr>
        <w:t>"fourth instance"</w:t>
      </w:r>
      <w:r w:rsidR="005B4C47">
        <w:rPr>
          <w:rFonts w:asciiTheme="majorHAnsi" w:hAnsiTheme="majorHAnsi"/>
          <w:sz w:val="20"/>
          <w:szCs w:val="20"/>
        </w:rPr>
        <w:t xml:space="preserve"> formula</w:t>
      </w:r>
      <w:r w:rsidR="005E2262" w:rsidRPr="00986177">
        <w:rPr>
          <w:rFonts w:asciiTheme="majorHAnsi" w:hAnsiTheme="majorHAnsi"/>
          <w:sz w:val="20"/>
          <w:szCs w:val="20"/>
        </w:rPr>
        <w:t xml:space="preserve">, the IACHR observes </w:t>
      </w:r>
      <w:r w:rsidR="005E2262" w:rsidRPr="00986177">
        <w:rPr>
          <w:rFonts w:asciiTheme="majorHAnsi" w:hAnsiTheme="majorHAnsi"/>
          <w:i/>
          <w:iCs/>
          <w:sz w:val="20"/>
          <w:szCs w:val="20"/>
        </w:rPr>
        <w:t>prima facie</w:t>
      </w:r>
      <w:r w:rsidR="005E2262" w:rsidRPr="00986177">
        <w:rPr>
          <w:rFonts w:asciiTheme="majorHAnsi" w:hAnsiTheme="majorHAnsi"/>
          <w:sz w:val="20"/>
          <w:szCs w:val="20"/>
        </w:rPr>
        <w:t xml:space="preserve"> that the petition raises possible violations of </w:t>
      </w:r>
      <w:r w:rsidR="005B4C47">
        <w:rPr>
          <w:rFonts w:asciiTheme="majorHAnsi" w:hAnsiTheme="majorHAnsi"/>
          <w:sz w:val="20"/>
          <w:szCs w:val="20"/>
        </w:rPr>
        <w:t>several</w:t>
      </w:r>
      <w:r w:rsidR="005E2262" w:rsidRPr="00986177">
        <w:rPr>
          <w:rFonts w:asciiTheme="majorHAnsi" w:hAnsiTheme="majorHAnsi"/>
          <w:sz w:val="20"/>
          <w:szCs w:val="20"/>
        </w:rPr>
        <w:t xml:space="preserve"> human rights protected in the American Convention, which do not derive from the content or the processing of either of the two judicial decisions adopted in the domestic </w:t>
      </w:r>
      <w:r w:rsidR="005B4C47">
        <w:rPr>
          <w:rFonts w:asciiTheme="majorHAnsi" w:hAnsiTheme="majorHAnsi"/>
          <w:sz w:val="20"/>
          <w:szCs w:val="20"/>
        </w:rPr>
        <w:t xml:space="preserve">realm </w:t>
      </w:r>
      <w:r w:rsidR="005E2262" w:rsidRPr="00986177">
        <w:rPr>
          <w:rFonts w:asciiTheme="majorHAnsi" w:hAnsiTheme="majorHAnsi"/>
          <w:sz w:val="20"/>
          <w:szCs w:val="20"/>
        </w:rPr>
        <w:t xml:space="preserve">regarding this case, both in the criminal jurisdiction and in the contentious-administrative jurisdiction. </w:t>
      </w:r>
      <w:r w:rsidR="005B4C47">
        <w:rPr>
          <w:rFonts w:asciiTheme="majorHAnsi" w:hAnsiTheme="majorHAnsi"/>
          <w:sz w:val="20"/>
          <w:szCs w:val="20"/>
        </w:rPr>
        <w:t>T</w:t>
      </w:r>
      <w:r w:rsidR="005E2262" w:rsidRPr="00986177">
        <w:rPr>
          <w:rFonts w:asciiTheme="majorHAnsi" w:hAnsiTheme="majorHAnsi"/>
          <w:sz w:val="20"/>
          <w:szCs w:val="20"/>
        </w:rPr>
        <w:t xml:space="preserve">he </w:t>
      </w:r>
      <w:r w:rsidR="005B4C47">
        <w:rPr>
          <w:rFonts w:asciiTheme="majorHAnsi" w:hAnsiTheme="majorHAnsi"/>
          <w:sz w:val="20"/>
          <w:szCs w:val="20"/>
        </w:rPr>
        <w:t xml:space="preserve">State </w:t>
      </w:r>
      <w:r w:rsidR="005E2262" w:rsidRPr="00986177">
        <w:rPr>
          <w:rFonts w:asciiTheme="majorHAnsi" w:hAnsiTheme="majorHAnsi"/>
          <w:sz w:val="20"/>
          <w:szCs w:val="20"/>
        </w:rPr>
        <w:t xml:space="preserve">responsibility invoked by the petitioners refers to the violation of the rights to life, personal integrity, freedom of movement and residence, honor and dignity, </w:t>
      </w:r>
      <w:r w:rsidR="005B4C47">
        <w:rPr>
          <w:rFonts w:asciiTheme="majorHAnsi" w:hAnsiTheme="majorHAnsi"/>
          <w:sz w:val="20"/>
          <w:szCs w:val="20"/>
        </w:rPr>
        <w:t xml:space="preserve">fair trial </w:t>
      </w:r>
      <w:r w:rsidR="005E2262" w:rsidRPr="00986177">
        <w:rPr>
          <w:rFonts w:asciiTheme="majorHAnsi" w:hAnsiTheme="majorHAnsi"/>
          <w:sz w:val="20"/>
          <w:szCs w:val="20"/>
        </w:rPr>
        <w:t xml:space="preserve">guarantees and judicial protection, </w:t>
      </w:r>
      <w:r w:rsidR="005B4C47">
        <w:rPr>
          <w:rFonts w:asciiTheme="majorHAnsi" w:hAnsiTheme="majorHAnsi"/>
          <w:sz w:val="20"/>
          <w:szCs w:val="20"/>
        </w:rPr>
        <w:t xml:space="preserve">on account of </w:t>
      </w:r>
      <w:r w:rsidR="005E2262" w:rsidRPr="00986177">
        <w:rPr>
          <w:rFonts w:asciiTheme="majorHAnsi" w:hAnsiTheme="majorHAnsi"/>
          <w:sz w:val="20"/>
          <w:szCs w:val="20"/>
        </w:rPr>
        <w:t xml:space="preserve">the crime committed by </w:t>
      </w:r>
      <w:r w:rsidR="005B4C47">
        <w:rPr>
          <w:rFonts w:asciiTheme="majorHAnsi" w:hAnsiTheme="majorHAnsi"/>
          <w:sz w:val="20"/>
          <w:szCs w:val="20"/>
        </w:rPr>
        <w:t xml:space="preserve">military </w:t>
      </w:r>
      <w:r w:rsidR="005E2262" w:rsidRPr="00986177">
        <w:rPr>
          <w:rFonts w:asciiTheme="majorHAnsi" w:hAnsiTheme="majorHAnsi"/>
          <w:sz w:val="20"/>
          <w:szCs w:val="20"/>
        </w:rPr>
        <w:t xml:space="preserve">agents, their impact on the safety of the victims, and the subsequent alleged impunity. Consequently, the Commission considers that the State's allegation is </w:t>
      </w:r>
      <w:r w:rsidR="005B4C47">
        <w:rPr>
          <w:rFonts w:asciiTheme="majorHAnsi" w:hAnsiTheme="majorHAnsi"/>
          <w:sz w:val="20"/>
          <w:szCs w:val="20"/>
        </w:rPr>
        <w:t>unfounded</w:t>
      </w:r>
      <w:r w:rsidR="005E2262" w:rsidRPr="00986177">
        <w:rPr>
          <w:rFonts w:asciiTheme="majorHAnsi" w:hAnsiTheme="majorHAnsi"/>
          <w:sz w:val="20"/>
          <w:szCs w:val="20"/>
        </w:rPr>
        <w:t>.</w:t>
      </w:r>
    </w:p>
    <w:p w14:paraId="371A3A70" w14:textId="77777777" w:rsidR="009F58E2" w:rsidRDefault="005B4C47" w:rsidP="009F58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360"/>
        <w:jc w:val="both"/>
        <w:rPr>
          <w:rFonts w:asciiTheme="majorHAnsi" w:hAnsiTheme="majorHAnsi"/>
          <w:sz w:val="20"/>
          <w:szCs w:val="20"/>
        </w:rPr>
      </w:pPr>
      <w:r>
        <w:rPr>
          <w:rFonts w:asciiTheme="majorHAnsi" w:hAnsiTheme="majorHAnsi"/>
          <w:sz w:val="20"/>
          <w:szCs w:val="20"/>
        </w:rPr>
        <w:t xml:space="preserve">21. </w:t>
      </w:r>
      <w:r w:rsidR="00883B42" w:rsidRPr="005B4C47">
        <w:rPr>
          <w:rFonts w:asciiTheme="majorHAnsi" w:hAnsiTheme="majorHAnsi"/>
          <w:sz w:val="20"/>
          <w:szCs w:val="20"/>
        </w:rPr>
        <w:t xml:space="preserve">In an admissibility report adopted in 2015, the IACHR accumulated for </w:t>
      </w:r>
      <w:r w:rsidR="009F58E2">
        <w:rPr>
          <w:rFonts w:asciiTheme="majorHAnsi" w:hAnsiTheme="majorHAnsi"/>
          <w:sz w:val="20"/>
          <w:szCs w:val="20"/>
        </w:rPr>
        <w:t xml:space="preserve">decision </w:t>
      </w:r>
      <w:r w:rsidR="00883B42" w:rsidRPr="005B4C47">
        <w:rPr>
          <w:rFonts w:asciiTheme="majorHAnsi" w:hAnsiTheme="majorHAnsi"/>
          <w:sz w:val="20"/>
          <w:szCs w:val="20"/>
        </w:rPr>
        <w:t xml:space="preserve">numerous cases of alleged extrajudicial executions carried out </w:t>
      </w:r>
      <w:r w:rsidR="009F58E2">
        <w:rPr>
          <w:rFonts w:asciiTheme="majorHAnsi" w:hAnsiTheme="majorHAnsi"/>
          <w:sz w:val="20"/>
          <w:szCs w:val="20"/>
        </w:rPr>
        <w:t xml:space="preserve">as part of </w:t>
      </w:r>
      <w:r w:rsidR="00883B42" w:rsidRPr="005B4C47">
        <w:rPr>
          <w:rFonts w:asciiTheme="majorHAnsi" w:hAnsiTheme="majorHAnsi"/>
          <w:sz w:val="20"/>
          <w:szCs w:val="20"/>
        </w:rPr>
        <w:t xml:space="preserve">the described pattern of the so-called “false positives” in Colombia. In said report, the IACHR took note </w:t>
      </w:r>
      <w:r w:rsidR="009F58E2">
        <w:rPr>
          <w:rFonts w:asciiTheme="majorHAnsi" w:hAnsiTheme="majorHAnsi"/>
          <w:sz w:val="20"/>
          <w:szCs w:val="20"/>
        </w:rPr>
        <w:t xml:space="preserve">of the </w:t>
      </w:r>
      <w:r w:rsidR="009F58E2" w:rsidRPr="009F58E2">
        <w:rPr>
          <w:rFonts w:asciiTheme="majorHAnsi" w:hAnsiTheme="majorHAnsi"/>
          <w:i/>
          <w:iCs/>
          <w:sz w:val="20"/>
          <w:szCs w:val="20"/>
        </w:rPr>
        <w:t>“</w:t>
      </w:r>
      <w:r w:rsidR="009F58E2" w:rsidRPr="009F58E2">
        <w:rPr>
          <w:rFonts w:ascii="Cambria" w:hAnsi="Cambria"/>
          <w:i/>
          <w:iCs/>
          <w:sz w:val="20"/>
          <w:szCs w:val="20"/>
        </w:rPr>
        <w:t>context in which the alleged violations occurred, including the legal framework established to provide economic incentives to members of the military based on the number of deaths produced in combat”</w:t>
      </w:r>
      <w:r w:rsidR="009F58E2">
        <w:rPr>
          <w:rFonts w:ascii="Cambria" w:hAnsi="Cambria"/>
          <w:sz w:val="20"/>
          <w:szCs w:val="20"/>
        </w:rPr>
        <w:t>,</w:t>
      </w:r>
      <w:r w:rsidR="00883B42" w:rsidRPr="005B4C47">
        <w:rPr>
          <w:rFonts w:asciiTheme="majorHAnsi" w:hAnsiTheme="majorHAnsi"/>
          <w:sz w:val="20"/>
          <w:szCs w:val="20"/>
        </w:rPr>
        <w:t xml:space="preserve"> for which</w:t>
      </w:r>
      <w:r w:rsidR="009F58E2">
        <w:rPr>
          <w:rFonts w:asciiTheme="majorHAnsi" w:hAnsiTheme="majorHAnsi"/>
          <w:sz w:val="20"/>
          <w:szCs w:val="20"/>
        </w:rPr>
        <w:t xml:space="preserve"> reason</w:t>
      </w:r>
      <w:r w:rsidR="00883B42" w:rsidRPr="005B4C47">
        <w:rPr>
          <w:rFonts w:asciiTheme="majorHAnsi" w:hAnsiTheme="majorHAnsi"/>
          <w:sz w:val="20"/>
          <w:szCs w:val="20"/>
        </w:rPr>
        <w:t xml:space="preserve"> it considered that the duty of the State to adopt domestic law </w:t>
      </w:r>
      <w:r w:rsidR="009F58E2">
        <w:rPr>
          <w:rFonts w:asciiTheme="majorHAnsi" w:hAnsiTheme="majorHAnsi"/>
          <w:sz w:val="20"/>
          <w:szCs w:val="20"/>
        </w:rPr>
        <w:t xml:space="preserve">provisions in order </w:t>
      </w:r>
      <w:r w:rsidR="00883B42" w:rsidRPr="005B4C47">
        <w:rPr>
          <w:rFonts w:asciiTheme="majorHAnsi" w:hAnsiTheme="majorHAnsi"/>
          <w:sz w:val="20"/>
          <w:szCs w:val="20"/>
        </w:rPr>
        <w:t>to make the American Convention effective</w:t>
      </w:r>
      <w:r w:rsidR="009F58E2">
        <w:rPr>
          <w:rFonts w:asciiTheme="majorHAnsi" w:hAnsiTheme="majorHAnsi"/>
          <w:sz w:val="20"/>
          <w:szCs w:val="20"/>
        </w:rPr>
        <w:t>,</w:t>
      </w:r>
      <w:r w:rsidR="00883B42" w:rsidRPr="005B4C47">
        <w:rPr>
          <w:rFonts w:asciiTheme="majorHAnsi" w:hAnsiTheme="majorHAnsi"/>
          <w:sz w:val="20"/>
          <w:szCs w:val="20"/>
        </w:rPr>
        <w:t xml:space="preserve"> under Article 2 of said instrument</w:t>
      </w:r>
      <w:r w:rsidR="009F58E2">
        <w:rPr>
          <w:rFonts w:asciiTheme="majorHAnsi" w:hAnsiTheme="majorHAnsi"/>
          <w:sz w:val="20"/>
          <w:szCs w:val="20"/>
        </w:rPr>
        <w:t>, was potentially compromised</w:t>
      </w:r>
      <w:r w:rsidR="00883B42">
        <w:rPr>
          <w:rStyle w:val="FootnoteReference"/>
          <w:rFonts w:asciiTheme="majorHAnsi" w:hAnsiTheme="majorHAnsi"/>
          <w:sz w:val="20"/>
          <w:szCs w:val="20"/>
          <w:lang w:val="es-CO"/>
        </w:rPr>
        <w:footnoteReference w:id="8"/>
      </w:r>
      <w:r w:rsidR="00883B42" w:rsidRPr="005B4C47">
        <w:rPr>
          <w:rFonts w:asciiTheme="majorHAnsi" w:hAnsiTheme="majorHAnsi"/>
          <w:sz w:val="20"/>
          <w:szCs w:val="20"/>
        </w:rPr>
        <w:t xml:space="preserve">  - a position that will be reiterated in this report </w:t>
      </w:r>
      <w:r w:rsidR="009F58E2">
        <w:rPr>
          <w:rFonts w:asciiTheme="majorHAnsi" w:hAnsiTheme="majorHAnsi"/>
          <w:sz w:val="20"/>
          <w:szCs w:val="20"/>
        </w:rPr>
        <w:t xml:space="preserve">insofar as the </w:t>
      </w:r>
      <w:r w:rsidR="00883B42" w:rsidRPr="005B4C47">
        <w:rPr>
          <w:rFonts w:asciiTheme="majorHAnsi" w:hAnsiTheme="majorHAnsi"/>
          <w:sz w:val="20"/>
          <w:szCs w:val="20"/>
        </w:rPr>
        <w:t xml:space="preserve">crime, also in this case, </w:t>
      </w:r>
      <w:r w:rsidR="009F58E2">
        <w:rPr>
          <w:rFonts w:asciiTheme="majorHAnsi" w:hAnsiTheme="majorHAnsi"/>
          <w:sz w:val="20"/>
          <w:szCs w:val="20"/>
        </w:rPr>
        <w:t xml:space="preserve">occurred pursuant to stimuli enshrined </w:t>
      </w:r>
      <w:r w:rsidR="00883B42" w:rsidRPr="005B4C47">
        <w:rPr>
          <w:rFonts w:asciiTheme="majorHAnsi" w:hAnsiTheme="majorHAnsi"/>
          <w:sz w:val="20"/>
          <w:szCs w:val="20"/>
        </w:rPr>
        <w:t xml:space="preserve">in </w:t>
      </w:r>
      <w:r w:rsidR="009F58E2">
        <w:rPr>
          <w:rFonts w:asciiTheme="majorHAnsi" w:hAnsiTheme="majorHAnsi"/>
          <w:sz w:val="20"/>
          <w:szCs w:val="20"/>
        </w:rPr>
        <w:t>an Order</w:t>
      </w:r>
      <w:r w:rsidR="00883B42" w:rsidRPr="005B4C47">
        <w:rPr>
          <w:rFonts w:asciiTheme="majorHAnsi" w:hAnsiTheme="majorHAnsi"/>
          <w:sz w:val="20"/>
          <w:szCs w:val="20"/>
        </w:rPr>
        <w:t xml:space="preserve"> </w:t>
      </w:r>
      <w:r w:rsidR="009F58E2">
        <w:rPr>
          <w:rFonts w:asciiTheme="majorHAnsi" w:hAnsiTheme="majorHAnsi"/>
          <w:sz w:val="20"/>
          <w:szCs w:val="20"/>
        </w:rPr>
        <w:t xml:space="preserve">of </w:t>
      </w:r>
      <w:r w:rsidR="00883B42" w:rsidRPr="005B4C47">
        <w:rPr>
          <w:rFonts w:asciiTheme="majorHAnsi" w:hAnsiTheme="majorHAnsi"/>
          <w:sz w:val="20"/>
          <w:szCs w:val="20"/>
        </w:rPr>
        <w:t xml:space="preserve">the Ministry </w:t>
      </w:r>
      <w:r w:rsidR="009F58E2">
        <w:rPr>
          <w:rFonts w:asciiTheme="majorHAnsi" w:hAnsiTheme="majorHAnsi"/>
          <w:sz w:val="20"/>
          <w:szCs w:val="20"/>
        </w:rPr>
        <w:t>of D</w:t>
      </w:r>
      <w:r w:rsidR="00883B42" w:rsidRPr="005B4C47">
        <w:rPr>
          <w:rFonts w:asciiTheme="majorHAnsi" w:hAnsiTheme="majorHAnsi"/>
          <w:sz w:val="20"/>
          <w:szCs w:val="20"/>
        </w:rPr>
        <w:t>efense.</w:t>
      </w:r>
    </w:p>
    <w:p w14:paraId="49A2A2CF" w14:textId="23AA7807" w:rsidR="009F58E2" w:rsidRPr="009F58E2" w:rsidRDefault="009F58E2" w:rsidP="009F58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360"/>
        <w:jc w:val="both"/>
        <w:rPr>
          <w:rFonts w:asciiTheme="majorHAnsi" w:hAnsiTheme="majorHAnsi"/>
          <w:sz w:val="20"/>
          <w:szCs w:val="20"/>
        </w:rPr>
      </w:pPr>
      <w:r>
        <w:rPr>
          <w:rFonts w:asciiTheme="majorHAnsi" w:hAnsiTheme="majorHAnsi"/>
          <w:sz w:val="20"/>
          <w:szCs w:val="20"/>
        </w:rPr>
        <w:t xml:space="preserve">22. </w:t>
      </w:r>
      <w:r w:rsidR="00883B42" w:rsidRPr="009F58E2">
        <w:rPr>
          <w:rFonts w:asciiTheme="majorHAnsi" w:hAnsiTheme="majorHAnsi"/>
          <w:sz w:val="20"/>
          <w:szCs w:val="20"/>
        </w:rPr>
        <w:t>In view of these considerations and after examining the fact</w:t>
      </w:r>
      <w:r>
        <w:rPr>
          <w:rFonts w:asciiTheme="majorHAnsi" w:hAnsiTheme="majorHAnsi"/>
          <w:sz w:val="20"/>
          <w:szCs w:val="20"/>
        </w:rPr>
        <w:t xml:space="preserve">ual </w:t>
      </w:r>
      <w:r w:rsidR="00883B42" w:rsidRPr="009F58E2">
        <w:rPr>
          <w:rFonts w:asciiTheme="majorHAnsi" w:hAnsiTheme="majorHAnsi"/>
          <w:sz w:val="20"/>
          <w:szCs w:val="20"/>
        </w:rPr>
        <w:t xml:space="preserve">and </w:t>
      </w:r>
      <w:r>
        <w:rPr>
          <w:rFonts w:asciiTheme="majorHAnsi" w:hAnsiTheme="majorHAnsi"/>
          <w:sz w:val="20"/>
          <w:szCs w:val="20"/>
        </w:rPr>
        <w:t xml:space="preserve">legal elements set forth </w:t>
      </w:r>
      <w:r w:rsidR="00883B42" w:rsidRPr="009F58E2">
        <w:rPr>
          <w:rFonts w:asciiTheme="majorHAnsi" w:hAnsiTheme="majorHAnsi"/>
          <w:sz w:val="20"/>
          <w:szCs w:val="20"/>
        </w:rPr>
        <w:t xml:space="preserve">by the parties, the Commission considers that the facts alleged by the </w:t>
      </w:r>
      <w:r>
        <w:rPr>
          <w:rFonts w:asciiTheme="majorHAnsi" w:hAnsiTheme="majorHAnsi"/>
          <w:sz w:val="20"/>
          <w:szCs w:val="20"/>
        </w:rPr>
        <w:t>petitioner</w:t>
      </w:r>
      <w:r w:rsidR="00883B42" w:rsidRPr="009F58E2">
        <w:rPr>
          <w:rFonts w:asciiTheme="majorHAnsi" w:hAnsiTheme="majorHAnsi"/>
          <w:sz w:val="20"/>
          <w:szCs w:val="20"/>
        </w:rPr>
        <w:t>, if corroborated, could characterize violations of the rights established in Articles 4 (right to life), 5 (</w:t>
      </w:r>
      <w:r>
        <w:rPr>
          <w:rFonts w:asciiTheme="majorHAnsi" w:hAnsiTheme="majorHAnsi"/>
          <w:sz w:val="20"/>
          <w:szCs w:val="20"/>
        </w:rPr>
        <w:t>humane treatment</w:t>
      </w:r>
      <w:r w:rsidR="00883B42" w:rsidRPr="009F58E2">
        <w:rPr>
          <w:rFonts w:asciiTheme="majorHAnsi" w:hAnsiTheme="majorHAnsi"/>
          <w:sz w:val="20"/>
          <w:szCs w:val="20"/>
        </w:rPr>
        <w:t xml:space="preserve">), 8 (fair trial), 11 (privacy), 22 (movement and residence), 25 (judicial protection) and 26 (economic, social and cultural rights) of the </w:t>
      </w:r>
      <w:r>
        <w:rPr>
          <w:rFonts w:asciiTheme="majorHAnsi" w:hAnsiTheme="majorHAnsi"/>
          <w:sz w:val="20"/>
          <w:szCs w:val="20"/>
        </w:rPr>
        <w:t>American Convention</w:t>
      </w:r>
      <w:r w:rsidR="00883B42" w:rsidRPr="009F58E2">
        <w:rPr>
          <w:rFonts w:asciiTheme="majorHAnsi" w:hAnsiTheme="majorHAnsi"/>
          <w:sz w:val="20"/>
          <w:szCs w:val="20"/>
        </w:rPr>
        <w:t xml:space="preserve">, in relation to </w:t>
      </w:r>
      <w:r>
        <w:rPr>
          <w:rFonts w:asciiTheme="majorHAnsi" w:hAnsiTheme="majorHAnsi"/>
          <w:sz w:val="20"/>
          <w:szCs w:val="20"/>
        </w:rPr>
        <w:t>A</w:t>
      </w:r>
      <w:r w:rsidR="00883B42" w:rsidRPr="009F58E2">
        <w:rPr>
          <w:rFonts w:asciiTheme="majorHAnsi" w:hAnsiTheme="majorHAnsi"/>
          <w:sz w:val="20"/>
          <w:szCs w:val="20"/>
        </w:rPr>
        <w:t>rticles 1.1 (obligation to respect rights) and 2 (</w:t>
      </w:r>
      <w:r>
        <w:rPr>
          <w:rFonts w:asciiTheme="majorHAnsi" w:hAnsiTheme="majorHAnsi"/>
          <w:sz w:val="20"/>
          <w:szCs w:val="20"/>
        </w:rPr>
        <w:t>domestic legal effects</w:t>
      </w:r>
      <w:r w:rsidR="00883B42" w:rsidRPr="009F58E2">
        <w:rPr>
          <w:rFonts w:asciiTheme="majorHAnsi" w:hAnsiTheme="majorHAnsi"/>
          <w:sz w:val="20"/>
          <w:szCs w:val="20"/>
        </w:rPr>
        <w:t>)</w:t>
      </w:r>
      <w:r>
        <w:rPr>
          <w:rFonts w:asciiTheme="majorHAnsi" w:hAnsiTheme="majorHAnsi"/>
          <w:sz w:val="20"/>
          <w:szCs w:val="20"/>
        </w:rPr>
        <w:t xml:space="preserve"> thereof</w:t>
      </w:r>
      <w:r w:rsidR="00883B42" w:rsidRPr="009F58E2">
        <w:rPr>
          <w:rFonts w:asciiTheme="majorHAnsi" w:hAnsiTheme="majorHAnsi"/>
          <w:sz w:val="20"/>
          <w:szCs w:val="20"/>
        </w:rPr>
        <w:t>, to the detriment of the alleged victims, in the terms of this report.</w:t>
      </w:r>
    </w:p>
    <w:p w14:paraId="39417B1F" w14:textId="2AEC2720" w:rsidR="00883B42" w:rsidRPr="009F58E2" w:rsidRDefault="009F58E2" w:rsidP="009F58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360"/>
        <w:jc w:val="both"/>
        <w:rPr>
          <w:rFonts w:asciiTheme="majorHAnsi" w:hAnsiTheme="majorHAnsi"/>
          <w:sz w:val="20"/>
          <w:szCs w:val="20"/>
        </w:rPr>
      </w:pPr>
      <w:r>
        <w:rPr>
          <w:rFonts w:asciiTheme="majorHAnsi" w:hAnsiTheme="majorHAnsi"/>
          <w:sz w:val="20"/>
          <w:szCs w:val="20"/>
        </w:rPr>
        <w:t>23. Likewise</w:t>
      </w:r>
      <w:r w:rsidR="00883B42" w:rsidRPr="009F58E2">
        <w:rPr>
          <w:rFonts w:asciiTheme="majorHAnsi" w:hAnsiTheme="majorHAnsi"/>
          <w:sz w:val="20"/>
          <w:szCs w:val="20"/>
        </w:rPr>
        <w:t xml:space="preserve">, the allegations about the suffering inflicted on Mr. Freddy Torres during the attack to which he survived and </w:t>
      </w:r>
      <w:r>
        <w:rPr>
          <w:rFonts w:asciiTheme="majorHAnsi" w:hAnsiTheme="majorHAnsi"/>
          <w:sz w:val="20"/>
          <w:szCs w:val="20"/>
        </w:rPr>
        <w:t xml:space="preserve">thereafter, with the alleged </w:t>
      </w:r>
      <w:r w:rsidR="00883B42" w:rsidRPr="009F58E2">
        <w:rPr>
          <w:rFonts w:asciiTheme="majorHAnsi" w:hAnsiTheme="majorHAnsi"/>
          <w:sz w:val="20"/>
          <w:szCs w:val="20"/>
        </w:rPr>
        <w:t>persecution of him</w:t>
      </w:r>
      <w:r w:rsidR="005055FA">
        <w:rPr>
          <w:rFonts w:asciiTheme="majorHAnsi" w:hAnsiTheme="majorHAnsi"/>
          <w:sz w:val="20"/>
          <w:szCs w:val="20"/>
        </w:rPr>
        <w:t>self</w:t>
      </w:r>
      <w:r w:rsidR="00883B42" w:rsidRPr="009F58E2">
        <w:rPr>
          <w:rFonts w:asciiTheme="majorHAnsi" w:hAnsiTheme="majorHAnsi"/>
          <w:sz w:val="20"/>
          <w:szCs w:val="20"/>
        </w:rPr>
        <w:t xml:space="preserve"> and his </w:t>
      </w:r>
      <w:r w:rsidR="005055FA">
        <w:rPr>
          <w:rFonts w:asciiTheme="majorHAnsi" w:hAnsiTheme="majorHAnsi"/>
          <w:sz w:val="20"/>
          <w:szCs w:val="20"/>
        </w:rPr>
        <w:t>family</w:t>
      </w:r>
      <w:r w:rsidR="00883B42" w:rsidRPr="009F58E2">
        <w:rPr>
          <w:rFonts w:asciiTheme="majorHAnsi" w:hAnsiTheme="majorHAnsi"/>
          <w:sz w:val="20"/>
          <w:szCs w:val="20"/>
        </w:rPr>
        <w:t>, and the lack of a proper investigation into these events, could constitute violations of Articles 1, 6 and 8 of the Inter-American Convention to Prevent and Punish Torture.</w:t>
      </w:r>
    </w:p>
    <w:p w14:paraId="478216B8" w14:textId="77777777" w:rsidR="00783564" w:rsidRPr="006B2789" w:rsidRDefault="00783564" w:rsidP="0078356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highlight w:val="yellow"/>
        </w:rPr>
      </w:pPr>
    </w:p>
    <w:p w14:paraId="6EC55A9F" w14:textId="490F943F" w:rsidR="00783564" w:rsidRDefault="00A84BEB" w:rsidP="00CB1AA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b/>
          <w:bCs/>
          <w:sz w:val="20"/>
          <w:szCs w:val="20"/>
          <w:highlight w:val="yellow"/>
        </w:rPr>
      </w:pPr>
      <w:r w:rsidRPr="00CB1AAC">
        <w:rPr>
          <w:rFonts w:asciiTheme="majorHAnsi" w:hAnsiTheme="majorHAnsi"/>
          <w:b/>
          <w:bCs/>
          <w:sz w:val="20"/>
          <w:szCs w:val="20"/>
        </w:rPr>
        <w:t xml:space="preserve">VIII. </w:t>
      </w:r>
      <w:r w:rsidR="00783564" w:rsidRPr="00CB1AAC">
        <w:rPr>
          <w:rFonts w:asciiTheme="majorHAnsi" w:hAnsiTheme="majorHAnsi"/>
          <w:b/>
          <w:bCs/>
          <w:sz w:val="20"/>
          <w:szCs w:val="20"/>
        </w:rPr>
        <w:t>SOME ADDITIONAL CONSIDERATIONS ON REPARATIONS BEFORE THE INTER-AMERICAN SYSTEM OF HUMAN RIGHTS</w:t>
      </w:r>
    </w:p>
    <w:p w14:paraId="75B7055B" w14:textId="77777777" w:rsidR="00CB1AAC" w:rsidRPr="00CB1AAC" w:rsidRDefault="00CB1AAC" w:rsidP="00CB1AAC">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360"/>
        <w:jc w:val="both"/>
        <w:rPr>
          <w:rFonts w:asciiTheme="majorHAnsi" w:hAnsiTheme="majorHAnsi"/>
          <w:b/>
          <w:bCs/>
          <w:sz w:val="20"/>
          <w:szCs w:val="20"/>
          <w:highlight w:val="yellow"/>
        </w:rPr>
      </w:pPr>
    </w:p>
    <w:p w14:paraId="502ED136" w14:textId="0A945BAE" w:rsidR="00783564" w:rsidRDefault="00783564" w:rsidP="007835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360"/>
        <w:jc w:val="both"/>
        <w:rPr>
          <w:rFonts w:asciiTheme="majorHAnsi" w:hAnsiTheme="majorHAnsi"/>
          <w:sz w:val="20"/>
          <w:szCs w:val="20"/>
        </w:rPr>
      </w:pPr>
      <w:r>
        <w:rPr>
          <w:rFonts w:asciiTheme="majorHAnsi" w:hAnsiTheme="majorHAnsi"/>
          <w:sz w:val="20"/>
          <w:szCs w:val="20"/>
        </w:rPr>
        <w:t xml:space="preserve">24. </w:t>
      </w:r>
      <w:r w:rsidRPr="00783564">
        <w:rPr>
          <w:rFonts w:asciiTheme="majorHAnsi" w:hAnsiTheme="majorHAnsi"/>
          <w:sz w:val="20"/>
          <w:szCs w:val="20"/>
        </w:rPr>
        <w:t xml:space="preserve">Colombia has argued that the petition currently </w:t>
      </w:r>
      <w:r w:rsidR="00CB1AAC">
        <w:rPr>
          <w:rFonts w:asciiTheme="majorHAnsi" w:hAnsiTheme="majorHAnsi"/>
          <w:sz w:val="20"/>
          <w:szCs w:val="20"/>
        </w:rPr>
        <w:t>has no object</w:t>
      </w:r>
      <w:r w:rsidRPr="00783564">
        <w:rPr>
          <w:rFonts w:asciiTheme="majorHAnsi" w:hAnsiTheme="majorHAnsi"/>
          <w:sz w:val="20"/>
          <w:szCs w:val="20"/>
        </w:rPr>
        <w:t xml:space="preserve">, since the victims have already </w:t>
      </w:r>
      <w:r>
        <w:rPr>
          <w:rFonts w:asciiTheme="majorHAnsi" w:hAnsiTheme="majorHAnsi"/>
          <w:sz w:val="20"/>
          <w:szCs w:val="20"/>
        </w:rPr>
        <w:t xml:space="preserve">received reparations </w:t>
      </w:r>
      <w:r w:rsidRPr="00783564">
        <w:rPr>
          <w:rFonts w:asciiTheme="majorHAnsi" w:hAnsiTheme="majorHAnsi"/>
          <w:sz w:val="20"/>
          <w:szCs w:val="20"/>
        </w:rPr>
        <w:t>domestically</w:t>
      </w:r>
      <w:r>
        <w:rPr>
          <w:rFonts w:asciiTheme="majorHAnsi" w:hAnsiTheme="majorHAnsi"/>
          <w:sz w:val="20"/>
          <w:szCs w:val="20"/>
        </w:rPr>
        <w:t>,</w:t>
      </w:r>
      <w:r w:rsidRPr="00783564">
        <w:rPr>
          <w:rFonts w:asciiTheme="majorHAnsi" w:hAnsiTheme="majorHAnsi"/>
          <w:sz w:val="20"/>
          <w:szCs w:val="20"/>
        </w:rPr>
        <w:t xml:space="preserve"> in compliance with the ruling of the Cundinamarca Administrative </w:t>
      </w:r>
      <w:r w:rsidR="00CB1AAC">
        <w:rPr>
          <w:rFonts w:asciiTheme="majorHAnsi" w:hAnsiTheme="majorHAnsi"/>
          <w:sz w:val="20"/>
          <w:szCs w:val="20"/>
        </w:rPr>
        <w:t xml:space="preserve">Tribunal; the </w:t>
      </w:r>
      <w:r w:rsidRPr="00783564">
        <w:rPr>
          <w:rFonts w:asciiTheme="majorHAnsi" w:hAnsiTheme="majorHAnsi"/>
          <w:sz w:val="20"/>
          <w:szCs w:val="20"/>
        </w:rPr>
        <w:t xml:space="preserve">reparations ordered </w:t>
      </w:r>
      <w:r w:rsidR="00CB1AAC">
        <w:rPr>
          <w:rFonts w:asciiTheme="majorHAnsi" w:hAnsiTheme="majorHAnsi"/>
          <w:sz w:val="20"/>
          <w:szCs w:val="20"/>
        </w:rPr>
        <w:t xml:space="preserve">therein </w:t>
      </w:r>
      <w:r w:rsidRPr="00783564">
        <w:rPr>
          <w:rFonts w:asciiTheme="majorHAnsi" w:hAnsiTheme="majorHAnsi"/>
          <w:sz w:val="20"/>
          <w:szCs w:val="20"/>
        </w:rPr>
        <w:t xml:space="preserve">include both the payment of monetary </w:t>
      </w:r>
      <w:r>
        <w:rPr>
          <w:rFonts w:asciiTheme="majorHAnsi" w:hAnsiTheme="majorHAnsi"/>
          <w:sz w:val="20"/>
          <w:szCs w:val="20"/>
        </w:rPr>
        <w:t>sums</w:t>
      </w:r>
      <w:r w:rsidRPr="00783564">
        <w:rPr>
          <w:rFonts w:asciiTheme="majorHAnsi" w:hAnsiTheme="majorHAnsi"/>
          <w:sz w:val="20"/>
          <w:szCs w:val="20"/>
        </w:rPr>
        <w:t xml:space="preserve"> and the holding of a public act of acknowledgment of responsibility and request for forgiveness. However, the petitioners dispute </w:t>
      </w:r>
      <w:r w:rsidR="006A086B">
        <w:rPr>
          <w:rFonts w:asciiTheme="majorHAnsi" w:hAnsiTheme="majorHAnsi"/>
          <w:sz w:val="20"/>
          <w:szCs w:val="20"/>
        </w:rPr>
        <w:t>the State’s position</w:t>
      </w:r>
      <w:r w:rsidRPr="00783564">
        <w:rPr>
          <w:rFonts w:asciiTheme="majorHAnsi" w:hAnsiTheme="majorHAnsi"/>
          <w:sz w:val="20"/>
          <w:szCs w:val="20"/>
        </w:rPr>
        <w:t xml:space="preserve">, </w:t>
      </w:r>
      <w:r>
        <w:rPr>
          <w:rFonts w:asciiTheme="majorHAnsi" w:hAnsiTheme="majorHAnsi"/>
          <w:sz w:val="20"/>
          <w:szCs w:val="20"/>
        </w:rPr>
        <w:t>arguing</w:t>
      </w:r>
      <w:r w:rsidRPr="00783564">
        <w:rPr>
          <w:rFonts w:asciiTheme="majorHAnsi" w:hAnsiTheme="majorHAnsi"/>
          <w:sz w:val="20"/>
          <w:szCs w:val="20"/>
        </w:rPr>
        <w:t xml:space="preserve"> that the rights to truth, justice, and reparation of Freddy Torres, </w:t>
      </w:r>
      <w:proofErr w:type="spellStart"/>
      <w:r w:rsidRPr="00783564">
        <w:rPr>
          <w:rFonts w:asciiTheme="majorHAnsi" w:hAnsiTheme="majorHAnsi"/>
          <w:sz w:val="20"/>
          <w:szCs w:val="20"/>
        </w:rPr>
        <w:t>Helvir</w:t>
      </w:r>
      <w:proofErr w:type="spellEnd"/>
      <w:r w:rsidRPr="00783564">
        <w:rPr>
          <w:rFonts w:asciiTheme="majorHAnsi" w:hAnsiTheme="majorHAnsi"/>
          <w:sz w:val="20"/>
          <w:szCs w:val="20"/>
        </w:rPr>
        <w:t xml:space="preserve"> Antonio Torres, and their next of kin remain unfulfilled. In particular, </w:t>
      </w:r>
      <w:r w:rsidR="00CB1AAC">
        <w:rPr>
          <w:rFonts w:asciiTheme="majorHAnsi" w:hAnsiTheme="majorHAnsi"/>
          <w:sz w:val="20"/>
          <w:szCs w:val="20"/>
        </w:rPr>
        <w:t xml:space="preserve">they </w:t>
      </w:r>
      <w:r w:rsidRPr="00783564">
        <w:rPr>
          <w:rFonts w:asciiTheme="majorHAnsi" w:hAnsiTheme="majorHAnsi"/>
          <w:sz w:val="20"/>
          <w:szCs w:val="20"/>
        </w:rPr>
        <w:t xml:space="preserve">allege that the economic compensation ordered by the court has been insufficient and has not been paid; that </w:t>
      </w:r>
      <w:r w:rsidR="00CB1AAC">
        <w:rPr>
          <w:rFonts w:asciiTheme="majorHAnsi" w:hAnsiTheme="majorHAnsi"/>
          <w:sz w:val="20"/>
          <w:szCs w:val="20"/>
        </w:rPr>
        <w:t xml:space="preserve">not everyone who was </w:t>
      </w:r>
      <w:r w:rsidRPr="00783564">
        <w:rPr>
          <w:rFonts w:asciiTheme="majorHAnsi" w:hAnsiTheme="majorHAnsi"/>
          <w:sz w:val="20"/>
          <w:szCs w:val="20"/>
        </w:rPr>
        <w:t xml:space="preserve">responsible for the murder of </w:t>
      </w:r>
      <w:proofErr w:type="spellStart"/>
      <w:r w:rsidRPr="00783564">
        <w:rPr>
          <w:rFonts w:asciiTheme="majorHAnsi" w:hAnsiTheme="majorHAnsi"/>
          <w:sz w:val="20"/>
          <w:szCs w:val="20"/>
        </w:rPr>
        <w:t>Helvir</w:t>
      </w:r>
      <w:proofErr w:type="spellEnd"/>
      <w:r w:rsidRPr="00783564">
        <w:rPr>
          <w:rFonts w:asciiTheme="majorHAnsi" w:hAnsiTheme="majorHAnsi"/>
          <w:sz w:val="20"/>
          <w:szCs w:val="20"/>
        </w:rPr>
        <w:t xml:space="preserve"> Antonio and the attempted murder of Freddy ha</w:t>
      </w:r>
      <w:r w:rsidR="00CB1AAC">
        <w:rPr>
          <w:rFonts w:asciiTheme="majorHAnsi" w:hAnsiTheme="majorHAnsi"/>
          <w:sz w:val="20"/>
          <w:szCs w:val="20"/>
        </w:rPr>
        <w:t>s</w:t>
      </w:r>
      <w:r w:rsidRPr="00783564">
        <w:rPr>
          <w:rFonts w:asciiTheme="majorHAnsi" w:hAnsiTheme="majorHAnsi"/>
          <w:sz w:val="20"/>
          <w:szCs w:val="20"/>
        </w:rPr>
        <w:t xml:space="preserve"> been criminally prosecuted; that the crimes of persecution and attack with a firearm against Freddy remain </w:t>
      </w:r>
      <w:r w:rsidR="00C25DB9">
        <w:rPr>
          <w:rFonts w:asciiTheme="majorHAnsi" w:hAnsiTheme="majorHAnsi"/>
          <w:sz w:val="20"/>
          <w:szCs w:val="20"/>
        </w:rPr>
        <w:t>unpunished</w:t>
      </w:r>
      <w:r w:rsidRPr="00783564">
        <w:rPr>
          <w:rFonts w:asciiTheme="majorHAnsi" w:hAnsiTheme="majorHAnsi"/>
          <w:sz w:val="20"/>
          <w:szCs w:val="20"/>
        </w:rPr>
        <w:t xml:space="preserve">, as does the crime of forced displacement of the relatives of both; and that no rehabilitation measures </w:t>
      </w:r>
      <w:r w:rsidR="00CB1AAC">
        <w:rPr>
          <w:rFonts w:asciiTheme="majorHAnsi" w:hAnsiTheme="majorHAnsi"/>
          <w:sz w:val="20"/>
          <w:szCs w:val="20"/>
        </w:rPr>
        <w:t>n</w:t>
      </w:r>
      <w:r w:rsidRPr="00783564">
        <w:rPr>
          <w:rFonts w:asciiTheme="majorHAnsi" w:hAnsiTheme="majorHAnsi"/>
          <w:sz w:val="20"/>
          <w:szCs w:val="20"/>
        </w:rPr>
        <w:t>or guarantees of non-repetition consistent with the doctrine and jurisprudence of the Inter-American System</w:t>
      </w:r>
      <w:r w:rsidR="00CB1AAC">
        <w:rPr>
          <w:rFonts w:asciiTheme="majorHAnsi" w:hAnsiTheme="majorHAnsi"/>
          <w:sz w:val="20"/>
          <w:szCs w:val="20"/>
        </w:rPr>
        <w:t xml:space="preserve"> have been ordered</w:t>
      </w:r>
      <w:r w:rsidRPr="00783564">
        <w:rPr>
          <w:rFonts w:asciiTheme="majorHAnsi" w:hAnsiTheme="majorHAnsi"/>
          <w:sz w:val="20"/>
          <w:szCs w:val="20"/>
        </w:rPr>
        <w:t>.</w:t>
      </w:r>
    </w:p>
    <w:p w14:paraId="788DD78F" w14:textId="698385D8" w:rsidR="00CB1AAC" w:rsidRDefault="00CB1AAC" w:rsidP="007835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360"/>
        <w:jc w:val="both"/>
        <w:rPr>
          <w:rFonts w:asciiTheme="majorHAnsi" w:hAnsiTheme="majorHAnsi"/>
          <w:sz w:val="20"/>
          <w:szCs w:val="20"/>
        </w:rPr>
      </w:pPr>
      <w:r>
        <w:rPr>
          <w:rFonts w:asciiTheme="majorHAnsi" w:hAnsiTheme="majorHAnsi"/>
          <w:sz w:val="20"/>
          <w:szCs w:val="20"/>
        </w:rPr>
        <w:t>25. In this regard, the IACHR underscores that the international responsibility of the State which is claimed before the Inter-American System is of a fundamentally different nature than the legal-administrative State responsibility declared by the domestic administrative jurisdiction, given that it is made effective under different legal parameters, and seeks to establish the applicability of reparations whose components differ significantly.</w:t>
      </w:r>
    </w:p>
    <w:p w14:paraId="3E6AEFA5" w14:textId="79EA7816" w:rsidR="00A84BEB" w:rsidRPr="00337F5A" w:rsidRDefault="00C25DB9" w:rsidP="00337F5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360"/>
        <w:jc w:val="both"/>
        <w:rPr>
          <w:rFonts w:asciiTheme="majorHAnsi" w:hAnsiTheme="majorHAnsi"/>
          <w:sz w:val="20"/>
          <w:szCs w:val="20"/>
        </w:rPr>
      </w:pPr>
      <w:r>
        <w:rPr>
          <w:rFonts w:asciiTheme="majorHAnsi" w:hAnsiTheme="majorHAnsi"/>
          <w:sz w:val="20"/>
          <w:szCs w:val="20"/>
        </w:rPr>
        <w:lastRenderedPageBreak/>
        <w:t>2</w:t>
      </w:r>
      <w:r w:rsidR="00CB1AAC">
        <w:rPr>
          <w:rFonts w:asciiTheme="majorHAnsi" w:hAnsiTheme="majorHAnsi"/>
          <w:sz w:val="20"/>
          <w:szCs w:val="20"/>
        </w:rPr>
        <w:t>6</w:t>
      </w:r>
      <w:r>
        <w:rPr>
          <w:rFonts w:asciiTheme="majorHAnsi" w:hAnsiTheme="majorHAnsi"/>
          <w:sz w:val="20"/>
          <w:szCs w:val="20"/>
        </w:rPr>
        <w:t xml:space="preserve">. </w:t>
      </w:r>
      <w:r w:rsidR="00314928" w:rsidRPr="00DE773F">
        <w:rPr>
          <w:rFonts w:asciiTheme="majorHAnsi" w:hAnsiTheme="majorHAnsi"/>
          <w:sz w:val="20"/>
          <w:szCs w:val="20"/>
        </w:rPr>
        <w:t xml:space="preserve">Indeed, the organs of the Inter-American System have developed </w:t>
      </w:r>
      <w:r w:rsidR="006A086B">
        <w:rPr>
          <w:rFonts w:asciiTheme="majorHAnsi" w:hAnsiTheme="majorHAnsi"/>
          <w:sz w:val="20"/>
          <w:szCs w:val="20"/>
        </w:rPr>
        <w:t>a robust</w:t>
      </w:r>
      <w:r w:rsidR="00314928" w:rsidRPr="00DE773F">
        <w:rPr>
          <w:rFonts w:asciiTheme="majorHAnsi" w:hAnsiTheme="majorHAnsi"/>
          <w:sz w:val="20"/>
          <w:szCs w:val="20"/>
        </w:rPr>
        <w:t xml:space="preserve"> jurisprudence on the </w:t>
      </w:r>
      <w:r w:rsidR="001E633D" w:rsidRPr="00DE773F">
        <w:rPr>
          <w:rFonts w:asciiTheme="majorHAnsi" w:hAnsiTheme="majorHAnsi"/>
          <w:sz w:val="20"/>
          <w:szCs w:val="20"/>
        </w:rPr>
        <w:t>foundations</w:t>
      </w:r>
      <w:r w:rsidR="00314928" w:rsidRPr="00DE773F">
        <w:rPr>
          <w:rFonts w:asciiTheme="majorHAnsi" w:hAnsiTheme="majorHAnsi"/>
          <w:sz w:val="20"/>
          <w:szCs w:val="20"/>
        </w:rPr>
        <w:t xml:space="preserve">, content, and components of the right of victims of human rights violations to receive </w:t>
      </w:r>
      <w:r w:rsidR="00CB1AAC">
        <w:rPr>
          <w:rFonts w:asciiTheme="majorHAnsi" w:hAnsiTheme="majorHAnsi"/>
          <w:sz w:val="20"/>
          <w:szCs w:val="20"/>
        </w:rPr>
        <w:t xml:space="preserve">full </w:t>
      </w:r>
      <w:r w:rsidR="00314928" w:rsidRPr="00DE773F">
        <w:rPr>
          <w:rFonts w:asciiTheme="majorHAnsi" w:hAnsiTheme="majorHAnsi"/>
          <w:sz w:val="20"/>
          <w:szCs w:val="20"/>
        </w:rPr>
        <w:t>reparation,</w:t>
      </w:r>
      <w:r w:rsidR="00CB1AAC">
        <w:rPr>
          <w:rFonts w:asciiTheme="majorHAnsi" w:hAnsiTheme="majorHAnsi"/>
          <w:sz w:val="20"/>
          <w:szCs w:val="20"/>
        </w:rPr>
        <w:t xml:space="preserve"> a jurisprudence</w:t>
      </w:r>
      <w:r w:rsidR="00314928" w:rsidRPr="00DE773F">
        <w:rPr>
          <w:rFonts w:asciiTheme="majorHAnsi" w:hAnsiTheme="majorHAnsi"/>
          <w:sz w:val="20"/>
          <w:szCs w:val="20"/>
        </w:rPr>
        <w:t xml:space="preserve"> which is directly relevant to the present case. The IACHR, through its </w:t>
      </w:r>
      <w:r w:rsidR="001E633D" w:rsidRPr="00DE773F">
        <w:rPr>
          <w:rFonts w:asciiTheme="majorHAnsi" w:hAnsiTheme="majorHAnsi"/>
          <w:sz w:val="20"/>
          <w:szCs w:val="20"/>
        </w:rPr>
        <w:t xml:space="preserve">merits </w:t>
      </w:r>
      <w:r w:rsidR="00314928" w:rsidRPr="00DE773F">
        <w:rPr>
          <w:rFonts w:asciiTheme="majorHAnsi" w:hAnsiTheme="majorHAnsi"/>
          <w:sz w:val="20"/>
          <w:szCs w:val="20"/>
        </w:rPr>
        <w:t xml:space="preserve">reports and in line with the jurisprudence of the Inter-American Court, has historically characterized </w:t>
      </w:r>
      <w:r w:rsidR="001E633D" w:rsidRPr="00DE773F">
        <w:rPr>
          <w:rFonts w:asciiTheme="majorHAnsi" w:hAnsiTheme="majorHAnsi"/>
          <w:sz w:val="20"/>
          <w:szCs w:val="20"/>
        </w:rPr>
        <w:t xml:space="preserve">itself </w:t>
      </w:r>
      <w:r w:rsidR="00314928" w:rsidRPr="00DE773F">
        <w:rPr>
          <w:rFonts w:asciiTheme="majorHAnsi" w:hAnsiTheme="majorHAnsi"/>
          <w:sz w:val="20"/>
          <w:szCs w:val="20"/>
        </w:rPr>
        <w:t xml:space="preserve">by recommending, for each case of violation or threat </w:t>
      </w:r>
      <w:r w:rsidR="006A086B">
        <w:rPr>
          <w:rFonts w:asciiTheme="majorHAnsi" w:hAnsiTheme="majorHAnsi"/>
          <w:sz w:val="20"/>
          <w:szCs w:val="20"/>
        </w:rPr>
        <w:t>to</w:t>
      </w:r>
      <w:r w:rsidR="00314928" w:rsidRPr="00DE773F">
        <w:rPr>
          <w:rFonts w:asciiTheme="majorHAnsi" w:hAnsiTheme="majorHAnsi"/>
          <w:sz w:val="20"/>
          <w:szCs w:val="20"/>
        </w:rPr>
        <w:t xml:space="preserve"> human rights that it </w:t>
      </w:r>
      <w:r w:rsidR="00CB1AAC">
        <w:rPr>
          <w:rFonts w:asciiTheme="majorHAnsi" w:hAnsiTheme="majorHAnsi"/>
          <w:sz w:val="20"/>
          <w:szCs w:val="20"/>
        </w:rPr>
        <w:t>hears</w:t>
      </w:r>
      <w:r w:rsidR="00314928" w:rsidRPr="00DE773F">
        <w:rPr>
          <w:rFonts w:asciiTheme="majorHAnsi" w:hAnsiTheme="majorHAnsi"/>
          <w:sz w:val="20"/>
          <w:szCs w:val="20"/>
        </w:rPr>
        <w:t xml:space="preserve">, a complex combination of </w:t>
      </w:r>
      <w:r w:rsidR="00CB1AAC">
        <w:rPr>
          <w:rFonts w:asciiTheme="majorHAnsi" w:hAnsiTheme="majorHAnsi"/>
          <w:sz w:val="20"/>
          <w:szCs w:val="20"/>
        </w:rPr>
        <w:t xml:space="preserve">remedial </w:t>
      </w:r>
      <w:r w:rsidR="00314928" w:rsidRPr="00DE773F">
        <w:rPr>
          <w:rFonts w:asciiTheme="majorHAnsi" w:hAnsiTheme="majorHAnsi"/>
          <w:sz w:val="20"/>
          <w:szCs w:val="20"/>
        </w:rPr>
        <w:t xml:space="preserve">measures of different types and scopes </w:t>
      </w:r>
      <w:r w:rsidR="00CB1AAC">
        <w:rPr>
          <w:rFonts w:asciiTheme="majorHAnsi" w:hAnsiTheme="majorHAnsi"/>
          <w:sz w:val="20"/>
          <w:szCs w:val="20"/>
        </w:rPr>
        <w:t>which</w:t>
      </w:r>
      <w:r w:rsidR="00314928" w:rsidRPr="00DE773F">
        <w:rPr>
          <w:rFonts w:asciiTheme="majorHAnsi" w:hAnsiTheme="majorHAnsi"/>
          <w:sz w:val="20"/>
          <w:szCs w:val="20"/>
        </w:rPr>
        <w:t xml:space="preserve">, as a whole, tend to configure a comprehensive </w:t>
      </w:r>
      <w:r w:rsidR="001E633D" w:rsidRPr="00DE773F">
        <w:rPr>
          <w:rFonts w:asciiTheme="majorHAnsi" w:hAnsiTheme="majorHAnsi"/>
          <w:sz w:val="20"/>
          <w:szCs w:val="20"/>
        </w:rPr>
        <w:t xml:space="preserve">reparation </w:t>
      </w:r>
      <w:r w:rsidR="00314928" w:rsidRPr="00DE773F">
        <w:rPr>
          <w:rFonts w:asciiTheme="majorHAnsi" w:hAnsiTheme="majorHAnsi"/>
          <w:sz w:val="20"/>
          <w:szCs w:val="20"/>
        </w:rPr>
        <w:t xml:space="preserve">of the damage </w:t>
      </w:r>
      <w:r w:rsidR="00337F5A">
        <w:rPr>
          <w:rFonts w:asciiTheme="majorHAnsi" w:hAnsiTheme="majorHAnsi"/>
          <w:sz w:val="20"/>
          <w:szCs w:val="20"/>
        </w:rPr>
        <w:t xml:space="preserve">sustained that </w:t>
      </w:r>
      <w:r w:rsidR="00314928" w:rsidRPr="00DE773F">
        <w:rPr>
          <w:rFonts w:asciiTheme="majorHAnsi" w:hAnsiTheme="majorHAnsi"/>
          <w:sz w:val="20"/>
          <w:szCs w:val="20"/>
        </w:rPr>
        <w:t xml:space="preserve">guarantees its non-repetition. </w:t>
      </w:r>
      <w:r w:rsidR="00842851" w:rsidRPr="00DE773F">
        <w:rPr>
          <w:rFonts w:asciiTheme="majorHAnsi" w:hAnsiTheme="majorHAnsi"/>
          <w:sz w:val="20"/>
          <w:szCs w:val="20"/>
        </w:rPr>
        <w:t>Under</w:t>
      </w:r>
      <w:r w:rsidR="00314928" w:rsidRPr="00DE773F">
        <w:rPr>
          <w:rFonts w:asciiTheme="majorHAnsi" w:hAnsiTheme="majorHAnsi"/>
          <w:sz w:val="20"/>
          <w:szCs w:val="20"/>
        </w:rPr>
        <w:t xml:space="preserve"> current </w:t>
      </w:r>
      <w:r w:rsidR="00337F5A">
        <w:rPr>
          <w:rFonts w:asciiTheme="majorHAnsi" w:hAnsiTheme="majorHAnsi"/>
          <w:sz w:val="20"/>
          <w:szCs w:val="20"/>
        </w:rPr>
        <w:t>I</w:t>
      </w:r>
      <w:r w:rsidR="00314928" w:rsidRPr="00DE773F">
        <w:rPr>
          <w:rFonts w:asciiTheme="majorHAnsi" w:hAnsiTheme="majorHAnsi"/>
          <w:sz w:val="20"/>
          <w:szCs w:val="20"/>
        </w:rPr>
        <w:t xml:space="preserve">nternational </w:t>
      </w:r>
      <w:r w:rsidR="00337F5A">
        <w:rPr>
          <w:rFonts w:asciiTheme="majorHAnsi" w:hAnsiTheme="majorHAnsi"/>
          <w:sz w:val="20"/>
          <w:szCs w:val="20"/>
        </w:rPr>
        <w:t>L</w:t>
      </w:r>
      <w:r w:rsidR="00314928" w:rsidRPr="00DE773F">
        <w:rPr>
          <w:rFonts w:asciiTheme="majorHAnsi" w:hAnsiTheme="majorHAnsi"/>
          <w:sz w:val="20"/>
          <w:szCs w:val="20"/>
        </w:rPr>
        <w:t xml:space="preserve">aw, reparation is an autonomous human right, </w:t>
      </w:r>
      <w:r w:rsidR="00337F5A">
        <w:rPr>
          <w:rFonts w:asciiTheme="majorHAnsi" w:hAnsiTheme="majorHAnsi"/>
          <w:sz w:val="20"/>
          <w:szCs w:val="20"/>
        </w:rPr>
        <w:t xml:space="preserve">the bearers of which are those </w:t>
      </w:r>
      <w:r w:rsidR="00842851" w:rsidRPr="00DE773F">
        <w:rPr>
          <w:rFonts w:asciiTheme="majorHAnsi" w:hAnsiTheme="majorHAnsi"/>
          <w:sz w:val="20"/>
          <w:szCs w:val="20"/>
        </w:rPr>
        <w:t>persons</w:t>
      </w:r>
      <w:r w:rsidR="00314928" w:rsidRPr="00DE773F">
        <w:rPr>
          <w:rFonts w:asciiTheme="majorHAnsi" w:hAnsiTheme="majorHAnsi"/>
          <w:sz w:val="20"/>
          <w:szCs w:val="20"/>
        </w:rPr>
        <w:t xml:space="preserve"> who have been affected by a specific violation of their rights. From another perspective, the right to obtain reparations for the violation of human rights is one of the components of the right of access to justice, judicial protection and access to effective remedies at the national level, enshrined in Article 25 of the American Convention</w:t>
      </w:r>
      <w:r w:rsidR="002407BB" w:rsidRPr="00DE773F">
        <w:rPr>
          <w:rStyle w:val="FootnoteReference"/>
          <w:rFonts w:asciiTheme="majorHAnsi" w:hAnsiTheme="majorHAnsi"/>
          <w:sz w:val="20"/>
          <w:szCs w:val="20"/>
        </w:rPr>
        <w:footnoteReference w:id="9"/>
      </w:r>
      <w:r w:rsidR="00314928" w:rsidRPr="00DE773F">
        <w:rPr>
          <w:rFonts w:asciiTheme="majorHAnsi" w:hAnsiTheme="majorHAnsi"/>
          <w:sz w:val="20"/>
          <w:szCs w:val="20"/>
        </w:rPr>
        <w:t xml:space="preserve">. The IACHR has sought from its earliest pronouncements to advance </w:t>
      </w:r>
      <w:r w:rsidR="00337F5A">
        <w:rPr>
          <w:rFonts w:asciiTheme="majorHAnsi" w:hAnsiTheme="majorHAnsi"/>
          <w:sz w:val="20"/>
          <w:szCs w:val="20"/>
        </w:rPr>
        <w:t xml:space="preserve">towards </w:t>
      </w:r>
      <w:r w:rsidR="00314928" w:rsidRPr="00DE773F">
        <w:rPr>
          <w:rFonts w:asciiTheme="majorHAnsi" w:hAnsiTheme="majorHAnsi"/>
          <w:sz w:val="20"/>
          <w:szCs w:val="20"/>
        </w:rPr>
        <w:t xml:space="preserve">the consolidation and application of a </w:t>
      </w:r>
      <w:r w:rsidR="00337F5A">
        <w:rPr>
          <w:rFonts w:asciiTheme="majorHAnsi" w:hAnsiTheme="majorHAnsi"/>
          <w:sz w:val="20"/>
          <w:szCs w:val="20"/>
        </w:rPr>
        <w:t xml:space="preserve">comprehensive </w:t>
      </w:r>
      <w:r w:rsidR="00314928" w:rsidRPr="00DE773F">
        <w:rPr>
          <w:rFonts w:asciiTheme="majorHAnsi" w:hAnsiTheme="majorHAnsi"/>
          <w:sz w:val="20"/>
          <w:szCs w:val="20"/>
        </w:rPr>
        <w:t xml:space="preserve">notion of </w:t>
      </w:r>
      <w:r w:rsidR="00337F5A" w:rsidRPr="00337F5A">
        <w:rPr>
          <w:rFonts w:asciiTheme="majorHAnsi" w:hAnsiTheme="majorHAnsi"/>
          <w:b/>
          <w:bCs/>
          <w:sz w:val="20"/>
          <w:szCs w:val="20"/>
        </w:rPr>
        <w:t xml:space="preserve">full </w:t>
      </w:r>
      <w:r w:rsidR="00314928" w:rsidRPr="00337F5A">
        <w:rPr>
          <w:rFonts w:asciiTheme="majorHAnsi" w:hAnsiTheme="majorHAnsi"/>
          <w:b/>
          <w:bCs/>
          <w:sz w:val="20"/>
          <w:szCs w:val="20"/>
        </w:rPr>
        <w:t>reparation</w:t>
      </w:r>
      <w:r w:rsidR="00314928" w:rsidRPr="00DE773F">
        <w:rPr>
          <w:rFonts w:asciiTheme="majorHAnsi" w:hAnsiTheme="majorHAnsi"/>
          <w:sz w:val="20"/>
          <w:szCs w:val="20"/>
        </w:rPr>
        <w:t xml:space="preserve">. This parameter seeks to undo, in each </w:t>
      </w:r>
      <w:r w:rsidR="00337F5A">
        <w:rPr>
          <w:rFonts w:asciiTheme="majorHAnsi" w:hAnsiTheme="majorHAnsi"/>
          <w:sz w:val="20"/>
          <w:szCs w:val="20"/>
        </w:rPr>
        <w:t>particular</w:t>
      </w:r>
      <w:r w:rsidR="00314928" w:rsidRPr="00DE773F">
        <w:rPr>
          <w:rFonts w:asciiTheme="majorHAnsi" w:hAnsiTheme="majorHAnsi"/>
          <w:sz w:val="20"/>
          <w:szCs w:val="20"/>
        </w:rPr>
        <w:t xml:space="preserve"> case, the negative effects of a violation of rights, and to remedy </w:t>
      </w:r>
      <w:r w:rsidR="006A086B">
        <w:rPr>
          <w:rFonts w:asciiTheme="majorHAnsi" w:hAnsiTheme="majorHAnsi"/>
          <w:sz w:val="20"/>
          <w:szCs w:val="20"/>
        </w:rPr>
        <w:t>their</w:t>
      </w:r>
      <w:r w:rsidR="00314928" w:rsidRPr="00DE773F">
        <w:rPr>
          <w:rFonts w:asciiTheme="majorHAnsi" w:hAnsiTheme="majorHAnsi"/>
          <w:sz w:val="20"/>
          <w:szCs w:val="20"/>
        </w:rPr>
        <w:t xml:space="preserve"> harmful impacts through a complex scheme of specific remedial measures that complement each other </w:t>
      </w:r>
      <w:r w:rsidR="00337F5A">
        <w:rPr>
          <w:rFonts w:asciiTheme="majorHAnsi" w:hAnsiTheme="majorHAnsi"/>
          <w:sz w:val="20"/>
          <w:szCs w:val="20"/>
        </w:rPr>
        <w:t>in</w:t>
      </w:r>
      <w:r w:rsidR="00314928" w:rsidRPr="00DE773F">
        <w:rPr>
          <w:rFonts w:asciiTheme="majorHAnsi" w:hAnsiTheme="majorHAnsi"/>
          <w:sz w:val="20"/>
          <w:szCs w:val="20"/>
        </w:rPr>
        <w:t xml:space="preserve"> addressing different aspects of the harm suffered. When full restitution of the situation </w:t>
      </w:r>
      <w:r w:rsidR="00337F5A">
        <w:rPr>
          <w:rFonts w:asciiTheme="majorHAnsi" w:hAnsiTheme="majorHAnsi"/>
          <w:sz w:val="20"/>
          <w:szCs w:val="20"/>
        </w:rPr>
        <w:t xml:space="preserve">that </w:t>
      </w:r>
      <w:r w:rsidR="00314928" w:rsidRPr="00DE773F">
        <w:rPr>
          <w:rFonts w:asciiTheme="majorHAnsi" w:hAnsiTheme="majorHAnsi"/>
          <w:sz w:val="20"/>
          <w:szCs w:val="20"/>
        </w:rPr>
        <w:t>pre-exist</w:t>
      </w:r>
      <w:r w:rsidR="00337F5A">
        <w:rPr>
          <w:rFonts w:asciiTheme="majorHAnsi" w:hAnsiTheme="majorHAnsi"/>
          <w:sz w:val="20"/>
          <w:szCs w:val="20"/>
        </w:rPr>
        <w:t>ed</w:t>
      </w:r>
      <w:r w:rsidR="00314928" w:rsidRPr="00DE773F">
        <w:rPr>
          <w:rFonts w:asciiTheme="majorHAnsi" w:hAnsiTheme="majorHAnsi"/>
          <w:sz w:val="20"/>
          <w:szCs w:val="20"/>
        </w:rPr>
        <w:t xml:space="preserve"> the violation - or </w:t>
      </w:r>
      <w:r w:rsidR="00314928" w:rsidRPr="00DE773F">
        <w:rPr>
          <w:rFonts w:asciiTheme="majorHAnsi" w:hAnsiTheme="majorHAnsi"/>
          <w:i/>
          <w:iCs/>
          <w:sz w:val="20"/>
          <w:szCs w:val="20"/>
        </w:rPr>
        <w:t>restitutio in integrum</w:t>
      </w:r>
      <w:r w:rsidR="00314928" w:rsidRPr="00DE773F">
        <w:rPr>
          <w:rFonts w:asciiTheme="majorHAnsi" w:hAnsiTheme="majorHAnsi"/>
          <w:sz w:val="20"/>
          <w:szCs w:val="20"/>
        </w:rPr>
        <w:t xml:space="preserve"> - is not possible</w:t>
      </w:r>
      <w:r w:rsidR="00337F5A">
        <w:rPr>
          <w:rFonts w:asciiTheme="majorHAnsi" w:hAnsiTheme="majorHAnsi"/>
          <w:sz w:val="20"/>
          <w:szCs w:val="20"/>
        </w:rPr>
        <w:t xml:space="preserve"> to achieve</w:t>
      </w:r>
      <w:r w:rsidR="00314928" w:rsidRPr="00DE773F">
        <w:rPr>
          <w:rFonts w:asciiTheme="majorHAnsi" w:hAnsiTheme="majorHAnsi"/>
          <w:sz w:val="20"/>
          <w:szCs w:val="20"/>
        </w:rPr>
        <w:t xml:space="preserve">, as happens in cases in which the victims have died as a result of the violation, the organs of the IAHRS </w:t>
      </w:r>
      <w:r w:rsidR="00337F5A">
        <w:rPr>
          <w:rFonts w:asciiTheme="majorHAnsi" w:hAnsiTheme="majorHAnsi"/>
          <w:sz w:val="20"/>
          <w:szCs w:val="20"/>
        </w:rPr>
        <w:t>strive</w:t>
      </w:r>
      <w:r w:rsidR="00314928" w:rsidRPr="00DE773F">
        <w:rPr>
          <w:rFonts w:asciiTheme="majorHAnsi" w:hAnsiTheme="majorHAnsi"/>
          <w:sz w:val="20"/>
          <w:szCs w:val="20"/>
        </w:rPr>
        <w:t xml:space="preserve"> to establish a combination of </w:t>
      </w:r>
      <w:r w:rsidR="00337F5A">
        <w:rPr>
          <w:rFonts w:asciiTheme="majorHAnsi" w:hAnsiTheme="majorHAnsi"/>
          <w:sz w:val="20"/>
          <w:szCs w:val="20"/>
        </w:rPr>
        <w:t xml:space="preserve">diverse </w:t>
      </w:r>
      <w:r w:rsidR="00314928" w:rsidRPr="00DE773F">
        <w:rPr>
          <w:rFonts w:asciiTheme="majorHAnsi" w:hAnsiTheme="majorHAnsi"/>
          <w:sz w:val="20"/>
          <w:szCs w:val="20"/>
        </w:rPr>
        <w:t xml:space="preserve">modalities </w:t>
      </w:r>
      <w:r w:rsidR="00AD608F" w:rsidRPr="00DE773F">
        <w:rPr>
          <w:rFonts w:asciiTheme="majorHAnsi" w:hAnsiTheme="majorHAnsi"/>
          <w:sz w:val="20"/>
          <w:szCs w:val="20"/>
        </w:rPr>
        <w:t xml:space="preserve">of </w:t>
      </w:r>
      <w:r w:rsidR="00337F5A">
        <w:rPr>
          <w:rFonts w:asciiTheme="majorHAnsi" w:hAnsiTheme="majorHAnsi"/>
          <w:sz w:val="20"/>
          <w:szCs w:val="20"/>
        </w:rPr>
        <w:t xml:space="preserve">reparatory </w:t>
      </w:r>
      <w:r w:rsidR="00314928" w:rsidRPr="00DE773F">
        <w:rPr>
          <w:rFonts w:asciiTheme="majorHAnsi" w:hAnsiTheme="majorHAnsi"/>
          <w:sz w:val="20"/>
          <w:szCs w:val="20"/>
        </w:rPr>
        <w:t>measures that, together, will produce a remedial result as close as possible to that ideal</w:t>
      </w:r>
      <w:r w:rsidR="00AD608F" w:rsidRPr="00DE773F">
        <w:rPr>
          <w:rStyle w:val="FootnoteReference"/>
          <w:rFonts w:asciiTheme="majorHAnsi" w:hAnsiTheme="majorHAnsi"/>
          <w:sz w:val="20"/>
          <w:szCs w:val="20"/>
        </w:rPr>
        <w:footnoteReference w:id="10"/>
      </w:r>
      <w:r w:rsidR="00AD608F" w:rsidRPr="00DE773F">
        <w:rPr>
          <w:rFonts w:asciiTheme="majorHAnsi" w:hAnsiTheme="majorHAnsi"/>
          <w:sz w:val="20"/>
          <w:szCs w:val="20"/>
        </w:rPr>
        <w:t>.</w:t>
      </w:r>
    </w:p>
    <w:p w14:paraId="0C9BB123" w14:textId="19BEDE91" w:rsidR="00DE773F" w:rsidRPr="00DE773F" w:rsidRDefault="00A84BEB" w:rsidP="00A84BE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theme="minorHAnsi"/>
          <w:sz w:val="20"/>
          <w:szCs w:val="20"/>
          <w:highlight w:val="yellow"/>
        </w:rPr>
      </w:pPr>
      <w:r w:rsidRPr="00DE773F">
        <w:rPr>
          <w:rFonts w:asciiTheme="majorHAnsi" w:hAnsiTheme="majorHAnsi" w:cstheme="minorHAnsi"/>
          <w:sz w:val="20"/>
          <w:szCs w:val="20"/>
        </w:rPr>
        <w:t xml:space="preserve">27. </w:t>
      </w:r>
      <w:r w:rsidR="00337F5A">
        <w:rPr>
          <w:rFonts w:asciiTheme="majorHAnsi" w:hAnsiTheme="majorHAnsi" w:cstheme="minorHAnsi"/>
          <w:sz w:val="20"/>
          <w:szCs w:val="20"/>
        </w:rPr>
        <w:t xml:space="preserve"> </w:t>
      </w:r>
      <w:r w:rsidR="00DE773F" w:rsidRPr="00DE773F">
        <w:rPr>
          <w:rFonts w:asciiTheme="majorHAnsi" w:hAnsiTheme="majorHAnsi" w:cstheme="minorHAnsi"/>
          <w:sz w:val="20"/>
          <w:szCs w:val="20"/>
        </w:rPr>
        <w:t xml:space="preserve">In </w:t>
      </w:r>
      <w:r w:rsidR="00337F5A">
        <w:rPr>
          <w:rFonts w:asciiTheme="majorHAnsi" w:hAnsiTheme="majorHAnsi" w:cstheme="minorHAnsi"/>
          <w:sz w:val="20"/>
          <w:szCs w:val="20"/>
        </w:rPr>
        <w:t xml:space="preserve">their </w:t>
      </w:r>
      <w:r w:rsidR="00D533AD">
        <w:rPr>
          <w:rFonts w:asciiTheme="majorHAnsi" w:hAnsiTheme="majorHAnsi" w:cstheme="minorHAnsi"/>
          <w:sz w:val="20"/>
          <w:szCs w:val="20"/>
        </w:rPr>
        <w:t xml:space="preserve">current </w:t>
      </w:r>
      <w:r w:rsidR="00552E7F">
        <w:rPr>
          <w:rFonts w:asciiTheme="majorHAnsi" w:hAnsiTheme="majorHAnsi" w:cstheme="minorHAnsi"/>
          <w:sz w:val="20"/>
          <w:szCs w:val="20"/>
        </w:rPr>
        <w:t>jurispruden</w:t>
      </w:r>
      <w:r w:rsidR="00337F5A">
        <w:rPr>
          <w:rFonts w:asciiTheme="majorHAnsi" w:hAnsiTheme="majorHAnsi" w:cstheme="minorHAnsi"/>
          <w:sz w:val="20"/>
          <w:szCs w:val="20"/>
        </w:rPr>
        <w:t>tial development</w:t>
      </w:r>
      <w:r w:rsidR="00DE773F" w:rsidRPr="00DE773F">
        <w:rPr>
          <w:rFonts w:asciiTheme="majorHAnsi" w:hAnsiTheme="majorHAnsi" w:cstheme="minorHAnsi"/>
          <w:sz w:val="20"/>
          <w:szCs w:val="20"/>
        </w:rPr>
        <w:t xml:space="preserve">, the modalities of reparation to which the IACHR resorts in its decisions can be grouped into the following six categories: (1) </w:t>
      </w:r>
      <w:r w:rsidR="00DE773F" w:rsidRPr="00634A17">
        <w:rPr>
          <w:rFonts w:asciiTheme="majorHAnsi" w:hAnsiTheme="majorHAnsi" w:cstheme="minorHAnsi"/>
          <w:sz w:val="20"/>
          <w:szCs w:val="20"/>
          <w:u w:val="single"/>
        </w:rPr>
        <w:t>restitution measures</w:t>
      </w:r>
      <w:r w:rsidR="00DE773F" w:rsidRPr="00DE773F">
        <w:rPr>
          <w:rFonts w:asciiTheme="majorHAnsi" w:hAnsiTheme="majorHAnsi" w:cstheme="minorHAnsi"/>
          <w:sz w:val="20"/>
          <w:szCs w:val="20"/>
        </w:rPr>
        <w:t xml:space="preserve">, understood as the reestablishment of the situation that existed before the violation of human rights was consummated, which must place the victim in the </w:t>
      </w:r>
      <w:r w:rsidR="00634A17">
        <w:rPr>
          <w:rFonts w:asciiTheme="majorHAnsi" w:hAnsiTheme="majorHAnsi" w:cstheme="minorHAnsi"/>
          <w:sz w:val="20"/>
          <w:szCs w:val="20"/>
        </w:rPr>
        <w:t>position</w:t>
      </w:r>
      <w:r w:rsidR="00DE773F" w:rsidRPr="00DE773F">
        <w:rPr>
          <w:rFonts w:asciiTheme="majorHAnsi" w:hAnsiTheme="majorHAnsi" w:cstheme="minorHAnsi"/>
          <w:sz w:val="20"/>
          <w:szCs w:val="20"/>
        </w:rPr>
        <w:t xml:space="preserve"> </w:t>
      </w:r>
      <w:r w:rsidR="00634A17">
        <w:rPr>
          <w:rFonts w:asciiTheme="majorHAnsi" w:hAnsiTheme="majorHAnsi" w:cstheme="minorHAnsi"/>
          <w:sz w:val="20"/>
          <w:szCs w:val="20"/>
        </w:rPr>
        <w:t>in which he or she</w:t>
      </w:r>
      <w:r w:rsidR="00DE773F" w:rsidRPr="00DE773F">
        <w:rPr>
          <w:rFonts w:asciiTheme="majorHAnsi" w:hAnsiTheme="majorHAnsi" w:cstheme="minorHAnsi"/>
          <w:sz w:val="20"/>
          <w:szCs w:val="20"/>
        </w:rPr>
        <w:t xml:space="preserve"> would have been if the violation had not occurred; (2) </w:t>
      </w:r>
      <w:r w:rsidR="00DE773F" w:rsidRPr="00634A17">
        <w:rPr>
          <w:rFonts w:asciiTheme="majorHAnsi" w:hAnsiTheme="majorHAnsi" w:cstheme="minorHAnsi"/>
          <w:sz w:val="20"/>
          <w:szCs w:val="20"/>
          <w:u w:val="single"/>
        </w:rPr>
        <w:t>compensation measures</w:t>
      </w:r>
      <w:r w:rsidR="00DE773F" w:rsidRPr="00DE773F">
        <w:rPr>
          <w:rFonts w:asciiTheme="majorHAnsi" w:hAnsiTheme="majorHAnsi" w:cstheme="minorHAnsi"/>
          <w:sz w:val="20"/>
          <w:szCs w:val="20"/>
        </w:rPr>
        <w:t xml:space="preserve">, understood as the payment of a monetary </w:t>
      </w:r>
      <w:r w:rsidR="00337F5A">
        <w:rPr>
          <w:rFonts w:asciiTheme="majorHAnsi" w:hAnsiTheme="majorHAnsi" w:cstheme="minorHAnsi"/>
          <w:sz w:val="20"/>
          <w:szCs w:val="20"/>
        </w:rPr>
        <w:t>indemnity</w:t>
      </w:r>
      <w:r w:rsidR="00DE773F" w:rsidRPr="00DE773F">
        <w:rPr>
          <w:rFonts w:asciiTheme="majorHAnsi" w:hAnsiTheme="majorHAnsi" w:cstheme="minorHAnsi"/>
          <w:sz w:val="20"/>
          <w:szCs w:val="20"/>
        </w:rPr>
        <w:t xml:space="preserve"> to </w:t>
      </w:r>
      <w:r w:rsidR="00634A17">
        <w:rPr>
          <w:rFonts w:asciiTheme="majorHAnsi" w:hAnsiTheme="majorHAnsi" w:cstheme="minorHAnsi"/>
          <w:sz w:val="20"/>
          <w:szCs w:val="20"/>
        </w:rPr>
        <w:t>repair</w:t>
      </w:r>
      <w:r w:rsidR="00337F5A">
        <w:rPr>
          <w:rFonts w:asciiTheme="majorHAnsi" w:hAnsiTheme="majorHAnsi" w:cstheme="minorHAnsi"/>
          <w:sz w:val="20"/>
          <w:szCs w:val="20"/>
        </w:rPr>
        <w:t xml:space="preserve"> the </w:t>
      </w:r>
      <w:r w:rsidR="00DE773F" w:rsidRPr="00DE773F">
        <w:rPr>
          <w:rFonts w:asciiTheme="majorHAnsi" w:hAnsiTheme="majorHAnsi" w:cstheme="minorHAnsi"/>
          <w:sz w:val="20"/>
          <w:szCs w:val="20"/>
        </w:rPr>
        <w:t>material or immaterial damages, suffered by the victim and their next of kin</w:t>
      </w:r>
      <w:r w:rsidR="00634A17">
        <w:rPr>
          <w:rFonts w:asciiTheme="majorHAnsi" w:hAnsiTheme="majorHAnsi" w:cstheme="minorHAnsi"/>
          <w:sz w:val="20"/>
          <w:szCs w:val="20"/>
        </w:rPr>
        <w:t xml:space="preserve">, which can be economically </w:t>
      </w:r>
      <w:r w:rsidR="006A086B">
        <w:rPr>
          <w:rFonts w:asciiTheme="majorHAnsi" w:hAnsiTheme="majorHAnsi" w:cstheme="minorHAnsi"/>
          <w:sz w:val="20"/>
          <w:szCs w:val="20"/>
        </w:rPr>
        <w:t>assessed</w:t>
      </w:r>
      <w:r w:rsidR="00DE773F" w:rsidRPr="00DE773F">
        <w:rPr>
          <w:rFonts w:asciiTheme="majorHAnsi" w:hAnsiTheme="majorHAnsi" w:cstheme="minorHAnsi"/>
          <w:sz w:val="20"/>
          <w:szCs w:val="20"/>
        </w:rPr>
        <w:t xml:space="preserve">; (3) </w:t>
      </w:r>
      <w:r w:rsidR="00DE773F" w:rsidRPr="00634A17">
        <w:rPr>
          <w:rFonts w:asciiTheme="majorHAnsi" w:hAnsiTheme="majorHAnsi" w:cstheme="minorHAnsi"/>
          <w:sz w:val="20"/>
          <w:szCs w:val="20"/>
          <w:u w:val="single"/>
        </w:rPr>
        <w:t>rehabilitation measures</w:t>
      </w:r>
      <w:r w:rsidR="00DE773F" w:rsidRPr="00DE773F">
        <w:rPr>
          <w:rFonts w:asciiTheme="majorHAnsi" w:hAnsiTheme="majorHAnsi" w:cstheme="minorHAnsi"/>
          <w:sz w:val="20"/>
          <w:szCs w:val="20"/>
        </w:rPr>
        <w:t xml:space="preserve">, which include those actions aimed at achieving the physical, psychological and social rehabilitation of the victims </w:t>
      </w:r>
      <w:r w:rsidR="00337F5A">
        <w:rPr>
          <w:rFonts w:asciiTheme="majorHAnsi" w:hAnsiTheme="majorHAnsi" w:cstheme="minorHAnsi"/>
          <w:sz w:val="20"/>
          <w:szCs w:val="20"/>
        </w:rPr>
        <w:t xml:space="preserve">vis-á-vis </w:t>
      </w:r>
      <w:r w:rsidR="00DE773F" w:rsidRPr="00DE773F">
        <w:rPr>
          <w:rFonts w:asciiTheme="majorHAnsi" w:hAnsiTheme="majorHAnsi" w:cstheme="minorHAnsi"/>
          <w:sz w:val="20"/>
          <w:szCs w:val="20"/>
        </w:rPr>
        <w:t xml:space="preserve">the severe and lasting impacts derived from the violation of their human rights; (4) </w:t>
      </w:r>
      <w:r w:rsidR="00DE773F" w:rsidRPr="00634A17">
        <w:rPr>
          <w:rFonts w:asciiTheme="majorHAnsi" w:hAnsiTheme="majorHAnsi" w:cstheme="minorHAnsi"/>
          <w:sz w:val="20"/>
          <w:szCs w:val="20"/>
          <w:u w:val="single"/>
        </w:rPr>
        <w:t>measures of satisfaction</w:t>
      </w:r>
      <w:r w:rsidR="00DE773F" w:rsidRPr="00DE773F">
        <w:rPr>
          <w:rFonts w:asciiTheme="majorHAnsi" w:hAnsiTheme="majorHAnsi" w:cstheme="minorHAnsi"/>
          <w:sz w:val="20"/>
          <w:szCs w:val="20"/>
        </w:rPr>
        <w:t xml:space="preserve">, which include symbolic, moral, or non-pecuniary actions aimed at repairing </w:t>
      </w:r>
      <w:r w:rsidR="00337F5A">
        <w:rPr>
          <w:rFonts w:asciiTheme="majorHAnsi" w:hAnsiTheme="majorHAnsi" w:cstheme="minorHAnsi"/>
          <w:sz w:val="20"/>
          <w:szCs w:val="20"/>
        </w:rPr>
        <w:t>non-material</w:t>
      </w:r>
      <w:r w:rsidR="00DE773F" w:rsidRPr="00DE773F">
        <w:rPr>
          <w:rFonts w:asciiTheme="majorHAnsi" w:hAnsiTheme="majorHAnsi" w:cstheme="minorHAnsi"/>
          <w:sz w:val="20"/>
          <w:szCs w:val="20"/>
        </w:rPr>
        <w:t xml:space="preserve"> damage</w:t>
      </w:r>
      <w:r w:rsidR="00337F5A">
        <w:rPr>
          <w:rFonts w:asciiTheme="majorHAnsi" w:hAnsiTheme="majorHAnsi" w:cstheme="minorHAnsi"/>
          <w:sz w:val="20"/>
          <w:szCs w:val="20"/>
        </w:rPr>
        <w:t>s</w:t>
      </w:r>
      <w:r w:rsidR="00DE773F" w:rsidRPr="00DE773F">
        <w:rPr>
          <w:rFonts w:asciiTheme="majorHAnsi" w:hAnsiTheme="majorHAnsi" w:cstheme="minorHAnsi"/>
          <w:sz w:val="20"/>
          <w:szCs w:val="20"/>
        </w:rPr>
        <w:t xml:space="preserve"> </w:t>
      </w:r>
      <w:r w:rsidR="00337F5A">
        <w:rPr>
          <w:rFonts w:asciiTheme="majorHAnsi" w:hAnsiTheme="majorHAnsi" w:cstheme="minorHAnsi"/>
          <w:sz w:val="20"/>
          <w:szCs w:val="20"/>
        </w:rPr>
        <w:t xml:space="preserve">through the restoration of </w:t>
      </w:r>
      <w:r w:rsidR="00DE773F" w:rsidRPr="00DE773F">
        <w:rPr>
          <w:rFonts w:asciiTheme="majorHAnsi" w:hAnsiTheme="majorHAnsi" w:cstheme="minorHAnsi"/>
          <w:sz w:val="20"/>
          <w:szCs w:val="20"/>
        </w:rPr>
        <w:t xml:space="preserve">the dignity, honor, and historical memory of the victims; (5) measures of </w:t>
      </w:r>
      <w:r w:rsidR="00DE773F" w:rsidRPr="00634A17">
        <w:rPr>
          <w:rFonts w:asciiTheme="majorHAnsi" w:hAnsiTheme="majorHAnsi" w:cstheme="minorHAnsi"/>
          <w:sz w:val="20"/>
          <w:szCs w:val="20"/>
          <w:u w:val="single"/>
        </w:rPr>
        <w:t>access to justice</w:t>
      </w:r>
      <w:r w:rsidR="00DE773F" w:rsidRPr="00DE773F">
        <w:rPr>
          <w:rFonts w:asciiTheme="majorHAnsi" w:hAnsiTheme="majorHAnsi" w:cstheme="minorHAnsi"/>
          <w:sz w:val="20"/>
          <w:szCs w:val="20"/>
        </w:rPr>
        <w:t xml:space="preserve"> aimed at investigating, prosecuting, and punishing those responsible for the human rights violation in question, in accordance with the pertinent international </w:t>
      </w:r>
      <w:r w:rsidR="00634A17">
        <w:rPr>
          <w:rFonts w:asciiTheme="majorHAnsi" w:hAnsiTheme="majorHAnsi" w:cstheme="minorHAnsi"/>
          <w:sz w:val="20"/>
          <w:szCs w:val="20"/>
        </w:rPr>
        <w:t>standard</w:t>
      </w:r>
      <w:r w:rsidR="00DE773F" w:rsidRPr="00DE773F">
        <w:rPr>
          <w:rFonts w:asciiTheme="majorHAnsi" w:hAnsiTheme="majorHAnsi" w:cstheme="minorHAnsi"/>
          <w:sz w:val="20"/>
          <w:szCs w:val="20"/>
        </w:rPr>
        <w:t xml:space="preserve">s; and (6) </w:t>
      </w:r>
      <w:r w:rsidR="00DE773F" w:rsidRPr="00634A17">
        <w:rPr>
          <w:rFonts w:asciiTheme="majorHAnsi" w:hAnsiTheme="majorHAnsi" w:cstheme="minorHAnsi"/>
          <w:sz w:val="20"/>
          <w:szCs w:val="20"/>
          <w:u w:val="single"/>
        </w:rPr>
        <w:t>guarantees of non-repetition</w:t>
      </w:r>
      <w:r w:rsidR="00DE773F" w:rsidRPr="00DE773F">
        <w:rPr>
          <w:rFonts w:asciiTheme="majorHAnsi" w:hAnsiTheme="majorHAnsi" w:cstheme="minorHAnsi"/>
          <w:sz w:val="20"/>
          <w:szCs w:val="20"/>
        </w:rPr>
        <w:t xml:space="preserve">, which may have either an individual scope and translate into protection and prevention measures for individuals </w:t>
      </w:r>
      <w:r w:rsidR="00337F5A">
        <w:rPr>
          <w:rFonts w:asciiTheme="majorHAnsi" w:hAnsiTheme="majorHAnsi" w:cstheme="minorHAnsi"/>
          <w:sz w:val="20"/>
          <w:szCs w:val="20"/>
        </w:rPr>
        <w:t xml:space="preserve">and </w:t>
      </w:r>
      <w:r w:rsidR="00DE773F" w:rsidRPr="00DE773F">
        <w:rPr>
          <w:rFonts w:asciiTheme="majorHAnsi" w:hAnsiTheme="majorHAnsi" w:cstheme="minorHAnsi"/>
          <w:sz w:val="20"/>
          <w:szCs w:val="20"/>
        </w:rPr>
        <w:t xml:space="preserve">families, or a public connotation or structural dimension aimed at eliminating the root causes of the violation of </w:t>
      </w:r>
      <w:r w:rsidR="00634A17">
        <w:rPr>
          <w:rFonts w:asciiTheme="majorHAnsi" w:hAnsiTheme="majorHAnsi" w:cstheme="minorHAnsi"/>
          <w:sz w:val="20"/>
          <w:szCs w:val="20"/>
        </w:rPr>
        <w:t xml:space="preserve">human </w:t>
      </w:r>
      <w:r w:rsidR="00DE773F" w:rsidRPr="00DE773F">
        <w:rPr>
          <w:rFonts w:asciiTheme="majorHAnsi" w:hAnsiTheme="majorHAnsi" w:cstheme="minorHAnsi"/>
          <w:sz w:val="20"/>
          <w:szCs w:val="20"/>
        </w:rPr>
        <w:t>rights in question</w:t>
      </w:r>
      <w:r w:rsidR="00634A17">
        <w:rPr>
          <w:rFonts w:asciiTheme="majorHAnsi" w:hAnsiTheme="majorHAnsi" w:cstheme="minorHAnsi"/>
          <w:sz w:val="20"/>
          <w:szCs w:val="20"/>
        </w:rPr>
        <w:t>,</w:t>
      </w:r>
      <w:r w:rsidR="00DE773F" w:rsidRPr="00DE773F">
        <w:rPr>
          <w:rFonts w:asciiTheme="majorHAnsi" w:hAnsiTheme="majorHAnsi" w:cstheme="minorHAnsi"/>
          <w:sz w:val="20"/>
          <w:szCs w:val="20"/>
        </w:rPr>
        <w:t xml:space="preserve"> </w:t>
      </w:r>
      <w:r w:rsidR="007D5712">
        <w:rPr>
          <w:rFonts w:asciiTheme="majorHAnsi" w:hAnsiTheme="majorHAnsi" w:cstheme="minorHAnsi"/>
          <w:sz w:val="20"/>
          <w:szCs w:val="20"/>
        </w:rPr>
        <w:t xml:space="preserve">so as </w:t>
      </w:r>
      <w:r w:rsidR="00DE773F" w:rsidRPr="00DE773F">
        <w:rPr>
          <w:rFonts w:asciiTheme="majorHAnsi" w:hAnsiTheme="majorHAnsi" w:cstheme="minorHAnsi"/>
          <w:sz w:val="20"/>
          <w:szCs w:val="20"/>
        </w:rPr>
        <w:t>to prevent its replication. Due to their direct relevance to the matter under consideration, the IACHR will provide below some brief schematic elements that are critical for a proper understanding of the content and applicability of compensation, satisfaction, access to justice, and guarantees of non-repetitio</w:t>
      </w:r>
      <w:r w:rsidR="00634A17">
        <w:rPr>
          <w:rFonts w:asciiTheme="majorHAnsi" w:hAnsiTheme="majorHAnsi" w:cstheme="minorHAnsi"/>
          <w:sz w:val="20"/>
          <w:szCs w:val="20"/>
        </w:rPr>
        <w:t>n</w:t>
      </w:r>
      <w:r w:rsidR="00DE773F" w:rsidRPr="00DE773F">
        <w:rPr>
          <w:rFonts w:asciiTheme="majorHAnsi" w:hAnsiTheme="majorHAnsi" w:cstheme="minorHAnsi"/>
          <w:sz w:val="20"/>
          <w:szCs w:val="20"/>
        </w:rPr>
        <w:t xml:space="preserve">, as modalities of reparation enforceable </w:t>
      </w:r>
      <w:r w:rsidR="007D5712">
        <w:rPr>
          <w:rFonts w:asciiTheme="majorHAnsi" w:hAnsiTheme="majorHAnsi" w:cstheme="minorHAnsi"/>
          <w:sz w:val="20"/>
          <w:szCs w:val="20"/>
        </w:rPr>
        <w:t xml:space="preserve">at </w:t>
      </w:r>
      <w:r w:rsidR="00634A17">
        <w:rPr>
          <w:rFonts w:asciiTheme="majorHAnsi" w:hAnsiTheme="majorHAnsi" w:cstheme="minorHAnsi"/>
          <w:sz w:val="20"/>
          <w:szCs w:val="20"/>
        </w:rPr>
        <w:t>the</w:t>
      </w:r>
      <w:r w:rsidR="00DE773F" w:rsidRPr="00DE773F">
        <w:rPr>
          <w:rFonts w:asciiTheme="majorHAnsi" w:hAnsiTheme="majorHAnsi" w:cstheme="minorHAnsi"/>
          <w:sz w:val="20"/>
          <w:szCs w:val="20"/>
        </w:rPr>
        <w:t xml:space="preserve"> Inter-American</w:t>
      </w:r>
      <w:r w:rsidR="007D5712">
        <w:rPr>
          <w:rFonts w:asciiTheme="majorHAnsi" w:hAnsiTheme="majorHAnsi" w:cstheme="minorHAnsi"/>
          <w:sz w:val="20"/>
          <w:szCs w:val="20"/>
        </w:rPr>
        <w:t xml:space="preserve"> level</w:t>
      </w:r>
      <w:r w:rsidR="00DE773F" w:rsidRPr="00DE773F">
        <w:rPr>
          <w:rFonts w:asciiTheme="majorHAnsi" w:hAnsiTheme="majorHAnsi" w:cstheme="minorHAnsi"/>
          <w:sz w:val="20"/>
          <w:szCs w:val="20"/>
        </w:rPr>
        <w:t>; this</w:t>
      </w:r>
      <w:r w:rsidR="007D5712">
        <w:rPr>
          <w:rFonts w:asciiTheme="majorHAnsi" w:hAnsiTheme="majorHAnsi" w:cstheme="minorHAnsi"/>
          <w:sz w:val="20"/>
          <w:szCs w:val="20"/>
        </w:rPr>
        <w:t xml:space="preserve"> will be done</w:t>
      </w:r>
      <w:r w:rsidR="00DE773F" w:rsidRPr="00DE773F">
        <w:rPr>
          <w:rFonts w:asciiTheme="majorHAnsi" w:hAnsiTheme="majorHAnsi" w:cstheme="minorHAnsi"/>
          <w:sz w:val="20"/>
          <w:szCs w:val="20"/>
        </w:rPr>
        <w:t xml:space="preserve"> in general terms and without implying in any way </w:t>
      </w:r>
      <w:r w:rsidR="007D5712">
        <w:rPr>
          <w:rFonts w:asciiTheme="majorHAnsi" w:hAnsiTheme="majorHAnsi" w:cstheme="minorHAnsi"/>
          <w:sz w:val="20"/>
          <w:szCs w:val="20"/>
        </w:rPr>
        <w:t xml:space="preserve">a </w:t>
      </w:r>
      <w:r w:rsidR="00DE773F" w:rsidRPr="00DE773F">
        <w:rPr>
          <w:rFonts w:asciiTheme="majorHAnsi" w:hAnsiTheme="majorHAnsi" w:cstheme="minorHAnsi"/>
          <w:sz w:val="20"/>
          <w:szCs w:val="20"/>
        </w:rPr>
        <w:t>pre</w:t>
      </w:r>
      <w:r w:rsidR="007D5712">
        <w:rPr>
          <w:rFonts w:asciiTheme="majorHAnsi" w:hAnsiTheme="majorHAnsi" w:cstheme="minorHAnsi"/>
          <w:sz w:val="20"/>
          <w:szCs w:val="20"/>
        </w:rPr>
        <w:t>-</w:t>
      </w:r>
      <w:r w:rsidR="00DE773F" w:rsidRPr="00DE773F">
        <w:rPr>
          <w:rFonts w:asciiTheme="majorHAnsi" w:hAnsiTheme="majorHAnsi" w:cstheme="minorHAnsi"/>
          <w:sz w:val="20"/>
          <w:szCs w:val="20"/>
        </w:rPr>
        <w:t>judg</w:t>
      </w:r>
      <w:r w:rsidR="007D5712">
        <w:rPr>
          <w:rFonts w:asciiTheme="majorHAnsi" w:hAnsiTheme="majorHAnsi" w:cstheme="minorHAnsi"/>
          <w:sz w:val="20"/>
          <w:szCs w:val="20"/>
        </w:rPr>
        <w:t>ment</w:t>
      </w:r>
      <w:r w:rsidR="00DE773F" w:rsidRPr="00DE773F">
        <w:rPr>
          <w:rFonts w:asciiTheme="majorHAnsi" w:hAnsiTheme="majorHAnsi" w:cstheme="minorHAnsi"/>
          <w:sz w:val="20"/>
          <w:szCs w:val="20"/>
        </w:rPr>
        <w:t xml:space="preserve"> </w:t>
      </w:r>
      <w:r w:rsidR="007D5712">
        <w:rPr>
          <w:rFonts w:asciiTheme="majorHAnsi" w:hAnsiTheme="majorHAnsi" w:cstheme="minorHAnsi"/>
          <w:sz w:val="20"/>
          <w:szCs w:val="20"/>
        </w:rPr>
        <w:t xml:space="preserve">of </w:t>
      </w:r>
      <w:r w:rsidR="00DE773F" w:rsidRPr="00DE773F">
        <w:rPr>
          <w:rFonts w:asciiTheme="majorHAnsi" w:hAnsiTheme="majorHAnsi" w:cstheme="minorHAnsi"/>
          <w:sz w:val="20"/>
          <w:szCs w:val="20"/>
        </w:rPr>
        <w:t xml:space="preserve">the merits of the matter, in the manner of legal guidance for the parties during the subsequent </w:t>
      </w:r>
      <w:r w:rsidR="007D5712">
        <w:rPr>
          <w:rFonts w:asciiTheme="majorHAnsi" w:hAnsiTheme="majorHAnsi" w:cstheme="minorHAnsi"/>
          <w:sz w:val="20"/>
          <w:szCs w:val="20"/>
        </w:rPr>
        <w:t xml:space="preserve">development of the regulated </w:t>
      </w:r>
      <w:r w:rsidR="00DE773F" w:rsidRPr="00DE773F">
        <w:rPr>
          <w:rFonts w:asciiTheme="majorHAnsi" w:hAnsiTheme="majorHAnsi" w:cstheme="minorHAnsi"/>
          <w:sz w:val="20"/>
          <w:szCs w:val="20"/>
        </w:rPr>
        <w:t xml:space="preserve">phases of </w:t>
      </w:r>
      <w:r w:rsidR="007D5712">
        <w:rPr>
          <w:rFonts w:asciiTheme="majorHAnsi" w:hAnsiTheme="majorHAnsi" w:cstheme="minorHAnsi"/>
          <w:sz w:val="20"/>
          <w:szCs w:val="20"/>
        </w:rPr>
        <w:t xml:space="preserve">the present </w:t>
      </w:r>
      <w:r w:rsidR="00DE773F" w:rsidRPr="00DE773F">
        <w:rPr>
          <w:rFonts w:asciiTheme="majorHAnsi" w:hAnsiTheme="majorHAnsi" w:cstheme="minorHAnsi"/>
          <w:sz w:val="20"/>
          <w:szCs w:val="20"/>
        </w:rPr>
        <w:t>proceeding</w:t>
      </w:r>
      <w:r w:rsidR="007D5712">
        <w:rPr>
          <w:rFonts w:asciiTheme="majorHAnsi" w:hAnsiTheme="majorHAnsi" w:cstheme="minorHAnsi"/>
          <w:sz w:val="20"/>
          <w:szCs w:val="20"/>
        </w:rPr>
        <w:t>s</w:t>
      </w:r>
      <w:r w:rsidR="00DE773F" w:rsidRPr="00DE773F">
        <w:rPr>
          <w:rFonts w:asciiTheme="majorHAnsi" w:hAnsiTheme="majorHAnsi" w:cstheme="minorHAnsi"/>
          <w:sz w:val="20"/>
          <w:szCs w:val="20"/>
        </w:rPr>
        <w:t>.</w:t>
      </w:r>
    </w:p>
    <w:p w14:paraId="011CB03A" w14:textId="77777777" w:rsidR="00DE773F" w:rsidRPr="009F2A58" w:rsidRDefault="00DE773F" w:rsidP="00A84BE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theme="minorHAnsi"/>
          <w:sz w:val="20"/>
          <w:szCs w:val="20"/>
        </w:rPr>
      </w:pPr>
    </w:p>
    <w:p w14:paraId="52A6E5D5" w14:textId="1464036C" w:rsidR="00A84BEB" w:rsidRPr="004B5F3A" w:rsidRDefault="009F2A58" w:rsidP="004B5F3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theme="minorHAnsi"/>
          <w:sz w:val="20"/>
          <w:szCs w:val="20"/>
        </w:rPr>
      </w:pPr>
      <w:r w:rsidRPr="00E91562">
        <w:rPr>
          <w:rFonts w:asciiTheme="majorHAnsi" w:hAnsiTheme="majorHAnsi" w:cstheme="minorHAnsi"/>
          <w:sz w:val="20"/>
          <w:szCs w:val="20"/>
        </w:rPr>
        <w:t xml:space="preserve">28. </w:t>
      </w:r>
      <w:r w:rsidR="007D5712">
        <w:rPr>
          <w:rFonts w:asciiTheme="majorHAnsi" w:hAnsiTheme="majorHAnsi" w:cstheme="minorHAnsi"/>
          <w:sz w:val="20"/>
          <w:szCs w:val="20"/>
        </w:rPr>
        <w:t>As for c</w:t>
      </w:r>
      <w:r w:rsidR="00E91562" w:rsidRPr="00E91562">
        <w:rPr>
          <w:rFonts w:asciiTheme="majorHAnsi" w:hAnsiTheme="majorHAnsi" w:cstheme="minorHAnsi"/>
          <w:sz w:val="20"/>
          <w:szCs w:val="20"/>
        </w:rPr>
        <w:t>ompensation</w:t>
      </w:r>
      <w:r w:rsidR="007D5712">
        <w:rPr>
          <w:rFonts w:asciiTheme="majorHAnsi" w:hAnsiTheme="majorHAnsi" w:cstheme="minorHAnsi"/>
          <w:sz w:val="20"/>
          <w:szCs w:val="20"/>
        </w:rPr>
        <w:t>, it</w:t>
      </w:r>
      <w:r w:rsidR="00E91562" w:rsidRPr="00E91562">
        <w:rPr>
          <w:rFonts w:asciiTheme="majorHAnsi" w:hAnsiTheme="majorHAnsi" w:cstheme="minorHAnsi"/>
          <w:sz w:val="20"/>
          <w:szCs w:val="20"/>
        </w:rPr>
        <w:t xml:space="preserve"> must cover any type</w:t>
      </w:r>
      <w:r w:rsidR="007D5712">
        <w:rPr>
          <w:rFonts w:asciiTheme="majorHAnsi" w:hAnsiTheme="majorHAnsi" w:cstheme="minorHAnsi"/>
          <w:sz w:val="20"/>
          <w:szCs w:val="20"/>
        </w:rPr>
        <w:t>s</w:t>
      </w:r>
      <w:r w:rsidR="00E91562" w:rsidRPr="00E91562">
        <w:rPr>
          <w:rFonts w:asciiTheme="majorHAnsi" w:hAnsiTheme="majorHAnsi" w:cstheme="minorHAnsi"/>
          <w:sz w:val="20"/>
          <w:szCs w:val="20"/>
        </w:rPr>
        <w:t xml:space="preserve"> of </w:t>
      </w:r>
      <w:r w:rsidR="00E91562" w:rsidRPr="00552E7F">
        <w:rPr>
          <w:rFonts w:asciiTheme="majorHAnsi" w:hAnsiTheme="majorHAnsi" w:cstheme="minorHAnsi"/>
          <w:sz w:val="20"/>
          <w:szCs w:val="20"/>
        </w:rPr>
        <w:t>damage</w:t>
      </w:r>
      <w:r w:rsidR="007D5712">
        <w:rPr>
          <w:rFonts w:asciiTheme="majorHAnsi" w:hAnsiTheme="majorHAnsi" w:cstheme="minorHAnsi"/>
          <w:sz w:val="20"/>
          <w:szCs w:val="20"/>
        </w:rPr>
        <w:t>s</w:t>
      </w:r>
      <w:r w:rsidR="00E91562" w:rsidRPr="00552E7F">
        <w:rPr>
          <w:rFonts w:asciiTheme="majorHAnsi" w:hAnsiTheme="majorHAnsi" w:cstheme="minorHAnsi"/>
          <w:sz w:val="20"/>
          <w:szCs w:val="20"/>
        </w:rPr>
        <w:t xml:space="preserve"> </w:t>
      </w:r>
      <w:r w:rsidR="007D5712">
        <w:rPr>
          <w:rFonts w:asciiTheme="majorHAnsi" w:hAnsiTheme="majorHAnsi" w:cstheme="minorHAnsi"/>
          <w:sz w:val="20"/>
          <w:szCs w:val="20"/>
        </w:rPr>
        <w:t xml:space="preserve">which can be </w:t>
      </w:r>
      <w:r w:rsidR="00E91562" w:rsidRPr="00552E7F">
        <w:rPr>
          <w:rFonts w:asciiTheme="majorHAnsi" w:hAnsiTheme="majorHAnsi" w:cstheme="minorHAnsi"/>
          <w:sz w:val="20"/>
          <w:szCs w:val="20"/>
        </w:rPr>
        <w:t>economic</w:t>
      </w:r>
      <w:r w:rsidR="007D5712">
        <w:rPr>
          <w:rFonts w:asciiTheme="majorHAnsi" w:hAnsiTheme="majorHAnsi" w:cstheme="minorHAnsi"/>
          <w:sz w:val="20"/>
          <w:szCs w:val="20"/>
        </w:rPr>
        <w:t>ally</w:t>
      </w:r>
      <w:r w:rsidR="00E91562" w:rsidRPr="00552E7F">
        <w:rPr>
          <w:rFonts w:asciiTheme="majorHAnsi" w:hAnsiTheme="majorHAnsi" w:cstheme="minorHAnsi"/>
          <w:sz w:val="20"/>
          <w:szCs w:val="20"/>
        </w:rPr>
        <w:t xml:space="preserve"> assess</w:t>
      </w:r>
      <w:r w:rsidR="007D5712">
        <w:rPr>
          <w:rFonts w:asciiTheme="majorHAnsi" w:hAnsiTheme="majorHAnsi" w:cstheme="minorHAnsi"/>
          <w:sz w:val="20"/>
          <w:szCs w:val="20"/>
        </w:rPr>
        <w:t>ed</w:t>
      </w:r>
      <w:r w:rsidR="00E91562" w:rsidRPr="00552E7F">
        <w:rPr>
          <w:rFonts w:asciiTheme="majorHAnsi" w:hAnsiTheme="majorHAnsi" w:cstheme="minorHAnsi"/>
          <w:sz w:val="20"/>
          <w:szCs w:val="20"/>
        </w:rPr>
        <w:t>, both material (pecuniary) and moral or immaterial (non-pecuniary</w:t>
      </w:r>
      <w:r w:rsidR="007D5712">
        <w:rPr>
          <w:rFonts w:asciiTheme="majorHAnsi" w:hAnsiTheme="majorHAnsi" w:cstheme="minorHAnsi"/>
          <w:sz w:val="20"/>
          <w:szCs w:val="20"/>
        </w:rPr>
        <w:t>)</w:t>
      </w:r>
      <w:r w:rsidR="006A086B">
        <w:rPr>
          <w:rFonts w:asciiTheme="majorHAnsi" w:hAnsiTheme="majorHAnsi" w:cstheme="minorHAnsi"/>
          <w:sz w:val="20"/>
          <w:szCs w:val="20"/>
        </w:rPr>
        <w:t>.</w:t>
      </w:r>
      <w:r w:rsidR="00E91562" w:rsidRPr="00552E7F">
        <w:rPr>
          <w:rStyle w:val="FootnoteReference"/>
          <w:rFonts w:asciiTheme="majorHAnsi" w:hAnsiTheme="majorHAnsi"/>
          <w:sz w:val="20"/>
          <w:szCs w:val="20"/>
          <w:lang w:val="es-US"/>
        </w:rPr>
        <w:footnoteReference w:id="11"/>
      </w:r>
      <w:r w:rsidR="00E91562" w:rsidRPr="00552E7F">
        <w:rPr>
          <w:rFonts w:asciiTheme="majorHAnsi" w:hAnsiTheme="majorHAnsi" w:cstheme="minorHAnsi"/>
          <w:sz w:val="20"/>
          <w:szCs w:val="20"/>
        </w:rPr>
        <w:t xml:space="preserve"> This includes the physical and psychological damages </w:t>
      </w:r>
      <w:r w:rsidR="007D5712">
        <w:rPr>
          <w:rFonts w:asciiTheme="majorHAnsi" w:hAnsiTheme="majorHAnsi" w:cstheme="minorHAnsi"/>
          <w:sz w:val="20"/>
          <w:szCs w:val="20"/>
        </w:rPr>
        <w:t xml:space="preserve">sustained </w:t>
      </w:r>
      <w:r w:rsidR="00E91562" w:rsidRPr="00552E7F">
        <w:rPr>
          <w:rFonts w:asciiTheme="majorHAnsi" w:hAnsiTheme="majorHAnsi" w:cstheme="minorHAnsi"/>
          <w:sz w:val="20"/>
          <w:szCs w:val="20"/>
        </w:rPr>
        <w:t xml:space="preserve">by the victims, as well as the loss of income and opportunities, the material damages derived from the violation, the expenses incurred in </w:t>
      </w:r>
      <w:r w:rsidR="007D5712">
        <w:rPr>
          <w:rFonts w:asciiTheme="majorHAnsi" w:hAnsiTheme="majorHAnsi" w:cstheme="minorHAnsi"/>
          <w:sz w:val="20"/>
          <w:szCs w:val="20"/>
        </w:rPr>
        <w:t xml:space="preserve">activities and </w:t>
      </w:r>
      <w:r w:rsidR="00E91562" w:rsidRPr="00552E7F">
        <w:rPr>
          <w:rFonts w:asciiTheme="majorHAnsi" w:hAnsiTheme="majorHAnsi" w:cstheme="minorHAnsi"/>
          <w:sz w:val="20"/>
          <w:szCs w:val="20"/>
        </w:rPr>
        <w:t>procedures related to the violation, the costs of medical and psychological services, funera</w:t>
      </w:r>
      <w:r w:rsidR="007D5712">
        <w:rPr>
          <w:rFonts w:asciiTheme="majorHAnsi" w:hAnsiTheme="majorHAnsi" w:cstheme="minorHAnsi"/>
          <w:sz w:val="20"/>
          <w:szCs w:val="20"/>
        </w:rPr>
        <w:t>ry</w:t>
      </w:r>
      <w:r w:rsidR="00E91562" w:rsidRPr="00552E7F">
        <w:rPr>
          <w:rFonts w:asciiTheme="majorHAnsi" w:hAnsiTheme="majorHAnsi" w:cstheme="minorHAnsi"/>
          <w:sz w:val="20"/>
          <w:szCs w:val="20"/>
        </w:rPr>
        <w:t xml:space="preserve"> expenses, and </w:t>
      </w:r>
      <w:r w:rsidR="007D5712">
        <w:rPr>
          <w:rFonts w:asciiTheme="majorHAnsi" w:hAnsiTheme="majorHAnsi" w:cstheme="minorHAnsi"/>
          <w:sz w:val="20"/>
          <w:szCs w:val="20"/>
        </w:rPr>
        <w:t xml:space="preserve">the immaterial </w:t>
      </w:r>
      <w:r w:rsidR="00E91562" w:rsidRPr="00552E7F">
        <w:rPr>
          <w:rFonts w:asciiTheme="majorHAnsi" w:hAnsiTheme="majorHAnsi" w:cstheme="minorHAnsi"/>
          <w:sz w:val="20"/>
          <w:szCs w:val="20"/>
        </w:rPr>
        <w:t>or moral</w:t>
      </w:r>
      <w:r w:rsidR="00E91562" w:rsidRPr="00E91562">
        <w:rPr>
          <w:rFonts w:asciiTheme="majorHAnsi" w:hAnsiTheme="majorHAnsi" w:cstheme="minorHAnsi"/>
          <w:sz w:val="20"/>
          <w:szCs w:val="20"/>
        </w:rPr>
        <w:t xml:space="preserve"> damages they have suffered. Like the other forms of reparation, monetary compensation or </w:t>
      </w:r>
      <w:r w:rsidR="00E91562">
        <w:rPr>
          <w:rFonts w:asciiTheme="majorHAnsi" w:hAnsiTheme="majorHAnsi" w:cstheme="minorHAnsi"/>
          <w:sz w:val="20"/>
          <w:szCs w:val="20"/>
        </w:rPr>
        <w:t>indemnification</w:t>
      </w:r>
      <w:r w:rsidR="00E91562" w:rsidRPr="00E91562">
        <w:rPr>
          <w:rFonts w:asciiTheme="majorHAnsi" w:hAnsiTheme="majorHAnsi" w:cstheme="minorHAnsi"/>
          <w:sz w:val="20"/>
          <w:szCs w:val="20"/>
        </w:rPr>
        <w:t xml:space="preserve"> must be granted in an appropriate manner and </w:t>
      </w:r>
      <w:r w:rsidR="007D5712">
        <w:rPr>
          <w:rFonts w:asciiTheme="majorHAnsi" w:hAnsiTheme="majorHAnsi" w:cstheme="minorHAnsi"/>
          <w:sz w:val="20"/>
          <w:szCs w:val="20"/>
        </w:rPr>
        <w:t>in proportion</w:t>
      </w:r>
      <w:r w:rsidR="00E91562" w:rsidRPr="00E91562">
        <w:rPr>
          <w:rFonts w:asciiTheme="majorHAnsi" w:hAnsiTheme="majorHAnsi" w:cstheme="minorHAnsi"/>
          <w:sz w:val="20"/>
          <w:szCs w:val="20"/>
        </w:rPr>
        <w:t xml:space="preserve"> to the seriousness of the violation, and to the circumstances of each </w:t>
      </w:r>
      <w:r w:rsidR="00E91562" w:rsidRPr="00E91562">
        <w:rPr>
          <w:rFonts w:asciiTheme="majorHAnsi" w:hAnsiTheme="majorHAnsi" w:cstheme="minorHAnsi"/>
          <w:sz w:val="20"/>
          <w:szCs w:val="20"/>
        </w:rPr>
        <w:lastRenderedPageBreak/>
        <w:t xml:space="preserve">case, for all </w:t>
      </w:r>
      <w:r w:rsidR="007D5712">
        <w:rPr>
          <w:rFonts w:asciiTheme="majorHAnsi" w:hAnsiTheme="majorHAnsi" w:cstheme="minorHAnsi"/>
          <w:sz w:val="20"/>
          <w:szCs w:val="20"/>
        </w:rPr>
        <w:t xml:space="preserve">of </w:t>
      </w:r>
      <w:r w:rsidR="00E91562" w:rsidRPr="00E91562">
        <w:rPr>
          <w:rFonts w:asciiTheme="majorHAnsi" w:hAnsiTheme="majorHAnsi" w:cstheme="minorHAnsi"/>
          <w:sz w:val="20"/>
          <w:szCs w:val="20"/>
        </w:rPr>
        <w:t xml:space="preserve">the economically assessable damages that are a consequence of the violations. In many cases, </w:t>
      </w:r>
      <w:r w:rsidR="007D5712">
        <w:rPr>
          <w:rFonts w:asciiTheme="majorHAnsi" w:hAnsiTheme="majorHAnsi" w:cstheme="minorHAnsi"/>
          <w:sz w:val="20"/>
          <w:szCs w:val="20"/>
        </w:rPr>
        <w:t xml:space="preserve">the </w:t>
      </w:r>
      <w:r w:rsidR="00E91562" w:rsidRPr="00E91562">
        <w:rPr>
          <w:rFonts w:asciiTheme="majorHAnsi" w:hAnsiTheme="majorHAnsi" w:cstheme="minorHAnsi"/>
          <w:sz w:val="20"/>
          <w:szCs w:val="20"/>
        </w:rPr>
        <w:t xml:space="preserve">victims of human rights violations who come to the </w:t>
      </w:r>
      <w:r w:rsidR="006A086B">
        <w:rPr>
          <w:rFonts w:asciiTheme="majorHAnsi" w:hAnsiTheme="majorHAnsi" w:cstheme="minorHAnsi"/>
          <w:sz w:val="20"/>
          <w:szCs w:val="20"/>
        </w:rPr>
        <w:t>I</w:t>
      </w:r>
      <w:r w:rsidR="00E91562" w:rsidRPr="00E91562">
        <w:rPr>
          <w:rFonts w:asciiTheme="majorHAnsi" w:hAnsiTheme="majorHAnsi" w:cstheme="minorHAnsi"/>
          <w:sz w:val="20"/>
          <w:szCs w:val="20"/>
        </w:rPr>
        <w:t xml:space="preserve">nter-American </w:t>
      </w:r>
      <w:r w:rsidR="00E91562">
        <w:rPr>
          <w:rFonts w:asciiTheme="majorHAnsi" w:hAnsiTheme="majorHAnsi" w:cstheme="minorHAnsi"/>
          <w:sz w:val="20"/>
          <w:szCs w:val="20"/>
        </w:rPr>
        <w:t>S</w:t>
      </w:r>
      <w:r w:rsidR="00E91562" w:rsidRPr="00E91562">
        <w:rPr>
          <w:rFonts w:asciiTheme="majorHAnsi" w:hAnsiTheme="majorHAnsi" w:cstheme="minorHAnsi"/>
          <w:sz w:val="20"/>
          <w:szCs w:val="20"/>
        </w:rPr>
        <w:t>ystem have already received, at the time of the judgment of the Inter-American Court, monetary reparation</w:t>
      </w:r>
      <w:r w:rsidR="007D5712">
        <w:rPr>
          <w:rFonts w:asciiTheme="majorHAnsi" w:hAnsiTheme="majorHAnsi" w:cstheme="minorHAnsi"/>
          <w:sz w:val="20"/>
          <w:szCs w:val="20"/>
        </w:rPr>
        <w:t>s at the national level</w:t>
      </w:r>
      <w:r w:rsidR="00E91562" w:rsidRPr="00E91562">
        <w:rPr>
          <w:rFonts w:asciiTheme="majorHAnsi" w:hAnsiTheme="majorHAnsi" w:cstheme="minorHAnsi"/>
          <w:sz w:val="20"/>
          <w:szCs w:val="20"/>
        </w:rPr>
        <w:t xml:space="preserve">, be </w:t>
      </w:r>
      <w:r w:rsidR="007D5712">
        <w:rPr>
          <w:rFonts w:asciiTheme="majorHAnsi" w:hAnsiTheme="majorHAnsi" w:cstheme="minorHAnsi"/>
          <w:sz w:val="20"/>
          <w:szCs w:val="20"/>
        </w:rPr>
        <w:t xml:space="preserve">they of a </w:t>
      </w:r>
      <w:r w:rsidR="00E91562" w:rsidRPr="00E91562">
        <w:rPr>
          <w:rFonts w:asciiTheme="majorHAnsi" w:hAnsiTheme="majorHAnsi" w:cstheme="minorHAnsi"/>
          <w:sz w:val="20"/>
          <w:szCs w:val="20"/>
        </w:rPr>
        <w:t xml:space="preserve">judicial </w:t>
      </w:r>
      <w:r w:rsidR="007D5712">
        <w:rPr>
          <w:rFonts w:asciiTheme="majorHAnsi" w:hAnsiTheme="majorHAnsi" w:cstheme="minorHAnsi"/>
          <w:sz w:val="20"/>
          <w:szCs w:val="20"/>
        </w:rPr>
        <w:t xml:space="preserve">nature, </w:t>
      </w:r>
      <w:r w:rsidR="00E91562" w:rsidRPr="00E91562">
        <w:rPr>
          <w:rFonts w:asciiTheme="majorHAnsi" w:hAnsiTheme="majorHAnsi" w:cstheme="minorHAnsi"/>
          <w:sz w:val="20"/>
          <w:szCs w:val="20"/>
        </w:rPr>
        <w:t xml:space="preserve">or through administrative reparation programs. In the Cepeda Vargas case, the Inter-American Court explained its position in this regard: </w:t>
      </w:r>
      <w:r w:rsidR="00E91562" w:rsidRPr="00621ED0">
        <w:rPr>
          <w:rFonts w:asciiTheme="majorHAnsi" w:hAnsiTheme="majorHAnsi" w:cstheme="minorHAnsi"/>
          <w:i/>
          <w:iCs/>
          <w:sz w:val="20"/>
          <w:szCs w:val="20"/>
        </w:rPr>
        <w:t>“</w:t>
      </w:r>
      <w:r w:rsidR="004B5F3A" w:rsidRPr="00621ED0">
        <w:rPr>
          <w:rFonts w:asciiTheme="majorHAnsi" w:hAnsiTheme="majorHAnsi" w:cstheme="minorHAnsi"/>
          <w:i/>
          <w:iCs/>
          <w:sz w:val="20"/>
          <w:szCs w:val="20"/>
        </w:rPr>
        <w:t>The Court considers that, when national mechanisms exist to determine forms of reparations, these procedures and results can be assessed</w:t>
      </w:r>
      <w:r w:rsidR="00E91562" w:rsidRPr="00621ED0">
        <w:rPr>
          <w:rFonts w:asciiTheme="majorHAnsi" w:hAnsiTheme="majorHAnsi" w:cstheme="minorHAnsi"/>
          <w:i/>
          <w:iCs/>
          <w:sz w:val="20"/>
          <w:szCs w:val="20"/>
        </w:rPr>
        <w:t xml:space="preserve"> (…). </w:t>
      </w:r>
      <w:r w:rsidR="004B5F3A" w:rsidRPr="00621ED0">
        <w:rPr>
          <w:rFonts w:asciiTheme="majorHAnsi" w:hAnsiTheme="majorHAnsi" w:cstheme="minorHAnsi"/>
          <w:i/>
          <w:iCs/>
          <w:sz w:val="20"/>
          <w:szCs w:val="20"/>
        </w:rPr>
        <w:t>If these mechanisms do not satisfy criteria of objectivity, reasonableness and effectiveness to make adequate reparation for the violations of rights recognized in the Convention that have been declared by this Court, it is for the Court, in exercise of its subsidiary and complementary competence, to order the pertinent reparations.</w:t>
      </w:r>
      <w:r w:rsidR="00E91562" w:rsidRPr="00621ED0">
        <w:rPr>
          <w:rFonts w:asciiTheme="majorHAnsi" w:hAnsiTheme="majorHAnsi" w:cstheme="minorHAnsi"/>
          <w:i/>
          <w:iCs/>
          <w:sz w:val="20"/>
          <w:szCs w:val="20"/>
        </w:rPr>
        <w:t>”</w:t>
      </w:r>
      <w:r w:rsidR="004B5F3A" w:rsidRPr="00621ED0">
        <w:rPr>
          <w:rStyle w:val="FootnoteReference"/>
          <w:rFonts w:asciiTheme="majorHAnsi" w:hAnsiTheme="majorHAnsi"/>
          <w:i/>
          <w:iCs/>
          <w:sz w:val="20"/>
          <w:szCs w:val="20"/>
        </w:rPr>
        <w:footnoteReference w:id="12"/>
      </w:r>
      <w:r w:rsidR="00E91562" w:rsidRPr="004B5F3A">
        <w:rPr>
          <w:rFonts w:asciiTheme="majorHAnsi" w:hAnsiTheme="majorHAnsi" w:cstheme="minorHAnsi"/>
          <w:sz w:val="20"/>
          <w:szCs w:val="20"/>
        </w:rPr>
        <w:t xml:space="preserve"> </w:t>
      </w:r>
      <w:r w:rsidR="00621ED0">
        <w:rPr>
          <w:rFonts w:asciiTheme="majorHAnsi" w:hAnsiTheme="majorHAnsi" w:cstheme="minorHAnsi"/>
          <w:sz w:val="20"/>
          <w:szCs w:val="20"/>
        </w:rPr>
        <w:t>T</w:t>
      </w:r>
      <w:r w:rsidR="00E91562" w:rsidRPr="004B5F3A">
        <w:rPr>
          <w:rFonts w:asciiTheme="majorHAnsi" w:hAnsiTheme="majorHAnsi" w:cstheme="minorHAnsi"/>
          <w:sz w:val="20"/>
          <w:szCs w:val="20"/>
        </w:rPr>
        <w:t xml:space="preserve">he IACHR and the Inter-American Court </w:t>
      </w:r>
      <w:r w:rsidR="00621ED0">
        <w:rPr>
          <w:rFonts w:asciiTheme="majorHAnsi" w:hAnsiTheme="majorHAnsi" w:cstheme="minorHAnsi"/>
          <w:sz w:val="20"/>
          <w:szCs w:val="20"/>
        </w:rPr>
        <w:t xml:space="preserve">normally </w:t>
      </w:r>
      <w:r w:rsidR="00E91562" w:rsidRPr="004B5F3A">
        <w:rPr>
          <w:rFonts w:asciiTheme="majorHAnsi" w:hAnsiTheme="majorHAnsi" w:cstheme="minorHAnsi"/>
          <w:sz w:val="20"/>
          <w:szCs w:val="20"/>
        </w:rPr>
        <w:t xml:space="preserve">take into account the reparations that the victims have already received. In some cases, this fact has been enough for the Court not to order </w:t>
      </w:r>
      <w:r w:rsidR="00621ED0">
        <w:rPr>
          <w:rFonts w:asciiTheme="majorHAnsi" w:hAnsiTheme="majorHAnsi" w:cstheme="minorHAnsi"/>
          <w:sz w:val="20"/>
          <w:szCs w:val="20"/>
        </w:rPr>
        <w:t xml:space="preserve">any </w:t>
      </w:r>
      <w:r w:rsidR="00E91562" w:rsidRPr="004B5F3A">
        <w:rPr>
          <w:rFonts w:asciiTheme="majorHAnsi" w:hAnsiTheme="majorHAnsi" w:cstheme="minorHAnsi"/>
          <w:sz w:val="20"/>
          <w:szCs w:val="20"/>
        </w:rPr>
        <w:t xml:space="preserve">additional </w:t>
      </w:r>
      <w:r w:rsidR="00621ED0">
        <w:rPr>
          <w:rFonts w:asciiTheme="majorHAnsi" w:hAnsiTheme="majorHAnsi" w:cstheme="minorHAnsi"/>
          <w:sz w:val="20"/>
          <w:szCs w:val="20"/>
        </w:rPr>
        <w:t>indemnity</w:t>
      </w:r>
      <w:r w:rsidR="00E91562" w:rsidRPr="004B5F3A">
        <w:rPr>
          <w:rFonts w:asciiTheme="majorHAnsi" w:hAnsiTheme="majorHAnsi" w:cstheme="minorHAnsi"/>
          <w:sz w:val="20"/>
          <w:szCs w:val="20"/>
        </w:rPr>
        <w:t xml:space="preserve"> at the international level.</w:t>
      </w:r>
      <w:r w:rsidR="004B5F3A" w:rsidRPr="004B5F3A">
        <w:rPr>
          <w:rStyle w:val="FootnoteReference"/>
          <w:rFonts w:asciiTheme="majorHAnsi" w:hAnsiTheme="majorHAnsi"/>
          <w:sz w:val="20"/>
          <w:szCs w:val="20"/>
        </w:rPr>
        <w:footnoteReference w:id="13"/>
      </w:r>
      <w:r w:rsidR="00E91562" w:rsidRPr="004B5F3A">
        <w:rPr>
          <w:rFonts w:asciiTheme="majorHAnsi" w:hAnsiTheme="majorHAnsi" w:cstheme="minorHAnsi"/>
          <w:sz w:val="20"/>
          <w:szCs w:val="20"/>
        </w:rPr>
        <w:t xml:space="preserve"> In other cases, it has been </w:t>
      </w:r>
      <w:r w:rsidR="00621ED0">
        <w:rPr>
          <w:rFonts w:asciiTheme="majorHAnsi" w:hAnsiTheme="majorHAnsi" w:cstheme="minorHAnsi"/>
          <w:sz w:val="20"/>
          <w:szCs w:val="20"/>
        </w:rPr>
        <w:t>ordered</w:t>
      </w:r>
      <w:r w:rsidR="00E91562" w:rsidRPr="004B5F3A">
        <w:rPr>
          <w:rFonts w:asciiTheme="majorHAnsi" w:hAnsiTheme="majorHAnsi" w:cstheme="minorHAnsi"/>
          <w:sz w:val="20"/>
          <w:szCs w:val="20"/>
        </w:rPr>
        <w:t xml:space="preserve"> that what has already been paid by the State be deducted from the value of the </w:t>
      </w:r>
      <w:r w:rsidR="004B5F3A" w:rsidRPr="004B5F3A">
        <w:rPr>
          <w:rFonts w:asciiTheme="majorHAnsi" w:hAnsiTheme="majorHAnsi" w:cstheme="minorHAnsi"/>
          <w:sz w:val="20"/>
          <w:szCs w:val="20"/>
        </w:rPr>
        <w:t>I</w:t>
      </w:r>
      <w:r w:rsidR="00E91562" w:rsidRPr="004B5F3A">
        <w:rPr>
          <w:rFonts w:asciiTheme="majorHAnsi" w:hAnsiTheme="majorHAnsi" w:cstheme="minorHAnsi"/>
          <w:sz w:val="20"/>
          <w:szCs w:val="20"/>
        </w:rPr>
        <w:t xml:space="preserve">nter-American compensation, if </w:t>
      </w:r>
      <w:r w:rsidR="004B5F3A" w:rsidRPr="004B5F3A">
        <w:rPr>
          <w:rFonts w:asciiTheme="majorHAnsi" w:hAnsiTheme="majorHAnsi" w:cstheme="minorHAnsi"/>
          <w:sz w:val="20"/>
          <w:szCs w:val="20"/>
        </w:rPr>
        <w:t>the latter</w:t>
      </w:r>
      <w:r w:rsidR="00E91562" w:rsidRPr="004B5F3A">
        <w:rPr>
          <w:rFonts w:asciiTheme="majorHAnsi" w:hAnsiTheme="majorHAnsi" w:cstheme="minorHAnsi"/>
          <w:sz w:val="20"/>
          <w:szCs w:val="20"/>
        </w:rPr>
        <w:t xml:space="preserve"> is </w:t>
      </w:r>
      <w:r w:rsidR="00621ED0">
        <w:rPr>
          <w:rFonts w:asciiTheme="majorHAnsi" w:hAnsiTheme="majorHAnsi" w:cstheme="minorHAnsi"/>
          <w:sz w:val="20"/>
          <w:szCs w:val="20"/>
        </w:rPr>
        <w:t>higher</w:t>
      </w:r>
      <w:r w:rsidR="00E91562" w:rsidRPr="004B5F3A">
        <w:rPr>
          <w:rFonts w:asciiTheme="majorHAnsi" w:hAnsiTheme="majorHAnsi" w:cstheme="minorHAnsi"/>
          <w:sz w:val="20"/>
          <w:szCs w:val="20"/>
        </w:rPr>
        <w:t>.</w:t>
      </w:r>
      <w:r w:rsidR="004B5F3A" w:rsidRPr="004B5F3A">
        <w:rPr>
          <w:rStyle w:val="FootnoteReference"/>
          <w:rFonts w:asciiTheme="majorHAnsi" w:hAnsiTheme="majorHAnsi"/>
          <w:sz w:val="20"/>
          <w:szCs w:val="20"/>
        </w:rPr>
        <w:footnoteReference w:id="14"/>
      </w:r>
    </w:p>
    <w:p w14:paraId="1A4C4A81" w14:textId="77777777" w:rsidR="00A84BEB" w:rsidRPr="006B2789" w:rsidRDefault="00A84BEB" w:rsidP="004B5F3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theme="minorHAnsi"/>
          <w:sz w:val="20"/>
          <w:szCs w:val="20"/>
        </w:rPr>
      </w:pPr>
    </w:p>
    <w:p w14:paraId="2240123D" w14:textId="370EB228" w:rsidR="004B5F3A" w:rsidRPr="000D2267" w:rsidRDefault="00A84BEB" w:rsidP="00A84BE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libri Light" w:hAnsiTheme="majorHAnsi" w:cstheme="minorHAnsi"/>
          <w:sz w:val="20"/>
          <w:szCs w:val="20"/>
        </w:rPr>
      </w:pPr>
      <w:r w:rsidRPr="000D2267">
        <w:rPr>
          <w:rFonts w:asciiTheme="majorHAnsi" w:eastAsia="Calibri Light" w:hAnsiTheme="majorHAnsi" w:cstheme="minorHAnsi"/>
          <w:sz w:val="20"/>
          <w:szCs w:val="20"/>
        </w:rPr>
        <w:t xml:space="preserve">29. </w:t>
      </w:r>
      <w:r w:rsidR="00584A38">
        <w:rPr>
          <w:rFonts w:asciiTheme="majorHAnsi" w:eastAsia="Calibri Light" w:hAnsiTheme="majorHAnsi" w:cstheme="minorHAnsi"/>
          <w:sz w:val="20"/>
          <w:szCs w:val="20"/>
        </w:rPr>
        <w:t xml:space="preserve"> As for </w:t>
      </w:r>
      <w:r w:rsidR="004B5F3A" w:rsidRPr="000D2267">
        <w:rPr>
          <w:rFonts w:asciiTheme="majorHAnsi" w:eastAsia="Calibri Light" w:hAnsiTheme="majorHAnsi" w:cstheme="minorHAnsi"/>
          <w:sz w:val="20"/>
          <w:szCs w:val="20"/>
        </w:rPr>
        <w:t>satisfaction, the reparatory measures grouped under this heading include, in practice, five large non-exhaustive categories: (</w:t>
      </w:r>
      <w:proofErr w:type="spellStart"/>
      <w:r w:rsidR="004B5F3A" w:rsidRPr="000D2267">
        <w:rPr>
          <w:rFonts w:asciiTheme="majorHAnsi" w:eastAsia="Calibri Light" w:hAnsiTheme="majorHAnsi" w:cstheme="minorHAnsi"/>
          <w:sz w:val="20"/>
          <w:szCs w:val="20"/>
        </w:rPr>
        <w:t>i</w:t>
      </w:r>
      <w:proofErr w:type="spellEnd"/>
      <w:r w:rsidR="004B5F3A" w:rsidRPr="000D2267">
        <w:rPr>
          <w:rFonts w:asciiTheme="majorHAnsi" w:eastAsia="Calibri Light" w:hAnsiTheme="majorHAnsi" w:cstheme="minorHAnsi"/>
          <w:sz w:val="20"/>
          <w:szCs w:val="20"/>
        </w:rPr>
        <w:t xml:space="preserve">) acts of acknowledgment of responsibility, presentation of public apologies and official testimonies; (ii) official statements and judicial decisions that restore the honor and reputation of the victims; (iii) the publication or dissemination of the merits report of the IACHR or </w:t>
      </w:r>
      <w:r w:rsidR="00584A38">
        <w:rPr>
          <w:rFonts w:asciiTheme="majorHAnsi" w:eastAsia="Calibri Light" w:hAnsiTheme="majorHAnsi" w:cstheme="minorHAnsi"/>
          <w:sz w:val="20"/>
          <w:szCs w:val="20"/>
        </w:rPr>
        <w:t xml:space="preserve">of </w:t>
      </w:r>
      <w:r w:rsidR="004B5F3A" w:rsidRPr="000D2267">
        <w:rPr>
          <w:rFonts w:asciiTheme="majorHAnsi" w:eastAsia="Calibri Light" w:hAnsiTheme="majorHAnsi" w:cstheme="minorHAnsi"/>
          <w:sz w:val="20"/>
          <w:szCs w:val="20"/>
        </w:rPr>
        <w:t xml:space="preserve">the judgment of the Court; (iv) the performance of tributes </w:t>
      </w:r>
      <w:r w:rsidR="00584A38">
        <w:rPr>
          <w:rFonts w:asciiTheme="majorHAnsi" w:eastAsia="Calibri Light" w:hAnsiTheme="majorHAnsi" w:cstheme="minorHAnsi"/>
          <w:sz w:val="20"/>
          <w:szCs w:val="20"/>
        </w:rPr>
        <w:t xml:space="preserve">to, </w:t>
      </w:r>
      <w:r w:rsidR="004B5F3A" w:rsidRPr="000D2267">
        <w:rPr>
          <w:rFonts w:asciiTheme="majorHAnsi" w:eastAsia="Calibri Light" w:hAnsiTheme="majorHAnsi" w:cstheme="minorHAnsi"/>
          <w:sz w:val="20"/>
          <w:szCs w:val="20"/>
        </w:rPr>
        <w:t xml:space="preserve">and commemorations </w:t>
      </w:r>
      <w:r w:rsidR="00584A38">
        <w:rPr>
          <w:rFonts w:asciiTheme="majorHAnsi" w:eastAsia="Calibri Light" w:hAnsiTheme="majorHAnsi" w:cstheme="minorHAnsi"/>
          <w:sz w:val="20"/>
          <w:szCs w:val="20"/>
        </w:rPr>
        <w:t xml:space="preserve">of, </w:t>
      </w:r>
      <w:r w:rsidR="004B5F3A" w:rsidRPr="000D2267">
        <w:rPr>
          <w:rFonts w:asciiTheme="majorHAnsi" w:eastAsia="Calibri Light" w:hAnsiTheme="majorHAnsi" w:cstheme="minorHAnsi"/>
          <w:sz w:val="20"/>
          <w:szCs w:val="20"/>
        </w:rPr>
        <w:t>the victims; and (v) the provision of educational</w:t>
      </w:r>
      <w:r w:rsidR="00584A38">
        <w:rPr>
          <w:rFonts w:asciiTheme="majorHAnsi" w:eastAsia="Calibri Light" w:hAnsiTheme="majorHAnsi" w:cstheme="minorHAnsi"/>
          <w:sz w:val="20"/>
          <w:szCs w:val="20"/>
        </w:rPr>
        <w:t xml:space="preserve"> measures</w:t>
      </w:r>
      <w:r w:rsidR="004B5F3A" w:rsidRPr="000D2267">
        <w:rPr>
          <w:rFonts w:asciiTheme="majorHAnsi" w:eastAsia="Calibri Light" w:hAnsiTheme="majorHAnsi" w:cstheme="minorHAnsi"/>
          <w:sz w:val="20"/>
          <w:szCs w:val="20"/>
        </w:rPr>
        <w:t>, socioeconomic</w:t>
      </w:r>
      <w:r w:rsidR="00584A38">
        <w:rPr>
          <w:rFonts w:asciiTheme="majorHAnsi" w:eastAsia="Calibri Light" w:hAnsiTheme="majorHAnsi" w:cstheme="minorHAnsi"/>
          <w:sz w:val="20"/>
          <w:szCs w:val="20"/>
        </w:rPr>
        <w:t xml:space="preserve"> measures</w:t>
      </w:r>
      <w:r w:rsidR="004B5F3A" w:rsidRPr="000D2267">
        <w:rPr>
          <w:rFonts w:asciiTheme="majorHAnsi" w:eastAsia="Calibri Light" w:hAnsiTheme="majorHAnsi" w:cstheme="minorHAnsi"/>
          <w:sz w:val="20"/>
          <w:szCs w:val="20"/>
        </w:rPr>
        <w:t xml:space="preserve">, or </w:t>
      </w:r>
      <w:r w:rsidR="00584A38">
        <w:rPr>
          <w:rFonts w:asciiTheme="majorHAnsi" w:eastAsia="Calibri Light" w:hAnsiTheme="majorHAnsi" w:cstheme="minorHAnsi"/>
          <w:sz w:val="20"/>
          <w:szCs w:val="20"/>
        </w:rPr>
        <w:t xml:space="preserve">measures of </w:t>
      </w:r>
      <w:r w:rsidR="004B5F3A" w:rsidRPr="000D2267">
        <w:rPr>
          <w:rFonts w:asciiTheme="majorHAnsi" w:eastAsia="Calibri Light" w:hAnsiTheme="majorHAnsi" w:cstheme="minorHAnsi"/>
          <w:sz w:val="20"/>
          <w:szCs w:val="20"/>
        </w:rPr>
        <w:t xml:space="preserve">support for the social reintegration of the beneficiaries. Additionally, among the measures of satisfaction, insofar as </w:t>
      </w:r>
      <w:r w:rsidR="00584A38">
        <w:rPr>
          <w:rFonts w:asciiTheme="majorHAnsi" w:eastAsia="Calibri Light" w:hAnsiTheme="majorHAnsi" w:cstheme="minorHAnsi"/>
          <w:sz w:val="20"/>
          <w:szCs w:val="20"/>
        </w:rPr>
        <w:t xml:space="preserve">their </w:t>
      </w:r>
      <w:r w:rsidR="004B5F3A" w:rsidRPr="000D2267">
        <w:rPr>
          <w:rFonts w:asciiTheme="majorHAnsi" w:eastAsia="Calibri Light" w:hAnsiTheme="majorHAnsi" w:cstheme="minorHAnsi"/>
          <w:sz w:val="20"/>
          <w:szCs w:val="20"/>
        </w:rPr>
        <w:t xml:space="preserve">purpose is to publicly acknowledge the damage suffered by the victims in order to dignify them, the IACHR includes (vi) </w:t>
      </w:r>
      <w:r w:rsidR="007B53DE">
        <w:rPr>
          <w:rFonts w:asciiTheme="majorHAnsi" w:eastAsia="Calibri Light" w:hAnsiTheme="majorHAnsi" w:cstheme="minorHAnsi"/>
          <w:sz w:val="20"/>
          <w:szCs w:val="20"/>
        </w:rPr>
        <w:t xml:space="preserve">measures of </w:t>
      </w:r>
      <w:r w:rsidR="004B5F3A" w:rsidRPr="000D2267">
        <w:rPr>
          <w:rFonts w:asciiTheme="majorHAnsi" w:eastAsia="Calibri Light" w:hAnsiTheme="majorHAnsi" w:cstheme="minorHAnsi"/>
          <w:sz w:val="20"/>
          <w:szCs w:val="20"/>
        </w:rPr>
        <w:t xml:space="preserve">justice (investigation, prosecution, and punishment of the perpetrators of serious </w:t>
      </w:r>
      <w:r w:rsidR="000D2267">
        <w:rPr>
          <w:rFonts w:asciiTheme="majorHAnsi" w:eastAsia="Calibri Light" w:hAnsiTheme="majorHAnsi" w:cstheme="minorHAnsi"/>
          <w:sz w:val="20"/>
          <w:szCs w:val="20"/>
        </w:rPr>
        <w:t xml:space="preserve">human </w:t>
      </w:r>
      <w:r w:rsidR="004B5F3A" w:rsidRPr="000D2267">
        <w:rPr>
          <w:rFonts w:asciiTheme="majorHAnsi" w:eastAsia="Calibri Light" w:hAnsiTheme="majorHAnsi" w:cstheme="minorHAnsi"/>
          <w:sz w:val="20"/>
          <w:szCs w:val="20"/>
        </w:rPr>
        <w:t xml:space="preserve">rights violations), and (vii) knowledge and dissemination of the truth, including the search for the disappeared and the location and </w:t>
      </w:r>
      <w:r w:rsidR="007B53DE">
        <w:rPr>
          <w:rFonts w:asciiTheme="majorHAnsi" w:eastAsia="Calibri Light" w:hAnsiTheme="majorHAnsi" w:cstheme="minorHAnsi"/>
          <w:sz w:val="20"/>
          <w:szCs w:val="20"/>
        </w:rPr>
        <w:t>return</w:t>
      </w:r>
      <w:r w:rsidR="004B5F3A" w:rsidRPr="000D2267">
        <w:rPr>
          <w:rFonts w:asciiTheme="majorHAnsi" w:eastAsia="Calibri Light" w:hAnsiTheme="majorHAnsi" w:cstheme="minorHAnsi"/>
          <w:sz w:val="20"/>
          <w:szCs w:val="20"/>
        </w:rPr>
        <w:t xml:space="preserve"> of the remains of dead. However, the catalog</w:t>
      </w:r>
      <w:r w:rsidR="007B53DE">
        <w:rPr>
          <w:rFonts w:asciiTheme="majorHAnsi" w:eastAsia="Calibri Light" w:hAnsiTheme="majorHAnsi" w:cstheme="minorHAnsi"/>
          <w:sz w:val="20"/>
          <w:szCs w:val="20"/>
        </w:rPr>
        <w:t>ue</w:t>
      </w:r>
      <w:r w:rsidR="004B5F3A" w:rsidRPr="000D2267">
        <w:rPr>
          <w:rFonts w:asciiTheme="majorHAnsi" w:eastAsia="Calibri Light" w:hAnsiTheme="majorHAnsi" w:cstheme="minorHAnsi"/>
          <w:sz w:val="20"/>
          <w:szCs w:val="20"/>
        </w:rPr>
        <w:t xml:space="preserve"> of satisfaction measures may be as broad as the diversity </w:t>
      </w:r>
      <w:r w:rsidR="004B5F3A" w:rsidRPr="000D2267">
        <w:rPr>
          <w:rFonts w:asciiTheme="majorHAnsi" w:eastAsia="Calibri Light" w:hAnsiTheme="majorHAnsi" w:cstheme="minorHAnsi"/>
          <w:sz w:val="20"/>
          <w:szCs w:val="20"/>
        </w:rPr>
        <w:lastRenderedPageBreak/>
        <w:t xml:space="preserve">of </w:t>
      </w:r>
      <w:r w:rsidR="007B53DE">
        <w:rPr>
          <w:rFonts w:asciiTheme="majorHAnsi" w:eastAsia="Calibri Light" w:hAnsiTheme="majorHAnsi" w:cstheme="minorHAnsi"/>
          <w:sz w:val="20"/>
          <w:szCs w:val="20"/>
        </w:rPr>
        <w:t>immaterial</w:t>
      </w:r>
      <w:r w:rsidR="004B5F3A" w:rsidRPr="000D2267">
        <w:rPr>
          <w:rFonts w:asciiTheme="majorHAnsi" w:eastAsia="Calibri Light" w:hAnsiTheme="majorHAnsi" w:cstheme="minorHAnsi"/>
          <w:sz w:val="20"/>
          <w:szCs w:val="20"/>
        </w:rPr>
        <w:t xml:space="preserve"> damages suffered by the victims of human rights violations. The form and nature of the satisfaction measures are not rigid, and </w:t>
      </w:r>
      <w:r w:rsidR="007B53DE">
        <w:rPr>
          <w:rFonts w:asciiTheme="majorHAnsi" w:eastAsia="Calibri Light" w:hAnsiTheme="majorHAnsi" w:cstheme="minorHAnsi"/>
          <w:sz w:val="20"/>
          <w:szCs w:val="20"/>
        </w:rPr>
        <w:t xml:space="preserve">they </w:t>
      </w:r>
      <w:r w:rsidR="004B5F3A" w:rsidRPr="000D2267">
        <w:rPr>
          <w:rFonts w:asciiTheme="majorHAnsi" w:eastAsia="Calibri Light" w:hAnsiTheme="majorHAnsi" w:cstheme="minorHAnsi"/>
          <w:sz w:val="20"/>
          <w:szCs w:val="20"/>
        </w:rPr>
        <w:t>depend on the circumstances of each case</w:t>
      </w:r>
      <w:r w:rsidR="000D2267" w:rsidRPr="000D2267">
        <w:rPr>
          <w:rStyle w:val="Reference"/>
          <w:rFonts w:asciiTheme="majorHAnsi" w:hAnsiTheme="majorHAnsi" w:cstheme="minorHAnsi"/>
        </w:rPr>
        <w:footnoteReference w:id="15"/>
      </w:r>
      <w:r w:rsidR="004B5F3A" w:rsidRPr="000D2267">
        <w:rPr>
          <w:rFonts w:asciiTheme="majorHAnsi" w:eastAsia="Calibri Light" w:hAnsiTheme="majorHAnsi" w:cstheme="minorHAnsi"/>
          <w:sz w:val="20"/>
          <w:szCs w:val="20"/>
        </w:rPr>
        <w:t>.</w:t>
      </w:r>
    </w:p>
    <w:p w14:paraId="685D5BC8" w14:textId="77777777" w:rsidR="00A84BEB" w:rsidRPr="006B2789" w:rsidRDefault="00A84BEB" w:rsidP="00A84BE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p>
    <w:p w14:paraId="20669E45" w14:textId="027A55B5" w:rsidR="000D2267" w:rsidRPr="00E6497D" w:rsidRDefault="00A84BEB" w:rsidP="00162E4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libri Light" w:hAnsiTheme="majorHAnsi" w:cstheme="minorHAnsi"/>
          <w:sz w:val="20"/>
          <w:szCs w:val="20"/>
        </w:rPr>
      </w:pPr>
      <w:r w:rsidRPr="000D2267">
        <w:rPr>
          <w:rFonts w:asciiTheme="majorHAnsi" w:eastAsia="Calibri Light" w:hAnsiTheme="majorHAnsi" w:cstheme="minorHAnsi"/>
          <w:sz w:val="20"/>
          <w:szCs w:val="20"/>
        </w:rPr>
        <w:t xml:space="preserve">30. </w:t>
      </w:r>
      <w:r w:rsidR="007B53DE">
        <w:rPr>
          <w:rFonts w:asciiTheme="majorHAnsi" w:eastAsia="Calibri Light" w:hAnsiTheme="majorHAnsi" w:cstheme="minorHAnsi"/>
          <w:sz w:val="20"/>
          <w:szCs w:val="20"/>
        </w:rPr>
        <w:t xml:space="preserve"> As for </w:t>
      </w:r>
      <w:r w:rsidR="000D2267" w:rsidRPr="000D2267">
        <w:rPr>
          <w:rFonts w:asciiTheme="majorHAnsi" w:eastAsia="Calibri Light" w:hAnsiTheme="majorHAnsi" w:cstheme="minorHAnsi"/>
          <w:sz w:val="20"/>
          <w:szCs w:val="20"/>
        </w:rPr>
        <w:t>access to justice as a measure of reparation, it is recalled that the IACHR and the Inter</w:t>
      </w:r>
      <w:r w:rsidR="000D2267" w:rsidRPr="00E6497D">
        <w:rPr>
          <w:rFonts w:asciiTheme="majorHAnsi" w:eastAsia="Calibri Light" w:hAnsiTheme="majorHAnsi" w:cstheme="minorHAnsi"/>
          <w:sz w:val="20"/>
          <w:szCs w:val="20"/>
        </w:rPr>
        <w:t xml:space="preserve">-American Court </w:t>
      </w:r>
      <w:r w:rsidR="007B53DE">
        <w:rPr>
          <w:rFonts w:asciiTheme="majorHAnsi" w:eastAsia="Calibri Light" w:hAnsiTheme="majorHAnsi" w:cstheme="minorHAnsi"/>
          <w:sz w:val="20"/>
          <w:szCs w:val="20"/>
        </w:rPr>
        <w:t>habitually</w:t>
      </w:r>
      <w:r w:rsidR="000D2267" w:rsidRPr="00E6497D">
        <w:rPr>
          <w:rFonts w:asciiTheme="majorHAnsi" w:eastAsia="Calibri Light" w:hAnsiTheme="majorHAnsi" w:cstheme="minorHAnsi"/>
          <w:sz w:val="20"/>
          <w:szCs w:val="20"/>
        </w:rPr>
        <w:t xml:space="preserve"> order </w:t>
      </w:r>
      <w:r w:rsidR="007B53DE">
        <w:rPr>
          <w:rFonts w:asciiTheme="majorHAnsi" w:eastAsia="Calibri Light" w:hAnsiTheme="majorHAnsi" w:cstheme="minorHAnsi"/>
          <w:sz w:val="20"/>
          <w:szCs w:val="20"/>
        </w:rPr>
        <w:t xml:space="preserve">the conduction of </w:t>
      </w:r>
      <w:r w:rsidR="000D2267" w:rsidRPr="00E6497D">
        <w:rPr>
          <w:rFonts w:asciiTheme="majorHAnsi" w:eastAsia="Calibri Light" w:hAnsiTheme="majorHAnsi" w:cstheme="minorHAnsi"/>
          <w:sz w:val="20"/>
          <w:szCs w:val="20"/>
        </w:rPr>
        <w:t xml:space="preserve">an investigation of the </w:t>
      </w:r>
      <w:r w:rsidR="007B53DE">
        <w:rPr>
          <w:rFonts w:asciiTheme="majorHAnsi" w:eastAsia="Calibri Light" w:hAnsiTheme="majorHAnsi" w:cstheme="minorHAnsi"/>
          <w:sz w:val="20"/>
          <w:szCs w:val="20"/>
        </w:rPr>
        <w:t xml:space="preserve">respective </w:t>
      </w:r>
      <w:r w:rsidR="000D2267" w:rsidRPr="00E6497D">
        <w:rPr>
          <w:rFonts w:asciiTheme="majorHAnsi" w:eastAsia="Calibri Light" w:hAnsiTheme="majorHAnsi" w:cstheme="minorHAnsi"/>
          <w:sz w:val="20"/>
          <w:szCs w:val="20"/>
        </w:rPr>
        <w:t>violation of rights by the State</w:t>
      </w:r>
      <w:r w:rsidR="006B2789" w:rsidRPr="00E6497D">
        <w:rPr>
          <w:rFonts w:asciiTheme="majorHAnsi" w:eastAsia="Calibri Light" w:hAnsiTheme="majorHAnsi" w:cstheme="minorHAnsi"/>
          <w:sz w:val="20"/>
          <w:szCs w:val="20"/>
        </w:rPr>
        <w:t>, to be undertaken</w:t>
      </w:r>
      <w:r w:rsidR="000D2267" w:rsidRPr="00E6497D">
        <w:rPr>
          <w:rFonts w:asciiTheme="majorHAnsi" w:eastAsia="Calibri Light" w:hAnsiTheme="majorHAnsi" w:cstheme="minorHAnsi"/>
          <w:sz w:val="20"/>
          <w:szCs w:val="20"/>
        </w:rPr>
        <w:t xml:space="preserve"> with due diligence, within a reasonable period </w:t>
      </w:r>
      <w:r w:rsidR="006A086B">
        <w:rPr>
          <w:rFonts w:asciiTheme="majorHAnsi" w:eastAsia="Calibri Light" w:hAnsiTheme="majorHAnsi" w:cstheme="minorHAnsi"/>
          <w:sz w:val="20"/>
          <w:szCs w:val="20"/>
        </w:rPr>
        <w:t xml:space="preserve">of time </w:t>
      </w:r>
      <w:r w:rsidR="000D2267" w:rsidRPr="00E6497D">
        <w:rPr>
          <w:rFonts w:asciiTheme="majorHAnsi" w:eastAsia="Calibri Light" w:hAnsiTheme="majorHAnsi" w:cstheme="minorHAnsi"/>
          <w:sz w:val="20"/>
          <w:szCs w:val="20"/>
        </w:rPr>
        <w:t xml:space="preserve">and in accordance with the standards established by international norms and jurisprudence. For example, in the </w:t>
      </w:r>
      <w:r w:rsidR="007B53DE">
        <w:rPr>
          <w:rFonts w:asciiTheme="majorHAnsi" w:eastAsia="Calibri Light" w:hAnsiTheme="majorHAnsi" w:cstheme="minorHAnsi"/>
          <w:sz w:val="20"/>
          <w:szCs w:val="20"/>
        </w:rPr>
        <w:t xml:space="preserve">case of </w:t>
      </w:r>
      <w:r w:rsidR="000D2267" w:rsidRPr="00E6497D">
        <w:rPr>
          <w:rFonts w:asciiTheme="majorHAnsi" w:eastAsia="Calibri Light" w:hAnsiTheme="majorHAnsi" w:cstheme="minorHAnsi"/>
          <w:sz w:val="20"/>
          <w:szCs w:val="20"/>
        </w:rPr>
        <w:t xml:space="preserve">Leidy </w:t>
      </w:r>
      <w:proofErr w:type="spellStart"/>
      <w:r w:rsidR="000D2267" w:rsidRPr="00E6497D">
        <w:rPr>
          <w:rFonts w:asciiTheme="majorHAnsi" w:eastAsia="Calibri Light" w:hAnsiTheme="majorHAnsi" w:cstheme="minorHAnsi"/>
          <w:sz w:val="20"/>
          <w:szCs w:val="20"/>
        </w:rPr>
        <w:t>Dayán</w:t>
      </w:r>
      <w:proofErr w:type="spellEnd"/>
      <w:r w:rsidR="000D2267" w:rsidRPr="00E6497D">
        <w:rPr>
          <w:rFonts w:asciiTheme="majorHAnsi" w:eastAsia="Calibri Light" w:hAnsiTheme="majorHAnsi" w:cstheme="minorHAnsi"/>
          <w:sz w:val="20"/>
          <w:szCs w:val="20"/>
        </w:rPr>
        <w:t xml:space="preserve"> Sánchez (Colombia), the IACHR recommended that the State </w:t>
      </w:r>
      <w:r w:rsidR="000D2267" w:rsidRPr="007B53DE">
        <w:rPr>
          <w:rFonts w:asciiTheme="majorHAnsi" w:eastAsia="Calibri Light" w:hAnsiTheme="majorHAnsi" w:cstheme="minorHAnsi"/>
          <w:i/>
          <w:iCs/>
          <w:sz w:val="20"/>
          <w:szCs w:val="20"/>
        </w:rPr>
        <w:t>“</w:t>
      </w:r>
      <w:r w:rsidR="007B53DE" w:rsidRPr="007B53DE">
        <w:rPr>
          <w:rFonts w:asciiTheme="majorHAnsi" w:eastAsia="Calibri Light" w:hAnsiTheme="majorHAnsi" w:cstheme="minorHAnsi"/>
          <w:i/>
          <w:iCs/>
          <w:sz w:val="20"/>
          <w:szCs w:val="20"/>
        </w:rPr>
        <w:t>[c]</w:t>
      </w:r>
      <w:proofErr w:type="spellStart"/>
      <w:r w:rsidR="006B2789" w:rsidRPr="007B53DE">
        <w:rPr>
          <w:rFonts w:asciiTheme="majorHAnsi" w:eastAsia="Calibri Light" w:hAnsiTheme="majorHAnsi" w:cstheme="minorHAnsi"/>
          <w:i/>
          <w:iCs/>
          <w:sz w:val="20"/>
          <w:szCs w:val="20"/>
        </w:rPr>
        <w:t>arry</w:t>
      </w:r>
      <w:proofErr w:type="spellEnd"/>
      <w:r w:rsidR="006B2789" w:rsidRPr="007B53DE">
        <w:rPr>
          <w:rFonts w:asciiTheme="majorHAnsi" w:eastAsia="Calibri Light" w:hAnsiTheme="majorHAnsi" w:cstheme="minorHAnsi"/>
          <w:i/>
          <w:iCs/>
          <w:sz w:val="20"/>
          <w:szCs w:val="20"/>
        </w:rPr>
        <w:t xml:space="preserve"> out an impartial and effective investigation in the general jurisdiction with a view to prosecuting and punishing those responsible for the death of </w:t>
      </w:r>
      <w:proofErr w:type="spellStart"/>
      <w:r w:rsidR="006B2789" w:rsidRPr="007B53DE">
        <w:rPr>
          <w:rFonts w:asciiTheme="majorHAnsi" w:eastAsia="Calibri Light" w:hAnsiTheme="majorHAnsi" w:cstheme="minorHAnsi"/>
          <w:i/>
          <w:iCs/>
          <w:sz w:val="20"/>
          <w:szCs w:val="20"/>
        </w:rPr>
        <w:t>Leydi</w:t>
      </w:r>
      <w:proofErr w:type="spellEnd"/>
      <w:r w:rsidR="006B2789" w:rsidRPr="007B53DE">
        <w:rPr>
          <w:rFonts w:asciiTheme="majorHAnsi" w:eastAsia="Calibri Light" w:hAnsiTheme="majorHAnsi" w:cstheme="minorHAnsi"/>
          <w:i/>
          <w:iCs/>
          <w:sz w:val="20"/>
          <w:szCs w:val="20"/>
        </w:rPr>
        <w:t xml:space="preserve"> </w:t>
      </w:r>
      <w:proofErr w:type="spellStart"/>
      <w:r w:rsidR="006B2789" w:rsidRPr="007B53DE">
        <w:rPr>
          <w:rFonts w:asciiTheme="majorHAnsi" w:eastAsia="Calibri Light" w:hAnsiTheme="majorHAnsi" w:cstheme="minorHAnsi"/>
          <w:i/>
          <w:iCs/>
          <w:sz w:val="20"/>
          <w:szCs w:val="20"/>
        </w:rPr>
        <w:t>Dayán</w:t>
      </w:r>
      <w:proofErr w:type="spellEnd"/>
      <w:r w:rsidR="006B2789" w:rsidRPr="007B53DE">
        <w:rPr>
          <w:rFonts w:asciiTheme="majorHAnsi" w:eastAsia="Calibri Light" w:hAnsiTheme="majorHAnsi" w:cstheme="minorHAnsi"/>
          <w:i/>
          <w:iCs/>
          <w:sz w:val="20"/>
          <w:szCs w:val="20"/>
        </w:rPr>
        <w:t xml:space="preserve"> Sánchez Tamayo</w:t>
      </w:r>
      <w:r w:rsidR="000D2267" w:rsidRPr="007B53DE">
        <w:rPr>
          <w:rFonts w:asciiTheme="majorHAnsi" w:eastAsia="Calibri Light" w:hAnsiTheme="majorHAnsi" w:cstheme="minorHAnsi"/>
          <w:i/>
          <w:iCs/>
          <w:sz w:val="20"/>
          <w:szCs w:val="20"/>
        </w:rPr>
        <w:t>”</w:t>
      </w:r>
      <w:r w:rsidR="000D2267" w:rsidRPr="00E6497D">
        <w:rPr>
          <w:rFonts w:asciiTheme="majorHAnsi" w:eastAsia="Calibri Light" w:hAnsiTheme="majorHAnsi" w:cstheme="minorHAnsi"/>
          <w:sz w:val="20"/>
          <w:szCs w:val="20"/>
        </w:rPr>
        <w:t>;</w:t>
      </w:r>
      <w:r w:rsidR="006B2789" w:rsidRPr="00E6497D">
        <w:rPr>
          <w:rStyle w:val="FootnoteReference"/>
          <w:rFonts w:asciiTheme="majorHAnsi" w:eastAsia="Calibri Light" w:hAnsiTheme="majorHAnsi"/>
          <w:sz w:val="20"/>
          <w:szCs w:val="20"/>
        </w:rPr>
        <w:t xml:space="preserve"> </w:t>
      </w:r>
      <w:r w:rsidR="006B2789" w:rsidRPr="00E6497D">
        <w:rPr>
          <w:rStyle w:val="FootnoteReference"/>
          <w:rFonts w:asciiTheme="majorHAnsi" w:eastAsia="Calibri Light" w:hAnsiTheme="majorHAnsi"/>
          <w:sz w:val="20"/>
          <w:szCs w:val="20"/>
          <w:lang w:val="es-ES"/>
        </w:rPr>
        <w:footnoteReference w:id="16"/>
      </w:r>
      <w:r w:rsidR="000D2267" w:rsidRPr="00E6497D">
        <w:rPr>
          <w:rFonts w:asciiTheme="majorHAnsi" w:eastAsia="Calibri Light" w:hAnsiTheme="majorHAnsi" w:cstheme="minorHAnsi"/>
          <w:sz w:val="20"/>
          <w:szCs w:val="20"/>
        </w:rPr>
        <w:t xml:space="preserve"> and in the case of Rafael Cuesta </w:t>
      </w:r>
      <w:proofErr w:type="spellStart"/>
      <w:r w:rsidR="000D2267" w:rsidRPr="00E6497D">
        <w:rPr>
          <w:rFonts w:asciiTheme="majorHAnsi" w:eastAsia="Calibri Light" w:hAnsiTheme="majorHAnsi" w:cstheme="minorHAnsi"/>
          <w:sz w:val="20"/>
          <w:szCs w:val="20"/>
        </w:rPr>
        <w:t>Caputi</w:t>
      </w:r>
      <w:proofErr w:type="spellEnd"/>
      <w:r w:rsidR="000D2267" w:rsidRPr="00E6497D">
        <w:rPr>
          <w:rFonts w:asciiTheme="majorHAnsi" w:eastAsia="Calibri Light" w:hAnsiTheme="majorHAnsi" w:cstheme="minorHAnsi"/>
          <w:sz w:val="20"/>
          <w:szCs w:val="20"/>
        </w:rPr>
        <w:t xml:space="preserve"> (Ecuador), the IACHR recommended </w:t>
      </w:r>
      <w:r w:rsidR="007B53DE">
        <w:rPr>
          <w:rFonts w:asciiTheme="majorHAnsi" w:eastAsia="Calibri Light" w:hAnsiTheme="majorHAnsi" w:cstheme="minorHAnsi"/>
          <w:sz w:val="20"/>
          <w:szCs w:val="20"/>
        </w:rPr>
        <w:t xml:space="preserve">that </w:t>
      </w:r>
      <w:r w:rsidR="000D2267" w:rsidRPr="00E6497D">
        <w:rPr>
          <w:rFonts w:asciiTheme="majorHAnsi" w:eastAsia="Calibri Light" w:hAnsiTheme="majorHAnsi" w:cstheme="minorHAnsi"/>
          <w:sz w:val="20"/>
          <w:szCs w:val="20"/>
        </w:rPr>
        <w:t xml:space="preserve">the State </w:t>
      </w:r>
      <w:r w:rsidR="000D2267" w:rsidRPr="007B53DE">
        <w:rPr>
          <w:rFonts w:asciiTheme="majorHAnsi" w:eastAsia="Calibri Light" w:hAnsiTheme="majorHAnsi" w:cstheme="minorHAnsi"/>
          <w:i/>
          <w:iCs/>
          <w:sz w:val="20"/>
          <w:szCs w:val="20"/>
        </w:rPr>
        <w:t>"</w:t>
      </w:r>
      <w:r w:rsidR="007B53DE" w:rsidRPr="007B53DE">
        <w:rPr>
          <w:rFonts w:asciiTheme="majorHAnsi" w:eastAsia="Calibri Light" w:hAnsiTheme="majorHAnsi" w:cstheme="minorHAnsi"/>
          <w:i/>
          <w:iCs/>
          <w:sz w:val="20"/>
          <w:szCs w:val="20"/>
        </w:rPr>
        <w:t>[c]</w:t>
      </w:r>
      <w:proofErr w:type="spellStart"/>
      <w:r w:rsidR="006B2789" w:rsidRPr="007B53DE">
        <w:rPr>
          <w:rFonts w:asciiTheme="majorHAnsi" w:eastAsia="Calibri Light" w:hAnsiTheme="majorHAnsi" w:cstheme="minorHAnsi"/>
          <w:i/>
          <w:iCs/>
          <w:sz w:val="20"/>
          <w:szCs w:val="20"/>
        </w:rPr>
        <w:t>arry</w:t>
      </w:r>
      <w:proofErr w:type="spellEnd"/>
      <w:r w:rsidR="006B2789" w:rsidRPr="007B53DE">
        <w:rPr>
          <w:rFonts w:asciiTheme="majorHAnsi" w:eastAsia="Calibri Light" w:hAnsiTheme="majorHAnsi" w:cstheme="minorHAnsi"/>
          <w:i/>
          <w:iCs/>
          <w:sz w:val="20"/>
          <w:szCs w:val="20"/>
        </w:rPr>
        <w:t xml:space="preserve"> out a complete, impartial, and effective investigation into the attack on Rafael Ignacio Cuesta </w:t>
      </w:r>
      <w:proofErr w:type="spellStart"/>
      <w:r w:rsidR="006B2789" w:rsidRPr="007B53DE">
        <w:rPr>
          <w:rFonts w:asciiTheme="majorHAnsi" w:eastAsia="Calibri Light" w:hAnsiTheme="majorHAnsi" w:cstheme="minorHAnsi"/>
          <w:i/>
          <w:iCs/>
          <w:sz w:val="20"/>
          <w:szCs w:val="20"/>
        </w:rPr>
        <w:t>Caputi</w:t>
      </w:r>
      <w:proofErr w:type="spellEnd"/>
      <w:r w:rsidR="000D2267" w:rsidRPr="007B53DE">
        <w:rPr>
          <w:rFonts w:asciiTheme="majorHAnsi" w:eastAsia="Calibri Light" w:hAnsiTheme="majorHAnsi" w:cstheme="minorHAnsi"/>
          <w:i/>
          <w:iCs/>
          <w:sz w:val="20"/>
          <w:szCs w:val="20"/>
        </w:rPr>
        <w:t>"</w:t>
      </w:r>
      <w:r w:rsidR="006B2789" w:rsidRPr="00E6497D">
        <w:rPr>
          <w:rStyle w:val="FootnoteReference"/>
          <w:rFonts w:asciiTheme="majorHAnsi" w:eastAsia="Calibri Light" w:hAnsiTheme="majorHAnsi"/>
          <w:sz w:val="20"/>
          <w:szCs w:val="20"/>
          <w:lang w:val="es-ES"/>
        </w:rPr>
        <w:footnoteReference w:id="17"/>
      </w:r>
      <w:r w:rsidR="006B2789" w:rsidRPr="00E6497D">
        <w:rPr>
          <w:rFonts w:asciiTheme="majorHAnsi" w:eastAsia="Calibri Light" w:hAnsiTheme="majorHAnsi" w:cstheme="minorHAnsi"/>
          <w:sz w:val="20"/>
          <w:szCs w:val="20"/>
        </w:rPr>
        <w:t>.</w:t>
      </w:r>
      <w:r w:rsidR="000D2267" w:rsidRPr="00E6497D">
        <w:rPr>
          <w:rFonts w:asciiTheme="majorHAnsi" w:eastAsia="Calibri Light" w:hAnsiTheme="majorHAnsi" w:cstheme="minorHAnsi"/>
          <w:sz w:val="20"/>
          <w:szCs w:val="20"/>
        </w:rPr>
        <w:t xml:space="preserve"> The IACHR and the Inter-American Court have indicated that the duty to investigate must be carried out </w:t>
      </w:r>
      <w:r w:rsidR="00162E4F" w:rsidRPr="00E6497D">
        <w:rPr>
          <w:rFonts w:asciiTheme="majorHAnsi" w:eastAsia="Calibri Light" w:hAnsiTheme="majorHAnsi" w:cstheme="minorHAnsi"/>
          <w:sz w:val="20"/>
          <w:szCs w:val="20"/>
        </w:rPr>
        <w:t xml:space="preserve">in a serious and diligent manner, not as a </w:t>
      </w:r>
      <w:r w:rsidR="00162E4F" w:rsidRPr="00162E4F">
        <w:rPr>
          <w:rFonts w:asciiTheme="majorHAnsi" w:eastAsia="Calibri Light" w:hAnsiTheme="majorHAnsi" w:cstheme="minorHAnsi"/>
          <w:sz w:val="20"/>
          <w:szCs w:val="20"/>
        </w:rPr>
        <w:t xml:space="preserve">mere formality that is doomed </w:t>
      </w:r>
      <w:r w:rsidR="007B53DE">
        <w:rPr>
          <w:rFonts w:asciiTheme="majorHAnsi" w:eastAsia="Calibri Light" w:hAnsiTheme="majorHAnsi" w:cstheme="minorHAnsi"/>
          <w:sz w:val="20"/>
          <w:szCs w:val="20"/>
        </w:rPr>
        <w:t xml:space="preserve">in advance to </w:t>
      </w:r>
      <w:r w:rsidR="00162E4F" w:rsidRPr="00162E4F">
        <w:rPr>
          <w:rFonts w:asciiTheme="majorHAnsi" w:eastAsia="Calibri Light" w:hAnsiTheme="majorHAnsi" w:cstheme="minorHAnsi"/>
          <w:sz w:val="20"/>
          <w:szCs w:val="20"/>
        </w:rPr>
        <w:t>fail</w:t>
      </w:r>
      <w:r w:rsidR="007B53DE">
        <w:rPr>
          <w:rFonts w:asciiTheme="majorHAnsi" w:eastAsia="Calibri Light" w:hAnsiTheme="majorHAnsi" w:cstheme="minorHAnsi"/>
          <w:sz w:val="20"/>
          <w:szCs w:val="20"/>
        </w:rPr>
        <w:t>,</w:t>
      </w:r>
      <w:r w:rsidR="00162E4F" w:rsidRPr="00162E4F">
        <w:rPr>
          <w:rFonts w:asciiTheme="majorHAnsi" w:eastAsia="Calibri Light" w:hAnsiTheme="majorHAnsi" w:cstheme="minorHAnsi"/>
          <w:sz w:val="20"/>
          <w:szCs w:val="20"/>
        </w:rPr>
        <w:t xml:space="preserve"> and </w:t>
      </w:r>
      <w:r w:rsidR="00162E4F" w:rsidRPr="00E6497D">
        <w:rPr>
          <w:rFonts w:asciiTheme="majorHAnsi" w:eastAsia="Calibri Light" w:hAnsiTheme="majorHAnsi" w:cstheme="minorHAnsi"/>
          <w:sz w:val="20"/>
          <w:szCs w:val="20"/>
        </w:rPr>
        <w:t>that is must b</w:t>
      </w:r>
      <w:r w:rsidR="00162E4F" w:rsidRPr="00162E4F">
        <w:rPr>
          <w:rFonts w:asciiTheme="majorHAnsi" w:eastAsia="Calibri Light" w:hAnsiTheme="majorHAnsi" w:cstheme="minorHAnsi"/>
          <w:sz w:val="20"/>
          <w:szCs w:val="20"/>
        </w:rPr>
        <w:t xml:space="preserve">e undertaken by the State as </w:t>
      </w:r>
      <w:r w:rsidR="00162E4F" w:rsidRPr="00E6497D">
        <w:rPr>
          <w:rFonts w:asciiTheme="majorHAnsi" w:eastAsia="Calibri Light" w:hAnsiTheme="majorHAnsi" w:cstheme="minorHAnsi"/>
          <w:sz w:val="20"/>
          <w:szCs w:val="20"/>
        </w:rPr>
        <w:t xml:space="preserve">the </w:t>
      </w:r>
      <w:r w:rsidR="007B53DE">
        <w:rPr>
          <w:rFonts w:asciiTheme="majorHAnsi" w:eastAsia="Calibri Light" w:hAnsiTheme="majorHAnsi" w:cstheme="minorHAnsi"/>
          <w:sz w:val="20"/>
          <w:szCs w:val="20"/>
        </w:rPr>
        <w:t xml:space="preserve">reasoned </w:t>
      </w:r>
      <w:r w:rsidR="00162E4F" w:rsidRPr="00E6497D">
        <w:rPr>
          <w:rFonts w:asciiTheme="majorHAnsi" w:eastAsia="Calibri Light" w:hAnsiTheme="majorHAnsi" w:cstheme="minorHAnsi"/>
          <w:sz w:val="20"/>
          <w:szCs w:val="20"/>
        </w:rPr>
        <w:t>fulfilment of its</w:t>
      </w:r>
      <w:r w:rsidR="00162E4F" w:rsidRPr="00162E4F">
        <w:rPr>
          <w:rFonts w:asciiTheme="majorHAnsi" w:eastAsia="Calibri Light" w:hAnsiTheme="majorHAnsi" w:cstheme="minorHAnsi"/>
          <w:sz w:val="20"/>
          <w:szCs w:val="20"/>
        </w:rPr>
        <w:t xml:space="preserve"> own legal duty rather than </w:t>
      </w:r>
      <w:r w:rsidR="007B53DE">
        <w:rPr>
          <w:rFonts w:asciiTheme="majorHAnsi" w:eastAsia="Calibri Light" w:hAnsiTheme="majorHAnsi" w:cstheme="minorHAnsi"/>
          <w:sz w:val="20"/>
          <w:szCs w:val="20"/>
        </w:rPr>
        <w:t xml:space="preserve">as </w:t>
      </w:r>
      <w:r w:rsidR="00162E4F" w:rsidRPr="00162E4F">
        <w:rPr>
          <w:rFonts w:asciiTheme="majorHAnsi" w:eastAsia="Calibri Light" w:hAnsiTheme="majorHAnsi" w:cstheme="minorHAnsi"/>
          <w:sz w:val="20"/>
          <w:szCs w:val="20"/>
        </w:rPr>
        <w:t>a mere</w:t>
      </w:r>
      <w:r w:rsidR="00162E4F" w:rsidRPr="00E6497D">
        <w:rPr>
          <w:rFonts w:asciiTheme="majorHAnsi" w:eastAsia="Calibri Light" w:hAnsiTheme="majorHAnsi" w:cstheme="minorHAnsi"/>
          <w:sz w:val="20"/>
          <w:szCs w:val="20"/>
        </w:rPr>
        <w:t xml:space="preserve"> </w:t>
      </w:r>
      <w:r w:rsidR="007B53DE">
        <w:rPr>
          <w:rFonts w:asciiTheme="majorHAnsi" w:eastAsia="Calibri Light" w:hAnsiTheme="majorHAnsi" w:cstheme="minorHAnsi"/>
          <w:sz w:val="20"/>
          <w:szCs w:val="20"/>
        </w:rPr>
        <w:t>management</w:t>
      </w:r>
      <w:r w:rsidR="00162E4F" w:rsidRPr="00162E4F">
        <w:rPr>
          <w:rFonts w:asciiTheme="majorHAnsi" w:eastAsia="Calibri Light" w:hAnsiTheme="majorHAnsi" w:cstheme="minorHAnsi"/>
          <w:sz w:val="20"/>
          <w:szCs w:val="20"/>
        </w:rPr>
        <w:t xml:space="preserve"> of private interests, </w:t>
      </w:r>
      <w:r w:rsidR="007B53DE">
        <w:rPr>
          <w:rFonts w:asciiTheme="majorHAnsi" w:eastAsia="Calibri Light" w:hAnsiTheme="majorHAnsi" w:cstheme="minorHAnsi"/>
          <w:sz w:val="20"/>
          <w:szCs w:val="20"/>
        </w:rPr>
        <w:t xml:space="preserve">or as one that </w:t>
      </w:r>
      <w:r w:rsidR="00162E4F" w:rsidRPr="00162E4F">
        <w:rPr>
          <w:rFonts w:asciiTheme="majorHAnsi" w:eastAsia="Calibri Light" w:hAnsiTheme="majorHAnsi" w:cstheme="minorHAnsi"/>
          <w:sz w:val="20"/>
          <w:szCs w:val="20"/>
        </w:rPr>
        <w:t>depend</w:t>
      </w:r>
      <w:r w:rsidR="007B53DE">
        <w:rPr>
          <w:rFonts w:asciiTheme="majorHAnsi" w:eastAsia="Calibri Light" w:hAnsiTheme="majorHAnsi" w:cstheme="minorHAnsi"/>
          <w:sz w:val="20"/>
          <w:szCs w:val="20"/>
        </w:rPr>
        <w:t>s</w:t>
      </w:r>
      <w:r w:rsidR="00162E4F" w:rsidRPr="00162E4F">
        <w:rPr>
          <w:rFonts w:asciiTheme="majorHAnsi" w:eastAsia="Calibri Light" w:hAnsiTheme="majorHAnsi" w:cstheme="minorHAnsi"/>
          <w:sz w:val="20"/>
          <w:szCs w:val="20"/>
        </w:rPr>
        <w:t xml:space="preserve"> </w:t>
      </w:r>
      <w:r w:rsidR="007B53DE">
        <w:rPr>
          <w:rFonts w:asciiTheme="majorHAnsi" w:eastAsia="Calibri Light" w:hAnsiTheme="majorHAnsi" w:cstheme="minorHAnsi"/>
          <w:sz w:val="20"/>
          <w:szCs w:val="20"/>
        </w:rPr>
        <w:t xml:space="preserve">on </w:t>
      </w:r>
      <w:r w:rsidR="00162E4F" w:rsidRPr="00162E4F">
        <w:rPr>
          <w:rFonts w:asciiTheme="majorHAnsi" w:eastAsia="Calibri Light" w:hAnsiTheme="majorHAnsi" w:cstheme="minorHAnsi"/>
          <w:sz w:val="20"/>
          <w:szCs w:val="20"/>
        </w:rPr>
        <w:t>the procedural initiative of the victim</w:t>
      </w:r>
      <w:r w:rsidR="00162E4F" w:rsidRPr="00E6497D">
        <w:rPr>
          <w:rFonts w:asciiTheme="majorHAnsi" w:eastAsia="Calibri Light" w:hAnsiTheme="majorHAnsi" w:cstheme="minorHAnsi"/>
          <w:sz w:val="20"/>
          <w:szCs w:val="20"/>
        </w:rPr>
        <w:t xml:space="preserve"> </w:t>
      </w:r>
      <w:r w:rsidR="00162E4F" w:rsidRPr="00162E4F">
        <w:rPr>
          <w:rFonts w:asciiTheme="majorHAnsi" w:eastAsia="Calibri Light" w:hAnsiTheme="majorHAnsi" w:cstheme="minorHAnsi"/>
          <w:sz w:val="20"/>
          <w:szCs w:val="20"/>
        </w:rPr>
        <w:t>or the victim’s next of kin</w:t>
      </w:r>
      <w:r w:rsidR="00162E4F" w:rsidRPr="00E6497D">
        <w:rPr>
          <w:rStyle w:val="Reference"/>
          <w:rFonts w:asciiTheme="majorHAnsi" w:eastAsia="Symbol" w:hAnsiTheme="majorHAnsi" w:cstheme="minorHAnsi"/>
        </w:rPr>
        <w:footnoteReference w:id="18"/>
      </w:r>
      <w:r w:rsidR="00162E4F" w:rsidRPr="00162E4F">
        <w:rPr>
          <w:rFonts w:asciiTheme="majorHAnsi" w:eastAsia="Calibri Light" w:hAnsiTheme="majorHAnsi" w:cstheme="minorHAnsi"/>
          <w:sz w:val="20"/>
          <w:szCs w:val="20"/>
        </w:rPr>
        <w:t xml:space="preserve"> or on the contribution of evidence by private parties,</w:t>
      </w:r>
      <w:r w:rsidR="00162E4F" w:rsidRPr="00E6497D">
        <w:rPr>
          <w:rFonts w:asciiTheme="majorHAnsi" w:eastAsia="Calibri Light" w:hAnsiTheme="majorHAnsi" w:cstheme="minorHAnsi"/>
          <w:sz w:val="20"/>
          <w:szCs w:val="20"/>
        </w:rPr>
        <w:t xml:space="preserve"> without an actual quest for truth on the part of the public authorities</w:t>
      </w:r>
      <w:r w:rsidR="00162E4F" w:rsidRPr="00E6497D">
        <w:rPr>
          <w:rFonts w:asciiTheme="majorHAnsi" w:eastAsia="Calibri Light" w:hAnsiTheme="majorHAnsi" w:cstheme="minorHAnsi"/>
          <w:sz w:val="20"/>
          <w:szCs w:val="20"/>
          <w:vertAlign w:val="superscript"/>
          <w:lang w:val="es-ES"/>
        </w:rPr>
        <w:footnoteReference w:id="19"/>
      </w:r>
      <w:r w:rsidR="000D2267" w:rsidRPr="00E6497D">
        <w:rPr>
          <w:rFonts w:asciiTheme="majorHAnsi" w:eastAsia="Calibri Light" w:hAnsiTheme="majorHAnsi" w:cstheme="minorHAnsi"/>
          <w:sz w:val="20"/>
          <w:szCs w:val="20"/>
        </w:rPr>
        <w:t xml:space="preserve">; </w:t>
      </w:r>
      <w:r w:rsidR="00162E4F" w:rsidRPr="00E6497D">
        <w:rPr>
          <w:rFonts w:asciiTheme="majorHAnsi" w:eastAsia="Calibri Light" w:hAnsiTheme="majorHAnsi" w:cstheme="minorHAnsi"/>
          <w:sz w:val="20"/>
          <w:szCs w:val="20"/>
        </w:rPr>
        <w:t>w</w:t>
      </w:r>
      <w:r w:rsidR="000D2267" w:rsidRPr="00E6497D">
        <w:rPr>
          <w:rFonts w:asciiTheme="majorHAnsi" w:eastAsia="Calibri Light" w:hAnsiTheme="majorHAnsi" w:cstheme="minorHAnsi"/>
          <w:sz w:val="20"/>
          <w:szCs w:val="20"/>
        </w:rPr>
        <w:t xml:space="preserve">hile the IACHR, based on Article 1 (1) of the </w:t>
      </w:r>
      <w:r w:rsidR="007B53DE">
        <w:rPr>
          <w:rFonts w:asciiTheme="majorHAnsi" w:eastAsia="Calibri Light" w:hAnsiTheme="majorHAnsi" w:cstheme="minorHAnsi"/>
          <w:sz w:val="20"/>
          <w:szCs w:val="20"/>
        </w:rPr>
        <w:t>American Convention</w:t>
      </w:r>
      <w:r w:rsidR="000D2267" w:rsidRPr="00E6497D">
        <w:rPr>
          <w:rFonts w:asciiTheme="majorHAnsi" w:eastAsia="Calibri Light" w:hAnsiTheme="majorHAnsi" w:cstheme="minorHAnsi"/>
          <w:sz w:val="20"/>
          <w:szCs w:val="20"/>
        </w:rPr>
        <w:t xml:space="preserve">, has explained that </w:t>
      </w:r>
      <w:r w:rsidR="000D2267" w:rsidRPr="007B53DE">
        <w:rPr>
          <w:rFonts w:asciiTheme="majorHAnsi" w:eastAsia="Calibri Light" w:hAnsiTheme="majorHAnsi" w:cstheme="minorHAnsi"/>
          <w:i/>
          <w:iCs/>
          <w:sz w:val="20"/>
          <w:szCs w:val="20"/>
        </w:rPr>
        <w:t>“</w:t>
      </w:r>
      <w:r w:rsidR="00162E4F" w:rsidRPr="007B53DE">
        <w:rPr>
          <w:rFonts w:asciiTheme="majorHAnsi" w:eastAsia="Calibri Light" w:hAnsiTheme="majorHAnsi" w:cstheme="minorHAnsi"/>
          <w:i/>
          <w:iCs/>
          <w:sz w:val="20"/>
          <w:szCs w:val="20"/>
        </w:rPr>
        <w:t>said obligation is not met merely with the formal institution of proceedings in which it is up to the petitioners to supply information to sustain momentum in the proceedings, but should be discharged by the State in a serious manner as a matter of duty</w:t>
      </w:r>
      <w:r w:rsidR="000D2267" w:rsidRPr="007B53DE">
        <w:rPr>
          <w:rFonts w:asciiTheme="majorHAnsi" w:eastAsia="Calibri Light" w:hAnsiTheme="majorHAnsi" w:cstheme="minorHAnsi"/>
          <w:i/>
          <w:iCs/>
          <w:sz w:val="20"/>
          <w:szCs w:val="20"/>
        </w:rPr>
        <w:t>"</w:t>
      </w:r>
      <w:r w:rsidR="00162E4F" w:rsidRPr="00E6497D">
        <w:rPr>
          <w:rFonts w:asciiTheme="majorHAnsi" w:eastAsia="Calibri Light" w:hAnsiTheme="majorHAnsi" w:cstheme="minorHAnsi"/>
          <w:sz w:val="20"/>
          <w:szCs w:val="20"/>
        </w:rPr>
        <w:t>.</w:t>
      </w:r>
      <w:r w:rsidR="007B53DE">
        <w:rPr>
          <w:rStyle w:val="FootnoteReference"/>
          <w:rFonts w:asciiTheme="majorHAnsi" w:eastAsia="Calibri Light" w:hAnsiTheme="majorHAnsi"/>
          <w:sz w:val="20"/>
          <w:szCs w:val="20"/>
        </w:rPr>
        <w:footnoteReference w:id="20"/>
      </w:r>
      <w:r w:rsidR="000D2267" w:rsidRPr="00E6497D">
        <w:rPr>
          <w:rFonts w:asciiTheme="majorHAnsi" w:eastAsia="Calibri Light" w:hAnsiTheme="majorHAnsi" w:cstheme="minorHAnsi"/>
          <w:sz w:val="20"/>
          <w:szCs w:val="20"/>
        </w:rPr>
        <w:t xml:space="preserve"> The Court has also </w:t>
      </w:r>
      <w:r w:rsidR="00D27ED5">
        <w:rPr>
          <w:rFonts w:asciiTheme="majorHAnsi" w:eastAsia="Calibri Light" w:hAnsiTheme="majorHAnsi" w:cstheme="minorHAnsi"/>
          <w:sz w:val="20"/>
          <w:szCs w:val="20"/>
        </w:rPr>
        <w:t>held</w:t>
      </w:r>
      <w:r w:rsidR="000D2267" w:rsidRPr="00E6497D">
        <w:rPr>
          <w:rFonts w:asciiTheme="majorHAnsi" w:eastAsia="Calibri Light" w:hAnsiTheme="majorHAnsi" w:cstheme="minorHAnsi"/>
          <w:sz w:val="20"/>
          <w:szCs w:val="20"/>
        </w:rPr>
        <w:t xml:space="preserve"> that compliance with </w:t>
      </w:r>
      <w:r w:rsidR="00D27ED5">
        <w:rPr>
          <w:rFonts w:asciiTheme="majorHAnsi" w:eastAsia="Calibri Light" w:hAnsiTheme="majorHAnsi" w:cstheme="minorHAnsi"/>
          <w:sz w:val="20"/>
          <w:szCs w:val="20"/>
        </w:rPr>
        <w:t xml:space="preserve">said </w:t>
      </w:r>
      <w:r w:rsidR="000D2267" w:rsidRPr="00E6497D">
        <w:rPr>
          <w:rFonts w:asciiTheme="majorHAnsi" w:eastAsia="Calibri Light" w:hAnsiTheme="majorHAnsi" w:cstheme="minorHAnsi"/>
          <w:sz w:val="20"/>
          <w:szCs w:val="20"/>
        </w:rPr>
        <w:t>obligation is a necessary requirement to avoid impunity.</w:t>
      </w:r>
      <w:r w:rsidR="00162E4F" w:rsidRPr="00E6497D">
        <w:rPr>
          <w:rStyle w:val="Reference"/>
          <w:rFonts w:asciiTheme="majorHAnsi" w:eastAsia="Symbol" w:hAnsiTheme="majorHAnsi" w:cstheme="minorHAnsi"/>
          <w:lang w:val="en-US"/>
        </w:rPr>
        <w:t xml:space="preserve"> </w:t>
      </w:r>
      <w:r w:rsidR="00162E4F" w:rsidRPr="00E6497D">
        <w:rPr>
          <w:rStyle w:val="Reference"/>
          <w:rFonts w:asciiTheme="majorHAnsi" w:eastAsia="Symbol" w:hAnsiTheme="majorHAnsi" w:cstheme="minorHAnsi"/>
        </w:rPr>
        <w:footnoteReference w:id="21"/>
      </w:r>
      <w:r w:rsidR="000D2267" w:rsidRPr="00E6497D">
        <w:rPr>
          <w:rFonts w:asciiTheme="majorHAnsi" w:eastAsia="Calibri Light" w:hAnsiTheme="majorHAnsi" w:cstheme="minorHAnsi"/>
          <w:sz w:val="20"/>
          <w:szCs w:val="20"/>
        </w:rPr>
        <w:t xml:space="preserve"> These obligations remain in force until their full satisfaction </w:t>
      </w:r>
      <w:r w:rsidR="00162E4F" w:rsidRPr="00E6497D">
        <w:rPr>
          <w:rFonts w:asciiTheme="majorHAnsi" w:eastAsia="Calibri Light" w:hAnsiTheme="majorHAnsi" w:cstheme="minorHAnsi"/>
          <w:sz w:val="20"/>
          <w:szCs w:val="20"/>
        </w:rPr>
        <w:t>–</w:t>
      </w:r>
      <w:r w:rsidR="000D2267" w:rsidRPr="00E6497D">
        <w:rPr>
          <w:rFonts w:asciiTheme="majorHAnsi" w:eastAsia="Calibri Light" w:hAnsiTheme="majorHAnsi" w:cstheme="minorHAnsi"/>
          <w:sz w:val="20"/>
          <w:szCs w:val="20"/>
        </w:rPr>
        <w:t xml:space="preserve">that is, despite the passage of time, the duty of investigation and prosecution subsists </w:t>
      </w:r>
      <w:r w:rsidR="00D27ED5">
        <w:rPr>
          <w:rFonts w:asciiTheme="majorHAnsi" w:eastAsia="Calibri Light" w:hAnsiTheme="majorHAnsi" w:cstheme="minorHAnsi"/>
          <w:sz w:val="20"/>
          <w:szCs w:val="20"/>
        </w:rPr>
        <w:t xml:space="preserve">for </w:t>
      </w:r>
      <w:r w:rsidR="000D2267" w:rsidRPr="00E6497D">
        <w:rPr>
          <w:rFonts w:asciiTheme="majorHAnsi" w:eastAsia="Calibri Light" w:hAnsiTheme="majorHAnsi" w:cstheme="minorHAnsi"/>
          <w:sz w:val="20"/>
          <w:szCs w:val="20"/>
        </w:rPr>
        <w:t xml:space="preserve">as long as the objective it seeks </w:t>
      </w:r>
      <w:r w:rsidR="00D27ED5">
        <w:rPr>
          <w:rFonts w:asciiTheme="majorHAnsi" w:eastAsia="Calibri Light" w:hAnsiTheme="majorHAnsi" w:cstheme="minorHAnsi"/>
          <w:sz w:val="20"/>
          <w:szCs w:val="20"/>
        </w:rPr>
        <w:t xml:space="preserve">has </w:t>
      </w:r>
      <w:r w:rsidR="000D2267" w:rsidRPr="00E6497D">
        <w:rPr>
          <w:rFonts w:asciiTheme="majorHAnsi" w:eastAsia="Calibri Light" w:hAnsiTheme="majorHAnsi" w:cstheme="minorHAnsi"/>
          <w:sz w:val="20"/>
          <w:szCs w:val="20"/>
        </w:rPr>
        <w:t xml:space="preserve">not </w:t>
      </w:r>
      <w:r w:rsidR="00D27ED5">
        <w:rPr>
          <w:rFonts w:asciiTheme="majorHAnsi" w:eastAsia="Calibri Light" w:hAnsiTheme="majorHAnsi" w:cstheme="minorHAnsi"/>
          <w:sz w:val="20"/>
          <w:szCs w:val="20"/>
        </w:rPr>
        <w:t xml:space="preserve">been </w:t>
      </w:r>
      <w:r w:rsidR="000D2267" w:rsidRPr="00E6497D">
        <w:rPr>
          <w:rFonts w:asciiTheme="majorHAnsi" w:eastAsia="Calibri Light" w:hAnsiTheme="majorHAnsi" w:cstheme="minorHAnsi"/>
          <w:sz w:val="20"/>
          <w:szCs w:val="20"/>
        </w:rPr>
        <w:t xml:space="preserve">achieved, </w:t>
      </w:r>
      <w:r w:rsidR="00D27ED5">
        <w:rPr>
          <w:rFonts w:asciiTheme="majorHAnsi" w:eastAsia="Calibri Light" w:hAnsiTheme="majorHAnsi" w:cstheme="minorHAnsi"/>
          <w:sz w:val="20"/>
          <w:szCs w:val="20"/>
        </w:rPr>
        <w:t>namely</w:t>
      </w:r>
      <w:r w:rsidR="000D2267" w:rsidRPr="00E6497D">
        <w:rPr>
          <w:rFonts w:asciiTheme="majorHAnsi" w:eastAsia="Calibri Light" w:hAnsiTheme="majorHAnsi" w:cstheme="minorHAnsi"/>
          <w:sz w:val="20"/>
          <w:szCs w:val="20"/>
        </w:rPr>
        <w:t xml:space="preserve">, full knowledge of the facts, the identification of all </w:t>
      </w:r>
      <w:r w:rsidR="00D27ED5">
        <w:rPr>
          <w:rFonts w:asciiTheme="majorHAnsi" w:eastAsia="Calibri Light" w:hAnsiTheme="majorHAnsi" w:cstheme="minorHAnsi"/>
          <w:sz w:val="20"/>
          <w:szCs w:val="20"/>
        </w:rPr>
        <w:t xml:space="preserve">of </w:t>
      </w:r>
      <w:r w:rsidR="000D2267" w:rsidRPr="00E6497D">
        <w:rPr>
          <w:rFonts w:asciiTheme="majorHAnsi" w:eastAsia="Calibri Light" w:hAnsiTheme="majorHAnsi" w:cstheme="minorHAnsi"/>
          <w:sz w:val="20"/>
          <w:szCs w:val="20"/>
        </w:rPr>
        <w:t xml:space="preserve">its authors, and the imposition of the corresponding </w:t>
      </w:r>
      <w:r w:rsidR="00162E4F" w:rsidRPr="00E6497D">
        <w:rPr>
          <w:rFonts w:asciiTheme="majorHAnsi" w:eastAsia="Calibri Light" w:hAnsiTheme="majorHAnsi" w:cstheme="minorHAnsi"/>
          <w:sz w:val="20"/>
          <w:szCs w:val="20"/>
        </w:rPr>
        <w:t>punishment</w:t>
      </w:r>
      <w:r w:rsidR="000D2267" w:rsidRPr="00E6497D">
        <w:rPr>
          <w:rFonts w:asciiTheme="majorHAnsi" w:eastAsia="Calibri Light" w:hAnsiTheme="majorHAnsi" w:cstheme="minorHAnsi"/>
          <w:sz w:val="20"/>
          <w:szCs w:val="20"/>
        </w:rPr>
        <w:t>–;</w:t>
      </w:r>
      <w:r w:rsidR="00162E4F" w:rsidRPr="00E6497D">
        <w:rPr>
          <w:rStyle w:val="Reference"/>
          <w:rFonts w:asciiTheme="majorHAnsi" w:eastAsia="Symbol" w:hAnsiTheme="majorHAnsi" w:cstheme="minorHAnsi"/>
        </w:rPr>
        <w:footnoteReference w:id="22"/>
      </w:r>
      <w:r w:rsidR="000D2267" w:rsidRPr="00E6497D">
        <w:rPr>
          <w:rFonts w:asciiTheme="majorHAnsi" w:eastAsia="Calibri Light" w:hAnsiTheme="majorHAnsi" w:cstheme="minorHAnsi"/>
          <w:sz w:val="20"/>
          <w:szCs w:val="20"/>
        </w:rPr>
        <w:t xml:space="preserve"> they are </w:t>
      </w:r>
      <w:r w:rsidR="00D27ED5">
        <w:rPr>
          <w:rFonts w:asciiTheme="majorHAnsi" w:eastAsia="Calibri Light" w:hAnsiTheme="majorHAnsi" w:cstheme="minorHAnsi"/>
          <w:sz w:val="20"/>
          <w:szCs w:val="20"/>
        </w:rPr>
        <w:t xml:space="preserve">owed </w:t>
      </w:r>
      <w:r w:rsidR="000D2267" w:rsidRPr="00E6497D">
        <w:rPr>
          <w:rFonts w:asciiTheme="majorHAnsi" w:eastAsia="Calibri Light" w:hAnsiTheme="majorHAnsi" w:cstheme="minorHAnsi"/>
          <w:sz w:val="20"/>
          <w:szCs w:val="20"/>
        </w:rPr>
        <w:t>to the victims;</w:t>
      </w:r>
      <w:r w:rsidR="00162E4F" w:rsidRPr="00E6497D">
        <w:rPr>
          <w:rStyle w:val="Reference"/>
          <w:rFonts w:asciiTheme="majorHAnsi" w:eastAsia="Symbol" w:hAnsiTheme="majorHAnsi" w:cstheme="minorHAnsi"/>
        </w:rPr>
        <w:footnoteReference w:id="23"/>
      </w:r>
      <w:r w:rsidR="000D2267" w:rsidRPr="00E6497D">
        <w:rPr>
          <w:rFonts w:asciiTheme="majorHAnsi" w:eastAsia="Calibri Light" w:hAnsiTheme="majorHAnsi" w:cstheme="minorHAnsi"/>
          <w:sz w:val="20"/>
          <w:szCs w:val="20"/>
        </w:rPr>
        <w:t xml:space="preserve"> and </w:t>
      </w:r>
      <w:r w:rsidR="00D27ED5">
        <w:rPr>
          <w:rFonts w:asciiTheme="majorHAnsi" w:eastAsia="Calibri Light" w:hAnsiTheme="majorHAnsi" w:cstheme="minorHAnsi"/>
          <w:sz w:val="20"/>
          <w:szCs w:val="20"/>
        </w:rPr>
        <w:t xml:space="preserve">they </w:t>
      </w:r>
      <w:r w:rsidR="00162E4F" w:rsidRPr="00E6497D">
        <w:rPr>
          <w:rFonts w:asciiTheme="majorHAnsi" w:eastAsia="Calibri Light" w:hAnsiTheme="majorHAnsi" w:cstheme="minorHAnsi"/>
          <w:sz w:val="20"/>
          <w:szCs w:val="20"/>
        </w:rPr>
        <w:t xml:space="preserve">are applicable regardless of whether </w:t>
      </w:r>
      <w:r w:rsidR="000D2267" w:rsidRPr="00E6497D">
        <w:rPr>
          <w:rFonts w:asciiTheme="majorHAnsi" w:eastAsia="Calibri Light" w:hAnsiTheme="majorHAnsi" w:cstheme="minorHAnsi"/>
          <w:sz w:val="20"/>
          <w:szCs w:val="20"/>
        </w:rPr>
        <w:t xml:space="preserve">those responsible for the violations are </w:t>
      </w:r>
      <w:r w:rsidR="00162E4F" w:rsidRPr="00E6497D">
        <w:rPr>
          <w:rFonts w:asciiTheme="majorHAnsi" w:eastAsia="Calibri Light" w:hAnsiTheme="majorHAnsi" w:cstheme="minorHAnsi"/>
          <w:sz w:val="20"/>
          <w:szCs w:val="20"/>
        </w:rPr>
        <w:t>public officials</w:t>
      </w:r>
      <w:r w:rsidR="000D2267" w:rsidRPr="00E6497D">
        <w:rPr>
          <w:rFonts w:asciiTheme="majorHAnsi" w:eastAsia="Calibri Light" w:hAnsiTheme="majorHAnsi" w:cstheme="minorHAnsi"/>
          <w:sz w:val="20"/>
          <w:szCs w:val="20"/>
        </w:rPr>
        <w:t>, private individuals, or groups.</w:t>
      </w:r>
      <w:r w:rsidR="00162E4F" w:rsidRPr="00E6497D">
        <w:rPr>
          <w:rStyle w:val="Reference"/>
          <w:rFonts w:asciiTheme="majorHAnsi" w:eastAsia="Symbol" w:hAnsiTheme="majorHAnsi" w:cstheme="minorHAnsi"/>
        </w:rPr>
        <w:footnoteReference w:id="24"/>
      </w:r>
      <w:r w:rsidR="000D2267" w:rsidRPr="00E6497D">
        <w:rPr>
          <w:rFonts w:asciiTheme="majorHAnsi" w:eastAsia="Calibri Light" w:hAnsiTheme="majorHAnsi" w:cstheme="minorHAnsi"/>
          <w:sz w:val="20"/>
          <w:szCs w:val="20"/>
        </w:rPr>
        <w:t xml:space="preserve"> The obligation to investigate includes all </w:t>
      </w:r>
      <w:r w:rsidR="00D27ED5">
        <w:rPr>
          <w:rFonts w:asciiTheme="majorHAnsi" w:eastAsia="Calibri Light" w:hAnsiTheme="majorHAnsi" w:cstheme="minorHAnsi"/>
          <w:sz w:val="20"/>
          <w:szCs w:val="20"/>
        </w:rPr>
        <w:t xml:space="preserve">of the </w:t>
      </w:r>
      <w:r w:rsidR="000D2267" w:rsidRPr="00E6497D">
        <w:rPr>
          <w:rFonts w:asciiTheme="majorHAnsi" w:eastAsia="Calibri Light" w:hAnsiTheme="majorHAnsi" w:cstheme="minorHAnsi"/>
          <w:sz w:val="20"/>
          <w:szCs w:val="20"/>
        </w:rPr>
        <w:t xml:space="preserve">material and intellectual authors, as well as all possible </w:t>
      </w:r>
      <w:r w:rsidR="00162E4F" w:rsidRPr="00E6497D">
        <w:rPr>
          <w:rFonts w:asciiTheme="majorHAnsi" w:eastAsia="Calibri Light" w:hAnsiTheme="majorHAnsi" w:cstheme="minorHAnsi"/>
          <w:sz w:val="20"/>
          <w:szCs w:val="20"/>
        </w:rPr>
        <w:t>accessories</w:t>
      </w:r>
      <w:r w:rsidR="000D2267" w:rsidRPr="00E6497D">
        <w:rPr>
          <w:rFonts w:asciiTheme="majorHAnsi" w:eastAsia="Calibri Light" w:hAnsiTheme="majorHAnsi" w:cstheme="minorHAnsi"/>
          <w:sz w:val="20"/>
          <w:szCs w:val="20"/>
        </w:rPr>
        <w:t>.</w:t>
      </w:r>
      <w:r w:rsidR="00162E4F" w:rsidRPr="00E6497D">
        <w:rPr>
          <w:rStyle w:val="Reference"/>
          <w:rFonts w:asciiTheme="majorHAnsi" w:eastAsia="Symbol" w:hAnsiTheme="majorHAnsi" w:cstheme="minorHAnsi"/>
        </w:rPr>
        <w:footnoteReference w:id="25"/>
      </w:r>
      <w:r w:rsidR="000D2267" w:rsidRPr="00E6497D">
        <w:rPr>
          <w:rFonts w:asciiTheme="majorHAnsi" w:eastAsia="Calibri Light" w:hAnsiTheme="majorHAnsi" w:cstheme="minorHAnsi"/>
          <w:sz w:val="20"/>
          <w:szCs w:val="20"/>
        </w:rPr>
        <w:t xml:space="preserve"> In the respective proce</w:t>
      </w:r>
      <w:r w:rsidR="00162E4F" w:rsidRPr="00E6497D">
        <w:rPr>
          <w:rFonts w:asciiTheme="majorHAnsi" w:eastAsia="Calibri Light" w:hAnsiTheme="majorHAnsi" w:cstheme="minorHAnsi"/>
          <w:sz w:val="20"/>
          <w:szCs w:val="20"/>
        </w:rPr>
        <w:t>edings</w:t>
      </w:r>
      <w:r w:rsidR="000D2267" w:rsidRPr="00E6497D">
        <w:rPr>
          <w:rFonts w:asciiTheme="majorHAnsi" w:eastAsia="Calibri Light" w:hAnsiTheme="majorHAnsi" w:cstheme="minorHAnsi"/>
          <w:sz w:val="20"/>
          <w:szCs w:val="20"/>
        </w:rPr>
        <w:t>, the victims or their next of kin must have full access and capacity to act in all stages and instances</w:t>
      </w:r>
      <w:r w:rsidR="00162E4F" w:rsidRPr="00E6497D">
        <w:rPr>
          <w:rFonts w:asciiTheme="majorHAnsi" w:eastAsia="Calibri Light" w:hAnsiTheme="majorHAnsi" w:cstheme="minorHAnsi"/>
          <w:sz w:val="20"/>
          <w:szCs w:val="20"/>
        </w:rPr>
        <w:t>,</w:t>
      </w:r>
      <w:r w:rsidR="00162E4F" w:rsidRPr="00E6497D">
        <w:rPr>
          <w:rStyle w:val="Reference"/>
          <w:rFonts w:asciiTheme="majorHAnsi" w:eastAsia="Symbol" w:hAnsiTheme="majorHAnsi" w:cstheme="minorHAnsi"/>
        </w:rPr>
        <w:footnoteReference w:id="26"/>
      </w:r>
      <w:r w:rsidR="000D2267" w:rsidRPr="00E6497D">
        <w:rPr>
          <w:rFonts w:asciiTheme="majorHAnsi" w:eastAsia="Calibri Light" w:hAnsiTheme="majorHAnsi" w:cstheme="minorHAnsi"/>
          <w:sz w:val="20"/>
          <w:szCs w:val="20"/>
        </w:rPr>
        <w:t xml:space="preserve"> and the State must refrain from resorting to or applying figures such as amnesty and </w:t>
      </w:r>
      <w:r w:rsidR="00162E4F" w:rsidRPr="00E6497D">
        <w:rPr>
          <w:rFonts w:asciiTheme="majorHAnsi" w:eastAsia="Calibri Light" w:hAnsiTheme="majorHAnsi" w:cstheme="minorHAnsi"/>
          <w:sz w:val="20"/>
          <w:szCs w:val="20"/>
        </w:rPr>
        <w:t>statutes of limitation</w:t>
      </w:r>
      <w:r w:rsidR="000D2267" w:rsidRPr="00E6497D">
        <w:rPr>
          <w:rFonts w:asciiTheme="majorHAnsi" w:eastAsia="Calibri Light" w:hAnsiTheme="majorHAnsi" w:cstheme="minorHAnsi"/>
          <w:sz w:val="20"/>
          <w:szCs w:val="20"/>
        </w:rPr>
        <w:t xml:space="preserve">, or the establishment </w:t>
      </w:r>
      <w:r w:rsidR="00162E4F" w:rsidRPr="00E6497D">
        <w:rPr>
          <w:rFonts w:asciiTheme="majorHAnsi" w:eastAsia="Calibri Light" w:hAnsiTheme="majorHAnsi" w:cstheme="minorHAnsi"/>
          <w:sz w:val="20"/>
          <w:szCs w:val="20"/>
        </w:rPr>
        <w:t xml:space="preserve">of measures </w:t>
      </w:r>
      <w:r w:rsidR="00D27ED5">
        <w:rPr>
          <w:rFonts w:asciiTheme="majorHAnsi" w:eastAsia="Calibri Light" w:hAnsiTheme="majorHAnsi" w:cstheme="minorHAnsi"/>
          <w:sz w:val="20"/>
          <w:szCs w:val="20"/>
        </w:rPr>
        <w:t xml:space="preserve">of exclusion of </w:t>
      </w:r>
      <w:r w:rsidR="00162E4F" w:rsidRPr="00E6497D">
        <w:rPr>
          <w:rFonts w:asciiTheme="majorHAnsi" w:eastAsia="Calibri Light" w:hAnsiTheme="majorHAnsi" w:cstheme="minorHAnsi"/>
          <w:sz w:val="20"/>
          <w:szCs w:val="20"/>
        </w:rPr>
        <w:t>responsibility</w:t>
      </w:r>
      <w:r w:rsidR="000D2267" w:rsidRPr="00E6497D">
        <w:rPr>
          <w:rFonts w:asciiTheme="majorHAnsi" w:eastAsia="Calibri Light" w:hAnsiTheme="majorHAnsi" w:cstheme="minorHAnsi"/>
          <w:sz w:val="20"/>
          <w:szCs w:val="20"/>
        </w:rPr>
        <w:t>.</w:t>
      </w:r>
      <w:r w:rsidR="00162E4F" w:rsidRPr="00E6497D">
        <w:rPr>
          <w:rStyle w:val="Reference"/>
          <w:rFonts w:asciiTheme="majorHAnsi" w:eastAsia="Symbol" w:hAnsiTheme="majorHAnsi" w:cstheme="minorHAnsi"/>
        </w:rPr>
        <w:footnoteReference w:id="27"/>
      </w:r>
      <w:r w:rsidR="000D2267" w:rsidRPr="00E6497D">
        <w:rPr>
          <w:rFonts w:asciiTheme="majorHAnsi" w:eastAsia="Calibri Light" w:hAnsiTheme="majorHAnsi" w:cstheme="minorHAnsi"/>
          <w:sz w:val="20"/>
          <w:szCs w:val="20"/>
        </w:rPr>
        <w:t xml:space="preserve"> The IACHR also customarily provides that multidimensional measures be adopted in matters of justice at different complementary levels, not only in the sense of carrying out the investigation and prosecution of specific cases, but also of adopting measures against the officials who caused a situation of impunity, and </w:t>
      </w:r>
      <w:r w:rsidR="00D27ED5">
        <w:rPr>
          <w:rFonts w:asciiTheme="majorHAnsi" w:eastAsia="Calibri Light" w:hAnsiTheme="majorHAnsi" w:cstheme="minorHAnsi"/>
          <w:sz w:val="20"/>
          <w:szCs w:val="20"/>
        </w:rPr>
        <w:t xml:space="preserve">of </w:t>
      </w:r>
      <w:r w:rsidR="000D2267" w:rsidRPr="00E6497D">
        <w:rPr>
          <w:rFonts w:asciiTheme="majorHAnsi" w:eastAsia="Calibri Light" w:hAnsiTheme="majorHAnsi" w:cstheme="minorHAnsi"/>
          <w:sz w:val="20"/>
          <w:szCs w:val="20"/>
        </w:rPr>
        <w:t>strengthen</w:t>
      </w:r>
      <w:r w:rsidR="00D27ED5">
        <w:rPr>
          <w:rFonts w:asciiTheme="majorHAnsi" w:eastAsia="Calibri Light" w:hAnsiTheme="majorHAnsi" w:cstheme="minorHAnsi"/>
          <w:sz w:val="20"/>
          <w:szCs w:val="20"/>
        </w:rPr>
        <w:t>ing</w:t>
      </w:r>
      <w:r w:rsidR="000D2267" w:rsidRPr="00E6497D">
        <w:rPr>
          <w:rFonts w:asciiTheme="majorHAnsi" w:eastAsia="Calibri Light" w:hAnsiTheme="majorHAnsi" w:cstheme="minorHAnsi"/>
          <w:sz w:val="20"/>
          <w:szCs w:val="20"/>
        </w:rPr>
        <w:t xml:space="preserve"> the capacity of the administration of justice </w:t>
      </w:r>
      <w:r w:rsidR="00D27ED5">
        <w:rPr>
          <w:rFonts w:asciiTheme="majorHAnsi" w:eastAsia="Calibri Light" w:hAnsiTheme="majorHAnsi" w:cstheme="minorHAnsi"/>
          <w:sz w:val="20"/>
          <w:szCs w:val="20"/>
        </w:rPr>
        <w:t xml:space="preserve">institutions in order </w:t>
      </w:r>
      <w:r w:rsidR="000D2267" w:rsidRPr="00E6497D">
        <w:rPr>
          <w:rFonts w:asciiTheme="majorHAnsi" w:eastAsia="Calibri Light" w:hAnsiTheme="majorHAnsi" w:cstheme="minorHAnsi"/>
          <w:sz w:val="20"/>
          <w:szCs w:val="20"/>
        </w:rPr>
        <w:t>to avoid such an outcome of impunity in the future</w:t>
      </w:r>
      <w:r w:rsidR="00D27ED5">
        <w:rPr>
          <w:rFonts w:asciiTheme="majorHAnsi" w:eastAsia="Calibri Light" w:hAnsiTheme="majorHAnsi" w:cstheme="minorHAnsi"/>
          <w:sz w:val="20"/>
          <w:szCs w:val="20"/>
        </w:rPr>
        <w:t xml:space="preserve"> –</w:t>
      </w:r>
      <w:r w:rsidR="000D2267" w:rsidRPr="00E6497D">
        <w:rPr>
          <w:rFonts w:asciiTheme="majorHAnsi" w:eastAsia="Calibri Light" w:hAnsiTheme="majorHAnsi" w:cstheme="minorHAnsi"/>
          <w:sz w:val="20"/>
          <w:szCs w:val="20"/>
        </w:rPr>
        <w:t xml:space="preserve"> </w:t>
      </w:r>
      <w:r w:rsidR="00D27ED5">
        <w:rPr>
          <w:rFonts w:asciiTheme="majorHAnsi" w:eastAsia="Calibri Light" w:hAnsiTheme="majorHAnsi" w:cstheme="minorHAnsi"/>
          <w:sz w:val="20"/>
          <w:szCs w:val="20"/>
        </w:rPr>
        <w:t>t</w:t>
      </w:r>
      <w:r w:rsidR="000D2267" w:rsidRPr="00E6497D">
        <w:rPr>
          <w:rFonts w:asciiTheme="majorHAnsi" w:eastAsia="Calibri Light" w:hAnsiTheme="majorHAnsi" w:cstheme="minorHAnsi"/>
          <w:sz w:val="20"/>
          <w:szCs w:val="20"/>
        </w:rPr>
        <w:t>hus</w:t>
      </w:r>
      <w:r w:rsidR="00D27ED5">
        <w:rPr>
          <w:rFonts w:asciiTheme="majorHAnsi" w:eastAsia="Calibri Light" w:hAnsiTheme="majorHAnsi" w:cstheme="minorHAnsi"/>
          <w:sz w:val="20"/>
          <w:szCs w:val="20"/>
        </w:rPr>
        <w:t xml:space="preserve"> </w:t>
      </w:r>
      <w:r w:rsidR="00D27ED5">
        <w:rPr>
          <w:rFonts w:asciiTheme="majorHAnsi" w:eastAsia="Calibri Light" w:hAnsiTheme="majorHAnsi" w:cstheme="minorHAnsi"/>
          <w:sz w:val="20"/>
          <w:szCs w:val="20"/>
        </w:rPr>
        <w:lastRenderedPageBreak/>
        <w:t>combining</w:t>
      </w:r>
      <w:r w:rsidR="000D2267" w:rsidRPr="00E6497D">
        <w:rPr>
          <w:rFonts w:asciiTheme="majorHAnsi" w:eastAsia="Calibri Light" w:hAnsiTheme="majorHAnsi" w:cstheme="minorHAnsi"/>
          <w:sz w:val="20"/>
          <w:szCs w:val="20"/>
        </w:rPr>
        <w:t xml:space="preserve"> individual and structural reparation measures to produce complex remedial configurations in </w:t>
      </w:r>
      <w:r w:rsidR="00D27ED5">
        <w:rPr>
          <w:rFonts w:asciiTheme="majorHAnsi" w:eastAsia="Calibri Light" w:hAnsiTheme="majorHAnsi" w:cstheme="minorHAnsi"/>
          <w:sz w:val="20"/>
          <w:szCs w:val="20"/>
        </w:rPr>
        <w:t xml:space="preserve">the field </w:t>
      </w:r>
      <w:r w:rsidR="000D2267" w:rsidRPr="00E6497D">
        <w:rPr>
          <w:rFonts w:asciiTheme="majorHAnsi" w:eastAsia="Calibri Light" w:hAnsiTheme="majorHAnsi" w:cstheme="minorHAnsi"/>
          <w:sz w:val="20"/>
          <w:szCs w:val="20"/>
        </w:rPr>
        <w:t>of justice</w:t>
      </w:r>
      <w:r w:rsidR="00D27ED5">
        <w:rPr>
          <w:rFonts w:asciiTheme="majorHAnsi" w:eastAsia="Calibri Light" w:hAnsiTheme="majorHAnsi" w:cstheme="minorHAnsi"/>
          <w:sz w:val="20"/>
          <w:szCs w:val="20"/>
        </w:rPr>
        <w:t>,</w:t>
      </w:r>
      <w:r w:rsidR="000D2267" w:rsidRPr="00E6497D">
        <w:rPr>
          <w:rFonts w:asciiTheme="majorHAnsi" w:eastAsia="Calibri Light" w:hAnsiTheme="majorHAnsi" w:cstheme="minorHAnsi"/>
          <w:sz w:val="20"/>
          <w:szCs w:val="20"/>
        </w:rPr>
        <w:t xml:space="preserve"> that restore the victims' rights and prevent the repetition of impunity.</w:t>
      </w:r>
    </w:p>
    <w:p w14:paraId="184CCBB0" w14:textId="77777777" w:rsidR="00A84BEB" w:rsidRPr="006A086B" w:rsidRDefault="00A84BEB" w:rsidP="00A84BE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theme="minorHAnsi"/>
          <w:sz w:val="20"/>
          <w:szCs w:val="20"/>
        </w:rPr>
      </w:pPr>
    </w:p>
    <w:p w14:paraId="3BFF1C82" w14:textId="12872960" w:rsidR="00E6497D" w:rsidRPr="00E6497D" w:rsidRDefault="00A84BEB" w:rsidP="00A84BE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cstheme="minorHAnsi"/>
          <w:sz w:val="20"/>
          <w:szCs w:val="20"/>
        </w:rPr>
      </w:pPr>
      <w:r w:rsidRPr="00E6497D">
        <w:rPr>
          <w:rFonts w:asciiTheme="majorHAnsi" w:hAnsiTheme="majorHAnsi" w:cstheme="minorHAnsi"/>
          <w:sz w:val="20"/>
          <w:szCs w:val="20"/>
        </w:rPr>
        <w:t xml:space="preserve">31. </w:t>
      </w:r>
      <w:r w:rsidRPr="00E6497D">
        <w:rPr>
          <w:rFonts w:asciiTheme="majorHAnsi" w:hAnsiTheme="majorHAnsi" w:cstheme="minorHAnsi"/>
          <w:sz w:val="20"/>
          <w:szCs w:val="20"/>
        </w:rPr>
        <w:tab/>
      </w:r>
      <w:r w:rsidR="00E6497D" w:rsidRPr="00E6497D">
        <w:rPr>
          <w:rFonts w:asciiTheme="majorHAnsi" w:hAnsiTheme="majorHAnsi" w:cstheme="minorHAnsi"/>
          <w:sz w:val="20"/>
          <w:szCs w:val="20"/>
        </w:rPr>
        <w:t xml:space="preserve">Finally, the guarantees of non-repetition are usually </w:t>
      </w:r>
      <w:r w:rsidR="00D27ED5">
        <w:rPr>
          <w:rFonts w:asciiTheme="majorHAnsi" w:hAnsiTheme="majorHAnsi" w:cstheme="minorHAnsi"/>
          <w:sz w:val="20"/>
          <w:szCs w:val="20"/>
        </w:rPr>
        <w:t xml:space="preserve">associated </w:t>
      </w:r>
      <w:r w:rsidR="00E6497D" w:rsidRPr="00E6497D">
        <w:rPr>
          <w:rFonts w:asciiTheme="majorHAnsi" w:hAnsiTheme="majorHAnsi" w:cstheme="minorHAnsi"/>
          <w:sz w:val="20"/>
          <w:szCs w:val="20"/>
        </w:rPr>
        <w:t>to structural situations of human rights violations that have contributed to the victimization of the petitioners in specific cases, and that threaten to continue producing victims if they are not adjusted or remedied by the authorities. The IAHRS has established that it is the obligation of the State, in accordance with the general duty enshrined in Article 1.1 of the American Convention, to adopt all the necessary measures to ensure that human rights violations are not repeated. This duty expresses the general obligation of States to prevent human rights violations, that is, to guarantee their exercise, in light of Articles 1.1 and 2 of the American Convention.</w:t>
      </w:r>
      <w:r w:rsidR="00E6497D" w:rsidRPr="00E6497D">
        <w:rPr>
          <w:rStyle w:val="FootnoteReference"/>
          <w:rFonts w:asciiTheme="majorHAnsi" w:hAnsiTheme="majorHAnsi"/>
          <w:sz w:val="20"/>
          <w:szCs w:val="20"/>
          <w:lang w:val="es-ES"/>
        </w:rPr>
        <w:footnoteReference w:id="28"/>
      </w:r>
      <w:r w:rsidR="00E6497D" w:rsidRPr="00E6497D">
        <w:rPr>
          <w:rFonts w:asciiTheme="majorHAnsi" w:hAnsiTheme="majorHAnsi" w:cstheme="minorHAnsi"/>
          <w:sz w:val="20"/>
          <w:szCs w:val="20"/>
        </w:rPr>
        <w:t xml:space="preserve"> Structural non-repetition measures may include, among many other possibilities, the following types of action: (</w:t>
      </w:r>
      <w:proofErr w:type="spellStart"/>
      <w:r w:rsidR="00E6497D" w:rsidRPr="00E6497D">
        <w:rPr>
          <w:rFonts w:asciiTheme="majorHAnsi" w:hAnsiTheme="majorHAnsi" w:cstheme="minorHAnsi"/>
          <w:sz w:val="20"/>
          <w:szCs w:val="20"/>
        </w:rPr>
        <w:t>i</w:t>
      </w:r>
      <w:proofErr w:type="spellEnd"/>
      <w:r w:rsidR="00E6497D" w:rsidRPr="00E6497D">
        <w:rPr>
          <w:rFonts w:asciiTheme="majorHAnsi" w:hAnsiTheme="majorHAnsi" w:cstheme="minorHAnsi"/>
          <w:sz w:val="20"/>
          <w:szCs w:val="20"/>
        </w:rPr>
        <w:t xml:space="preserve">) the creation or </w:t>
      </w:r>
      <w:r w:rsidR="00D27ED5">
        <w:rPr>
          <w:rFonts w:asciiTheme="majorHAnsi" w:hAnsiTheme="majorHAnsi" w:cstheme="minorHAnsi"/>
          <w:sz w:val="20"/>
          <w:szCs w:val="20"/>
        </w:rPr>
        <w:t xml:space="preserve">adjustment </w:t>
      </w:r>
      <w:r w:rsidR="00E6497D" w:rsidRPr="00E6497D">
        <w:rPr>
          <w:rFonts w:asciiTheme="majorHAnsi" w:hAnsiTheme="majorHAnsi" w:cstheme="minorHAnsi"/>
          <w:sz w:val="20"/>
          <w:szCs w:val="20"/>
        </w:rPr>
        <w:t xml:space="preserve">of public policies, programs or structures; (ii) the adoption or </w:t>
      </w:r>
      <w:r w:rsidR="00D27ED5">
        <w:rPr>
          <w:rFonts w:asciiTheme="majorHAnsi" w:hAnsiTheme="majorHAnsi" w:cstheme="minorHAnsi"/>
          <w:sz w:val="20"/>
          <w:szCs w:val="20"/>
        </w:rPr>
        <w:t xml:space="preserve">adjustment </w:t>
      </w:r>
      <w:r w:rsidR="00E6497D" w:rsidRPr="00E6497D">
        <w:rPr>
          <w:rFonts w:asciiTheme="majorHAnsi" w:hAnsiTheme="majorHAnsi" w:cstheme="minorHAnsi"/>
          <w:sz w:val="20"/>
          <w:szCs w:val="20"/>
        </w:rPr>
        <w:t>of legislation and other regulations; (iii) institutional strengthening; and (iv) training for public officials and educating society on human rights.</w:t>
      </w:r>
    </w:p>
    <w:p w14:paraId="049ACC86" w14:textId="77777777" w:rsidR="00A84BEB" w:rsidRPr="006A086B" w:rsidRDefault="00A84BEB" w:rsidP="00A84BEB">
      <w:pPr>
        <w:autoSpaceDE w:val="0"/>
        <w:autoSpaceDN w:val="0"/>
        <w:adjustRightInd w:val="0"/>
        <w:spacing w:afterLines="40" w:after="96"/>
        <w:ind w:firstLine="720"/>
        <w:jc w:val="both"/>
        <w:rPr>
          <w:rFonts w:asciiTheme="majorHAnsi" w:hAnsiTheme="majorHAnsi"/>
          <w:sz w:val="20"/>
          <w:szCs w:val="20"/>
        </w:rPr>
      </w:pPr>
    </w:p>
    <w:p w14:paraId="650848B9" w14:textId="77777777" w:rsidR="00792898" w:rsidRDefault="00A84BEB" w:rsidP="00792898">
      <w:pPr>
        <w:autoSpaceDE w:val="0"/>
        <w:autoSpaceDN w:val="0"/>
        <w:adjustRightInd w:val="0"/>
        <w:spacing w:afterLines="40" w:after="96"/>
        <w:ind w:firstLine="720"/>
        <w:jc w:val="both"/>
        <w:rPr>
          <w:rFonts w:asciiTheme="majorHAnsi" w:hAnsiTheme="majorHAnsi"/>
          <w:sz w:val="20"/>
          <w:szCs w:val="20"/>
        </w:rPr>
      </w:pPr>
      <w:r w:rsidRPr="00552E7F">
        <w:rPr>
          <w:rFonts w:asciiTheme="majorHAnsi" w:hAnsiTheme="majorHAnsi"/>
          <w:sz w:val="20"/>
          <w:szCs w:val="20"/>
        </w:rPr>
        <w:t xml:space="preserve">32. </w:t>
      </w:r>
      <w:r w:rsidRPr="00552E7F">
        <w:rPr>
          <w:rFonts w:asciiTheme="majorHAnsi" w:hAnsiTheme="majorHAnsi"/>
          <w:sz w:val="20"/>
          <w:szCs w:val="20"/>
        </w:rPr>
        <w:tab/>
      </w:r>
      <w:r w:rsidR="00E6497D" w:rsidRPr="00552E7F">
        <w:rPr>
          <w:rFonts w:asciiTheme="majorHAnsi" w:hAnsiTheme="majorHAnsi"/>
          <w:sz w:val="20"/>
          <w:szCs w:val="20"/>
        </w:rPr>
        <w:t xml:space="preserve">The Commission reiterates that the </w:t>
      </w:r>
      <w:r w:rsidR="00552E7F" w:rsidRPr="00552E7F">
        <w:rPr>
          <w:rFonts w:asciiTheme="majorHAnsi" w:hAnsiTheme="majorHAnsi"/>
          <w:sz w:val="20"/>
          <w:szCs w:val="20"/>
        </w:rPr>
        <w:t xml:space="preserve">evaluation </w:t>
      </w:r>
      <w:r w:rsidR="00D27ED5">
        <w:rPr>
          <w:rFonts w:asciiTheme="majorHAnsi" w:hAnsiTheme="majorHAnsi"/>
          <w:sz w:val="20"/>
          <w:szCs w:val="20"/>
        </w:rPr>
        <w:t xml:space="preserve">criteria applied </w:t>
      </w:r>
      <w:r w:rsidR="00552E7F" w:rsidRPr="00552E7F">
        <w:rPr>
          <w:rFonts w:asciiTheme="majorHAnsi" w:hAnsiTheme="majorHAnsi"/>
          <w:sz w:val="20"/>
          <w:szCs w:val="20"/>
        </w:rPr>
        <w:t xml:space="preserve">during </w:t>
      </w:r>
      <w:r w:rsidR="006A086B">
        <w:rPr>
          <w:rFonts w:asciiTheme="majorHAnsi" w:hAnsiTheme="majorHAnsi"/>
          <w:sz w:val="20"/>
          <w:szCs w:val="20"/>
        </w:rPr>
        <w:t xml:space="preserve">the </w:t>
      </w:r>
      <w:r w:rsidR="00E6497D" w:rsidRPr="00552E7F">
        <w:rPr>
          <w:rFonts w:asciiTheme="majorHAnsi" w:hAnsiTheme="majorHAnsi"/>
          <w:sz w:val="20"/>
          <w:szCs w:val="20"/>
        </w:rPr>
        <w:t xml:space="preserve">admissibility phase differ from </w:t>
      </w:r>
      <w:r w:rsidR="00D27ED5">
        <w:rPr>
          <w:rFonts w:asciiTheme="majorHAnsi" w:hAnsiTheme="majorHAnsi"/>
          <w:sz w:val="20"/>
          <w:szCs w:val="20"/>
        </w:rPr>
        <w:t xml:space="preserve">those </w:t>
      </w:r>
      <w:r w:rsidR="00E6497D" w:rsidRPr="00552E7F">
        <w:rPr>
          <w:rFonts w:asciiTheme="majorHAnsi" w:hAnsiTheme="majorHAnsi"/>
          <w:sz w:val="20"/>
          <w:szCs w:val="20"/>
        </w:rPr>
        <w:t xml:space="preserve">used to rule on the merits of a petition. Under this </w:t>
      </w:r>
      <w:r w:rsidR="00E6497D" w:rsidRPr="00D27ED5">
        <w:rPr>
          <w:rFonts w:asciiTheme="majorHAnsi" w:hAnsiTheme="majorHAnsi"/>
          <w:i/>
          <w:iCs/>
          <w:sz w:val="20"/>
          <w:szCs w:val="20"/>
        </w:rPr>
        <w:t>prima facie</w:t>
      </w:r>
      <w:r w:rsidR="00E6497D" w:rsidRPr="00552E7F">
        <w:rPr>
          <w:rFonts w:asciiTheme="majorHAnsi" w:hAnsiTheme="majorHAnsi"/>
          <w:sz w:val="20"/>
          <w:szCs w:val="20"/>
        </w:rPr>
        <w:t xml:space="preserve"> evaluation criterion, the IACHR considers that the allegations of the </w:t>
      </w:r>
      <w:r w:rsidR="00552E7F" w:rsidRPr="00552E7F">
        <w:rPr>
          <w:rFonts w:asciiTheme="majorHAnsi" w:hAnsiTheme="majorHAnsi"/>
          <w:sz w:val="20"/>
          <w:szCs w:val="20"/>
        </w:rPr>
        <w:t>petitioners</w:t>
      </w:r>
      <w:r w:rsidR="00E6497D" w:rsidRPr="00552E7F">
        <w:rPr>
          <w:rFonts w:asciiTheme="majorHAnsi" w:hAnsiTheme="majorHAnsi"/>
          <w:sz w:val="20"/>
          <w:szCs w:val="20"/>
        </w:rPr>
        <w:t xml:space="preserve"> are not manifestly </w:t>
      </w:r>
      <w:r w:rsidR="00552E7F" w:rsidRPr="00552E7F">
        <w:rPr>
          <w:rFonts w:asciiTheme="majorHAnsi" w:hAnsiTheme="majorHAnsi"/>
          <w:sz w:val="20"/>
          <w:szCs w:val="20"/>
        </w:rPr>
        <w:t>groundless</w:t>
      </w:r>
      <w:r w:rsidR="00E6497D" w:rsidRPr="00552E7F">
        <w:rPr>
          <w:rFonts w:asciiTheme="majorHAnsi" w:hAnsiTheme="majorHAnsi"/>
          <w:sz w:val="20"/>
          <w:szCs w:val="20"/>
        </w:rPr>
        <w:t xml:space="preserve"> and warrant a</w:t>
      </w:r>
      <w:r w:rsidR="00552E7F" w:rsidRPr="00552E7F">
        <w:rPr>
          <w:rFonts w:asciiTheme="majorHAnsi" w:hAnsiTheme="majorHAnsi"/>
          <w:sz w:val="20"/>
          <w:szCs w:val="20"/>
        </w:rPr>
        <w:t xml:space="preserve">n examination of the </w:t>
      </w:r>
      <w:r w:rsidR="00E6497D" w:rsidRPr="00552E7F">
        <w:rPr>
          <w:rFonts w:asciiTheme="majorHAnsi" w:hAnsiTheme="majorHAnsi"/>
          <w:sz w:val="20"/>
          <w:szCs w:val="20"/>
        </w:rPr>
        <w:t xml:space="preserve">merits based on the evidence in the </w:t>
      </w:r>
      <w:r w:rsidR="00D27ED5">
        <w:rPr>
          <w:rFonts w:asciiTheme="majorHAnsi" w:hAnsiTheme="majorHAnsi"/>
          <w:sz w:val="20"/>
          <w:szCs w:val="20"/>
        </w:rPr>
        <w:t>case</w:t>
      </w:r>
      <w:r w:rsidR="00E6497D" w:rsidRPr="00552E7F">
        <w:rPr>
          <w:rFonts w:asciiTheme="majorHAnsi" w:hAnsiTheme="majorHAnsi"/>
          <w:sz w:val="20"/>
          <w:szCs w:val="20"/>
        </w:rPr>
        <w:t xml:space="preserve">file, since they dispute, among others, the argument on the </w:t>
      </w:r>
      <w:r w:rsidR="00D27ED5">
        <w:rPr>
          <w:rFonts w:asciiTheme="majorHAnsi" w:hAnsiTheme="majorHAnsi"/>
          <w:sz w:val="20"/>
          <w:szCs w:val="20"/>
        </w:rPr>
        <w:t xml:space="preserve">comprehensiveness </w:t>
      </w:r>
      <w:r w:rsidR="00E6497D" w:rsidRPr="00552E7F">
        <w:rPr>
          <w:rFonts w:asciiTheme="majorHAnsi" w:hAnsiTheme="majorHAnsi"/>
          <w:sz w:val="20"/>
          <w:szCs w:val="20"/>
        </w:rPr>
        <w:t xml:space="preserve">of the </w:t>
      </w:r>
      <w:r w:rsidR="00552E7F" w:rsidRPr="00552E7F">
        <w:rPr>
          <w:rFonts w:asciiTheme="majorHAnsi" w:hAnsiTheme="majorHAnsi"/>
          <w:sz w:val="20"/>
          <w:szCs w:val="20"/>
        </w:rPr>
        <w:t>reparation</w:t>
      </w:r>
      <w:r w:rsidR="00E6497D" w:rsidRPr="00552E7F">
        <w:rPr>
          <w:rFonts w:asciiTheme="majorHAnsi" w:hAnsiTheme="majorHAnsi"/>
          <w:sz w:val="20"/>
          <w:szCs w:val="20"/>
        </w:rPr>
        <w:t xml:space="preserve"> </w:t>
      </w:r>
      <w:r w:rsidR="00D27ED5">
        <w:rPr>
          <w:rFonts w:asciiTheme="majorHAnsi" w:hAnsiTheme="majorHAnsi"/>
          <w:sz w:val="20"/>
          <w:szCs w:val="20"/>
        </w:rPr>
        <w:t xml:space="preserve">measures </w:t>
      </w:r>
      <w:r w:rsidR="00E6497D" w:rsidRPr="00552E7F">
        <w:rPr>
          <w:rFonts w:asciiTheme="majorHAnsi" w:hAnsiTheme="majorHAnsi"/>
          <w:sz w:val="20"/>
          <w:szCs w:val="20"/>
        </w:rPr>
        <w:t>that the State has adopted in the domestic sphere, and they raise several possible violations of the rights</w:t>
      </w:r>
      <w:r w:rsidR="00E6497D" w:rsidRPr="00E6497D">
        <w:rPr>
          <w:rFonts w:asciiTheme="majorHAnsi" w:hAnsiTheme="majorHAnsi"/>
          <w:sz w:val="20"/>
          <w:szCs w:val="20"/>
        </w:rPr>
        <w:t xml:space="preserve"> protected in the American Convention, matters that must be studied and resolved in subsequent phases of th</w:t>
      </w:r>
      <w:r w:rsidR="00D27ED5">
        <w:rPr>
          <w:rFonts w:asciiTheme="majorHAnsi" w:hAnsiTheme="majorHAnsi"/>
          <w:sz w:val="20"/>
          <w:szCs w:val="20"/>
        </w:rPr>
        <w:t>e present</w:t>
      </w:r>
      <w:r w:rsidR="00E6497D" w:rsidRPr="00E6497D">
        <w:rPr>
          <w:rFonts w:asciiTheme="majorHAnsi" w:hAnsiTheme="majorHAnsi"/>
          <w:sz w:val="20"/>
          <w:szCs w:val="20"/>
        </w:rPr>
        <w:t xml:space="preserve"> proceeding</w:t>
      </w:r>
      <w:r w:rsidR="00D27ED5">
        <w:rPr>
          <w:rFonts w:asciiTheme="majorHAnsi" w:hAnsiTheme="majorHAnsi"/>
          <w:sz w:val="20"/>
          <w:szCs w:val="20"/>
        </w:rPr>
        <w:t>s</w:t>
      </w:r>
      <w:r w:rsidR="00E6497D" w:rsidRPr="00E6497D">
        <w:rPr>
          <w:rFonts w:asciiTheme="majorHAnsi" w:hAnsiTheme="majorHAnsi"/>
          <w:sz w:val="20"/>
          <w:szCs w:val="20"/>
        </w:rPr>
        <w:t xml:space="preserve">. The Inter-American Commission takes note of the </w:t>
      </w:r>
      <w:r w:rsidR="00792898">
        <w:rPr>
          <w:rFonts w:asciiTheme="majorHAnsi" w:hAnsiTheme="majorHAnsi"/>
          <w:sz w:val="20"/>
          <w:szCs w:val="20"/>
        </w:rPr>
        <w:t>conviction</w:t>
      </w:r>
      <w:r w:rsidR="00E6497D" w:rsidRPr="00E6497D">
        <w:rPr>
          <w:rFonts w:asciiTheme="majorHAnsi" w:hAnsiTheme="majorHAnsi"/>
          <w:sz w:val="20"/>
          <w:szCs w:val="20"/>
        </w:rPr>
        <w:t xml:space="preserve"> imposed on an army officer, as well as </w:t>
      </w:r>
      <w:r w:rsidR="00792898">
        <w:rPr>
          <w:rFonts w:asciiTheme="majorHAnsi" w:hAnsiTheme="majorHAnsi"/>
          <w:sz w:val="20"/>
          <w:szCs w:val="20"/>
        </w:rPr>
        <w:t xml:space="preserve">of </w:t>
      </w:r>
      <w:r w:rsidR="00E6497D" w:rsidRPr="00E6497D">
        <w:rPr>
          <w:rFonts w:asciiTheme="majorHAnsi" w:hAnsiTheme="majorHAnsi"/>
          <w:sz w:val="20"/>
          <w:szCs w:val="20"/>
        </w:rPr>
        <w:t xml:space="preserve">the reparation mechanisms that have already been activated at the domestic level, as a consequence of the facts established in </w:t>
      </w:r>
      <w:r w:rsidR="00792898">
        <w:rPr>
          <w:rFonts w:asciiTheme="majorHAnsi" w:hAnsiTheme="majorHAnsi"/>
          <w:sz w:val="20"/>
          <w:szCs w:val="20"/>
        </w:rPr>
        <w:t xml:space="preserve">the present </w:t>
      </w:r>
      <w:r w:rsidR="00E6497D" w:rsidRPr="00E6497D">
        <w:rPr>
          <w:rFonts w:asciiTheme="majorHAnsi" w:hAnsiTheme="majorHAnsi"/>
          <w:sz w:val="20"/>
          <w:szCs w:val="20"/>
        </w:rPr>
        <w:t xml:space="preserve">petition. These actions will effectively </w:t>
      </w:r>
      <w:r w:rsidR="00792898">
        <w:rPr>
          <w:rFonts w:asciiTheme="majorHAnsi" w:hAnsiTheme="majorHAnsi"/>
          <w:sz w:val="20"/>
          <w:szCs w:val="20"/>
        </w:rPr>
        <w:t xml:space="preserve">be </w:t>
      </w:r>
      <w:r w:rsidR="00E6497D" w:rsidRPr="00E6497D">
        <w:rPr>
          <w:rFonts w:asciiTheme="majorHAnsi" w:hAnsiTheme="majorHAnsi"/>
          <w:sz w:val="20"/>
          <w:szCs w:val="20"/>
        </w:rPr>
        <w:t>taken into account by the IACHR as part of its analysis o</w:t>
      </w:r>
      <w:r w:rsidR="00552E7F">
        <w:rPr>
          <w:rFonts w:asciiTheme="majorHAnsi" w:hAnsiTheme="majorHAnsi"/>
          <w:sz w:val="20"/>
          <w:szCs w:val="20"/>
        </w:rPr>
        <w:t xml:space="preserve">n </w:t>
      </w:r>
      <w:r w:rsidR="00E6497D" w:rsidRPr="00E6497D">
        <w:rPr>
          <w:rFonts w:asciiTheme="majorHAnsi" w:hAnsiTheme="majorHAnsi"/>
          <w:sz w:val="20"/>
          <w:szCs w:val="20"/>
        </w:rPr>
        <w:t>the merits of this case.</w:t>
      </w:r>
    </w:p>
    <w:p w14:paraId="2B4E7E9B" w14:textId="77777777" w:rsidR="00792898" w:rsidRDefault="00792898" w:rsidP="00792898">
      <w:pPr>
        <w:autoSpaceDE w:val="0"/>
        <w:autoSpaceDN w:val="0"/>
        <w:adjustRightInd w:val="0"/>
        <w:ind w:firstLine="720"/>
        <w:jc w:val="both"/>
        <w:rPr>
          <w:rFonts w:asciiTheme="majorHAnsi" w:hAnsiTheme="majorHAnsi"/>
          <w:sz w:val="20"/>
          <w:szCs w:val="20"/>
        </w:rPr>
      </w:pPr>
    </w:p>
    <w:p w14:paraId="3BE8AEBD" w14:textId="17591F0D" w:rsidR="00B54173" w:rsidRPr="001B47CB" w:rsidRDefault="00B54173" w:rsidP="00792898">
      <w:pPr>
        <w:autoSpaceDE w:val="0"/>
        <w:autoSpaceDN w:val="0"/>
        <w:adjustRightInd w:val="0"/>
        <w:ind w:firstLine="720"/>
        <w:jc w:val="both"/>
        <w:rPr>
          <w:rFonts w:asciiTheme="majorHAnsi" w:hAnsiTheme="majorHAnsi"/>
          <w:b/>
          <w:bCs/>
          <w:sz w:val="20"/>
          <w:szCs w:val="20"/>
        </w:rPr>
      </w:pPr>
      <w:r w:rsidRPr="001B47CB">
        <w:rPr>
          <w:rFonts w:asciiTheme="majorHAnsi" w:hAnsiTheme="majorHAnsi"/>
          <w:b/>
          <w:bCs/>
          <w:sz w:val="20"/>
          <w:szCs w:val="20"/>
        </w:rPr>
        <w:t xml:space="preserve">VIII. </w:t>
      </w:r>
      <w:r w:rsidRPr="001B47CB">
        <w:rPr>
          <w:rFonts w:asciiTheme="majorHAnsi" w:hAnsiTheme="majorHAnsi"/>
          <w:b/>
          <w:bCs/>
          <w:sz w:val="20"/>
          <w:szCs w:val="20"/>
        </w:rPr>
        <w:tab/>
        <w:t>DECISION</w:t>
      </w:r>
    </w:p>
    <w:p w14:paraId="5108FCC1" w14:textId="77777777" w:rsidR="00792898" w:rsidRPr="00792898" w:rsidRDefault="00792898" w:rsidP="00792898">
      <w:pPr>
        <w:autoSpaceDE w:val="0"/>
        <w:autoSpaceDN w:val="0"/>
        <w:adjustRightInd w:val="0"/>
        <w:ind w:firstLine="720"/>
        <w:jc w:val="both"/>
        <w:rPr>
          <w:rFonts w:asciiTheme="majorHAnsi" w:hAnsiTheme="majorHAnsi"/>
          <w:sz w:val="20"/>
          <w:szCs w:val="20"/>
          <w:highlight w:val="yellow"/>
        </w:rPr>
      </w:pPr>
    </w:p>
    <w:p w14:paraId="1BEE92A3" w14:textId="56C08BEA" w:rsidR="004D6A1A" w:rsidRDefault="00792898" w:rsidP="001B47CB">
      <w:pPr>
        <w:tabs>
          <w:tab w:val="left" w:pos="1440"/>
          <w:tab w:val="left" w:pos="2820"/>
        </w:tabs>
        <w:suppressAutoHyphens/>
        <w:jc w:val="both"/>
        <w:rPr>
          <w:rFonts w:asciiTheme="majorHAnsi" w:hAnsiTheme="majorHAnsi"/>
          <w:sz w:val="20"/>
          <w:szCs w:val="20"/>
        </w:rPr>
      </w:pPr>
      <w:r>
        <w:rPr>
          <w:rFonts w:asciiTheme="majorHAnsi" w:hAnsiTheme="majorHAnsi"/>
          <w:sz w:val="20"/>
          <w:szCs w:val="20"/>
        </w:rPr>
        <w:t xml:space="preserve">             1. </w:t>
      </w:r>
      <w:r w:rsidR="001B47CB">
        <w:rPr>
          <w:rFonts w:asciiTheme="majorHAnsi" w:hAnsiTheme="majorHAnsi"/>
          <w:sz w:val="20"/>
          <w:szCs w:val="20"/>
        </w:rPr>
        <w:tab/>
      </w:r>
      <w:r w:rsidR="00883B42" w:rsidRPr="00792898">
        <w:rPr>
          <w:rFonts w:asciiTheme="majorHAnsi" w:hAnsiTheme="majorHAnsi"/>
          <w:sz w:val="20"/>
          <w:szCs w:val="20"/>
        </w:rPr>
        <w:t>To declare the present petition admissible in relation to Articles 4, 5, 8, 11, 22, 25 and 26 of the American Convention, in connection with Articles 1 (1) and 2</w:t>
      </w:r>
      <w:r>
        <w:rPr>
          <w:rFonts w:asciiTheme="majorHAnsi" w:hAnsiTheme="majorHAnsi"/>
          <w:sz w:val="20"/>
          <w:szCs w:val="20"/>
        </w:rPr>
        <w:t xml:space="preserve"> thereof</w:t>
      </w:r>
      <w:r w:rsidR="00883B42" w:rsidRPr="00792898">
        <w:rPr>
          <w:rFonts w:asciiTheme="majorHAnsi" w:hAnsiTheme="majorHAnsi"/>
          <w:sz w:val="20"/>
          <w:szCs w:val="20"/>
        </w:rPr>
        <w:t>, as well as in relation to Articles 1, 6 and 8 of the Inter-American Convention to Prevent and Punish Torture; and</w:t>
      </w:r>
    </w:p>
    <w:p w14:paraId="7B82830D" w14:textId="77777777" w:rsidR="00792898" w:rsidRPr="00792898" w:rsidRDefault="00792898" w:rsidP="00792898">
      <w:pPr>
        <w:tabs>
          <w:tab w:val="left" w:pos="2820"/>
        </w:tabs>
        <w:suppressAutoHyphens/>
        <w:rPr>
          <w:rFonts w:asciiTheme="majorHAnsi" w:hAnsiTheme="majorHAnsi"/>
          <w:sz w:val="20"/>
          <w:szCs w:val="20"/>
        </w:rPr>
      </w:pPr>
    </w:p>
    <w:p w14:paraId="0FF32AD7" w14:textId="5CC6EEB5" w:rsidR="00883B42" w:rsidRDefault="00792898" w:rsidP="001B47CB">
      <w:pPr>
        <w:tabs>
          <w:tab w:val="left" w:pos="1440"/>
          <w:tab w:val="left" w:pos="2820"/>
        </w:tabs>
        <w:suppressAutoHyphens/>
        <w:jc w:val="both"/>
        <w:rPr>
          <w:rFonts w:asciiTheme="majorHAnsi" w:hAnsiTheme="majorHAnsi"/>
          <w:sz w:val="20"/>
          <w:szCs w:val="20"/>
        </w:rPr>
      </w:pPr>
      <w:r>
        <w:rPr>
          <w:rFonts w:asciiTheme="majorHAnsi" w:hAnsiTheme="majorHAnsi"/>
          <w:sz w:val="20"/>
          <w:szCs w:val="20"/>
        </w:rPr>
        <w:t xml:space="preserve">             2. </w:t>
      </w:r>
      <w:r w:rsidR="001B47CB">
        <w:rPr>
          <w:rFonts w:asciiTheme="majorHAnsi" w:hAnsiTheme="majorHAnsi"/>
          <w:sz w:val="20"/>
          <w:szCs w:val="20"/>
        </w:rPr>
        <w:tab/>
      </w:r>
      <w:r>
        <w:rPr>
          <w:rFonts w:asciiTheme="majorHAnsi" w:hAnsiTheme="majorHAnsi"/>
          <w:sz w:val="20"/>
          <w:szCs w:val="20"/>
        </w:rPr>
        <w:t>To n</w:t>
      </w:r>
      <w:r w:rsidR="00883B42" w:rsidRPr="00792898">
        <w:rPr>
          <w:rFonts w:asciiTheme="majorHAnsi" w:hAnsiTheme="majorHAnsi"/>
          <w:sz w:val="20"/>
          <w:szCs w:val="20"/>
        </w:rPr>
        <w:t>otify the parties of this decision; continue with the analysis of the merits of the matter; and publish this decision and include it in its Annual Report to the General Assembly of the Organization of American States.</w:t>
      </w:r>
    </w:p>
    <w:p w14:paraId="33C47B02" w14:textId="77777777" w:rsidR="001B47CB" w:rsidRDefault="001B47CB" w:rsidP="001B47CB">
      <w:pPr>
        <w:tabs>
          <w:tab w:val="left" w:pos="1440"/>
          <w:tab w:val="left" w:pos="2820"/>
        </w:tabs>
        <w:suppressAutoHyphens/>
        <w:jc w:val="both"/>
        <w:rPr>
          <w:rFonts w:asciiTheme="majorHAnsi" w:hAnsiTheme="majorHAnsi"/>
          <w:sz w:val="20"/>
          <w:szCs w:val="20"/>
        </w:rPr>
      </w:pPr>
    </w:p>
    <w:p w14:paraId="73B10110" w14:textId="71241188" w:rsidR="001B47CB" w:rsidRDefault="001B47CB" w:rsidP="001B47CB">
      <w:pPr>
        <w:suppressAutoHyphens/>
        <w:ind w:firstLine="720"/>
        <w:jc w:val="both"/>
        <w:rPr>
          <w:rFonts w:ascii="Cambria" w:hAnsi="Cambria"/>
          <w:spacing w:val="-2"/>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23</w:t>
      </w:r>
      <w:r>
        <w:rPr>
          <w:rFonts w:ascii="Cambria" w:hAnsi="Cambria"/>
          <w:spacing w:val="-2"/>
          <w:sz w:val="20"/>
          <w:vertAlign w:val="superscript"/>
        </w:rPr>
        <w:t>rd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November, 2020</w:t>
      </w:r>
      <w:r w:rsidRPr="006D25D7">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r w:rsidRPr="008E4C59">
        <w:rPr>
          <w:rFonts w:asciiTheme="majorHAnsi" w:hAnsiTheme="majorHAnsi" w:cs="Arial"/>
          <w:noProof/>
          <w:spacing w:val="-2"/>
          <w:sz w:val="20"/>
          <w:szCs w:val="20"/>
        </w:rPr>
        <w:t>Antonia Urrejola</w:t>
      </w:r>
      <w:r w:rsidRPr="006D25D7">
        <w:rPr>
          <w:rFonts w:ascii="Cambria" w:hAnsi="Cambria"/>
          <w:sz w:val="20"/>
        </w:rPr>
        <w:t xml:space="preserve">, First </w:t>
      </w:r>
      <w:r>
        <w:rPr>
          <w:rFonts w:ascii="Cambria" w:hAnsi="Cambria"/>
          <w:sz w:val="20"/>
        </w:rPr>
        <w:t>Vice-</w:t>
      </w:r>
      <w:r w:rsidRPr="006D25D7">
        <w:rPr>
          <w:rFonts w:ascii="Cambria" w:hAnsi="Cambria"/>
          <w:sz w:val="20"/>
        </w:rPr>
        <w:t xml:space="preserve">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Pr>
          <w:rFonts w:ascii="Cambria" w:hAnsi="Cambria"/>
          <w:sz w:val="20"/>
        </w:rPr>
        <w:t>, Second Vice-</w:t>
      </w:r>
      <w:r w:rsidRPr="006D25D7">
        <w:rPr>
          <w:rFonts w:ascii="Cambria" w:hAnsi="Cambria"/>
          <w:sz w:val="20"/>
        </w:rPr>
        <w:t>President;</w:t>
      </w:r>
      <w:r w:rsidRPr="00F9365E">
        <w:rPr>
          <w:rFonts w:ascii="Cambria" w:hAnsi="Cambria"/>
          <w:sz w:val="20"/>
        </w:rPr>
        <w:t xml:space="preserve"> Margarette May Macaulay,</w:t>
      </w:r>
      <w:r>
        <w:rPr>
          <w:rFonts w:ascii="Cambria" w:hAnsi="Cambria"/>
          <w:sz w:val="20"/>
        </w:rPr>
        <w:t xml:space="preserve"> Esmeralda E. </w:t>
      </w:r>
      <w:proofErr w:type="spellStart"/>
      <w:r>
        <w:rPr>
          <w:rFonts w:ascii="Cambria" w:hAnsi="Cambria"/>
          <w:sz w:val="20"/>
        </w:rPr>
        <w:t>Arosemena</w:t>
      </w:r>
      <w:proofErr w:type="spellEnd"/>
      <w:r>
        <w:rPr>
          <w:rFonts w:ascii="Cambria" w:hAnsi="Cambria"/>
          <w:sz w:val="20"/>
        </w:rPr>
        <w:t xml:space="preserve"> de </w:t>
      </w:r>
      <w:proofErr w:type="spellStart"/>
      <w:r>
        <w:rPr>
          <w:rFonts w:ascii="Cambria" w:hAnsi="Cambria"/>
          <w:sz w:val="20"/>
        </w:rPr>
        <w:t>Troitiño</w:t>
      </w:r>
      <w:proofErr w:type="spellEnd"/>
      <w:r>
        <w:rPr>
          <w:rFonts w:ascii="Cambria" w:hAnsi="Cambria"/>
          <w:sz w:val="20"/>
        </w:rPr>
        <w:t xml:space="preserve">, </w:t>
      </w:r>
      <w:r w:rsidRPr="008E4C59">
        <w:rPr>
          <w:rFonts w:asciiTheme="majorHAnsi" w:hAnsiTheme="majorHAnsi" w:cs="Arial"/>
          <w:noProof/>
          <w:spacing w:val="-2"/>
          <w:sz w:val="20"/>
          <w:szCs w:val="20"/>
        </w:rPr>
        <w:t xml:space="preserve">Julissa Mantilla Falcón, </w:t>
      </w:r>
      <w:r>
        <w:rPr>
          <w:rFonts w:ascii="Cambria" w:hAnsi="Cambria"/>
          <w:sz w:val="20"/>
        </w:rPr>
        <w:t>and</w:t>
      </w:r>
      <w:r w:rsidRPr="006D25D7">
        <w:rPr>
          <w:rFonts w:ascii="Cambria" w:hAnsi="Cambria"/>
          <w:sz w:val="20"/>
        </w:rPr>
        <w:t xml:space="preserve"> </w:t>
      </w:r>
      <w:proofErr w:type="spellStart"/>
      <w:r>
        <w:rPr>
          <w:rFonts w:ascii="Cambria" w:hAnsi="Cambria"/>
          <w:sz w:val="20"/>
        </w:rPr>
        <w:t>Stuardo</w:t>
      </w:r>
      <w:proofErr w:type="spellEnd"/>
      <w:r>
        <w:rPr>
          <w:rFonts w:ascii="Cambria" w:hAnsi="Cambria"/>
          <w:sz w:val="20"/>
        </w:rPr>
        <w:t xml:space="preserve"> </w:t>
      </w:r>
      <w:proofErr w:type="spellStart"/>
      <w:r>
        <w:rPr>
          <w:rFonts w:ascii="Cambria" w:hAnsi="Cambria"/>
          <w:sz w:val="20"/>
        </w:rPr>
        <w:t>Ralón</w:t>
      </w:r>
      <w:proofErr w:type="spellEnd"/>
      <w:r>
        <w:rPr>
          <w:rFonts w:ascii="Cambria" w:hAnsi="Cambria"/>
          <w:sz w:val="20"/>
        </w:rPr>
        <w:t xml:space="preserve"> Orellana, </w:t>
      </w:r>
      <w:r w:rsidRPr="006D25D7">
        <w:rPr>
          <w:rFonts w:ascii="Cambria" w:hAnsi="Cambria"/>
          <w:spacing w:val="-2"/>
          <w:sz w:val="20"/>
        </w:rPr>
        <w:t>Commissioners.</w:t>
      </w:r>
    </w:p>
    <w:p w14:paraId="13AFBDE4" w14:textId="77777777" w:rsidR="001B47CB" w:rsidRPr="00792898" w:rsidRDefault="001B47CB" w:rsidP="001B47CB">
      <w:pPr>
        <w:tabs>
          <w:tab w:val="left" w:pos="1440"/>
          <w:tab w:val="left" w:pos="2820"/>
        </w:tabs>
        <w:suppressAutoHyphens/>
        <w:jc w:val="both"/>
        <w:rPr>
          <w:rFonts w:asciiTheme="majorHAnsi" w:hAnsiTheme="majorHAnsi"/>
          <w:sz w:val="20"/>
          <w:szCs w:val="20"/>
        </w:rPr>
      </w:pPr>
    </w:p>
    <w:sectPr w:rsidR="001B47CB" w:rsidRPr="00792898"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C677" w14:textId="77777777" w:rsidR="00FE1A8D" w:rsidRDefault="00FE1A8D" w:rsidP="00036A8A">
      <w:r>
        <w:separator/>
      </w:r>
    </w:p>
  </w:endnote>
  <w:endnote w:type="continuationSeparator" w:id="0">
    <w:p w14:paraId="1963531B" w14:textId="77777777" w:rsidR="00FE1A8D" w:rsidRDefault="00FE1A8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C81D" w14:textId="77777777" w:rsidR="00E3127A" w:rsidRDefault="00E31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C67C5">
          <w:rPr>
            <w:noProof/>
            <w:sz w:val="16"/>
          </w:rPr>
          <w:t>11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13E4E" w14:textId="77777777" w:rsidR="00FE1A8D" w:rsidRPr="00036A8A" w:rsidRDefault="00FE1A8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67B8D9A" w14:textId="77777777" w:rsidR="00FE1A8D" w:rsidRPr="00036A8A" w:rsidRDefault="00FE1A8D" w:rsidP="00036A8A">
      <w:pPr>
        <w:rPr>
          <w:rFonts w:asciiTheme="majorHAnsi" w:hAnsiTheme="majorHAnsi"/>
          <w:sz w:val="16"/>
          <w:szCs w:val="16"/>
        </w:rPr>
      </w:pPr>
      <w:r w:rsidRPr="00036A8A">
        <w:rPr>
          <w:rFonts w:asciiTheme="majorHAnsi" w:hAnsiTheme="majorHAnsi"/>
          <w:sz w:val="16"/>
          <w:szCs w:val="16"/>
        </w:rPr>
        <w:separator/>
      </w:r>
    </w:p>
    <w:p w14:paraId="6CF40AAF" w14:textId="77777777" w:rsidR="00FE1A8D" w:rsidRPr="00036A8A" w:rsidRDefault="00FE1A8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5FB48C3" w14:textId="77777777" w:rsidR="00FE1A8D" w:rsidRPr="0093441A" w:rsidRDefault="00FE1A8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CEB69D9" w14:textId="4A50E8A5" w:rsidR="00D51F05" w:rsidRPr="008D5990" w:rsidRDefault="00D51F05" w:rsidP="006B4808">
      <w:pPr>
        <w:pStyle w:val="FootnoteText"/>
        <w:ind w:firstLine="720"/>
        <w:jc w:val="both"/>
        <w:rPr>
          <w:rFonts w:asciiTheme="majorHAnsi" w:hAnsiTheme="majorHAnsi"/>
          <w:sz w:val="16"/>
          <w:szCs w:val="16"/>
        </w:rPr>
      </w:pPr>
      <w:r w:rsidRPr="00C47D03">
        <w:rPr>
          <w:rStyle w:val="FootnoteReference"/>
          <w:rFonts w:asciiTheme="majorHAnsi" w:hAnsiTheme="majorHAnsi"/>
          <w:sz w:val="16"/>
          <w:szCs w:val="16"/>
        </w:rPr>
        <w:footnoteRef/>
      </w:r>
      <w:r w:rsidRPr="008D5990">
        <w:rPr>
          <w:rFonts w:asciiTheme="majorHAnsi" w:hAnsiTheme="majorHAnsi"/>
          <w:sz w:val="16"/>
          <w:szCs w:val="16"/>
        </w:rPr>
        <w:t xml:space="preserve">The petitioners in their additional observations identify the following direct relatives of </w:t>
      </w:r>
      <w:proofErr w:type="spellStart"/>
      <w:r w:rsidRPr="008D5990">
        <w:rPr>
          <w:rFonts w:asciiTheme="majorHAnsi" w:hAnsiTheme="majorHAnsi"/>
          <w:sz w:val="16"/>
          <w:szCs w:val="16"/>
        </w:rPr>
        <w:t>Helvir</w:t>
      </w:r>
      <w:proofErr w:type="spellEnd"/>
      <w:r w:rsidRPr="008D5990">
        <w:rPr>
          <w:rFonts w:asciiTheme="majorHAnsi" w:hAnsiTheme="majorHAnsi"/>
          <w:sz w:val="16"/>
          <w:szCs w:val="16"/>
        </w:rPr>
        <w:t xml:space="preserve"> Antonio Torres and Freddy Torres: (1) C</w:t>
      </w:r>
      <w:r w:rsidR="008D5990">
        <w:rPr>
          <w:rFonts w:asciiTheme="majorHAnsi" w:hAnsiTheme="majorHAnsi"/>
          <w:sz w:val="16"/>
          <w:szCs w:val="16"/>
        </w:rPr>
        <w:t>e</w:t>
      </w:r>
      <w:r w:rsidRPr="008D5990">
        <w:rPr>
          <w:rFonts w:asciiTheme="majorHAnsi" w:hAnsiTheme="majorHAnsi"/>
          <w:sz w:val="16"/>
          <w:szCs w:val="16"/>
        </w:rPr>
        <w:t xml:space="preserve">sar Julio Torres </w:t>
      </w:r>
      <w:proofErr w:type="spellStart"/>
      <w:r w:rsidRPr="008D5990">
        <w:rPr>
          <w:rFonts w:asciiTheme="majorHAnsi" w:hAnsiTheme="majorHAnsi"/>
          <w:sz w:val="16"/>
          <w:szCs w:val="16"/>
        </w:rPr>
        <w:t>Torres</w:t>
      </w:r>
      <w:proofErr w:type="spellEnd"/>
      <w:r w:rsidRPr="008D5990">
        <w:rPr>
          <w:rFonts w:asciiTheme="majorHAnsi" w:hAnsiTheme="majorHAnsi"/>
          <w:sz w:val="16"/>
          <w:szCs w:val="16"/>
        </w:rPr>
        <w:t xml:space="preserve">, Freddy's father and </w:t>
      </w:r>
      <w:proofErr w:type="spellStart"/>
      <w:r w:rsidRPr="008D5990">
        <w:rPr>
          <w:rFonts w:asciiTheme="majorHAnsi" w:hAnsiTheme="majorHAnsi"/>
          <w:sz w:val="16"/>
          <w:szCs w:val="16"/>
        </w:rPr>
        <w:t>Helvir</w:t>
      </w:r>
      <w:proofErr w:type="spellEnd"/>
      <w:r w:rsidRPr="008D5990">
        <w:rPr>
          <w:rFonts w:asciiTheme="majorHAnsi" w:hAnsiTheme="majorHAnsi"/>
          <w:sz w:val="16"/>
          <w:szCs w:val="16"/>
        </w:rPr>
        <w:t xml:space="preserve"> Antonio's uncle; (2) </w:t>
      </w:r>
      <w:proofErr w:type="spellStart"/>
      <w:r w:rsidRPr="008D5990">
        <w:rPr>
          <w:rFonts w:asciiTheme="majorHAnsi" w:hAnsiTheme="majorHAnsi"/>
          <w:sz w:val="16"/>
          <w:szCs w:val="16"/>
        </w:rPr>
        <w:t>Jheison</w:t>
      </w:r>
      <w:proofErr w:type="spellEnd"/>
      <w:r w:rsidRPr="008D5990">
        <w:rPr>
          <w:rFonts w:asciiTheme="majorHAnsi" w:hAnsiTheme="majorHAnsi"/>
          <w:sz w:val="16"/>
          <w:szCs w:val="16"/>
        </w:rPr>
        <w:t xml:space="preserve"> Alejandro Torres </w:t>
      </w:r>
      <w:proofErr w:type="spellStart"/>
      <w:r w:rsidRPr="008D5990">
        <w:rPr>
          <w:rFonts w:asciiTheme="majorHAnsi" w:hAnsiTheme="majorHAnsi"/>
          <w:sz w:val="16"/>
          <w:szCs w:val="16"/>
        </w:rPr>
        <w:t>Orjuela</w:t>
      </w:r>
      <w:proofErr w:type="spellEnd"/>
      <w:r w:rsidRPr="008D5990">
        <w:rPr>
          <w:rFonts w:asciiTheme="majorHAnsi" w:hAnsiTheme="majorHAnsi"/>
          <w:sz w:val="16"/>
          <w:szCs w:val="16"/>
        </w:rPr>
        <w:t xml:space="preserve">, son of </w:t>
      </w:r>
      <w:proofErr w:type="spellStart"/>
      <w:r w:rsidRPr="008D5990">
        <w:rPr>
          <w:rFonts w:asciiTheme="majorHAnsi" w:hAnsiTheme="majorHAnsi"/>
          <w:sz w:val="16"/>
          <w:szCs w:val="16"/>
        </w:rPr>
        <w:t>Helvir</w:t>
      </w:r>
      <w:proofErr w:type="spellEnd"/>
      <w:r w:rsidRPr="008D5990">
        <w:rPr>
          <w:rFonts w:asciiTheme="majorHAnsi" w:hAnsiTheme="majorHAnsi"/>
          <w:sz w:val="16"/>
          <w:szCs w:val="16"/>
        </w:rPr>
        <w:t xml:space="preserve"> Antonio; (3) Leni Santiago Torres </w:t>
      </w:r>
      <w:proofErr w:type="spellStart"/>
      <w:r w:rsidRPr="008D5990">
        <w:rPr>
          <w:rFonts w:asciiTheme="majorHAnsi" w:hAnsiTheme="majorHAnsi"/>
          <w:sz w:val="16"/>
          <w:szCs w:val="16"/>
        </w:rPr>
        <w:t>Orjuela</w:t>
      </w:r>
      <w:proofErr w:type="spellEnd"/>
      <w:r w:rsidRPr="008D5990">
        <w:rPr>
          <w:rFonts w:asciiTheme="majorHAnsi" w:hAnsiTheme="majorHAnsi"/>
          <w:sz w:val="16"/>
          <w:szCs w:val="16"/>
        </w:rPr>
        <w:t xml:space="preserve">, son of </w:t>
      </w:r>
      <w:proofErr w:type="spellStart"/>
      <w:r w:rsidRPr="008D5990">
        <w:rPr>
          <w:rFonts w:asciiTheme="majorHAnsi" w:hAnsiTheme="majorHAnsi"/>
          <w:sz w:val="16"/>
          <w:szCs w:val="16"/>
        </w:rPr>
        <w:t>Helvir</w:t>
      </w:r>
      <w:proofErr w:type="spellEnd"/>
      <w:r w:rsidRPr="008D5990">
        <w:rPr>
          <w:rFonts w:asciiTheme="majorHAnsi" w:hAnsiTheme="majorHAnsi"/>
          <w:sz w:val="16"/>
          <w:szCs w:val="16"/>
        </w:rPr>
        <w:t xml:space="preserve"> Antonio; (4) Julio C</w:t>
      </w:r>
      <w:r w:rsidR="008D5990">
        <w:rPr>
          <w:rFonts w:asciiTheme="majorHAnsi" w:hAnsiTheme="majorHAnsi"/>
          <w:sz w:val="16"/>
          <w:szCs w:val="16"/>
        </w:rPr>
        <w:t>e</w:t>
      </w:r>
      <w:r w:rsidRPr="008D5990">
        <w:rPr>
          <w:rFonts w:asciiTheme="majorHAnsi" w:hAnsiTheme="majorHAnsi"/>
          <w:sz w:val="16"/>
          <w:szCs w:val="16"/>
        </w:rPr>
        <w:t xml:space="preserve">sar Torres </w:t>
      </w:r>
      <w:proofErr w:type="spellStart"/>
      <w:r w:rsidRPr="008D5990">
        <w:rPr>
          <w:rFonts w:asciiTheme="majorHAnsi" w:hAnsiTheme="majorHAnsi"/>
          <w:sz w:val="16"/>
          <w:szCs w:val="16"/>
        </w:rPr>
        <w:t>Clavijo</w:t>
      </w:r>
      <w:proofErr w:type="spellEnd"/>
      <w:r w:rsidRPr="008D5990">
        <w:rPr>
          <w:rFonts w:asciiTheme="majorHAnsi" w:hAnsiTheme="majorHAnsi"/>
          <w:sz w:val="16"/>
          <w:szCs w:val="16"/>
        </w:rPr>
        <w:t xml:space="preserve">, </w:t>
      </w:r>
      <w:proofErr w:type="spellStart"/>
      <w:r w:rsidRPr="008D5990">
        <w:rPr>
          <w:rFonts w:asciiTheme="majorHAnsi" w:hAnsiTheme="majorHAnsi"/>
          <w:sz w:val="16"/>
          <w:szCs w:val="16"/>
        </w:rPr>
        <w:t>Helvir</w:t>
      </w:r>
      <w:proofErr w:type="spellEnd"/>
      <w:r w:rsidRPr="008D5990">
        <w:rPr>
          <w:rFonts w:asciiTheme="majorHAnsi" w:hAnsiTheme="majorHAnsi"/>
          <w:sz w:val="16"/>
          <w:szCs w:val="16"/>
        </w:rPr>
        <w:t xml:space="preserve"> Antonio's brother and Freddy's cousin; (5) </w:t>
      </w:r>
      <w:proofErr w:type="spellStart"/>
      <w:r w:rsidRPr="008D5990">
        <w:rPr>
          <w:rFonts w:asciiTheme="majorHAnsi" w:hAnsiTheme="majorHAnsi"/>
          <w:sz w:val="16"/>
          <w:szCs w:val="16"/>
        </w:rPr>
        <w:t>Nohemy</w:t>
      </w:r>
      <w:proofErr w:type="spellEnd"/>
      <w:r w:rsidRPr="008D5990">
        <w:rPr>
          <w:rFonts w:asciiTheme="majorHAnsi" w:hAnsiTheme="majorHAnsi"/>
          <w:sz w:val="16"/>
          <w:szCs w:val="16"/>
        </w:rPr>
        <w:t xml:space="preserve"> Torres </w:t>
      </w:r>
      <w:proofErr w:type="spellStart"/>
      <w:r w:rsidRPr="008D5990">
        <w:rPr>
          <w:rFonts w:asciiTheme="majorHAnsi" w:hAnsiTheme="majorHAnsi"/>
          <w:sz w:val="16"/>
          <w:szCs w:val="16"/>
        </w:rPr>
        <w:t>Clavijo</w:t>
      </w:r>
      <w:proofErr w:type="spellEnd"/>
      <w:r w:rsidRPr="008D5990">
        <w:rPr>
          <w:rFonts w:asciiTheme="majorHAnsi" w:hAnsiTheme="majorHAnsi"/>
          <w:sz w:val="16"/>
          <w:szCs w:val="16"/>
        </w:rPr>
        <w:t xml:space="preserve">, </w:t>
      </w:r>
      <w:proofErr w:type="spellStart"/>
      <w:r w:rsidRPr="008D5990">
        <w:rPr>
          <w:rFonts w:asciiTheme="majorHAnsi" w:hAnsiTheme="majorHAnsi"/>
          <w:sz w:val="16"/>
          <w:szCs w:val="16"/>
        </w:rPr>
        <w:t>Helvir</w:t>
      </w:r>
      <w:proofErr w:type="spellEnd"/>
      <w:r w:rsidRPr="008D5990">
        <w:rPr>
          <w:rFonts w:asciiTheme="majorHAnsi" w:hAnsiTheme="majorHAnsi"/>
          <w:sz w:val="16"/>
          <w:szCs w:val="16"/>
        </w:rPr>
        <w:t xml:space="preserve"> Antonio's sister and Freddy's cousin; (6) Jorge </w:t>
      </w:r>
      <w:proofErr w:type="spellStart"/>
      <w:r w:rsidRPr="008D5990">
        <w:rPr>
          <w:rFonts w:asciiTheme="majorHAnsi" w:hAnsiTheme="majorHAnsi"/>
          <w:sz w:val="16"/>
          <w:szCs w:val="16"/>
        </w:rPr>
        <w:t>Eli</w:t>
      </w:r>
      <w:r w:rsidR="008D5990">
        <w:rPr>
          <w:rFonts w:asciiTheme="majorHAnsi" w:hAnsiTheme="majorHAnsi"/>
          <w:sz w:val="16"/>
          <w:szCs w:val="16"/>
        </w:rPr>
        <w:t>e</w:t>
      </w:r>
      <w:r w:rsidRPr="008D5990">
        <w:rPr>
          <w:rFonts w:asciiTheme="majorHAnsi" w:hAnsiTheme="majorHAnsi"/>
          <w:sz w:val="16"/>
          <w:szCs w:val="16"/>
        </w:rPr>
        <w:t>cer</w:t>
      </w:r>
      <w:proofErr w:type="spellEnd"/>
      <w:r w:rsidRPr="008D5990">
        <w:rPr>
          <w:rFonts w:asciiTheme="majorHAnsi" w:hAnsiTheme="majorHAnsi"/>
          <w:sz w:val="16"/>
          <w:szCs w:val="16"/>
        </w:rPr>
        <w:t xml:space="preserve"> Torres </w:t>
      </w:r>
      <w:proofErr w:type="spellStart"/>
      <w:r w:rsidRPr="008D5990">
        <w:rPr>
          <w:rFonts w:asciiTheme="majorHAnsi" w:hAnsiTheme="majorHAnsi"/>
          <w:sz w:val="16"/>
          <w:szCs w:val="16"/>
        </w:rPr>
        <w:t>Clavijo</w:t>
      </w:r>
      <w:proofErr w:type="spellEnd"/>
      <w:r w:rsidRPr="008D5990">
        <w:rPr>
          <w:rFonts w:asciiTheme="majorHAnsi" w:hAnsiTheme="majorHAnsi"/>
          <w:sz w:val="16"/>
          <w:szCs w:val="16"/>
        </w:rPr>
        <w:t xml:space="preserve">, </w:t>
      </w:r>
      <w:proofErr w:type="spellStart"/>
      <w:r w:rsidRPr="008D5990">
        <w:rPr>
          <w:rFonts w:asciiTheme="majorHAnsi" w:hAnsiTheme="majorHAnsi"/>
          <w:sz w:val="16"/>
          <w:szCs w:val="16"/>
        </w:rPr>
        <w:t>Helvir</w:t>
      </w:r>
      <w:proofErr w:type="spellEnd"/>
      <w:r w:rsidRPr="008D5990">
        <w:rPr>
          <w:rFonts w:asciiTheme="majorHAnsi" w:hAnsiTheme="majorHAnsi"/>
          <w:sz w:val="16"/>
          <w:szCs w:val="16"/>
        </w:rPr>
        <w:t xml:space="preserve"> Antonio's brother and Freddy's cousin; (7) Luis </w:t>
      </w:r>
      <w:proofErr w:type="spellStart"/>
      <w:r w:rsidRPr="008D5990">
        <w:rPr>
          <w:rFonts w:asciiTheme="majorHAnsi" w:hAnsiTheme="majorHAnsi"/>
          <w:sz w:val="16"/>
          <w:szCs w:val="16"/>
        </w:rPr>
        <w:t>Everaldo</w:t>
      </w:r>
      <w:proofErr w:type="spellEnd"/>
      <w:r w:rsidRPr="008D5990">
        <w:rPr>
          <w:rFonts w:asciiTheme="majorHAnsi" w:hAnsiTheme="majorHAnsi"/>
          <w:sz w:val="16"/>
          <w:szCs w:val="16"/>
        </w:rPr>
        <w:t xml:space="preserve"> Torres </w:t>
      </w:r>
      <w:proofErr w:type="spellStart"/>
      <w:r w:rsidRPr="008D5990">
        <w:rPr>
          <w:rFonts w:asciiTheme="majorHAnsi" w:hAnsiTheme="majorHAnsi"/>
          <w:sz w:val="16"/>
          <w:szCs w:val="16"/>
        </w:rPr>
        <w:t>Clavijo</w:t>
      </w:r>
      <w:proofErr w:type="spellEnd"/>
      <w:r w:rsidRPr="008D5990">
        <w:rPr>
          <w:rFonts w:asciiTheme="majorHAnsi" w:hAnsiTheme="majorHAnsi"/>
          <w:sz w:val="16"/>
          <w:szCs w:val="16"/>
        </w:rPr>
        <w:t xml:space="preserve">, </w:t>
      </w:r>
      <w:proofErr w:type="spellStart"/>
      <w:r w:rsidRPr="008D5990">
        <w:rPr>
          <w:rFonts w:asciiTheme="majorHAnsi" w:hAnsiTheme="majorHAnsi"/>
          <w:sz w:val="16"/>
          <w:szCs w:val="16"/>
        </w:rPr>
        <w:t>Helvir</w:t>
      </w:r>
      <w:proofErr w:type="spellEnd"/>
      <w:r w:rsidRPr="008D5990">
        <w:rPr>
          <w:rFonts w:asciiTheme="majorHAnsi" w:hAnsiTheme="majorHAnsi"/>
          <w:sz w:val="16"/>
          <w:szCs w:val="16"/>
        </w:rPr>
        <w:t xml:space="preserve"> Antonio's brother and Freddy's cousin; and (8) </w:t>
      </w:r>
      <w:proofErr w:type="spellStart"/>
      <w:r w:rsidRPr="008D5990">
        <w:rPr>
          <w:rFonts w:asciiTheme="majorHAnsi" w:hAnsiTheme="majorHAnsi"/>
          <w:sz w:val="16"/>
          <w:szCs w:val="16"/>
        </w:rPr>
        <w:t>Francy</w:t>
      </w:r>
      <w:proofErr w:type="spellEnd"/>
      <w:r w:rsidRPr="008D5990">
        <w:rPr>
          <w:rFonts w:asciiTheme="majorHAnsi" w:hAnsiTheme="majorHAnsi"/>
          <w:sz w:val="16"/>
          <w:szCs w:val="16"/>
        </w:rPr>
        <w:t xml:space="preserve"> Stella </w:t>
      </w:r>
      <w:proofErr w:type="spellStart"/>
      <w:r w:rsidRPr="008D5990">
        <w:rPr>
          <w:rFonts w:asciiTheme="majorHAnsi" w:hAnsiTheme="majorHAnsi"/>
          <w:sz w:val="16"/>
          <w:szCs w:val="16"/>
        </w:rPr>
        <w:t>Orjuela</w:t>
      </w:r>
      <w:proofErr w:type="spellEnd"/>
      <w:r w:rsidRPr="008D5990">
        <w:rPr>
          <w:rFonts w:asciiTheme="majorHAnsi" w:hAnsiTheme="majorHAnsi"/>
          <w:sz w:val="16"/>
          <w:szCs w:val="16"/>
        </w:rPr>
        <w:t xml:space="preserve"> </w:t>
      </w:r>
      <w:proofErr w:type="spellStart"/>
      <w:r w:rsidRPr="008D5990">
        <w:rPr>
          <w:rFonts w:asciiTheme="majorHAnsi" w:hAnsiTheme="majorHAnsi"/>
          <w:sz w:val="16"/>
          <w:szCs w:val="16"/>
        </w:rPr>
        <w:t>Riveros</w:t>
      </w:r>
      <w:proofErr w:type="spellEnd"/>
      <w:r w:rsidRPr="008D5990">
        <w:rPr>
          <w:rFonts w:asciiTheme="majorHAnsi" w:hAnsiTheme="majorHAnsi"/>
          <w:sz w:val="16"/>
          <w:szCs w:val="16"/>
        </w:rPr>
        <w:t xml:space="preserve">, </w:t>
      </w:r>
      <w:proofErr w:type="spellStart"/>
      <w:r w:rsidRPr="008D5990">
        <w:rPr>
          <w:rFonts w:asciiTheme="majorHAnsi" w:hAnsiTheme="majorHAnsi"/>
          <w:sz w:val="16"/>
          <w:szCs w:val="16"/>
        </w:rPr>
        <w:t>Helvir</w:t>
      </w:r>
      <w:proofErr w:type="spellEnd"/>
      <w:r w:rsidRPr="008D5990">
        <w:rPr>
          <w:rFonts w:asciiTheme="majorHAnsi" w:hAnsiTheme="majorHAnsi"/>
          <w:sz w:val="16"/>
          <w:szCs w:val="16"/>
        </w:rPr>
        <w:t xml:space="preserve"> Antonio's </w:t>
      </w:r>
      <w:r w:rsidR="008D5990">
        <w:rPr>
          <w:rFonts w:asciiTheme="majorHAnsi" w:hAnsiTheme="majorHAnsi"/>
          <w:sz w:val="16"/>
          <w:szCs w:val="16"/>
        </w:rPr>
        <w:t xml:space="preserve">domestic </w:t>
      </w:r>
      <w:r w:rsidRPr="008D5990">
        <w:rPr>
          <w:rFonts w:asciiTheme="majorHAnsi" w:hAnsiTheme="majorHAnsi"/>
          <w:sz w:val="16"/>
          <w:szCs w:val="16"/>
        </w:rPr>
        <w:t>partner.</w:t>
      </w:r>
    </w:p>
  </w:footnote>
  <w:footnote w:id="3">
    <w:p w14:paraId="53EB46A5" w14:textId="3E6B1D93" w:rsidR="009B0A44" w:rsidRPr="008D5990" w:rsidRDefault="009B0A44" w:rsidP="006B4808">
      <w:pPr>
        <w:pStyle w:val="FootnoteText"/>
        <w:ind w:firstLine="720"/>
        <w:rPr>
          <w:rFonts w:asciiTheme="majorHAnsi" w:hAnsiTheme="majorHAnsi"/>
          <w:sz w:val="16"/>
          <w:szCs w:val="16"/>
        </w:rPr>
      </w:pPr>
      <w:r w:rsidRPr="00B14A38">
        <w:rPr>
          <w:rStyle w:val="FootnoteReference"/>
          <w:rFonts w:asciiTheme="majorHAnsi" w:hAnsiTheme="majorHAnsi"/>
          <w:sz w:val="16"/>
          <w:szCs w:val="16"/>
        </w:rPr>
        <w:footnoteRef/>
      </w:r>
      <w:r w:rsidRPr="008D5990">
        <w:rPr>
          <w:rFonts w:asciiTheme="majorHAnsi" w:hAnsiTheme="majorHAnsi"/>
          <w:sz w:val="16"/>
          <w:szCs w:val="16"/>
        </w:rPr>
        <w:t xml:space="preserve"> Hereinafter, “the American Convention” or “the Convention”.</w:t>
      </w:r>
    </w:p>
  </w:footnote>
  <w:footnote w:id="4">
    <w:p w14:paraId="6F51BDAF" w14:textId="0FD99FB5" w:rsidR="00653EA6" w:rsidRPr="000B6B7A" w:rsidRDefault="00653EA6" w:rsidP="006B4808">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sidR="005A67B8" w:rsidRPr="005A67B8">
        <w:rPr>
          <w:rFonts w:ascii="Cambria" w:hAnsi="Cambria"/>
          <w:sz w:val="16"/>
          <w:szCs w:val="16"/>
        </w:rPr>
        <w:t>The observations submitted by each party were duly transmitted to the opposing party.</w:t>
      </w:r>
      <w:r w:rsidR="006B4808">
        <w:rPr>
          <w:rFonts w:ascii="Cambria" w:hAnsi="Cambria"/>
          <w:sz w:val="16"/>
          <w:szCs w:val="16"/>
        </w:rPr>
        <w:t xml:space="preserve"> On June 2, 2020, the additional observations by the petitioner were transmitted by the IACHR to the State, granting it one month to reply; however, as of the date of the present report no response has been received.</w:t>
      </w:r>
    </w:p>
  </w:footnote>
  <w:footnote w:id="5">
    <w:p w14:paraId="32797882" w14:textId="4115019B" w:rsidR="005E2262" w:rsidRPr="008D5990" w:rsidRDefault="005E2262" w:rsidP="005E2262">
      <w:pPr>
        <w:pStyle w:val="FootnoteText"/>
        <w:jc w:val="both"/>
        <w:rPr>
          <w:rFonts w:asciiTheme="majorHAnsi" w:hAnsiTheme="majorHAnsi"/>
          <w:sz w:val="16"/>
          <w:szCs w:val="16"/>
        </w:rPr>
      </w:pPr>
      <w:r w:rsidRPr="002774D2">
        <w:rPr>
          <w:rStyle w:val="FootnoteReference"/>
          <w:rFonts w:asciiTheme="majorHAnsi" w:hAnsiTheme="majorHAnsi"/>
          <w:sz w:val="16"/>
          <w:szCs w:val="16"/>
        </w:rPr>
        <w:footnoteRef/>
      </w:r>
      <w:r w:rsidR="008E00E2">
        <w:rPr>
          <w:rFonts w:asciiTheme="majorHAnsi" w:hAnsiTheme="majorHAnsi" w:cstheme="minorHAnsi"/>
          <w:sz w:val="16"/>
          <w:szCs w:val="16"/>
        </w:rPr>
        <w:t xml:space="preserve"> </w:t>
      </w:r>
      <w:r w:rsidRPr="008D5990">
        <w:rPr>
          <w:rFonts w:asciiTheme="majorHAnsi" w:hAnsiTheme="majorHAnsi" w:cstheme="minorHAnsi"/>
          <w:sz w:val="16"/>
          <w:szCs w:val="16"/>
        </w:rPr>
        <w:t xml:space="preserve">IACHR, Report No. 72/18, Petition 1131-08. Admissibility. </w:t>
      </w:r>
      <w:r w:rsidRPr="005E2262">
        <w:rPr>
          <w:rFonts w:asciiTheme="majorHAnsi" w:hAnsiTheme="majorHAnsi" w:cstheme="minorHAnsi"/>
          <w:sz w:val="16"/>
          <w:szCs w:val="16"/>
          <w:lang w:val="es-US"/>
        </w:rPr>
        <w:t>Mois</w:t>
      </w:r>
      <w:r w:rsidR="008E00E2">
        <w:rPr>
          <w:rFonts w:asciiTheme="majorHAnsi" w:hAnsiTheme="majorHAnsi" w:cstheme="minorHAnsi"/>
          <w:sz w:val="16"/>
          <w:szCs w:val="16"/>
          <w:lang w:val="es-US"/>
        </w:rPr>
        <w:t>e</w:t>
      </w:r>
      <w:r w:rsidRPr="005E2262">
        <w:rPr>
          <w:rFonts w:asciiTheme="majorHAnsi" w:hAnsiTheme="majorHAnsi" w:cstheme="minorHAnsi"/>
          <w:sz w:val="16"/>
          <w:szCs w:val="16"/>
          <w:lang w:val="es-US"/>
        </w:rPr>
        <w:t>s de Jes</w:t>
      </w:r>
      <w:r w:rsidR="008E00E2">
        <w:rPr>
          <w:rFonts w:asciiTheme="majorHAnsi" w:hAnsiTheme="majorHAnsi" w:cstheme="minorHAnsi"/>
          <w:sz w:val="16"/>
          <w:szCs w:val="16"/>
          <w:lang w:val="es-US"/>
        </w:rPr>
        <w:t>u</w:t>
      </w:r>
      <w:r w:rsidRPr="005E2262">
        <w:rPr>
          <w:rFonts w:asciiTheme="majorHAnsi" w:hAnsiTheme="majorHAnsi" w:cstheme="minorHAnsi"/>
          <w:sz w:val="16"/>
          <w:szCs w:val="16"/>
          <w:lang w:val="es-US"/>
        </w:rPr>
        <w:t>s Hern</w:t>
      </w:r>
      <w:r w:rsidR="008E00E2">
        <w:rPr>
          <w:rFonts w:asciiTheme="majorHAnsi" w:hAnsiTheme="majorHAnsi" w:cstheme="minorHAnsi"/>
          <w:sz w:val="16"/>
          <w:szCs w:val="16"/>
          <w:lang w:val="es-US"/>
        </w:rPr>
        <w:t>a</w:t>
      </w:r>
      <w:r w:rsidRPr="005E2262">
        <w:rPr>
          <w:rFonts w:asciiTheme="majorHAnsi" w:hAnsiTheme="majorHAnsi" w:cstheme="minorHAnsi"/>
          <w:sz w:val="16"/>
          <w:szCs w:val="16"/>
          <w:lang w:val="es-US"/>
        </w:rPr>
        <w:t xml:space="preserve">ndez Pinto and family. Guatemala. June 20, 2018, para. </w:t>
      </w:r>
      <w:r w:rsidRPr="008D5990">
        <w:rPr>
          <w:rFonts w:asciiTheme="majorHAnsi" w:hAnsiTheme="majorHAnsi" w:cstheme="minorHAnsi"/>
          <w:sz w:val="16"/>
          <w:szCs w:val="16"/>
        </w:rPr>
        <w:t xml:space="preserve">10. IACHR, Report No. 70/14. Petition 1453-06. Admissibility. </w:t>
      </w:r>
      <w:proofErr w:type="spellStart"/>
      <w:r w:rsidRPr="008D5990">
        <w:rPr>
          <w:rFonts w:asciiTheme="majorHAnsi" w:hAnsiTheme="majorHAnsi" w:cstheme="minorHAnsi"/>
          <w:sz w:val="16"/>
          <w:szCs w:val="16"/>
        </w:rPr>
        <w:t>Maicon</w:t>
      </w:r>
      <w:proofErr w:type="spellEnd"/>
      <w:r w:rsidRPr="008D5990">
        <w:rPr>
          <w:rFonts w:asciiTheme="majorHAnsi" w:hAnsiTheme="majorHAnsi" w:cstheme="minorHAnsi"/>
          <w:sz w:val="16"/>
          <w:szCs w:val="16"/>
        </w:rPr>
        <w:t xml:space="preserve"> de Souza Silva. Renato da Silva </w:t>
      </w:r>
      <w:proofErr w:type="spellStart"/>
      <w:r w:rsidRPr="008D5990">
        <w:rPr>
          <w:rFonts w:asciiTheme="majorHAnsi" w:hAnsiTheme="majorHAnsi" w:cstheme="minorHAnsi"/>
          <w:sz w:val="16"/>
          <w:szCs w:val="16"/>
        </w:rPr>
        <w:t>Paixão</w:t>
      </w:r>
      <w:proofErr w:type="spellEnd"/>
      <w:r w:rsidRPr="008D5990">
        <w:rPr>
          <w:rFonts w:asciiTheme="majorHAnsi" w:hAnsiTheme="majorHAnsi" w:cstheme="minorHAnsi"/>
          <w:sz w:val="16"/>
          <w:szCs w:val="16"/>
        </w:rPr>
        <w:t xml:space="preserve"> and others. July 25, 2014, para. 18; Report No. 3/12, Petition 12.224, Admissibility, Santiago Antezana Cueto et al., Peru, January 27, 2012, para. 24; Report No. 124/17, Petition 21-08, Admissibility, Fernanda L</w:t>
      </w:r>
      <w:r w:rsidR="008E00E2">
        <w:rPr>
          <w:rFonts w:asciiTheme="majorHAnsi" w:hAnsiTheme="majorHAnsi" w:cstheme="minorHAnsi"/>
          <w:sz w:val="16"/>
          <w:szCs w:val="16"/>
        </w:rPr>
        <w:t>o</w:t>
      </w:r>
      <w:r w:rsidRPr="008D5990">
        <w:rPr>
          <w:rFonts w:asciiTheme="majorHAnsi" w:hAnsiTheme="majorHAnsi" w:cstheme="minorHAnsi"/>
          <w:sz w:val="16"/>
          <w:szCs w:val="16"/>
        </w:rPr>
        <w:t>pez Medina et al., Peru, September 7, 2017, paras. 3, 9-11.</w:t>
      </w:r>
    </w:p>
  </w:footnote>
  <w:footnote w:id="6">
    <w:p w14:paraId="7AB3E694" w14:textId="6B65B39C" w:rsidR="005E2262" w:rsidRPr="008D5990" w:rsidRDefault="005E2262" w:rsidP="005E2262">
      <w:pPr>
        <w:pStyle w:val="FootnoteText"/>
        <w:jc w:val="both"/>
        <w:rPr>
          <w:rFonts w:asciiTheme="majorHAnsi" w:hAnsiTheme="majorHAnsi" w:cstheme="minorHAnsi"/>
          <w:sz w:val="16"/>
          <w:szCs w:val="16"/>
        </w:rPr>
      </w:pPr>
      <w:r w:rsidRPr="002774D2">
        <w:rPr>
          <w:rStyle w:val="FootnoteReference"/>
          <w:rFonts w:asciiTheme="majorHAnsi" w:hAnsiTheme="majorHAnsi" w:cstheme="minorHAnsi"/>
          <w:sz w:val="16"/>
          <w:szCs w:val="16"/>
        </w:rPr>
        <w:footnoteRef/>
      </w:r>
      <w:r w:rsidRPr="008D5990">
        <w:rPr>
          <w:rFonts w:asciiTheme="majorHAnsi" w:hAnsiTheme="majorHAnsi" w:cstheme="minorHAnsi"/>
          <w:sz w:val="16"/>
          <w:szCs w:val="16"/>
        </w:rPr>
        <w:t xml:space="preserve"> IACHR, Report No. 159/17, Petition 712-08. Admissibility. </w:t>
      </w:r>
      <w:proofErr w:type="spellStart"/>
      <w:r w:rsidRPr="008D5990">
        <w:rPr>
          <w:rFonts w:asciiTheme="majorHAnsi" w:hAnsiTheme="majorHAnsi" w:cstheme="minorHAnsi"/>
          <w:sz w:val="16"/>
          <w:szCs w:val="16"/>
        </w:rPr>
        <w:t>Sebastián</w:t>
      </w:r>
      <w:proofErr w:type="spellEnd"/>
      <w:r w:rsidRPr="008D5990">
        <w:rPr>
          <w:rFonts w:asciiTheme="majorHAnsi" w:hAnsiTheme="majorHAnsi" w:cstheme="minorHAnsi"/>
          <w:sz w:val="16"/>
          <w:szCs w:val="16"/>
        </w:rPr>
        <w:t xml:space="preserve"> </w:t>
      </w:r>
      <w:proofErr w:type="spellStart"/>
      <w:r w:rsidRPr="008D5990">
        <w:rPr>
          <w:rFonts w:asciiTheme="majorHAnsi" w:hAnsiTheme="majorHAnsi" w:cstheme="minorHAnsi"/>
          <w:sz w:val="16"/>
          <w:szCs w:val="16"/>
        </w:rPr>
        <w:t>Larroza</w:t>
      </w:r>
      <w:proofErr w:type="spellEnd"/>
      <w:r w:rsidRPr="008D5990">
        <w:rPr>
          <w:rFonts w:asciiTheme="majorHAnsi" w:hAnsiTheme="majorHAnsi" w:cstheme="minorHAnsi"/>
          <w:sz w:val="16"/>
          <w:szCs w:val="16"/>
        </w:rPr>
        <w:t xml:space="preserve"> Velázquez and family. Paraguay. November 30, 2017, para. 14.</w:t>
      </w:r>
    </w:p>
  </w:footnote>
  <w:footnote w:id="7">
    <w:p w14:paraId="490AE012" w14:textId="1F1E1448" w:rsidR="005E2262" w:rsidRPr="008D5990" w:rsidRDefault="005E2262" w:rsidP="005E2262">
      <w:pPr>
        <w:pStyle w:val="FootnoteText"/>
        <w:jc w:val="both"/>
        <w:rPr>
          <w:rFonts w:asciiTheme="majorHAnsi" w:hAnsiTheme="majorHAnsi"/>
          <w:sz w:val="16"/>
          <w:szCs w:val="16"/>
        </w:rPr>
      </w:pPr>
      <w:r>
        <w:rPr>
          <w:rStyle w:val="FootnoteReference"/>
          <w:rFonts w:asciiTheme="majorHAnsi" w:hAnsiTheme="majorHAnsi"/>
          <w:sz w:val="16"/>
          <w:szCs w:val="16"/>
        </w:rPr>
        <w:footnoteRef/>
      </w:r>
      <w:r w:rsidRPr="008D5990">
        <w:rPr>
          <w:rFonts w:asciiTheme="majorHAnsi" w:hAnsiTheme="majorHAnsi"/>
          <w:sz w:val="16"/>
          <w:szCs w:val="16"/>
        </w:rPr>
        <w:t xml:space="preserve"> IACHR, Report No. 11/17. Admissibility. María Hilaria González Sierra and others. Colombia. January 27, 2017, para. 4; IACHR, Report No. 89/18. Petition 1110-07. Admissibility. Juan </w:t>
      </w:r>
      <w:proofErr w:type="spellStart"/>
      <w:r w:rsidRPr="008D5990">
        <w:rPr>
          <w:rFonts w:asciiTheme="majorHAnsi" w:hAnsiTheme="majorHAnsi"/>
          <w:sz w:val="16"/>
          <w:szCs w:val="16"/>
        </w:rPr>
        <w:t>Simón</w:t>
      </w:r>
      <w:proofErr w:type="spellEnd"/>
      <w:r w:rsidRPr="008D5990">
        <w:rPr>
          <w:rFonts w:asciiTheme="majorHAnsi" w:hAnsiTheme="majorHAnsi"/>
          <w:sz w:val="16"/>
          <w:szCs w:val="16"/>
        </w:rPr>
        <w:t xml:space="preserve"> </w:t>
      </w:r>
      <w:proofErr w:type="spellStart"/>
      <w:r w:rsidRPr="008D5990">
        <w:rPr>
          <w:rFonts w:asciiTheme="majorHAnsi" w:hAnsiTheme="majorHAnsi"/>
          <w:sz w:val="16"/>
          <w:szCs w:val="16"/>
        </w:rPr>
        <w:t>Cantillo</w:t>
      </w:r>
      <w:proofErr w:type="spellEnd"/>
      <w:r w:rsidRPr="008D5990">
        <w:rPr>
          <w:rFonts w:asciiTheme="majorHAnsi" w:hAnsiTheme="majorHAnsi"/>
          <w:sz w:val="16"/>
          <w:szCs w:val="16"/>
        </w:rPr>
        <w:t xml:space="preserve"> </w:t>
      </w:r>
      <w:proofErr w:type="spellStart"/>
      <w:r w:rsidRPr="008D5990">
        <w:rPr>
          <w:rFonts w:asciiTheme="majorHAnsi" w:hAnsiTheme="majorHAnsi"/>
          <w:sz w:val="16"/>
          <w:szCs w:val="16"/>
        </w:rPr>
        <w:t>Raigoza</w:t>
      </w:r>
      <w:proofErr w:type="spellEnd"/>
      <w:r w:rsidRPr="008D5990">
        <w:rPr>
          <w:rFonts w:asciiTheme="majorHAnsi" w:hAnsiTheme="majorHAnsi"/>
          <w:sz w:val="16"/>
          <w:szCs w:val="16"/>
        </w:rPr>
        <w:t xml:space="preserve">, Keyla </w:t>
      </w:r>
      <w:proofErr w:type="spellStart"/>
      <w:r w:rsidRPr="008D5990">
        <w:rPr>
          <w:rFonts w:asciiTheme="majorHAnsi" w:hAnsiTheme="majorHAnsi"/>
          <w:sz w:val="16"/>
          <w:szCs w:val="16"/>
        </w:rPr>
        <w:t>Sandrith</w:t>
      </w:r>
      <w:proofErr w:type="spellEnd"/>
      <w:r w:rsidRPr="008D5990">
        <w:rPr>
          <w:rFonts w:asciiTheme="majorHAnsi" w:hAnsiTheme="majorHAnsi"/>
          <w:sz w:val="16"/>
          <w:szCs w:val="16"/>
        </w:rPr>
        <w:t xml:space="preserve"> </w:t>
      </w:r>
      <w:proofErr w:type="spellStart"/>
      <w:r w:rsidRPr="008D5990">
        <w:rPr>
          <w:rFonts w:asciiTheme="majorHAnsi" w:hAnsiTheme="majorHAnsi"/>
          <w:sz w:val="16"/>
          <w:szCs w:val="16"/>
        </w:rPr>
        <w:t>Cantillo</w:t>
      </w:r>
      <w:proofErr w:type="spellEnd"/>
      <w:r w:rsidRPr="008D5990">
        <w:rPr>
          <w:rFonts w:asciiTheme="majorHAnsi" w:hAnsiTheme="majorHAnsi"/>
          <w:sz w:val="16"/>
          <w:szCs w:val="16"/>
        </w:rPr>
        <w:t xml:space="preserve"> Vides and Family. Colombia. July 27, 2018, para. 10; IACHR, Report No. 44/18. Admissibility. </w:t>
      </w:r>
      <w:proofErr w:type="spellStart"/>
      <w:r w:rsidRPr="008D5990">
        <w:rPr>
          <w:rFonts w:asciiTheme="majorHAnsi" w:hAnsiTheme="majorHAnsi"/>
          <w:sz w:val="16"/>
          <w:szCs w:val="16"/>
        </w:rPr>
        <w:t>Pijiguay</w:t>
      </w:r>
      <w:proofErr w:type="spellEnd"/>
      <w:r w:rsidRPr="008D5990">
        <w:rPr>
          <w:rFonts w:asciiTheme="majorHAnsi" w:hAnsiTheme="majorHAnsi"/>
          <w:sz w:val="16"/>
          <w:szCs w:val="16"/>
        </w:rPr>
        <w:t xml:space="preserve"> Massacre. Colombia. May 4, 2018, para. eleven.</w:t>
      </w:r>
    </w:p>
  </w:footnote>
  <w:footnote w:id="8">
    <w:p w14:paraId="62136505" w14:textId="4E1DC28F" w:rsidR="00883B42" w:rsidRPr="00CB1AAC" w:rsidRDefault="00883B42" w:rsidP="00883B42">
      <w:pPr>
        <w:pStyle w:val="FootnoteText"/>
        <w:rPr>
          <w:rFonts w:asciiTheme="majorHAnsi" w:hAnsiTheme="majorHAnsi"/>
          <w:sz w:val="16"/>
          <w:szCs w:val="16"/>
        </w:rPr>
      </w:pPr>
      <w:r w:rsidRPr="00507154">
        <w:rPr>
          <w:rStyle w:val="FootnoteReference"/>
          <w:rFonts w:asciiTheme="majorHAnsi" w:hAnsiTheme="majorHAnsi"/>
          <w:sz w:val="16"/>
          <w:szCs w:val="16"/>
        </w:rPr>
        <w:footnoteRef/>
      </w:r>
      <w:r w:rsidRPr="008D5990">
        <w:rPr>
          <w:rFonts w:asciiTheme="majorHAnsi" w:hAnsiTheme="majorHAnsi"/>
          <w:sz w:val="16"/>
          <w:szCs w:val="16"/>
        </w:rPr>
        <w:t xml:space="preserve"> IACHR, Report No. 34/15, Petition 191-07 and others. </w:t>
      </w:r>
      <w:r w:rsidRPr="00CB1AAC">
        <w:rPr>
          <w:rFonts w:asciiTheme="majorHAnsi" w:hAnsiTheme="majorHAnsi"/>
          <w:sz w:val="16"/>
          <w:szCs w:val="16"/>
        </w:rPr>
        <w:t>Admissibility. Álvaro Enrique Rodriguez Buitrago and others. Colombia. July 22, 2015</w:t>
      </w:r>
      <w:r w:rsidR="009F58E2" w:rsidRPr="00CB1AAC">
        <w:rPr>
          <w:rFonts w:asciiTheme="majorHAnsi" w:hAnsiTheme="majorHAnsi"/>
          <w:sz w:val="16"/>
          <w:szCs w:val="16"/>
        </w:rPr>
        <w:t>, par. 262.</w:t>
      </w:r>
    </w:p>
  </w:footnote>
  <w:footnote w:id="9">
    <w:p w14:paraId="3761F38F" w14:textId="7A0E9387" w:rsidR="002407BB" w:rsidRPr="006A086B" w:rsidRDefault="002407BB" w:rsidP="002407BB">
      <w:pPr>
        <w:pStyle w:val="FootnoteText"/>
        <w:tabs>
          <w:tab w:val="left" w:pos="0"/>
        </w:tabs>
        <w:ind w:firstLine="720"/>
        <w:jc w:val="both"/>
        <w:rPr>
          <w:rFonts w:ascii="Cambria" w:hAnsi="Cambria" w:cstheme="minorHAnsi"/>
          <w:color w:val="000000" w:themeColor="text1"/>
          <w:sz w:val="16"/>
          <w:szCs w:val="16"/>
        </w:rPr>
      </w:pPr>
      <w:r w:rsidRPr="006A086B">
        <w:rPr>
          <w:rStyle w:val="FootnoteReference"/>
          <w:rFonts w:ascii="Cambria" w:hAnsi="Cambria" w:cstheme="minorHAnsi"/>
          <w:color w:val="000000" w:themeColor="text1"/>
          <w:sz w:val="16"/>
          <w:szCs w:val="16"/>
        </w:rPr>
        <w:footnoteRef/>
      </w:r>
      <w:r w:rsidRPr="006A086B">
        <w:rPr>
          <w:rFonts w:ascii="Cambria" w:hAnsi="Cambria" w:cstheme="minorHAnsi"/>
          <w:color w:val="000000" w:themeColor="text1"/>
          <w:sz w:val="16"/>
          <w:szCs w:val="16"/>
        </w:rPr>
        <w:t xml:space="preserve"> </w:t>
      </w:r>
      <w:r w:rsidR="006A086B" w:rsidRPr="006A086B">
        <w:rPr>
          <w:rFonts w:ascii="Cambria" w:hAnsi="Cambria" w:cstheme="minorHAnsi"/>
          <w:color w:val="000000" w:themeColor="text1"/>
          <w:sz w:val="16"/>
          <w:szCs w:val="16"/>
        </w:rPr>
        <w:t>I/A Court H.R., Case of Ibsen Cárdenas and Ibsen Peña v. Bolivia. Merits, Reparation and Costs. Judgment of September 1, 2010. Series C No. 217, par. 226.</w:t>
      </w:r>
    </w:p>
  </w:footnote>
  <w:footnote w:id="10">
    <w:p w14:paraId="53B4B945" w14:textId="4F9184AA" w:rsidR="00AD608F" w:rsidRPr="00CB1AAC" w:rsidRDefault="00AD608F" w:rsidP="00AD608F">
      <w:pPr>
        <w:pStyle w:val="FootnoteText"/>
        <w:tabs>
          <w:tab w:val="left" w:pos="0"/>
        </w:tabs>
        <w:ind w:firstLine="720"/>
        <w:jc w:val="both"/>
        <w:rPr>
          <w:rFonts w:ascii="Cambria" w:hAnsi="Cambria" w:cstheme="minorHAnsi"/>
          <w:color w:val="000000" w:themeColor="text1"/>
          <w:sz w:val="16"/>
          <w:szCs w:val="16"/>
        </w:rPr>
      </w:pPr>
      <w:r w:rsidRPr="006A086B">
        <w:rPr>
          <w:rStyle w:val="FootnoteReference"/>
          <w:rFonts w:ascii="Cambria" w:hAnsi="Cambria" w:cstheme="minorHAnsi"/>
          <w:color w:val="000000" w:themeColor="text1"/>
          <w:sz w:val="16"/>
          <w:szCs w:val="16"/>
        </w:rPr>
        <w:footnoteRef/>
      </w:r>
      <w:r w:rsidRPr="006A086B">
        <w:rPr>
          <w:rFonts w:ascii="Cambria" w:hAnsi="Cambria" w:cstheme="minorHAnsi"/>
          <w:color w:val="000000" w:themeColor="text1"/>
          <w:sz w:val="16"/>
          <w:szCs w:val="16"/>
        </w:rPr>
        <w:t xml:space="preserve"> </w:t>
      </w:r>
      <w:r w:rsidR="006A086B" w:rsidRPr="006A086B">
        <w:rPr>
          <w:rFonts w:ascii="Cambria" w:hAnsi="Cambria" w:cstheme="minorHAnsi"/>
          <w:color w:val="000000" w:themeColor="text1"/>
          <w:sz w:val="16"/>
          <w:szCs w:val="16"/>
        </w:rPr>
        <w:t xml:space="preserve">I/A Court H.R., Case of </w:t>
      </w:r>
      <w:proofErr w:type="spellStart"/>
      <w:r w:rsidR="006A086B" w:rsidRPr="006A086B">
        <w:rPr>
          <w:rFonts w:ascii="Cambria" w:hAnsi="Cambria" w:cstheme="minorHAnsi"/>
          <w:color w:val="000000" w:themeColor="text1"/>
          <w:sz w:val="16"/>
          <w:szCs w:val="16"/>
        </w:rPr>
        <w:t>Atala</w:t>
      </w:r>
      <w:proofErr w:type="spellEnd"/>
      <w:r w:rsidR="006A086B" w:rsidRPr="006A086B">
        <w:rPr>
          <w:rFonts w:ascii="Cambria" w:hAnsi="Cambria" w:cstheme="minorHAnsi"/>
          <w:color w:val="000000" w:themeColor="text1"/>
          <w:sz w:val="16"/>
          <w:szCs w:val="16"/>
        </w:rPr>
        <w:t xml:space="preserve"> </w:t>
      </w:r>
      <w:proofErr w:type="spellStart"/>
      <w:r w:rsidR="006A086B" w:rsidRPr="006A086B">
        <w:rPr>
          <w:rFonts w:ascii="Cambria" w:hAnsi="Cambria" w:cstheme="minorHAnsi"/>
          <w:color w:val="000000" w:themeColor="text1"/>
          <w:sz w:val="16"/>
          <w:szCs w:val="16"/>
        </w:rPr>
        <w:t>Riffo</w:t>
      </w:r>
      <w:proofErr w:type="spellEnd"/>
      <w:r w:rsidR="006A086B" w:rsidRPr="006A086B">
        <w:rPr>
          <w:rFonts w:ascii="Cambria" w:hAnsi="Cambria" w:cstheme="minorHAnsi"/>
          <w:color w:val="000000" w:themeColor="text1"/>
          <w:sz w:val="16"/>
          <w:szCs w:val="16"/>
        </w:rPr>
        <w:t xml:space="preserve"> and daughters v. Chile. Request for Interpretation of the Judgment on Merits, Reparations and Costs. </w:t>
      </w:r>
      <w:r w:rsidR="006A086B" w:rsidRPr="00CB1AAC">
        <w:rPr>
          <w:rFonts w:ascii="Cambria" w:hAnsi="Cambria" w:cstheme="minorHAnsi"/>
          <w:color w:val="000000" w:themeColor="text1"/>
          <w:sz w:val="16"/>
          <w:szCs w:val="16"/>
        </w:rPr>
        <w:t>Judgment of November 21, 2012. Series C No. 254, par. 241</w:t>
      </w:r>
    </w:p>
  </w:footnote>
  <w:footnote w:id="11">
    <w:p w14:paraId="69EC8DCA" w14:textId="12ED5905" w:rsidR="00E91562" w:rsidRPr="007D5712" w:rsidRDefault="00E91562" w:rsidP="007D5712">
      <w:pPr>
        <w:ind w:firstLine="720"/>
        <w:jc w:val="both"/>
        <w:rPr>
          <w:rFonts w:ascii="Cambria" w:eastAsia="Times New Roman" w:hAnsi="Cambria"/>
          <w:color w:val="000000" w:themeColor="text1"/>
          <w:sz w:val="16"/>
          <w:szCs w:val="16"/>
          <w:bdr w:val="none" w:sz="0" w:space="0" w:color="auto"/>
        </w:rPr>
      </w:pPr>
      <w:r w:rsidRPr="006A086B">
        <w:rPr>
          <w:rStyle w:val="FootnoteReference"/>
          <w:rFonts w:ascii="Cambria" w:hAnsi="Cambria" w:cstheme="minorHAnsi"/>
          <w:color w:val="000000" w:themeColor="text1"/>
          <w:sz w:val="16"/>
          <w:szCs w:val="16"/>
        </w:rPr>
        <w:footnoteRef/>
      </w:r>
      <w:r w:rsidRPr="006A086B">
        <w:rPr>
          <w:rFonts w:ascii="Cambria" w:hAnsi="Cambria" w:cstheme="minorHAnsi"/>
          <w:color w:val="000000" w:themeColor="text1"/>
          <w:sz w:val="16"/>
          <w:szCs w:val="16"/>
        </w:rPr>
        <w:t xml:space="preserve"> </w:t>
      </w:r>
      <w:r w:rsidR="007D5712">
        <w:rPr>
          <w:rFonts w:ascii="Cambria" w:hAnsi="Cambria" w:cstheme="minorHAnsi"/>
          <w:color w:val="000000" w:themeColor="text1"/>
          <w:sz w:val="16"/>
          <w:szCs w:val="16"/>
        </w:rPr>
        <w:t>See, a</w:t>
      </w:r>
      <w:r w:rsidR="006A086B" w:rsidRPr="006A086B">
        <w:rPr>
          <w:rFonts w:ascii="Cambria" w:hAnsi="Cambria" w:cstheme="minorHAnsi"/>
          <w:color w:val="000000" w:themeColor="text1"/>
          <w:sz w:val="16"/>
          <w:szCs w:val="16"/>
        </w:rPr>
        <w:t>mong many others</w:t>
      </w:r>
      <w:r w:rsidR="007D5712">
        <w:rPr>
          <w:rFonts w:ascii="Cambria" w:hAnsi="Cambria" w:cstheme="minorHAnsi"/>
          <w:color w:val="000000" w:themeColor="text1"/>
          <w:sz w:val="16"/>
          <w:szCs w:val="16"/>
        </w:rPr>
        <w:t>, the following</w:t>
      </w:r>
      <w:r w:rsidR="006A086B" w:rsidRPr="006A086B">
        <w:rPr>
          <w:rFonts w:ascii="Cambria" w:hAnsi="Cambria" w:cstheme="minorHAnsi"/>
          <w:color w:val="000000" w:themeColor="text1"/>
          <w:sz w:val="16"/>
          <w:szCs w:val="16"/>
        </w:rPr>
        <w:t xml:space="preserve"> decisions by the Inter-American Court of Human Rights:</w:t>
      </w:r>
      <w:r w:rsidRPr="006A086B">
        <w:rPr>
          <w:rFonts w:ascii="Cambria" w:hAnsi="Cambria" w:cstheme="minorHAnsi"/>
          <w:color w:val="000000" w:themeColor="text1"/>
          <w:sz w:val="16"/>
          <w:szCs w:val="16"/>
        </w:rPr>
        <w:t xml:space="preserve"> (1) </w:t>
      </w:r>
      <w:r w:rsidR="006A086B" w:rsidRPr="006A086B">
        <w:rPr>
          <w:rFonts w:ascii="Cambria" w:eastAsia="Times New Roman" w:hAnsi="Cambria" w:cs="Arial"/>
          <w:color w:val="000000" w:themeColor="text1"/>
          <w:sz w:val="16"/>
          <w:szCs w:val="16"/>
          <w:bdr w:val="none" w:sz="0" w:space="0" w:color="auto"/>
          <w:shd w:val="clear" w:color="auto" w:fill="FFFFFF"/>
        </w:rPr>
        <w:t xml:space="preserve">I/A Court H.R., Case of Castillo </w:t>
      </w:r>
      <w:proofErr w:type="spellStart"/>
      <w:r w:rsidR="006A086B" w:rsidRPr="006A086B">
        <w:rPr>
          <w:rFonts w:ascii="Cambria" w:eastAsia="Times New Roman" w:hAnsi="Cambria" w:cs="Arial"/>
          <w:color w:val="000000" w:themeColor="text1"/>
          <w:sz w:val="16"/>
          <w:szCs w:val="16"/>
          <w:bdr w:val="none" w:sz="0" w:space="0" w:color="auto"/>
          <w:shd w:val="clear" w:color="auto" w:fill="FFFFFF"/>
        </w:rPr>
        <w:t>Páez</w:t>
      </w:r>
      <w:proofErr w:type="spellEnd"/>
      <w:r w:rsidR="006A086B" w:rsidRPr="006A086B">
        <w:rPr>
          <w:rFonts w:ascii="Cambria" w:eastAsia="Times New Roman" w:hAnsi="Cambria" w:cs="Arial"/>
          <w:color w:val="000000" w:themeColor="text1"/>
          <w:sz w:val="16"/>
          <w:szCs w:val="16"/>
          <w:bdr w:val="none" w:sz="0" w:space="0" w:color="auto"/>
          <w:shd w:val="clear" w:color="auto" w:fill="FFFFFF"/>
        </w:rPr>
        <w:t xml:space="preserve"> v. Peru. Reparations and Costs. Judgment of November 27, 1998. Series C No. 43</w:t>
      </w:r>
      <w:r w:rsidR="006A086B" w:rsidRPr="006A086B">
        <w:rPr>
          <w:rFonts w:ascii="Cambria" w:hAnsi="Cambria" w:cstheme="minorHAnsi"/>
          <w:color w:val="000000" w:themeColor="text1"/>
          <w:sz w:val="16"/>
          <w:szCs w:val="16"/>
        </w:rPr>
        <w:t>, par. 53</w:t>
      </w:r>
      <w:r w:rsidR="007D5712">
        <w:rPr>
          <w:rFonts w:ascii="Cambria" w:hAnsi="Cambria" w:cstheme="minorHAnsi"/>
          <w:color w:val="000000" w:themeColor="text1"/>
          <w:sz w:val="16"/>
          <w:szCs w:val="16"/>
        </w:rPr>
        <w:t>;</w:t>
      </w:r>
      <w:r w:rsidR="006A086B" w:rsidRPr="006A086B">
        <w:rPr>
          <w:rFonts w:ascii="Cambria" w:hAnsi="Cambria" w:cstheme="minorHAnsi"/>
          <w:color w:val="000000" w:themeColor="text1"/>
          <w:sz w:val="16"/>
          <w:szCs w:val="16"/>
        </w:rPr>
        <w:t xml:space="preserve"> and</w:t>
      </w:r>
      <w:r w:rsidRPr="006A086B">
        <w:rPr>
          <w:rFonts w:ascii="Cambria" w:hAnsi="Cambria" w:cstheme="minorHAnsi"/>
          <w:color w:val="000000" w:themeColor="text1"/>
          <w:sz w:val="16"/>
          <w:szCs w:val="16"/>
        </w:rPr>
        <w:t xml:space="preserve"> (2) </w:t>
      </w:r>
      <w:r w:rsidR="006A086B" w:rsidRPr="006A086B">
        <w:rPr>
          <w:rFonts w:ascii="Cambria" w:eastAsia="Times New Roman" w:hAnsi="Cambria" w:cs="Arial"/>
          <w:color w:val="000000" w:themeColor="text1"/>
          <w:sz w:val="16"/>
          <w:szCs w:val="16"/>
          <w:bdr w:val="none" w:sz="0" w:space="0" w:color="auto"/>
          <w:shd w:val="clear" w:color="auto" w:fill="FFFFFF"/>
        </w:rPr>
        <w:t>I/A Court H.R., Case of Blake v. Guatemala. Interpretation of the Judgment of Reparations and Costs. Judgment of October 1, 1999. Series C No. 57, par. 42.</w:t>
      </w:r>
    </w:p>
  </w:footnote>
  <w:footnote w:id="12">
    <w:p w14:paraId="72D027CA" w14:textId="62C397A2" w:rsidR="004B5F3A" w:rsidRPr="006A086B" w:rsidRDefault="004B5F3A" w:rsidP="004B5F3A">
      <w:pPr>
        <w:pStyle w:val="FootnoteText"/>
        <w:tabs>
          <w:tab w:val="left" w:pos="0"/>
        </w:tabs>
        <w:ind w:firstLine="720"/>
        <w:jc w:val="both"/>
        <w:rPr>
          <w:rFonts w:ascii="Cambria" w:hAnsi="Cambria" w:cstheme="minorHAnsi"/>
          <w:sz w:val="16"/>
          <w:szCs w:val="16"/>
        </w:rPr>
      </w:pPr>
      <w:r w:rsidRPr="006A086B">
        <w:rPr>
          <w:rStyle w:val="FootnoteReference"/>
          <w:rFonts w:ascii="Cambria" w:hAnsi="Cambria" w:cstheme="minorHAnsi"/>
          <w:sz w:val="16"/>
          <w:szCs w:val="16"/>
        </w:rPr>
        <w:footnoteRef/>
      </w:r>
      <w:r w:rsidRPr="006A086B">
        <w:rPr>
          <w:rFonts w:ascii="Cambria" w:hAnsi="Cambria" w:cstheme="minorHAnsi"/>
          <w:sz w:val="16"/>
          <w:szCs w:val="16"/>
        </w:rPr>
        <w:t xml:space="preserve"> </w:t>
      </w:r>
      <w:r w:rsidR="006A086B" w:rsidRPr="006A086B">
        <w:rPr>
          <w:rFonts w:ascii="Cambria" w:hAnsi="Cambria" w:cstheme="minorHAnsi"/>
          <w:sz w:val="16"/>
          <w:szCs w:val="16"/>
        </w:rPr>
        <w:t xml:space="preserve">I/A Court H.R., Case of Cepeda Vargas v. Colombia. Preliminary Objections, Merits, Reparations and Costs. </w:t>
      </w:r>
      <w:r w:rsidR="006A086B" w:rsidRPr="00CB1AAC">
        <w:rPr>
          <w:rFonts w:ascii="Cambria" w:hAnsi="Cambria" w:cstheme="minorHAnsi"/>
          <w:sz w:val="16"/>
          <w:szCs w:val="16"/>
        </w:rPr>
        <w:t xml:space="preserve">Judgment of May 26, 2010. Series C No. 213, par.246. </w:t>
      </w:r>
      <w:r w:rsidR="006A086B" w:rsidRPr="006A086B">
        <w:rPr>
          <w:rFonts w:ascii="Cambria" w:hAnsi="Cambria"/>
          <w:sz w:val="16"/>
          <w:szCs w:val="16"/>
        </w:rPr>
        <w:t>In th</w:t>
      </w:r>
      <w:r w:rsidR="00621ED0">
        <w:rPr>
          <w:rFonts w:ascii="Cambria" w:hAnsi="Cambria"/>
          <w:sz w:val="16"/>
          <w:szCs w:val="16"/>
        </w:rPr>
        <w:t>at</w:t>
      </w:r>
      <w:r w:rsidR="006A086B" w:rsidRPr="006A086B">
        <w:rPr>
          <w:rFonts w:ascii="Cambria" w:hAnsi="Cambria"/>
          <w:sz w:val="16"/>
          <w:szCs w:val="16"/>
        </w:rPr>
        <w:t xml:space="preserve"> specific case, the next of kin of the victim had received compensation from the national courts which the Court considered </w:t>
      </w:r>
      <w:r w:rsidR="00621ED0">
        <w:rPr>
          <w:rFonts w:ascii="Cambria" w:hAnsi="Cambria"/>
          <w:sz w:val="16"/>
          <w:szCs w:val="16"/>
        </w:rPr>
        <w:t xml:space="preserve">was </w:t>
      </w:r>
      <w:r w:rsidR="006A086B" w:rsidRPr="006A086B">
        <w:rPr>
          <w:rFonts w:ascii="Cambria" w:hAnsi="Cambria"/>
          <w:sz w:val="16"/>
          <w:szCs w:val="16"/>
        </w:rPr>
        <w:t xml:space="preserve">objective and reasonable, evaluating </w:t>
      </w:r>
      <w:r w:rsidR="00621ED0">
        <w:rPr>
          <w:rFonts w:ascii="Cambria" w:hAnsi="Cambria"/>
          <w:sz w:val="16"/>
          <w:szCs w:val="16"/>
        </w:rPr>
        <w:t>it in a positive manner</w:t>
      </w:r>
      <w:r w:rsidR="006A086B" w:rsidRPr="006A086B">
        <w:rPr>
          <w:rFonts w:ascii="Cambria" w:hAnsi="Cambria"/>
          <w:sz w:val="16"/>
          <w:szCs w:val="16"/>
        </w:rPr>
        <w:t>.</w:t>
      </w:r>
    </w:p>
  </w:footnote>
  <w:footnote w:id="13">
    <w:p w14:paraId="69CB43F2" w14:textId="6744F897" w:rsidR="004B5F3A" w:rsidRPr="00CB1AAC" w:rsidRDefault="004B5F3A" w:rsidP="004B5F3A">
      <w:pPr>
        <w:tabs>
          <w:tab w:val="left" w:pos="0"/>
        </w:tabs>
        <w:ind w:firstLine="720"/>
        <w:jc w:val="both"/>
        <w:rPr>
          <w:rFonts w:ascii="Cambria" w:hAnsi="Cambria" w:cstheme="minorHAnsi"/>
          <w:sz w:val="16"/>
          <w:szCs w:val="16"/>
        </w:rPr>
      </w:pPr>
      <w:r w:rsidRPr="006A086B">
        <w:rPr>
          <w:rStyle w:val="FootnoteReference"/>
          <w:rFonts w:ascii="Cambria" w:hAnsi="Cambria"/>
          <w:sz w:val="16"/>
          <w:szCs w:val="16"/>
        </w:rPr>
        <w:footnoteRef/>
      </w:r>
      <w:r w:rsidRPr="006A086B">
        <w:rPr>
          <w:rFonts w:ascii="Cambria" w:hAnsi="Cambria"/>
          <w:sz w:val="16"/>
          <w:szCs w:val="16"/>
        </w:rPr>
        <w:t xml:space="preserve"> </w:t>
      </w:r>
      <w:r w:rsidR="006A086B" w:rsidRPr="006A086B">
        <w:rPr>
          <w:rFonts w:ascii="Cambria" w:hAnsi="Cambria" w:cstheme="minorHAnsi"/>
          <w:sz w:val="16"/>
          <w:szCs w:val="16"/>
        </w:rPr>
        <w:t xml:space="preserve">For example, in the </w:t>
      </w:r>
      <w:proofErr w:type="spellStart"/>
      <w:r w:rsidR="006A086B" w:rsidRPr="006A086B">
        <w:rPr>
          <w:rFonts w:ascii="Cambria" w:hAnsi="Cambria" w:cstheme="minorHAnsi"/>
          <w:sz w:val="16"/>
          <w:szCs w:val="16"/>
        </w:rPr>
        <w:t>Almonacid</w:t>
      </w:r>
      <w:proofErr w:type="spellEnd"/>
      <w:r w:rsidR="006A086B" w:rsidRPr="006A086B">
        <w:rPr>
          <w:rFonts w:ascii="Cambria" w:hAnsi="Cambria" w:cstheme="minorHAnsi"/>
          <w:sz w:val="16"/>
          <w:szCs w:val="16"/>
        </w:rPr>
        <w:t xml:space="preserve"> Arellano case, the Inter-American Court abstained from ordering the payment of compensation for </w:t>
      </w:r>
      <w:r w:rsidR="00621ED0">
        <w:rPr>
          <w:rFonts w:ascii="Cambria" w:hAnsi="Cambria" w:cstheme="minorHAnsi"/>
          <w:sz w:val="16"/>
          <w:szCs w:val="16"/>
        </w:rPr>
        <w:t xml:space="preserve">immaterial </w:t>
      </w:r>
      <w:r w:rsidR="006A086B" w:rsidRPr="006A086B">
        <w:rPr>
          <w:rFonts w:ascii="Cambria" w:hAnsi="Cambria" w:cstheme="minorHAnsi"/>
          <w:sz w:val="16"/>
          <w:szCs w:val="16"/>
        </w:rPr>
        <w:t>damage</w:t>
      </w:r>
      <w:r w:rsidR="00621ED0">
        <w:rPr>
          <w:rFonts w:ascii="Cambria" w:hAnsi="Cambria" w:cstheme="minorHAnsi"/>
          <w:sz w:val="16"/>
          <w:szCs w:val="16"/>
        </w:rPr>
        <w:t>s</w:t>
      </w:r>
      <w:r w:rsidR="006A086B" w:rsidRPr="006A086B">
        <w:rPr>
          <w:rFonts w:ascii="Cambria" w:hAnsi="Cambria" w:cstheme="minorHAnsi"/>
          <w:sz w:val="16"/>
          <w:szCs w:val="16"/>
        </w:rPr>
        <w:t xml:space="preserve"> to the victims because, at the domestic level ,they had already received compensation within a transitional justice process </w:t>
      </w:r>
      <w:r w:rsidR="00621ED0">
        <w:rPr>
          <w:rFonts w:ascii="Cambria" w:hAnsi="Cambria" w:cstheme="minorHAnsi"/>
          <w:sz w:val="16"/>
          <w:szCs w:val="16"/>
        </w:rPr>
        <w:t xml:space="preserve">which </w:t>
      </w:r>
      <w:r w:rsidR="006A086B" w:rsidRPr="006A086B">
        <w:rPr>
          <w:rFonts w:ascii="Cambria" w:hAnsi="Cambria" w:cstheme="minorHAnsi"/>
          <w:sz w:val="16"/>
          <w:szCs w:val="16"/>
        </w:rPr>
        <w:t xml:space="preserve">included the disbursement of monetary reparations; </w:t>
      </w:r>
      <w:r w:rsidR="00621ED0">
        <w:rPr>
          <w:rFonts w:ascii="Cambria" w:hAnsi="Cambria" w:cstheme="minorHAnsi"/>
          <w:sz w:val="16"/>
          <w:szCs w:val="16"/>
        </w:rPr>
        <w:t xml:space="preserve">even though </w:t>
      </w:r>
      <w:r w:rsidR="006A086B" w:rsidRPr="006A086B">
        <w:rPr>
          <w:rFonts w:ascii="Cambria" w:hAnsi="Cambria" w:cstheme="minorHAnsi"/>
          <w:sz w:val="16"/>
          <w:szCs w:val="16"/>
        </w:rPr>
        <w:t xml:space="preserve">the Court did order other forms of reparation, in addition to emphasizing that the sentence itself was a form of satisfaction </w:t>
      </w:r>
      <w:r w:rsidRPr="006A086B">
        <w:rPr>
          <w:rFonts w:ascii="Cambria" w:hAnsi="Cambria" w:cstheme="minorHAnsi"/>
          <w:sz w:val="16"/>
          <w:szCs w:val="16"/>
        </w:rPr>
        <w:t>[</w:t>
      </w:r>
      <w:r w:rsidR="006A086B" w:rsidRPr="006A086B">
        <w:rPr>
          <w:rFonts w:ascii="Cambria" w:hAnsi="Cambria"/>
          <w:sz w:val="16"/>
          <w:szCs w:val="16"/>
        </w:rPr>
        <w:t xml:space="preserve">I/A Court H.R., Case of </w:t>
      </w:r>
      <w:proofErr w:type="spellStart"/>
      <w:r w:rsidR="006A086B" w:rsidRPr="006A086B">
        <w:rPr>
          <w:rFonts w:ascii="Cambria" w:hAnsi="Cambria"/>
          <w:sz w:val="16"/>
          <w:szCs w:val="16"/>
        </w:rPr>
        <w:t>Almonacid</w:t>
      </w:r>
      <w:proofErr w:type="spellEnd"/>
      <w:r w:rsidR="006A086B" w:rsidRPr="006A086B">
        <w:rPr>
          <w:rFonts w:ascii="Cambria" w:hAnsi="Cambria"/>
          <w:sz w:val="16"/>
          <w:szCs w:val="16"/>
        </w:rPr>
        <w:t xml:space="preserve"> Arellano et al. v. Chile. Preliminary Objections, Merits, Reparations and Costs. Judgment of September 26, 2006. </w:t>
      </w:r>
      <w:r w:rsidR="006A086B" w:rsidRPr="00CB1AAC">
        <w:rPr>
          <w:rFonts w:ascii="Cambria" w:hAnsi="Cambria"/>
          <w:sz w:val="16"/>
          <w:szCs w:val="16"/>
        </w:rPr>
        <w:t>Series C No. 154</w:t>
      </w:r>
      <w:r w:rsidRPr="00CB1AAC">
        <w:rPr>
          <w:rFonts w:ascii="Cambria" w:hAnsi="Cambria"/>
          <w:sz w:val="16"/>
          <w:szCs w:val="16"/>
        </w:rPr>
        <w:t>, p</w:t>
      </w:r>
      <w:r w:rsidR="006A086B" w:rsidRPr="00CB1AAC">
        <w:rPr>
          <w:rFonts w:ascii="Cambria" w:hAnsi="Cambria"/>
          <w:sz w:val="16"/>
          <w:szCs w:val="16"/>
        </w:rPr>
        <w:t>ar</w:t>
      </w:r>
      <w:r w:rsidRPr="00CB1AAC">
        <w:rPr>
          <w:rFonts w:ascii="Cambria" w:hAnsi="Cambria"/>
          <w:sz w:val="16"/>
          <w:szCs w:val="16"/>
        </w:rPr>
        <w:t xml:space="preserve">. 161]. </w:t>
      </w:r>
      <w:r w:rsidR="006A086B" w:rsidRPr="006A086B">
        <w:rPr>
          <w:rFonts w:ascii="Cambria" w:hAnsi="Cambria" w:cstheme="minorHAnsi"/>
          <w:sz w:val="16"/>
          <w:szCs w:val="16"/>
        </w:rPr>
        <w:t xml:space="preserve">Likewise, in the case of the Santo Domingo Massacre, the Court decided not to order the payment of compensation to the next of kin of </w:t>
      </w:r>
      <w:r w:rsidR="006A086B">
        <w:rPr>
          <w:rFonts w:ascii="Cambria" w:hAnsi="Cambria" w:cstheme="minorHAnsi"/>
          <w:sz w:val="16"/>
          <w:szCs w:val="16"/>
        </w:rPr>
        <w:t xml:space="preserve">the </w:t>
      </w:r>
      <w:r w:rsidR="006A086B" w:rsidRPr="006A086B">
        <w:rPr>
          <w:rFonts w:ascii="Cambria" w:hAnsi="Cambria" w:cstheme="minorHAnsi"/>
          <w:sz w:val="16"/>
          <w:szCs w:val="16"/>
        </w:rPr>
        <w:t>deceased</w:t>
      </w:r>
      <w:r w:rsidR="00621ED0">
        <w:rPr>
          <w:rFonts w:ascii="Cambria" w:hAnsi="Cambria" w:cstheme="minorHAnsi"/>
          <w:sz w:val="16"/>
          <w:szCs w:val="16"/>
        </w:rPr>
        <w:t xml:space="preserve"> victims</w:t>
      </w:r>
      <w:r w:rsidR="006A086B" w:rsidRPr="006A086B">
        <w:rPr>
          <w:rFonts w:ascii="Cambria" w:hAnsi="Cambria" w:cstheme="minorHAnsi"/>
          <w:sz w:val="16"/>
          <w:szCs w:val="16"/>
        </w:rPr>
        <w:t xml:space="preserve"> and to the surviving victims who had already obtained administrative judicial reparations for the same events at the national level</w:t>
      </w:r>
      <w:r w:rsidRPr="006A086B">
        <w:rPr>
          <w:rFonts w:ascii="Cambria" w:hAnsi="Cambria" w:cstheme="minorHAnsi"/>
          <w:sz w:val="16"/>
          <w:szCs w:val="16"/>
        </w:rPr>
        <w:t xml:space="preserve"> [</w:t>
      </w:r>
      <w:r w:rsidR="006A086B" w:rsidRPr="006A086B">
        <w:rPr>
          <w:rFonts w:ascii="Cambria" w:hAnsi="Cambria" w:cstheme="minorHAnsi"/>
          <w:sz w:val="16"/>
          <w:szCs w:val="16"/>
        </w:rPr>
        <w:t xml:space="preserve">I/A Court H.R., Case of the Santo Domingo Massacre v. Colombia. Preliminary Objections, Merits, Reparations and Costs. </w:t>
      </w:r>
      <w:r w:rsidR="00621ED0" w:rsidRPr="006A086B">
        <w:rPr>
          <w:rFonts w:ascii="Cambria" w:hAnsi="Cambria" w:cstheme="minorHAnsi"/>
          <w:sz w:val="16"/>
          <w:szCs w:val="16"/>
        </w:rPr>
        <w:t xml:space="preserve">Judgment </w:t>
      </w:r>
      <w:r w:rsidR="00621ED0">
        <w:rPr>
          <w:rFonts w:ascii="Cambria" w:hAnsi="Cambria" w:cstheme="minorHAnsi"/>
          <w:sz w:val="16"/>
          <w:szCs w:val="16"/>
        </w:rPr>
        <w:t xml:space="preserve">of November 30, 2012. </w:t>
      </w:r>
      <w:r w:rsidR="006A086B" w:rsidRPr="00CB1AAC">
        <w:rPr>
          <w:rFonts w:ascii="Cambria" w:hAnsi="Cambria" w:cstheme="minorHAnsi"/>
          <w:sz w:val="16"/>
          <w:szCs w:val="16"/>
        </w:rPr>
        <w:t xml:space="preserve"> Series C No. 2</w:t>
      </w:r>
      <w:r w:rsidR="00621ED0">
        <w:rPr>
          <w:rFonts w:ascii="Cambria" w:hAnsi="Cambria" w:cstheme="minorHAnsi"/>
          <w:sz w:val="16"/>
          <w:szCs w:val="16"/>
        </w:rPr>
        <w:t>59</w:t>
      </w:r>
      <w:r w:rsidR="006A086B" w:rsidRPr="00CB1AAC">
        <w:rPr>
          <w:rFonts w:ascii="Cambria" w:hAnsi="Cambria" w:cstheme="minorHAnsi"/>
          <w:sz w:val="16"/>
          <w:szCs w:val="16"/>
        </w:rPr>
        <w:t>, par</w:t>
      </w:r>
      <w:r w:rsidRPr="00CB1AAC">
        <w:rPr>
          <w:rFonts w:ascii="Cambria" w:hAnsi="Cambria" w:cstheme="minorHAnsi"/>
          <w:sz w:val="16"/>
          <w:szCs w:val="16"/>
        </w:rPr>
        <w:t>. 336].</w:t>
      </w:r>
    </w:p>
  </w:footnote>
  <w:footnote w:id="14">
    <w:p w14:paraId="335B4260" w14:textId="7D3C25EA" w:rsidR="004B5F3A" w:rsidRPr="00CB1AAC" w:rsidRDefault="004B5F3A" w:rsidP="004B5F3A">
      <w:pPr>
        <w:pStyle w:val="FootnoteText"/>
        <w:tabs>
          <w:tab w:val="left" w:pos="0"/>
        </w:tabs>
        <w:ind w:firstLine="720"/>
        <w:jc w:val="both"/>
        <w:rPr>
          <w:rFonts w:ascii="Cambria" w:hAnsi="Cambria" w:cstheme="minorHAnsi"/>
          <w:sz w:val="16"/>
          <w:szCs w:val="16"/>
          <w:highlight w:val="yellow"/>
        </w:rPr>
      </w:pPr>
      <w:r w:rsidRPr="006A086B">
        <w:rPr>
          <w:rStyle w:val="FootnoteReference"/>
          <w:rFonts w:ascii="Cambria" w:hAnsi="Cambria" w:cstheme="minorHAnsi"/>
          <w:sz w:val="16"/>
          <w:szCs w:val="16"/>
        </w:rPr>
        <w:footnoteRef/>
      </w:r>
      <w:r w:rsidRPr="006A086B">
        <w:rPr>
          <w:rFonts w:ascii="Cambria" w:hAnsi="Cambria" w:cstheme="minorHAnsi"/>
          <w:sz w:val="16"/>
          <w:szCs w:val="16"/>
        </w:rPr>
        <w:t xml:space="preserve"> </w:t>
      </w:r>
      <w:r w:rsidR="006A086B" w:rsidRPr="006A086B">
        <w:rPr>
          <w:rFonts w:ascii="Cambria" w:hAnsi="Cambria" w:cstheme="minorHAnsi"/>
          <w:sz w:val="16"/>
          <w:szCs w:val="16"/>
        </w:rPr>
        <w:t xml:space="preserve">In the case of the </w:t>
      </w:r>
      <w:proofErr w:type="spellStart"/>
      <w:r w:rsidR="006A086B" w:rsidRPr="006A086B">
        <w:rPr>
          <w:rFonts w:ascii="Cambria" w:hAnsi="Cambria" w:cstheme="minorHAnsi"/>
          <w:sz w:val="16"/>
          <w:szCs w:val="16"/>
        </w:rPr>
        <w:t>Ituango</w:t>
      </w:r>
      <w:proofErr w:type="spellEnd"/>
      <w:r w:rsidR="006A086B" w:rsidRPr="006A086B">
        <w:rPr>
          <w:rFonts w:ascii="Cambria" w:hAnsi="Cambria" w:cstheme="minorHAnsi"/>
          <w:sz w:val="16"/>
          <w:szCs w:val="16"/>
        </w:rPr>
        <w:t xml:space="preserve"> Massacres, several of the victims who had come </w:t>
      </w:r>
      <w:r w:rsidR="006A086B">
        <w:rPr>
          <w:rFonts w:ascii="Cambria" w:hAnsi="Cambria" w:cstheme="minorHAnsi"/>
          <w:sz w:val="16"/>
          <w:szCs w:val="16"/>
        </w:rPr>
        <w:t>to</w:t>
      </w:r>
      <w:r w:rsidR="006A086B" w:rsidRPr="006A086B">
        <w:rPr>
          <w:rFonts w:ascii="Cambria" w:hAnsi="Cambria" w:cstheme="minorHAnsi"/>
          <w:sz w:val="16"/>
          <w:szCs w:val="16"/>
        </w:rPr>
        <w:t xml:space="preserve"> the IAHRS had already received reparations at the </w:t>
      </w:r>
      <w:r w:rsidR="00621ED0">
        <w:rPr>
          <w:rFonts w:ascii="Cambria" w:hAnsi="Cambria" w:cstheme="minorHAnsi"/>
          <w:sz w:val="16"/>
          <w:szCs w:val="16"/>
        </w:rPr>
        <w:t>domestic</w:t>
      </w:r>
      <w:r w:rsidR="006A086B" w:rsidRPr="006A086B">
        <w:rPr>
          <w:rFonts w:ascii="Cambria" w:hAnsi="Cambria" w:cstheme="minorHAnsi"/>
          <w:sz w:val="16"/>
          <w:szCs w:val="16"/>
        </w:rPr>
        <w:t xml:space="preserve"> level through </w:t>
      </w:r>
      <w:r w:rsidR="00621ED0">
        <w:rPr>
          <w:rFonts w:ascii="Cambria" w:hAnsi="Cambria" w:cstheme="minorHAnsi"/>
          <w:sz w:val="16"/>
          <w:szCs w:val="16"/>
        </w:rPr>
        <w:t xml:space="preserve">settlement </w:t>
      </w:r>
      <w:r w:rsidR="006A086B" w:rsidRPr="006A086B">
        <w:rPr>
          <w:rFonts w:ascii="Cambria" w:hAnsi="Cambria" w:cstheme="minorHAnsi"/>
          <w:sz w:val="16"/>
          <w:szCs w:val="16"/>
        </w:rPr>
        <w:t xml:space="preserve">agreements </w:t>
      </w:r>
      <w:r w:rsidR="00621ED0">
        <w:rPr>
          <w:rFonts w:ascii="Cambria" w:hAnsi="Cambria" w:cstheme="minorHAnsi"/>
          <w:sz w:val="16"/>
          <w:szCs w:val="16"/>
        </w:rPr>
        <w:t xml:space="preserve">executed </w:t>
      </w:r>
      <w:r w:rsidR="006A086B" w:rsidRPr="006A086B">
        <w:rPr>
          <w:rFonts w:ascii="Cambria" w:hAnsi="Cambria" w:cstheme="minorHAnsi"/>
          <w:sz w:val="16"/>
          <w:szCs w:val="16"/>
        </w:rPr>
        <w:t>in the course of administrative judicial proce</w:t>
      </w:r>
      <w:r w:rsidR="00621ED0">
        <w:rPr>
          <w:rFonts w:ascii="Cambria" w:hAnsi="Cambria" w:cstheme="minorHAnsi"/>
          <w:sz w:val="16"/>
          <w:szCs w:val="16"/>
        </w:rPr>
        <w:t>edings</w:t>
      </w:r>
      <w:r w:rsidR="006A086B" w:rsidRPr="006A086B">
        <w:rPr>
          <w:rFonts w:ascii="Cambria" w:hAnsi="Cambria" w:cstheme="minorHAnsi"/>
          <w:sz w:val="16"/>
          <w:szCs w:val="16"/>
        </w:rPr>
        <w:t xml:space="preserve">, and others had such </w:t>
      </w:r>
      <w:r w:rsidR="00621ED0">
        <w:rPr>
          <w:rFonts w:ascii="Cambria" w:hAnsi="Cambria" w:cstheme="minorHAnsi"/>
          <w:sz w:val="16"/>
          <w:szCs w:val="16"/>
        </w:rPr>
        <w:t xml:space="preserve">proceedings </w:t>
      </w:r>
      <w:r w:rsidR="006A086B" w:rsidRPr="006A086B">
        <w:rPr>
          <w:rFonts w:ascii="Cambria" w:hAnsi="Cambria" w:cstheme="minorHAnsi"/>
          <w:sz w:val="16"/>
          <w:szCs w:val="16"/>
        </w:rPr>
        <w:t xml:space="preserve">still in progress before </w:t>
      </w:r>
      <w:r w:rsidR="00621ED0">
        <w:rPr>
          <w:rFonts w:ascii="Cambria" w:hAnsi="Cambria" w:cstheme="minorHAnsi"/>
          <w:sz w:val="16"/>
          <w:szCs w:val="16"/>
        </w:rPr>
        <w:t xml:space="preserve">the </w:t>
      </w:r>
      <w:r w:rsidR="006A086B" w:rsidRPr="006A086B">
        <w:rPr>
          <w:rFonts w:ascii="Cambria" w:hAnsi="Cambria" w:cstheme="minorHAnsi"/>
          <w:sz w:val="16"/>
          <w:szCs w:val="16"/>
        </w:rPr>
        <w:t xml:space="preserve">domestic courts. The Inter-American Court took note of said compensation already received, especially </w:t>
      </w:r>
      <w:r w:rsidR="00621ED0">
        <w:rPr>
          <w:rFonts w:ascii="Cambria" w:hAnsi="Cambria" w:cstheme="minorHAnsi"/>
          <w:sz w:val="16"/>
          <w:szCs w:val="16"/>
        </w:rPr>
        <w:t xml:space="preserve">insofar </w:t>
      </w:r>
      <w:r w:rsidR="006A086B" w:rsidRPr="006A086B">
        <w:rPr>
          <w:rFonts w:ascii="Cambria" w:hAnsi="Cambria" w:cstheme="minorHAnsi"/>
          <w:sz w:val="16"/>
          <w:szCs w:val="16"/>
        </w:rPr>
        <w:t xml:space="preserve">as they repaired the same </w:t>
      </w:r>
      <w:r w:rsidR="00621ED0">
        <w:rPr>
          <w:rFonts w:ascii="Cambria" w:hAnsi="Cambria" w:cstheme="minorHAnsi"/>
          <w:sz w:val="16"/>
          <w:szCs w:val="16"/>
        </w:rPr>
        <w:t xml:space="preserve">material </w:t>
      </w:r>
      <w:r w:rsidR="006A086B" w:rsidRPr="006A086B">
        <w:rPr>
          <w:rFonts w:ascii="Cambria" w:hAnsi="Cambria" w:cstheme="minorHAnsi"/>
          <w:sz w:val="16"/>
          <w:szCs w:val="16"/>
        </w:rPr>
        <w:t xml:space="preserve">and </w:t>
      </w:r>
      <w:r w:rsidR="00621ED0">
        <w:rPr>
          <w:rFonts w:ascii="Cambria" w:hAnsi="Cambria" w:cstheme="minorHAnsi"/>
          <w:sz w:val="16"/>
          <w:szCs w:val="16"/>
        </w:rPr>
        <w:t xml:space="preserve">immaterial </w:t>
      </w:r>
      <w:r w:rsidR="006A086B" w:rsidRPr="006A086B">
        <w:rPr>
          <w:rFonts w:ascii="Cambria" w:hAnsi="Cambria" w:cstheme="minorHAnsi"/>
          <w:sz w:val="16"/>
          <w:szCs w:val="16"/>
        </w:rPr>
        <w:t xml:space="preserve">damages that were being evaluated at the inter-American level, in order not to duplicate them in its ruling; and </w:t>
      </w:r>
      <w:r w:rsidR="00621ED0">
        <w:rPr>
          <w:rFonts w:ascii="Cambria" w:hAnsi="Cambria" w:cstheme="minorHAnsi"/>
          <w:sz w:val="16"/>
          <w:szCs w:val="16"/>
        </w:rPr>
        <w:t xml:space="preserve">it </w:t>
      </w:r>
      <w:r w:rsidR="006A086B" w:rsidRPr="006A086B">
        <w:rPr>
          <w:rFonts w:ascii="Cambria" w:hAnsi="Cambria" w:cstheme="minorHAnsi"/>
          <w:sz w:val="16"/>
          <w:szCs w:val="16"/>
        </w:rPr>
        <w:t xml:space="preserve">recalled that one of the guidelines for international compensation is that </w:t>
      </w:r>
      <w:r w:rsidR="00621ED0">
        <w:rPr>
          <w:rFonts w:ascii="Cambria" w:hAnsi="Cambria" w:cstheme="minorHAnsi"/>
          <w:sz w:val="16"/>
          <w:szCs w:val="16"/>
        </w:rPr>
        <w:t xml:space="preserve">it </w:t>
      </w:r>
      <w:r w:rsidR="006A086B" w:rsidRPr="006A086B">
        <w:rPr>
          <w:rFonts w:ascii="Cambria" w:hAnsi="Cambria" w:cstheme="minorHAnsi"/>
          <w:sz w:val="16"/>
          <w:szCs w:val="16"/>
        </w:rPr>
        <w:t>should neither enrich nor impoverish the victim. Regarding the people who had legal proceedings in progress, the Inter-American Court ordered that they be compensated but expressly instructing the State to communicate th</w:t>
      </w:r>
      <w:r w:rsidR="00584A38">
        <w:rPr>
          <w:rFonts w:ascii="Cambria" w:hAnsi="Cambria" w:cstheme="minorHAnsi"/>
          <w:sz w:val="16"/>
          <w:szCs w:val="16"/>
        </w:rPr>
        <w:t>at</w:t>
      </w:r>
      <w:r w:rsidR="006A086B" w:rsidRPr="006A086B">
        <w:rPr>
          <w:rFonts w:ascii="Cambria" w:hAnsi="Cambria" w:cstheme="minorHAnsi"/>
          <w:sz w:val="16"/>
          <w:szCs w:val="16"/>
        </w:rPr>
        <w:t xml:space="preserve"> fact to the courts that </w:t>
      </w:r>
      <w:r w:rsidR="00584A38">
        <w:rPr>
          <w:rFonts w:ascii="Cambria" w:hAnsi="Cambria" w:cstheme="minorHAnsi"/>
          <w:sz w:val="16"/>
          <w:szCs w:val="16"/>
        </w:rPr>
        <w:t xml:space="preserve">were </w:t>
      </w:r>
      <w:r w:rsidR="006A086B" w:rsidRPr="006A086B">
        <w:rPr>
          <w:rFonts w:ascii="Cambria" w:hAnsi="Cambria" w:cstheme="minorHAnsi"/>
          <w:sz w:val="16"/>
          <w:szCs w:val="16"/>
        </w:rPr>
        <w:t>hear</w:t>
      </w:r>
      <w:r w:rsidR="00584A38">
        <w:rPr>
          <w:rFonts w:ascii="Cambria" w:hAnsi="Cambria" w:cstheme="minorHAnsi"/>
          <w:sz w:val="16"/>
          <w:szCs w:val="16"/>
        </w:rPr>
        <w:t>ing</w:t>
      </w:r>
      <w:r w:rsidR="006A086B" w:rsidRPr="006A086B">
        <w:rPr>
          <w:rFonts w:ascii="Cambria" w:hAnsi="Cambria" w:cstheme="minorHAnsi"/>
          <w:sz w:val="16"/>
          <w:szCs w:val="16"/>
        </w:rPr>
        <w:t xml:space="preserve"> the cases so that they could decide what was appropriate there</w:t>
      </w:r>
      <w:r w:rsidRPr="006A086B">
        <w:rPr>
          <w:rFonts w:ascii="Cambria" w:hAnsi="Cambria" w:cstheme="minorHAnsi"/>
          <w:sz w:val="16"/>
          <w:szCs w:val="16"/>
        </w:rPr>
        <w:t xml:space="preserve"> [</w:t>
      </w:r>
      <w:r w:rsidR="006A086B" w:rsidRPr="006A086B">
        <w:rPr>
          <w:rFonts w:ascii="Cambria" w:hAnsi="Cambria" w:cstheme="minorHAnsi"/>
          <w:sz w:val="16"/>
          <w:szCs w:val="16"/>
        </w:rPr>
        <w:t xml:space="preserve">I/A Court H.R., Case of the </w:t>
      </w:r>
      <w:proofErr w:type="spellStart"/>
      <w:r w:rsidR="006A086B" w:rsidRPr="006A086B">
        <w:rPr>
          <w:rFonts w:ascii="Cambria" w:hAnsi="Cambria" w:cstheme="minorHAnsi"/>
          <w:sz w:val="16"/>
          <w:szCs w:val="16"/>
        </w:rPr>
        <w:t>Ituango</w:t>
      </w:r>
      <w:proofErr w:type="spellEnd"/>
      <w:r w:rsidR="006A086B" w:rsidRPr="006A086B">
        <w:rPr>
          <w:rFonts w:ascii="Cambria" w:hAnsi="Cambria" w:cstheme="minorHAnsi"/>
          <w:sz w:val="16"/>
          <w:szCs w:val="16"/>
        </w:rPr>
        <w:t xml:space="preserve"> Massacres v. Colombia. Preliminary Objection, Merits, Reparations and Costs. Judgment of July 1, 2006. </w:t>
      </w:r>
      <w:r w:rsidR="006A086B" w:rsidRPr="00CB1AAC">
        <w:rPr>
          <w:rFonts w:ascii="Cambria" w:hAnsi="Cambria" w:cstheme="minorHAnsi"/>
          <w:sz w:val="16"/>
          <w:szCs w:val="16"/>
        </w:rPr>
        <w:t xml:space="preserve">Series C No. 148, par. </w:t>
      </w:r>
      <w:r w:rsidRPr="00CB1AAC">
        <w:rPr>
          <w:rFonts w:ascii="Cambria" w:hAnsi="Cambria" w:cstheme="minorHAnsi"/>
          <w:sz w:val="16"/>
          <w:szCs w:val="16"/>
        </w:rPr>
        <w:t xml:space="preserve">376]. </w:t>
      </w:r>
      <w:r w:rsidR="006A086B" w:rsidRPr="006A086B">
        <w:rPr>
          <w:rFonts w:ascii="Cambria" w:hAnsi="Cambria" w:cstheme="minorHAnsi"/>
          <w:sz w:val="16"/>
          <w:szCs w:val="16"/>
        </w:rPr>
        <w:t xml:space="preserve">A similar decision was adopted in the case of the </w:t>
      </w:r>
      <w:proofErr w:type="spellStart"/>
      <w:r w:rsidR="006A086B" w:rsidRPr="006A086B">
        <w:rPr>
          <w:rFonts w:ascii="Cambria" w:hAnsi="Cambria" w:cstheme="minorHAnsi"/>
          <w:sz w:val="16"/>
          <w:szCs w:val="16"/>
        </w:rPr>
        <w:t>Rochela</w:t>
      </w:r>
      <w:proofErr w:type="spellEnd"/>
      <w:r w:rsidR="006A086B" w:rsidRPr="006A086B">
        <w:rPr>
          <w:rFonts w:ascii="Cambria" w:hAnsi="Cambria" w:cstheme="minorHAnsi"/>
          <w:sz w:val="16"/>
          <w:szCs w:val="16"/>
        </w:rPr>
        <w:t xml:space="preserve"> Massacre, in which the Court authorized the Colombian State to </w:t>
      </w:r>
      <w:r w:rsidR="00584A38">
        <w:rPr>
          <w:rFonts w:ascii="Cambria" w:hAnsi="Cambria" w:cstheme="minorHAnsi"/>
          <w:sz w:val="16"/>
          <w:szCs w:val="16"/>
        </w:rPr>
        <w:t>deduct</w:t>
      </w:r>
      <w:r w:rsidR="006A086B" w:rsidRPr="006A086B">
        <w:rPr>
          <w:rFonts w:ascii="Cambria" w:hAnsi="Cambria" w:cstheme="minorHAnsi"/>
          <w:sz w:val="16"/>
          <w:szCs w:val="16"/>
        </w:rPr>
        <w:t xml:space="preserve"> the amounts that the victims had already received for judicially </w:t>
      </w:r>
      <w:r w:rsidR="00584A38">
        <w:rPr>
          <w:rFonts w:ascii="Cambria" w:hAnsi="Cambria" w:cstheme="minorHAnsi"/>
          <w:sz w:val="16"/>
          <w:szCs w:val="16"/>
        </w:rPr>
        <w:t xml:space="preserve">ordered reparations </w:t>
      </w:r>
      <w:r w:rsidR="006A086B" w:rsidRPr="006A086B">
        <w:rPr>
          <w:rFonts w:ascii="Cambria" w:hAnsi="Cambria" w:cstheme="minorHAnsi"/>
          <w:sz w:val="16"/>
          <w:szCs w:val="16"/>
        </w:rPr>
        <w:t xml:space="preserve">at the domestic level, </w:t>
      </w:r>
      <w:r w:rsidR="00584A38">
        <w:rPr>
          <w:rFonts w:ascii="Cambria" w:hAnsi="Cambria" w:cstheme="minorHAnsi"/>
          <w:sz w:val="16"/>
          <w:szCs w:val="16"/>
        </w:rPr>
        <w:t xml:space="preserve">at the moment of </w:t>
      </w:r>
      <w:r w:rsidR="006A086B" w:rsidRPr="006A086B">
        <w:rPr>
          <w:rFonts w:ascii="Cambria" w:hAnsi="Cambria" w:cstheme="minorHAnsi"/>
          <w:sz w:val="16"/>
          <w:szCs w:val="16"/>
        </w:rPr>
        <w:t>making the payment</w:t>
      </w:r>
      <w:r w:rsidRPr="006A086B">
        <w:rPr>
          <w:rFonts w:ascii="Cambria" w:hAnsi="Cambria" w:cstheme="minorHAnsi"/>
          <w:sz w:val="16"/>
          <w:szCs w:val="16"/>
        </w:rPr>
        <w:t xml:space="preserve"> [</w:t>
      </w:r>
      <w:r w:rsidR="006A086B" w:rsidRPr="006A086B">
        <w:rPr>
          <w:rFonts w:ascii="Cambria" w:hAnsi="Cambria" w:cstheme="minorHAnsi"/>
          <w:sz w:val="16"/>
          <w:szCs w:val="16"/>
        </w:rPr>
        <w:t xml:space="preserve">I/A Court H.R., Case of the </w:t>
      </w:r>
      <w:proofErr w:type="spellStart"/>
      <w:r w:rsidR="006A086B" w:rsidRPr="006A086B">
        <w:rPr>
          <w:rFonts w:ascii="Cambria" w:hAnsi="Cambria" w:cstheme="minorHAnsi"/>
          <w:sz w:val="16"/>
          <w:szCs w:val="16"/>
        </w:rPr>
        <w:t>Rochela</w:t>
      </w:r>
      <w:proofErr w:type="spellEnd"/>
      <w:r w:rsidR="006A086B" w:rsidRPr="006A086B">
        <w:rPr>
          <w:rFonts w:ascii="Cambria" w:hAnsi="Cambria" w:cstheme="minorHAnsi"/>
          <w:sz w:val="16"/>
          <w:szCs w:val="16"/>
        </w:rPr>
        <w:t xml:space="preserve"> Massacre v. Colombia. Interpretation of the Judgment on Merits, Reparations and Costs. Judgment of January 28, 2008. </w:t>
      </w:r>
      <w:r w:rsidR="006A086B" w:rsidRPr="00CB1AAC">
        <w:rPr>
          <w:rFonts w:ascii="Cambria" w:hAnsi="Cambria" w:cstheme="minorHAnsi"/>
          <w:sz w:val="16"/>
          <w:szCs w:val="16"/>
        </w:rPr>
        <w:t>Series C No. 175, par</w:t>
      </w:r>
      <w:r w:rsidRPr="00CB1AAC">
        <w:rPr>
          <w:rFonts w:ascii="Cambria" w:hAnsi="Cambria" w:cstheme="minorHAnsi"/>
          <w:sz w:val="16"/>
          <w:szCs w:val="16"/>
        </w:rPr>
        <w:t xml:space="preserve">. 250]. </w:t>
      </w:r>
      <w:r w:rsidR="006A086B" w:rsidRPr="006A086B">
        <w:rPr>
          <w:rFonts w:ascii="Cambria" w:hAnsi="Cambria" w:cstheme="minorHAnsi"/>
          <w:sz w:val="16"/>
          <w:szCs w:val="16"/>
        </w:rPr>
        <w:t xml:space="preserve">Likewise, </w:t>
      </w:r>
      <w:r w:rsidR="00584A38">
        <w:rPr>
          <w:rFonts w:ascii="Cambria" w:hAnsi="Cambria" w:cstheme="minorHAnsi"/>
          <w:sz w:val="16"/>
          <w:szCs w:val="16"/>
        </w:rPr>
        <w:t xml:space="preserve">in </w:t>
      </w:r>
      <w:r w:rsidR="006A086B" w:rsidRPr="006A086B">
        <w:rPr>
          <w:rFonts w:ascii="Cambria" w:hAnsi="Cambria" w:cstheme="minorHAnsi"/>
          <w:sz w:val="16"/>
          <w:szCs w:val="16"/>
        </w:rPr>
        <w:t>setting the inter-American compensation</w:t>
      </w:r>
      <w:r w:rsidR="006A086B">
        <w:rPr>
          <w:rFonts w:ascii="Cambria" w:hAnsi="Cambria" w:cstheme="minorHAnsi"/>
          <w:sz w:val="16"/>
          <w:szCs w:val="16"/>
        </w:rPr>
        <w:t>,</w:t>
      </w:r>
      <w:r w:rsidR="006A086B" w:rsidRPr="006A086B">
        <w:rPr>
          <w:rFonts w:ascii="Cambria" w:hAnsi="Cambria" w:cstheme="minorHAnsi"/>
          <w:sz w:val="16"/>
          <w:szCs w:val="16"/>
        </w:rPr>
        <w:t xml:space="preserve"> the Court has taken into account the amounts that people have received as administrative reparations at the domestic level, as is the case with </w:t>
      </w:r>
      <w:r w:rsidR="00584A38">
        <w:rPr>
          <w:rFonts w:ascii="Cambria" w:hAnsi="Cambria" w:cstheme="minorHAnsi"/>
          <w:sz w:val="16"/>
          <w:szCs w:val="16"/>
        </w:rPr>
        <w:t xml:space="preserve">the </w:t>
      </w:r>
      <w:r w:rsidR="006A086B" w:rsidRPr="006A086B">
        <w:rPr>
          <w:rFonts w:ascii="Cambria" w:hAnsi="Cambria" w:cstheme="minorHAnsi"/>
          <w:sz w:val="16"/>
          <w:szCs w:val="16"/>
        </w:rPr>
        <w:t xml:space="preserve">victims of forced displacement in Colombia; </w:t>
      </w:r>
      <w:r w:rsidR="00584A38">
        <w:rPr>
          <w:rFonts w:ascii="Cambria" w:hAnsi="Cambria" w:cstheme="minorHAnsi"/>
          <w:sz w:val="16"/>
          <w:szCs w:val="16"/>
        </w:rPr>
        <w:t>i</w:t>
      </w:r>
      <w:r w:rsidR="006A086B" w:rsidRPr="006A086B">
        <w:rPr>
          <w:rFonts w:ascii="Cambria" w:hAnsi="Cambria" w:cstheme="minorHAnsi"/>
          <w:sz w:val="16"/>
          <w:szCs w:val="16"/>
        </w:rPr>
        <w:t xml:space="preserve">n the case of the </w:t>
      </w:r>
      <w:proofErr w:type="spellStart"/>
      <w:r w:rsidR="006A086B" w:rsidRPr="006A086B">
        <w:rPr>
          <w:rFonts w:ascii="Cambria" w:hAnsi="Cambria" w:cstheme="minorHAnsi"/>
          <w:sz w:val="16"/>
          <w:szCs w:val="16"/>
        </w:rPr>
        <w:t>Ituango</w:t>
      </w:r>
      <w:proofErr w:type="spellEnd"/>
      <w:r w:rsidR="006A086B" w:rsidRPr="006A086B">
        <w:rPr>
          <w:rFonts w:ascii="Cambria" w:hAnsi="Cambria" w:cstheme="minorHAnsi"/>
          <w:sz w:val="16"/>
          <w:szCs w:val="16"/>
        </w:rPr>
        <w:t xml:space="preserve"> Massacres, it was taken into account that several of the beneficiaries had already received such national administrative aid</w:t>
      </w:r>
      <w:r w:rsidRPr="006A086B">
        <w:rPr>
          <w:rFonts w:ascii="Cambria" w:hAnsi="Cambria" w:cstheme="minorHAnsi"/>
          <w:sz w:val="16"/>
          <w:szCs w:val="16"/>
        </w:rPr>
        <w:t xml:space="preserve"> [</w:t>
      </w:r>
      <w:r w:rsidR="006A086B" w:rsidRPr="006A086B">
        <w:rPr>
          <w:rFonts w:ascii="Cambria" w:hAnsi="Cambria" w:cstheme="minorHAnsi"/>
          <w:sz w:val="16"/>
          <w:szCs w:val="16"/>
        </w:rPr>
        <w:t xml:space="preserve">I/A Court H.R., Case of the </w:t>
      </w:r>
      <w:proofErr w:type="spellStart"/>
      <w:r w:rsidR="006A086B" w:rsidRPr="006A086B">
        <w:rPr>
          <w:rFonts w:ascii="Cambria" w:hAnsi="Cambria" w:cstheme="minorHAnsi"/>
          <w:sz w:val="16"/>
          <w:szCs w:val="16"/>
        </w:rPr>
        <w:t>Ituango</w:t>
      </w:r>
      <w:proofErr w:type="spellEnd"/>
      <w:r w:rsidR="006A086B" w:rsidRPr="006A086B">
        <w:rPr>
          <w:rFonts w:ascii="Cambria" w:hAnsi="Cambria" w:cstheme="minorHAnsi"/>
          <w:sz w:val="16"/>
          <w:szCs w:val="16"/>
        </w:rPr>
        <w:t xml:space="preserve"> Massacres v. Colombia. Preliminary Objection, Merits, Reparations and Costs. Judgment of July 1, 2006. </w:t>
      </w:r>
      <w:r w:rsidR="006A086B" w:rsidRPr="00CB1AAC">
        <w:rPr>
          <w:rFonts w:ascii="Cambria" w:hAnsi="Cambria" w:cstheme="minorHAnsi"/>
          <w:sz w:val="16"/>
          <w:szCs w:val="16"/>
        </w:rPr>
        <w:t>Series C No. 148, par</w:t>
      </w:r>
      <w:r w:rsidRPr="00CB1AAC">
        <w:rPr>
          <w:rFonts w:ascii="Cambria" w:hAnsi="Cambria" w:cstheme="minorHAnsi"/>
          <w:sz w:val="16"/>
          <w:szCs w:val="16"/>
        </w:rPr>
        <w:t xml:space="preserve">. 378]. </w:t>
      </w:r>
      <w:r w:rsidR="006A086B" w:rsidRPr="006A086B">
        <w:rPr>
          <w:rFonts w:ascii="Cambria" w:hAnsi="Cambria" w:cstheme="minorHAnsi"/>
          <w:sz w:val="16"/>
          <w:szCs w:val="16"/>
        </w:rPr>
        <w:t>A</w:t>
      </w:r>
      <w:r w:rsidR="00584A38">
        <w:rPr>
          <w:rFonts w:ascii="Cambria" w:hAnsi="Cambria" w:cstheme="minorHAnsi"/>
          <w:sz w:val="16"/>
          <w:szCs w:val="16"/>
        </w:rPr>
        <w:t>n</w:t>
      </w:r>
      <w:r w:rsidR="006A086B" w:rsidRPr="006A086B">
        <w:rPr>
          <w:rFonts w:ascii="Cambria" w:hAnsi="Cambria" w:cstheme="minorHAnsi"/>
          <w:sz w:val="16"/>
          <w:szCs w:val="16"/>
        </w:rPr>
        <w:t xml:space="preserve"> </w:t>
      </w:r>
      <w:r w:rsidR="00584A38">
        <w:rPr>
          <w:rFonts w:ascii="Cambria" w:hAnsi="Cambria" w:cstheme="minorHAnsi"/>
          <w:sz w:val="16"/>
          <w:szCs w:val="16"/>
        </w:rPr>
        <w:t xml:space="preserve">interesting </w:t>
      </w:r>
      <w:r w:rsidR="006A086B" w:rsidRPr="006A086B">
        <w:rPr>
          <w:rFonts w:ascii="Cambria" w:hAnsi="Cambria" w:cstheme="minorHAnsi"/>
          <w:sz w:val="16"/>
          <w:szCs w:val="16"/>
        </w:rPr>
        <w:t xml:space="preserve">case in this regard is that of the </w:t>
      </w:r>
      <w:proofErr w:type="spellStart"/>
      <w:r w:rsidR="006A086B" w:rsidRPr="006A086B">
        <w:rPr>
          <w:rFonts w:ascii="Cambria" w:hAnsi="Cambria" w:cstheme="minorHAnsi"/>
          <w:sz w:val="16"/>
          <w:szCs w:val="16"/>
        </w:rPr>
        <w:t>Rochela</w:t>
      </w:r>
      <w:proofErr w:type="spellEnd"/>
      <w:r w:rsidR="006A086B" w:rsidRPr="006A086B">
        <w:rPr>
          <w:rFonts w:ascii="Cambria" w:hAnsi="Cambria" w:cstheme="minorHAnsi"/>
          <w:sz w:val="16"/>
          <w:szCs w:val="16"/>
        </w:rPr>
        <w:t xml:space="preserve"> Massacre. The victims, </w:t>
      </w:r>
      <w:r w:rsidR="00584A38">
        <w:rPr>
          <w:rFonts w:ascii="Cambria" w:hAnsi="Cambria" w:cstheme="minorHAnsi"/>
          <w:sz w:val="16"/>
          <w:szCs w:val="16"/>
        </w:rPr>
        <w:t xml:space="preserve">who were </w:t>
      </w:r>
      <w:r w:rsidR="006A086B" w:rsidRPr="006A086B">
        <w:rPr>
          <w:rFonts w:ascii="Cambria" w:hAnsi="Cambria" w:cstheme="minorHAnsi"/>
          <w:sz w:val="16"/>
          <w:szCs w:val="16"/>
        </w:rPr>
        <w:t xml:space="preserve">surviving relatives of </w:t>
      </w:r>
      <w:r w:rsidR="00584A38">
        <w:rPr>
          <w:rFonts w:ascii="Cambria" w:hAnsi="Cambria" w:cstheme="minorHAnsi"/>
          <w:sz w:val="16"/>
          <w:szCs w:val="16"/>
        </w:rPr>
        <w:t xml:space="preserve">the persons </w:t>
      </w:r>
      <w:r w:rsidR="006A086B" w:rsidRPr="006A086B">
        <w:rPr>
          <w:rFonts w:ascii="Cambria" w:hAnsi="Cambria" w:cstheme="minorHAnsi"/>
          <w:sz w:val="16"/>
          <w:szCs w:val="16"/>
        </w:rPr>
        <w:t xml:space="preserve">who died in the massacre, had already obtained reparations for </w:t>
      </w:r>
      <w:r w:rsidR="00584A38">
        <w:rPr>
          <w:rFonts w:ascii="Cambria" w:hAnsi="Cambria" w:cstheme="minorHAnsi"/>
          <w:sz w:val="16"/>
          <w:szCs w:val="16"/>
        </w:rPr>
        <w:t>immaterial</w:t>
      </w:r>
      <w:r w:rsidR="006A086B" w:rsidRPr="006A086B">
        <w:rPr>
          <w:rFonts w:ascii="Cambria" w:hAnsi="Cambria" w:cstheme="minorHAnsi"/>
          <w:sz w:val="16"/>
          <w:szCs w:val="16"/>
        </w:rPr>
        <w:t xml:space="preserve"> damages in Colombia through domestic administrative judicial proceedings. However, </w:t>
      </w:r>
      <w:r w:rsidR="00584A38">
        <w:rPr>
          <w:rFonts w:ascii="Cambria" w:hAnsi="Cambria" w:cstheme="minorHAnsi"/>
          <w:sz w:val="16"/>
          <w:szCs w:val="16"/>
        </w:rPr>
        <w:t xml:space="preserve">given that </w:t>
      </w:r>
      <w:r w:rsidR="006A086B" w:rsidRPr="006A086B">
        <w:rPr>
          <w:rFonts w:ascii="Cambria" w:hAnsi="Cambria" w:cstheme="minorHAnsi"/>
          <w:sz w:val="16"/>
          <w:szCs w:val="16"/>
        </w:rPr>
        <w:t xml:space="preserve">the Colombian legal system does not recognize the moral damages suffered by the deceased victims themselves </w:t>
      </w:r>
      <w:r w:rsidR="00584A38">
        <w:rPr>
          <w:rFonts w:ascii="Cambria" w:hAnsi="Cambria" w:cstheme="minorHAnsi"/>
          <w:sz w:val="16"/>
          <w:szCs w:val="16"/>
        </w:rPr>
        <w:t xml:space="preserve">in order </w:t>
      </w:r>
      <w:r w:rsidR="006A086B" w:rsidRPr="006A086B">
        <w:rPr>
          <w:rFonts w:ascii="Cambria" w:hAnsi="Cambria" w:cstheme="minorHAnsi"/>
          <w:sz w:val="16"/>
          <w:szCs w:val="16"/>
        </w:rPr>
        <w:t xml:space="preserve">to compensate them, but only the moral damages of the surviving next of kin, the Court considered that the reparations already received were insufficient </w:t>
      </w:r>
      <w:r w:rsidR="00584A38">
        <w:rPr>
          <w:rFonts w:ascii="Cambria" w:hAnsi="Cambria" w:cstheme="minorHAnsi"/>
          <w:sz w:val="16"/>
          <w:szCs w:val="16"/>
        </w:rPr>
        <w:t>in that aspect</w:t>
      </w:r>
      <w:r w:rsidR="006A086B" w:rsidRPr="006A086B">
        <w:rPr>
          <w:rFonts w:ascii="Cambria" w:hAnsi="Cambria" w:cstheme="minorHAnsi"/>
          <w:sz w:val="16"/>
          <w:szCs w:val="16"/>
        </w:rPr>
        <w:t>, and ordered that said personal suffering of the deceased</w:t>
      </w:r>
      <w:r w:rsidR="00584A38">
        <w:rPr>
          <w:rFonts w:ascii="Cambria" w:hAnsi="Cambria" w:cstheme="minorHAnsi"/>
          <w:sz w:val="16"/>
          <w:szCs w:val="16"/>
        </w:rPr>
        <w:t xml:space="preserve"> be compensated</w:t>
      </w:r>
      <w:r w:rsidR="006A086B" w:rsidRPr="006A086B">
        <w:rPr>
          <w:rFonts w:ascii="Cambria" w:hAnsi="Cambria" w:cstheme="minorHAnsi"/>
          <w:sz w:val="16"/>
          <w:szCs w:val="16"/>
        </w:rPr>
        <w:t xml:space="preserve">, </w:t>
      </w:r>
      <w:r w:rsidR="00584A38">
        <w:rPr>
          <w:rFonts w:ascii="Cambria" w:hAnsi="Cambria" w:cstheme="minorHAnsi"/>
          <w:sz w:val="16"/>
          <w:szCs w:val="16"/>
        </w:rPr>
        <w:t xml:space="preserve">so as </w:t>
      </w:r>
      <w:r w:rsidR="006A086B" w:rsidRPr="006A086B">
        <w:rPr>
          <w:rFonts w:ascii="Cambria" w:hAnsi="Cambria" w:cstheme="minorHAnsi"/>
          <w:sz w:val="16"/>
          <w:szCs w:val="16"/>
        </w:rPr>
        <w:t xml:space="preserve">to deliver the </w:t>
      </w:r>
      <w:r w:rsidR="00584A38">
        <w:rPr>
          <w:rFonts w:ascii="Cambria" w:hAnsi="Cambria" w:cstheme="minorHAnsi"/>
          <w:sz w:val="16"/>
          <w:szCs w:val="16"/>
        </w:rPr>
        <w:t xml:space="preserve">indemnification </w:t>
      </w:r>
      <w:r w:rsidR="006A086B" w:rsidRPr="006A086B">
        <w:rPr>
          <w:rFonts w:ascii="Cambria" w:hAnsi="Cambria" w:cstheme="minorHAnsi"/>
          <w:sz w:val="16"/>
          <w:szCs w:val="16"/>
        </w:rPr>
        <w:t xml:space="preserve">to their next of kin as </w:t>
      </w:r>
      <w:r w:rsidR="00584A38">
        <w:rPr>
          <w:rFonts w:ascii="Cambria" w:hAnsi="Cambria" w:cstheme="minorHAnsi"/>
          <w:sz w:val="16"/>
          <w:szCs w:val="16"/>
        </w:rPr>
        <w:t xml:space="preserve">heirs </w:t>
      </w:r>
      <w:r w:rsidRPr="006A086B">
        <w:rPr>
          <w:rFonts w:ascii="Cambria" w:hAnsi="Cambria" w:cstheme="minorHAnsi"/>
          <w:sz w:val="16"/>
          <w:szCs w:val="16"/>
        </w:rPr>
        <w:t>[</w:t>
      </w:r>
      <w:r w:rsidR="006A086B" w:rsidRPr="006A086B">
        <w:rPr>
          <w:rFonts w:ascii="Cambria" w:hAnsi="Cambria" w:cstheme="minorHAnsi"/>
          <w:sz w:val="16"/>
          <w:szCs w:val="16"/>
        </w:rPr>
        <w:t xml:space="preserve">I/A Court H.R., Case of the </w:t>
      </w:r>
      <w:proofErr w:type="spellStart"/>
      <w:r w:rsidR="006A086B" w:rsidRPr="006A086B">
        <w:rPr>
          <w:rFonts w:ascii="Cambria" w:hAnsi="Cambria" w:cstheme="minorHAnsi"/>
          <w:sz w:val="16"/>
          <w:szCs w:val="16"/>
        </w:rPr>
        <w:t>Rochela</w:t>
      </w:r>
      <w:proofErr w:type="spellEnd"/>
      <w:r w:rsidR="006A086B" w:rsidRPr="006A086B">
        <w:rPr>
          <w:rFonts w:ascii="Cambria" w:hAnsi="Cambria" w:cstheme="minorHAnsi"/>
          <w:sz w:val="16"/>
          <w:szCs w:val="16"/>
        </w:rPr>
        <w:t xml:space="preserve"> Massacre v. Colombia. </w:t>
      </w:r>
      <w:r w:rsidR="006A086B" w:rsidRPr="00CB1AAC">
        <w:rPr>
          <w:rFonts w:ascii="Cambria" w:hAnsi="Cambria" w:cstheme="minorHAnsi"/>
          <w:sz w:val="16"/>
          <w:szCs w:val="16"/>
        </w:rPr>
        <w:t xml:space="preserve">Series C No. </w:t>
      </w:r>
      <w:r w:rsidR="00584A38">
        <w:rPr>
          <w:rFonts w:ascii="Cambria" w:hAnsi="Cambria" w:cstheme="minorHAnsi"/>
          <w:sz w:val="16"/>
          <w:szCs w:val="16"/>
        </w:rPr>
        <w:t>163</w:t>
      </w:r>
      <w:r w:rsidR="006A086B" w:rsidRPr="00CB1AAC">
        <w:rPr>
          <w:rFonts w:ascii="Cambria" w:hAnsi="Cambria" w:cstheme="minorHAnsi"/>
          <w:sz w:val="16"/>
          <w:szCs w:val="16"/>
        </w:rPr>
        <w:t>, pars.</w:t>
      </w:r>
      <w:r w:rsidRPr="00CB1AAC">
        <w:rPr>
          <w:rFonts w:ascii="Cambria" w:hAnsi="Cambria" w:cstheme="minorHAnsi"/>
          <w:sz w:val="16"/>
          <w:szCs w:val="16"/>
        </w:rPr>
        <w:t xml:space="preserve"> 256-257, 267].</w:t>
      </w:r>
    </w:p>
  </w:footnote>
  <w:footnote w:id="15">
    <w:p w14:paraId="072BA2B6" w14:textId="4DF64E06" w:rsidR="000D2267" w:rsidRPr="006A086B" w:rsidRDefault="000D2267" w:rsidP="000D2267">
      <w:pPr>
        <w:pStyle w:val="Referencetext"/>
        <w:tabs>
          <w:tab w:val="left" w:pos="0"/>
        </w:tabs>
        <w:spacing w:after="0"/>
        <w:ind w:right="0" w:firstLine="720"/>
        <w:rPr>
          <w:rFonts w:ascii="Cambria" w:hAnsi="Cambria" w:cstheme="minorHAnsi"/>
          <w:sz w:val="16"/>
          <w:highlight w:val="yellow"/>
          <w:lang w:val="en-US"/>
        </w:rPr>
      </w:pPr>
      <w:r w:rsidRPr="006A086B">
        <w:rPr>
          <w:rStyle w:val="FootnoteReference"/>
          <w:rFonts w:ascii="Cambria" w:eastAsia="Symbol" w:hAnsi="Cambria" w:cstheme="minorHAnsi"/>
          <w:sz w:val="16"/>
        </w:rPr>
        <w:footnoteRef/>
      </w:r>
      <w:r w:rsidRPr="006A086B">
        <w:rPr>
          <w:rFonts w:ascii="Cambria" w:hAnsi="Cambria" w:cstheme="minorHAnsi"/>
          <w:sz w:val="16"/>
          <w:lang w:val="en-US"/>
        </w:rPr>
        <w:t xml:space="preserve"> </w:t>
      </w:r>
      <w:r w:rsidR="006A086B" w:rsidRPr="006A086B">
        <w:rPr>
          <w:rFonts w:ascii="Cambria" w:hAnsi="Cambria" w:cstheme="minorHAnsi"/>
          <w:sz w:val="16"/>
          <w:lang w:val="en-US"/>
        </w:rPr>
        <w:t>Draft Articles on Responsibility of the State for Internationally Wrongful Acts, International Law Commission</w:t>
      </w:r>
      <w:r w:rsidRPr="006A086B">
        <w:rPr>
          <w:rFonts w:ascii="Cambria" w:hAnsi="Cambria" w:cstheme="minorHAnsi"/>
          <w:sz w:val="16"/>
          <w:lang w:val="en-US"/>
        </w:rPr>
        <w:t xml:space="preserve">. </w:t>
      </w:r>
      <w:r w:rsidR="006A086B" w:rsidRPr="006A086B">
        <w:rPr>
          <w:rFonts w:ascii="Cambria" w:hAnsi="Cambria" w:cstheme="minorHAnsi"/>
          <w:sz w:val="16"/>
          <w:lang w:val="en-US"/>
        </w:rPr>
        <w:t>Comment to Art. 37, par. 5.</w:t>
      </w:r>
    </w:p>
  </w:footnote>
  <w:footnote w:id="16">
    <w:p w14:paraId="3DD952FD" w14:textId="24FD9E8E" w:rsidR="006B2789" w:rsidRPr="006A086B" w:rsidRDefault="006B2789" w:rsidP="006B2789">
      <w:pPr>
        <w:pStyle w:val="FootnoteText"/>
        <w:ind w:firstLine="720"/>
        <w:rPr>
          <w:rFonts w:ascii="Cambria" w:hAnsi="Cambria"/>
          <w:sz w:val="16"/>
          <w:szCs w:val="16"/>
        </w:rPr>
      </w:pPr>
      <w:r w:rsidRPr="006A086B">
        <w:rPr>
          <w:rStyle w:val="FootnoteReference"/>
          <w:rFonts w:ascii="Cambria" w:hAnsi="Cambria"/>
          <w:sz w:val="16"/>
          <w:szCs w:val="16"/>
        </w:rPr>
        <w:footnoteRef/>
      </w:r>
      <w:r w:rsidRPr="006A086B">
        <w:rPr>
          <w:rFonts w:ascii="Cambria" w:hAnsi="Cambria"/>
          <w:sz w:val="16"/>
          <w:szCs w:val="16"/>
        </w:rPr>
        <w:t xml:space="preserve"> </w:t>
      </w:r>
      <w:r w:rsidR="006A086B" w:rsidRPr="006A086B">
        <w:rPr>
          <w:rFonts w:ascii="Cambria" w:hAnsi="Cambria"/>
          <w:sz w:val="16"/>
          <w:szCs w:val="16"/>
        </w:rPr>
        <w:t>IACHR</w:t>
      </w:r>
      <w:r w:rsidRPr="006A086B">
        <w:rPr>
          <w:rFonts w:ascii="Cambria" w:hAnsi="Cambria"/>
          <w:sz w:val="16"/>
          <w:szCs w:val="16"/>
        </w:rPr>
        <w:t xml:space="preserve">. </w:t>
      </w:r>
      <w:r w:rsidR="006A086B" w:rsidRPr="006A086B">
        <w:rPr>
          <w:rFonts w:ascii="Cambria" w:hAnsi="Cambria"/>
          <w:sz w:val="16"/>
          <w:szCs w:val="16"/>
        </w:rPr>
        <w:t>Merits report</w:t>
      </w:r>
      <w:r w:rsidRPr="006A086B">
        <w:rPr>
          <w:rFonts w:ascii="Cambria" w:hAnsi="Cambria"/>
          <w:sz w:val="16"/>
          <w:szCs w:val="16"/>
        </w:rPr>
        <w:t xml:space="preserve"> N. 43/08. Ca</w:t>
      </w:r>
      <w:r w:rsidR="006A086B" w:rsidRPr="006A086B">
        <w:rPr>
          <w:rFonts w:ascii="Cambria" w:hAnsi="Cambria"/>
          <w:sz w:val="16"/>
          <w:szCs w:val="16"/>
        </w:rPr>
        <w:t>se</w:t>
      </w:r>
      <w:r w:rsidRPr="006A086B">
        <w:rPr>
          <w:rFonts w:ascii="Cambria" w:hAnsi="Cambria"/>
          <w:sz w:val="16"/>
          <w:szCs w:val="16"/>
        </w:rPr>
        <w:t xml:space="preserve"> No. 12.009 – </w:t>
      </w:r>
      <w:proofErr w:type="spellStart"/>
      <w:r w:rsidRPr="006A086B">
        <w:rPr>
          <w:rFonts w:ascii="Cambria" w:hAnsi="Cambria"/>
          <w:sz w:val="16"/>
          <w:szCs w:val="16"/>
        </w:rPr>
        <w:t>Leydi</w:t>
      </w:r>
      <w:proofErr w:type="spellEnd"/>
      <w:r w:rsidRPr="006A086B">
        <w:rPr>
          <w:rFonts w:ascii="Cambria" w:hAnsi="Cambria"/>
          <w:sz w:val="16"/>
          <w:szCs w:val="16"/>
        </w:rPr>
        <w:t xml:space="preserve"> </w:t>
      </w:r>
      <w:proofErr w:type="spellStart"/>
      <w:r w:rsidRPr="006A086B">
        <w:rPr>
          <w:rFonts w:ascii="Cambria" w:hAnsi="Cambria"/>
          <w:sz w:val="16"/>
          <w:szCs w:val="16"/>
        </w:rPr>
        <w:t>Dayán</w:t>
      </w:r>
      <w:proofErr w:type="spellEnd"/>
      <w:r w:rsidRPr="006A086B">
        <w:rPr>
          <w:rFonts w:ascii="Cambria" w:hAnsi="Cambria"/>
          <w:sz w:val="16"/>
          <w:szCs w:val="16"/>
        </w:rPr>
        <w:t xml:space="preserve"> Sánchez (Colombia), </w:t>
      </w:r>
      <w:r w:rsidR="006A086B" w:rsidRPr="006A086B">
        <w:rPr>
          <w:rFonts w:ascii="Cambria" w:hAnsi="Cambria"/>
          <w:sz w:val="16"/>
          <w:szCs w:val="16"/>
        </w:rPr>
        <w:t>July 23, 2008</w:t>
      </w:r>
      <w:r w:rsidRPr="006A086B">
        <w:rPr>
          <w:rFonts w:ascii="Cambria" w:hAnsi="Cambria"/>
          <w:sz w:val="16"/>
          <w:szCs w:val="16"/>
        </w:rPr>
        <w:t>.</w:t>
      </w:r>
    </w:p>
  </w:footnote>
  <w:footnote w:id="17">
    <w:p w14:paraId="5BFC1EAD" w14:textId="391D2EAC" w:rsidR="006B2789" w:rsidRPr="006A086B" w:rsidRDefault="006B2789" w:rsidP="006B2789">
      <w:pPr>
        <w:pStyle w:val="FootnoteText"/>
        <w:ind w:firstLine="720"/>
        <w:rPr>
          <w:rFonts w:ascii="Cambria" w:hAnsi="Cambria"/>
          <w:sz w:val="16"/>
          <w:szCs w:val="16"/>
          <w:lang w:val="es-US"/>
        </w:rPr>
      </w:pPr>
      <w:r w:rsidRPr="006A086B">
        <w:rPr>
          <w:rStyle w:val="FootnoteReference"/>
          <w:rFonts w:ascii="Cambria" w:hAnsi="Cambria"/>
          <w:sz w:val="16"/>
          <w:szCs w:val="16"/>
        </w:rPr>
        <w:footnoteRef/>
      </w:r>
      <w:r w:rsidRPr="006A086B">
        <w:rPr>
          <w:rFonts w:ascii="Cambria" w:hAnsi="Cambria"/>
          <w:sz w:val="16"/>
          <w:szCs w:val="16"/>
          <w:lang w:val="es-US"/>
        </w:rPr>
        <w:t xml:space="preserve"> </w:t>
      </w:r>
      <w:r w:rsidR="006A086B" w:rsidRPr="006A086B">
        <w:rPr>
          <w:rFonts w:ascii="Cambria" w:hAnsi="Cambria"/>
          <w:sz w:val="16"/>
          <w:szCs w:val="16"/>
          <w:lang w:val="es-US"/>
        </w:rPr>
        <w:t>IACHR</w:t>
      </w:r>
      <w:r w:rsidRPr="006A086B">
        <w:rPr>
          <w:rFonts w:ascii="Cambria" w:hAnsi="Cambria"/>
          <w:sz w:val="16"/>
          <w:szCs w:val="16"/>
          <w:lang w:val="es-US"/>
        </w:rPr>
        <w:t xml:space="preserve">. </w:t>
      </w:r>
      <w:r w:rsidR="006A086B" w:rsidRPr="006A086B">
        <w:rPr>
          <w:rFonts w:ascii="Cambria" w:hAnsi="Cambria"/>
          <w:sz w:val="16"/>
          <w:szCs w:val="16"/>
          <w:lang w:val="es-US"/>
        </w:rPr>
        <w:t>Merits report</w:t>
      </w:r>
      <w:r w:rsidRPr="006A086B">
        <w:rPr>
          <w:rFonts w:ascii="Cambria" w:hAnsi="Cambria"/>
          <w:sz w:val="16"/>
          <w:szCs w:val="16"/>
          <w:lang w:val="es-US"/>
        </w:rPr>
        <w:t xml:space="preserve"> N. 36/08. Cas</w:t>
      </w:r>
      <w:r w:rsidR="006A086B" w:rsidRPr="006A086B">
        <w:rPr>
          <w:rFonts w:ascii="Cambria" w:hAnsi="Cambria"/>
          <w:sz w:val="16"/>
          <w:szCs w:val="16"/>
          <w:lang w:val="es-US"/>
        </w:rPr>
        <w:t>e</w:t>
      </w:r>
      <w:r w:rsidRPr="006A086B">
        <w:rPr>
          <w:rFonts w:ascii="Cambria" w:hAnsi="Cambria"/>
          <w:sz w:val="16"/>
          <w:szCs w:val="16"/>
          <w:lang w:val="es-US"/>
        </w:rPr>
        <w:t xml:space="preserve"> No. 12.487 – Rafael Ignacio Cuesta Caputi (Ecuador), </w:t>
      </w:r>
      <w:r w:rsidR="006A086B" w:rsidRPr="006A086B">
        <w:rPr>
          <w:rFonts w:ascii="Cambria" w:hAnsi="Cambria"/>
          <w:sz w:val="16"/>
          <w:szCs w:val="16"/>
          <w:lang w:val="es-US"/>
        </w:rPr>
        <w:t>July 18, 2008</w:t>
      </w:r>
      <w:r w:rsidRPr="006A086B">
        <w:rPr>
          <w:rFonts w:ascii="Cambria" w:hAnsi="Cambria"/>
          <w:sz w:val="16"/>
          <w:szCs w:val="16"/>
          <w:lang w:val="es-US"/>
        </w:rPr>
        <w:t>.</w:t>
      </w:r>
    </w:p>
  </w:footnote>
  <w:footnote w:id="18">
    <w:p w14:paraId="01725CCD" w14:textId="23803834" w:rsidR="00162E4F" w:rsidRPr="006A086B" w:rsidRDefault="00162E4F" w:rsidP="00162E4F">
      <w:pPr>
        <w:pStyle w:val="Referencetext"/>
        <w:tabs>
          <w:tab w:val="left" w:pos="0"/>
        </w:tabs>
        <w:spacing w:after="0"/>
        <w:ind w:right="0" w:firstLine="720"/>
        <w:rPr>
          <w:rFonts w:ascii="Cambria" w:hAnsi="Cambria" w:cstheme="minorHAnsi"/>
          <w:sz w:val="16"/>
          <w:lang w:val="pt-BR"/>
        </w:rPr>
      </w:pPr>
      <w:r w:rsidRPr="006A086B">
        <w:rPr>
          <w:rStyle w:val="FootnoteReference"/>
          <w:rFonts w:ascii="Cambria" w:eastAsia="Symbol" w:hAnsi="Cambria" w:cstheme="minorHAnsi"/>
          <w:sz w:val="16"/>
        </w:rPr>
        <w:footnoteRef/>
      </w:r>
      <w:r w:rsidRPr="006A086B">
        <w:rPr>
          <w:rFonts w:ascii="Cambria" w:hAnsi="Cambria" w:cstheme="minorHAnsi"/>
          <w:sz w:val="16"/>
          <w:lang w:val="en-US"/>
        </w:rPr>
        <w:t xml:space="preserve"> </w:t>
      </w:r>
      <w:r w:rsidR="006A086B" w:rsidRPr="006A086B">
        <w:rPr>
          <w:rFonts w:ascii="Cambria" w:hAnsi="Cambria" w:cstheme="minorHAnsi"/>
          <w:sz w:val="16"/>
          <w:lang w:val="en-US"/>
        </w:rPr>
        <w:t xml:space="preserve">I/A Court H.R., Case of Las </w:t>
      </w:r>
      <w:proofErr w:type="spellStart"/>
      <w:r w:rsidR="006A086B" w:rsidRPr="006A086B">
        <w:rPr>
          <w:rFonts w:ascii="Cambria" w:hAnsi="Cambria" w:cstheme="minorHAnsi"/>
          <w:sz w:val="16"/>
          <w:lang w:val="en-US"/>
        </w:rPr>
        <w:t>Palmeras</w:t>
      </w:r>
      <w:proofErr w:type="spellEnd"/>
      <w:r w:rsidR="006A086B" w:rsidRPr="006A086B">
        <w:rPr>
          <w:rFonts w:ascii="Cambria" w:hAnsi="Cambria" w:cstheme="minorHAnsi"/>
          <w:sz w:val="16"/>
          <w:lang w:val="en-US"/>
        </w:rPr>
        <w:t xml:space="preserve"> v. Colombia. Reparations and Costs. Judgment of November 26, 2002. Series C No. 96., par. </w:t>
      </w:r>
      <w:r w:rsidRPr="006A086B">
        <w:rPr>
          <w:rFonts w:ascii="Cambria" w:hAnsi="Cambria" w:cstheme="minorHAnsi"/>
          <w:sz w:val="16"/>
          <w:lang w:val="pt-BR"/>
        </w:rPr>
        <w:t>68.</w:t>
      </w:r>
    </w:p>
  </w:footnote>
  <w:footnote w:id="19">
    <w:p w14:paraId="53B9A622" w14:textId="38A6AF17" w:rsidR="00162E4F" w:rsidRPr="006A086B" w:rsidRDefault="00162E4F" w:rsidP="00162E4F">
      <w:pPr>
        <w:pStyle w:val="FootnoteText"/>
        <w:tabs>
          <w:tab w:val="left" w:pos="0"/>
        </w:tabs>
        <w:ind w:firstLine="720"/>
        <w:jc w:val="both"/>
        <w:rPr>
          <w:rFonts w:ascii="Cambria" w:hAnsi="Cambria" w:cstheme="minorHAnsi"/>
          <w:sz w:val="16"/>
          <w:szCs w:val="16"/>
        </w:rPr>
      </w:pPr>
      <w:r w:rsidRPr="006A086B">
        <w:rPr>
          <w:rFonts w:ascii="Cambria" w:eastAsia="Calibri Light" w:hAnsi="Cambria" w:cstheme="minorHAnsi"/>
          <w:sz w:val="16"/>
          <w:szCs w:val="16"/>
          <w:vertAlign w:val="superscript"/>
          <w:lang w:val="es-ES_tradnl"/>
        </w:rPr>
        <w:footnoteRef/>
      </w:r>
      <w:r w:rsidRPr="006A086B">
        <w:rPr>
          <w:rFonts w:ascii="Cambria" w:eastAsia="Calibri Light" w:hAnsi="Cambria" w:cstheme="minorHAnsi"/>
          <w:sz w:val="16"/>
          <w:szCs w:val="16"/>
          <w:lang w:val="pt-BR"/>
        </w:rPr>
        <w:t xml:space="preserve"> </w:t>
      </w:r>
      <w:r w:rsidR="006A086B" w:rsidRPr="006A086B">
        <w:rPr>
          <w:rFonts w:ascii="Cambria" w:eastAsia="Calibri Light" w:hAnsi="Cambria" w:cstheme="minorHAnsi"/>
          <w:sz w:val="16"/>
          <w:szCs w:val="16"/>
          <w:lang w:val="pt-BR"/>
        </w:rPr>
        <w:t xml:space="preserve">I/A Court H.R., Case of Albán Cornejo et al. v. Ecuador. Interpretation of the Judgment on Merits, Reparations and Costs. Judgment of August 5, 2008. Series C No. 183, par. </w:t>
      </w:r>
      <w:r w:rsidRPr="006A086B">
        <w:rPr>
          <w:rFonts w:ascii="Cambria" w:eastAsia="Calibri Light" w:hAnsi="Cambria" w:cstheme="minorHAnsi"/>
          <w:sz w:val="16"/>
          <w:szCs w:val="16"/>
        </w:rPr>
        <w:t>62.</w:t>
      </w:r>
    </w:p>
  </w:footnote>
  <w:footnote w:id="20">
    <w:p w14:paraId="44688B1E" w14:textId="2F54180D" w:rsidR="007B53DE" w:rsidRPr="007B53DE" w:rsidRDefault="007B53DE" w:rsidP="007B53DE">
      <w:pPr>
        <w:pStyle w:val="FootnoteText"/>
        <w:ind w:firstLine="720"/>
        <w:rPr>
          <w:rFonts w:asciiTheme="majorHAnsi" w:hAnsiTheme="majorHAnsi"/>
          <w:sz w:val="16"/>
          <w:szCs w:val="16"/>
          <w:lang w:val="es-CO"/>
        </w:rPr>
      </w:pPr>
      <w:r w:rsidRPr="007B53DE">
        <w:rPr>
          <w:rStyle w:val="FootnoteReference"/>
          <w:rFonts w:asciiTheme="majorHAnsi" w:hAnsiTheme="majorHAnsi"/>
          <w:sz w:val="16"/>
          <w:szCs w:val="16"/>
          <w:vertAlign w:val="baseline"/>
        </w:rPr>
        <w:footnoteRef/>
      </w:r>
      <w:r w:rsidRPr="007B53DE">
        <w:rPr>
          <w:rFonts w:asciiTheme="majorHAnsi" w:hAnsiTheme="majorHAnsi"/>
          <w:sz w:val="16"/>
          <w:szCs w:val="16"/>
        </w:rPr>
        <w:t xml:space="preserve"> IACHR. Report No. 2/06. </w:t>
      </w:r>
      <w:proofErr w:type="spellStart"/>
      <w:r w:rsidRPr="007B53DE">
        <w:rPr>
          <w:rFonts w:asciiTheme="majorHAnsi" w:hAnsiTheme="majorHAnsi"/>
          <w:sz w:val="16"/>
          <w:szCs w:val="16"/>
          <w:lang w:val="es-CO"/>
        </w:rPr>
        <w:t>Petition</w:t>
      </w:r>
      <w:proofErr w:type="spellEnd"/>
      <w:r w:rsidRPr="007B53DE">
        <w:rPr>
          <w:rFonts w:asciiTheme="majorHAnsi" w:hAnsiTheme="majorHAnsi"/>
          <w:sz w:val="16"/>
          <w:szCs w:val="16"/>
          <w:lang w:val="es-CO"/>
        </w:rPr>
        <w:t xml:space="preserve"> 12.130, </w:t>
      </w:r>
      <w:proofErr w:type="spellStart"/>
      <w:r w:rsidRPr="007B53DE">
        <w:rPr>
          <w:rFonts w:asciiTheme="majorHAnsi" w:hAnsiTheme="majorHAnsi"/>
          <w:sz w:val="16"/>
          <w:szCs w:val="16"/>
          <w:lang w:val="es-CO"/>
        </w:rPr>
        <w:t>Merits</w:t>
      </w:r>
      <w:proofErr w:type="spellEnd"/>
      <w:r w:rsidRPr="007B53DE">
        <w:rPr>
          <w:rFonts w:asciiTheme="majorHAnsi" w:hAnsiTheme="majorHAnsi"/>
          <w:sz w:val="16"/>
          <w:szCs w:val="16"/>
          <w:lang w:val="es-CO"/>
        </w:rPr>
        <w:t>, Miguel Orlando Muñoz Guzmán (</w:t>
      </w:r>
      <w:proofErr w:type="spellStart"/>
      <w:r w:rsidRPr="007B53DE">
        <w:rPr>
          <w:rFonts w:asciiTheme="majorHAnsi" w:hAnsiTheme="majorHAnsi"/>
          <w:sz w:val="16"/>
          <w:szCs w:val="16"/>
          <w:lang w:val="es-CO"/>
        </w:rPr>
        <w:t>Mexico</w:t>
      </w:r>
      <w:proofErr w:type="spellEnd"/>
      <w:r w:rsidRPr="007B53DE">
        <w:rPr>
          <w:rFonts w:asciiTheme="majorHAnsi" w:hAnsiTheme="majorHAnsi"/>
          <w:sz w:val="16"/>
          <w:szCs w:val="16"/>
          <w:lang w:val="es-CO"/>
        </w:rPr>
        <w:t>), par. 62.</w:t>
      </w:r>
    </w:p>
  </w:footnote>
  <w:footnote w:id="21">
    <w:p w14:paraId="479492AA" w14:textId="2A25C639" w:rsidR="00162E4F" w:rsidRPr="006A086B" w:rsidRDefault="00162E4F" w:rsidP="00162E4F">
      <w:pPr>
        <w:pStyle w:val="Referencetext"/>
        <w:tabs>
          <w:tab w:val="left" w:pos="0"/>
        </w:tabs>
        <w:spacing w:after="0"/>
        <w:ind w:right="0" w:firstLine="720"/>
        <w:rPr>
          <w:rFonts w:ascii="Cambria" w:hAnsi="Cambria" w:cstheme="minorHAnsi"/>
          <w:sz w:val="16"/>
          <w:lang w:val="en-US"/>
        </w:rPr>
      </w:pPr>
      <w:r w:rsidRPr="006A086B">
        <w:rPr>
          <w:rStyle w:val="FootnoteReference"/>
          <w:rFonts w:ascii="Cambria" w:eastAsia="Symbol" w:hAnsi="Cambria" w:cstheme="minorHAnsi"/>
          <w:sz w:val="16"/>
        </w:rPr>
        <w:footnoteRef/>
      </w:r>
      <w:r w:rsidRPr="006A086B">
        <w:rPr>
          <w:rFonts w:ascii="Cambria" w:hAnsi="Cambria" w:cstheme="minorHAnsi"/>
          <w:sz w:val="16"/>
          <w:lang w:val="en-US"/>
        </w:rPr>
        <w:t xml:space="preserve"> </w:t>
      </w:r>
      <w:r w:rsidR="006A086B" w:rsidRPr="006A086B">
        <w:rPr>
          <w:rFonts w:ascii="Cambria" w:hAnsi="Cambria" w:cstheme="minorHAnsi"/>
          <w:sz w:val="16"/>
          <w:lang w:val="en-US"/>
        </w:rPr>
        <w:t xml:space="preserve">I/A Court H.R., Case of the "White Van" (Paniagua Morales et al.) v. Guatemala. Reparations and Costs. Judgment of May 25, 2001. Series C No. 76, par. </w:t>
      </w:r>
      <w:r w:rsidRPr="006A086B">
        <w:rPr>
          <w:rFonts w:ascii="Cambria" w:hAnsi="Cambria" w:cstheme="minorHAnsi"/>
          <w:sz w:val="16"/>
          <w:lang w:val="en-US"/>
        </w:rPr>
        <w:t>173</w:t>
      </w:r>
      <w:r w:rsidR="006A086B" w:rsidRPr="006A086B">
        <w:rPr>
          <w:rFonts w:ascii="Cambria" w:hAnsi="Cambria" w:cstheme="minorHAnsi"/>
          <w:sz w:val="16"/>
          <w:lang w:val="en-US"/>
        </w:rPr>
        <w:t xml:space="preserve">; I/A Court H.R., Case of </w:t>
      </w:r>
      <w:proofErr w:type="spellStart"/>
      <w:r w:rsidR="006A086B" w:rsidRPr="006A086B">
        <w:rPr>
          <w:rFonts w:ascii="Cambria" w:hAnsi="Cambria" w:cstheme="minorHAnsi"/>
          <w:sz w:val="16"/>
          <w:lang w:val="en-US"/>
        </w:rPr>
        <w:t>Garrido</w:t>
      </w:r>
      <w:proofErr w:type="spellEnd"/>
      <w:r w:rsidR="006A086B" w:rsidRPr="006A086B">
        <w:rPr>
          <w:rFonts w:ascii="Cambria" w:hAnsi="Cambria" w:cstheme="minorHAnsi"/>
          <w:sz w:val="16"/>
          <w:lang w:val="en-US"/>
        </w:rPr>
        <w:t xml:space="preserve"> and </w:t>
      </w:r>
      <w:proofErr w:type="spellStart"/>
      <w:r w:rsidR="006A086B" w:rsidRPr="006A086B">
        <w:rPr>
          <w:rFonts w:ascii="Cambria" w:hAnsi="Cambria" w:cstheme="minorHAnsi"/>
          <w:sz w:val="16"/>
          <w:lang w:val="en-US"/>
        </w:rPr>
        <w:t>Baigorria</w:t>
      </w:r>
      <w:proofErr w:type="spellEnd"/>
      <w:r w:rsidR="006A086B" w:rsidRPr="006A086B">
        <w:rPr>
          <w:rFonts w:ascii="Cambria" w:hAnsi="Cambria" w:cstheme="minorHAnsi"/>
          <w:sz w:val="16"/>
          <w:lang w:val="en-US"/>
        </w:rPr>
        <w:t xml:space="preserve"> v. Argentina. Reparations and Costs. Judgment of August 27, 1998. Series C No. 39., par. </w:t>
      </w:r>
      <w:r w:rsidRPr="006A086B">
        <w:rPr>
          <w:rFonts w:ascii="Cambria" w:hAnsi="Cambria" w:cstheme="minorHAnsi"/>
          <w:sz w:val="16"/>
          <w:lang w:val="en-US"/>
        </w:rPr>
        <w:t>170.</w:t>
      </w:r>
    </w:p>
  </w:footnote>
  <w:footnote w:id="22">
    <w:p w14:paraId="6E299389" w14:textId="24051C17" w:rsidR="00162E4F" w:rsidRPr="006A086B" w:rsidRDefault="00162E4F" w:rsidP="00162E4F">
      <w:pPr>
        <w:pStyle w:val="Referencetext"/>
        <w:tabs>
          <w:tab w:val="left" w:pos="0"/>
        </w:tabs>
        <w:spacing w:after="0"/>
        <w:ind w:right="0" w:firstLine="720"/>
        <w:rPr>
          <w:rFonts w:ascii="Cambria" w:hAnsi="Cambria" w:cstheme="minorHAnsi"/>
          <w:sz w:val="16"/>
          <w:lang w:val="en-US"/>
        </w:rPr>
      </w:pPr>
      <w:r w:rsidRPr="006A086B">
        <w:rPr>
          <w:rStyle w:val="FootnoteReference"/>
          <w:rFonts w:ascii="Cambria" w:eastAsia="Symbol" w:hAnsi="Cambria" w:cstheme="minorHAnsi"/>
          <w:sz w:val="16"/>
        </w:rPr>
        <w:footnoteRef/>
      </w:r>
      <w:r w:rsidRPr="006A086B">
        <w:rPr>
          <w:rFonts w:ascii="Cambria" w:hAnsi="Cambria" w:cstheme="minorHAnsi"/>
          <w:sz w:val="16"/>
          <w:lang w:val="en-US"/>
        </w:rPr>
        <w:t xml:space="preserve"> </w:t>
      </w:r>
      <w:r w:rsidR="006A086B" w:rsidRPr="006A086B">
        <w:rPr>
          <w:rFonts w:ascii="Cambria" w:hAnsi="Cambria" w:cstheme="minorHAnsi"/>
          <w:sz w:val="16"/>
          <w:lang w:val="en-US"/>
        </w:rPr>
        <w:t xml:space="preserve">I/A Court H.R., Case of Neira </w:t>
      </w:r>
      <w:proofErr w:type="spellStart"/>
      <w:r w:rsidR="006A086B" w:rsidRPr="006A086B">
        <w:rPr>
          <w:rFonts w:ascii="Cambria" w:hAnsi="Cambria" w:cstheme="minorHAnsi"/>
          <w:sz w:val="16"/>
          <w:lang w:val="en-US"/>
        </w:rPr>
        <w:t>Alegría</w:t>
      </w:r>
      <w:proofErr w:type="spellEnd"/>
      <w:r w:rsidR="006A086B" w:rsidRPr="006A086B">
        <w:rPr>
          <w:rFonts w:ascii="Cambria" w:hAnsi="Cambria" w:cstheme="minorHAnsi"/>
          <w:sz w:val="16"/>
          <w:lang w:val="en-US"/>
        </w:rPr>
        <w:t xml:space="preserve"> et al. v. Peru. Reparations and Costs. Judgment of September 19, 1996. Series C No. 29. Par. </w:t>
      </w:r>
      <w:r w:rsidRPr="006A086B">
        <w:rPr>
          <w:rFonts w:ascii="Cambria" w:hAnsi="Cambria" w:cstheme="minorHAnsi"/>
          <w:sz w:val="16"/>
          <w:lang w:val="en-US"/>
        </w:rPr>
        <w:t xml:space="preserve">69; </w:t>
      </w:r>
      <w:r w:rsidR="006A086B" w:rsidRPr="006A086B">
        <w:rPr>
          <w:rFonts w:ascii="Cambria" w:hAnsi="Cambria" w:cstheme="minorHAnsi"/>
          <w:i/>
          <w:sz w:val="16"/>
          <w:lang w:val="en-US"/>
        </w:rPr>
        <w:t>I/A Court H.R., Case of Caballero Delgado and Santana v. Colombia. Merits. Judgment of December 8, 1995. Series C No. 22</w:t>
      </w:r>
      <w:r w:rsidR="006A086B" w:rsidRPr="006A086B">
        <w:rPr>
          <w:rFonts w:ascii="Cambria" w:hAnsi="Cambria" w:cstheme="minorHAnsi"/>
          <w:sz w:val="16"/>
          <w:lang w:val="en-US"/>
        </w:rPr>
        <w:t xml:space="preserve">, pars. </w:t>
      </w:r>
      <w:r w:rsidRPr="006A086B">
        <w:rPr>
          <w:rFonts w:ascii="Cambria" w:hAnsi="Cambria" w:cstheme="minorHAnsi"/>
          <w:sz w:val="16"/>
          <w:lang w:val="en-US"/>
        </w:rPr>
        <w:t xml:space="preserve"> 58-59; </w:t>
      </w:r>
      <w:r w:rsidR="006A086B" w:rsidRPr="006A086B">
        <w:rPr>
          <w:rFonts w:ascii="Cambria" w:hAnsi="Cambria" w:cstheme="minorHAnsi"/>
          <w:i/>
          <w:sz w:val="16"/>
          <w:lang w:val="en-US"/>
        </w:rPr>
        <w:t xml:space="preserve">I/A Court H.R., Case of El Amparo v. Venezuela. Merits. Judgment of January 18, 1995. Series C No. 19, par. </w:t>
      </w:r>
      <w:r w:rsidRPr="006A086B">
        <w:rPr>
          <w:rFonts w:ascii="Cambria" w:hAnsi="Cambria" w:cstheme="minorHAnsi"/>
          <w:sz w:val="16"/>
          <w:lang w:val="en-US"/>
        </w:rPr>
        <w:t>61.</w:t>
      </w:r>
    </w:p>
  </w:footnote>
  <w:footnote w:id="23">
    <w:p w14:paraId="7C12977C" w14:textId="7289755E" w:rsidR="00162E4F" w:rsidRPr="006A086B" w:rsidRDefault="00162E4F" w:rsidP="00162E4F">
      <w:pPr>
        <w:pStyle w:val="Referencetext"/>
        <w:tabs>
          <w:tab w:val="left" w:pos="0"/>
        </w:tabs>
        <w:spacing w:after="0"/>
        <w:ind w:right="0" w:firstLine="720"/>
        <w:rPr>
          <w:rFonts w:ascii="Cambria" w:hAnsi="Cambria" w:cstheme="minorHAnsi"/>
          <w:sz w:val="16"/>
          <w:lang w:val="en-US"/>
        </w:rPr>
      </w:pPr>
      <w:r w:rsidRPr="006A086B">
        <w:rPr>
          <w:rStyle w:val="FootnoteReference"/>
          <w:rFonts w:ascii="Cambria" w:eastAsia="Symbol" w:hAnsi="Cambria" w:cstheme="minorHAnsi"/>
          <w:sz w:val="16"/>
        </w:rPr>
        <w:footnoteRef/>
      </w:r>
      <w:r w:rsidR="006A086B" w:rsidRPr="006A086B">
        <w:rPr>
          <w:rFonts w:ascii="Cambria" w:hAnsi="Cambria" w:cstheme="minorHAnsi"/>
          <w:sz w:val="16"/>
          <w:lang w:val="en-US"/>
        </w:rPr>
        <w:t xml:space="preserve">I/A Court H.R., Case of Castillo </w:t>
      </w:r>
      <w:proofErr w:type="spellStart"/>
      <w:r w:rsidR="006A086B" w:rsidRPr="006A086B">
        <w:rPr>
          <w:rFonts w:ascii="Cambria" w:hAnsi="Cambria" w:cstheme="minorHAnsi"/>
          <w:sz w:val="16"/>
          <w:lang w:val="en-US"/>
        </w:rPr>
        <w:t>Páez</w:t>
      </w:r>
      <w:proofErr w:type="spellEnd"/>
      <w:r w:rsidR="006A086B" w:rsidRPr="006A086B">
        <w:rPr>
          <w:rFonts w:ascii="Cambria" w:hAnsi="Cambria" w:cstheme="minorHAnsi"/>
          <w:sz w:val="16"/>
          <w:lang w:val="en-US"/>
        </w:rPr>
        <w:t xml:space="preserve"> v. Peru. Reparations and Costs. Judgment of November 27, 1998. Series C No. 43., par. </w:t>
      </w:r>
      <w:r w:rsidRPr="006A086B">
        <w:rPr>
          <w:rFonts w:ascii="Cambria" w:hAnsi="Cambria" w:cstheme="minorHAnsi"/>
          <w:sz w:val="16"/>
          <w:lang w:val="en-US"/>
        </w:rPr>
        <w:t>143.</w:t>
      </w:r>
    </w:p>
  </w:footnote>
  <w:footnote w:id="24">
    <w:p w14:paraId="2CD5DA91" w14:textId="160B5EA1" w:rsidR="00162E4F" w:rsidRPr="006A086B" w:rsidRDefault="00162E4F" w:rsidP="00162E4F">
      <w:pPr>
        <w:pStyle w:val="Referencetext"/>
        <w:tabs>
          <w:tab w:val="left" w:pos="0"/>
        </w:tabs>
        <w:spacing w:after="0"/>
        <w:ind w:right="0" w:firstLine="720"/>
        <w:rPr>
          <w:rFonts w:ascii="Cambria" w:hAnsi="Cambria" w:cstheme="minorHAnsi"/>
          <w:sz w:val="16"/>
          <w:lang w:val="en-US"/>
        </w:rPr>
      </w:pPr>
      <w:r w:rsidRPr="006A086B">
        <w:rPr>
          <w:rStyle w:val="FootnoteReference"/>
          <w:rFonts w:ascii="Cambria" w:eastAsia="Symbol" w:hAnsi="Cambria" w:cstheme="minorHAnsi"/>
          <w:sz w:val="16"/>
        </w:rPr>
        <w:footnoteRef/>
      </w:r>
      <w:r w:rsidRPr="006A086B">
        <w:rPr>
          <w:rFonts w:ascii="Cambria" w:hAnsi="Cambria" w:cstheme="minorHAnsi"/>
          <w:sz w:val="16"/>
          <w:lang w:val="en-US"/>
        </w:rPr>
        <w:t xml:space="preserve"> </w:t>
      </w:r>
      <w:r w:rsidR="006A086B" w:rsidRPr="006A086B">
        <w:rPr>
          <w:rFonts w:ascii="Cambria" w:hAnsi="Cambria" w:cstheme="minorHAnsi"/>
          <w:sz w:val="16"/>
          <w:lang w:val="en-US"/>
        </w:rPr>
        <w:t xml:space="preserve">I/A Court H.R., Case of the "White Van" (Paniagua Morales et al.) v. Guatemala. Reparations and Costs. Judgment of May 25, 2001. Series C No. 76, pars. </w:t>
      </w:r>
      <w:r w:rsidRPr="006A086B">
        <w:rPr>
          <w:rFonts w:ascii="Cambria" w:hAnsi="Cambria" w:cstheme="minorHAnsi"/>
          <w:sz w:val="16"/>
          <w:lang w:val="en-US"/>
        </w:rPr>
        <w:t>174, 177.</w:t>
      </w:r>
    </w:p>
  </w:footnote>
  <w:footnote w:id="25">
    <w:p w14:paraId="3F165783" w14:textId="65457704" w:rsidR="00162E4F" w:rsidRPr="006A086B" w:rsidRDefault="00162E4F" w:rsidP="00162E4F">
      <w:pPr>
        <w:pStyle w:val="Referencetext"/>
        <w:tabs>
          <w:tab w:val="left" w:pos="0"/>
        </w:tabs>
        <w:spacing w:after="0"/>
        <w:ind w:right="0" w:firstLine="720"/>
        <w:rPr>
          <w:rFonts w:ascii="Cambria" w:hAnsi="Cambria" w:cstheme="minorHAnsi"/>
          <w:sz w:val="16"/>
          <w:lang w:val="en-US"/>
        </w:rPr>
      </w:pPr>
      <w:r w:rsidRPr="006A086B">
        <w:rPr>
          <w:rStyle w:val="FootnoteReference"/>
          <w:rFonts w:ascii="Cambria" w:eastAsia="Symbol" w:hAnsi="Cambria" w:cstheme="minorHAnsi"/>
          <w:sz w:val="16"/>
        </w:rPr>
        <w:footnoteRef/>
      </w:r>
      <w:r w:rsidR="006A086B" w:rsidRPr="006A086B">
        <w:rPr>
          <w:rFonts w:ascii="Cambria" w:hAnsi="Cambria" w:cstheme="minorHAnsi"/>
          <w:sz w:val="16"/>
          <w:lang w:val="en-US"/>
        </w:rPr>
        <w:t xml:space="preserve">I/A Court H.R., Case of Juan Humberto Sánchez v. Honduras. Interpretation of the Judgment of Preliminary Objection, Merits, Reparations and Costs. Judgment of November 26, 2003. Series C No. 102, par. </w:t>
      </w:r>
      <w:r w:rsidRPr="006A086B">
        <w:rPr>
          <w:rFonts w:ascii="Cambria" w:hAnsi="Cambria" w:cstheme="minorHAnsi"/>
          <w:sz w:val="16"/>
          <w:lang w:val="en-US"/>
        </w:rPr>
        <w:t>186.</w:t>
      </w:r>
    </w:p>
  </w:footnote>
  <w:footnote w:id="26">
    <w:p w14:paraId="75DC9586" w14:textId="03C9E4A9" w:rsidR="00162E4F" w:rsidRPr="006A086B" w:rsidRDefault="00162E4F" w:rsidP="00162E4F">
      <w:pPr>
        <w:pStyle w:val="Referencetext"/>
        <w:tabs>
          <w:tab w:val="left" w:pos="0"/>
        </w:tabs>
        <w:spacing w:after="0"/>
        <w:ind w:right="0" w:firstLine="720"/>
        <w:rPr>
          <w:rFonts w:ascii="Cambria" w:hAnsi="Cambria" w:cstheme="minorHAnsi"/>
          <w:sz w:val="16"/>
          <w:lang w:val="en-US"/>
        </w:rPr>
      </w:pPr>
      <w:r w:rsidRPr="006A086B">
        <w:rPr>
          <w:rStyle w:val="FootnoteReference"/>
          <w:rFonts w:ascii="Cambria" w:eastAsia="Symbol" w:hAnsi="Cambria" w:cstheme="minorHAnsi"/>
          <w:sz w:val="16"/>
        </w:rPr>
        <w:footnoteRef/>
      </w:r>
      <w:r w:rsidRPr="006A086B">
        <w:rPr>
          <w:rFonts w:ascii="Cambria" w:hAnsi="Cambria" w:cstheme="minorHAnsi"/>
          <w:sz w:val="16"/>
          <w:lang w:val="en-US"/>
        </w:rPr>
        <w:t xml:space="preserve"> </w:t>
      </w:r>
      <w:r w:rsidR="006A086B" w:rsidRPr="006A086B">
        <w:rPr>
          <w:rFonts w:ascii="Cambria" w:hAnsi="Cambria" w:cstheme="minorHAnsi"/>
          <w:sz w:val="16"/>
          <w:lang w:val="en-US"/>
        </w:rPr>
        <w:t xml:space="preserve">I/A Court H.R., Case of </w:t>
      </w:r>
      <w:proofErr w:type="spellStart"/>
      <w:r w:rsidR="006A086B" w:rsidRPr="006A086B">
        <w:rPr>
          <w:rFonts w:ascii="Cambria" w:hAnsi="Cambria" w:cstheme="minorHAnsi"/>
          <w:sz w:val="16"/>
          <w:lang w:val="en-US"/>
        </w:rPr>
        <w:t>Bulacio</w:t>
      </w:r>
      <w:proofErr w:type="spellEnd"/>
      <w:r w:rsidR="006A086B" w:rsidRPr="006A086B">
        <w:rPr>
          <w:rFonts w:ascii="Cambria" w:hAnsi="Cambria" w:cstheme="minorHAnsi"/>
          <w:sz w:val="16"/>
          <w:lang w:val="en-US"/>
        </w:rPr>
        <w:t xml:space="preserve"> v. Argentina. Merits, Reparations and Costs. Judgment of September 18, 2003. Series C No. 100, par. </w:t>
      </w:r>
      <w:r w:rsidRPr="006A086B">
        <w:rPr>
          <w:rFonts w:ascii="Cambria" w:hAnsi="Cambria" w:cstheme="minorHAnsi"/>
          <w:sz w:val="16"/>
          <w:lang w:val="en-US"/>
        </w:rPr>
        <w:t>121.</w:t>
      </w:r>
    </w:p>
  </w:footnote>
  <w:footnote w:id="27">
    <w:p w14:paraId="43774D8B" w14:textId="551BB73C" w:rsidR="00162E4F" w:rsidRPr="006A086B" w:rsidRDefault="00162E4F" w:rsidP="00162E4F">
      <w:pPr>
        <w:pStyle w:val="Referencetext"/>
        <w:tabs>
          <w:tab w:val="left" w:pos="0"/>
        </w:tabs>
        <w:spacing w:after="0"/>
        <w:ind w:right="0" w:firstLine="720"/>
        <w:rPr>
          <w:rFonts w:ascii="Cambria" w:hAnsi="Cambria" w:cstheme="minorHAnsi"/>
          <w:sz w:val="16"/>
          <w:highlight w:val="yellow"/>
          <w:lang w:val="en-US"/>
        </w:rPr>
      </w:pPr>
      <w:r w:rsidRPr="006A086B">
        <w:rPr>
          <w:rStyle w:val="FootnoteReference"/>
          <w:rFonts w:ascii="Cambria" w:eastAsia="Symbol" w:hAnsi="Cambria" w:cstheme="minorHAnsi"/>
          <w:sz w:val="16"/>
        </w:rPr>
        <w:footnoteRef/>
      </w:r>
      <w:r w:rsidRPr="006A086B">
        <w:rPr>
          <w:rFonts w:ascii="Cambria" w:hAnsi="Cambria" w:cstheme="minorHAnsi"/>
          <w:sz w:val="16"/>
          <w:lang w:val="en-US"/>
        </w:rPr>
        <w:t xml:space="preserve"> </w:t>
      </w:r>
      <w:r w:rsidR="006A086B" w:rsidRPr="006A086B">
        <w:rPr>
          <w:rFonts w:ascii="Cambria" w:hAnsi="Cambria" w:cstheme="minorHAnsi"/>
          <w:sz w:val="16"/>
          <w:lang w:val="en-US"/>
        </w:rPr>
        <w:t xml:space="preserve">I/A Court H.R., Case of Myrna Mack Chang v. Guatemala. Merits, Reparations and Costs. Judgment of November 25, 2003. Series C No. 101, par. </w:t>
      </w:r>
      <w:r w:rsidRPr="006A086B">
        <w:rPr>
          <w:rFonts w:ascii="Cambria" w:hAnsi="Cambria" w:cstheme="minorHAnsi"/>
          <w:sz w:val="16"/>
          <w:lang w:val="en-US"/>
        </w:rPr>
        <w:t>276.</w:t>
      </w:r>
    </w:p>
  </w:footnote>
  <w:footnote w:id="28">
    <w:p w14:paraId="4E9208BC" w14:textId="4B291FC9" w:rsidR="00E6497D" w:rsidRPr="00D27613" w:rsidRDefault="00E6497D" w:rsidP="00E6497D">
      <w:pPr>
        <w:pStyle w:val="FootnoteText"/>
        <w:tabs>
          <w:tab w:val="left" w:pos="0"/>
        </w:tabs>
        <w:ind w:firstLine="720"/>
        <w:jc w:val="both"/>
        <w:rPr>
          <w:rFonts w:ascii="Cambria" w:hAnsi="Cambria" w:cstheme="minorHAnsi"/>
          <w:sz w:val="16"/>
          <w:szCs w:val="16"/>
          <w:lang w:val="es-CO"/>
        </w:rPr>
      </w:pPr>
      <w:r w:rsidRPr="006A086B">
        <w:rPr>
          <w:rStyle w:val="FootnoteReference"/>
          <w:rFonts w:ascii="Cambria" w:hAnsi="Cambria" w:cstheme="minorHAnsi"/>
          <w:sz w:val="16"/>
          <w:szCs w:val="16"/>
        </w:rPr>
        <w:footnoteRef/>
      </w:r>
      <w:r w:rsidRPr="006A086B">
        <w:rPr>
          <w:rFonts w:ascii="Cambria" w:hAnsi="Cambria" w:cstheme="minorHAnsi"/>
          <w:sz w:val="16"/>
          <w:szCs w:val="16"/>
        </w:rPr>
        <w:t xml:space="preserve"> </w:t>
      </w:r>
      <w:r w:rsidR="006A086B" w:rsidRPr="006A086B">
        <w:rPr>
          <w:rFonts w:ascii="Cambria" w:hAnsi="Cambria" w:cstheme="minorHAnsi"/>
          <w:sz w:val="16"/>
          <w:szCs w:val="16"/>
        </w:rPr>
        <w:t xml:space="preserve">I/A Court H.R., Case of Pacheco </w:t>
      </w:r>
      <w:proofErr w:type="spellStart"/>
      <w:r w:rsidR="006A086B" w:rsidRPr="006A086B">
        <w:rPr>
          <w:rFonts w:ascii="Cambria" w:hAnsi="Cambria" w:cstheme="minorHAnsi"/>
          <w:sz w:val="16"/>
          <w:szCs w:val="16"/>
        </w:rPr>
        <w:t>Teruel</w:t>
      </w:r>
      <w:proofErr w:type="spellEnd"/>
      <w:r w:rsidR="006A086B" w:rsidRPr="006A086B">
        <w:rPr>
          <w:rFonts w:ascii="Cambria" w:hAnsi="Cambria" w:cstheme="minorHAnsi"/>
          <w:sz w:val="16"/>
          <w:szCs w:val="16"/>
        </w:rPr>
        <w:t xml:space="preserve"> et al. v. Honduras. Merits, Reparations and Costs. </w:t>
      </w:r>
      <w:r w:rsidR="006A086B" w:rsidRPr="006A086B">
        <w:rPr>
          <w:rFonts w:ascii="Cambria" w:hAnsi="Cambria" w:cstheme="minorHAnsi"/>
          <w:sz w:val="16"/>
          <w:szCs w:val="16"/>
          <w:lang w:val="es-US"/>
        </w:rPr>
        <w:t xml:space="preserve">Judgment of April 27, 2012. Series C No. 241, par. </w:t>
      </w:r>
      <w:r w:rsidRPr="006A086B">
        <w:rPr>
          <w:rFonts w:ascii="Cambria" w:hAnsi="Cambria" w:cstheme="minorHAnsi"/>
          <w:sz w:val="16"/>
          <w:szCs w:val="16"/>
          <w:lang w:val="es-US"/>
        </w:rPr>
        <w:t>92.</w:t>
      </w:r>
      <w:r w:rsidRPr="00D27613">
        <w:rPr>
          <w:rFonts w:ascii="Cambria" w:hAnsi="Cambria" w:cstheme="minorHAnsi"/>
          <w:sz w:val="16"/>
          <w:szCs w:val="16"/>
          <w:lang w:val="es-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FE1A8D"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FEC4B" w14:textId="77777777" w:rsidR="00E3127A" w:rsidRDefault="00E31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8EB41EB"/>
    <w:multiLevelType w:val="hybridMultilevel"/>
    <w:tmpl w:val="3FC61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73702F"/>
    <w:multiLevelType w:val="hybridMultilevel"/>
    <w:tmpl w:val="5906BABA"/>
    <w:lvl w:ilvl="0" w:tplc="D7E4D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6074F78"/>
    <w:multiLevelType w:val="hybridMultilevel"/>
    <w:tmpl w:val="FEF6A7C8"/>
    <w:lvl w:ilvl="0" w:tplc="C4B279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70AD"/>
    <w:multiLevelType w:val="hybridMultilevel"/>
    <w:tmpl w:val="D682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DB4DD4"/>
    <w:multiLevelType w:val="hybridMultilevel"/>
    <w:tmpl w:val="4E8A7156"/>
    <w:lvl w:ilvl="0" w:tplc="2EF03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BE4175"/>
    <w:multiLevelType w:val="hybridMultilevel"/>
    <w:tmpl w:val="8B2C9250"/>
    <w:lvl w:ilvl="0" w:tplc="26AE3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9C64A27"/>
    <w:multiLevelType w:val="hybridMultilevel"/>
    <w:tmpl w:val="5DCE1986"/>
    <w:lvl w:ilvl="0" w:tplc="D41832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F90DD6"/>
    <w:multiLevelType w:val="hybridMultilevel"/>
    <w:tmpl w:val="251609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B241284"/>
    <w:multiLevelType w:val="hybridMultilevel"/>
    <w:tmpl w:val="791814BE"/>
    <w:lvl w:ilvl="0" w:tplc="8C644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BDB0471"/>
    <w:multiLevelType w:val="hybridMultilevel"/>
    <w:tmpl w:val="0BC4C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1D2616"/>
    <w:multiLevelType w:val="hybridMultilevel"/>
    <w:tmpl w:val="498AA8D0"/>
    <w:lvl w:ilvl="0" w:tplc="C4B279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D75445E"/>
    <w:multiLevelType w:val="hybridMultilevel"/>
    <w:tmpl w:val="F3EE9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66" w15:restartNumberingAfterBreak="0">
    <w:nsid w:val="7F9D7CDC"/>
    <w:multiLevelType w:val="hybridMultilevel"/>
    <w:tmpl w:val="FA22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8"/>
  </w:num>
  <w:num w:numId="4">
    <w:abstractNumId w:val="26"/>
  </w:num>
  <w:num w:numId="5">
    <w:abstractNumId w:val="50"/>
  </w:num>
  <w:num w:numId="6">
    <w:abstractNumId w:val="31"/>
  </w:num>
  <w:num w:numId="7">
    <w:abstractNumId w:val="9"/>
  </w:num>
  <w:num w:numId="8">
    <w:abstractNumId w:val="22"/>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3"/>
  </w:num>
  <w:num w:numId="16">
    <w:abstractNumId w:val="10"/>
  </w:num>
  <w:num w:numId="17">
    <w:abstractNumId w:val="11"/>
  </w:num>
  <w:num w:numId="18">
    <w:abstractNumId w:val="12"/>
  </w:num>
  <w:num w:numId="19">
    <w:abstractNumId w:val="13"/>
  </w:num>
  <w:num w:numId="20">
    <w:abstractNumId w:val="14"/>
  </w:num>
  <w:num w:numId="21">
    <w:abstractNumId w:val="17"/>
  </w:num>
  <w:num w:numId="22">
    <w:abstractNumId w:val="18"/>
  </w:num>
  <w:num w:numId="23">
    <w:abstractNumId w:val="19"/>
  </w:num>
  <w:num w:numId="24">
    <w:abstractNumId w:val="20"/>
  </w:num>
  <w:num w:numId="25">
    <w:abstractNumId w:val="23"/>
  </w:num>
  <w:num w:numId="26">
    <w:abstractNumId w:val="24"/>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9"/>
  </w:num>
  <w:num w:numId="42">
    <w:abstractNumId w:val="51"/>
  </w:num>
  <w:num w:numId="43">
    <w:abstractNumId w:val="54"/>
  </w:num>
  <w:num w:numId="44">
    <w:abstractNumId w:val="56"/>
  </w:num>
  <w:num w:numId="45">
    <w:abstractNumId w:val="57"/>
  </w:num>
  <w:num w:numId="46">
    <w:abstractNumId w:val="59"/>
  </w:num>
  <w:num w:numId="47">
    <w:abstractNumId w:val="61"/>
  </w:num>
  <w:num w:numId="48">
    <w:abstractNumId w:val="62"/>
  </w:num>
  <w:num w:numId="49">
    <w:abstractNumId w:val="64"/>
  </w:num>
  <w:num w:numId="50">
    <w:abstractNumId w:val="65"/>
  </w:num>
  <w:num w:numId="51">
    <w:abstractNumId w:val="25"/>
  </w:num>
  <w:num w:numId="52">
    <w:abstractNumId w:val="44"/>
  </w:num>
  <w:num w:numId="53">
    <w:abstractNumId w:val="55"/>
  </w:num>
  <w:num w:numId="54">
    <w:abstractNumId w:val="48"/>
  </w:num>
  <w:num w:numId="55">
    <w:abstractNumId w:val="46"/>
  </w:num>
  <w:num w:numId="56">
    <w:abstractNumId w:val="52"/>
  </w:num>
  <w:num w:numId="57">
    <w:abstractNumId w:val="5"/>
  </w:num>
  <w:num w:numId="58">
    <w:abstractNumId w:val="16"/>
  </w:num>
  <w:num w:numId="59">
    <w:abstractNumId w:val="60"/>
  </w:num>
  <w:num w:numId="60">
    <w:abstractNumId w:val="7"/>
  </w:num>
  <w:num w:numId="61">
    <w:abstractNumId w:val="63"/>
  </w:num>
  <w:num w:numId="62">
    <w:abstractNumId w:val="2"/>
  </w:num>
  <w:num w:numId="63">
    <w:abstractNumId w:val="8"/>
  </w:num>
  <w:num w:numId="64">
    <w:abstractNumId w:val="53"/>
  </w:num>
  <w:num w:numId="65">
    <w:abstractNumId w:val="66"/>
  </w:num>
  <w:num w:numId="66">
    <w:abstractNumId w:val="15"/>
  </w:num>
  <w:num w:numId="67">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253C"/>
    <w:rsid w:val="00036A8A"/>
    <w:rsid w:val="00040C3A"/>
    <w:rsid w:val="00044569"/>
    <w:rsid w:val="000639C0"/>
    <w:rsid w:val="00070571"/>
    <w:rsid w:val="00070F3A"/>
    <w:rsid w:val="00070F4E"/>
    <w:rsid w:val="000716C5"/>
    <w:rsid w:val="00075E23"/>
    <w:rsid w:val="00077DBA"/>
    <w:rsid w:val="00080B93"/>
    <w:rsid w:val="00092F32"/>
    <w:rsid w:val="0009344A"/>
    <w:rsid w:val="00094D5B"/>
    <w:rsid w:val="000A575F"/>
    <w:rsid w:val="000A63E8"/>
    <w:rsid w:val="000B5E02"/>
    <w:rsid w:val="000B67AF"/>
    <w:rsid w:val="000C4365"/>
    <w:rsid w:val="000D10DB"/>
    <w:rsid w:val="000D2267"/>
    <w:rsid w:val="000E3360"/>
    <w:rsid w:val="000F44C1"/>
    <w:rsid w:val="000F47C5"/>
    <w:rsid w:val="00100658"/>
    <w:rsid w:val="00113A7C"/>
    <w:rsid w:val="0012147E"/>
    <w:rsid w:val="00124116"/>
    <w:rsid w:val="00125886"/>
    <w:rsid w:val="00130279"/>
    <w:rsid w:val="0013104F"/>
    <w:rsid w:val="00137EBA"/>
    <w:rsid w:val="00145EDC"/>
    <w:rsid w:val="00153084"/>
    <w:rsid w:val="00153439"/>
    <w:rsid w:val="00157B97"/>
    <w:rsid w:val="00162E4F"/>
    <w:rsid w:val="00163096"/>
    <w:rsid w:val="001646B5"/>
    <w:rsid w:val="00167A34"/>
    <w:rsid w:val="00167D72"/>
    <w:rsid w:val="001714B4"/>
    <w:rsid w:val="0017237F"/>
    <w:rsid w:val="0018037F"/>
    <w:rsid w:val="0019661D"/>
    <w:rsid w:val="001966F0"/>
    <w:rsid w:val="001A016C"/>
    <w:rsid w:val="001A5F27"/>
    <w:rsid w:val="001A65E4"/>
    <w:rsid w:val="001A7870"/>
    <w:rsid w:val="001B2EA5"/>
    <w:rsid w:val="001B47CB"/>
    <w:rsid w:val="001B63B5"/>
    <w:rsid w:val="001C1B41"/>
    <w:rsid w:val="001E366B"/>
    <w:rsid w:val="001E3A95"/>
    <w:rsid w:val="001E5727"/>
    <w:rsid w:val="001E633D"/>
    <w:rsid w:val="001F1902"/>
    <w:rsid w:val="00210E0E"/>
    <w:rsid w:val="00210F4B"/>
    <w:rsid w:val="00213C72"/>
    <w:rsid w:val="00220CFD"/>
    <w:rsid w:val="0022202F"/>
    <w:rsid w:val="00230163"/>
    <w:rsid w:val="00232B3E"/>
    <w:rsid w:val="0023351C"/>
    <w:rsid w:val="002407BB"/>
    <w:rsid w:val="00247403"/>
    <w:rsid w:val="00247542"/>
    <w:rsid w:val="00257893"/>
    <w:rsid w:val="00266092"/>
    <w:rsid w:val="00266B61"/>
    <w:rsid w:val="002670A7"/>
    <w:rsid w:val="0026712A"/>
    <w:rsid w:val="002704DB"/>
    <w:rsid w:val="002760CE"/>
    <w:rsid w:val="0028259C"/>
    <w:rsid w:val="00292204"/>
    <w:rsid w:val="002A7DD4"/>
    <w:rsid w:val="002B7A85"/>
    <w:rsid w:val="002C1641"/>
    <w:rsid w:val="002D3754"/>
    <w:rsid w:val="002D7EA2"/>
    <w:rsid w:val="002E15DF"/>
    <w:rsid w:val="002E187C"/>
    <w:rsid w:val="002E6E57"/>
    <w:rsid w:val="002F4947"/>
    <w:rsid w:val="00301075"/>
    <w:rsid w:val="00302733"/>
    <w:rsid w:val="00302748"/>
    <w:rsid w:val="00311A4F"/>
    <w:rsid w:val="00314078"/>
    <w:rsid w:val="00314928"/>
    <w:rsid w:val="00321AFD"/>
    <w:rsid w:val="00322450"/>
    <w:rsid w:val="003246B5"/>
    <w:rsid w:val="0033169F"/>
    <w:rsid w:val="00334BCC"/>
    <w:rsid w:val="00337F5A"/>
    <w:rsid w:val="003414AC"/>
    <w:rsid w:val="00347852"/>
    <w:rsid w:val="00356185"/>
    <w:rsid w:val="00360380"/>
    <w:rsid w:val="003771A3"/>
    <w:rsid w:val="003826B3"/>
    <w:rsid w:val="003854F5"/>
    <w:rsid w:val="00386A0C"/>
    <w:rsid w:val="00386CF0"/>
    <w:rsid w:val="00391484"/>
    <w:rsid w:val="003A18A7"/>
    <w:rsid w:val="003A4348"/>
    <w:rsid w:val="003B183E"/>
    <w:rsid w:val="003C32BC"/>
    <w:rsid w:val="003E0453"/>
    <w:rsid w:val="003E3E03"/>
    <w:rsid w:val="003F1BBF"/>
    <w:rsid w:val="00402986"/>
    <w:rsid w:val="004162B1"/>
    <w:rsid w:val="004165C2"/>
    <w:rsid w:val="00424999"/>
    <w:rsid w:val="004267B3"/>
    <w:rsid w:val="00427A2F"/>
    <w:rsid w:val="00450A4A"/>
    <w:rsid w:val="00455316"/>
    <w:rsid w:val="004666FB"/>
    <w:rsid w:val="00466D0B"/>
    <w:rsid w:val="00467B7E"/>
    <w:rsid w:val="00476D29"/>
    <w:rsid w:val="00484FE3"/>
    <w:rsid w:val="0049419D"/>
    <w:rsid w:val="004B2762"/>
    <w:rsid w:val="004B5F3A"/>
    <w:rsid w:val="004B7EB6"/>
    <w:rsid w:val="004C41DE"/>
    <w:rsid w:val="004C4B62"/>
    <w:rsid w:val="004C7A36"/>
    <w:rsid w:val="004D6025"/>
    <w:rsid w:val="004D6A1A"/>
    <w:rsid w:val="004D72BC"/>
    <w:rsid w:val="004E07C0"/>
    <w:rsid w:val="004E3736"/>
    <w:rsid w:val="004E5D07"/>
    <w:rsid w:val="004F35AC"/>
    <w:rsid w:val="004F6B67"/>
    <w:rsid w:val="00501399"/>
    <w:rsid w:val="00504B37"/>
    <w:rsid w:val="005055FA"/>
    <w:rsid w:val="005066DA"/>
    <w:rsid w:val="0050762A"/>
    <w:rsid w:val="00507BC4"/>
    <w:rsid w:val="005128E4"/>
    <w:rsid w:val="00520504"/>
    <w:rsid w:val="005217E4"/>
    <w:rsid w:val="00521B60"/>
    <w:rsid w:val="00525560"/>
    <w:rsid w:val="005303A1"/>
    <w:rsid w:val="00534EF9"/>
    <w:rsid w:val="005357A6"/>
    <w:rsid w:val="005406C2"/>
    <w:rsid w:val="00544C49"/>
    <w:rsid w:val="00546F6D"/>
    <w:rsid w:val="00552E7F"/>
    <w:rsid w:val="005556C6"/>
    <w:rsid w:val="00565219"/>
    <w:rsid w:val="00572A02"/>
    <w:rsid w:val="0057402A"/>
    <w:rsid w:val="00576A49"/>
    <w:rsid w:val="005771D0"/>
    <w:rsid w:val="005816E5"/>
    <w:rsid w:val="00584A38"/>
    <w:rsid w:val="0059191A"/>
    <w:rsid w:val="005921FF"/>
    <w:rsid w:val="00592718"/>
    <w:rsid w:val="005A4247"/>
    <w:rsid w:val="005A4F7C"/>
    <w:rsid w:val="005A67B8"/>
    <w:rsid w:val="005A6D0E"/>
    <w:rsid w:val="005B0771"/>
    <w:rsid w:val="005B222D"/>
    <w:rsid w:val="005B2597"/>
    <w:rsid w:val="005B4C47"/>
    <w:rsid w:val="005B52B0"/>
    <w:rsid w:val="005B5A0D"/>
    <w:rsid w:val="005B6806"/>
    <w:rsid w:val="005B6898"/>
    <w:rsid w:val="005C00F9"/>
    <w:rsid w:val="005C4225"/>
    <w:rsid w:val="005C7ADD"/>
    <w:rsid w:val="005D0AC6"/>
    <w:rsid w:val="005E2262"/>
    <w:rsid w:val="005F0F33"/>
    <w:rsid w:val="00600DEB"/>
    <w:rsid w:val="006045CE"/>
    <w:rsid w:val="00605DE2"/>
    <w:rsid w:val="00613027"/>
    <w:rsid w:val="00621ED0"/>
    <w:rsid w:val="00627C9F"/>
    <w:rsid w:val="006311DA"/>
    <w:rsid w:val="006311E9"/>
    <w:rsid w:val="006318B2"/>
    <w:rsid w:val="00631AA3"/>
    <w:rsid w:val="00632354"/>
    <w:rsid w:val="00634A17"/>
    <w:rsid w:val="00642810"/>
    <w:rsid w:val="00647658"/>
    <w:rsid w:val="00652333"/>
    <w:rsid w:val="00653EA6"/>
    <w:rsid w:val="0065506C"/>
    <w:rsid w:val="006614CA"/>
    <w:rsid w:val="00675AB6"/>
    <w:rsid w:val="0068009E"/>
    <w:rsid w:val="00693930"/>
    <w:rsid w:val="006A086B"/>
    <w:rsid w:val="006A17D2"/>
    <w:rsid w:val="006A73E6"/>
    <w:rsid w:val="006B2789"/>
    <w:rsid w:val="006B2D5C"/>
    <w:rsid w:val="006B4808"/>
    <w:rsid w:val="006C32EF"/>
    <w:rsid w:val="006C4EB1"/>
    <w:rsid w:val="006D1D3A"/>
    <w:rsid w:val="006D4707"/>
    <w:rsid w:val="006D4B19"/>
    <w:rsid w:val="006E0166"/>
    <w:rsid w:val="006E4D91"/>
    <w:rsid w:val="006E7B34"/>
    <w:rsid w:val="00701B24"/>
    <w:rsid w:val="00702338"/>
    <w:rsid w:val="0071495F"/>
    <w:rsid w:val="0073400E"/>
    <w:rsid w:val="0073798E"/>
    <w:rsid w:val="007455DA"/>
    <w:rsid w:val="00745899"/>
    <w:rsid w:val="007607C4"/>
    <w:rsid w:val="007656D5"/>
    <w:rsid w:val="0076643F"/>
    <w:rsid w:val="00781653"/>
    <w:rsid w:val="00783564"/>
    <w:rsid w:val="00792898"/>
    <w:rsid w:val="00792C14"/>
    <w:rsid w:val="00793977"/>
    <w:rsid w:val="007A2F70"/>
    <w:rsid w:val="007A42B3"/>
    <w:rsid w:val="007A7C41"/>
    <w:rsid w:val="007B03C7"/>
    <w:rsid w:val="007B53DE"/>
    <w:rsid w:val="007C3334"/>
    <w:rsid w:val="007C52BB"/>
    <w:rsid w:val="007D1585"/>
    <w:rsid w:val="007D2B98"/>
    <w:rsid w:val="007D5712"/>
    <w:rsid w:val="007E4493"/>
    <w:rsid w:val="007F196E"/>
    <w:rsid w:val="007F2AA5"/>
    <w:rsid w:val="00803F1C"/>
    <w:rsid w:val="0080600E"/>
    <w:rsid w:val="00817612"/>
    <w:rsid w:val="00817887"/>
    <w:rsid w:val="008213A6"/>
    <w:rsid w:val="00826F6E"/>
    <w:rsid w:val="00830A75"/>
    <w:rsid w:val="00837C45"/>
    <w:rsid w:val="00842851"/>
    <w:rsid w:val="00842B67"/>
    <w:rsid w:val="00853419"/>
    <w:rsid w:val="008578A9"/>
    <w:rsid w:val="00864765"/>
    <w:rsid w:val="00883B42"/>
    <w:rsid w:val="00893AF4"/>
    <w:rsid w:val="00897E12"/>
    <w:rsid w:val="008A614D"/>
    <w:rsid w:val="008A61AD"/>
    <w:rsid w:val="008B69AE"/>
    <w:rsid w:val="008D43BA"/>
    <w:rsid w:val="008D5990"/>
    <w:rsid w:val="008D786C"/>
    <w:rsid w:val="008E00E2"/>
    <w:rsid w:val="008E10AB"/>
    <w:rsid w:val="008E3759"/>
    <w:rsid w:val="009041DC"/>
    <w:rsid w:val="009104B4"/>
    <w:rsid w:val="009228DA"/>
    <w:rsid w:val="009238CF"/>
    <w:rsid w:val="00925FCD"/>
    <w:rsid w:val="009318D3"/>
    <w:rsid w:val="0093441A"/>
    <w:rsid w:val="00954BF7"/>
    <w:rsid w:val="0096706E"/>
    <w:rsid w:val="00981FBA"/>
    <w:rsid w:val="009845AA"/>
    <w:rsid w:val="00986177"/>
    <w:rsid w:val="009921B6"/>
    <w:rsid w:val="009A6BAC"/>
    <w:rsid w:val="009B0A44"/>
    <w:rsid w:val="009B381B"/>
    <w:rsid w:val="009C368C"/>
    <w:rsid w:val="009D7611"/>
    <w:rsid w:val="009E53DE"/>
    <w:rsid w:val="009E566A"/>
    <w:rsid w:val="009F1B3B"/>
    <w:rsid w:val="009F2A58"/>
    <w:rsid w:val="009F58E2"/>
    <w:rsid w:val="00A027A1"/>
    <w:rsid w:val="00A12DBC"/>
    <w:rsid w:val="00A14AAA"/>
    <w:rsid w:val="00A21779"/>
    <w:rsid w:val="00A23E3E"/>
    <w:rsid w:val="00A325C0"/>
    <w:rsid w:val="00A35E9C"/>
    <w:rsid w:val="00A43458"/>
    <w:rsid w:val="00A528D1"/>
    <w:rsid w:val="00A56053"/>
    <w:rsid w:val="00A57C98"/>
    <w:rsid w:val="00A618BE"/>
    <w:rsid w:val="00A66BE5"/>
    <w:rsid w:val="00A71C1C"/>
    <w:rsid w:val="00A75DE9"/>
    <w:rsid w:val="00A84BEB"/>
    <w:rsid w:val="00A97127"/>
    <w:rsid w:val="00AA03F0"/>
    <w:rsid w:val="00AD37C1"/>
    <w:rsid w:val="00AD608F"/>
    <w:rsid w:val="00AE0C9C"/>
    <w:rsid w:val="00AE66EC"/>
    <w:rsid w:val="00AE6F91"/>
    <w:rsid w:val="00AF5571"/>
    <w:rsid w:val="00AF7B5D"/>
    <w:rsid w:val="00B02A13"/>
    <w:rsid w:val="00B06BB7"/>
    <w:rsid w:val="00B167E9"/>
    <w:rsid w:val="00B179ED"/>
    <w:rsid w:val="00B260AF"/>
    <w:rsid w:val="00B314DB"/>
    <w:rsid w:val="00B31EBE"/>
    <w:rsid w:val="00B3718B"/>
    <w:rsid w:val="00B44B23"/>
    <w:rsid w:val="00B4632A"/>
    <w:rsid w:val="00B47F6C"/>
    <w:rsid w:val="00B51815"/>
    <w:rsid w:val="00B54173"/>
    <w:rsid w:val="00B57CBB"/>
    <w:rsid w:val="00B92E49"/>
    <w:rsid w:val="00B930DB"/>
    <w:rsid w:val="00B96994"/>
    <w:rsid w:val="00BA276C"/>
    <w:rsid w:val="00BA45C2"/>
    <w:rsid w:val="00BB306F"/>
    <w:rsid w:val="00BD232B"/>
    <w:rsid w:val="00BD2E42"/>
    <w:rsid w:val="00BD32AB"/>
    <w:rsid w:val="00BD4B89"/>
    <w:rsid w:val="00BE45B0"/>
    <w:rsid w:val="00BE4842"/>
    <w:rsid w:val="00BF0ABF"/>
    <w:rsid w:val="00BF1835"/>
    <w:rsid w:val="00BF4B32"/>
    <w:rsid w:val="00C00EC7"/>
    <w:rsid w:val="00C04F1B"/>
    <w:rsid w:val="00C05480"/>
    <w:rsid w:val="00C14851"/>
    <w:rsid w:val="00C20982"/>
    <w:rsid w:val="00C21762"/>
    <w:rsid w:val="00C224A1"/>
    <w:rsid w:val="00C24543"/>
    <w:rsid w:val="00C256A2"/>
    <w:rsid w:val="00C25DB9"/>
    <w:rsid w:val="00C27D00"/>
    <w:rsid w:val="00C3492D"/>
    <w:rsid w:val="00C34BA2"/>
    <w:rsid w:val="00C472FE"/>
    <w:rsid w:val="00C4773C"/>
    <w:rsid w:val="00C55560"/>
    <w:rsid w:val="00C66B72"/>
    <w:rsid w:val="00C8185B"/>
    <w:rsid w:val="00C8703D"/>
    <w:rsid w:val="00C9567A"/>
    <w:rsid w:val="00CA14B3"/>
    <w:rsid w:val="00CA2CC4"/>
    <w:rsid w:val="00CA6577"/>
    <w:rsid w:val="00CA6808"/>
    <w:rsid w:val="00CB1AAC"/>
    <w:rsid w:val="00CB2660"/>
    <w:rsid w:val="00CC5E90"/>
    <w:rsid w:val="00CD046C"/>
    <w:rsid w:val="00CE1484"/>
    <w:rsid w:val="00CE5199"/>
    <w:rsid w:val="00CE66D5"/>
    <w:rsid w:val="00CF31D9"/>
    <w:rsid w:val="00D1300D"/>
    <w:rsid w:val="00D27ED5"/>
    <w:rsid w:val="00D34786"/>
    <w:rsid w:val="00D368F5"/>
    <w:rsid w:val="00D40A1E"/>
    <w:rsid w:val="00D42874"/>
    <w:rsid w:val="00D51F05"/>
    <w:rsid w:val="00D52067"/>
    <w:rsid w:val="00D533AD"/>
    <w:rsid w:val="00D533C0"/>
    <w:rsid w:val="00D64E10"/>
    <w:rsid w:val="00D712D3"/>
    <w:rsid w:val="00D71422"/>
    <w:rsid w:val="00D7145E"/>
    <w:rsid w:val="00D71C70"/>
    <w:rsid w:val="00D720D9"/>
    <w:rsid w:val="00D7394A"/>
    <w:rsid w:val="00D74450"/>
    <w:rsid w:val="00D75084"/>
    <w:rsid w:val="00D7558D"/>
    <w:rsid w:val="00D7643F"/>
    <w:rsid w:val="00D7668B"/>
    <w:rsid w:val="00D81D92"/>
    <w:rsid w:val="00D87755"/>
    <w:rsid w:val="00D92B94"/>
    <w:rsid w:val="00D93446"/>
    <w:rsid w:val="00DA7B5F"/>
    <w:rsid w:val="00DB2771"/>
    <w:rsid w:val="00DC28E0"/>
    <w:rsid w:val="00DD6D56"/>
    <w:rsid w:val="00DE773F"/>
    <w:rsid w:val="00DF078B"/>
    <w:rsid w:val="00DF350D"/>
    <w:rsid w:val="00DF55AE"/>
    <w:rsid w:val="00E11DC1"/>
    <w:rsid w:val="00E14D1E"/>
    <w:rsid w:val="00E227C1"/>
    <w:rsid w:val="00E3127A"/>
    <w:rsid w:val="00E43157"/>
    <w:rsid w:val="00E431F1"/>
    <w:rsid w:val="00E44870"/>
    <w:rsid w:val="00E44DF9"/>
    <w:rsid w:val="00E47F3D"/>
    <w:rsid w:val="00E533FF"/>
    <w:rsid w:val="00E56B9A"/>
    <w:rsid w:val="00E617C6"/>
    <w:rsid w:val="00E6497D"/>
    <w:rsid w:val="00E673AF"/>
    <w:rsid w:val="00E709B3"/>
    <w:rsid w:val="00E71D09"/>
    <w:rsid w:val="00E7588C"/>
    <w:rsid w:val="00E75F83"/>
    <w:rsid w:val="00E850B6"/>
    <w:rsid w:val="00E8789F"/>
    <w:rsid w:val="00E91562"/>
    <w:rsid w:val="00E97B71"/>
    <w:rsid w:val="00EB454D"/>
    <w:rsid w:val="00EB6B8C"/>
    <w:rsid w:val="00EC29A3"/>
    <w:rsid w:val="00EC31C1"/>
    <w:rsid w:val="00EC67C5"/>
    <w:rsid w:val="00ED036E"/>
    <w:rsid w:val="00ED0D1B"/>
    <w:rsid w:val="00EE0EAF"/>
    <w:rsid w:val="00EE2636"/>
    <w:rsid w:val="00EE3522"/>
    <w:rsid w:val="00EE575E"/>
    <w:rsid w:val="00EF619B"/>
    <w:rsid w:val="00F00B55"/>
    <w:rsid w:val="00F1380F"/>
    <w:rsid w:val="00F14F0E"/>
    <w:rsid w:val="00F15A3B"/>
    <w:rsid w:val="00F178D6"/>
    <w:rsid w:val="00F210CE"/>
    <w:rsid w:val="00F24C29"/>
    <w:rsid w:val="00F253CC"/>
    <w:rsid w:val="00F42B71"/>
    <w:rsid w:val="00F56BA5"/>
    <w:rsid w:val="00F621C3"/>
    <w:rsid w:val="00F644E6"/>
    <w:rsid w:val="00F64F6E"/>
    <w:rsid w:val="00F862D8"/>
    <w:rsid w:val="00F9653B"/>
    <w:rsid w:val="00FB473B"/>
    <w:rsid w:val="00FB4EF7"/>
    <w:rsid w:val="00FB62CF"/>
    <w:rsid w:val="00FC3EB4"/>
    <w:rsid w:val="00FC6C58"/>
    <w:rsid w:val="00FE0C56"/>
    <w:rsid w:val="00FE1A8D"/>
    <w:rsid w:val="00FE1DAC"/>
    <w:rsid w:val="00FE262A"/>
    <w:rsid w:val="00FE511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uiPriority w:val="99"/>
    <w:rsid w:val="003826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Default">
    <w:name w:val="Default"/>
    <w:link w:val="DefaultChar"/>
    <w:rsid w:val="00FE0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FE0C56"/>
    <w:rPr>
      <w:rFonts w:eastAsia="Times New Roman"/>
      <w:color w:val="000000"/>
      <w:sz w:val="24"/>
      <w:szCs w:val="24"/>
      <w:bdr w:val="none" w:sz="0" w:space="0" w:color="auto"/>
      <w:lang w:val="en-US" w:eastAsia="en-US"/>
    </w:rPr>
  </w:style>
  <w:style w:type="paragraph" w:customStyle="1" w:styleId="Referencetext">
    <w:name w:val="Reference text"/>
    <w:rsid w:val="00A84BEB"/>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A84BEB"/>
    <w:rPr>
      <w:rFonts w:ascii="Univers" w:hAnsi="Univers"/>
      <w:dstrike w:val="0"/>
      <w:sz w:val="20"/>
      <w:szCs w:val="20"/>
      <w:vertAlign w:val="superscript"/>
      <w:lang w:val="es-CR"/>
    </w:rPr>
  </w:style>
  <w:style w:type="paragraph" w:customStyle="1" w:styleId="Quoteover50">
    <w:name w:val="Quote over 50"/>
    <w:link w:val="Quoteover50Char"/>
    <w:autoRedefine/>
    <w:rsid w:val="00A84BEB"/>
    <w:pPr>
      <w:pBdr>
        <w:top w:val="none" w:sz="0" w:space="0" w:color="auto"/>
        <w:left w:val="none" w:sz="0" w:space="0" w:color="auto"/>
        <w:bottom w:val="none" w:sz="0" w:space="0" w:color="auto"/>
        <w:right w:val="none" w:sz="0" w:space="0" w:color="auto"/>
        <w:between w:val="none" w:sz="0" w:space="0" w:color="auto"/>
        <w:bar w:val="none" w:sz="0" w:color="auto"/>
      </w:pBdr>
      <w:ind w:left="851" w:right="851"/>
      <w:jc w:val="both"/>
    </w:pPr>
    <w:rPr>
      <w:rFonts w:ascii="Univers" w:eastAsia="Times New Roman" w:hAnsi="Univers"/>
      <w:szCs w:val="24"/>
      <w:bdr w:val="none" w:sz="0" w:space="0" w:color="auto"/>
      <w:lang w:val="da-DK" w:eastAsia="en-US"/>
    </w:rPr>
  </w:style>
  <w:style w:type="character" w:customStyle="1" w:styleId="Quoteover50Char">
    <w:name w:val="Quote over 50 Char"/>
    <w:link w:val="Quoteover50"/>
    <w:rsid w:val="00A84BEB"/>
    <w:rPr>
      <w:rFonts w:ascii="Univers" w:eastAsia="Times New Roman" w:hAnsi="Univers"/>
      <w:szCs w:val="24"/>
      <w:bdr w:val="none" w:sz="0" w:space="0" w:color="auto"/>
      <w:lang w:val="da-DK" w:eastAsia="en-US"/>
    </w:rPr>
  </w:style>
  <w:style w:type="character" w:styleId="CommentReference">
    <w:name w:val="annotation reference"/>
    <w:basedOn w:val="DefaultParagraphFont"/>
    <w:uiPriority w:val="99"/>
    <w:semiHidden/>
    <w:unhideWhenUsed/>
    <w:rsid w:val="00783564"/>
    <w:rPr>
      <w:sz w:val="16"/>
      <w:szCs w:val="16"/>
    </w:rPr>
  </w:style>
  <w:style w:type="paragraph" w:styleId="CommentText">
    <w:name w:val="annotation text"/>
    <w:basedOn w:val="Normal"/>
    <w:link w:val="CommentTextChar"/>
    <w:uiPriority w:val="99"/>
    <w:semiHidden/>
    <w:unhideWhenUsed/>
    <w:rsid w:val="00783564"/>
    <w:rPr>
      <w:sz w:val="20"/>
      <w:szCs w:val="20"/>
    </w:rPr>
  </w:style>
  <w:style w:type="character" w:customStyle="1" w:styleId="CommentTextChar">
    <w:name w:val="Comment Text Char"/>
    <w:basedOn w:val="DefaultParagraphFont"/>
    <w:link w:val="CommentText"/>
    <w:uiPriority w:val="99"/>
    <w:semiHidden/>
    <w:rsid w:val="00783564"/>
    <w:rPr>
      <w:lang w:val="en-US" w:eastAsia="en-US"/>
    </w:rPr>
  </w:style>
  <w:style w:type="paragraph" w:styleId="CommentSubject">
    <w:name w:val="annotation subject"/>
    <w:basedOn w:val="CommentText"/>
    <w:next w:val="CommentText"/>
    <w:link w:val="CommentSubjectChar"/>
    <w:uiPriority w:val="99"/>
    <w:semiHidden/>
    <w:unhideWhenUsed/>
    <w:rsid w:val="00783564"/>
    <w:rPr>
      <w:b/>
      <w:bCs/>
    </w:rPr>
  </w:style>
  <w:style w:type="character" w:customStyle="1" w:styleId="CommentSubjectChar">
    <w:name w:val="Comment Subject Char"/>
    <w:basedOn w:val="CommentTextChar"/>
    <w:link w:val="CommentSubject"/>
    <w:uiPriority w:val="99"/>
    <w:semiHidden/>
    <w:rsid w:val="0078356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035">
      <w:bodyDiv w:val="1"/>
      <w:marLeft w:val="0"/>
      <w:marRight w:val="0"/>
      <w:marTop w:val="0"/>
      <w:marBottom w:val="0"/>
      <w:divBdr>
        <w:top w:val="none" w:sz="0" w:space="0" w:color="auto"/>
        <w:left w:val="none" w:sz="0" w:space="0" w:color="auto"/>
        <w:bottom w:val="none" w:sz="0" w:space="0" w:color="auto"/>
        <w:right w:val="none" w:sz="0" w:space="0" w:color="auto"/>
      </w:divBdr>
    </w:div>
    <w:div w:id="71003621">
      <w:bodyDiv w:val="1"/>
      <w:marLeft w:val="0"/>
      <w:marRight w:val="0"/>
      <w:marTop w:val="0"/>
      <w:marBottom w:val="0"/>
      <w:divBdr>
        <w:top w:val="none" w:sz="0" w:space="0" w:color="auto"/>
        <w:left w:val="none" w:sz="0" w:space="0" w:color="auto"/>
        <w:bottom w:val="none" w:sz="0" w:space="0" w:color="auto"/>
        <w:right w:val="none" w:sz="0" w:space="0" w:color="auto"/>
      </w:divBdr>
      <w:divsChild>
        <w:div w:id="583685823">
          <w:marLeft w:val="0"/>
          <w:marRight w:val="0"/>
          <w:marTop w:val="0"/>
          <w:marBottom w:val="0"/>
          <w:divBdr>
            <w:top w:val="none" w:sz="0" w:space="0" w:color="auto"/>
            <w:left w:val="none" w:sz="0" w:space="0" w:color="auto"/>
            <w:bottom w:val="none" w:sz="0" w:space="0" w:color="auto"/>
            <w:right w:val="none" w:sz="0" w:space="0" w:color="auto"/>
          </w:divBdr>
          <w:divsChild>
            <w:div w:id="1899631675">
              <w:marLeft w:val="0"/>
              <w:marRight w:val="0"/>
              <w:marTop w:val="0"/>
              <w:marBottom w:val="0"/>
              <w:divBdr>
                <w:top w:val="none" w:sz="0" w:space="0" w:color="auto"/>
                <w:left w:val="none" w:sz="0" w:space="0" w:color="auto"/>
                <w:bottom w:val="none" w:sz="0" w:space="0" w:color="auto"/>
                <w:right w:val="none" w:sz="0" w:space="0" w:color="auto"/>
              </w:divBdr>
              <w:divsChild>
                <w:div w:id="876310492">
                  <w:marLeft w:val="-240"/>
                  <w:marRight w:val="-240"/>
                  <w:marTop w:val="0"/>
                  <w:marBottom w:val="0"/>
                  <w:divBdr>
                    <w:top w:val="none" w:sz="0" w:space="0" w:color="auto"/>
                    <w:left w:val="none" w:sz="0" w:space="0" w:color="auto"/>
                    <w:bottom w:val="none" w:sz="0" w:space="0" w:color="auto"/>
                    <w:right w:val="none" w:sz="0" w:space="0" w:color="auto"/>
                  </w:divBdr>
                  <w:divsChild>
                    <w:div w:id="1146506543">
                      <w:marLeft w:val="0"/>
                      <w:marRight w:val="0"/>
                      <w:marTop w:val="0"/>
                      <w:marBottom w:val="0"/>
                      <w:divBdr>
                        <w:top w:val="none" w:sz="0" w:space="0" w:color="auto"/>
                        <w:left w:val="none" w:sz="0" w:space="0" w:color="auto"/>
                        <w:bottom w:val="none" w:sz="0" w:space="0" w:color="auto"/>
                        <w:right w:val="none" w:sz="0" w:space="0" w:color="auto"/>
                      </w:divBdr>
                      <w:divsChild>
                        <w:div w:id="295574120">
                          <w:marLeft w:val="0"/>
                          <w:marRight w:val="0"/>
                          <w:marTop w:val="0"/>
                          <w:marBottom w:val="0"/>
                          <w:divBdr>
                            <w:top w:val="none" w:sz="0" w:space="0" w:color="auto"/>
                            <w:left w:val="none" w:sz="0" w:space="0" w:color="auto"/>
                            <w:bottom w:val="none" w:sz="0" w:space="0" w:color="auto"/>
                            <w:right w:val="none" w:sz="0" w:space="0" w:color="auto"/>
                          </w:divBdr>
                        </w:div>
                        <w:div w:id="1641109228">
                          <w:marLeft w:val="0"/>
                          <w:marRight w:val="0"/>
                          <w:marTop w:val="0"/>
                          <w:marBottom w:val="0"/>
                          <w:divBdr>
                            <w:top w:val="none" w:sz="0" w:space="0" w:color="auto"/>
                            <w:left w:val="none" w:sz="0" w:space="0" w:color="auto"/>
                            <w:bottom w:val="none" w:sz="0" w:space="0" w:color="auto"/>
                            <w:right w:val="none" w:sz="0" w:space="0" w:color="auto"/>
                          </w:divBdr>
                          <w:divsChild>
                            <w:div w:id="1701396317">
                              <w:marLeft w:val="165"/>
                              <w:marRight w:val="165"/>
                              <w:marTop w:val="0"/>
                              <w:marBottom w:val="0"/>
                              <w:divBdr>
                                <w:top w:val="none" w:sz="0" w:space="0" w:color="auto"/>
                                <w:left w:val="none" w:sz="0" w:space="0" w:color="auto"/>
                                <w:bottom w:val="none" w:sz="0" w:space="0" w:color="auto"/>
                                <w:right w:val="none" w:sz="0" w:space="0" w:color="auto"/>
                              </w:divBdr>
                              <w:divsChild>
                                <w:div w:id="152721383">
                                  <w:marLeft w:val="0"/>
                                  <w:marRight w:val="0"/>
                                  <w:marTop w:val="0"/>
                                  <w:marBottom w:val="0"/>
                                  <w:divBdr>
                                    <w:top w:val="none" w:sz="0" w:space="0" w:color="auto"/>
                                    <w:left w:val="none" w:sz="0" w:space="0" w:color="auto"/>
                                    <w:bottom w:val="none" w:sz="0" w:space="0" w:color="auto"/>
                                    <w:right w:val="none" w:sz="0" w:space="0" w:color="auto"/>
                                  </w:divBdr>
                                  <w:divsChild>
                                    <w:div w:id="4251507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16155">
      <w:bodyDiv w:val="1"/>
      <w:marLeft w:val="0"/>
      <w:marRight w:val="0"/>
      <w:marTop w:val="0"/>
      <w:marBottom w:val="0"/>
      <w:divBdr>
        <w:top w:val="none" w:sz="0" w:space="0" w:color="auto"/>
        <w:left w:val="none" w:sz="0" w:space="0" w:color="auto"/>
        <w:bottom w:val="none" w:sz="0" w:space="0" w:color="auto"/>
        <w:right w:val="none" w:sz="0" w:space="0" w:color="auto"/>
      </w:divBdr>
    </w:div>
    <w:div w:id="181944525">
      <w:bodyDiv w:val="1"/>
      <w:marLeft w:val="0"/>
      <w:marRight w:val="0"/>
      <w:marTop w:val="0"/>
      <w:marBottom w:val="0"/>
      <w:divBdr>
        <w:top w:val="none" w:sz="0" w:space="0" w:color="auto"/>
        <w:left w:val="none" w:sz="0" w:space="0" w:color="auto"/>
        <w:bottom w:val="none" w:sz="0" w:space="0" w:color="auto"/>
        <w:right w:val="none" w:sz="0" w:space="0" w:color="auto"/>
      </w:divBdr>
    </w:div>
    <w:div w:id="266617147">
      <w:bodyDiv w:val="1"/>
      <w:marLeft w:val="0"/>
      <w:marRight w:val="0"/>
      <w:marTop w:val="0"/>
      <w:marBottom w:val="0"/>
      <w:divBdr>
        <w:top w:val="none" w:sz="0" w:space="0" w:color="auto"/>
        <w:left w:val="none" w:sz="0" w:space="0" w:color="auto"/>
        <w:bottom w:val="none" w:sz="0" w:space="0" w:color="auto"/>
        <w:right w:val="none" w:sz="0" w:space="0" w:color="auto"/>
      </w:divBdr>
    </w:div>
    <w:div w:id="302277917">
      <w:bodyDiv w:val="1"/>
      <w:marLeft w:val="0"/>
      <w:marRight w:val="0"/>
      <w:marTop w:val="0"/>
      <w:marBottom w:val="0"/>
      <w:divBdr>
        <w:top w:val="none" w:sz="0" w:space="0" w:color="auto"/>
        <w:left w:val="none" w:sz="0" w:space="0" w:color="auto"/>
        <w:bottom w:val="none" w:sz="0" w:space="0" w:color="auto"/>
        <w:right w:val="none" w:sz="0" w:space="0" w:color="auto"/>
      </w:divBdr>
      <w:divsChild>
        <w:div w:id="933590972">
          <w:marLeft w:val="0"/>
          <w:marRight w:val="0"/>
          <w:marTop w:val="0"/>
          <w:marBottom w:val="0"/>
          <w:divBdr>
            <w:top w:val="none" w:sz="0" w:space="0" w:color="auto"/>
            <w:left w:val="none" w:sz="0" w:space="0" w:color="auto"/>
            <w:bottom w:val="none" w:sz="0" w:space="0" w:color="auto"/>
            <w:right w:val="none" w:sz="0" w:space="0" w:color="auto"/>
          </w:divBdr>
          <w:divsChild>
            <w:div w:id="1439525236">
              <w:marLeft w:val="0"/>
              <w:marRight w:val="0"/>
              <w:marTop w:val="0"/>
              <w:marBottom w:val="0"/>
              <w:divBdr>
                <w:top w:val="none" w:sz="0" w:space="0" w:color="auto"/>
                <w:left w:val="none" w:sz="0" w:space="0" w:color="auto"/>
                <w:bottom w:val="none" w:sz="0" w:space="0" w:color="auto"/>
                <w:right w:val="none" w:sz="0" w:space="0" w:color="auto"/>
              </w:divBdr>
              <w:divsChild>
                <w:div w:id="2044748272">
                  <w:marLeft w:val="-240"/>
                  <w:marRight w:val="-240"/>
                  <w:marTop w:val="0"/>
                  <w:marBottom w:val="0"/>
                  <w:divBdr>
                    <w:top w:val="none" w:sz="0" w:space="0" w:color="auto"/>
                    <w:left w:val="none" w:sz="0" w:space="0" w:color="auto"/>
                    <w:bottom w:val="none" w:sz="0" w:space="0" w:color="auto"/>
                    <w:right w:val="none" w:sz="0" w:space="0" w:color="auto"/>
                  </w:divBdr>
                  <w:divsChild>
                    <w:div w:id="732773427">
                      <w:marLeft w:val="0"/>
                      <w:marRight w:val="0"/>
                      <w:marTop w:val="0"/>
                      <w:marBottom w:val="0"/>
                      <w:divBdr>
                        <w:top w:val="none" w:sz="0" w:space="0" w:color="auto"/>
                        <w:left w:val="none" w:sz="0" w:space="0" w:color="auto"/>
                        <w:bottom w:val="none" w:sz="0" w:space="0" w:color="auto"/>
                        <w:right w:val="none" w:sz="0" w:space="0" w:color="auto"/>
                      </w:divBdr>
                      <w:divsChild>
                        <w:div w:id="597368674">
                          <w:marLeft w:val="0"/>
                          <w:marRight w:val="0"/>
                          <w:marTop w:val="0"/>
                          <w:marBottom w:val="0"/>
                          <w:divBdr>
                            <w:top w:val="none" w:sz="0" w:space="0" w:color="auto"/>
                            <w:left w:val="none" w:sz="0" w:space="0" w:color="auto"/>
                            <w:bottom w:val="none" w:sz="0" w:space="0" w:color="auto"/>
                            <w:right w:val="none" w:sz="0" w:space="0" w:color="auto"/>
                          </w:divBdr>
                        </w:div>
                        <w:div w:id="77991421">
                          <w:marLeft w:val="0"/>
                          <w:marRight w:val="0"/>
                          <w:marTop w:val="0"/>
                          <w:marBottom w:val="0"/>
                          <w:divBdr>
                            <w:top w:val="none" w:sz="0" w:space="0" w:color="auto"/>
                            <w:left w:val="none" w:sz="0" w:space="0" w:color="auto"/>
                            <w:bottom w:val="none" w:sz="0" w:space="0" w:color="auto"/>
                            <w:right w:val="none" w:sz="0" w:space="0" w:color="auto"/>
                          </w:divBdr>
                          <w:divsChild>
                            <w:div w:id="1054693055">
                              <w:marLeft w:val="165"/>
                              <w:marRight w:val="165"/>
                              <w:marTop w:val="0"/>
                              <w:marBottom w:val="0"/>
                              <w:divBdr>
                                <w:top w:val="none" w:sz="0" w:space="0" w:color="auto"/>
                                <w:left w:val="none" w:sz="0" w:space="0" w:color="auto"/>
                                <w:bottom w:val="none" w:sz="0" w:space="0" w:color="auto"/>
                                <w:right w:val="none" w:sz="0" w:space="0" w:color="auto"/>
                              </w:divBdr>
                              <w:divsChild>
                                <w:div w:id="451292321">
                                  <w:marLeft w:val="0"/>
                                  <w:marRight w:val="0"/>
                                  <w:marTop w:val="0"/>
                                  <w:marBottom w:val="0"/>
                                  <w:divBdr>
                                    <w:top w:val="none" w:sz="0" w:space="0" w:color="auto"/>
                                    <w:left w:val="none" w:sz="0" w:space="0" w:color="auto"/>
                                    <w:bottom w:val="none" w:sz="0" w:space="0" w:color="auto"/>
                                    <w:right w:val="none" w:sz="0" w:space="0" w:color="auto"/>
                                  </w:divBdr>
                                  <w:divsChild>
                                    <w:div w:id="1967850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90078">
      <w:bodyDiv w:val="1"/>
      <w:marLeft w:val="0"/>
      <w:marRight w:val="0"/>
      <w:marTop w:val="0"/>
      <w:marBottom w:val="0"/>
      <w:divBdr>
        <w:top w:val="none" w:sz="0" w:space="0" w:color="auto"/>
        <w:left w:val="none" w:sz="0" w:space="0" w:color="auto"/>
        <w:bottom w:val="none" w:sz="0" w:space="0" w:color="auto"/>
        <w:right w:val="none" w:sz="0" w:space="0" w:color="auto"/>
      </w:divBdr>
    </w:div>
    <w:div w:id="428431920">
      <w:bodyDiv w:val="1"/>
      <w:marLeft w:val="0"/>
      <w:marRight w:val="0"/>
      <w:marTop w:val="0"/>
      <w:marBottom w:val="0"/>
      <w:divBdr>
        <w:top w:val="none" w:sz="0" w:space="0" w:color="auto"/>
        <w:left w:val="none" w:sz="0" w:space="0" w:color="auto"/>
        <w:bottom w:val="none" w:sz="0" w:space="0" w:color="auto"/>
        <w:right w:val="none" w:sz="0" w:space="0" w:color="auto"/>
      </w:divBdr>
    </w:div>
    <w:div w:id="432629156">
      <w:bodyDiv w:val="1"/>
      <w:marLeft w:val="0"/>
      <w:marRight w:val="0"/>
      <w:marTop w:val="0"/>
      <w:marBottom w:val="0"/>
      <w:divBdr>
        <w:top w:val="none" w:sz="0" w:space="0" w:color="auto"/>
        <w:left w:val="none" w:sz="0" w:space="0" w:color="auto"/>
        <w:bottom w:val="none" w:sz="0" w:space="0" w:color="auto"/>
        <w:right w:val="none" w:sz="0" w:space="0" w:color="auto"/>
      </w:divBdr>
    </w:div>
    <w:div w:id="447890763">
      <w:bodyDiv w:val="1"/>
      <w:marLeft w:val="0"/>
      <w:marRight w:val="0"/>
      <w:marTop w:val="0"/>
      <w:marBottom w:val="0"/>
      <w:divBdr>
        <w:top w:val="none" w:sz="0" w:space="0" w:color="auto"/>
        <w:left w:val="none" w:sz="0" w:space="0" w:color="auto"/>
        <w:bottom w:val="none" w:sz="0" w:space="0" w:color="auto"/>
        <w:right w:val="none" w:sz="0" w:space="0" w:color="auto"/>
      </w:divBdr>
    </w:div>
    <w:div w:id="488136714">
      <w:bodyDiv w:val="1"/>
      <w:marLeft w:val="0"/>
      <w:marRight w:val="0"/>
      <w:marTop w:val="0"/>
      <w:marBottom w:val="0"/>
      <w:divBdr>
        <w:top w:val="none" w:sz="0" w:space="0" w:color="auto"/>
        <w:left w:val="none" w:sz="0" w:space="0" w:color="auto"/>
        <w:bottom w:val="none" w:sz="0" w:space="0" w:color="auto"/>
        <w:right w:val="none" w:sz="0" w:space="0" w:color="auto"/>
      </w:divBdr>
    </w:div>
    <w:div w:id="593973136">
      <w:bodyDiv w:val="1"/>
      <w:marLeft w:val="0"/>
      <w:marRight w:val="0"/>
      <w:marTop w:val="0"/>
      <w:marBottom w:val="0"/>
      <w:divBdr>
        <w:top w:val="none" w:sz="0" w:space="0" w:color="auto"/>
        <w:left w:val="none" w:sz="0" w:space="0" w:color="auto"/>
        <w:bottom w:val="none" w:sz="0" w:space="0" w:color="auto"/>
        <w:right w:val="none" w:sz="0" w:space="0" w:color="auto"/>
      </w:divBdr>
    </w:div>
    <w:div w:id="664864760">
      <w:bodyDiv w:val="1"/>
      <w:marLeft w:val="0"/>
      <w:marRight w:val="0"/>
      <w:marTop w:val="0"/>
      <w:marBottom w:val="0"/>
      <w:divBdr>
        <w:top w:val="none" w:sz="0" w:space="0" w:color="auto"/>
        <w:left w:val="none" w:sz="0" w:space="0" w:color="auto"/>
        <w:bottom w:val="none" w:sz="0" w:space="0" w:color="auto"/>
        <w:right w:val="none" w:sz="0" w:space="0" w:color="auto"/>
      </w:divBdr>
    </w:div>
    <w:div w:id="758871693">
      <w:bodyDiv w:val="1"/>
      <w:marLeft w:val="0"/>
      <w:marRight w:val="0"/>
      <w:marTop w:val="0"/>
      <w:marBottom w:val="0"/>
      <w:divBdr>
        <w:top w:val="none" w:sz="0" w:space="0" w:color="auto"/>
        <w:left w:val="none" w:sz="0" w:space="0" w:color="auto"/>
        <w:bottom w:val="none" w:sz="0" w:space="0" w:color="auto"/>
        <w:right w:val="none" w:sz="0" w:space="0" w:color="auto"/>
      </w:divBdr>
      <w:divsChild>
        <w:div w:id="247733421">
          <w:marLeft w:val="0"/>
          <w:marRight w:val="0"/>
          <w:marTop w:val="0"/>
          <w:marBottom w:val="0"/>
          <w:divBdr>
            <w:top w:val="none" w:sz="0" w:space="0" w:color="auto"/>
            <w:left w:val="none" w:sz="0" w:space="0" w:color="auto"/>
            <w:bottom w:val="none" w:sz="0" w:space="0" w:color="auto"/>
            <w:right w:val="none" w:sz="0" w:space="0" w:color="auto"/>
          </w:divBdr>
          <w:divsChild>
            <w:div w:id="2125079558">
              <w:marLeft w:val="0"/>
              <w:marRight w:val="0"/>
              <w:marTop w:val="0"/>
              <w:marBottom w:val="0"/>
              <w:divBdr>
                <w:top w:val="none" w:sz="0" w:space="0" w:color="auto"/>
                <w:left w:val="none" w:sz="0" w:space="0" w:color="auto"/>
                <w:bottom w:val="none" w:sz="0" w:space="0" w:color="auto"/>
                <w:right w:val="none" w:sz="0" w:space="0" w:color="auto"/>
              </w:divBdr>
              <w:divsChild>
                <w:div w:id="1239899279">
                  <w:marLeft w:val="-240"/>
                  <w:marRight w:val="-240"/>
                  <w:marTop w:val="0"/>
                  <w:marBottom w:val="0"/>
                  <w:divBdr>
                    <w:top w:val="none" w:sz="0" w:space="0" w:color="auto"/>
                    <w:left w:val="none" w:sz="0" w:space="0" w:color="auto"/>
                    <w:bottom w:val="none" w:sz="0" w:space="0" w:color="auto"/>
                    <w:right w:val="none" w:sz="0" w:space="0" w:color="auto"/>
                  </w:divBdr>
                  <w:divsChild>
                    <w:div w:id="532113043">
                      <w:marLeft w:val="0"/>
                      <w:marRight w:val="0"/>
                      <w:marTop w:val="0"/>
                      <w:marBottom w:val="0"/>
                      <w:divBdr>
                        <w:top w:val="none" w:sz="0" w:space="0" w:color="auto"/>
                        <w:left w:val="none" w:sz="0" w:space="0" w:color="auto"/>
                        <w:bottom w:val="none" w:sz="0" w:space="0" w:color="auto"/>
                        <w:right w:val="none" w:sz="0" w:space="0" w:color="auto"/>
                      </w:divBdr>
                      <w:divsChild>
                        <w:div w:id="1084035090">
                          <w:marLeft w:val="0"/>
                          <w:marRight w:val="0"/>
                          <w:marTop w:val="0"/>
                          <w:marBottom w:val="0"/>
                          <w:divBdr>
                            <w:top w:val="none" w:sz="0" w:space="0" w:color="auto"/>
                            <w:left w:val="none" w:sz="0" w:space="0" w:color="auto"/>
                            <w:bottom w:val="none" w:sz="0" w:space="0" w:color="auto"/>
                            <w:right w:val="none" w:sz="0" w:space="0" w:color="auto"/>
                          </w:divBdr>
                        </w:div>
                        <w:div w:id="688291426">
                          <w:marLeft w:val="0"/>
                          <w:marRight w:val="0"/>
                          <w:marTop w:val="0"/>
                          <w:marBottom w:val="0"/>
                          <w:divBdr>
                            <w:top w:val="none" w:sz="0" w:space="0" w:color="auto"/>
                            <w:left w:val="none" w:sz="0" w:space="0" w:color="auto"/>
                            <w:bottom w:val="none" w:sz="0" w:space="0" w:color="auto"/>
                            <w:right w:val="none" w:sz="0" w:space="0" w:color="auto"/>
                          </w:divBdr>
                          <w:divsChild>
                            <w:div w:id="1830946067">
                              <w:marLeft w:val="165"/>
                              <w:marRight w:val="165"/>
                              <w:marTop w:val="0"/>
                              <w:marBottom w:val="0"/>
                              <w:divBdr>
                                <w:top w:val="none" w:sz="0" w:space="0" w:color="auto"/>
                                <w:left w:val="none" w:sz="0" w:space="0" w:color="auto"/>
                                <w:bottom w:val="none" w:sz="0" w:space="0" w:color="auto"/>
                                <w:right w:val="none" w:sz="0" w:space="0" w:color="auto"/>
                              </w:divBdr>
                              <w:divsChild>
                                <w:div w:id="426341480">
                                  <w:marLeft w:val="0"/>
                                  <w:marRight w:val="0"/>
                                  <w:marTop w:val="0"/>
                                  <w:marBottom w:val="0"/>
                                  <w:divBdr>
                                    <w:top w:val="none" w:sz="0" w:space="0" w:color="auto"/>
                                    <w:left w:val="none" w:sz="0" w:space="0" w:color="auto"/>
                                    <w:bottom w:val="none" w:sz="0" w:space="0" w:color="auto"/>
                                    <w:right w:val="none" w:sz="0" w:space="0" w:color="auto"/>
                                  </w:divBdr>
                                  <w:divsChild>
                                    <w:div w:id="2408700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071093">
      <w:bodyDiv w:val="1"/>
      <w:marLeft w:val="0"/>
      <w:marRight w:val="0"/>
      <w:marTop w:val="0"/>
      <w:marBottom w:val="0"/>
      <w:divBdr>
        <w:top w:val="none" w:sz="0" w:space="0" w:color="auto"/>
        <w:left w:val="none" w:sz="0" w:space="0" w:color="auto"/>
        <w:bottom w:val="none" w:sz="0" w:space="0" w:color="auto"/>
        <w:right w:val="none" w:sz="0" w:space="0" w:color="auto"/>
      </w:divBdr>
    </w:div>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836965286">
      <w:bodyDiv w:val="1"/>
      <w:marLeft w:val="0"/>
      <w:marRight w:val="0"/>
      <w:marTop w:val="0"/>
      <w:marBottom w:val="0"/>
      <w:divBdr>
        <w:top w:val="none" w:sz="0" w:space="0" w:color="auto"/>
        <w:left w:val="none" w:sz="0" w:space="0" w:color="auto"/>
        <w:bottom w:val="none" w:sz="0" w:space="0" w:color="auto"/>
        <w:right w:val="none" w:sz="0" w:space="0" w:color="auto"/>
      </w:divBdr>
    </w:div>
    <w:div w:id="851990095">
      <w:bodyDiv w:val="1"/>
      <w:marLeft w:val="0"/>
      <w:marRight w:val="0"/>
      <w:marTop w:val="0"/>
      <w:marBottom w:val="0"/>
      <w:divBdr>
        <w:top w:val="none" w:sz="0" w:space="0" w:color="auto"/>
        <w:left w:val="none" w:sz="0" w:space="0" w:color="auto"/>
        <w:bottom w:val="none" w:sz="0" w:space="0" w:color="auto"/>
        <w:right w:val="none" w:sz="0" w:space="0" w:color="auto"/>
      </w:divBdr>
    </w:div>
    <w:div w:id="897278565">
      <w:bodyDiv w:val="1"/>
      <w:marLeft w:val="0"/>
      <w:marRight w:val="0"/>
      <w:marTop w:val="0"/>
      <w:marBottom w:val="0"/>
      <w:divBdr>
        <w:top w:val="none" w:sz="0" w:space="0" w:color="auto"/>
        <w:left w:val="none" w:sz="0" w:space="0" w:color="auto"/>
        <w:bottom w:val="none" w:sz="0" w:space="0" w:color="auto"/>
        <w:right w:val="none" w:sz="0" w:space="0" w:color="auto"/>
      </w:divBdr>
    </w:div>
    <w:div w:id="951472812">
      <w:bodyDiv w:val="1"/>
      <w:marLeft w:val="0"/>
      <w:marRight w:val="0"/>
      <w:marTop w:val="0"/>
      <w:marBottom w:val="0"/>
      <w:divBdr>
        <w:top w:val="none" w:sz="0" w:space="0" w:color="auto"/>
        <w:left w:val="none" w:sz="0" w:space="0" w:color="auto"/>
        <w:bottom w:val="none" w:sz="0" w:space="0" w:color="auto"/>
        <w:right w:val="none" w:sz="0" w:space="0" w:color="auto"/>
      </w:divBdr>
      <w:divsChild>
        <w:div w:id="1383094116">
          <w:marLeft w:val="0"/>
          <w:marRight w:val="0"/>
          <w:marTop w:val="0"/>
          <w:marBottom w:val="0"/>
          <w:divBdr>
            <w:top w:val="none" w:sz="0" w:space="0" w:color="auto"/>
            <w:left w:val="none" w:sz="0" w:space="0" w:color="auto"/>
            <w:bottom w:val="none" w:sz="0" w:space="0" w:color="auto"/>
            <w:right w:val="none" w:sz="0" w:space="0" w:color="auto"/>
          </w:divBdr>
          <w:divsChild>
            <w:div w:id="1968387201">
              <w:marLeft w:val="0"/>
              <w:marRight w:val="0"/>
              <w:marTop w:val="0"/>
              <w:marBottom w:val="0"/>
              <w:divBdr>
                <w:top w:val="none" w:sz="0" w:space="0" w:color="auto"/>
                <w:left w:val="none" w:sz="0" w:space="0" w:color="auto"/>
                <w:bottom w:val="none" w:sz="0" w:space="0" w:color="auto"/>
                <w:right w:val="none" w:sz="0" w:space="0" w:color="auto"/>
              </w:divBdr>
              <w:divsChild>
                <w:div w:id="1720667688">
                  <w:marLeft w:val="-240"/>
                  <w:marRight w:val="-240"/>
                  <w:marTop w:val="0"/>
                  <w:marBottom w:val="0"/>
                  <w:divBdr>
                    <w:top w:val="none" w:sz="0" w:space="0" w:color="auto"/>
                    <w:left w:val="none" w:sz="0" w:space="0" w:color="auto"/>
                    <w:bottom w:val="none" w:sz="0" w:space="0" w:color="auto"/>
                    <w:right w:val="none" w:sz="0" w:space="0" w:color="auto"/>
                  </w:divBdr>
                  <w:divsChild>
                    <w:div w:id="954366977">
                      <w:marLeft w:val="0"/>
                      <w:marRight w:val="0"/>
                      <w:marTop w:val="0"/>
                      <w:marBottom w:val="0"/>
                      <w:divBdr>
                        <w:top w:val="none" w:sz="0" w:space="0" w:color="auto"/>
                        <w:left w:val="none" w:sz="0" w:space="0" w:color="auto"/>
                        <w:bottom w:val="none" w:sz="0" w:space="0" w:color="auto"/>
                        <w:right w:val="none" w:sz="0" w:space="0" w:color="auto"/>
                      </w:divBdr>
                      <w:divsChild>
                        <w:div w:id="1884442547">
                          <w:marLeft w:val="0"/>
                          <w:marRight w:val="0"/>
                          <w:marTop w:val="0"/>
                          <w:marBottom w:val="0"/>
                          <w:divBdr>
                            <w:top w:val="none" w:sz="0" w:space="0" w:color="auto"/>
                            <w:left w:val="none" w:sz="0" w:space="0" w:color="auto"/>
                            <w:bottom w:val="none" w:sz="0" w:space="0" w:color="auto"/>
                            <w:right w:val="none" w:sz="0" w:space="0" w:color="auto"/>
                          </w:divBdr>
                        </w:div>
                        <w:div w:id="469132173">
                          <w:marLeft w:val="0"/>
                          <w:marRight w:val="0"/>
                          <w:marTop w:val="0"/>
                          <w:marBottom w:val="0"/>
                          <w:divBdr>
                            <w:top w:val="none" w:sz="0" w:space="0" w:color="auto"/>
                            <w:left w:val="none" w:sz="0" w:space="0" w:color="auto"/>
                            <w:bottom w:val="none" w:sz="0" w:space="0" w:color="auto"/>
                            <w:right w:val="none" w:sz="0" w:space="0" w:color="auto"/>
                          </w:divBdr>
                          <w:divsChild>
                            <w:div w:id="650912421">
                              <w:marLeft w:val="165"/>
                              <w:marRight w:val="165"/>
                              <w:marTop w:val="0"/>
                              <w:marBottom w:val="0"/>
                              <w:divBdr>
                                <w:top w:val="none" w:sz="0" w:space="0" w:color="auto"/>
                                <w:left w:val="none" w:sz="0" w:space="0" w:color="auto"/>
                                <w:bottom w:val="none" w:sz="0" w:space="0" w:color="auto"/>
                                <w:right w:val="none" w:sz="0" w:space="0" w:color="auto"/>
                              </w:divBdr>
                              <w:divsChild>
                                <w:div w:id="659893489">
                                  <w:marLeft w:val="0"/>
                                  <w:marRight w:val="0"/>
                                  <w:marTop w:val="0"/>
                                  <w:marBottom w:val="0"/>
                                  <w:divBdr>
                                    <w:top w:val="none" w:sz="0" w:space="0" w:color="auto"/>
                                    <w:left w:val="none" w:sz="0" w:space="0" w:color="auto"/>
                                    <w:bottom w:val="none" w:sz="0" w:space="0" w:color="auto"/>
                                    <w:right w:val="none" w:sz="0" w:space="0" w:color="auto"/>
                                  </w:divBdr>
                                  <w:divsChild>
                                    <w:div w:id="6392652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69292">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130124323">
      <w:bodyDiv w:val="1"/>
      <w:marLeft w:val="0"/>
      <w:marRight w:val="0"/>
      <w:marTop w:val="0"/>
      <w:marBottom w:val="0"/>
      <w:divBdr>
        <w:top w:val="none" w:sz="0" w:space="0" w:color="auto"/>
        <w:left w:val="none" w:sz="0" w:space="0" w:color="auto"/>
        <w:bottom w:val="none" w:sz="0" w:space="0" w:color="auto"/>
        <w:right w:val="none" w:sz="0" w:space="0" w:color="auto"/>
      </w:divBdr>
      <w:divsChild>
        <w:div w:id="1379166684">
          <w:marLeft w:val="0"/>
          <w:marRight w:val="0"/>
          <w:marTop w:val="0"/>
          <w:marBottom w:val="0"/>
          <w:divBdr>
            <w:top w:val="none" w:sz="0" w:space="0" w:color="auto"/>
            <w:left w:val="none" w:sz="0" w:space="0" w:color="auto"/>
            <w:bottom w:val="none" w:sz="0" w:space="0" w:color="auto"/>
            <w:right w:val="none" w:sz="0" w:space="0" w:color="auto"/>
          </w:divBdr>
          <w:divsChild>
            <w:div w:id="217324555">
              <w:marLeft w:val="0"/>
              <w:marRight w:val="0"/>
              <w:marTop w:val="0"/>
              <w:marBottom w:val="0"/>
              <w:divBdr>
                <w:top w:val="none" w:sz="0" w:space="0" w:color="auto"/>
                <w:left w:val="none" w:sz="0" w:space="0" w:color="auto"/>
                <w:bottom w:val="none" w:sz="0" w:space="0" w:color="auto"/>
                <w:right w:val="none" w:sz="0" w:space="0" w:color="auto"/>
              </w:divBdr>
              <w:divsChild>
                <w:div w:id="1266958638">
                  <w:marLeft w:val="-240"/>
                  <w:marRight w:val="-240"/>
                  <w:marTop w:val="0"/>
                  <w:marBottom w:val="0"/>
                  <w:divBdr>
                    <w:top w:val="none" w:sz="0" w:space="0" w:color="auto"/>
                    <w:left w:val="none" w:sz="0" w:space="0" w:color="auto"/>
                    <w:bottom w:val="none" w:sz="0" w:space="0" w:color="auto"/>
                    <w:right w:val="none" w:sz="0" w:space="0" w:color="auto"/>
                  </w:divBdr>
                  <w:divsChild>
                    <w:div w:id="1682393258">
                      <w:marLeft w:val="0"/>
                      <w:marRight w:val="0"/>
                      <w:marTop w:val="0"/>
                      <w:marBottom w:val="0"/>
                      <w:divBdr>
                        <w:top w:val="none" w:sz="0" w:space="0" w:color="auto"/>
                        <w:left w:val="none" w:sz="0" w:space="0" w:color="auto"/>
                        <w:bottom w:val="none" w:sz="0" w:space="0" w:color="auto"/>
                        <w:right w:val="none" w:sz="0" w:space="0" w:color="auto"/>
                      </w:divBdr>
                      <w:divsChild>
                        <w:div w:id="632488754">
                          <w:marLeft w:val="0"/>
                          <w:marRight w:val="0"/>
                          <w:marTop w:val="0"/>
                          <w:marBottom w:val="0"/>
                          <w:divBdr>
                            <w:top w:val="none" w:sz="0" w:space="0" w:color="auto"/>
                            <w:left w:val="none" w:sz="0" w:space="0" w:color="auto"/>
                            <w:bottom w:val="none" w:sz="0" w:space="0" w:color="auto"/>
                            <w:right w:val="none" w:sz="0" w:space="0" w:color="auto"/>
                          </w:divBdr>
                        </w:div>
                        <w:div w:id="1796367199">
                          <w:marLeft w:val="0"/>
                          <w:marRight w:val="0"/>
                          <w:marTop w:val="0"/>
                          <w:marBottom w:val="0"/>
                          <w:divBdr>
                            <w:top w:val="none" w:sz="0" w:space="0" w:color="auto"/>
                            <w:left w:val="none" w:sz="0" w:space="0" w:color="auto"/>
                            <w:bottom w:val="none" w:sz="0" w:space="0" w:color="auto"/>
                            <w:right w:val="none" w:sz="0" w:space="0" w:color="auto"/>
                          </w:divBdr>
                          <w:divsChild>
                            <w:div w:id="455485329">
                              <w:marLeft w:val="165"/>
                              <w:marRight w:val="165"/>
                              <w:marTop w:val="0"/>
                              <w:marBottom w:val="0"/>
                              <w:divBdr>
                                <w:top w:val="none" w:sz="0" w:space="0" w:color="auto"/>
                                <w:left w:val="none" w:sz="0" w:space="0" w:color="auto"/>
                                <w:bottom w:val="none" w:sz="0" w:space="0" w:color="auto"/>
                                <w:right w:val="none" w:sz="0" w:space="0" w:color="auto"/>
                              </w:divBdr>
                              <w:divsChild>
                                <w:div w:id="1492135563">
                                  <w:marLeft w:val="0"/>
                                  <w:marRight w:val="0"/>
                                  <w:marTop w:val="0"/>
                                  <w:marBottom w:val="0"/>
                                  <w:divBdr>
                                    <w:top w:val="none" w:sz="0" w:space="0" w:color="auto"/>
                                    <w:left w:val="none" w:sz="0" w:space="0" w:color="auto"/>
                                    <w:bottom w:val="none" w:sz="0" w:space="0" w:color="auto"/>
                                    <w:right w:val="none" w:sz="0" w:space="0" w:color="auto"/>
                                  </w:divBdr>
                                  <w:divsChild>
                                    <w:div w:id="5775192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602504">
      <w:bodyDiv w:val="1"/>
      <w:marLeft w:val="0"/>
      <w:marRight w:val="0"/>
      <w:marTop w:val="0"/>
      <w:marBottom w:val="0"/>
      <w:divBdr>
        <w:top w:val="none" w:sz="0" w:space="0" w:color="auto"/>
        <w:left w:val="none" w:sz="0" w:space="0" w:color="auto"/>
        <w:bottom w:val="none" w:sz="0" w:space="0" w:color="auto"/>
        <w:right w:val="none" w:sz="0" w:space="0" w:color="auto"/>
      </w:divBdr>
    </w:div>
    <w:div w:id="1186478240">
      <w:bodyDiv w:val="1"/>
      <w:marLeft w:val="0"/>
      <w:marRight w:val="0"/>
      <w:marTop w:val="0"/>
      <w:marBottom w:val="0"/>
      <w:divBdr>
        <w:top w:val="none" w:sz="0" w:space="0" w:color="auto"/>
        <w:left w:val="none" w:sz="0" w:space="0" w:color="auto"/>
        <w:bottom w:val="none" w:sz="0" w:space="0" w:color="auto"/>
        <w:right w:val="none" w:sz="0" w:space="0" w:color="auto"/>
      </w:divBdr>
    </w:div>
    <w:div w:id="1231425760">
      <w:bodyDiv w:val="1"/>
      <w:marLeft w:val="0"/>
      <w:marRight w:val="0"/>
      <w:marTop w:val="0"/>
      <w:marBottom w:val="0"/>
      <w:divBdr>
        <w:top w:val="none" w:sz="0" w:space="0" w:color="auto"/>
        <w:left w:val="none" w:sz="0" w:space="0" w:color="auto"/>
        <w:bottom w:val="none" w:sz="0" w:space="0" w:color="auto"/>
        <w:right w:val="none" w:sz="0" w:space="0" w:color="auto"/>
      </w:divBdr>
    </w:div>
    <w:div w:id="1276134247">
      <w:bodyDiv w:val="1"/>
      <w:marLeft w:val="0"/>
      <w:marRight w:val="0"/>
      <w:marTop w:val="0"/>
      <w:marBottom w:val="0"/>
      <w:divBdr>
        <w:top w:val="none" w:sz="0" w:space="0" w:color="auto"/>
        <w:left w:val="none" w:sz="0" w:space="0" w:color="auto"/>
        <w:bottom w:val="none" w:sz="0" w:space="0" w:color="auto"/>
        <w:right w:val="none" w:sz="0" w:space="0" w:color="auto"/>
      </w:divBdr>
    </w:div>
    <w:div w:id="1281260505">
      <w:bodyDiv w:val="1"/>
      <w:marLeft w:val="0"/>
      <w:marRight w:val="0"/>
      <w:marTop w:val="0"/>
      <w:marBottom w:val="0"/>
      <w:divBdr>
        <w:top w:val="none" w:sz="0" w:space="0" w:color="auto"/>
        <w:left w:val="none" w:sz="0" w:space="0" w:color="auto"/>
        <w:bottom w:val="none" w:sz="0" w:space="0" w:color="auto"/>
        <w:right w:val="none" w:sz="0" w:space="0" w:color="auto"/>
      </w:divBdr>
    </w:div>
    <w:div w:id="1293320134">
      <w:bodyDiv w:val="1"/>
      <w:marLeft w:val="0"/>
      <w:marRight w:val="0"/>
      <w:marTop w:val="0"/>
      <w:marBottom w:val="0"/>
      <w:divBdr>
        <w:top w:val="none" w:sz="0" w:space="0" w:color="auto"/>
        <w:left w:val="none" w:sz="0" w:space="0" w:color="auto"/>
        <w:bottom w:val="none" w:sz="0" w:space="0" w:color="auto"/>
        <w:right w:val="none" w:sz="0" w:space="0" w:color="auto"/>
      </w:divBdr>
      <w:divsChild>
        <w:div w:id="794563924">
          <w:marLeft w:val="0"/>
          <w:marRight w:val="0"/>
          <w:marTop w:val="0"/>
          <w:marBottom w:val="0"/>
          <w:divBdr>
            <w:top w:val="none" w:sz="0" w:space="0" w:color="auto"/>
            <w:left w:val="none" w:sz="0" w:space="0" w:color="auto"/>
            <w:bottom w:val="none" w:sz="0" w:space="0" w:color="auto"/>
            <w:right w:val="none" w:sz="0" w:space="0" w:color="auto"/>
          </w:divBdr>
          <w:divsChild>
            <w:div w:id="459231339">
              <w:marLeft w:val="0"/>
              <w:marRight w:val="0"/>
              <w:marTop w:val="0"/>
              <w:marBottom w:val="0"/>
              <w:divBdr>
                <w:top w:val="none" w:sz="0" w:space="0" w:color="auto"/>
                <w:left w:val="none" w:sz="0" w:space="0" w:color="auto"/>
                <w:bottom w:val="none" w:sz="0" w:space="0" w:color="auto"/>
                <w:right w:val="none" w:sz="0" w:space="0" w:color="auto"/>
              </w:divBdr>
              <w:divsChild>
                <w:div w:id="1163470671">
                  <w:marLeft w:val="-240"/>
                  <w:marRight w:val="-240"/>
                  <w:marTop w:val="0"/>
                  <w:marBottom w:val="0"/>
                  <w:divBdr>
                    <w:top w:val="none" w:sz="0" w:space="0" w:color="auto"/>
                    <w:left w:val="none" w:sz="0" w:space="0" w:color="auto"/>
                    <w:bottom w:val="none" w:sz="0" w:space="0" w:color="auto"/>
                    <w:right w:val="none" w:sz="0" w:space="0" w:color="auto"/>
                  </w:divBdr>
                  <w:divsChild>
                    <w:div w:id="1297101022">
                      <w:marLeft w:val="0"/>
                      <w:marRight w:val="0"/>
                      <w:marTop w:val="0"/>
                      <w:marBottom w:val="0"/>
                      <w:divBdr>
                        <w:top w:val="none" w:sz="0" w:space="0" w:color="auto"/>
                        <w:left w:val="none" w:sz="0" w:space="0" w:color="auto"/>
                        <w:bottom w:val="none" w:sz="0" w:space="0" w:color="auto"/>
                        <w:right w:val="none" w:sz="0" w:space="0" w:color="auto"/>
                      </w:divBdr>
                      <w:divsChild>
                        <w:div w:id="1021127827">
                          <w:marLeft w:val="0"/>
                          <w:marRight w:val="0"/>
                          <w:marTop w:val="0"/>
                          <w:marBottom w:val="0"/>
                          <w:divBdr>
                            <w:top w:val="none" w:sz="0" w:space="0" w:color="auto"/>
                            <w:left w:val="none" w:sz="0" w:space="0" w:color="auto"/>
                            <w:bottom w:val="none" w:sz="0" w:space="0" w:color="auto"/>
                            <w:right w:val="none" w:sz="0" w:space="0" w:color="auto"/>
                          </w:divBdr>
                        </w:div>
                        <w:div w:id="1617985100">
                          <w:marLeft w:val="0"/>
                          <w:marRight w:val="0"/>
                          <w:marTop w:val="0"/>
                          <w:marBottom w:val="0"/>
                          <w:divBdr>
                            <w:top w:val="none" w:sz="0" w:space="0" w:color="auto"/>
                            <w:left w:val="none" w:sz="0" w:space="0" w:color="auto"/>
                            <w:bottom w:val="none" w:sz="0" w:space="0" w:color="auto"/>
                            <w:right w:val="none" w:sz="0" w:space="0" w:color="auto"/>
                          </w:divBdr>
                          <w:divsChild>
                            <w:div w:id="411663701">
                              <w:marLeft w:val="165"/>
                              <w:marRight w:val="165"/>
                              <w:marTop w:val="0"/>
                              <w:marBottom w:val="0"/>
                              <w:divBdr>
                                <w:top w:val="none" w:sz="0" w:space="0" w:color="auto"/>
                                <w:left w:val="none" w:sz="0" w:space="0" w:color="auto"/>
                                <w:bottom w:val="none" w:sz="0" w:space="0" w:color="auto"/>
                                <w:right w:val="none" w:sz="0" w:space="0" w:color="auto"/>
                              </w:divBdr>
                              <w:divsChild>
                                <w:div w:id="932397528">
                                  <w:marLeft w:val="0"/>
                                  <w:marRight w:val="0"/>
                                  <w:marTop w:val="0"/>
                                  <w:marBottom w:val="0"/>
                                  <w:divBdr>
                                    <w:top w:val="none" w:sz="0" w:space="0" w:color="auto"/>
                                    <w:left w:val="none" w:sz="0" w:space="0" w:color="auto"/>
                                    <w:bottom w:val="none" w:sz="0" w:space="0" w:color="auto"/>
                                    <w:right w:val="none" w:sz="0" w:space="0" w:color="auto"/>
                                  </w:divBdr>
                                  <w:divsChild>
                                    <w:div w:id="2821990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123394">
      <w:bodyDiv w:val="1"/>
      <w:marLeft w:val="0"/>
      <w:marRight w:val="0"/>
      <w:marTop w:val="0"/>
      <w:marBottom w:val="0"/>
      <w:divBdr>
        <w:top w:val="none" w:sz="0" w:space="0" w:color="auto"/>
        <w:left w:val="none" w:sz="0" w:space="0" w:color="auto"/>
        <w:bottom w:val="none" w:sz="0" w:space="0" w:color="auto"/>
        <w:right w:val="none" w:sz="0" w:space="0" w:color="auto"/>
      </w:divBdr>
    </w:div>
    <w:div w:id="1389299313">
      <w:bodyDiv w:val="1"/>
      <w:marLeft w:val="0"/>
      <w:marRight w:val="0"/>
      <w:marTop w:val="0"/>
      <w:marBottom w:val="0"/>
      <w:divBdr>
        <w:top w:val="none" w:sz="0" w:space="0" w:color="auto"/>
        <w:left w:val="none" w:sz="0" w:space="0" w:color="auto"/>
        <w:bottom w:val="none" w:sz="0" w:space="0" w:color="auto"/>
        <w:right w:val="none" w:sz="0" w:space="0" w:color="auto"/>
      </w:divBdr>
    </w:div>
    <w:div w:id="1399550170">
      <w:bodyDiv w:val="1"/>
      <w:marLeft w:val="0"/>
      <w:marRight w:val="0"/>
      <w:marTop w:val="0"/>
      <w:marBottom w:val="0"/>
      <w:divBdr>
        <w:top w:val="none" w:sz="0" w:space="0" w:color="auto"/>
        <w:left w:val="none" w:sz="0" w:space="0" w:color="auto"/>
        <w:bottom w:val="none" w:sz="0" w:space="0" w:color="auto"/>
        <w:right w:val="none" w:sz="0" w:space="0" w:color="auto"/>
      </w:divBdr>
    </w:div>
    <w:div w:id="1406293288">
      <w:bodyDiv w:val="1"/>
      <w:marLeft w:val="0"/>
      <w:marRight w:val="0"/>
      <w:marTop w:val="0"/>
      <w:marBottom w:val="0"/>
      <w:divBdr>
        <w:top w:val="none" w:sz="0" w:space="0" w:color="auto"/>
        <w:left w:val="none" w:sz="0" w:space="0" w:color="auto"/>
        <w:bottom w:val="none" w:sz="0" w:space="0" w:color="auto"/>
        <w:right w:val="none" w:sz="0" w:space="0" w:color="auto"/>
      </w:divBdr>
    </w:div>
    <w:div w:id="1497841196">
      <w:bodyDiv w:val="1"/>
      <w:marLeft w:val="0"/>
      <w:marRight w:val="0"/>
      <w:marTop w:val="0"/>
      <w:marBottom w:val="0"/>
      <w:divBdr>
        <w:top w:val="none" w:sz="0" w:space="0" w:color="auto"/>
        <w:left w:val="none" w:sz="0" w:space="0" w:color="auto"/>
        <w:bottom w:val="none" w:sz="0" w:space="0" w:color="auto"/>
        <w:right w:val="none" w:sz="0" w:space="0" w:color="auto"/>
      </w:divBdr>
    </w:div>
    <w:div w:id="1497964973">
      <w:bodyDiv w:val="1"/>
      <w:marLeft w:val="0"/>
      <w:marRight w:val="0"/>
      <w:marTop w:val="0"/>
      <w:marBottom w:val="0"/>
      <w:divBdr>
        <w:top w:val="none" w:sz="0" w:space="0" w:color="auto"/>
        <w:left w:val="none" w:sz="0" w:space="0" w:color="auto"/>
        <w:bottom w:val="none" w:sz="0" w:space="0" w:color="auto"/>
        <w:right w:val="none" w:sz="0" w:space="0" w:color="auto"/>
      </w:divBdr>
    </w:div>
    <w:div w:id="1561987832">
      <w:bodyDiv w:val="1"/>
      <w:marLeft w:val="0"/>
      <w:marRight w:val="0"/>
      <w:marTop w:val="0"/>
      <w:marBottom w:val="0"/>
      <w:divBdr>
        <w:top w:val="none" w:sz="0" w:space="0" w:color="auto"/>
        <w:left w:val="none" w:sz="0" w:space="0" w:color="auto"/>
        <w:bottom w:val="none" w:sz="0" w:space="0" w:color="auto"/>
        <w:right w:val="none" w:sz="0" w:space="0" w:color="auto"/>
      </w:divBdr>
    </w:div>
    <w:div w:id="1573657417">
      <w:bodyDiv w:val="1"/>
      <w:marLeft w:val="0"/>
      <w:marRight w:val="0"/>
      <w:marTop w:val="0"/>
      <w:marBottom w:val="0"/>
      <w:divBdr>
        <w:top w:val="none" w:sz="0" w:space="0" w:color="auto"/>
        <w:left w:val="none" w:sz="0" w:space="0" w:color="auto"/>
        <w:bottom w:val="none" w:sz="0" w:space="0" w:color="auto"/>
        <w:right w:val="none" w:sz="0" w:space="0" w:color="auto"/>
      </w:divBdr>
    </w:div>
    <w:div w:id="1598755399">
      <w:bodyDiv w:val="1"/>
      <w:marLeft w:val="0"/>
      <w:marRight w:val="0"/>
      <w:marTop w:val="0"/>
      <w:marBottom w:val="0"/>
      <w:divBdr>
        <w:top w:val="none" w:sz="0" w:space="0" w:color="auto"/>
        <w:left w:val="none" w:sz="0" w:space="0" w:color="auto"/>
        <w:bottom w:val="none" w:sz="0" w:space="0" w:color="auto"/>
        <w:right w:val="none" w:sz="0" w:space="0" w:color="auto"/>
      </w:divBdr>
    </w:div>
    <w:div w:id="1626809885">
      <w:bodyDiv w:val="1"/>
      <w:marLeft w:val="0"/>
      <w:marRight w:val="0"/>
      <w:marTop w:val="0"/>
      <w:marBottom w:val="0"/>
      <w:divBdr>
        <w:top w:val="none" w:sz="0" w:space="0" w:color="auto"/>
        <w:left w:val="none" w:sz="0" w:space="0" w:color="auto"/>
        <w:bottom w:val="none" w:sz="0" w:space="0" w:color="auto"/>
        <w:right w:val="none" w:sz="0" w:space="0" w:color="auto"/>
      </w:divBdr>
    </w:div>
    <w:div w:id="1633096838">
      <w:bodyDiv w:val="1"/>
      <w:marLeft w:val="0"/>
      <w:marRight w:val="0"/>
      <w:marTop w:val="0"/>
      <w:marBottom w:val="0"/>
      <w:divBdr>
        <w:top w:val="none" w:sz="0" w:space="0" w:color="auto"/>
        <w:left w:val="none" w:sz="0" w:space="0" w:color="auto"/>
        <w:bottom w:val="none" w:sz="0" w:space="0" w:color="auto"/>
        <w:right w:val="none" w:sz="0" w:space="0" w:color="auto"/>
      </w:divBdr>
    </w:div>
    <w:div w:id="1638950850">
      <w:bodyDiv w:val="1"/>
      <w:marLeft w:val="0"/>
      <w:marRight w:val="0"/>
      <w:marTop w:val="0"/>
      <w:marBottom w:val="0"/>
      <w:divBdr>
        <w:top w:val="none" w:sz="0" w:space="0" w:color="auto"/>
        <w:left w:val="none" w:sz="0" w:space="0" w:color="auto"/>
        <w:bottom w:val="none" w:sz="0" w:space="0" w:color="auto"/>
        <w:right w:val="none" w:sz="0" w:space="0" w:color="auto"/>
      </w:divBdr>
    </w:div>
    <w:div w:id="1645701740">
      <w:bodyDiv w:val="1"/>
      <w:marLeft w:val="0"/>
      <w:marRight w:val="0"/>
      <w:marTop w:val="0"/>
      <w:marBottom w:val="0"/>
      <w:divBdr>
        <w:top w:val="none" w:sz="0" w:space="0" w:color="auto"/>
        <w:left w:val="none" w:sz="0" w:space="0" w:color="auto"/>
        <w:bottom w:val="none" w:sz="0" w:space="0" w:color="auto"/>
        <w:right w:val="none" w:sz="0" w:space="0" w:color="auto"/>
      </w:divBdr>
    </w:div>
    <w:div w:id="173238781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23232936">
      <w:bodyDiv w:val="1"/>
      <w:marLeft w:val="0"/>
      <w:marRight w:val="0"/>
      <w:marTop w:val="0"/>
      <w:marBottom w:val="0"/>
      <w:divBdr>
        <w:top w:val="none" w:sz="0" w:space="0" w:color="auto"/>
        <w:left w:val="none" w:sz="0" w:space="0" w:color="auto"/>
        <w:bottom w:val="none" w:sz="0" w:space="0" w:color="auto"/>
        <w:right w:val="none" w:sz="0" w:space="0" w:color="auto"/>
      </w:divBdr>
    </w:div>
    <w:div w:id="1843279088">
      <w:bodyDiv w:val="1"/>
      <w:marLeft w:val="0"/>
      <w:marRight w:val="0"/>
      <w:marTop w:val="0"/>
      <w:marBottom w:val="0"/>
      <w:divBdr>
        <w:top w:val="none" w:sz="0" w:space="0" w:color="auto"/>
        <w:left w:val="none" w:sz="0" w:space="0" w:color="auto"/>
        <w:bottom w:val="none" w:sz="0" w:space="0" w:color="auto"/>
        <w:right w:val="none" w:sz="0" w:space="0" w:color="auto"/>
      </w:divBdr>
      <w:divsChild>
        <w:div w:id="375205330">
          <w:marLeft w:val="0"/>
          <w:marRight w:val="0"/>
          <w:marTop w:val="0"/>
          <w:marBottom w:val="0"/>
          <w:divBdr>
            <w:top w:val="none" w:sz="0" w:space="0" w:color="auto"/>
            <w:left w:val="none" w:sz="0" w:space="0" w:color="auto"/>
            <w:bottom w:val="none" w:sz="0" w:space="0" w:color="auto"/>
            <w:right w:val="none" w:sz="0" w:space="0" w:color="auto"/>
          </w:divBdr>
          <w:divsChild>
            <w:div w:id="1719550050">
              <w:marLeft w:val="0"/>
              <w:marRight w:val="0"/>
              <w:marTop w:val="0"/>
              <w:marBottom w:val="0"/>
              <w:divBdr>
                <w:top w:val="none" w:sz="0" w:space="0" w:color="auto"/>
                <w:left w:val="none" w:sz="0" w:space="0" w:color="auto"/>
                <w:bottom w:val="none" w:sz="0" w:space="0" w:color="auto"/>
                <w:right w:val="none" w:sz="0" w:space="0" w:color="auto"/>
              </w:divBdr>
              <w:divsChild>
                <w:div w:id="371030704">
                  <w:marLeft w:val="-240"/>
                  <w:marRight w:val="-240"/>
                  <w:marTop w:val="0"/>
                  <w:marBottom w:val="0"/>
                  <w:divBdr>
                    <w:top w:val="none" w:sz="0" w:space="0" w:color="auto"/>
                    <w:left w:val="none" w:sz="0" w:space="0" w:color="auto"/>
                    <w:bottom w:val="none" w:sz="0" w:space="0" w:color="auto"/>
                    <w:right w:val="none" w:sz="0" w:space="0" w:color="auto"/>
                  </w:divBdr>
                  <w:divsChild>
                    <w:div w:id="1251816365">
                      <w:marLeft w:val="0"/>
                      <w:marRight w:val="0"/>
                      <w:marTop w:val="0"/>
                      <w:marBottom w:val="0"/>
                      <w:divBdr>
                        <w:top w:val="none" w:sz="0" w:space="0" w:color="auto"/>
                        <w:left w:val="none" w:sz="0" w:space="0" w:color="auto"/>
                        <w:bottom w:val="none" w:sz="0" w:space="0" w:color="auto"/>
                        <w:right w:val="none" w:sz="0" w:space="0" w:color="auto"/>
                      </w:divBdr>
                      <w:divsChild>
                        <w:div w:id="1449548370">
                          <w:marLeft w:val="0"/>
                          <w:marRight w:val="0"/>
                          <w:marTop w:val="0"/>
                          <w:marBottom w:val="0"/>
                          <w:divBdr>
                            <w:top w:val="none" w:sz="0" w:space="0" w:color="auto"/>
                            <w:left w:val="none" w:sz="0" w:space="0" w:color="auto"/>
                            <w:bottom w:val="none" w:sz="0" w:space="0" w:color="auto"/>
                            <w:right w:val="none" w:sz="0" w:space="0" w:color="auto"/>
                          </w:divBdr>
                        </w:div>
                        <w:div w:id="1994750993">
                          <w:marLeft w:val="0"/>
                          <w:marRight w:val="0"/>
                          <w:marTop w:val="0"/>
                          <w:marBottom w:val="0"/>
                          <w:divBdr>
                            <w:top w:val="none" w:sz="0" w:space="0" w:color="auto"/>
                            <w:left w:val="none" w:sz="0" w:space="0" w:color="auto"/>
                            <w:bottom w:val="none" w:sz="0" w:space="0" w:color="auto"/>
                            <w:right w:val="none" w:sz="0" w:space="0" w:color="auto"/>
                          </w:divBdr>
                          <w:divsChild>
                            <w:div w:id="499780982">
                              <w:marLeft w:val="165"/>
                              <w:marRight w:val="165"/>
                              <w:marTop w:val="0"/>
                              <w:marBottom w:val="0"/>
                              <w:divBdr>
                                <w:top w:val="none" w:sz="0" w:space="0" w:color="auto"/>
                                <w:left w:val="none" w:sz="0" w:space="0" w:color="auto"/>
                                <w:bottom w:val="none" w:sz="0" w:space="0" w:color="auto"/>
                                <w:right w:val="none" w:sz="0" w:space="0" w:color="auto"/>
                              </w:divBdr>
                              <w:divsChild>
                                <w:div w:id="1397437975">
                                  <w:marLeft w:val="0"/>
                                  <w:marRight w:val="0"/>
                                  <w:marTop w:val="0"/>
                                  <w:marBottom w:val="0"/>
                                  <w:divBdr>
                                    <w:top w:val="none" w:sz="0" w:space="0" w:color="auto"/>
                                    <w:left w:val="none" w:sz="0" w:space="0" w:color="auto"/>
                                    <w:bottom w:val="none" w:sz="0" w:space="0" w:color="auto"/>
                                    <w:right w:val="none" w:sz="0" w:space="0" w:color="auto"/>
                                  </w:divBdr>
                                  <w:divsChild>
                                    <w:div w:id="474563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 w:id="1951358337">
      <w:bodyDiv w:val="1"/>
      <w:marLeft w:val="0"/>
      <w:marRight w:val="0"/>
      <w:marTop w:val="0"/>
      <w:marBottom w:val="0"/>
      <w:divBdr>
        <w:top w:val="none" w:sz="0" w:space="0" w:color="auto"/>
        <w:left w:val="none" w:sz="0" w:space="0" w:color="auto"/>
        <w:bottom w:val="none" w:sz="0" w:space="0" w:color="auto"/>
        <w:right w:val="none" w:sz="0" w:space="0" w:color="auto"/>
      </w:divBdr>
    </w:div>
    <w:div w:id="1960918460">
      <w:bodyDiv w:val="1"/>
      <w:marLeft w:val="0"/>
      <w:marRight w:val="0"/>
      <w:marTop w:val="0"/>
      <w:marBottom w:val="0"/>
      <w:divBdr>
        <w:top w:val="none" w:sz="0" w:space="0" w:color="auto"/>
        <w:left w:val="none" w:sz="0" w:space="0" w:color="auto"/>
        <w:bottom w:val="none" w:sz="0" w:space="0" w:color="auto"/>
        <w:right w:val="none" w:sz="0" w:space="0" w:color="auto"/>
      </w:divBdr>
    </w:div>
    <w:div w:id="2117017601">
      <w:bodyDiv w:val="1"/>
      <w:marLeft w:val="0"/>
      <w:marRight w:val="0"/>
      <w:marTop w:val="0"/>
      <w:marBottom w:val="0"/>
      <w:divBdr>
        <w:top w:val="none" w:sz="0" w:space="0" w:color="auto"/>
        <w:left w:val="none" w:sz="0" w:space="0" w:color="auto"/>
        <w:bottom w:val="none" w:sz="0" w:space="0" w:color="auto"/>
        <w:right w:val="none" w:sz="0" w:space="0" w:color="auto"/>
      </w:divBdr>
    </w:div>
    <w:div w:id="213374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B03EE20A890B4A93B9EA56A04B733C"/>
        <w:category>
          <w:name w:val="General"/>
          <w:gallery w:val="placeholder"/>
        </w:category>
        <w:types>
          <w:type w:val="bbPlcHdr"/>
        </w:types>
        <w:behaviors>
          <w:behavior w:val="content"/>
        </w:behaviors>
        <w:guid w:val="{2C45DBEE-7CD8-2F47-8818-7EF4D7EB7EBB}"/>
      </w:docPartPr>
      <w:docPartBody>
        <w:p w:rsidR="007147F2" w:rsidRDefault="00E60118" w:rsidP="00E60118">
          <w:pPr>
            <w:pStyle w:val="DEB03EE20A890B4A93B9EA56A04B733C"/>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2488E"/>
    <w:rsid w:val="000B46AA"/>
    <w:rsid w:val="001664DB"/>
    <w:rsid w:val="00172B12"/>
    <w:rsid w:val="001B4B23"/>
    <w:rsid w:val="00226AA3"/>
    <w:rsid w:val="0030615C"/>
    <w:rsid w:val="00314D69"/>
    <w:rsid w:val="004108B1"/>
    <w:rsid w:val="004E2F7D"/>
    <w:rsid w:val="00602DBB"/>
    <w:rsid w:val="007147F2"/>
    <w:rsid w:val="00733948"/>
    <w:rsid w:val="007A62F7"/>
    <w:rsid w:val="00805EFE"/>
    <w:rsid w:val="008C3186"/>
    <w:rsid w:val="00901F5E"/>
    <w:rsid w:val="009405F6"/>
    <w:rsid w:val="00A2263E"/>
    <w:rsid w:val="00A939E7"/>
    <w:rsid w:val="00AA2848"/>
    <w:rsid w:val="00AB44F1"/>
    <w:rsid w:val="00AD3E3A"/>
    <w:rsid w:val="00B27754"/>
    <w:rsid w:val="00BD73EC"/>
    <w:rsid w:val="00C46B03"/>
    <w:rsid w:val="00CE6311"/>
    <w:rsid w:val="00D115C2"/>
    <w:rsid w:val="00D7165A"/>
    <w:rsid w:val="00DF3DF8"/>
    <w:rsid w:val="00E60118"/>
    <w:rsid w:val="00E715BD"/>
    <w:rsid w:val="00EA0868"/>
    <w:rsid w:val="00EB608A"/>
    <w:rsid w:val="00F1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118"/>
    <w:rPr>
      <w:color w:val="808080"/>
    </w:rPr>
  </w:style>
  <w:style w:type="paragraph" w:customStyle="1" w:styleId="DEB03EE20A890B4A93B9EA56A04B733C">
    <w:name w:val="DEB03EE20A890B4A93B9EA56A04B733C"/>
    <w:rsid w:val="00E601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5AE4-2F87-40C9-AB8A-717B2F0F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7052</Words>
  <Characters>37875</Characters>
  <Application>Microsoft Office Word</Application>
  <DocSecurity>0</DocSecurity>
  <Lines>556</Lines>
  <Paragraphs>98</Paragraphs>
  <ScaleCrop>false</ScaleCrop>
  <Company/>
  <LinksUpToDate>false</LinksUpToDate>
  <CharactersWithSpaces>44829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342/20</dc:title>
  <dc:creator/>
  <cp:lastModifiedBy/>
  <cp:revision>1</cp:revision>
  <dcterms:created xsi:type="dcterms:W3CDTF">2021-01-11T20:13:00Z</dcterms:created>
  <dcterms:modified xsi:type="dcterms:W3CDTF">2021-01-11T20:14:00Z</dcterms:modified>
</cp:coreProperties>
</file>