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8236" w14:textId="77777777" w:rsidR="00CE4346" w:rsidRPr="00DD1E2F" w:rsidRDefault="00CE4346" w:rsidP="0045789B">
      <w:pPr>
        <w:pStyle w:val="MediumGrid2-Accent11"/>
        <w:ind w:right="-270"/>
        <w:jc w:val="center"/>
        <w:rPr>
          <w:rFonts w:ascii="Cambria" w:hAnsi="Cambria"/>
          <w:b/>
          <w:color w:val="000000"/>
          <w:lang w:val="en-US"/>
        </w:rPr>
      </w:pPr>
    </w:p>
    <w:p w14:paraId="64722011"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09450CD6" w14:textId="77777777" w:rsidR="00CE4346"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CASE 11.584 CARLOS JUELA MOLINA</w:t>
      </w:r>
    </w:p>
    <w:p w14:paraId="390A2D5B" w14:textId="77777777" w:rsidR="00CE4346"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 xml:space="preserve">REPORT ON FRIENDLY SETTLEMENT AGREEMENT Nº </w:t>
      </w:r>
      <w:r w:rsidRPr="00DD1E2F">
        <w:rPr>
          <w:rFonts w:ascii="Cambria" w:hAnsi="Cambria" w:cs="Calibri"/>
          <w:b/>
          <w:bCs/>
          <w:color w:val="000000"/>
          <w:lang w:val="en-US"/>
        </w:rPr>
        <w:t>97/00</w:t>
      </w:r>
    </w:p>
    <w:p w14:paraId="567ADE10" w14:textId="77777777" w:rsidR="00CE4346" w:rsidRPr="00DD1E2F" w:rsidRDefault="00583C84" w:rsidP="0045789B">
      <w:pPr>
        <w:pStyle w:val="MediumGrid2-Accent11"/>
        <w:jc w:val="center"/>
        <w:rPr>
          <w:rFonts w:ascii="Cambria" w:hAnsi="Cambria"/>
          <w:b/>
          <w:color w:val="000000"/>
          <w:lang w:val="en-US"/>
        </w:rPr>
      </w:pPr>
      <w:r w:rsidRPr="00DD1E2F">
        <w:rPr>
          <w:rFonts w:ascii="Cambria" w:hAnsi="Cambria"/>
          <w:b/>
          <w:color w:val="000000"/>
        </w:rPr>
        <w:t>ARCHIVE</w:t>
      </w:r>
    </w:p>
    <w:p w14:paraId="42A5FC21" w14:textId="77777777" w:rsidR="00583C84" w:rsidRPr="00DD1E2F" w:rsidRDefault="001164B6" w:rsidP="0045789B">
      <w:pPr>
        <w:pStyle w:val="MediumGrid2-Accent11"/>
        <w:jc w:val="center"/>
        <w:rPr>
          <w:rFonts w:ascii="Cambria" w:hAnsi="Cambria"/>
          <w:b/>
          <w:color w:val="000000"/>
          <w:lang w:val="en-US"/>
        </w:rPr>
      </w:pPr>
      <w:r w:rsidRPr="00DD1E2F">
        <w:rPr>
          <w:rFonts w:ascii="Cambria" w:hAnsi="Cambria"/>
          <w:b/>
          <w:color w:val="000000"/>
          <w:lang w:val="es-ES"/>
        </w:rPr>
        <w:t>(ECUADOR</w:t>
      </w:r>
      <w:r w:rsidR="00583C84" w:rsidRPr="00DD1E2F">
        <w:rPr>
          <w:rFonts w:ascii="Cambria" w:hAnsi="Cambria"/>
          <w:b/>
          <w:color w:val="000000"/>
          <w:lang w:val="es-ES"/>
        </w:rPr>
        <w:t>)</w:t>
      </w:r>
    </w:p>
    <w:p w14:paraId="74C6628A" w14:textId="77777777" w:rsidR="00583C84" w:rsidRPr="00DD1E2F" w:rsidRDefault="00583C84" w:rsidP="0045789B">
      <w:pPr>
        <w:pStyle w:val="MediumGrid2-Accent11"/>
        <w:ind w:right="-270" w:firstLine="720"/>
        <w:jc w:val="both"/>
        <w:rPr>
          <w:rFonts w:ascii="Cambria" w:hAnsi="Cambria"/>
          <w:b/>
          <w:color w:val="000000"/>
          <w:lang w:val="en-US"/>
        </w:rPr>
      </w:pPr>
    </w:p>
    <w:p w14:paraId="79BF3F31" w14:textId="77777777" w:rsidR="00583C84" w:rsidRPr="00DD1E2F" w:rsidRDefault="00583C84" w:rsidP="0045789B">
      <w:pPr>
        <w:pStyle w:val="MediumGrid2-Accent11"/>
        <w:ind w:left="-270" w:right="-270"/>
        <w:jc w:val="center"/>
        <w:rPr>
          <w:rFonts w:ascii="Cambria" w:hAnsi="Cambria"/>
          <w:b/>
          <w:color w:val="000000"/>
          <w:lang w:val="es-ES"/>
        </w:rPr>
      </w:pPr>
    </w:p>
    <w:p w14:paraId="38E82CC4" w14:textId="77777777" w:rsidR="00583C84" w:rsidRPr="00DD1E2F" w:rsidRDefault="00583C84" w:rsidP="0045789B">
      <w:pPr>
        <w:numPr>
          <w:ilvl w:val="0"/>
          <w:numId w:val="36"/>
        </w:numPr>
        <w:spacing w:after="0" w:line="240" w:lineRule="auto"/>
        <w:ind w:left="0" w:firstLine="709"/>
        <w:rPr>
          <w:rFonts w:ascii="Cambria" w:hAnsi="Cambria" w:cs="Calibri Light"/>
          <w:b/>
          <w:color w:val="000000"/>
        </w:rPr>
      </w:pPr>
      <w:r w:rsidRPr="00DD1E2F">
        <w:rPr>
          <w:rFonts w:ascii="Cambria" w:hAnsi="Cambria" w:cs="Calibri Light"/>
          <w:b/>
          <w:color w:val="000000"/>
        </w:rPr>
        <w:t xml:space="preserve">SUMMARY OF THE CASE </w:t>
      </w:r>
    </w:p>
    <w:p w14:paraId="3E0A3FAF" w14:textId="77777777" w:rsidR="00583C84" w:rsidRPr="00DD1E2F" w:rsidRDefault="00583C84" w:rsidP="0045789B">
      <w:pPr>
        <w:spacing w:after="0" w:line="240" w:lineRule="auto"/>
        <w:ind w:left="1080"/>
        <w:rPr>
          <w:rFonts w:ascii="Cambria"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6DE0C7FD" w14:textId="77777777" w:rsidTr="008D1A95">
        <w:trPr>
          <w:jc w:val="center"/>
        </w:trPr>
        <w:tc>
          <w:tcPr>
            <w:tcW w:w="9576" w:type="dxa"/>
            <w:shd w:val="clear" w:color="auto" w:fill="F2F2F2"/>
          </w:tcPr>
          <w:p w14:paraId="2A39E64E"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Victim(s)</w:t>
            </w:r>
            <w:r w:rsidRPr="00DD1E2F">
              <w:rPr>
                <w:rFonts w:ascii="Cambria" w:hAnsi="Cambria"/>
                <w:color w:val="000000"/>
                <w:lang w:val="en-US"/>
              </w:rPr>
              <w:t xml:space="preserve">: Carlos Juela Molina </w:t>
            </w:r>
          </w:p>
          <w:p w14:paraId="0A450DFD" w14:textId="77777777" w:rsidR="00583C84" w:rsidRPr="00DD1E2F" w:rsidRDefault="00583C84" w:rsidP="0045789B">
            <w:pPr>
              <w:pStyle w:val="MediumGrid2-Accent11"/>
              <w:jc w:val="both"/>
              <w:rPr>
                <w:rFonts w:ascii="Cambria" w:hAnsi="Cambria"/>
                <w:b/>
                <w:color w:val="000000"/>
                <w:lang w:val="en-US"/>
              </w:rPr>
            </w:pPr>
            <w:r w:rsidRPr="00DD1E2F">
              <w:rPr>
                <w:rFonts w:ascii="Cambria" w:hAnsi="Cambria"/>
                <w:b/>
                <w:color w:val="000000"/>
                <w:lang w:val="en-US"/>
              </w:rPr>
              <w:t>Petitioner(s)</w:t>
            </w:r>
            <w:r w:rsidRPr="00DD1E2F">
              <w:rPr>
                <w:rFonts w:ascii="Cambria" w:hAnsi="Cambria"/>
                <w:color w:val="000000"/>
                <w:lang w:val="en-US"/>
              </w:rPr>
              <w:t>:</w:t>
            </w:r>
            <w:r w:rsidRPr="00DD1E2F">
              <w:rPr>
                <w:rFonts w:ascii="Cambria" w:hAnsi="Cambria"/>
                <w:b/>
                <w:color w:val="000000"/>
                <w:lang w:val="en-US"/>
              </w:rPr>
              <w:t xml:space="preserve"> </w:t>
            </w:r>
            <w:r w:rsidRPr="00DD1E2F">
              <w:rPr>
                <w:rFonts w:ascii="Cambria" w:hAnsi="Cambria"/>
                <w:color w:val="000000"/>
                <w:lang w:val="en-US"/>
              </w:rPr>
              <w:t>Ecumenical Commission for Human Rights of Ecuador</w:t>
            </w:r>
            <w:r w:rsidRPr="00DD1E2F">
              <w:rPr>
                <w:rFonts w:ascii="Cambria" w:hAnsi="Cambria"/>
                <w:b/>
                <w:color w:val="000000"/>
                <w:lang w:val="en-US"/>
              </w:rPr>
              <w:t xml:space="preserve"> </w:t>
            </w:r>
          </w:p>
          <w:p w14:paraId="1636599C"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State</w:t>
            </w:r>
            <w:r w:rsidRPr="00DD1E2F">
              <w:rPr>
                <w:rFonts w:ascii="Cambria" w:hAnsi="Cambria"/>
                <w:color w:val="000000"/>
                <w:lang w:val="en-US"/>
              </w:rPr>
              <w:t>: Ecuador</w:t>
            </w:r>
          </w:p>
          <w:p w14:paraId="3E188013" w14:textId="77777777" w:rsidR="00583C84" w:rsidRPr="00DD1E2F" w:rsidRDefault="00583C84" w:rsidP="0045789B">
            <w:pPr>
              <w:pStyle w:val="MediumGrid21"/>
              <w:tabs>
                <w:tab w:val="left" w:pos="9270"/>
              </w:tabs>
              <w:jc w:val="both"/>
              <w:rPr>
                <w:rFonts w:ascii="Cambria" w:hAnsi="Cambria"/>
                <w:b/>
                <w:bCs/>
                <w:color w:val="000000"/>
                <w:lang w:val="en-US"/>
              </w:rPr>
            </w:pPr>
            <w:r w:rsidRPr="00DD1E2F">
              <w:rPr>
                <w:rFonts w:ascii="Cambria" w:hAnsi="Cambria"/>
                <w:b/>
                <w:bCs/>
                <w:color w:val="000000"/>
                <w:lang w:val="en-US"/>
              </w:rPr>
              <w:t>Beginning of the negotiation date:</w:t>
            </w:r>
            <w:r w:rsidRPr="00DD1E2F">
              <w:rPr>
                <w:rFonts w:ascii="Cambria" w:hAnsi="Cambria"/>
                <w:bCs/>
                <w:color w:val="000000"/>
                <w:lang w:val="en-US"/>
              </w:rPr>
              <w:t xml:space="preserve"> </w:t>
            </w:r>
            <w:r w:rsidRPr="00DD1E2F">
              <w:rPr>
                <w:rFonts w:ascii="Cambria" w:hAnsi="Cambria"/>
                <w:bCs/>
                <w:lang w:val="en-US"/>
              </w:rPr>
              <w:t>October 12, 1998</w:t>
            </w:r>
          </w:p>
          <w:p w14:paraId="4CF640E7"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FSA signature date: </w:t>
            </w:r>
            <w:r w:rsidRPr="00DD1E2F">
              <w:rPr>
                <w:rFonts w:ascii="Cambria" w:hAnsi="Cambria"/>
                <w:bCs/>
                <w:color w:val="000000"/>
              </w:rPr>
              <w:t>February 26, 1999</w:t>
            </w:r>
          </w:p>
          <w:p w14:paraId="1E24BC41"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 xml:space="preserve">Report on Friendly Settlement Agreement No. </w:t>
            </w:r>
            <w:hyperlink r:id="rId12" w:history="1">
              <w:r w:rsidRPr="00DD1E2F">
                <w:rPr>
                  <w:rStyle w:val="Hyperlink"/>
                  <w:rFonts w:ascii="Cambria" w:hAnsi="Cambria"/>
                  <w:b/>
                  <w:color w:val="000000"/>
                  <w:lang w:val="en-US"/>
                </w:rPr>
                <w:t>97/00</w:t>
              </w:r>
            </w:hyperlink>
            <w:r w:rsidRPr="00DD1E2F">
              <w:rPr>
                <w:rFonts w:ascii="Cambria" w:hAnsi="Cambria"/>
                <w:color w:val="000000"/>
                <w:lang w:val="en-US"/>
              </w:rPr>
              <w:t>, published on October 5, 2000</w:t>
            </w:r>
          </w:p>
          <w:p w14:paraId="0256D765"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Estimated length of the negotiation phase: </w:t>
            </w:r>
            <w:r w:rsidRPr="00DD1E2F">
              <w:rPr>
                <w:rFonts w:ascii="Cambria" w:hAnsi="Cambria"/>
                <w:bCs/>
                <w:color w:val="000000"/>
              </w:rPr>
              <w:t>2 years</w:t>
            </w:r>
          </w:p>
          <w:p w14:paraId="5891DFA2"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Rapporteurships involved</w:t>
            </w:r>
            <w:r w:rsidRPr="00DD1E2F">
              <w:rPr>
                <w:rFonts w:ascii="Cambria" w:hAnsi="Cambria"/>
                <w:color w:val="000000"/>
                <w:lang w:val="en-US"/>
              </w:rPr>
              <w:t>: Persons Deprived of Liberty/ Rights of the Child</w:t>
            </w:r>
          </w:p>
          <w:p w14:paraId="6F3D2E8E" w14:textId="77777777" w:rsidR="00583C84" w:rsidRPr="00DD1E2F" w:rsidRDefault="00583C84" w:rsidP="0045789B">
            <w:pPr>
              <w:pStyle w:val="MediumGrid2-Accent11"/>
              <w:rPr>
                <w:rFonts w:ascii="Cambria" w:hAnsi="Cambria"/>
                <w:b/>
                <w:color w:val="000000"/>
                <w:lang w:val="en-US"/>
              </w:rPr>
            </w:pPr>
            <w:r w:rsidRPr="00DD1E2F">
              <w:rPr>
                <w:rFonts w:ascii="Cambria" w:hAnsi="Cambria"/>
                <w:b/>
                <w:color w:val="000000"/>
                <w:lang w:val="en-US"/>
              </w:rPr>
              <w:t>Topics</w:t>
            </w:r>
            <w:r w:rsidRPr="00DD1E2F">
              <w:rPr>
                <w:rFonts w:ascii="Cambria" w:hAnsi="Cambria"/>
                <w:color w:val="000000"/>
                <w:lang w:val="en-US"/>
              </w:rPr>
              <w:t>:</w:t>
            </w:r>
            <w:r w:rsidRPr="00DD1E2F">
              <w:rPr>
                <w:rFonts w:ascii="Cambria" w:hAnsi="Cambria"/>
                <w:b/>
                <w:color w:val="000000"/>
                <w:lang w:val="en-US"/>
              </w:rPr>
              <w:t xml:space="preserve"> </w:t>
            </w:r>
            <w:r w:rsidRPr="00DD1E2F">
              <w:rPr>
                <w:rFonts w:ascii="Cambria" w:hAnsi="Cambria"/>
                <w:color w:val="000000"/>
                <w:lang w:val="en-US"/>
              </w:rPr>
              <w:t>Personas deprived of liberty/detention centers/police precincts/care and custody/ investigation/prison system/use of force</w:t>
            </w:r>
          </w:p>
          <w:p w14:paraId="192FF33A" w14:textId="77777777" w:rsidR="00583C84" w:rsidRPr="00DD1E2F" w:rsidRDefault="00583C84" w:rsidP="0045789B">
            <w:pPr>
              <w:pStyle w:val="MediumGrid2-Accent11"/>
              <w:jc w:val="both"/>
              <w:rPr>
                <w:rFonts w:ascii="Cambria" w:hAnsi="Cambria"/>
                <w:color w:val="000000"/>
                <w:lang w:val="en-US"/>
              </w:rPr>
            </w:pPr>
          </w:p>
          <w:p w14:paraId="5F92B270"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Facts</w:t>
            </w:r>
            <w:r w:rsidRPr="00DD1E2F">
              <w:rPr>
                <w:rFonts w:ascii="Cambria" w:hAnsi="Cambria"/>
                <w:color w:val="000000"/>
                <w:lang w:val="en-US"/>
              </w:rPr>
              <w:t>:</w:t>
            </w:r>
            <w:r w:rsidRPr="00DD1E2F">
              <w:rPr>
                <w:rFonts w:ascii="Cambria" w:hAnsi="Cambria"/>
                <w:b/>
                <w:color w:val="000000"/>
                <w:lang w:val="en-US"/>
              </w:rPr>
              <w:t xml:space="preserve"> </w:t>
            </w:r>
            <w:r w:rsidRPr="00DD1E2F">
              <w:rPr>
                <w:rFonts w:ascii="Cambria" w:hAnsi="Cambria"/>
                <w:color w:val="000000"/>
                <w:lang w:val="en-US"/>
              </w:rPr>
              <w:t>On December 21, 1989, when he was 15 years old, the petitioner was detained at 1:30 p.m. at the intersection of Bahía and Loja streets by police officer Marco Acosta Iza; the stated reason for the arrest was theft of a pair of eyeglasses. At that time, the petitioner was brutally beaten by the officer, who kicked him in the stomach, causing him to vomit blood. Later, he was taken by the officer to the offices of police investigation, at that time known as the Criminal Investigation Service of Pichincha [</w:t>
            </w:r>
            <w:r w:rsidRPr="00DD1E2F">
              <w:rPr>
                <w:rFonts w:ascii="Cambria" w:hAnsi="Cambria"/>
                <w:i/>
                <w:color w:val="000000"/>
                <w:lang w:val="en-US"/>
              </w:rPr>
              <w:t>Servicio de Investigación Criminal de Pichincha</w:t>
            </w:r>
            <w:r w:rsidRPr="00DD1E2F">
              <w:rPr>
                <w:rFonts w:ascii="Cambria" w:hAnsi="Cambria"/>
                <w:color w:val="000000"/>
                <w:lang w:val="en-US"/>
              </w:rPr>
              <w:t xml:space="preserve">] (SIC-P), where he was locked in a cell and beaten and kicked once again. As he was in great pain and was vomiting, the petitioner was taken to the Hospital Eugenio Espejo, where he underwent emergency surgery as the physicians found his duodenum had been perforated and showed injury. After a forensic medical examination was performed that determined that the petitioner would be physically incapacitated for 30 to 60 days, criminal proceedings were instituted against Officer Acosta Iza in the Eighth Criminal Court of Pichincha; however, the judge recused himself and referred the case to the Second Court of the First District of the National Police. The trial began on April 2, 1990. The first instance court ordered the arrest of Officer Acosta Iza, but he was released on bond. When Officer Acosta Iza failed to appear in court as required, the judge executed the bond and ordered the arrest of the accused for trial. On April 9, 1992, he was ordered discharged from the police on the grounds of professional misconduct. Given the lack of cooperation by the police, Officer Acosta Iza was not arrested until 1995. The accused immediately filed a motion to bar the action on the grounds that the statute of limitations had run out. This request was granted, on appeal, by the First District Court of the National Police, and the case was archived, which exhausted domestic remedies, as the State has acknowledged. The lack of diligence in processing the case in a timely fashion and the non-existence, in domestic jurisdiction, of a legal mechanism for seeking to punish the person responsible kept the petitioner from receiving compensation for the damages arbitrarily caused to him by the indicted police officer.  </w:t>
            </w:r>
          </w:p>
          <w:p w14:paraId="19D45FA3" w14:textId="77777777" w:rsidR="00583C84" w:rsidRPr="00DD1E2F" w:rsidRDefault="00583C84" w:rsidP="0045789B">
            <w:pPr>
              <w:pStyle w:val="MediumGrid2-Accent11"/>
              <w:jc w:val="both"/>
              <w:rPr>
                <w:rFonts w:ascii="Cambria" w:hAnsi="Cambria"/>
                <w:color w:val="000000"/>
                <w:lang w:val="en-US"/>
              </w:rPr>
            </w:pPr>
          </w:p>
          <w:p w14:paraId="0365A7BE"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Rights alleged</w:t>
            </w:r>
            <w:r w:rsidRPr="00DD1E2F">
              <w:rPr>
                <w:rFonts w:ascii="Cambria" w:hAnsi="Cambria"/>
                <w:color w:val="000000"/>
                <w:lang w:val="en-US"/>
              </w:rPr>
              <w:t xml:space="preserve">: The petitioners alleged violation of the rights to humane treatment (Article 5) and personal liberty (Article 7) of the American Convention on Human Rights (ACHR), in breach </w:t>
            </w:r>
            <w:r w:rsidRPr="00DD1E2F">
              <w:rPr>
                <w:rFonts w:ascii="Cambria" w:hAnsi="Cambria"/>
                <w:color w:val="000000"/>
                <w:lang w:val="en-US"/>
              </w:rPr>
              <w:lastRenderedPageBreak/>
              <w:t>of the obligations provided for under Article 1(1) thereof, to the detriment of Mr. Juela Molina.</w:t>
            </w:r>
          </w:p>
        </w:tc>
      </w:tr>
    </w:tbl>
    <w:p w14:paraId="636515F1" w14:textId="77777777" w:rsidR="00583C84" w:rsidRPr="00DD1E2F" w:rsidRDefault="00583C84" w:rsidP="0045789B">
      <w:pPr>
        <w:pStyle w:val="LightGrid-Accent31"/>
        <w:spacing w:after="0" w:line="240" w:lineRule="auto"/>
        <w:ind w:left="1080"/>
        <w:jc w:val="both"/>
        <w:rPr>
          <w:rFonts w:ascii="Cambria" w:hAnsi="Cambria" w:cs="Calibri Light"/>
          <w:b/>
          <w:color w:val="000000"/>
        </w:rPr>
      </w:pPr>
    </w:p>
    <w:p w14:paraId="3807A115" w14:textId="77777777" w:rsidR="00583C84" w:rsidRPr="00DD1E2F" w:rsidRDefault="00583C84" w:rsidP="0045789B">
      <w:pPr>
        <w:pStyle w:val="LightGrid-Accent31"/>
        <w:numPr>
          <w:ilvl w:val="0"/>
          <w:numId w:val="36"/>
        </w:numPr>
        <w:spacing w:after="0" w:line="240" w:lineRule="auto"/>
        <w:ind w:left="-142" w:firstLine="862"/>
        <w:jc w:val="both"/>
        <w:rPr>
          <w:rFonts w:ascii="Cambria" w:hAnsi="Cambria" w:cs="Calibri Light"/>
          <w:b/>
          <w:color w:val="000000"/>
        </w:rPr>
      </w:pPr>
      <w:r w:rsidRPr="00DD1E2F">
        <w:rPr>
          <w:rFonts w:ascii="Cambria" w:hAnsi="Cambria"/>
          <w:b/>
          <w:color w:val="000000"/>
        </w:rPr>
        <w:t>PROCEDURAL ACTIVITY</w:t>
      </w:r>
    </w:p>
    <w:p w14:paraId="17BB7700" w14:textId="77777777" w:rsidR="00583C84" w:rsidRPr="00DD1E2F" w:rsidRDefault="00583C84" w:rsidP="0045789B">
      <w:pPr>
        <w:pStyle w:val="LightGrid-Accent31"/>
        <w:spacing w:after="0" w:line="240" w:lineRule="auto"/>
        <w:ind w:left="-142" w:firstLine="862"/>
        <w:jc w:val="both"/>
        <w:rPr>
          <w:rFonts w:ascii="Cambria" w:hAnsi="Cambria" w:cs="Calibri Light"/>
          <w:b/>
          <w:color w:val="000000"/>
        </w:rPr>
      </w:pPr>
    </w:p>
    <w:p w14:paraId="0DD102B6" w14:textId="77777777" w:rsidR="00583C84" w:rsidRPr="00DD1E2F" w:rsidRDefault="00583C84" w:rsidP="0045789B">
      <w:pPr>
        <w:pStyle w:val="LightGrid-Accent31"/>
        <w:numPr>
          <w:ilvl w:val="0"/>
          <w:numId w:val="38"/>
        </w:numPr>
        <w:spacing w:after="0" w:line="240" w:lineRule="auto"/>
        <w:ind w:left="-142" w:firstLine="862"/>
        <w:contextualSpacing w:val="0"/>
        <w:jc w:val="both"/>
        <w:rPr>
          <w:rFonts w:ascii="Cambria" w:hAnsi="Cambria" w:cs="Calibri Light"/>
          <w:bCs/>
          <w:color w:val="000000"/>
        </w:rPr>
      </w:pPr>
      <w:r w:rsidRPr="00DD1E2F">
        <w:rPr>
          <w:rFonts w:ascii="Cambria" w:hAnsi="Cambria" w:cs="Calibri Light"/>
          <w:bCs/>
          <w:color w:val="000000"/>
        </w:rPr>
        <w:t>On February 26, 1999, the parties signed the friendly settlement agreement.</w:t>
      </w:r>
    </w:p>
    <w:p w14:paraId="2661AD13" w14:textId="77777777" w:rsidR="00583C84" w:rsidRPr="00DD1E2F" w:rsidRDefault="00583C84" w:rsidP="0045789B">
      <w:pPr>
        <w:pStyle w:val="LightGrid-Accent31"/>
        <w:spacing w:after="0" w:line="240" w:lineRule="auto"/>
        <w:ind w:left="-142" w:firstLine="862"/>
        <w:contextualSpacing w:val="0"/>
        <w:jc w:val="both"/>
        <w:rPr>
          <w:rFonts w:ascii="Cambria" w:hAnsi="Cambria" w:cs="Calibri Light"/>
          <w:bCs/>
          <w:color w:val="000000"/>
        </w:rPr>
      </w:pPr>
    </w:p>
    <w:p w14:paraId="0C398B25" w14:textId="77777777" w:rsidR="00583C84" w:rsidRPr="00DD1E2F" w:rsidRDefault="00583C84" w:rsidP="0045789B">
      <w:pPr>
        <w:pStyle w:val="LightGrid-Accent31"/>
        <w:numPr>
          <w:ilvl w:val="0"/>
          <w:numId w:val="38"/>
        </w:numPr>
        <w:spacing w:after="0" w:line="240" w:lineRule="auto"/>
        <w:ind w:left="-142" w:firstLine="862"/>
        <w:contextualSpacing w:val="0"/>
        <w:jc w:val="both"/>
        <w:rPr>
          <w:rFonts w:ascii="Cambria" w:hAnsi="Cambria" w:cs="Calibri Light"/>
          <w:bCs/>
          <w:color w:val="000000"/>
        </w:rPr>
      </w:pPr>
      <w:r w:rsidRPr="00DD1E2F">
        <w:rPr>
          <w:rFonts w:ascii="Cambria" w:hAnsi="Cambria" w:cs="Calibri Light"/>
          <w:bCs/>
          <w:color w:val="000000"/>
        </w:rPr>
        <w:t>On October 5, 2000, the Commission approved the friendly settlement agreement by report No. 97/00.</w:t>
      </w:r>
    </w:p>
    <w:p w14:paraId="169BCABC" w14:textId="77777777" w:rsidR="00583C84" w:rsidRPr="00DD1E2F" w:rsidRDefault="00583C84" w:rsidP="0045789B">
      <w:pPr>
        <w:spacing w:after="0" w:line="240" w:lineRule="auto"/>
        <w:ind w:left="720"/>
        <w:jc w:val="both"/>
        <w:rPr>
          <w:rFonts w:ascii="Cambria" w:hAnsi="Cambria" w:cs="Calibri Light"/>
          <w:color w:val="000000"/>
        </w:rPr>
      </w:pPr>
    </w:p>
    <w:p w14:paraId="71BD3BED" w14:textId="77777777" w:rsidR="00583C84" w:rsidRPr="00DD1E2F" w:rsidRDefault="00583C84" w:rsidP="0045789B">
      <w:pPr>
        <w:pStyle w:val="LightGrid-Accent31"/>
        <w:numPr>
          <w:ilvl w:val="0"/>
          <w:numId w:val="36"/>
        </w:numPr>
        <w:tabs>
          <w:tab w:val="left" w:pos="720"/>
        </w:tabs>
        <w:spacing w:after="0" w:line="240" w:lineRule="auto"/>
        <w:ind w:left="0" w:firstLine="720"/>
        <w:jc w:val="both"/>
        <w:rPr>
          <w:rFonts w:ascii="Cambria" w:hAnsi="Cambria" w:cs="Calibri Light"/>
          <w:b/>
          <w:color w:val="000000"/>
        </w:rPr>
      </w:pPr>
      <w:r w:rsidRPr="00DD1E2F">
        <w:rPr>
          <w:rFonts w:ascii="Cambria" w:hAnsi="Cambria" w:cs="Calibri Light"/>
          <w:b/>
          <w:color w:val="000000"/>
        </w:rPr>
        <w:t>ANALYSIS OF COMPLIANCE WITH THE CLAUSES OF THE FRIENDLY SETTLEMENT AGREEMENT</w:t>
      </w:r>
    </w:p>
    <w:p w14:paraId="03B0E4B1" w14:textId="77777777" w:rsidR="00583C84" w:rsidRPr="00DD1E2F" w:rsidRDefault="00583C84" w:rsidP="0045789B">
      <w:pPr>
        <w:spacing w:after="0" w:line="240" w:lineRule="auto"/>
        <w:jc w:val="both"/>
        <w:rPr>
          <w:rFonts w:ascii="Cambria" w:hAnsi="Cambria" w:cs="Calibri Light"/>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2"/>
        <w:gridCol w:w="243"/>
        <w:gridCol w:w="2661"/>
      </w:tblGrid>
      <w:tr w:rsidR="00583C84" w:rsidRPr="00DD1E2F" w14:paraId="114ADE9C" w14:textId="77777777" w:rsidTr="00AB1BC7">
        <w:trPr>
          <w:jc w:val="center"/>
        </w:trPr>
        <w:tc>
          <w:tcPr>
            <w:tcW w:w="6656" w:type="dxa"/>
            <w:shd w:val="clear" w:color="auto" w:fill="D9D9D9"/>
            <w:vAlign w:val="center"/>
          </w:tcPr>
          <w:p w14:paraId="34421BDD" w14:textId="77777777" w:rsidR="00583C84" w:rsidRPr="00DD1E2F" w:rsidRDefault="00583C84"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243" w:type="dxa"/>
            <w:tcBorders>
              <w:right w:val="nil"/>
            </w:tcBorders>
            <w:shd w:val="clear" w:color="auto" w:fill="D9D9D9"/>
            <w:vAlign w:val="center"/>
          </w:tcPr>
          <w:p w14:paraId="6733C4A6" w14:textId="77777777" w:rsidR="00583C84" w:rsidRPr="00DD1E2F" w:rsidRDefault="00583C84" w:rsidP="0045789B">
            <w:pPr>
              <w:spacing w:after="0" w:line="240" w:lineRule="auto"/>
              <w:jc w:val="center"/>
              <w:rPr>
                <w:rFonts w:ascii="Cambria" w:hAnsi="Cambria"/>
                <w:b/>
                <w:color w:val="000000"/>
              </w:rPr>
            </w:pPr>
          </w:p>
        </w:tc>
        <w:tc>
          <w:tcPr>
            <w:tcW w:w="2741" w:type="dxa"/>
            <w:tcBorders>
              <w:left w:val="nil"/>
            </w:tcBorders>
            <w:shd w:val="clear" w:color="auto" w:fill="D9D9D9"/>
            <w:vAlign w:val="center"/>
          </w:tcPr>
          <w:p w14:paraId="480C0C90" w14:textId="77777777" w:rsidR="00583C84" w:rsidRPr="00DD1E2F" w:rsidRDefault="00583C84"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583C84" w:rsidRPr="00DD1E2F" w14:paraId="3093CB3B" w14:textId="77777777" w:rsidTr="00AB1BC7">
        <w:trPr>
          <w:jc w:val="center"/>
        </w:trPr>
        <w:tc>
          <w:tcPr>
            <w:tcW w:w="6656" w:type="dxa"/>
            <w:shd w:val="clear" w:color="auto" w:fill="auto"/>
            <w:vAlign w:val="center"/>
          </w:tcPr>
          <w:p w14:paraId="004AC88A" w14:textId="77777777" w:rsidR="00583C84" w:rsidRPr="00DD1E2F" w:rsidRDefault="00583C84" w:rsidP="0045789B">
            <w:pPr>
              <w:spacing w:after="0" w:line="240" w:lineRule="auto"/>
              <w:ind w:right="69"/>
              <w:jc w:val="both"/>
              <w:outlineLvl w:val="0"/>
              <w:rPr>
                <w:rFonts w:ascii="Cambria" w:eastAsia="Times New Roman" w:hAnsi="Cambria"/>
                <w:b/>
                <w:bCs/>
                <w:color w:val="000000"/>
                <w:kern w:val="36"/>
              </w:rPr>
            </w:pPr>
            <w:r w:rsidRPr="00DD1E2F">
              <w:rPr>
                <w:rFonts w:ascii="Cambria" w:eastAsia="Times New Roman" w:hAnsi="Cambria"/>
                <w:b/>
                <w:bCs/>
                <w:color w:val="000000"/>
                <w:kern w:val="36"/>
              </w:rPr>
              <w:t>III. STATE RESPONSIBILITY AND ACCEPTANCE</w:t>
            </w:r>
          </w:p>
          <w:p w14:paraId="4FFBFCA5" w14:textId="77777777" w:rsidR="00583C84" w:rsidRPr="00DD1E2F" w:rsidRDefault="00583C84" w:rsidP="0045789B">
            <w:pPr>
              <w:spacing w:after="0" w:line="240" w:lineRule="auto"/>
              <w:ind w:left="-18" w:firstLine="18"/>
              <w:jc w:val="both"/>
              <w:rPr>
                <w:rFonts w:ascii="Cambria" w:eastAsia="Times New Roman" w:hAnsi="Cambria"/>
                <w:color w:val="000000"/>
              </w:rPr>
            </w:pPr>
            <w:r w:rsidRPr="00DD1E2F">
              <w:rPr>
                <w:rFonts w:ascii="Cambria" w:eastAsia="Times New Roman" w:hAnsi="Cambria"/>
                <w:color w:val="000000"/>
              </w:rPr>
              <w:t xml:space="preserve">The Ecuadorian State acknowledges its international responsibility for having violated the human rights of Mr. Carlos Alberto Juela Molina enshrined in Article 5(2) of the American Convention on Human Rights and other international instruments, considering that Mr. Carlos Alberto Juela Molina was arbitrarily detained and tortured, and that the violations were committed by State agents, which could not be disproved by the State, giving rise to State responsibility. </w:t>
            </w:r>
          </w:p>
          <w:p w14:paraId="11182DB9" w14:textId="77777777" w:rsidR="00583C84" w:rsidRPr="00DD1E2F" w:rsidRDefault="00583C84" w:rsidP="0045789B">
            <w:pPr>
              <w:spacing w:after="0" w:line="240" w:lineRule="auto"/>
              <w:ind w:left="-18" w:firstLine="18"/>
              <w:jc w:val="both"/>
              <w:rPr>
                <w:rFonts w:ascii="Cambria" w:eastAsia="Times New Roman" w:hAnsi="Cambria"/>
                <w:color w:val="000000"/>
              </w:rPr>
            </w:pPr>
            <w:r w:rsidRPr="00DD1E2F">
              <w:rPr>
                <w:rFonts w:ascii="Cambria" w:eastAsia="Times New Roman" w:hAnsi="Cambria"/>
                <w:color w:val="000000"/>
              </w:rPr>
              <w:t xml:space="preserve">  </w:t>
            </w:r>
          </w:p>
          <w:p w14:paraId="679EC3A8" w14:textId="77777777" w:rsidR="00583C84" w:rsidRPr="00DD1E2F" w:rsidRDefault="00583C84" w:rsidP="0045789B">
            <w:pPr>
              <w:spacing w:after="0" w:line="240" w:lineRule="auto"/>
              <w:ind w:left="-18" w:firstLine="18"/>
              <w:jc w:val="both"/>
              <w:rPr>
                <w:rFonts w:ascii="Cambria" w:eastAsia="Times New Roman" w:hAnsi="Cambria"/>
                <w:color w:val="000000"/>
              </w:rPr>
            </w:pPr>
            <w:r w:rsidRPr="00DD1E2F">
              <w:rPr>
                <w:rFonts w:ascii="Cambria" w:eastAsia="Times New Roman" w:hAnsi="Cambria"/>
                <w:color w:val="000000"/>
              </w:rPr>
              <w:t xml:space="preserve">Given the above, the Ecuadorian State accepts the facts in case No. 11.584 before the Inter-American Commission on Human Rights and undertakes the necessary reparative steps to compensate the victims, or their successors, for the damages caused by those violations. </w:t>
            </w:r>
          </w:p>
        </w:tc>
        <w:tc>
          <w:tcPr>
            <w:tcW w:w="2984" w:type="dxa"/>
            <w:gridSpan w:val="2"/>
            <w:shd w:val="clear" w:color="auto" w:fill="auto"/>
            <w:vAlign w:val="center"/>
          </w:tcPr>
          <w:p w14:paraId="50C4FFBD"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t xml:space="preserve">Declarative clause </w:t>
            </w:r>
          </w:p>
        </w:tc>
      </w:tr>
      <w:tr w:rsidR="00583C84" w:rsidRPr="00DD1E2F" w14:paraId="4CD028D6" w14:textId="77777777" w:rsidTr="00AB1BC7">
        <w:trPr>
          <w:trHeight w:val="1520"/>
          <w:jc w:val="center"/>
        </w:trPr>
        <w:tc>
          <w:tcPr>
            <w:tcW w:w="6656" w:type="dxa"/>
            <w:shd w:val="clear" w:color="auto" w:fill="auto"/>
            <w:vAlign w:val="center"/>
          </w:tcPr>
          <w:p w14:paraId="30E85A8B" w14:textId="77777777" w:rsidR="00583C84" w:rsidRPr="00DD1E2F" w:rsidRDefault="00583C84" w:rsidP="0045789B">
            <w:pPr>
              <w:spacing w:after="0" w:line="240" w:lineRule="auto"/>
              <w:ind w:left="72"/>
              <w:jc w:val="both"/>
              <w:rPr>
                <w:rFonts w:ascii="Cambria" w:eastAsia="Times New Roman" w:hAnsi="Cambria"/>
                <w:b/>
                <w:color w:val="000000"/>
              </w:rPr>
            </w:pPr>
            <w:r w:rsidRPr="00DD1E2F">
              <w:rPr>
                <w:rFonts w:ascii="Cambria" w:eastAsia="Times New Roman" w:hAnsi="Cambria"/>
                <w:b/>
                <w:color w:val="000000"/>
              </w:rPr>
              <w:t>IV.  COMPENSATION</w:t>
            </w:r>
          </w:p>
          <w:p w14:paraId="5CE6649B"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 xml:space="preserve">In view of the foregoing, the Ecuadorian State, through the Attorney General, as the sole judicial representative of the Ecuadorian State, pursuant to Article 215 of the Constitution of Ecuador, enacted in Official Register No. 1 and in force since August 11, 1998, is awarding Mr. Carlos Alberto Juela Molina a one-time compensatory payment in the amount of fifteen thousand US dollars (US$ 15,000) or the equivalent in local currency, calculated at the exchange rate in effect at the time the payment is made, to be paid from the National Budget. </w:t>
            </w:r>
          </w:p>
          <w:p w14:paraId="0DAE6D8C"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 xml:space="preserve">This compensation covers the consequential damages, loss of income, and moral damages suffered by Mr. Carlos Alberto Juela Molina, as well as any other claims that Carlos Alberto Juela Molina or his family members may have, regarding the subject of this agreement, under domestic and international law, and is chargeable to the National Budget. To this end, the Office of the Attorney General will notify the Ministry of Finance, for it to carry out this obligation within 90 days of the signing of this document. </w:t>
            </w:r>
          </w:p>
        </w:tc>
        <w:tc>
          <w:tcPr>
            <w:tcW w:w="2984" w:type="dxa"/>
            <w:gridSpan w:val="2"/>
            <w:tcBorders>
              <w:bottom w:val="single" w:sz="4" w:space="0" w:color="auto"/>
            </w:tcBorders>
            <w:shd w:val="clear" w:color="auto" w:fill="auto"/>
            <w:vAlign w:val="center"/>
          </w:tcPr>
          <w:p w14:paraId="77AD4229" w14:textId="77777777" w:rsidR="00583C84" w:rsidRPr="00DD1E2F" w:rsidRDefault="00583C84" w:rsidP="0045789B">
            <w:pPr>
              <w:spacing w:after="0" w:line="240" w:lineRule="auto"/>
              <w:jc w:val="center"/>
              <w:rPr>
                <w:rFonts w:ascii="Cambria" w:hAnsi="Cambria"/>
                <w:b/>
                <w:color w:val="000000"/>
              </w:rPr>
            </w:pPr>
            <w:r w:rsidRPr="00DD1E2F">
              <w:rPr>
                <w:rFonts w:ascii="Cambria" w:hAnsi="Cambria"/>
                <w:b/>
                <w:color w:val="000000"/>
              </w:rPr>
              <w:t>Total</w:t>
            </w:r>
            <w:r w:rsidRPr="00DD1E2F">
              <w:rPr>
                <w:rStyle w:val="FootnoteReference"/>
                <w:rFonts w:ascii="Cambria" w:hAnsi="Cambria"/>
                <w:b/>
                <w:color w:val="000000"/>
              </w:rPr>
              <w:footnoteReference w:id="1"/>
            </w:r>
          </w:p>
        </w:tc>
      </w:tr>
      <w:tr w:rsidR="00AB1BC7" w:rsidRPr="00DD1E2F" w14:paraId="109DA291" w14:textId="77777777" w:rsidTr="00AB1BC7">
        <w:trPr>
          <w:jc w:val="center"/>
        </w:trPr>
        <w:tc>
          <w:tcPr>
            <w:tcW w:w="6656" w:type="dxa"/>
            <w:shd w:val="clear" w:color="auto" w:fill="auto"/>
          </w:tcPr>
          <w:p w14:paraId="68BB8304" w14:textId="77777777" w:rsidR="00AB1BC7" w:rsidRPr="00DD1E2F" w:rsidRDefault="00AB1BC7" w:rsidP="0045789B">
            <w:pPr>
              <w:spacing w:after="0" w:line="240" w:lineRule="auto"/>
              <w:ind w:right="-21"/>
              <w:jc w:val="both"/>
              <w:outlineLvl w:val="0"/>
              <w:rPr>
                <w:rFonts w:ascii="Cambria" w:eastAsia="Times New Roman" w:hAnsi="Cambria"/>
                <w:b/>
                <w:color w:val="000000"/>
              </w:rPr>
            </w:pPr>
            <w:r w:rsidRPr="00DD1E2F">
              <w:rPr>
                <w:rFonts w:ascii="Cambria" w:eastAsia="Times New Roman" w:hAnsi="Cambria"/>
                <w:b/>
                <w:color w:val="000000"/>
              </w:rPr>
              <w:t>V. PUNISHMENT OF THE PERSONS RESPONSIBLE</w:t>
            </w:r>
          </w:p>
          <w:p w14:paraId="7C9E1228" w14:textId="77777777" w:rsidR="00AB1BC7" w:rsidRPr="00DD1E2F" w:rsidRDefault="00AB1BC7" w:rsidP="0045789B">
            <w:pPr>
              <w:spacing w:after="0" w:line="240" w:lineRule="auto"/>
              <w:ind w:right="-21"/>
              <w:jc w:val="both"/>
              <w:rPr>
                <w:rFonts w:ascii="Cambria" w:eastAsia="Times New Roman" w:hAnsi="Cambria"/>
                <w:color w:val="000000"/>
              </w:rPr>
            </w:pPr>
            <w:r w:rsidRPr="00DD1E2F">
              <w:rPr>
                <w:rFonts w:ascii="Cambria" w:eastAsia="Times New Roman" w:hAnsi="Cambria"/>
                <w:color w:val="000000"/>
              </w:rPr>
              <w:lastRenderedPageBreak/>
              <w:t xml:space="preserve">The Ecuadorian State pledges to bring civil and criminal proceedings and pursue administrative sanctions against those persons who are alleged to have participated in the violation in the performance of State functions or under the color of public authority.  </w:t>
            </w:r>
          </w:p>
          <w:p w14:paraId="572B8356" w14:textId="77777777" w:rsidR="00AB1BC7" w:rsidRPr="00DD1E2F" w:rsidRDefault="00AB1BC7" w:rsidP="0045789B">
            <w:pPr>
              <w:spacing w:after="0" w:line="240" w:lineRule="auto"/>
              <w:ind w:right="-21"/>
              <w:jc w:val="both"/>
              <w:rPr>
                <w:rFonts w:ascii="Cambria" w:eastAsia="Times New Roman" w:hAnsi="Cambria"/>
                <w:color w:val="000000"/>
              </w:rPr>
            </w:pPr>
            <w:r w:rsidRPr="00DD1E2F">
              <w:rPr>
                <w:rFonts w:ascii="Cambria" w:eastAsia="Times New Roman" w:hAnsi="Cambria"/>
                <w:color w:val="000000"/>
              </w:rPr>
              <w:t xml:space="preserve">  </w:t>
            </w:r>
          </w:p>
          <w:p w14:paraId="3B5A6F5B" w14:textId="77777777" w:rsidR="00AB1BC7" w:rsidRPr="00DD1E2F" w:rsidRDefault="00AB1BC7" w:rsidP="0045789B">
            <w:pPr>
              <w:spacing w:after="0" w:line="240" w:lineRule="auto"/>
              <w:ind w:right="-21"/>
              <w:jc w:val="both"/>
              <w:rPr>
                <w:rFonts w:ascii="Cambria" w:eastAsia="Times New Roman" w:hAnsi="Cambria"/>
                <w:color w:val="000000"/>
              </w:rPr>
            </w:pPr>
            <w:r w:rsidRPr="00DD1E2F">
              <w:rPr>
                <w:rFonts w:ascii="Cambria" w:eastAsia="Times New Roman" w:hAnsi="Cambria"/>
                <w:color w:val="000000"/>
              </w:rPr>
              <w:t xml:space="preserve">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 and therefore, it will not proceed against the persons who have been object of final judgment by the national courts, in relation to the alleged violations. </w:t>
            </w:r>
          </w:p>
        </w:tc>
        <w:tc>
          <w:tcPr>
            <w:tcW w:w="2984" w:type="dxa"/>
            <w:gridSpan w:val="2"/>
            <w:shd w:val="clear" w:color="auto" w:fill="auto"/>
            <w:vAlign w:val="center"/>
          </w:tcPr>
          <w:p w14:paraId="176ECC3B" w14:textId="77777777" w:rsidR="00AB1BC7" w:rsidRPr="00DD1E2F" w:rsidRDefault="00B238D3" w:rsidP="0045789B">
            <w:pPr>
              <w:autoSpaceDE w:val="0"/>
              <w:autoSpaceDN w:val="0"/>
              <w:adjustRightInd w:val="0"/>
              <w:spacing w:after="0" w:line="240" w:lineRule="auto"/>
              <w:jc w:val="center"/>
              <w:rPr>
                <w:rFonts w:ascii="Cambria" w:hAnsi="Cambria"/>
                <w:b/>
                <w:bCs/>
                <w:color w:val="000000"/>
              </w:rPr>
            </w:pPr>
            <w:r w:rsidRPr="00DD1E2F">
              <w:rPr>
                <w:rFonts w:ascii="Cambria" w:hAnsi="Cambria"/>
                <w:b/>
                <w:bCs/>
                <w:color w:val="000000"/>
              </w:rPr>
              <w:lastRenderedPageBreak/>
              <w:t>Noncompliance</w:t>
            </w:r>
            <w:r w:rsidR="00AB1BC7" w:rsidRPr="00DD1E2F">
              <w:rPr>
                <w:rStyle w:val="FootnoteReference"/>
                <w:rFonts w:ascii="Cambria" w:hAnsi="Cambria"/>
                <w:b/>
                <w:bCs/>
                <w:color w:val="000000"/>
              </w:rPr>
              <w:footnoteReference w:id="2"/>
            </w:r>
          </w:p>
        </w:tc>
      </w:tr>
      <w:tr w:rsidR="00583C84" w:rsidRPr="00DD1E2F" w14:paraId="48608685" w14:textId="77777777" w:rsidTr="00AB1BC7">
        <w:trPr>
          <w:trHeight w:val="1520"/>
          <w:jc w:val="center"/>
        </w:trPr>
        <w:tc>
          <w:tcPr>
            <w:tcW w:w="6656" w:type="dxa"/>
            <w:shd w:val="clear" w:color="auto" w:fill="auto"/>
            <w:vAlign w:val="center"/>
          </w:tcPr>
          <w:p w14:paraId="0A7251D2" w14:textId="77777777" w:rsidR="00583C84" w:rsidRPr="00DD1E2F" w:rsidRDefault="00583C84"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VII. TAX EXEMPTION AND DELAY IN COMPLIANCE</w:t>
            </w:r>
          </w:p>
          <w:p w14:paraId="5EB9A128" w14:textId="77777777" w:rsidR="00583C84" w:rsidRPr="00DD1E2F" w:rsidRDefault="00583C84"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[…]In the event that the State is delinquent for over three months from the date the agreement is signed, it must pay interest on the amount owed, corresponding to the current bank rate of the three largest banks in Ecuador for the duration of its delinquency.</w:t>
            </w:r>
          </w:p>
        </w:tc>
        <w:tc>
          <w:tcPr>
            <w:tcW w:w="2984" w:type="dxa"/>
            <w:gridSpan w:val="2"/>
            <w:shd w:val="clear" w:color="auto" w:fill="auto"/>
            <w:vAlign w:val="center"/>
          </w:tcPr>
          <w:p w14:paraId="12685A65" w14:textId="77777777" w:rsidR="00583C84" w:rsidRPr="00DD1E2F" w:rsidRDefault="00583C84" w:rsidP="0045789B">
            <w:pPr>
              <w:autoSpaceDE w:val="0"/>
              <w:autoSpaceDN w:val="0"/>
              <w:adjustRightInd w:val="0"/>
              <w:spacing w:after="0" w:line="240" w:lineRule="auto"/>
              <w:jc w:val="center"/>
              <w:rPr>
                <w:rFonts w:ascii="Cambria" w:eastAsia="MS Mincho" w:hAnsi="Cambria"/>
                <w:color w:val="000000"/>
              </w:rPr>
            </w:pPr>
            <w:r w:rsidRPr="00DD1E2F">
              <w:rPr>
                <w:rFonts w:ascii="Cambria" w:hAnsi="Cambria"/>
                <w:b/>
                <w:color w:val="000000"/>
              </w:rPr>
              <w:t>Total</w:t>
            </w:r>
            <w:r w:rsidRPr="00DD1E2F">
              <w:rPr>
                <w:rStyle w:val="FootnoteReference"/>
                <w:rFonts w:ascii="Cambria" w:hAnsi="Cambria"/>
                <w:b/>
                <w:color w:val="000000"/>
              </w:rPr>
              <w:footnoteReference w:id="3"/>
            </w:r>
          </w:p>
        </w:tc>
      </w:tr>
    </w:tbl>
    <w:p w14:paraId="3A156E24" w14:textId="77777777" w:rsidR="00583C84" w:rsidRPr="00DD1E2F" w:rsidRDefault="00583C84" w:rsidP="0045789B">
      <w:pPr>
        <w:autoSpaceDE w:val="0"/>
        <w:autoSpaceDN w:val="0"/>
        <w:adjustRightInd w:val="0"/>
        <w:spacing w:after="0" w:line="240" w:lineRule="auto"/>
        <w:jc w:val="both"/>
        <w:rPr>
          <w:rFonts w:ascii="Cambria" w:hAnsi="Cambria"/>
          <w:color w:val="000000"/>
        </w:rPr>
      </w:pPr>
    </w:p>
    <w:p w14:paraId="632F1C0A" w14:textId="77777777" w:rsidR="00583C84" w:rsidRPr="00DD1E2F" w:rsidRDefault="00583C84" w:rsidP="0045789B">
      <w:pPr>
        <w:numPr>
          <w:ilvl w:val="0"/>
          <w:numId w:val="36"/>
        </w:numPr>
        <w:autoSpaceDE w:val="0"/>
        <w:autoSpaceDN w:val="0"/>
        <w:adjustRightInd w:val="0"/>
        <w:spacing w:after="0" w:line="240" w:lineRule="auto"/>
        <w:jc w:val="both"/>
        <w:rPr>
          <w:rFonts w:ascii="Cambria" w:hAnsi="Cambria"/>
          <w:color w:val="000000"/>
        </w:rPr>
      </w:pPr>
      <w:r w:rsidRPr="00DD1E2F">
        <w:rPr>
          <w:rFonts w:ascii="Cambria" w:hAnsi="Cambria" w:cs="Calibri Light"/>
          <w:b/>
          <w:color w:val="000000"/>
        </w:rPr>
        <w:t>LEVEL OF COMPLIANCE OF THE CASE</w:t>
      </w:r>
    </w:p>
    <w:p w14:paraId="215397FB" w14:textId="77777777" w:rsidR="00583C84" w:rsidRPr="00DD1E2F" w:rsidRDefault="00583C84" w:rsidP="0045789B">
      <w:pPr>
        <w:autoSpaceDE w:val="0"/>
        <w:autoSpaceDN w:val="0"/>
        <w:adjustRightInd w:val="0"/>
        <w:spacing w:after="0" w:line="240" w:lineRule="auto"/>
        <w:ind w:left="1440"/>
        <w:jc w:val="both"/>
        <w:rPr>
          <w:rFonts w:ascii="Cambria" w:hAnsi="Cambria"/>
          <w:color w:val="000000"/>
        </w:rPr>
      </w:pPr>
    </w:p>
    <w:p w14:paraId="1EFA44B0" w14:textId="77777777" w:rsidR="00583C84" w:rsidRPr="00DD1E2F" w:rsidRDefault="00583C84" w:rsidP="0045789B">
      <w:pPr>
        <w:numPr>
          <w:ilvl w:val="0"/>
          <w:numId w:val="38"/>
        </w:numPr>
        <w:tabs>
          <w:tab w:val="left" w:pos="1440"/>
        </w:tabs>
        <w:autoSpaceDE w:val="0"/>
        <w:autoSpaceDN w:val="0"/>
        <w:adjustRightInd w:val="0"/>
        <w:spacing w:after="0" w:line="240" w:lineRule="auto"/>
        <w:ind w:left="-142" w:firstLine="851"/>
        <w:jc w:val="both"/>
        <w:rPr>
          <w:rFonts w:ascii="Cambria" w:hAnsi="Cambria"/>
          <w:color w:val="000000"/>
        </w:rPr>
      </w:pPr>
      <w:r w:rsidRPr="00DD1E2F">
        <w:rPr>
          <w:rFonts w:ascii="Cambria" w:eastAsia="Times New Roman" w:hAnsi="Cambria" w:cs="Calibri"/>
          <w:color w:val="000000"/>
          <w:lang w:eastAsia="es-ES_tradnl"/>
        </w:rPr>
        <w:t xml:space="preserve">The Commission assessed the request filed on January 17, </w:t>
      </w:r>
      <w:r w:rsidR="00F0747D" w:rsidRPr="00DD1E2F">
        <w:rPr>
          <w:rFonts w:ascii="Cambria" w:eastAsia="Times New Roman" w:hAnsi="Cambria" w:cs="Calibri"/>
          <w:color w:val="000000"/>
          <w:lang w:eastAsia="es-ES_tradnl"/>
        </w:rPr>
        <w:t>2020,</w:t>
      </w:r>
      <w:r w:rsidRPr="00DD1E2F">
        <w:rPr>
          <w:rFonts w:ascii="Cambria" w:eastAsia="Times New Roman" w:hAnsi="Cambria" w:cs="Calibri"/>
          <w:color w:val="000000"/>
          <w:lang w:eastAsia="es-ES_tradnl"/>
        </w:rPr>
        <w:t xml:space="preserve"> by the petitioner to terminate supervision of the agreement and archive the case, because it </w:t>
      </w:r>
      <w:r w:rsidR="00B238D3" w:rsidRPr="00DD1E2F">
        <w:rPr>
          <w:rFonts w:ascii="Cambria" w:eastAsia="Times New Roman" w:hAnsi="Cambria" w:cs="Calibri"/>
          <w:color w:val="000000"/>
          <w:lang w:eastAsia="es-ES_tradnl"/>
        </w:rPr>
        <w:t>lost contact</w:t>
      </w:r>
      <w:r w:rsidRPr="00DD1E2F">
        <w:rPr>
          <w:rFonts w:ascii="Cambria" w:eastAsia="Times New Roman" w:hAnsi="Cambria" w:cs="Calibri"/>
          <w:color w:val="000000"/>
          <w:lang w:eastAsia="es-ES_tradnl"/>
        </w:rPr>
        <w:t xml:space="preserve"> with the victims of the case. In this respect, the Commission decided to cease supervision of the friendly settlement agreement and archive the case, noting in the Annual Report that the measure of justice was not complied by the Ecuadorian State and that the level of compliance of the agreement is partial.</w:t>
      </w:r>
      <w:r w:rsidRPr="00DD1E2F">
        <w:rPr>
          <w:rFonts w:ascii="Cambria" w:eastAsia="Times New Roman" w:hAnsi="Cambria" w:cs="Calibri"/>
          <w:color w:val="000000"/>
          <w:shd w:val="clear" w:color="auto" w:fill="00FF00"/>
          <w:lang w:eastAsia="es-ES_tradnl"/>
        </w:rPr>
        <w:t xml:space="preserve"> </w:t>
      </w:r>
    </w:p>
    <w:p w14:paraId="0229D8E0" w14:textId="77777777" w:rsidR="00583C84" w:rsidRPr="00DD1E2F" w:rsidRDefault="00583C84" w:rsidP="0045789B">
      <w:pPr>
        <w:autoSpaceDE w:val="0"/>
        <w:autoSpaceDN w:val="0"/>
        <w:adjustRightInd w:val="0"/>
        <w:spacing w:after="0" w:line="240" w:lineRule="auto"/>
        <w:jc w:val="both"/>
        <w:rPr>
          <w:rFonts w:ascii="Cambria" w:hAnsi="Cambria"/>
          <w:color w:val="000000"/>
        </w:rPr>
      </w:pPr>
    </w:p>
    <w:p w14:paraId="1A71C10D" w14:textId="77777777" w:rsidR="00583C84" w:rsidRPr="00DD1E2F" w:rsidRDefault="00583C84" w:rsidP="0045789B">
      <w:pPr>
        <w:pStyle w:val="LightGrid-Accent31"/>
        <w:numPr>
          <w:ilvl w:val="0"/>
          <w:numId w:val="36"/>
        </w:numPr>
        <w:spacing w:after="0" w:line="240" w:lineRule="auto"/>
        <w:jc w:val="both"/>
        <w:rPr>
          <w:rFonts w:ascii="Cambria" w:hAnsi="Cambria" w:cs="Calibri Light"/>
          <w:b/>
          <w:color w:val="000000"/>
        </w:rPr>
      </w:pPr>
      <w:r w:rsidRPr="00DD1E2F">
        <w:rPr>
          <w:rFonts w:ascii="Cambria" w:hAnsi="Cambria" w:cs="Calibri Light"/>
          <w:b/>
          <w:color w:val="000000"/>
        </w:rPr>
        <w:t xml:space="preserve">INDIVIDUAL AND STRUCTURAL OUTCOMES OF THE CASE </w:t>
      </w:r>
    </w:p>
    <w:p w14:paraId="1907C1A1" w14:textId="77777777" w:rsidR="00583C84" w:rsidRPr="00DD1E2F" w:rsidRDefault="00583C84" w:rsidP="0045789B">
      <w:pPr>
        <w:pStyle w:val="LightGrid-Accent31"/>
        <w:spacing w:after="0" w:line="240" w:lineRule="auto"/>
        <w:ind w:left="1080"/>
        <w:jc w:val="both"/>
        <w:rPr>
          <w:rFonts w:ascii="Cambria" w:hAnsi="Cambria" w:cs="Calibri Light"/>
          <w:b/>
          <w:color w:val="000000"/>
        </w:rPr>
      </w:pPr>
    </w:p>
    <w:p w14:paraId="599C06EB" w14:textId="77777777" w:rsidR="00583C84" w:rsidRPr="00DD1E2F" w:rsidRDefault="001164B6" w:rsidP="0045789B">
      <w:pPr>
        <w:pStyle w:val="LightGrid-Accent31"/>
        <w:numPr>
          <w:ilvl w:val="0"/>
          <w:numId w:val="37"/>
        </w:numPr>
        <w:spacing w:after="0" w:line="240" w:lineRule="auto"/>
        <w:ind w:firstLine="0"/>
        <w:jc w:val="both"/>
        <w:rPr>
          <w:rFonts w:ascii="Cambria" w:hAnsi="Cambria" w:cs="Calibri Light"/>
          <w:b/>
          <w:color w:val="000000"/>
        </w:rPr>
      </w:pPr>
      <w:r w:rsidRPr="00DD1E2F">
        <w:rPr>
          <w:rFonts w:ascii="Cambria" w:hAnsi="Cambria" w:cs="Calibri Light"/>
          <w:b/>
          <w:color w:val="000000"/>
        </w:rPr>
        <w:t>Individual outcomes of the case</w:t>
      </w:r>
    </w:p>
    <w:p w14:paraId="51C23F82" w14:textId="77777777" w:rsidR="00583C84" w:rsidRPr="00DD1E2F" w:rsidRDefault="00583C84" w:rsidP="0045789B">
      <w:pPr>
        <w:pStyle w:val="LightGrid-Accent31"/>
        <w:spacing w:after="0" w:line="240" w:lineRule="auto"/>
        <w:jc w:val="both"/>
        <w:rPr>
          <w:rFonts w:ascii="Cambria" w:hAnsi="Cambria" w:cs="Calibri Light"/>
          <w:b/>
          <w:color w:val="000000"/>
        </w:rPr>
      </w:pPr>
    </w:p>
    <w:p w14:paraId="240B4BC6" w14:textId="77777777" w:rsidR="00021551" w:rsidRPr="00DD1E2F" w:rsidRDefault="00583C84" w:rsidP="0045789B">
      <w:pPr>
        <w:pStyle w:val="LightGrid-Accent31"/>
        <w:numPr>
          <w:ilvl w:val="0"/>
          <w:numId w:val="3"/>
        </w:numPr>
        <w:spacing w:after="0" w:line="240" w:lineRule="auto"/>
        <w:ind w:firstLine="0"/>
        <w:jc w:val="both"/>
        <w:rPr>
          <w:rFonts w:ascii="Cambria" w:hAnsi="Cambria"/>
          <w:color w:val="000000"/>
        </w:rPr>
      </w:pPr>
      <w:r w:rsidRPr="00DD1E2F">
        <w:rPr>
          <w:rFonts w:ascii="Cambria" w:hAnsi="Cambria"/>
          <w:color w:val="000000"/>
        </w:rPr>
        <w:t>The State paid financial compensation, with interest, as set forth under the agreement.</w:t>
      </w:r>
    </w:p>
    <w:p w14:paraId="6066B3D5" w14:textId="77777777" w:rsidR="00E16827" w:rsidRPr="00DD1E2F" w:rsidRDefault="00E16827" w:rsidP="0045789B">
      <w:pPr>
        <w:pStyle w:val="MediumGrid2-Accent11"/>
        <w:rPr>
          <w:rFonts w:ascii="Cambria" w:hAnsi="Cambria"/>
          <w:b/>
          <w:color w:val="000000"/>
          <w:lang w:val="en-US"/>
        </w:rPr>
      </w:pPr>
    </w:p>
    <w:sectPr w:rsidR="00E16827" w:rsidRPr="00DD1E2F" w:rsidSect="008E42E1">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BA87" w14:textId="77777777" w:rsidR="009F1EC9" w:rsidRDefault="009F1EC9" w:rsidP="00A343FF">
      <w:pPr>
        <w:spacing w:after="0" w:line="240" w:lineRule="auto"/>
      </w:pPr>
      <w:r>
        <w:separator/>
      </w:r>
    </w:p>
  </w:endnote>
  <w:endnote w:type="continuationSeparator" w:id="0">
    <w:p w14:paraId="2832EC65" w14:textId="77777777" w:rsidR="009F1EC9" w:rsidRDefault="009F1EC9"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DD34"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1123F573" w14:textId="77777777" w:rsidR="006D7134" w:rsidRDefault="006D7134"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F5D3" w14:textId="77777777" w:rsidR="006D7134" w:rsidRDefault="0059187E" w:rsidP="008F2248">
    <w:pPr>
      <w:pStyle w:val="Footer"/>
      <w:spacing w:line="360" w:lineRule="auto"/>
    </w:pPr>
    <w:r>
      <w:pict w14:anchorId="12DE9BA4">
        <v:rect id="_x0000_i1028" style="width:0;height:1.5pt" o:hralign="center" o:hrstd="t" o:hr="t" fillcolor="#a0a0a0" stroked="f"/>
      </w:pict>
    </w:r>
  </w:p>
  <w:p w14:paraId="1E9C8435" w14:textId="77777777" w:rsidR="006D7134" w:rsidRDefault="0059187E" w:rsidP="006E2BD8">
    <w:pPr>
      <w:pStyle w:val="Footer"/>
      <w:jc w:val="center"/>
    </w:pPr>
    <w:r>
      <w:pict w14:anchorId="4A648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6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E877" w14:textId="77777777" w:rsidR="009F1EC9" w:rsidRDefault="009F1EC9" w:rsidP="00A343FF">
      <w:pPr>
        <w:spacing w:after="0" w:line="240" w:lineRule="auto"/>
      </w:pPr>
      <w:r>
        <w:separator/>
      </w:r>
    </w:p>
  </w:footnote>
  <w:footnote w:type="continuationSeparator" w:id="0">
    <w:p w14:paraId="02E92DA0" w14:textId="77777777" w:rsidR="009F1EC9" w:rsidRDefault="009F1EC9" w:rsidP="00A343FF">
      <w:pPr>
        <w:spacing w:after="0" w:line="240" w:lineRule="auto"/>
      </w:pPr>
      <w:r>
        <w:continuationSeparator/>
      </w:r>
    </w:p>
  </w:footnote>
  <w:footnote w:id="1">
    <w:p w14:paraId="01059EC0" w14:textId="77777777" w:rsidR="006D7134" w:rsidRPr="00BE591F" w:rsidRDefault="006D7134" w:rsidP="00583C84">
      <w:pPr>
        <w:pStyle w:val="FootnoteText"/>
        <w:ind w:firstLine="720"/>
        <w:jc w:val="both"/>
        <w:rPr>
          <w:rFonts w:ascii="Cambria" w:hAnsi="Cambria"/>
          <w:color w:val="000000"/>
          <w:sz w:val="16"/>
          <w:szCs w:val="16"/>
        </w:rPr>
      </w:pPr>
      <w:r w:rsidRPr="00BE591F">
        <w:rPr>
          <w:rStyle w:val="FootnoteReference"/>
          <w:rFonts w:ascii="Cambria" w:hAnsi="Cambria"/>
          <w:color w:val="000000"/>
          <w:sz w:val="16"/>
          <w:szCs w:val="16"/>
        </w:rPr>
        <w:footnoteRef/>
      </w:r>
      <w:r w:rsidRPr="00BE591F">
        <w:rPr>
          <w:rFonts w:ascii="Cambria" w:hAnsi="Cambria"/>
          <w:color w:val="000000"/>
          <w:sz w:val="16"/>
          <w:szCs w:val="16"/>
        </w:rPr>
        <w:t xml:space="preserve"> IACHR, Report No. 97/00, Case 11.584, Friendly Settlement, Carlos Juela Molina, Ecuador, October 5, 2000.</w:t>
      </w:r>
    </w:p>
  </w:footnote>
  <w:footnote w:id="2">
    <w:p w14:paraId="4FA7D9C1" w14:textId="77777777" w:rsidR="00AB1BC7" w:rsidRPr="00F0747D" w:rsidRDefault="00AB1BC7" w:rsidP="00583C84">
      <w:pPr>
        <w:pStyle w:val="FootnoteText"/>
        <w:ind w:firstLine="709"/>
        <w:jc w:val="both"/>
        <w:rPr>
          <w:rFonts w:ascii="Cambria" w:hAnsi="Cambria"/>
          <w:sz w:val="16"/>
          <w:szCs w:val="16"/>
        </w:rPr>
      </w:pPr>
      <w:r w:rsidRPr="00F0747D">
        <w:rPr>
          <w:rStyle w:val="FootnoteReference"/>
          <w:rFonts w:ascii="Cambria" w:hAnsi="Cambria"/>
          <w:sz w:val="16"/>
          <w:szCs w:val="16"/>
        </w:rPr>
        <w:footnoteRef/>
      </w:r>
      <w:r w:rsidRPr="00F0747D">
        <w:rPr>
          <w:rFonts w:ascii="Cambria" w:hAnsi="Cambria"/>
          <w:sz w:val="16"/>
          <w:szCs w:val="16"/>
        </w:rPr>
        <w:t xml:space="preserve">See IACHR, Annual Report 2020, Chapter II, Section G. Friendly Settlements. Available at: </w:t>
      </w:r>
      <w:hyperlink r:id="rId1" w:history="1">
        <w:r w:rsidRPr="00F0747D">
          <w:rPr>
            <w:rStyle w:val="Hyperlink"/>
            <w:rFonts w:ascii="Cambria" w:hAnsi="Cambria"/>
            <w:sz w:val="16"/>
            <w:szCs w:val="16"/>
          </w:rPr>
          <w:t>http://www.oas.org/en/iachr/docs/annual/2020/Chapters/IA2020cap2-en.pdf</w:t>
        </w:r>
      </w:hyperlink>
    </w:p>
  </w:footnote>
  <w:footnote w:id="3">
    <w:p w14:paraId="7559AF2E" w14:textId="77777777" w:rsidR="006D7134" w:rsidRPr="00BE591F" w:rsidRDefault="006D7134" w:rsidP="00583C84">
      <w:pPr>
        <w:pStyle w:val="FootnoteText"/>
        <w:ind w:firstLine="720"/>
        <w:jc w:val="both"/>
        <w:rPr>
          <w:rFonts w:ascii="Cambria" w:hAnsi="Cambria"/>
          <w:color w:val="000000"/>
          <w:sz w:val="16"/>
          <w:szCs w:val="16"/>
        </w:rPr>
      </w:pPr>
      <w:r w:rsidRPr="00F0747D">
        <w:rPr>
          <w:rStyle w:val="FootnoteReference"/>
          <w:rFonts w:ascii="Cambria" w:hAnsi="Cambria"/>
          <w:color w:val="000000"/>
          <w:sz w:val="16"/>
          <w:szCs w:val="16"/>
        </w:rPr>
        <w:footnoteRef/>
      </w:r>
      <w:r w:rsidRPr="00F0747D">
        <w:rPr>
          <w:rFonts w:ascii="Cambria" w:hAnsi="Cambria"/>
          <w:color w:val="000000"/>
          <w:sz w:val="16"/>
          <w:szCs w:val="16"/>
        </w:rPr>
        <w:t xml:space="preserve"> IACHR, Report No. 97/00, Case 11.584, Friendly Settlement, Carlos Juela Molina, Ecuador, October 5,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3423" w14:textId="77777777" w:rsidR="006D7134" w:rsidRDefault="0059187E" w:rsidP="00DC7C8F">
    <w:pPr>
      <w:pStyle w:val="Header"/>
      <w:jc w:val="center"/>
    </w:pPr>
    <w:r>
      <w:pict w14:anchorId="3170A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8.9pt">
          <v:imagedata r:id="rId1" o:title="iachr-peq"/>
        </v:shape>
      </w:pict>
    </w:r>
  </w:p>
  <w:p w14:paraId="21C7F55D" w14:textId="77777777" w:rsidR="006D7134" w:rsidRDefault="0059187E">
    <w:pPr>
      <w:pStyle w:val="Header"/>
    </w:pPr>
    <w:r>
      <w:pict w14:anchorId="18D97A72">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DE70" w14:textId="77777777" w:rsidR="006D7134" w:rsidRDefault="0059187E" w:rsidP="00A61B5E">
    <w:pPr>
      <w:pStyle w:val="Header"/>
    </w:pPr>
    <w:r>
      <w:rPr>
        <w:noProof/>
      </w:rPr>
      <w:pict w14:anchorId="10A0D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058D7E56">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46703D23" w14:textId="77777777" w:rsidR="006D7134" w:rsidRDefault="006D7134" w:rsidP="00A61B5E">
    <w:pPr>
      <w:pStyle w:val="Header"/>
    </w:pPr>
  </w:p>
  <w:p w14:paraId="5AE6485F" w14:textId="77777777" w:rsidR="006D7134" w:rsidRDefault="006D7134" w:rsidP="00A61B5E">
    <w:pPr>
      <w:pStyle w:val="Header"/>
    </w:pPr>
  </w:p>
  <w:p w14:paraId="4F734A7D" w14:textId="77777777" w:rsidR="006D7134" w:rsidRDefault="0059187E" w:rsidP="00A61B5E">
    <w:pPr>
      <w:pStyle w:val="Header"/>
    </w:pPr>
    <w:r>
      <w:pict w14:anchorId="20345647">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41942627">
    <w:abstractNumId w:val="78"/>
  </w:num>
  <w:num w:numId="2" w16cid:durableId="1574195838">
    <w:abstractNumId w:val="59"/>
  </w:num>
  <w:num w:numId="3" w16cid:durableId="1832217477">
    <w:abstractNumId w:val="21"/>
  </w:num>
  <w:num w:numId="4" w16cid:durableId="294531319">
    <w:abstractNumId w:val="52"/>
  </w:num>
  <w:num w:numId="5" w16cid:durableId="1032458631">
    <w:abstractNumId w:val="3"/>
  </w:num>
  <w:num w:numId="6" w16cid:durableId="157305436">
    <w:abstractNumId w:val="44"/>
  </w:num>
  <w:num w:numId="7" w16cid:durableId="1666788173">
    <w:abstractNumId w:val="104"/>
  </w:num>
  <w:num w:numId="8" w16cid:durableId="1572231035">
    <w:abstractNumId w:val="36"/>
  </w:num>
  <w:num w:numId="9" w16cid:durableId="1133641816">
    <w:abstractNumId w:val="0"/>
  </w:num>
  <w:num w:numId="10" w16cid:durableId="1705710295">
    <w:abstractNumId w:val="30"/>
  </w:num>
  <w:num w:numId="11" w16cid:durableId="64183366">
    <w:abstractNumId w:val="65"/>
  </w:num>
  <w:num w:numId="12" w16cid:durableId="776370194">
    <w:abstractNumId w:val="68"/>
  </w:num>
  <w:num w:numId="13" w16cid:durableId="646277962">
    <w:abstractNumId w:val="51"/>
  </w:num>
  <w:num w:numId="14" w16cid:durableId="1151555461">
    <w:abstractNumId w:val="1"/>
  </w:num>
  <w:num w:numId="15" w16cid:durableId="1085221496">
    <w:abstractNumId w:val="47"/>
  </w:num>
  <w:num w:numId="16" w16cid:durableId="2140371215">
    <w:abstractNumId w:val="67"/>
  </w:num>
  <w:num w:numId="17" w16cid:durableId="406919408">
    <w:abstractNumId w:val="48"/>
  </w:num>
  <w:num w:numId="18" w16cid:durableId="1939287265">
    <w:abstractNumId w:val="100"/>
  </w:num>
  <w:num w:numId="19" w16cid:durableId="1941529455">
    <w:abstractNumId w:val="70"/>
  </w:num>
  <w:num w:numId="20" w16cid:durableId="1734499109">
    <w:abstractNumId w:val="31"/>
  </w:num>
  <w:num w:numId="21" w16cid:durableId="1463159736">
    <w:abstractNumId w:val="9"/>
  </w:num>
  <w:num w:numId="22" w16cid:durableId="1254823705">
    <w:abstractNumId w:val="32"/>
  </w:num>
  <w:num w:numId="23" w16cid:durableId="1059746334">
    <w:abstractNumId w:val="2"/>
  </w:num>
  <w:num w:numId="24" w16cid:durableId="1141461944">
    <w:abstractNumId w:val="81"/>
  </w:num>
  <w:num w:numId="25" w16cid:durableId="2055811744">
    <w:abstractNumId w:val="92"/>
  </w:num>
  <w:num w:numId="26" w16cid:durableId="1874801415">
    <w:abstractNumId w:val="98"/>
  </w:num>
  <w:num w:numId="27" w16cid:durableId="11973478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9372038">
    <w:abstractNumId w:val="76"/>
  </w:num>
  <w:num w:numId="29" w16cid:durableId="2040425890">
    <w:abstractNumId w:val="16"/>
  </w:num>
  <w:num w:numId="30" w16cid:durableId="702677876">
    <w:abstractNumId w:val="13"/>
  </w:num>
  <w:num w:numId="31" w16cid:durableId="911038484">
    <w:abstractNumId w:val="63"/>
  </w:num>
  <w:num w:numId="32" w16cid:durableId="886139818">
    <w:abstractNumId w:val="23"/>
  </w:num>
  <w:num w:numId="33" w16cid:durableId="951518816">
    <w:abstractNumId w:val="11"/>
  </w:num>
  <w:num w:numId="34" w16cid:durableId="1015881226">
    <w:abstractNumId w:val="66"/>
  </w:num>
  <w:num w:numId="35" w16cid:durableId="283387072">
    <w:abstractNumId w:val="5"/>
  </w:num>
  <w:num w:numId="36" w16cid:durableId="561260990">
    <w:abstractNumId w:val="7"/>
  </w:num>
  <w:num w:numId="37" w16cid:durableId="363873195">
    <w:abstractNumId w:val="53"/>
  </w:num>
  <w:num w:numId="38" w16cid:durableId="811287784">
    <w:abstractNumId w:val="54"/>
  </w:num>
  <w:num w:numId="39" w16cid:durableId="1255089921">
    <w:abstractNumId w:val="27"/>
  </w:num>
  <w:num w:numId="40" w16cid:durableId="153230363">
    <w:abstractNumId w:val="35"/>
  </w:num>
  <w:num w:numId="41" w16cid:durableId="1785225497">
    <w:abstractNumId w:val="77"/>
  </w:num>
  <w:num w:numId="42" w16cid:durableId="1100179040">
    <w:abstractNumId w:val="22"/>
  </w:num>
  <w:num w:numId="43" w16cid:durableId="1195997216">
    <w:abstractNumId w:val="64"/>
  </w:num>
  <w:num w:numId="44" w16cid:durableId="784347069">
    <w:abstractNumId w:val="24"/>
  </w:num>
  <w:num w:numId="45" w16cid:durableId="521669026">
    <w:abstractNumId w:val="87"/>
  </w:num>
  <w:num w:numId="46" w16cid:durableId="1037268451">
    <w:abstractNumId w:val="42"/>
  </w:num>
  <w:num w:numId="47" w16cid:durableId="1178886677">
    <w:abstractNumId w:val="61"/>
  </w:num>
  <w:num w:numId="48" w16cid:durableId="2103842056">
    <w:abstractNumId w:val="99"/>
  </w:num>
  <w:num w:numId="49" w16cid:durableId="2090298927">
    <w:abstractNumId w:val="90"/>
  </w:num>
  <w:num w:numId="50" w16cid:durableId="1383748679">
    <w:abstractNumId w:val="40"/>
  </w:num>
  <w:num w:numId="51" w16cid:durableId="1999074566">
    <w:abstractNumId w:val="93"/>
  </w:num>
  <w:num w:numId="52" w16cid:durableId="1162895585">
    <w:abstractNumId w:val="49"/>
  </w:num>
  <w:num w:numId="53" w16cid:durableId="1712222713">
    <w:abstractNumId w:val="83"/>
  </w:num>
  <w:num w:numId="54" w16cid:durableId="757943660">
    <w:abstractNumId w:val="33"/>
  </w:num>
  <w:num w:numId="55" w16cid:durableId="2047633396">
    <w:abstractNumId w:val="4"/>
  </w:num>
  <w:num w:numId="56" w16cid:durableId="969824032">
    <w:abstractNumId w:val="28"/>
  </w:num>
  <w:num w:numId="57" w16cid:durableId="1045252361">
    <w:abstractNumId w:val="10"/>
  </w:num>
  <w:num w:numId="58" w16cid:durableId="734353509">
    <w:abstractNumId w:val="75"/>
  </w:num>
  <w:num w:numId="59" w16cid:durableId="1878882732">
    <w:abstractNumId w:val="55"/>
  </w:num>
  <w:num w:numId="60" w16cid:durableId="449786362">
    <w:abstractNumId w:val="73"/>
  </w:num>
  <w:num w:numId="61" w16cid:durableId="20675330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0774972">
    <w:abstractNumId w:val="102"/>
  </w:num>
  <w:num w:numId="63" w16cid:durableId="1324117494">
    <w:abstractNumId w:val="82"/>
  </w:num>
  <w:num w:numId="64" w16cid:durableId="1464345530">
    <w:abstractNumId w:val="26"/>
  </w:num>
  <w:num w:numId="65" w16cid:durableId="10505700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40790978">
    <w:abstractNumId w:val="95"/>
  </w:num>
  <w:num w:numId="67" w16cid:durableId="1082065785">
    <w:abstractNumId w:val="19"/>
  </w:num>
  <w:num w:numId="68" w16cid:durableId="1732576317">
    <w:abstractNumId w:val="20"/>
  </w:num>
  <w:num w:numId="69" w16cid:durableId="1322388470">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45199035">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6337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3324626">
    <w:abstractNumId w:val="60"/>
  </w:num>
  <w:num w:numId="73" w16cid:durableId="105821066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8284299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824352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67807244">
    <w:abstractNumId w:val="88"/>
  </w:num>
  <w:num w:numId="77" w16cid:durableId="102644266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836156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19780793">
    <w:abstractNumId w:val="72"/>
  </w:num>
  <w:num w:numId="80" w16cid:durableId="1078746530">
    <w:abstractNumId w:val="6"/>
  </w:num>
  <w:num w:numId="81" w16cid:durableId="1408503815">
    <w:abstractNumId w:val="86"/>
  </w:num>
  <w:num w:numId="82" w16cid:durableId="15663983">
    <w:abstractNumId w:val="71"/>
  </w:num>
  <w:num w:numId="83" w16cid:durableId="16234611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77932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79598716">
    <w:abstractNumId w:val="79"/>
  </w:num>
  <w:num w:numId="86" w16cid:durableId="1171414830">
    <w:abstractNumId w:val="17"/>
  </w:num>
  <w:num w:numId="87" w16cid:durableId="887181638">
    <w:abstractNumId w:val="85"/>
  </w:num>
  <w:num w:numId="88" w16cid:durableId="1074166277">
    <w:abstractNumId w:val="15"/>
  </w:num>
  <w:num w:numId="89" w16cid:durableId="2001807659">
    <w:abstractNumId w:val="69"/>
  </w:num>
  <w:num w:numId="90" w16cid:durableId="305355703">
    <w:abstractNumId w:val="46"/>
  </w:num>
  <w:num w:numId="91" w16cid:durableId="978925159">
    <w:abstractNumId w:val="91"/>
  </w:num>
  <w:num w:numId="92" w16cid:durableId="1268654488">
    <w:abstractNumId w:val="43"/>
  </w:num>
  <w:num w:numId="93" w16cid:durableId="49812493">
    <w:abstractNumId w:val="8"/>
  </w:num>
  <w:num w:numId="94" w16cid:durableId="1726490433">
    <w:abstractNumId w:val="37"/>
  </w:num>
  <w:num w:numId="95" w16cid:durableId="680621677">
    <w:abstractNumId w:val="38"/>
  </w:num>
  <w:num w:numId="96" w16cid:durableId="72239161">
    <w:abstractNumId w:val="39"/>
  </w:num>
  <w:num w:numId="97" w16cid:durableId="1992561750">
    <w:abstractNumId w:val="12"/>
  </w:num>
  <w:num w:numId="98" w16cid:durableId="1778789167">
    <w:abstractNumId w:val="89"/>
  </w:num>
  <w:num w:numId="99" w16cid:durableId="1781950472">
    <w:abstractNumId w:val="74"/>
  </w:num>
  <w:num w:numId="100" w16cid:durableId="1463886136">
    <w:abstractNumId w:val="29"/>
  </w:num>
  <w:num w:numId="101" w16cid:durableId="309942214">
    <w:abstractNumId w:val="103"/>
  </w:num>
  <w:num w:numId="102" w16cid:durableId="161094071">
    <w:abstractNumId w:val="80"/>
  </w:num>
  <w:num w:numId="103" w16cid:durableId="733117831">
    <w:abstractNumId w:val="41"/>
  </w:num>
  <w:num w:numId="104" w16cid:durableId="1877500281">
    <w:abstractNumId w:val="84"/>
  </w:num>
  <w:num w:numId="105" w16cid:durableId="674765189">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7B56"/>
    <w:rsid w:val="00052BCC"/>
    <w:rsid w:val="0006009D"/>
    <w:rsid w:val="0006625E"/>
    <w:rsid w:val="0006762F"/>
    <w:rsid w:val="00096079"/>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2032CF"/>
    <w:rsid w:val="00206C8A"/>
    <w:rsid w:val="0021669C"/>
    <w:rsid w:val="00216F63"/>
    <w:rsid w:val="00223987"/>
    <w:rsid w:val="00226F48"/>
    <w:rsid w:val="00234203"/>
    <w:rsid w:val="00235E0A"/>
    <w:rsid w:val="00240E8E"/>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93310"/>
    <w:rsid w:val="003B1772"/>
    <w:rsid w:val="003B4055"/>
    <w:rsid w:val="003B6168"/>
    <w:rsid w:val="003C2346"/>
    <w:rsid w:val="003C4836"/>
    <w:rsid w:val="003D5044"/>
    <w:rsid w:val="003E0DFA"/>
    <w:rsid w:val="003F186E"/>
    <w:rsid w:val="003F262C"/>
    <w:rsid w:val="00433F4F"/>
    <w:rsid w:val="0045789B"/>
    <w:rsid w:val="0047146A"/>
    <w:rsid w:val="004722BC"/>
    <w:rsid w:val="00474650"/>
    <w:rsid w:val="00476696"/>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9187E"/>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71332B"/>
    <w:rsid w:val="0073273B"/>
    <w:rsid w:val="00736A43"/>
    <w:rsid w:val="007609D9"/>
    <w:rsid w:val="0076210E"/>
    <w:rsid w:val="00772E3C"/>
    <w:rsid w:val="00792456"/>
    <w:rsid w:val="007B0327"/>
    <w:rsid w:val="007B7762"/>
    <w:rsid w:val="007C2CC3"/>
    <w:rsid w:val="007C351D"/>
    <w:rsid w:val="007E2645"/>
    <w:rsid w:val="007E6A34"/>
    <w:rsid w:val="007F5F4E"/>
    <w:rsid w:val="00807BAA"/>
    <w:rsid w:val="00822FF4"/>
    <w:rsid w:val="0082548A"/>
    <w:rsid w:val="00841815"/>
    <w:rsid w:val="008550EF"/>
    <w:rsid w:val="0085675C"/>
    <w:rsid w:val="00860263"/>
    <w:rsid w:val="00864EB7"/>
    <w:rsid w:val="00865D2D"/>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30D2"/>
    <w:rsid w:val="009949ED"/>
    <w:rsid w:val="0099696A"/>
    <w:rsid w:val="009A3C1C"/>
    <w:rsid w:val="009B219C"/>
    <w:rsid w:val="009B6E96"/>
    <w:rsid w:val="009C095B"/>
    <w:rsid w:val="009C227B"/>
    <w:rsid w:val="009C4D87"/>
    <w:rsid w:val="009D20A3"/>
    <w:rsid w:val="009D6F0F"/>
    <w:rsid w:val="009E73F0"/>
    <w:rsid w:val="009F11D2"/>
    <w:rsid w:val="009F1EC9"/>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A2279"/>
    <w:rsid w:val="00AA7906"/>
    <w:rsid w:val="00AB1BC7"/>
    <w:rsid w:val="00AC61DF"/>
    <w:rsid w:val="00AD711F"/>
    <w:rsid w:val="00AE1B0F"/>
    <w:rsid w:val="00AF3A07"/>
    <w:rsid w:val="00AF51F7"/>
    <w:rsid w:val="00B056D9"/>
    <w:rsid w:val="00B111C3"/>
    <w:rsid w:val="00B205A7"/>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C01947"/>
    <w:rsid w:val="00C17F04"/>
    <w:rsid w:val="00C2583A"/>
    <w:rsid w:val="00C359F1"/>
    <w:rsid w:val="00C37778"/>
    <w:rsid w:val="00C37954"/>
    <w:rsid w:val="00C402CB"/>
    <w:rsid w:val="00C57947"/>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CA2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idh.org/annualrep/2000eng/ChapterIII/Friendly/Ecuador11.584.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20/Chapters/IA2020cap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AAF040DE-BE26-4F53-B238-1C2AFBA5F78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Links>
    <vt:vector size="12" baseType="variant">
      <vt:variant>
        <vt:i4>7078010</vt:i4>
      </vt:variant>
      <vt:variant>
        <vt:i4>0</vt:i4>
      </vt:variant>
      <vt:variant>
        <vt:i4>0</vt:i4>
      </vt:variant>
      <vt:variant>
        <vt:i4>5</vt:i4>
      </vt:variant>
      <vt:variant>
        <vt:lpwstr>http://cidh.org/annualrep/2000eng/ChapterIII/Friendly/Ecuador11.584.htm</vt:lpwstr>
      </vt:variant>
      <vt:variant>
        <vt:lpwstr/>
      </vt:variant>
      <vt:variant>
        <vt:i4>3670115</vt:i4>
      </vt:variant>
      <vt:variant>
        <vt:i4>0</vt:i4>
      </vt:variant>
      <vt:variant>
        <vt:i4>0</vt:i4>
      </vt:variant>
      <vt:variant>
        <vt:i4>5</vt:i4>
      </vt:variant>
      <vt:variant>
        <vt:lpwstr>http://www.oas.org/en/iachr/docs/annual/2020/Chapters/IA2020cap2-en.pdf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2023-03-03T22:04:00Z</dcterms:created>
  <dcterms:modified xsi:type="dcterms:W3CDTF">2023-03-03T22:04:00Z</dcterms:modified>
</cp:coreProperties>
</file>