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457F" w14:textId="77777777" w:rsidR="00583C84" w:rsidRPr="00DD1E2F" w:rsidRDefault="00583C84" w:rsidP="0045789B">
      <w:pPr>
        <w:pStyle w:val="LightGrid-Accent31"/>
        <w:spacing w:after="0" w:line="240" w:lineRule="auto"/>
        <w:jc w:val="both"/>
        <w:rPr>
          <w:rFonts w:ascii="Cambria" w:hAnsi="Cambria"/>
          <w:color w:val="000000"/>
        </w:rPr>
      </w:pPr>
    </w:p>
    <w:p w14:paraId="2BD1F0BB" w14:textId="77777777" w:rsidR="00583C84" w:rsidRPr="00DD1E2F" w:rsidRDefault="00583C84" w:rsidP="0045789B">
      <w:pPr>
        <w:spacing w:after="0" w:line="240" w:lineRule="auto"/>
        <w:contextualSpacing/>
        <w:jc w:val="both"/>
        <w:rPr>
          <w:rFonts w:ascii="Cambria" w:hAnsi="Cambria"/>
          <w:color w:val="000000"/>
        </w:rPr>
      </w:pPr>
    </w:p>
    <w:p w14:paraId="300CF660"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7C547C71" w14:textId="77777777" w:rsidR="00583C84" w:rsidRPr="00DD1E2F" w:rsidRDefault="00583C84" w:rsidP="0045789B">
      <w:pPr>
        <w:spacing w:after="0" w:line="240" w:lineRule="auto"/>
        <w:jc w:val="center"/>
        <w:rPr>
          <w:rFonts w:ascii="Cambria" w:hAnsi="Cambria"/>
          <w:b/>
          <w:bCs/>
          <w:color w:val="000000"/>
        </w:rPr>
      </w:pPr>
      <w:r w:rsidRPr="00DD1E2F">
        <w:rPr>
          <w:rFonts w:ascii="Cambria" w:hAnsi="Cambria"/>
          <w:b/>
          <w:color w:val="000000"/>
        </w:rPr>
        <w:t>CASE 12.238 MYRIAM LARREA PINTADO</w:t>
      </w:r>
    </w:p>
    <w:p w14:paraId="5036E466"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n-US"/>
        </w:rPr>
        <w:t xml:space="preserve"> REPORT ON FRIENDLY SETTLEMENT AGREEMENT Nº </w:t>
      </w:r>
      <w:r w:rsidRPr="00DD1E2F">
        <w:rPr>
          <w:rFonts w:ascii="Cambria" w:hAnsi="Cambria" w:cs="Calibri"/>
          <w:b/>
          <w:bCs/>
          <w:color w:val="000000"/>
          <w:lang w:val="en-US"/>
        </w:rPr>
        <w:t>46/06</w:t>
      </w:r>
    </w:p>
    <w:p w14:paraId="64E505E1"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411F6700" w14:textId="77777777" w:rsidR="00583C84" w:rsidRPr="00DD1E2F" w:rsidRDefault="00DA0C80" w:rsidP="0045789B">
      <w:pPr>
        <w:pStyle w:val="MediumGrid2-Accent11"/>
        <w:jc w:val="center"/>
        <w:rPr>
          <w:rFonts w:ascii="Cambria" w:hAnsi="Cambria"/>
          <w:b/>
          <w:color w:val="000000"/>
          <w:lang w:val="es-CO"/>
        </w:rPr>
      </w:pPr>
      <w:r w:rsidRPr="00DD1E2F">
        <w:rPr>
          <w:rFonts w:ascii="Cambria" w:hAnsi="Cambria"/>
          <w:b/>
          <w:color w:val="000000"/>
          <w:lang w:val="es-CO"/>
        </w:rPr>
        <w:t>(ECUADOR)</w:t>
      </w:r>
    </w:p>
    <w:p w14:paraId="6CBF31CE" w14:textId="77777777" w:rsidR="00583C84" w:rsidRPr="00DD1E2F" w:rsidRDefault="00583C84" w:rsidP="0045789B">
      <w:pPr>
        <w:spacing w:after="0" w:line="240" w:lineRule="auto"/>
        <w:ind w:right="-270"/>
        <w:rPr>
          <w:rFonts w:ascii="Cambria" w:eastAsia="Batang" w:hAnsi="Cambria"/>
          <w:b/>
          <w:color w:val="000000"/>
          <w:lang w:val="pt-PT"/>
        </w:rPr>
      </w:pPr>
    </w:p>
    <w:p w14:paraId="7DE69E9F" w14:textId="77777777" w:rsidR="00583C84" w:rsidRPr="00DD1E2F" w:rsidRDefault="00583C84" w:rsidP="00AD711F">
      <w:pPr>
        <w:numPr>
          <w:ilvl w:val="0"/>
          <w:numId w:val="69"/>
        </w:numPr>
        <w:spacing w:after="0" w:line="240" w:lineRule="auto"/>
        <w:ind w:left="-142" w:firstLine="851"/>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13604475"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0FB9560B" w14:textId="77777777" w:rsidTr="00BD5884">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6F2EF85E"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Victim(s)</w:t>
            </w:r>
            <w:r w:rsidRPr="00DD1E2F">
              <w:rPr>
                <w:rFonts w:ascii="Cambria" w:eastAsia="Batang" w:hAnsi="Cambria"/>
                <w:color w:val="000000"/>
              </w:rPr>
              <w:t>: Myriam Larrea Pintado</w:t>
            </w:r>
          </w:p>
          <w:p w14:paraId="77FB335E" w14:textId="77777777" w:rsidR="00583C84" w:rsidRPr="00DD1E2F" w:rsidRDefault="00583C84" w:rsidP="0045789B">
            <w:pPr>
              <w:spacing w:after="0" w:line="240" w:lineRule="auto"/>
              <w:jc w:val="both"/>
              <w:rPr>
                <w:rFonts w:ascii="Cambria" w:eastAsia="Batang" w:hAnsi="Cambria"/>
                <w:color w:val="000000"/>
                <w:lang w:eastAsia="es-ES_tradnl"/>
              </w:rPr>
            </w:pPr>
            <w:r w:rsidRPr="00DD1E2F">
              <w:rPr>
                <w:rFonts w:ascii="Cambria" w:eastAsia="Batang" w:hAnsi="Cambria"/>
                <w:b/>
                <w:color w:val="000000"/>
              </w:rPr>
              <w:t>Petitioner(s)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lang w:eastAsia="es-ES_tradnl"/>
              </w:rPr>
              <w:t>Ahorristas Estafados en Acción (Defrauded Savings Depositors in Action), Miriam Larrea Pintado</w:t>
            </w:r>
          </w:p>
          <w:p w14:paraId="7AEE9BD9" w14:textId="77777777" w:rsidR="00583C84" w:rsidRPr="00DD1E2F" w:rsidRDefault="00583C84" w:rsidP="0045789B">
            <w:pPr>
              <w:spacing w:after="0" w:line="240" w:lineRule="auto"/>
              <w:jc w:val="both"/>
              <w:rPr>
                <w:rFonts w:ascii="Cambria" w:eastAsia="Batang" w:hAnsi="Cambria"/>
                <w:color w:val="000000"/>
                <w:lang w:eastAsia="es-ES_tradnl"/>
              </w:rPr>
            </w:pPr>
            <w:r w:rsidRPr="00DD1E2F">
              <w:rPr>
                <w:rFonts w:ascii="Cambria" w:eastAsia="Batang" w:hAnsi="Cambria"/>
                <w:b/>
                <w:color w:val="000000"/>
                <w:lang w:eastAsia="es-ES_tradnl"/>
              </w:rPr>
              <w:t xml:space="preserve">State: </w:t>
            </w:r>
            <w:r w:rsidRPr="00DD1E2F">
              <w:rPr>
                <w:rFonts w:ascii="Cambria" w:eastAsia="Batang" w:hAnsi="Cambria"/>
                <w:color w:val="000000"/>
                <w:lang w:eastAsia="es-ES_tradnl"/>
              </w:rPr>
              <w:t>Ecuador</w:t>
            </w:r>
          </w:p>
          <w:p w14:paraId="2EDDDA08"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June 8, 2005</w:t>
            </w:r>
          </w:p>
          <w:p w14:paraId="100224AC"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September 20, 2005</w:t>
            </w:r>
          </w:p>
          <w:p w14:paraId="3D45A410"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Report on Friendly Settlement Agreement No.</w:t>
            </w:r>
            <w:r w:rsidRPr="00DD1E2F">
              <w:rPr>
                <w:rFonts w:ascii="Cambria" w:eastAsia="Batang" w:hAnsi="Cambria"/>
                <w:color w:val="000000"/>
              </w:rPr>
              <w:t xml:space="preserve"> </w:t>
            </w:r>
            <w:hyperlink r:id="rId12" w:history="1">
              <w:r w:rsidRPr="00DD1E2F">
                <w:rPr>
                  <w:rFonts w:ascii="Cambria" w:eastAsia="Batang" w:hAnsi="Cambria"/>
                  <w:b/>
                  <w:color w:val="000000"/>
                  <w:u w:val="single"/>
                </w:rPr>
                <w:t>46/06</w:t>
              </w:r>
            </w:hyperlink>
            <w:r w:rsidRPr="00DD1E2F">
              <w:rPr>
                <w:rFonts w:ascii="Cambria" w:eastAsia="Batang" w:hAnsi="Cambria"/>
                <w:color w:val="000000"/>
              </w:rPr>
              <w:t>, published on March 15, 2006</w:t>
            </w:r>
          </w:p>
          <w:p w14:paraId="33B3E1E4"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Report on Admissibility No.</w:t>
            </w:r>
            <w:r w:rsidRPr="00DD1E2F">
              <w:rPr>
                <w:rFonts w:ascii="Cambria" w:eastAsia="Batang" w:hAnsi="Cambria"/>
                <w:color w:val="000000"/>
              </w:rPr>
              <w:t xml:space="preserve"> </w:t>
            </w:r>
            <w:hyperlink r:id="rId13" w:history="1">
              <w:r w:rsidRPr="00DD1E2F">
                <w:rPr>
                  <w:rFonts w:ascii="Cambria" w:eastAsia="Batang" w:hAnsi="Cambria"/>
                  <w:b/>
                  <w:color w:val="000000"/>
                  <w:u w:val="single"/>
                </w:rPr>
                <w:t>8/05</w:t>
              </w:r>
            </w:hyperlink>
            <w:r w:rsidRPr="00DD1E2F">
              <w:rPr>
                <w:rFonts w:ascii="Cambria" w:eastAsia="Batang" w:hAnsi="Cambria"/>
                <w:color w:val="000000"/>
              </w:rPr>
              <w:t>, published on February 23, 2005</w:t>
            </w:r>
          </w:p>
          <w:p w14:paraId="16EDA6C5"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Estimated length of the negotiation phase:</w:t>
            </w:r>
            <w:r w:rsidRPr="00DD1E2F">
              <w:rPr>
                <w:rFonts w:ascii="Cambria" w:hAnsi="Cambria"/>
                <w:bCs/>
                <w:color w:val="000000"/>
              </w:rPr>
              <w:t xml:space="preserve"> 1 year</w:t>
            </w:r>
          </w:p>
          <w:p w14:paraId="36239D39" w14:textId="77777777" w:rsidR="00583C84" w:rsidRPr="00DD1E2F" w:rsidRDefault="00CE4346" w:rsidP="0045789B">
            <w:pPr>
              <w:spacing w:after="0" w:line="240" w:lineRule="auto"/>
              <w:jc w:val="both"/>
              <w:rPr>
                <w:rFonts w:ascii="Cambria" w:eastAsia="Batang" w:hAnsi="Cambria"/>
                <w:color w:val="000000"/>
              </w:rPr>
            </w:pPr>
            <w:r w:rsidRPr="00DD1E2F">
              <w:rPr>
                <w:rFonts w:ascii="Cambria" w:eastAsia="Batang" w:hAnsi="Cambria"/>
                <w:b/>
                <w:color w:val="000000"/>
              </w:rPr>
              <w:t>Rapporteurship</w:t>
            </w:r>
            <w:r w:rsidR="00583C84" w:rsidRPr="00DD1E2F">
              <w:rPr>
                <w:rFonts w:ascii="Cambria" w:eastAsia="Batang" w:hAnsi="Cambria"/>
                <w:b/>
                <w:color w:val="000000"/>
              </w:rPr>
              <w:t xml:space="preserve"> involved</w:t>
            </w:r>
            <w:r w:rsidR="00583C84" w:rsidRPr="00DD1E2F">
              <w:rPr>
                <w:rFonts w:ascii="Cambria" w:eastAsia="Batang" w:hAnsi="Cambria"/>
                <w:color w:val="000000"/>
              </w:rPr>
              <w:t>: Persons Deprived of Liberty/[Rights of] Women</w:t>
            </w:r>
          </w:p>
          <w:p w14:paraId="0F535C64" w14:textId="77777777" w:rsidR="00583C84" w:rsidRPr="00DD1E2F" w:rsidRDefault="00583C84" w:rsidP="0045789B">
            <w:pPr>
              <w:spacing w:after="0" w:line="240" w:lineRule="auto"/>
              <w:jc w:val="both"/>
              <w:rPr>
                <w:rFonts w:ascii="Cambria" w:eastAsia="Batang" w:hAnsi="Cambria"/>
                <w:b/>
                <w:color w:val="000000"/>
              </w:rPr>
            </w:pPr>
            <w:r w:rsidRPr="00DD1E2F">
              <w:rPr>
                <w:rFonts w:ascii="Cambria" w:eastAsia="Batang" w:hAnsi="Cambria"/>
                <w:b/>
                <w:color w:val="000000"/>
              </w:rPr>
              <w:t>Topics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rPr>
              <w:t>Rights of women/persons deprived of liberty/investigation/right to humane treatment/personal liberty/a fair trial/judicial protection</w:t>
            </w:r>
          </w:p>
          <w:p w14:paraId="0C0C2326" w14:textId="77777777" w:rsidR="00583C84" w:rsidRPr="00DD1E2F" w:rsidRDefault="00583C84" w:rsidP="0045789B">
            <w:pPr>
              <w:spacing w:after="0" w:line="240" w:lineRule="auto"/>
              <w:jc w:val="both"/>
              <w:rPr>
                <w:rFonts w:ascii="Cambria" w:eastAsia="Batang" w:hAnsi="Cambria"/>
                <w:color w:val="000000"/>
              </w:rPr>
            </w:pPr>
          </w:p>
          <w:p w14:paraId="48AD32D5"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Facts</w:t>
            </w:r>
            <w:r w:rsidRPr="00DD1E2F">
              <w:rPr>
                <w:rFonts w:ascii="Cambria" w:eastAsia="Batang" w:hAnsi="Cambria"/>
                <w:color w:val="000000"/>
              </w:rPr>
              <w:t xml:space="preserve">: The IACHR received a petition on December 7, 1998, in which the petitioners alleged that Miriam Larrea Pintado </w:t>
            </w:r>
            <w:r w:rsidRPr="00DD1E2F">
              <w:rPr>
                <w:rFonts w:ascii="Cambria" w:hAnsi="Cambria"/>
                <w:color w:val="000000"/>
              </w:rPr>
              <w:t xml:space="preserve">had been held in pretrial detention for one year, five months, and twenty-five days, between November 11, </w:t>
            </w:r>
            <w:r w:rsidR="00942C8E" w:rsidRPr="00DD1E2F">
              <w:rPr>
                <w:rFonts w:ascii="Cambria" w:hAnsi="Cambria"/>
                <w:color w:val="000000"/>
              </w:rPr>
              <w:t>1992,</w:t>
            </w:r>
            <w:r w:rsidRPr="00DD1E2F">
              <w:rPr>
                <w:rFonts w:ascii="Cambria" w:hAnsi="Cambria"/>
                <w:color w:val="000000"/>
              </w:rPr>
              <w:t xml:space="preserve"> and May 6, 1994. She was arrested pursuant to a pretrial detention order issued against her by the Fourth Criminal Judge of Pichincha on November 11, 1992. On that day, said Judge formally charged Ms. Larrea Pintado with fraudulent transfer of assets. While the criminal proceedings were underway, the petitioner filed a writ of habeas corpus with the Supreme Court of Justice, and on May 6, 1994, the Court’s Presiding Judge ordered her release. The criminal trial against Ms. Larrea Pintado for said offense began on August 16, 1993, and concluded on October 31, 1994, with an acquittal. The acquittal was upheld by the Third Chamber of the Superior Court of Quito on March 20, 1996, and again by the Second Chamber of the Supreme Court on February 4, 1997.</w:t>
            </w:r>
          </w:p>
          <w:p w14:paraId="378400E7" w14:textId="77777777" w:rsidR="00583C84" w:rsidRPr="00DD1E2F" w:rsidRDefault="00583C84" w:rsidP="0045789B">
            <w:pPr>
              <w:spacing w:after="0" w:line="240" w:lineRule="auto"/>
              <w:jc w:val="both"/>
              <w:rPr>
                <w:rFonts w:ascii="Cambria" w:eastAsia="Batang" w:hAnsi="Cambria"/>
                <w:color w:val="000000"/>
              </w:rPr>
            </w:pPr>
          </w:p>
          <w:p w14:paraId="5E236A7E"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Rights declared admissible</w:t>
            </w:r>
            <w:r w:rsidRPr="00DD1E2F">
              <w:rPr>
                <w:rFonts w:ascii="Cambria" w:eastAsia="Batang" w:hAnsi="Cambria"/>
                <w:color w:val="000000"/>
              </w:rPr>
              <w:t>: The Commission concluded that it was competent to hear the case and the petition was admissible in keeping with Articles 8 (fair trial) and 25 (right to judicial protection) of the American Convention on Human Rights, in connection with Articles 1(1) and 2 thereof. [The Commission decided to:] notify the parties of the report, order its publication, and include it in its Annual Report to the OAS General Assembly.</w:t>
            </w:r>
          </w:p>
        </w:tc>
      </w:tr>
    </w:tbl>
    <w:p w14:paraId="5426978C"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6790AE7F" w14:textId="77777777" w:rsidR="00583C84" w:rsidRPr="00DD1E2F" w:rsidRDefault="00583C84" w:rsidP="00AD711F">
      <w:pPr>
        <w:numPr>
          <w:ilvl w:val="0"/>
          <w:numId w:val="70"/>
        </w:numPr>
        <w:spacing w:after="0" w:line="240" w:lineRule="auto"/>
        <w:ind w:left="-142" w:firstLine="851"/>
        <w:contextualSpacing/>
        <w:jc w:val="both"/>
        <w:rPr>
          <w:rFonts w:ascii="Cambria" w:eastAsia="Batang" w:hAnsi="Cambria" w:cs="Calibri Light"/>
          <w:b/>
          <w:color w:val="000000"/>
        </w:rPr>
      </w:pPr>
      <w:r w:rsidRPr="00DD1E2F">
        <w:rPr>
          <w:rFonts w:ascii="Cambria" w:eastAsia="Batang" w:hAnsi="Cambria"/>
          <w:b/>
          <w:color w:val="000000"/>
        </w:rPr>
        <w:t>PROCEDURAL ACTIVITY</w:t>
      </w:r>
    </w:p>
    <w:p w14:paraId="348339C5" w14:textId="77777777" w:rsidR="00583C84" w:rsidRPr="00DD1E2F" w:rsidRDefault="00583C84" w:rsidP="0045789B">
      <w:pPr>
        <w:pStyle w:val="LightGrid-Accent31"/>
        <w:spacing w:after="0" w:line="240" w:lineRule="auto"/>
        <w:ind w:left="-142" w:firstLine="851"/>
        <w:jc w:val="both"/>
        <w:rPr>
          <w:rFonts w:ascii="Cambria" w:hAnsi="Cambria" w:cs="Calibri Light"/>
          <w:b/>
          <w:color w:val="000000"/>
        </w:rPr>
      </w:pPr>
    </w:p>
    <w:p w14:paraId="294C092B" w14:textId="77777777" w:rsidR="00583C84" w:rsidRPr="00DD1E2F" w:rsidRDefault="00583C84" w:rsidP="00AD711F">
      <w:pPr>
        <w:pStyle w:val="LightGrid-Accent31"/>
        <w:numPr>
          <w:ilvl w:val="0"/>
          <w:numId w:val="72"/>
        </w:numPr>
        <w:tabs>
          <w:tab w:val="left" w:pos="1418"/>
        </w:tabs>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September 20, 2005, the parties signed the friendly settlement agreement.</w:t>
      </w:r>
    </w:p>
    <w:p w14:paraId="65087EDA"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11F74EEF" w14:textId="77777777" w:rsidR="00583C84" w:rsidRPr="00DD1E2F" w:rsidRDefault="00583C84" w:rsidP="00AD711F">
      <w:pPr>
        <w:pStyle w:val="LightGrid-Accent31"/>
        <w:numPr>
          <w:ilvl w:val="0"/>
          <w:numId w:val="72"/>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March 15</w:t>
      </w:r>
      <w:r w:rsidR="0085675C" w:rsidRPr="00DD1E2F">
        <w:rPr>
          <w:rFonts w:ascii="Cambria" w:hAnsi="Cambria" w:cs="Calibri Light"/>
          <w:bCs/>
          <w:color w:val="000000"/>
        </w:rPr>
        <w:t>, 2006</w:t>
      </w:r>
      <w:r w:rsidRPr="00DD1E2F">
        <w:rPr>
          <w:rFonts w:ascii="Cambria" w:hAnsi="Cambria" w:cs="Calibri Light"/>
          <w:bCs/>
          <w:color w:val="000000"/>
        </w:rPr>
        <w:t>, the Commission approved the friendly settlement agreement by report No. 46/06.</w:t>
      </w:r>
    </w:p>
    <w:p w14:paraId="579BE337" w14:textId="77777777" w:rsidR="00583C84" w:rsidRPr="00DD1E2F" w:rsidRDefault="00583C84" w:rsidP="0045789B">
      <w:pPr>
        <w:spacing w:after="0" w:line="240" w:lineRule="auto"/>
        <w:contextualSpacing/>
        <w:rPr>
          <w:rFonts w:ascii="Cambria" w:eastAsia="Batang" w:hAnsi="Cambria" w:cs="Calibri Light"/>
          <w:color w:val="000000"/>
        </w:rPr>
      </w:pPr>
    </w:p>
    <w:p w14:paraId="12689E42" w14:textId="77777777" w:rsidR="00583C84" w:rsidRPr="00DD1E2F" w:rsidRDefault="00583C84" w:rsidP="00AD711F">
      <w:pPr>
        <w:numPr>
          <w:ilvl w:val="0"/>
          <w:numId w:val="70"/>
        </w:numPr>
        <w:spacing w:after="0" w:line="240" w:lineRule="auto"/>
        <w:ind w:left="0" w:firstLine="709"/>
        <w:contextualSpacing/>
        <w:jc w:val="both"/>
        <w:rPr>
          <w:rFonts w:ascii="Cambria" w:eastAsia="Batang" w:hAnsi="Cambria" w:cs="Calibri Light"/>
          <w:b/>
          <w:color w:val="000000"/>
        </w:rPr>
      </w:pPr>
      <w:r w:rsidRPr="00DD1E2F">
        <w:rPr>
          <w:rFonts w:ascii="Cambria" w:eastAsia="Batang" w:hAnsi="Cambria" w:cs="Calibri Light"/>
          <w:b/>
          <w:color w:val="000000"/>
        </w:rPr>
        <w:lastRenderedPageBreak/>
        <w:t>ANALYSIS OF COMPLIANCE WITH THE CLAUSES OF THE FRIENDLY SETTLEMENT AGREEMENT</w:t>
      </w:r>
    </w:p>
    <w:p w14:paraId="528C0552" w14:textId="77777777" w:rsidR="00583C84" w:rsidRPr="00DD1E2F" w:rsidRDefault="00583C84" w:rsidP="0045789B">
      <w:pPr>
        <w:spacing w:after="0" w:line="240" w:lineRule="auto"/>
        <w:jc w:val="both"/>
        <w:rPr>
          <w:rFonts w:ascii="Cambria" w:eastAsia="Batang"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6"/>
        <w:gridCol w:w="2340"/>
      </w:tblGrid>
      <w:tr w:rsidR="00DA0C80" w:rsidRPr="00DD1E2F" w14:paraId="01D4B429" w14:textId="77777777" w:rsidTr="00BD5884">
        <w:trPr>
          <w:jc w:val="center"/>
        </w:trPr>
        <w:tc>
          <w:tcPr>
            <w:tcW w:w="70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4EF3B" w14:textId="77777777" w:rsidR="00DA0C80" w:rsidRPr="00DD1E2F" w:rsidRDefault="00DA0C80"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A9F79" w14:textId="77777777" w:rsidR="00DA0C80" w:rsidRPr="00DD1E2F" w:rsidRDefault="00DA0C80"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0E2820" w:rsidRPr="00DD1E2F" w14:paraId="170F7AEF" w14:textId="77777777" w:rsidTr="00BD5884">
        <w:trPr>
          <w:trHeight w:val="350"/>
          <w:jc w:val="center"/>
        </w:trPr>
        <w:tc>
          <w:tcPr>
            <w:tcW w:w="7016" w:type="dxa"/>
            <w:tcBorders>
              <w:top w:val="single" w:sz="4" w:space="0" w:color="auto"/>
              <w:left w:val="single" w:sz="4" w:space="0" w:color="auto"/>
              <w:bottom w:val="single" w:sz="4" w:space="0" w:color="auto"/>
              <w:right w:val="single" w:sz="4" w:space="0" w:color="auto"/>
            </w:tcBorders>
            <w:vAlign w:val="center"/>
          </w:tcPr>
          <w:p w14:paraId="58103C25" w14:textId="77777777" w:rsidR="000E2820" w:rsidRPr="00DD1E2F" w:rsidRDefault="000E2820" w:rsidP="000E2820">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III. STATE RESPONSIBILITY</w:t>
            </w:r>
          </w:p>
          <w:p w14:paraId="01E03A94" w14:textId="77777777" w:rsidR="000E2820" w:rsidRPr="00DD1E2F" w:rsidRDefault="000E2820" w:rsidP="000E2820">
            <w:pPr>
              <w:spacing w:after="0" w:line="240" w:lineRule="auto"/>
              <w:ind w:hanging="18"/>
              <w:jc w:val="both"/>
              <w:rPr>
                <w:rFonts w:ascii="Cambria" w:eastAsia="Times New Roman" w:hAnsi="Cambria"/>
                <w:bCs/>
                <w:color w:val="000000"/>
              </w:rPr>
            </w:pPr>
            <w:r w:rsidRPr="00DD1E2F">
              <w:rPr>
                <w:rFonts w:ascii="Cambria" w:eastAsia="Times New Roman" w:hAnsi="Cambria"/>
                <w:bCs/>
                <w:color w:val="000000"/>
              </w:rPr>
              <w:t>The Ecuadorian state acknowledges its responsibility for having violated the human rights of Ms. Myriam Genoveva Larrea Pintado, provided for by article 8 (Right to a Fair Trial) and article 25 (Judicial Protection), both in connection with the general obligation of compliance provided for by Art. 1.1 of the American Convention on Human Rights, and by other international instruments. Said violations were committed by State agents; the State has not been able to refute these facts, which have therefore, in turn, given rise to its responsibility to society.</w:t>
            </w:r>
          </w:p>
          <w:p w14:paraId="1233EFCC" w14:textId="77777777" w:rsidR="000E2820" w:rsidRPr="00DD1E2F" w:rsidRDefault="000E2820" w:rsidP="000E2820">
            <w:pPr>
              <w:spacing w:after="0" w:line="240" w:lineRule="auto"/>
              <w:ind w:hanging="18"/>
              <w:jc w:val="both"/>
              <w:rPr>
                <w:rFonts w:ascii="Cambria" w:eastAsia="Times New Roman" w:hAnsi="Cambria"/>
                <w:bCs/>
                <w:color w:val="000000"/>
              </w:rPr>
            </w:pPr>
          </w:p>
          <w:p w14:paraId="6D832925" w14:textId="77777777" w:rsidR="000E2820" w:rsidRPr="00DD1E2F" w:rsidRDefault="000E2820" w:rsidP="000E2820">
            <w:pPr>
              <w:spacing w:after="0" w:line="240" w:lineRule="auto"/>
              <w:ind w:hanging="18"/>
              <w:jc w:val="both"/>
              <w:rPr>
                <w:rFonts w:ascii="Cambria" w:eastAsia="Times New Roman" w:hAnsi="Cambria"/>
                <w:b/>
                <w:color w:val="000000"/>
              </w:rPr>
            </w:pPr>
            <w:r w:rsidRPr="00DD1E2F">
              <w:rPr>
                <w:rFonts w:ascii="Cambria" w:eastAsia="Times New Roman" w:hAnsi="Cambria"/>
                <w:bCs/>
                <w:color w:val="000000"/>
              </w:rPr>
              <w:t>With this background, the Ecuadorian State does not contest the facts that constitute Case No. 12.238, currently being processed before the Inter-American Commission on Human Rights, and undertakes the obligation to provide the necessary measures of reparation in order to compensate for the damages caused to the victim of said violations.</w:t>
            </w:r>
          </w:p>
        </w:tc>
        <w:tc>
          <w:tcPr>
            <w:tcW w:w="2340" w:type="dxa"/>
            <w:tcBorders>
              <w:top w:val="single" w:sz="4" w:space="0" w:color="auto"/>
              <w:left w:val="single" w:sz="4" w:space="0" w:color="auto"/>
              <w:bottom w:val="single" w:sz="4" w:space="0" w:color="auto"/>
              <w:right w:val="single" w:sz="4" w:space="0" w:color="auto"/>
            </w:tcBorders>
            <w:vAlign w:val="center"/>
          </w:tcPr>
          <w:p w14:paraId="5BCE5E96" w14:textId="77777777" w:rsidR="000E2820" w:rsidRPr="00DD1E2F" w:rsidRDefault="000E2820" w:rsidP="0045789B">
            <w:pPr>
              <w:autoSpaceDE w:val="0"/>
              <w:autoSpaceDN w:val="0"/>
              <w:adjustRightInd w:val="0"/>
              <w:spacing w:after="0" w:line="240" w:lineRule="auto"/>
              <w:jc w:val="center"/>
              <w:rPr>
                <w:rFonts w:ascii="Cambria" w:hAnsi="Cambria"/>
                <w:b/>
                <w:color w:val="000000"/>
              </w:rPr>
            </w:pPr>
            <w:r w:rsidRPr="00DD1E2F">
              <w:rPr>
                <w:rFonts w:ascii="Cambria" w:hAnsi="Cambria"/>
                <w:b/>
                <w:color w:val="000000"/>
              </w:rPr>
              <w:t>Declarative</w:t>
            </w:r>
          </w:p>
        </w:tc>
      </w:tr>
      <w:tr w:rsidR="00583C84" w:rsidRPr="00DD1E2F" w14:paraId="50561C0B" w14:textId="77777777" w:rsidTr="00BD5884">
        <w:trPr>
          <w:trHeight w:val="350"/>
          <w:jc w:val="center"/>
        </w:trPr>
        <w:tc>
          <w:tcPr>
            <w:tcW w:w="7016" w:type="dxa"/>
            <w:tcBorders>
              <w:top w:val="single" w:sz="4" w:space="0" w:color="auto"/>
              <w:left w:val="single" w:sz="4" w:space="0" w:color="auto"/>
              <w:bottom w:val="single" w:sz="4" w:space="0" w:color="auto"/>
              <w:right w:val="single" w:sz="4" w:space="0" w:color="auto"/>
            </w:tcBorders>
            <w:vAlign w:val="center"/>
            <w:hideMark/>
          </w:tcPr>
          <w:p w14:paraId="47EBDF84"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IV.        COMPENSATION</w:t>
            </w:r>
          </w:p>
          <w:p w14:paraId="3EEAA9BD"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color w:val="000000"/>
              </w:rPr>
              <w:t> The Ecuadorian State, acting through its Attorney General as its sole legal representative, pursuant to Art. 215 of the Constitution of the Republic of Ecuador, issued in the Official Register, No. 1, in force and effect since August 11, 1998, hereby pays Ms. Myrian [sic] Genoveva Larrea Pintado a one-time compensation in the sum of two hundred seventy-five thousand United States dollars (US 275,000.oo) to be charged to the General Budget of the State.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7E88E2" w14:textId="77777777" w:rsidR="00583C84" w:rsidRPr="00DD1E2F" w:rsidRDefault="00583C84" w:rsidP="0045789B">
            <w:pPr>
              <w:autoSpaceDE w:val="0"/>
              <w:autoSpaceDN w:val="0"/>
              <w:adjustRightInd w:val="0"/>
              <w:spacing w:after="0" w:line="240" w:lineRule="auto"/>
              <w:jc w:val="center"/>
              <w:rPr>
                <w:rFonts w:ascii="Cambria" w:eastAsia="MS Mincho" w:hAnsi="Cambria"/>
                <w:color w:val="000000"/>
              </w:rPr>
            </w:pPr>
            <w:r w:rsidRPr="00DD1E2F">
              <w:rPr>
                <w:rFonts w:ascii="Cambria" w:hAnsi="Cambria"/>
                <w:b/>
                <w:color w:val="000000"/>
              </w:rPr>
              <w:t>Total</w:t>
            </w:r>
            <w:r w:rsidRPr="00DD1E2F">
              <w:rPr>
                <w:rFonts w:ascii="Cambria" w:hAnsi="Cambria"/>
                <w:color w:val="000000"/>
                <w:vertAlign w:val="superscript"/>
              </w:rPr>
              <w:footnoteReference w:id="1"/>
            </w:r>
          </w:p>
        </w:tc>
      </w:tr>
      <w:tr w:rsidR="00157163" w:rsidRPr="00DD1E2F" w14:paraId="76128580" w14:textId="77777777" w:rsidTr="00BD5884">
        <w:trPr>
          <w:trHeight w:val="350"/>
          <w:jc w:val="center"/>
        </w:trPr>
        <w:tc>
          <w:tcPr>
            <w:tcW w:w="7016" w:type="dxa"/>
            <w:tcBorders>
              <w:top w:val="single" w:sz="4" w:space="0" w:color="auto"/>
              <w:left w:val="single" w:sz="4" w:space="0" w:color="auto"/>
              <w:bottom w:val="single" w:sz="4" w:space="0" w:color="auto"/>
              <w:right w:val="single" w:sz="4" w:space="0" w:color="auto"/>
            </w:tcBorders>
            <w:vAlign w:val="center"/>
            <w:hideMark/>
          </w:tcPr>
          <w:p w14:paraId="127EB8F3" w14:textId="77777777" w:rsidR="00157163" w:rsidRPr="00DD1E2F" w:rsidRDefault="00157163"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 PUNISHMENT OF THOSE RESPONSIBLE</w:t>
            </w:r>
          </w:p>
          <w:p w14:paraId="228A0BC9" w14:textId="77777777" w:rsidR="00157163" w:rsidRPr="00DD1E2F" w:rsidRDefault="00157163"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Ecuadorian State will initiate the actions necessary for the institution of both civil and criminal proceedings against, and the administrative sanctions of, those persons who, in carrying out state duties, or using their public authority are assumed to have participated in the alleged violation.</w:t>
            </w:r>
          </w:p>
          <w:p w14:paraId="24F2D8C4" w14:textId="77777777" w:rsidR="00157163" w:rsidRPr="00DD1E2F" w:rsidRDefault="00157163"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w:t>
            </w:r>
          </w:p>
          <w:p w14:paraId="13729A44" w14:textId="77777777" w:rsidR="00157163" w:rsidRPr="00DD1E2F" w:rsidRDefault="00157163"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of the State will turn over all the necessary documentation to the Office of the Public Prosecutor in order to commence the investigations for the punishment of those found responsible for said violation.  Likewise, it will request both the competent organs of the Judiciary and public or private organizations to provide legally grounded information that will lead towards the establishment of said persons’ responsibility, should it arise.  Should these trials be warranted, they shall be carried out in observance of the constitutional and legal order of the Ecuadorian State.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94EBFC" w14:textId="77777777" w:rsidR="00157163" w:rsidRPr="00DD1E2F" w:rsidRDefault="00157163" w:rsidP="0045789B">
            <w:pPr>
              <w:autoSpaceDE w:val="0"/>
              <w:autoSpaceDN w:val="0"/>
              <w:adjustRightInd w:val="0"/>
              <w:spacing w:after="0" w:line="240" w:lineRule="auto"/>
              <w:rPr>
                <w:rFonts w:ascii="Cambria" w:hAnsi="Cambria"/>
                <w:color w:val="000000"/>
              </w:rPr>
            </w:pPr>
          </w:p>
          <w:p w14:paraId="222DEEC0" w14:textId="77777777" w:rsidR="00157163" w:rsidRPr="00DD1E2F" w:rsidRDefault="00157163" w:rsidP="0045789B">
            <w:pPr>
              <w:autoSpaceDE w:val="0"/>
              <w:autoSpaceDN w:val="0"/>
              <w:adjustRightInd w:val="0"/>
              <w:spacing w:after="0" w:line="240" w:lineRule="auto"/>
              <w:jc w:val="center"/>
              <w:rPr>
                <w:rFonts w:ascii="Cambria" w:hAnsi="Cambria"/>
                <w:color w:val="000000"/>
              </w:rPr>
            </w:pPr>
          </w:p>
          <w:p w14:paraId="572D0B2C" w14:textId="77777777" w:rsidR="00157163" w:rsidRPr="00DD1E2F" w:rsidRDefault="00157163" w:rsidP="0045789B">
            <w:pPr>
              <w:autoSpaceDE w:val="0"/>
              <w:autoSpaceDN w:val="0"/>
              <w:adjustRightInd w:val="0"/>
              <w:spacing w:after="0" w:line="240" w:lineRule="auto"/>
              <w:jc w:val="center"/>
              <w:rPr>
                <w:rFonts w:ascii="Cambria" w:hAnsi="Cambria"/>
                <w:color w:val="000000"/>
              </w:rPr>
            </w:pPr>
            <w:r w:rsidRPr="00DD1E2F">
              <w:rPr>
                <w:rFonts w:ascii="Cambria" w:eastAsia="MS Mincho" w:hAnsi="Cambria"/>
                <w:b/>
                <w:bCs/>
                <w:color w:val="000000"/>
              </w:rPr>
              <w:t>Partial</w:t>
            </w:r>
            <w:r w:rsidRPr="00DD1E2F">
              <w:rPr>
                <w:rStyle w:val="FootnoteReference"/>
                <w:rFonts w:ascii="Cambria" w:eastAsia="MS Mincho" w:hAnsi="Cambria"/>
                <w:b/>
                <w:bCs/>
                <w:color w:val="000000"/>
              </w:rPr>
              <w:footnoteReference w:id="2"/>
            </w:r>
          </w:p>
        </w:tc>
      </w:tr>
      <w:tr w:rsidR="00BD5884" w:rsidRPr="00DD1E2F" w14:paraId="3E9C5596" w14:textId="77777777">
        <w:trPr>
          <w:trHeight w:val="350"/>
          <w:jc w:val="center"/>
        </w:trPr>
        <w:tc>
          <w:tcPr>
            <w:tcW w:w="7016" w:type="dxa"/>
            <w:tcBorders>
              <w:top w:val="single" w:sz="4" w:space="0" w:color="auto"/>
              <w:left w:val="single" w:sz="4" w:space="0" w:color="auto"/>
              <w:bottom w:val="single" w:sz="4" w:space="0" w:color="auto"/>
              <w:right w:val="single" w:sz="4" w:space="0" w:color="auto"/>
            </w:tcBorders>
            <w:vAlign w:val="center"/>
          </w:tcPr>
          <w:p w14:paraId="3F987CA1" w14:textId="77777777" w:rsidR="00BD5884" w:rsidRPr="00DD1E2F" w:rsidRDefault="00BD58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VI. OTHER REPARATIONS</w:t>
            </w:r>
          </w:p>
          <w:p w14:paraId="57F21383" w14:textId="77777777" w:rsidR="00BD5884" w:rsidRPr="00DD1E2F" w:rsidRDefault="00BD58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undertakes the commitment to erase from the </w:t>
            </w:r>
            <w:r w:rsidRPr="00DD1E2F">
              <w:rPr>
                <w:rFonts w:ascii="Cambria" w:eastAsia="Times New Roman" w:hAnsi="Cambria"/>
                <w:color w:val="000000"/>
              </w:rPr>
              <w:lastRenderedPageBreak/>
              <w:t>Registry of Criminal Records, and from any other type of public or reserved registry, the name of Myrian [sic] Genoveva Larrea Pintado.</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E37F6C" w14:textId="77777777" w:rsidR="00BD5884" w:rsidRPr="00DD1E2F" w:rsidRDefault="00BD5884" w:rsidP="0045789B">
            <w:pPr>
              <w:autoSpaceDE w:val="0"/>
              <w:autoSpaceDN w:val="0"/>
              <w:adjustRightInd w:val="0"/>
              <w:spacing w:after="0" w:line="240" w:lineRule="auto"/>
              <w:jc w:val="center"/>
              <w:rPr>
                <w:rFonts w:ascii="Cambria" w:eastAsia="MS Mincho" w:hAnsi="Cambria"/>
                <w:color w:val="000000"/>
              </w:rPr>
            </w:pPr>
            <w:r w:rsidRPr="00DD1E2F">
              <w:rPr>
                <w:rFonts w:ascii="Cambria" w:eastAsia="MS Mincho" w:hAnsi="Cambria"/>
                <w:b/>
                <w:bCs/>
                <w:color w:val="000000"/>
              </w:rPr>
              <w:lastRenderedPageBreak/>
              <w:t>Total</w:t>
            </w:r>
            <w:r w:rsidRPr="00DD1E2F">
              <w:rPr>
                <w:rStyle w:val="FootnoteReference"/>
                <w:rFonts w:ascii="Cambria" w:eastAsia="MS Mincho" w:hAnsi="Cambria"/>
                <w:b/>
                <w:bCs/>
                <w:color w:val="000000"/>
              </w:rPr>
              <w:footnoteReference w:id="3"/>
            </w:r>
          </w:p>
        </w:tc>
      </w:tr>
      <w:tr w:rsidR="00BD5884" w:rsidRPr="00DD1E2F" w14:paraId="5ABDEA31" w14:textId="77777777" w:rsidTr="00BD5884">
        <w:trPr>
          <w:trHeight w:val="70"/>
          <w:jc w:val="center"/>
        </w:trPr>
        <w:tc>
          <w:tcPr>
            <w:tcW w:w="7016" w:type="dxa"/>
            <w:tcBorders>
              <w:top w:val="single" w:sz="4" w:space="0" w:color="auto"/>
              <w:left w:val="single" w:sz="4" w:space="0" w:color="auto"/>
              <w:bottom w:val="single" w:sz="4" w:space="0" w:color="auto"/>
              <w:right w:val="single" w:sz="4" w:space="0" w:color="auto"/>
            </w:tcBorders>
            <w:vAlign w:val="center"/>
          </w:tcPr>
          <w:p w14:paraId="0E8C1F02" w14:textId="77777777" w:rsidR="00BD5884" w:rsidRPr="00DD1E2F" w:rsidRDefault="00BD5884" w:rsidP="0045789B">
            <w:pPr>
              <w:spacing w:after="0" w:line="240" w:lineRule="auto"/>
              <w:ind w:hanging="18"/>
              <w:jc w:val="both"/>
              <w:rPr>
                <w:rFonts w:ascii="Cambria" w:eastAsia="Times New Roman" w:hAnsi="Cambria"/>
                <w:b/>
                <w:color w:val="000000"/>
              </w:rPr>
            </w:pPr>
            <w:r w:rsidRPr="00DD1E2F">
              <w:rPr>
                <w:rFonts w:ascii="Cambria" w:eastAsia="Times New Roman" w:hAnsi="Cambria"/>
                <w:color w:val="000000"/>
              </w:rPr>
              <w:t xml:space="preserve">In addition, the Ecuadorian State undertakes the commitment to publish the text of clause III of this Friendly Settlement Agreement in the daily newspaper of the widest circulation.  In this publication Ms. Myrian [sic] Genoveva Larrea Pintado’s gratitude towards doctors Germánico Maya and Alejandro Ponce Villacís, attorneys and counsellors of Ms. Myrian [sic] Genoveva Larrea Pintado. </w:t>
            </w:r>
          </w:p>
        </w:tc>
        <w:tc>
          <w:tcPr>
            <w:tcW w:w="2340" w:type="dxa"/>
            <w:tcBorders>
              <w:top w:val="single" w:sz="4" w:space="0" w:color="auto"/>
              <w:left w:val="single" w:sz="4" w:space="0" w:color="auto"/>
              <w:bottom w:val="single" w:sz="4" w:space="0" w:color="auto"/>
              <w:right w:val="single" w:sz="4" w:space="0" w:color="auto"/>
            </w:tcBorders>
            <w:vAlign w:val="center"/>
          </w:tcPr>
          <w:p w14:paraId="308E3617" w14:textId="77777777" w:rsidR="00BD5884" w:rsidRPr="00DD1E2F" w:rsidRDefault="00BD5884" w:rsidP="0045789B">
            <w:pPr>
              <w:autoSpaceDE w:val="0"/>
              <w:autoSpaceDN w:val="0"/>
              <w:adjustRightInd w:val="0"/>
              <w:spacing w:after="0" w:line="240" w:lineRule="auto"/>
              <w:jc w:val="center"/>
              <w:rPr>
                <w:rFonts w:ascii="Cambria" w:hAnsi="Cambria"/>
                <w:color w:val="000000"/>
              </w:rPr>
            </w:pPr>
            <w:r w:rsidRPr="00DD1E2F">
              <w:rPr>
                <w:rFonts w:ascii="Cambria" w:eastAsia="MS Mincho" w:hAnsi="Cambria"/>
                <w:b/>
                <w:bCs/>
                <w:color w:val="000000"/>
              </w:rPr>
              <w:t>Total</w:t>
            </w:r>
            <w:r w:rsidRPr="00DD1E2F">
              <w:rPr>
                <w:rStyle w:val="FootnoteReference"/>
                <w:rFonts w:ascii="Cambria" w:eastAsia="MS Mincho" w:hAnsi="Cambria"/>
                <w:b/>
                <w:bCs/>
                <w:color w:val="000000"/>
              </w:rPr>
              <w:footnoteReference w:id="4"/>
            </w:r>
          </w:p>
        </w:tc>
      </w:tr>
      <w:tr w:rsidR="00157163" w:rsidRPr="00DD1E2F" w14:paraId="5A0FDE93" w14:textId="77777777" w:rsidTr="00BD5884">
        <w:trPr>
          <w:trHeight w:val="350"/>
          <w:jc w:val="center"/>
        </w:trPr>
        <w:tc>
          <w:tcPr>
            <w:tcW w:w="7016" w:type="dxa"/>
            <w:tcBorders>
              <w:top w:val="single" w:sz="4" w:space="0" w:color="auto"/>
              <w:left w:val="single" w:sz="4" w:space="0" w:color="auto"/>
              <w:bottom w:val="single" w:sz="4" w:space="0" w:color="auto"/>
              <w:right w:val="single" w:sz="4" w:space="0" w:color="auto"/>
            </w:tcBorders>
            <w:vAlign w:val="center"/>
          </w:tcPr>
          <w:p w14:paraId="42CE51D6" w14:textId="77777777" w:rsidR="00157163" w:rsidRPr="00DD1E2F" w:rsidRDefault="00157163" w:rsidP="0045789B">
            <w:pPr>
              <w:spacing w:after="0" w:line="240" w:lineRule="auto"/>
              <w:ind w:hanging="18"/>
              <w:jc w:val="both"/>
              <w:rPr>
                <w:rFonts w:ascii="Cambria" w:eastAsia="Times New Roman" w:hAnsi="Cambria"/>
                <w:b/>
                <w:color w:val="000000"/>
              </w:rPr>
            </w:pPr>
            <w:r w:rsidRPr="00DD1E2F">
              <w:rPr>
                <w:rFonts w:ascii="Cambria" w:eastAsia="Times New Roman" w:hAnsi="Cambria"/>
                <w:color w:val="000000"/>
              </w:rPr>
              <w:t xml:space="preserve">In addition, the Ecuadorian State undertakes the commitment, through the Office of the Attorney General of the State, to fashion a plaque with the name of Myrian [sic] Genoveva Larrea Pintado, which will record the responsibility of the Ecuadorian State, in accordance with number III of this agreement. The plaque shall be unveiled in an auditorium or another similar room of the </w:t>
            </w:r>
            <w:r w:rsidRPr="00DD1E2F">
              <w:rPr>
                <w:rFonts w:ascii="Cambria" w:eastAsia="Times New Roman" w:hAnsi="Cambria"/>
                <w:i/>
                <w:iCs/>
                <w:color w:val="000000"/>
              </w:rPr>
              <w:t>Superintendencia de Bancos</w:t>
            </w:r>
            <w:r w:rsidRPr="00DD1E2F">
              <w:rPr>
                <w:rFonts w:ascii="Cambria" w:eastAsia="Times New Roman" w:hAnsi="Cambria"/>
                <w:color w:val="000000"/>
              </w:rPr>
              <w:t xml:space="preserve"> [Office of Banking Supervision].</w:t>
            </w:r>
          </w:p>
        </w:tc>
        <w:tc>
          <w:tcPr>
            <w:tcW w:w="2340" w:type="dxa"/>
            <w:tcBorders>
              <w:top w:val="single" w:sz="4" w:space="0" w:color="auto"/>
              <w:left w:val="single" w:sz="4" w:space="0" w:color="auto"/>
              <w:bottom w:val="single" w:sz="4" w:space="0" w:color="auto"/>
              <w:right w:val="single" w:sz="4" w:space="0" w:color="auto"/>
            </w:tcBorders>
            <w:vAlign w:val="center"/>
          </w:tcPr>
          <w:p w14:paraId="00265823" w14:textId="77777777" w:rsidR="00157163" w:rsidRPr="00DD1E2F" w:rsidRDefault="000E2820" w:rsidP="0045789B">
            <w:pPr>
              <w:autoSpaceDE w:val="0"/>
              <w:autoSpaceDN w:val="0"/>
              <w:adjustRightInd w:val="0"/>
              <w:spacing w:after="0" w:line="240" w:lineRule="auto"/>
              <w:jc w:val="center"/>
              <w:rPr>
                <w:rFonts w:ascii="Cambria" w:hAnsi="Cambria"/>
                <w:color w:val="000000"/>
              </w:rPr>
            </w:pPr>
            <w:r w:rsidRPr="00DD1E2F">
              <w:rPr>
                <w:rFonts w:ascii="Cambria" w:eastAsia="MS Mincho" w:hAnsi="Cambria"/>
                <w:b/>
                <w:bCs/>
                <w:color w:val="000000"/>
              </w:rPr>
              <w:t>Noncompliance</w:t>
            </w:r>
            <w:r w:rsidR="00157163" w:rsidRPr="00DD1E2F">
              <w:rPr>
                <w:rStyle w:val="FootnoteReference"/>
                <w:rFonts w:ascii="Cambria" w:eastAsia="MS Mincho" w:hAnsi="Cambria"/>
                <w:b/>
                <w:bCs/>
                <w:color w:val="000000"/>
              </w:rPr>
              <w:footnoteReference w:id="5"/>
            </w:r>
          </w:p>
        </w:tc>
      </w:tr>
    </w:tbl>
    <w:p w14:paraId="2DDA9F85"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37268BAE" w14:textId="77777777" w:rsidR="00583C84" w:rsidRPr="00DD1E2F" w:rsidRDefault="00583C84" w:rsidP="00AD711F">
      <w:pPr>
        <w:numPr>
          <w:ilvl w:val="0"/>
          <w:numId w:val="70"/>
        </w:numPr>
        <w:autoSpaceDE w:val="0"/>
        <w:autoSpaceDN w:val="0"/>
        <w:adjustRightInd w:val="0"/>
        <w:spacing w:after="0" w:line="240" w:lineRule="auto"/>
        <w:ind w:left="1440"/>
        <w:jc w:val="both"/>
        <w:rPr>
          <w:rFonts w:ascii="Cambria" w:eastAsia="Batang" w:hAnsi="Cambria"/>
          <w:color w:val="000000"/>
        </w:rPr>
      </w:pPr>
      <w:r w:rsidRPr="00DD1E2F">
        <w:rPr>
          <w:rFonts w:ascii="Cambria" w:eastAsia="Batang" w:hAnsi="Cambria" w:cs="Calibri Light"/>
          <w:b/>
          <w:color w:val="000000"/>
        </w:rPr>
        <w:t>LEVEL OF COMPLIANCE OF THE CASE</w:t>
      </w:r>
    </w:p>
    <w:p w14:paraId="5CC96E4C"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36993C84" w14:textId="77777777" w:rsidR="00652C68" w:rsidRPr="00DD1E2F" w:rsidRDefault="00B341F5" w:rsidP="00AD711F">
      <w:pPr>
        <w:pStyle w:val="ListParagraph"/>
        <w:numPr>
          <w:ilvl w:val="0"/>
          <w:numId w:val="72"/>
        </w:numPr>
        <w:spacing w:after="0" w:line="240" w:lineRule="auto"/>
        <w:ind w:left="0" w:firstLine="709"/>
        <w:jc w:val="both"/>
        <w:rPr>
          <w:rFonts w:ascii="Cambria" w:hAnsi="Cambria"/>
          <w:lang w:val="en-US"/>
        </w:rPr>
      </w:pPr>
      <w:r w:rsidRPr="00DD1E2F">
        <w:rPr>
          <w:rFonts w:ascii="Cambria" w:hAnsi="Cambria"/>
          <w:color w:val="000000"/>
          <w:lang w:val="en-US"/>
        </w:rPr>
        <w:t>The Commission noted that the petitioners did not submit up-to-date information since 2013. Moreover,</w:t>
      </w:r>
      <w:r w:rsidR="00E66191" w:rsidRPr="00DD1E2F">
        <w:rPr>
          <w:rFonts w:ascii="Cambria" w:hAnsi="Cambria"/>
          <w:color w:val="000000"/>
          <w:lang w:val="en-US"/>
        </w:rPr>
        <w:t xml:space="preserve"> </w:t>
      </w:r>
      <w:r w:rsidR="00E66191" w:rsidRPr="00DD1E2F">
        <w:rPr>
          <w:rFonts w:ascii="Cambria" w:hAnsi="Cambria"/>
          <w:lang w:val="en-US"/>
        </w:rPr>
        <w:t>The Commission</w:t>
      </w:r>
      <w:r w:rsidRPr="00DD1E2F">
        <w:rPr>
          <w:rFonts w:ascii="Cambria" w:hAnsi="Cambria"/>
          <w:color w:val="000000"/>
          <w:lang w:val="en-US"/>
        </w:rPr>
        <w:t xml:space="preserve"> noted that, since the FSA was published, the Commission has been conducting follow-up on compliance with the clauses agreed upon by the parties in Chapter II G of the Annual Report to the OAS General Assembly. </w:t>
      </w:r>
      <w:r w:rsidR="00652C68" w:rsidRPr="00DD1E2F">
        <w:rPr>
          <w:rFonts w:ascii="Cambria" w:hAnsi="Cambria"/>
          <w:lang w:val="en-US"/>
        </w:rPr>
        <w:t>As part of this follow-up, the petitioning party was requested updated information each year, granting them a reasonable period of time to submit the information they deem necessary.</w:t>
      </w:r>
    </w:p>
    <w:p w14:paraId="2FB364CD" w14:textId="77777777" w:rsidR="00B341F5" w:rsidRPr="00DD1E2F" w:rsidRDefault="00B341F5" w:rsidP="0045789B">
      <w:pPr>
        <w:autoSpaceDE w:val="0"/>
        <w:autoSpaceDN w:val="0"/>
        <w:adjustRightInd w:val="0"/>
        <w:spacing w:after="0" w:line="240" w:lineRule="auto"/>
        <w:jc w:val="both"/>
        <w:rPr>
          <w:rFonts w:ascii="Cambria" w:hAnsi="Cambria"/>
          <w:color w:val="000000"/>
        </w:rPr>
      </w:pPr>
    </w:p>
    <w:p w14:paraId="102EE5F1" w14:textId="77777777" w:rsidR="00B341F5" w:rsidRPr="00DD1E2F" w:rsidRDefault="00B341F5" w:rsidP="00AD711F">
      <w:pPr>
        <w:numPr>
          <w:ilvl w:val="0"/>
          <w:numId w:val="72"/>
        </w:numPr>
        <w:autoSpaceDE w:val="0"/>
        <w:autoSpaceDN w:val="0"/>
        <w:adjustRightInd w:val="0"/>
        <w:spacing w:after="0" w:line="240" w:lineRule="auto"/>
        <w:ind w:left="0" w:firstLine="709"/>
        <w:jc w:val="both"/>
        <w:rPr>
          <w:rFonts w:ascii="Cambria" w:hAnsi="Cambria"/>
          <w:color w:val="000000"/>
        </w:rPr>
      </w:pPr>
      <w:r w:rsidRPr="00DD1E2F">
        <w:rPr>
          <w:rFonts w:ascii="Cambria" w:hAnsi="Cambria"/>
          <w:color w:val="000000"/>
        </w:rPr>
        <w:t xml:space="preserve">Based on the foregoing and taking into consideration that the petitioners did not submit the comprehensive report as requested by the IACHR on February 11, 2020 and noting the unjustified procedural inactivity of the petitioners, which constitutes a serious indication of disinterest in follow-up on the FSA, the Commission decided to archive the case in accordance with Articles 42 and 48 of its Rules of Procedure, cease  follow-up on compliance with the friendly settlement agreement and archive the matter noting on the record in its Annual Report to the General Assembly of the Organization of American States that the friendly settlement agreement has been partially implemented. </w:t>
      </w:r>
    </w:p>
    <w:p w14:paraId="7237FD61" w14:textId="77777777" w:rsidR="00B341F5" w:rsidRPr="00DD1E2F" w:rsidRDefault="00B341F5" w:rsidP="0045789B">
      <w:pPr>
        <w:autoSpaceDE w:val="0"/>
        <w:autoSpaceDN w:val="0"/>
        <w:adjustRightInd w:val="0"/>
        <w:spacing w:after="0" w:line="240" w:lineRule="auto"/>
        <w:ind w:left="709"/>
        <w:jc w:val="both"/>
        <w:rPr>
          <w:rFonts w:ascii="Cambria" w:hAnsi="Cambria"/>
          <w:color w:val="000000"/>
        </w:rPr>
      </w:pPr>
    </w:p>
    <w:p w14:paraId="6900603B" w14:textId="77777777" w:rsidR="00B341F5" w:rsidRPr="00DD1E2F" w:rsidRDefault="00B341F5" w:rsidP="00AD711F">
      <w:pPr>
        <w:numPr>
          <w:ilvl w:val="0"/>
          <w:numId w:val="72"/>
        </w:numPr>
        <w:autoSpaceDE w:val="0"/>
        <w:autoSpaceDN w:val="0"/>
        <w:adjustRightInd w:val="0"/>
        <w:spacing w:after="0" w:line="240" w:lineRule="auto"/>
        <w:ind w:left="0" w:firstLine="709"/>
        <w:jc w:val="both"/>
        <w:rPr>
          <w:rFonts w:ascii="Cambria" w:hAnsi="Cambria"/>
          <w:color w:val="000000"/>
        </w:rPr>
      </w:pPr>
      <w:r w:rsidRPr="00DD1E2F">
        <w:rPr>
          <w:rFonts w:ascii="Cambria" w:hAnsi="Cambria"/>
          <w:color w:val="000000"/>
        </w:rPr>
        <w:t xml:space="preserve">Consequently, the Commission decided to cease follow-up on the friendly settlement agreement and archive the matter. </w:t>
      </w:r>
    </w:p>
    <w:p w14:paraId="4E78AA26"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0624512B" w14:textId="77777777" w:rsidR="00583C84" w:rsidRPr="00DD1E2F" w:rsidRDefault="00583C84" w:rsidP="0045789B">
      <w:pPr>
        <w:spacing w:after="0" w:line="240" w:lineRule="auto"/>
        <w:ind w:firstLine="709"/>
        <w:contextualSpacing/>
        <w:jc w:val="both"/>
        <w:rPr>
          <w:rFonts w:ascii="Cambria" w:eastAsia="Batang" w:hAnsi="Cambria" w:cs="Calibri Light"/>
          <w:b/>
          <w:color w:val="000000"/>
        </w:rPr>
      </w:pPr>
      <w:r w:rsidRPr="00DD1E2F">
        <w:rPr>
          <w:rFonts w:ascii="Cambria" w:eastAsia="Batang" w:hAnsi="Cambria" w:cs="Calibri Light"/>
          <w:b/>
          <w:color w:val="000000"/>
        </w:rPr>
        <w:t xml:space="preserve">V.             INDIVIDUAL AND STRUCTURAL OUTCOMES OF THE CASE </w:t>
      </w:r>
    </w:p>
    <w:p w14:paraId="3A4A9E89"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5BB0C549" w14:textId="77777777" w:rsidR="00583C84" w:rsidRPr="00DD1E2F" w:rsidRDefault="00DA0C80" w:rsidP="00AD711F">
      <w:pPr>
        <w:numPr>
          <w:ilvl w:val="0"/>
          <w:numId w:val="71"/>
        </w:numPr>
        <w:spacing w:after="0" w:line="240" w:lineRule="auto"/>
        <w:ind w:firstLine="0"/>
        <w:contextualSpacing/>
        <w:jc w:val="both"/>
        <w:rPr>
          <w:rFonts w:ascii="Cambria" w:eastAsia="Batang" w:hAnsi="Cambria" w:cs="Calibri Light"/>
          <w:b/>
          <w:color w:val="000000"/>
        </w:rPr>
      </w:pPr>
      <w:r w:rsidRPr="00DD1E2F">
        <w:rPr>
          <w:rFonts w:ascii="Cambria" w:eastAsia="Batang" w:hAnsi="Cambria" w:cs="Calibri Light"/>
          <w:b/>
          <w:color w:val="000000"/>
        </w:rPr>
        <w:t>Individual outcomes of the case</w:t>
      </w:r>
    </w:p>
    <w:p w14:paraId="278D615B"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75DC9FBF" w14:textId="77777777" w:rsidR="00583C84" w:rsidRPr="00DD1E2F" w:rsidRDefault="00583C84" w:rsidP="0045789B">
      <w:pPr>
        <w:numPr>
          <w:ilvl w:val="0"/>
          <w:numId w:val="3"/>
        </w:numPr>
        <w:spacing w:after="0" w:line="240" w:lineRule="auto"/>
        <w:ind w:left="0" w:firstLine="720"/>
        <w:contextualSpacing/>
        <w:jc w:val="both"/>
        <w:rPr>
          <w:rFonts w:ascii="Cambria" w:hAnsi="Cambria" w:cs="Calibri Light"/>
          <w:b/>
          <w:color w:val="000000"/>
        </w:rPr>
      </w:pPr>
      <w:r w:rsidRPr="00DD1E2F">
        <w:rPr>
          <w:rFonts w:ascii="Cambria" w:eastAsia="Times New Roman" w:hAnsi="Cambria"/>
          <w:color w:val="000000"/>
        </w:rPr>
        <w:t>The State paid financial compensation, as set forth under the agreement.</w:t>
      </w:r>
    </w:p>
    <w:p w14:paraId="2BE94B5D" w14:textId="77777777" w:rsidR="00583C84" w:rsidRPr="00DD1E2F" w:rsidRDefault="00583C84" w:rsidP="0045789B">
      <w:pPr>
        <w:numPr>
          <w:ilvl w:val="0"/>
          <w:numId w:val="3"/>
        </w:numPr>
        <w:spacing w:after="0" w:line="240" w:lineRule="auto"/>
        <w:ind w:left="1440" w:hanging="720"/>
        <w:contextualSpacing/>
        <w:jc w:val="both"/>
        <w:rPr>
          <w:rFonts w:ascii="Cambria" w:hAnsi="Cambria" w:cs="Calibri Light"/>
          <w:b/>
          <w:color w:val="000000"/>
        </w:rPr>
      </w:pPr>
      <w:r w:rsidRPr="00DD1E2F">
        <w:rPr>
          <w:rFonts w:ascii="Cambria" w:eastAsia="Times New Roman" w:hAnsi="Cambria"/>
          <w:color w:val="000000"/>
        </w:rPr>
        <w:t xml:space="preserve">The State published clause III of the friendly settlement agreement, as agreed. </w:t>
      </w:r>
    </w:p>
    <w:p w14:paraId="2FFCF4B2" w14:textId="77777777" w:rsidR="00D26B92" w:rsidRPr="00DD1E2F" w:rsidRDefault="00583C84" w:rsidP="0045789B">
      <w:pPr>
        <w:numPr>
          <w:ilvl w:val="0"/>
          <w:numId w:val="3"/>
        </w:numPr>
        <w:spacing w:after="0" w:line="240" w:lineRule="auto"/>
        <w:ind w:left="1440" w:hanging="720"/>
        <w:contextualSpacing/>
        <w:jc w:val="both"/>
        <w:rPr>
          <w:rFonts w:ascii="Cambria" w:eastAsia="Times New Roman" w:hAnsi="Cambria"/>
          <w:color w:val="000000"/>
        </w:rPr>
      </w:pPr>
      <w:r w:rsidRPr="00DD1E2F">
        <w:rPr>
          <w:rFonts w:ascii="Cambria" w:eastAsia="Times New Roman" w:hAnsi="Cambria"/>
          <w:color w:val="000000"/>
        </w:rPr>
        <w:t xml:space="preserve">The State expunged the criminal record of the petitioner from the Register of Criminal Records. </w:t>
      </w:r>
    </w:p>
    <w:p w14:paraId="16441633" w14:textId="77777777" w:rsidR="00583C84" w:rsidRPr="00DD1E2F" w:rsidRDefault="00583C84" w:rsidP="0045789B">
      <w:pPr>
        <w:spacing w:after="0" w:line="240" w:lineRule="auto"/>
        <w:ind w:right="-270"/>
        <w:jc w:val="center"/>
        <w:rPr>
          <w:rFonts w:ascii="Cambria" w:eastAsia="Batang" w:hAnsi="Cambria"/>
          <w:b/>
          <w:color w:val="000000"/>
        </w:rPr>
      </w:pPr>
    </w:p>
    <w:sectPr w:rsidR="00583C84" w:rsidRPr="00DD1E2F" w:rsidSect="008E42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36CA" w14:textId="77777777" w:rsidR="00C42494" w:rsidRDefault="00C42494" w:rsidP="00A343FF">
      <w:pPr>
        <w:spacing w:after="0" w:line="240" w:lineRule="auto"/>
      </w:pPr>
      <w:r>
        <w:separator/>
      </w:r>
    </w:p>
  </w:endnote>
  <w:endnote w:type="continuationSeparator" w:id="0">
    <w:p w14:paraId="2A8D6AD4" w14:textId="77777777" w:rsidR="00C42494" w:rsidRDefault="00C4249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743D"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D3CE"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5D4B6465"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F7C1" w14:textId="77777777" w:rsidR="006D7134" w:rsidRDefault="001D5C5C" w:rsidP="008F2248">
    <w:pPr>
      <w:pStyle w:val="Footer"/>
      <w:spacing w:line="360" w:lineRule="auto"/>
    </w:pPr>
    <w:r>
      <w:pict w14:anchorId="30680885">
        <v:rect id="_x0000_i1028" style="width:0;height:1.5pt" o:hralign="center" o:hrstd="t" o:hr="t" fillcolor="#a0a0a0" stroked="f"/>
      </w:pict>
    </w:r>
  </w:p>
  <w:p w14:paraId="682D757C" w14:textId="77777777" w:rsidR="006D7134" w:rsidRDefault="001D5C5C" w:rsidP="006E2BD8">
    <w:pPr>
      <w:pStyle w:val="Footer"/>
      <w:jc w:val="center"/>
    </w:pPr>
    <w:r>
      <w:pict w14:anchorId="5FD64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6B95" w14:textId="77777777" w:rsidR="00C42494" w:rsidRDefault="00C42494" w:rsidP="00A343FF">
      <w:pPr>
        <w:spacing w:after="0" w:line="240" w:lineRule="auto"/>
      </w:pPr>
      <w:r>
        <w:separator/>
      </w:r>
    </w:p>
  </w:footnote>
  <w:footnote w:type="continuationSeparator" w:id="0">
    <w:p w14:paraId="1D40F12C" w14:textId="77777777" w:rsidR="00C42494" w:rsidRDefault="00C42494" w:rsidP="00A343FF">
      <w:pPr>
        <w:spacing w:after="0" w:line="240" w:lineRule="auto"/>
      </w:pPr>
      <w:r>
        <w:continuationSeparator/>
      </w:r>
    </w:p>
  </w:footnote>
  <w:footnote w:id="1">
    <w:p w14:paraId="221B940F" w14:textId="77777777" w:rsidR="006D7134" w:rsidRPr="00B969E3" w:rsidRDefault="006D7134" w:rsidP="00B341F5">
      <w:pPr>
        <w:pStyle w:val="FootnoteText"/>
        <w:ind w:firstLine="720"/>
        <w:jc w:val="both"/>
        <w:rPr>
          <w:rFonts w:ascii="Cambria" w:hAnsi="Cambria"/>
          <w:color w:val="000000"/>
          <w:sz w:val="16"/>
          <w:szCs w:val="16"/>
          <w:lang w:val="pt-BR"/>
        </w:rPr>
      </w:pPr>
      <w:r w:rsidRPr="00B341F5">
        <w:rPr>
          <w:rStyle w:val="FootnoteReference"/>
          <w:rFonts w:ascii="Cambria" w:hAnsi="Cambria"/>
          <w:color w:val="000000"/>
          <w:sz w:val="16"/>
          <w:szCs w:val="16"/>
        </w:rPr>
        <w:footnoteRef/>
      </w:r>
      <w:r w:rsidRPr="00B969E3">
        <w:rPr>
          <w:rFonts w:ascii="Cambria" w:hAnsi="Cambria"/>
          <w:color w:val="000000"/>
          <w:sz w:val="16"/>
          <w:szCs w:val="16"/>
          <w:lang w:val="pt-BR"/>
        </w:rPr>
        <w:t xml:space="preserve"> Report No. 46/06, Case 12.238, Myriam Larrea Pintado, March 15,  2006.</w:t>
      </w:r>
    </w:p>
  </w:footnote>
  <w:footnote w:id="2">
    <w:p w14:paraId="170BD0B4" w14:textId="77777777" w:rsidR="00157163" w:rsidRPr="00B341F5" w:rsidRDefault="00157163" w:rsidP="00B341F5">
      <w:pPr>
        <w:pStyle w:val="FootnoteText"/>
        <w:ind w:firstLine="720"/>
        <w:jc w:val="both"/>
        <w:rPr>
          <w:rFonts w:ascii="Cambria" w:hAnsi="Cambria"/>
          <w:sz w:val="16"/>
          <w:szCs w:val="16"/>
        </w:rPr>
      </w:pPr>
      <w:r w:rsidRPr="00B341F5">
        <w:rPr>
          <w:rStyle w:val="FootnoteReference"/>
          <w:rFonts w:ascii="Cambria" w:hAnsi="Cambria"/>
          <w:sz w:val="16"/>
          <w:szCs w:val="16"/>
        </w:rPr>
        <w:footnoteRef/>
      </w:r>
      <w:r w:rsidRPr="00B341F5">
        <w:rPr>
          <w:rFonts w:ascii="Cambria" w:hAnsi="Cambria"/>
          <w:sz w:val="16"/>
          <w:szCs w:val="16"/>
        </w:rPr>
        <w:t xml:space="preserve"> See IACHR, Annual Report 2020, Chapter II, Section G. Friendly Settlements. Available at: </w:t>
      </w:r>
      <w:hyperlink r:id="rId1" w:history="1">
        <w:r w:rsidRPr="00B341F5">
          <w:rPr>
            <w:rStyle w:val="Hyperlink"/>
            <w:rFonts w:ascii="Cambria" w:hAnsi="Cambria"/>
            <w:sz w:val="16"/>
            <w:szCs w:val="16"/>
          </w:rPr>
          <w:t>http://www.oas.org/en/iachr/docs/annual/2020/Chapters/IA2020cap2-en.pdf</w:t>
        </w:r>
      </w:hyperlink>
    </w:p>
  </w:footnote>
  <w:footnote w:id="3">
    <w:p w14:paraId="3B524748" w14:textId="77777777" w:rsidR="00BD5884" w:rsidRPr="00B341F5" w:rsidRDefault="00BD5884" w:rsidP="00B341F5">
      <w:pPr>
        <w:pStyle w:val="FootnoteText"/>
        <w:ind w:firstLine="720"/>
        <w:jc w:val="both"/>
        <w:rPr>
          <w:rFonts w:ascii="Cambria" w:hAnsi="Cambria"/>
          <w:sz w:val="16"/>
          <w:szCs w:val="16"/>
        </w:rPr>
      </w:pPr>
      <w:r w:rsidRPr="00B341F5">
        <w:rPr>
          <w:rStyle w:val="FootnoteReference"/>
          <w:rFonts w:ascii="Cambria" w:hAnsi="Cambria"/>
          <w:sz w:val="16"/>
          <w:szCs w:val="16"/>
        </w:rPr>
        <w:footnoteRef/>
      </w:r>
      <w:r w:rsidRPr="00B341F5">
        <w:rPr>
          <w:rFonts w:ascii="Cambria" w:hAnsi="Cambria"/>
          <w:sz w:val="16"/>
          <w:szCs w:val="16"/>
        </w:rPr>
        <w:t xml:space="preserve"> See IACHR, Annual Report 2020, Chapter II, Section G. Friendly Settlements. Available at: </w:t>
      </w:r>
      <w:hyperlink r:id="rId2" w:history="1">
        <w:r w:rsidRPr="00B341F5">
          <w:rPr>
            <w:rStyle w:val="Hyperlink"/>
            <w:rFonts w:ascii="Cambria" w:hAnsi="Cambria"/>
            <w:sz w:val="16"/>
            <w:szCs w:val="16"/>
          </w:rPr>
          <w:t>http://www.oas.org/en/iachr/docs/annual/2020/Chapters/IA2020cap2-en.pdf</w:t>
        </w:r>
      </w:hyperlink>
    </w:p>
  </w:footnote>
  <w:footnote w:id="4">
    <w:p w14:paraId="5E857058" w14:textId="77777777" w:rsidR="00BD5884" w:rsidRPr="001800DD" w:rsidRDefault="00BD5884" w:rsidP="00B341F5">
      <w:pPr>
        <w:pStyle w:val="FootnoteText"/>
        <w:ind w:firstLine="720"/>
        <w:jc w:val="both"/>
      </w:pPr>
      <w:r w:rsidRPr="00B341F5">
        <w:rPr>
          <w:rStyle w:val="FootnoteReference"/>
          <w:rFonts w:ascii="Cambria" w:hAnsi="Cambria"/>
          <w:sz w:val="16"/>
          <w:szCs w:val="16"/>
        </w:rPr>
        <w:footnoteRef/>
      </w:r>
      <w:r w:rsidRPr="00B341F5">
        <w:rPr>
          <w:rFonts w:ascii="Cambria" w:hAnsi="Cambria"/>
          <w:sz w:val="16"/>
          <w:szCs w:val="16"/>
        </w:rPr>
        <w:t xml:space="preserve"> See IACHR, Annual Report 2020, Chapter II, Section G. Friendly Settlements. Available at: </w:t>
      </w:r>
      <w:hyperlink r:id="rId3" w:history="1">
        <w:r w:rsidRPr="00B341F5">
          <w:rPr>
            <w:rStyle w:val="Hyperlink"/>
            <w:rFonts w:ascii="Cambria" w:hAnsi="Cambria"/>
            <w:sz w:val="16"/>
            <w:szCs w:val="16"/>
          </w:rPr>
          <w:t>http://www.oas.org/en/iachr/docs/annual/2020/Chapters/IA2020cap2-en.pdf</w:t>
        </w:r>
      </w:hyperlink>
    </w:p>
  </w:footnote>
  <w:footnote w:id="5">
    <w:p w14:paraId="4033BBFB" w14:textId="77777777" w:rsidR="00157163" w:rsidRPr="00A14411" w:rsidRDefault="00157163" w:rsidP="00583C84">
      <w:pPr>
        <w:pStyle w:val="FootnoteText"/>
        <w:ind w:firstLine="720"/>
        <w:jc w:val="both"/>
        <w:rPr>
          <w:rFonts w:ascii="Cambria" w:hAnsi="Cambria"/>
          <w:sz w:val="16"/>
          <w:szCs w:val="16"/>
        </w:rPr>
      </w:pPr>
      <w:r w:rsidRPr="00A14411">
        <w:rPr>
          <w:rStyle w:val="FootnoteReference"/>
          <w:rFonts w:ascii="Cambria" w:hAnsi="Cambria"/>
          <w:sz w:val="16"/>
          <w:szCs w:val="16"/>
        </w:rPr>
        <w:footnoteRef/>
      </w:r>
      <w:r w:rsidRPr="00A14411">
        <w:rPr>
          <w:rFonts w:ascii="Cambria" w:hAnsi="Cambria"/>
          <w:sz w:val="16"/>
          <w:szCs w:val="16"/>
        </w:rPr>
        <w:t xml:space="preserve"> See IACHR, Annual Report 2020, Chapter II, Section G. Friendly Settlements. Available at: </w:t>
      </w:r>
      <w:hyperlink r:id="rId4" w:history="1">
        <w:r w:rsidRPr="00A14411">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8D3"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A62B" w14:textId="77777777" w:rsidR="006D7134" w:rsidRDefault="001D5C5C" w:rsidP="00DC7C8F">
    <w:pPr>
      <w:pStyle w:val="Header"/>
      <w:jc w:val="center"/>
    </w:pPr>
    <w:r>
      <w:pict w14:anchorId="23CBE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0C687F9D" w14:textId="77777777" w:rsidR="006D7134" w:rsidRDefault="001D5C5C">
    <w:pPr>
      <w:pStyle w:val="Header"/>
    </w:pPr>
    <w:r>
      <w:pict w14:anchorId="23E9AF66">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73D2" w14:textId="77777777" w:rsidR="006D7134" w:rsidRDefault="001D5C5C" w:rsidP="00A61B5E">
    <w:pPr>
      <w:pStyle w:val="Header"/>
    </w:pPr>
    <w:r>
      <w:rPr>
        <w:noProof/>
      </w:rPr>
      <w:pict w14:anchorId="2C4F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7EBC0A71">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52C3FEC1" w14:textId="77777777" w:rsidR="006D7134" w:rsidRDefault="006D7134" w:rsidP="00A61B5E">
    <w:pPr>
      <w:pStyle w:val="Header"/>
    </w:pPr>
  </w:p>
  <w:p w14:paraId="4411062F" w14:textId="77777777" w:rsidR="006D7134" w:rsidRDefault="006D7134" w:rsidP="00A61B5E">
    <w:pPr>
      <w:pStyle w:val="Header"/>
    </w:pPr>
  </w:p>
  <w:p w14:paraId="5C270B45" w14:textId="77777777" w:rsidR="006D7134" w:rsidRDefault="001D5C5C" w:rsidP="00A61B5E">
    <w:pPr>
      <w:pStyle w:val="Header"/>
    </w:pPr>
    <w:r>
      <w:pict w14:anchorId="0EE98A37">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8640992">
    <w:abstractNumId w:val="78"/>
  </w:num>
  <w:num w:numId="2" w16cid:durableId="908803188">
    <w:abstractNumId w:val="59"/>
  </w:num>
  <w:num w:numId="3" w16cid:durableId="1736472674">
    <w:abstractNumId w:val="21"/>
  </w:num>
  <w:num w:numId="4" w16cid:durableId="433280823">
    <w:abstractNumId w:val="52"/>
  </w:num>
  <w:num w:numId="5" w16cid:durableId="376856498">
    <w:abstractNumId w:val="3"/>
  </w:num>
  <w:num w:numId="6" w16cid:durableId="229196534">
    <w:abstractNumId w:val="44"/>
  </w:num>
  <w:num w:numId="7" w16cid:durableId="507137575">
    <w:abstractNumId w:val="104"/>
  </w:num>
  <w:num w:numId="8" w16cid:durableId="1832789227">
    <w:abstractNumId w:val="36"/>
  </w:num>
  <w:num w:numId="9" w16cid:durableId="300578616">
    <w:abstractNumId w:val="0"/>
  </w:num>
  <w:num w:numId="10" w16cid:durableId="1638680378">
    <w:abstractNumId w:val="30"/>
  </w:num>
  <w:num w:numId="11" w16cid:durableId="805856816">
    <w:abstractNumId w:val="65"/>
  </w:num>
  <w:num w:numId="12" w16cid:durableId="17858182">
    <w:abstractNumId w:val="68"/>
  </w:num>
  <w:num w:numId="13" w16cid:durableId="834608911">
    <w:abstractNumId w:val="51"/>
  </w:num>
  <w:num w:numId="14" w16cid:durableId="995651771">
    <w:abstractNumId w:val="1"/>
  </w:num>
  <w:num w:numId="15" w16cid:durableId="126363843">
    <w:abstractNumId w:val="47"/>
  </w:num>
  <w:num w:numId="16" w16cid:durableId="13329">
    <w:abstractNumId w:val="67"/>
  </w:num>
  <w:num w:numId="17" w16cid:durableId="517621586">
    <w:abstractNumId w:val="48"/>
  </w:num>
  <w:num w:numId="18" w16cid:durableId="1396661992">
    <w:abstractNumId w:val="100"/>
  </w:num>
  <w:num w:numId="19" w16cid:durableId="628784914">
    <w:abstractNumId w:val="70"/>
  </w:num>
  <w:num w:numId="20" w16cid:durableId="932785259">
    <w:abstractNumId w:val="31"/>
  </w:num>
  <w:num w:numId="21" w16cid:durableId="1024985640">
    <w:abstractNumId w:val="9"/>
  </w:num>
  <w:num w:numId="22" w16cid:durableId="1297448934">
    <w:abstractNumId w:val="32"/>
  </w:num>
  <w:num w:numId="23" w16cid:durableId="8024529">
    <w:abstractNumId w:val="2"/>
  </w:num>
  <w:num w:numId="24" w16cid:durableId="501504280">
    <w:abstractNumId w:val="81"/>
  </w:num>
  <w:num w:numId="25" w16cid:durableId="805049087">
    <w:abstractNumId w:val="92"/>
  </w:num>
  <w:num w:numId="26" w16cid:durableId="13852020">
    <w:abstractNumId w:val="98"/>
  </w:num>
  <w:num w:numId="27" w16cid:durableId="17194267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1581534">
    <w:abstractNumId w:val="76"/>
  </w:num>
  <w:num w:numId="29" w16cid:durableId="12656429">
    <w:abstractNumId w:val="16"/>
  </w:num>
  <w:num w:numId="30" w16cid:durableId="911814919">
    <w:abstractNumId w:val="13"/>
  </w:num>
  <w:num w:numId="31" w16cid:durableId="199365914">
    <w:abstractNumId w:val="63"/>
  </w:num>
  <w:num w:numId="32" w16cid:durableId="916747595">
    <w:abstractNumId w:val="23"/>
  </w:num>
  <w:num w:numId="33" w16cid:durableId="216665840">
    <w:abstractNumId w:val="11"/>
  </w:num>
  <w:num w:numId="34" w16cid:durableId="756710563">
    <w:abstractNumId w:val="66"/>
  </w:num>
  <w:num w:numId="35" w16cid:durableId="1493566682">
    <w:abstractNumId w:val="5"/>
  </w:num>
  <w:num w:numId="36" w16cid:durableId="1569723876">
    <w:abstractNumId w:val="7"/>
  </w:num>
  <w:num w:numId="37" w16cid:durableId="19824268">
    <w:abstractNumId w:val="53"/>
  </w:num>
  <w:num w:numId="38" w16cid:durableId="579481281">
    <w:abstractNumId w:val="54"/>
  </w:num>
  <w:num w:numId="39" w16cid:durableId="1696073725">
    <w:abstractNumId w:val="27"/>
  </w:num>
  <w:num w:numId="40" w16cid:durableId="930116201">
    <w:abstractNumId w:val="35"/>
  </w:num>
  <w:num w:numId="41" w16cid:durableId="36514182">
    <w:abstractNumId w:val="77"/>
  </w:num>
  <w:num w:numId="42" w16cid:durableId="1191409748">
    <w:abstractNumId w:val="22"/>
  </w:num>
  <w:num w:numId="43" w16cid:durableId="2143382398">
    <w:abstractNumId w:val="64"/>
  </w:num>
  <w:num w:numId="44" w16cid:durableId="465780067">
    <w:abstractNumId w:val="24"/>
  </w:num>
  <w:num w:numId="45" w16cid:durableId="1292133093">
    <w:abstractNumId w:val="87"/>
  </w:num>
  <w:num w:numId="46" w16cid:durableId="1225023006">
    <w:abstractNumId w:val="42"/>
  </w:num>
  <w:num w:numId="47" w16cid:durableId="4334607">
    <w:abstractNumId w:val="61"/>
  </w:num>
  <w:num w:numId="48" w16cid:durableId="35198433">
    <w:abstractNumId w:val="99"/>
  </w:num>
  <w:num w:numId="49" w16cid:durableId="211501986">
    <w:abstractNumId w:val="90"/>
  </w:num>
  <w:num w:numId="50" w16cid:durableId="1441991609">
    <w:abstractNumId w:val="40"/>
  </w:num>
  <w:num w:numId="51" w16cid:durableId="1673027614">
    <w:abstractNumId w:val="93"/>
  </w:num>
  <w:num w:numId="52" w16cid:durableId="769857686">
    <w:abstractNumId w:val="49"/>
  </w:num>
  <w:num w:numId="53" w16cid:durableId="1839071986">
    <w:abstractNumId w:val="83"/>
  </w:num>
  <w:num w:numId="54" w16cid:durableId="552888128">
    <w:abstractNumId w:val="33"/>
  </w:num>
  <w:num w:numId="55" w16cid:durableId="1593589042">
    <w:abstractNumId w:val="4"/>
  </w:num>
  <w:num w:numId="56" w16cid:durableId="1645088936">
    <w:abstractNumId w:val="28"/>
  </w:num>
  <w:num w:numId="57" w16cid:durableId="505246018">
    <w:abstractNumId w:val="10"/>
  </w:num>
  <w:num w:numId="58" w16cid:durableId="1158040682">
    <w:abstractNumId w:val="75"/>
  </w:num>
  <w:num w:numId="59" w16cid:durableId="829717886">
    <w:abstractNumId w:val="55"/>
  </w:num>
  <w:num w:numId="60" w16cid:durableId="536700085">
    <w:abstractNumId w:val="73"/>
  </w:num>
  <w:num w:numId="61" w16cid:durableId="9718654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1681731">
    <w:abstractNumId w:val="102"/>
  </w:num>
  <w:num w:numId="63" w16cid:durableId="410663704">
    <w:abstractNumId w:val="82"/>
  </w:num>
  <w:num w:numId="64" w16cid:durableId="1518620757">
    <w:abstractNumId w:val="26"/>
  </w:num>
  <w:num w:numId="65" w16cid:durableId="329480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41997419">
    <w:abstractNumId w:val="95"/>
  </w:num>
  <w:num w:numId="67" w16cid:durableId="1599024367">
    <w:abstractNumId w:val="19"/>
  </w:num>
  <w:num w:numId="68" w16cid:durableId="272441280">
    <w:abstractNumId w:val="20"/>
  </w:num>
  <w:num w:numId="69" w16cid:durableId="1185703120">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1570076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281077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56964">
    <w:abstractNumId w:val="60"/>
  </w:num>
  <w:num w:numId="73" w16cid:durableId="214257682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9942893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79636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7025874">
    <w:abstractNumId w:val="88"/>
  </w:num>
  <w:num w:numId="77" w16cid:durableId="11299793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135420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39189337">
    <w:abstractNumId w:val="72"/>
  </w:num>
  <w:num w:numId="80" w16cid:durableId="1923442218">
    <w:abstractNumId w:val="6"/>
  </w:num>
  <w:num w:numId="81" w16cid:durableId="840003596">
    <w:abstractNumId w:val="86"/>
  </w:num>
  <w:num w:numId="82" w16cid:durableId="1029991804">
    <w:abstractNumId w:val="71"/>
  </w:num>
  <w:num w:numId="83" w16cid:durableId="20187283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83053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40943232">
    <w:abstractNumId w:val="79"/>
  </w:num>
  <w:num w:numId="86" w16cid:durableId="1733381937">
    <w:abstractNumId w:val="17"/>
  </w:num>
  <w:num w:numId="87" w16cid:durableId="1560170934">
    <w:abstractNumId w:val="85"/>
  </w:num>
  <w:num w:numId="88" w16cid:durableId="1849442909">
    <w:abstractNumId w:val="15"/>
  </w:num>
  <w:num w:numId="89" w16cid:durableId="949555179">
    <w:abstractNumId w:val="69"/>
  </w:num>
  <w:num w:numId="90" w16cid:durableId="1693336961">
    <w:abstractNumId w:val="46"/>
  </w:num>
  <w:num w:numId="91" w16cid:durableId="662316324">
    <w:abstractNumId w:val="91"/>
  </w:num>
  <w:num w:numId="92" w16cid:durableId="112599053">
    <w:abstractNumId w:val="43"/>
  </w:num>
  <w:num w:numId="93" w16cid:durableId="1076249322">
    <w:abstractNumId w:val="8"/>
  </w:num>
  <w:num w:numId="94" w16cid:durableId="1023820639">
    <w:abstractNumId w:val="37"/>
  </w:num>
  <w:num w:numId="95" w16cid:durableId="1170678350">
    <w:abstractNumId w:val="38"/>
  </w:num>
  <w:num w:numId="96" w16cid:durableId="887689490">
    <w:abstractNumId w:val="39"/>
  </w:num>
  <w:num w:numId="97" w16cid:durableId="221982707">
    <w:abstractNumId w:val="12"/>
  </w:num>
  <w:num w:numId="98" w16cid:durableId="705644479">
    <w:abstractNumId w:val="89"/>
  </w:num>
  <w:num w:numId="99" w16cid:durableId="493034792">
    <w:abstractNumId w:val="74"/>
  </w:num>
  <w:num w:numId="100" w16cid:durableId="1194424524">
    <w:abstractNumId w:val="29"/>
  </w:num>
  <w:num w:numId="101" w16cid:durableId="95683761">
    <w:abstractNumId w:val="103"/>
  </w:num>
  <w:num w:numId="102" w16cid:durableId="413936831">
    <w:abstractNumId w:val="80"/>
  </w:num>
  <w:num w:numId="103" w16cid:durableId="1735354905">
    <w:abstractNumId w:val="41"/>
  </w:num>
  <w:num w:numId="104" w16cid:durableId="2106612482">
    <w:abstractNumId w:val="84"/>
  </w:num>
  <w:num w:numId="105" w16cid:durableId="920912259">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1D5C5C"/>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E44FD"/>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969E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42494"/>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5A"/>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A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idh.org/annualrep/2005eng/Ecuador.12238eng.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idh.oas.org/annualrep/2006eng/ECUADOR.12238en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ocs/annual/2020/Chapters/IA2020cap2-en.pdf" TargetMode="External"/><Relationship Id="rId2" Type="http://schemas.openxmlformats.org/officeDocument/2006/relationships/hyperlink" Target="http://www.oas.org/en/iachr/docs/annual/2020/Chapters/IA2020cap2-en.pdf" TargetMode="External"/><Relationship Id="rId1" Type="http://schemas.openxmlformats.org/officeDocument/2006/relationships/hyperlink" Target="http://www.oas.org/en/iachr/docs/annual/2020/Chapters/IA2020cap2-en.pdf" TargetMode="External"/><Relationship Id="rId4"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DD5F559D-4C9A-42EF-BA26-7C8F8D1C10B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Links>
    <vt:vector size="36" baseType="variant">
      <vt:variant>
        <vt:i4>6488165</vt:i4>
      </vt:variant>
      <vt:variant>
        <vt:i4>3</vt:i4>
      </vt:variant>
      <vt:variant>
        <vt:i4>0</vt:i4>
      </vt:variant>
      <vt:variant>
        <vt:i4>5</vt:i4>
      </vt:variant>
      <vt:variant>
        <vt:lpwstr>http://cidh.org/annualrep/2005eng/Ecuador.12238eng.htm</vt:lpwstr>
      </vt:variant>
      <vt:variant>
        <vt:lpwstr/>
      </vt:variant>
      <vt:variant>
        <vt:i4>3080224</vt:i4>
      </vt:variant>
      <vt:variant>
        <vt:i4>0</vt:i4>
      </vt:variant>
      <vt:variant>
        <vt:i4>0</vt:i4>
      </vt:variant>
      <vt:variant>
        <vt:i4>5</vt:i4>
      </vt:variant>
      <vt:variant>
        <vt:lpwstr>http://www.cidh.oas.org/annualrep/2006eng/ECUADOR.12238eng.htm</vt:lpwstr>
      </vt:variant>
      <vt:variant>
        <vt:lpwstr/>
      </vt:variant>
      <vt:variant>
        <vt:i4>3670115</vt:i4>
      </vt:variant>
      <vt:variant>
        <vt:i4>9</vt:i4>
      </vt:variant>
      <vt:variant>
        <vt:i4>0</vt:i4>
      </vt:variant>
      <vt:variant>
        <vt:i4>5</vt:i4>
      </vt:variant>
      <vt:variant>
        <vt:lpwstr>http://www.oas.org/en/iachr/docs/annual/2020/Chapters/IA2020cap2-en.pdf</vt:lpwstr>
      </vt:variant>
      <vt:variant>
        <vt:lpwstr/>
      </vt:variant>
      <vt:variant>
        <vt:i4>3670115</vt:i4>
      </vt:variant>
      <vt:variant>
        <vt:i4>6</vt:i4>
      </vt:variant>
      <vt:variant>
        <vt:i4>0</vt:i4>
      </vt:variant>
      <vt:variant>
        <vt:i4>5</vt:i4>
      </vt:variant>
      <vt:variant>
        <vt:lpwstr>http://www.oas.org/en/iachr/docs/annual/2020/Chapters/IA2020cap2-en.pdf</vt:lpwstr>
      </vt:variant>
      <vt:variant>
        <vt:lpwstr/>
      </vt:variant>
      <vt:variant>
        <vt:i4>3670115</vt:i4>
      </vt:variant>
      <vt:variant>
        <vt:i4>3</vt:i4>
      </vt:variant>
      <vt:variant>
        <vt:i4>0</vt:i4>
      </vt:variant>
      <vt:variant>
        <vt:i4>5</vt:i4>
      </vt:variant>
      <vt:variant>
        <vt:lpwstr>http://www.oas.org/en/iachr/docs/annual/2020/Chapters/IA2020cap2-en.pdf</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