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14B06" w14:textId="77777777" w:rsidR="00583C84" w:rsidRDefault="00583C84" w:rsidP="0045789B">
      <w:pPr>
        <w:pStyle w:val="LightGrid-Accent31"/>
        <w:spacing w:after="0" w:line="240" w:lineRule="auto"/>
        <w:jc w:val="both"/>
        <w:rPr>
          <w:rFonts w:ascii="Cambria" w:hAnsi="Cambria"/>
          <w:color w:val="000000"/>
        </w:rPr>
      </w:pPr>
    </w:p>
    <w:p w14:paraId="294805EA" w14:textId="77777777" w:rsidR="00B130F3" w:rsidRPr="00DD1E2F" w:rsidRDefault="00B130F3" w:rsidP="0045789B">
      <w:pPr>
        <w:pStyle w:val="LightGrid-Accent31"/>
        <w:spacing w:after="0" w:line="240" w:lineRule="auto"/>
        <w:jc w:val="both"/>
        <w:rPr>
          <w:rFonts w:ascii="Cambria" w:hAnsi="Cambria"/>
          <w:color w:val="000000"/>
        </w:rPr>
      </w:pPr>
    </w:p>
    <w:p w14:paraId="4B17A897" w14:textId="77777777" w:rsidR="00583C84" w:rsidRPr="00DD1E2F" w:rsidRDefault="00583C84" w:rsidP="0045789B">
      <w:pPr>
        <w:pStyle w:val="MediumGrid2-Accent11"/>
        <w:jc w:val="center"/>
        <w:rPr>
          <w:rFonts w:ascii="Cambria" w:hAnsi="Cambria"/>
          <w:b/>
          <w:color w:val="000000"/>
          <w:lang w:val="en-US"/>
        </w:rPr>
      </w:pPr>
      <w:r w:rsidRPr="00DD1E2F">
        <w:rPr>
          <w:rFonts w:ascii="Cambria" w:hAnsi="Cambria"/>
          <w:b/>
          <w:color w:val="000000"/>
          <w:lang w:val="en-US"/>
        </w:rPr>
        <w:t>TECHNICAL INFORMATION SHEET</w:t>
      </w:r>
    </w:p>
    <w:p w14:paraId="65AB86BD" w14:textId="77777777" w:rsidR="00583C84" w:rsidRPr="00DD1E2F" w:rsidRDefault="00583C84" w:rsidP="0045789B">
      <w:pPr>
        <w:spacing w:after="0" w:line="240" w:lineRule="auto"/>
        <w:jc w:val="center"/>
        <w:rPr>
          <w:rFonts w:ascii="Cambria" w:eastAsia="Batang" w:hAnsi="Cambria"/>
          <w:b/>
          <w:color w:val="000000"/>
        </w:rPr>
      </w:pPr>
      <w:r w:rsidRPr="00DD1E2F">
        <w:rPr>
          <w:rFonts w:ascii="Cambria" w:eastAsia="Batang" w:hAnsi="Cambria"/>
          <w:b/>
          <w:color w:val="000000"/>
        </w:rPr>
        <w:t>PETITION 533-05 JULIO RUBÉN ROBLES ERAS</w:t>
      </w:r>
    </w:p>
    <w:p w14:paraId="005CF15B" w14:textId="77777777" w:rsidR="00583C84" w:rsidRPr="00DD1E2F" w:rsidRDefault="00583C84" w:rsidP="0045789B">
      <w:pPr>
        <w:spacing w:after="0" w:line="240" w:lineRule="auto"/>
        <w:jc w:val="center"/>
        <w:rPr>
          <w:rFonts w:ascii="Cambria" w:eastAsia="Batang" w:hAnsi="Cambria"/>
          <w:b/>
          <w:color w:val="000000"/>
        </w:rPr>
      </w:pPr>
      <w:r w:rsidRPr="00DD1E2F">
        <w:rPr>
          <w:rFonts w:ascii="Cambria" w:hAnsi="Cambria"/>
          <w:b/>
          <w:color w:val="000000"/>
        </w:rPr>
        <w:t xml:space="preserve">REPORT ON FRIENDLY SETTLEMENT AGREEMENT Nº </w:t>
      </w:r>
      <w:r w:rsidRPr="00DD1E2F">
        <w:rPr>
          <w:rFonts w:ascii="Cambria" w:hAnsi="Cambria" w:cs="Calibri"/>
          <w:b/>
          <w:bCs/>
          <w:color w:val="000000"/>
        </w:rPr>
        <w:t>122/12</w:t>
      </w:r>
    </w:p>
    <w:p w14:paraId="08A3EABB" w14:textId="77777777" w:rsidR="00583C84" w:rsidRPr="00DD1E2F" w:rsidRDefault="00583C84" w:rsidP="0045789B">
      <w:pPr>
        <w:pStyle w:val="MediumGrid2-Accent11"/>
        <w:jc w:val="center"/>
        <w:rPr>
          <w:rFonts w:ascii="Cambria" w:hAnsi="Cambria"/>
          <w:b/>
          <w:color w:val="000000"/>
          <w:lang w:val="en-US"/>
        </w:rPr>
      </w:pPr>
      <w:r w:rsidRPr="00DD1E2F">
        <w:rPr>
          <w:rFonts w:ascii="Cambria" w:hAnsi="Cambria"/>
          <w:b/>
          <w:color w:val="000000"/>
        </w:rPr>
        <w:t>ARCHIVE</w:t>
      </w:r>
    </w:p>
    <w:p w14:paraId="1370C408" w14:textId="77777777" w:rsidR="00583C84" w:rsidRPr="00DD1E2F" w:rsidRDefault="00D54D6F" w:rsidP="0045789B">
      <w:pPr>
        <w:spacing w:after="0" w:line="240" w:lineRule="auto"/>
        <w:jc w:val="center"/>
        <w:rPr>
          <w:rFonts w:ascii="Cambria" w:eastAsia="Batang" w:hAnsi="Cambria"/>
          <w:b/>
          <w:color w:val="000000"/>
        </w:rPr>
      </w:pPr>
      <w:r w:rsidRPr="00DD1E2F">
        <w:rPr>
          <w:rFonts w:ascii="Cambria" w:eastAsia="Batang" w:hAnsi="Cambria"/>
          <w:b/>
          <w:color w:val="000000"/>
        </w:rPr>
        <w:t>(ECUADOR</w:t>
      </w:r>
      <w:r w:rsidR="00583C84" w:rsidRPr="00DD1E2F">
        <w:rPr>
          <w:rFonts w:ascii="Cambria" w:eastAsia="Batang" w:hAnsi="Cambria"/>
          <w:b/>
          <w:color w:val="000000"/>
        </w:rPr>
        <w:t>)</w:t>
      </w:r>
    </w:p>
    <w:p w14:paraId="681D1C52" w14:textId="77777777" w:rsidR="00583C84" w:rsidRPr="00DD1E2F" w:rsidRDefault="00583C84" w:rsidP="0045789B">
      <w:pPr>
        <w:spacing w:after="0" w:line="240" w:lineRule="auto"/>
        <w:ind w:right="-270"/>
        <w:jc w:val="center"/>
        <w:rPr>
          <w:rFonts w:ascii="Cambria" w:eastAsia="Batang" w:hAnsi="Cambria"/>
          <w:b/>
          <w:color w:val="000000"/>
        </w:rPr>
      </w:pPr>
    </w:p>
    <w:p w14:paraId="3FD453F0" w14:textId="77777777" w:rsidR="00583C84" w:rsidRPr="00DD1E2F" w:rsidRDefault="00583C84" w:rsidP="00AD711F">
      <w:pPr>
        <w:numPr>
          <w:ilvl w:val="0"/>
          <w:numId w:val="83"/>
        </w:numPr>
        <w:spacing w:after="0" w:line="240" w:lineRule="auto"/>
        <w:ind w:left="0" w:firstLine="720"/>
        <w:rPr>
          <w:rFonts w:ascii="Cambria" w:eastAsia="Batang" w:hAnsi="Cambria" w:cs="Calibri Light"/>
          <w:b/>
          <w:color w:val="000000"/>
        </w:rPr>
      </w:pPr>
      <w:r w:rsidRPr="00DD1E2F">
        <w:rPr>
          <w:rFonts w:ascii="Cambria" w:eastAsia="Batang" w:hAnsi="Cambria" w:cs="Calibri Light"/>
          <w:b/>
          <w:color w:val="000000"/>
        </w:rPr>
        <w:t xml:space="preserve">SUMMARY OF THE CASE </w:t>
      </w:r>
    </w:p>
    <w:p w14:paraId="4FA4EDC3" w14:textId="77777777" w:rsidR="00583C84" w:rsidRPr="00DD1E2F" w:rsidRDefault="00583C84" w:rsidP="0045789B">
      <w:pPr>
        <w:spacing w:after="0" w:line="240" w:lineRule="auto"/>
        <w:rPr>
          <w:rFonts w:ascii="Cambria" w:eastAsia="Batang" w:hAnsi="Cambria" w:cs="Calibri Light"/>
          <w:b/>
          <w:color w:val="00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6"/>
      </w:tblGrid>
      <w:tr w:rsidR="00583C84" w:rsidRPr="00DD1E2F" w14:paraId="0DC1A9D5" w14:textId="77777777" w:rsidTr="005523E5">
        <w:trPr>
          <w:jc w:val="center"/>
        </w:trPr>
        <w:tc>
          <w:tcPr>
            <w:tcW w:w="9576" w:type="dxa"/>
            <w:tcBorders>
              <w:top w:val="single" w:sz="4" w:space="0" w:color="auto"/>
              <w:left w:val="single" w:sz="4" w:space="0" w:color="auto"/>
              <w:bottom w:val="single" w:sz="4" w:space="0" w:color="auto"/>
              <w:right w:val="single" w:sz="4" w:space="0" w:color="auto"/>
            </w:tcBorders>
            <w:shd w:val="clear" w:color="auto" w:fill="F2F2F2"/>
          </w:tcPr>
          <w:p w14:paraId="054227F0" w14:textId="77777777" w:rsidR="00583C84" w:rsidRPr="00DD1E2F" w:rsidRDefault="00583C84" w:rsidP="0045789B">
            <w:pPr>
              <w:spacing w:after="0" w:line="240" w:lineRule="auto"/>
              <w:jc w:val="both"/>
              <w:rPr>
                <w:rFonts w:ascii="Cambria" w:eastAsia="Batang" w:hAnsi="Cambria"/>
                <w:color w:val="000000"/>
              </w:rPr>
            </w:pPr>
            <w:r w:rsidRPr="00DD1E2F">
              <w:rPr>
                <w:rFonts w:ascii="Cambria" w:eastAsia="Batang" w:hAnsi="Cambria"/>
                <w:b/>
                <w:color w:val="000000"/>
              </w:rPr>
              <w:t>Victim(s)</w:t>
            </w:r>
            <w:r w:rsidRPr="00DD1E2F">
              <w:rPr>
                <w:rFonts w:ascii="Cambria" w:eastAsia="Batang" w:hAnsi="Cambria"/>
                <w:color w:val="000000"/>
              </w:rPr>
              <w:t>: Julio Rubén Robles Eras</w:t>
            </w:r>
          </w:p>
          <w:p w14:paraId="5602CA59" w14:textId="77777777" w:rsidR="00583C84" w:rsidRPr="00DD1E2F" w:rsidRDefault="00583C84" w:rsidP="0045789B">
            <w:pPr>
              <w:spacing w:after="0" w:line="240" w:lineRule="auto"/>
              <w:jc w:val="both"/>
              <w:rPr>
                <w:rFonts w:ascii="Cambria" w:eastAsia="Batang" w:hAnsi="Cambria"/>
                <w:color w:val="000000"/>
              </w:rPr>
            </w:pPr>
            <w:r w:rsidRPr="00DD1E2F">
              <w:rPr>
                <w:rFonts w:ascii="Cambria" w:eastAsia="Batang" w:hAnsi="Cambria"/>
                <w:b/>
                <w:color w:val="000000"/>
              </w:rPr>
              <w:t>Petitioner(s)</w:t>
            </w:r>
            <w:r w:rsidRPr="00DD1E2F">
              <w:rPr>
                <w:rFonts w:ascii="Cambria" w:eastAsia="Batang" w:hAnsi="Cambria"/>
                <w:color w:val="000000"/>
              </w:rPr>
              <w:t>:</w:t>
            </w:r>
            <w:r w:rsidRPr="00DD1E2F">
              <w:rPr>
                <w:rFonts w:ascii="Cambria" w:eastAsia="Batang" w:hAnsi="Cambria"/>
                <w:b/>
                <w:color w:val="000000"/>
              </w:rPr>
              <w:t xml:space="preserve"> </w:t>
            </w:r>
            <w:r w:rsidRPr="00DD1E2F">
              <w:rPr>
                <w:rFonts w:ascii="Cambria" w:eastAsia="Batang" w:hAnsi="Cambria"/>
                <w:color w:val="000000"/>
              </w:rPr>
              <w:t>Ecumenical Commission for Human Rights of Ecuador</w:t>
            </w:r>
          </w:p>
          <w:p w14:paraId="44199FF5" w14:textId="77777777" w:rsidR="00583C84" w:rsidRPr="00DD1E2F" w:rsidRDefault="00583C84" w:rsidP="0045789B">
            <w:pPr>
              <w:spacing w:after="0" w:line="240" w:lineRule="auto"/>
              <w:jc w:val="both"/>
              <w:rPr>
                <w:rFonts w:ascii="Cambria" w:eastAsia="Batang" w:hAnsi="Cambria"/>
                <w:color w:val="000000"/>
              </w:rPr>
            </w:pPr>
            <w:r w:rsidRPr="00DD1E2F">
              <w:rPr>
                <w:rFonts w:ascii="Cambria" w:eastAsia="Batang" w:hAnsi="Cambria"/>
                <w:b/>
                <w:color w:val="000000"/>
              </w:rPr>
              <w:t>State</w:t>
            </w:r>
            <w:r w:rsidRPr="00DD1E2F">
              <w:rPr>
                <w:rFonts w:ascii="Cambria" w:eastAsia="Batang" w:hAnsi="Cambria"/>
                <w:color w:val="000000"/>
              </w:rPr>
              <w:t>: Ecuador</w:t>
            </w:r>
          </w:p>
          <w:p w14:paraId="261A5BDD" w14:textId="77777777" w:rsidR="00583C84" w:rsidRPr="00DD1E2F" w:rsidRDefault="00583C84" w:rsidP="0045789B">
            <w:pPr>
              <w:pStyle w:val="MediumGrid21"/>
              <w:tabs>
                <w:tab w:val="left" w:pos="9270"/>
              </w:tabs>
              <w:jc w:val="both"/>
              <w:rPr>
                <w:rFonts w:ascii="Cambria" w:hAnsi="Cambria"/>
                <w:b/>
                <w:bCs/>
                <w:color w:val="000000"/>
                <w:lang w:val="en-US"/>
              </w:rPr>
            </w:pPr>
            <w:r w:rsidRPr="00DD1E2F">
              <w:rPr>
                <w:rFonts w:ascii="Cambria" w:hAnsi="Cambria"/>
                <w:b/>
                <w:bCs/>
                <w:color w:val="000000"/>
                <w:lang w:val="en-US"/>
              </w:rPr>
              <w:t>Beginning of the negotiation date:</w:t>
            </w:r>
            <w:r w:rsidRPr="00DD1E2F">
              <w:rPr>
                <w:rFonts w:ascii="Cambria" w:hAnsi="Cambria"/>
                <w:bCs/>
                <w:color w:val="000000"/>
                <w:lang w:val="en-US"/>
              </w:rPr>
              <w:t xml:space="preserve"> </w:t>
            </w:r>
            <w:r w:rsidRPr="00DD1E2F">
              <w:rPr>
                <w:rFonts w:ascii="Cambria" w:hAnsi="Cambria"/>
                <w:bCs/>
                <w:lang w:val="en-US"/>
              </w:rPr>
              <w:t>September 7, 2006</w:t>
            </w:r>
            <w:r w:rsidRPr="00DD1E2F">
              <w:rPr>
                <w:rFonts w:ascii="Cambria" w:hAnsi="Cambria"/>
                <w:bCs/>
                <w:color w:val="000000"/>
                <w:lang w:val="en-US"/>
              </w:rPr>
              <w:t xml:space="preserve"> </w:t>
            </w:r>
          </w:p>
          <w:p w14:paraId="5C42E94D" w14:textId="77777777" w:rsidR="00583C84" w:rsidRPr="00DD1E2F" w:rsidRDefault="00583C84" w:rsidP="0045789B">
            <w:pPr>
              <w:spacing w:after="0" w:line="240" w:lineRule="auto"/>
              <w:rPr>
                <w:rFonts w:ascii="Cambria" w:hAnsi="Cambria"/>
                <w:b/>
                <w:bCs/>
                <w:color w:val="000000"/>
              </w:rPr>
            </w:pPr>
            <w:r w:rsidRPr="00DD1E2F">
              <w:rPr>
                <w:rFonts w:ascii="Cambria" w:hAnsi="Cambria"/>
                <w:b/>
                <w:bCs/>
                <w:color w:val="000000"/>
              </w:rPr>
              <w:t xml:space="preserve">FSA signature date: </w:t>
            </w:r>
            <w:r w:rsidRPr="00DD1E2F">
              <w:rPr>
                <w:rFonts w:ascii="Cambria" w:hAnsi="Cambria"/>
                <w:bCs/>
                <w:color w:val="000000"/>
              </w:rPr>
              <w:t>October 10, 2006</w:t>
            </w:r>
          </w:p>
          <w:p w14:paraId="0DFD1BC6" w14:textId="77777777" w:rsidR="00583C84" w:rsidRPr="00DD1E2F" w:rsidRDefault="00583C84" w:rsidP="0045789B">
            <w:pPr>
              <w:spacing w:after="0" w:line="240" w:lineRule="auto"/>
              <w:jc w:val="both"/>
              <w:rPr>
                <w:rFonts w:ascii="Cambria" w:eastAsia="Batang" w:hAnsi="Cambria"/>
                <w:color w:val="000000"/>
              </w:rPr>
            </w:pPr>
            <w:r w:rsidRPr="00DD1E2F">
              <w:rPr>
                <w:rFonts w:ascii="Cambria" w:eastAsia="Batang" w:hAnsi="Cambria"/>
                <w:b/>
                <w:color w:val="000000"/>
              </w:rPr>
              <w:t xml:space="preserve">Report on Friendly Settlement Agreement No. </w:t>
            </w:r>
            <w:hyperlink r:id="rId12" w:history="1">
              <w:r w:rsidRPr="00DD1E2F">
                <w:rPr>
                  <w:rFonts w:ascii="Cambria" w:eastAsia="Batang" w:hAnsi="Cambria"/>
                  <w:b/>
                  <w:color w:val="000000"/>
                  <w:u w:val="single"/>
                </w:rPr>
                <w:t>122/12</w:t>
              </w:r>
              <w:r w:rsidRPr="00DD1E2F">
                <w:rPr>
                  <w:rFonts w:ascii="Cambria" w:eastAsia="Batang" w:hAnsi="Cambria"/>
                  <w:color w:val="000000"/>
                </w:rPr>
                <w:t>,</w:t>
              </w:r>
            </w:hyperlink>
            <w:r w:rsidRPr="00DD1E2F">
              <w:rPr>
                <w:rFonts w:ascii="Cambria" w:eastAsia="Batang" w:hAnsi="Cambria"/>
                <w:color w:val="000000"/>
              </w:rPr>
              <w:t xml:space="preserve"> published on November 13, 2012</w:t>
            </w:r>
          </w:p>
          <w:p w14:paraId="421F2484" w14:textId="77777777" w:rsidR="00583C84" w:rsidRPr="00DD1E2F" w:rsidRDefault="00583C84" w:rsidP="0045789B">
            <w:pPr>
              <w:spacing w:after="0" w:line="240" w:lineRule="auto"/>
              <w:rPr>
                <w:rFonts w:ascii="Cambria" w:hAnsi="Cambria"/>
                <w:b/>
                <w:bCs/>
                <w:color w:val="000000"/>
              </w:rPr>
            </w:pPr>
            <w:r w:rsidRPr="00DD1E2F">
              <w:rPr>
                <w:rFonts w:ascii="Cambria" w:hAnsi="Cambria"/>
                <w:b/>
                <w:bCs/>
                <w:color w:val="000000"/>
              </w:rPr>
              <w:t xml:space="preserve">Estimated length of the negotiation phase: </w:t>
            </w:r>
            <w:r w:rsidRPr="00DD1E2F">
              <w:rPr>
                <w:rFonts w:ascii="Cambria" w:hAnsi="Cambria"/>
                <w:bCs/>
                <w:color w:val="000000"/>
              </w:rPr>
              <w:t>6 years</w:t>
            </w:r>
          </w:p>
          <w:p w14:paraId="3FC8AE86" w14:textId="77777777" w:rsidR="00583C84" w:rsidRPr="00DD1E2F" w:rsidRDefault="00583C84" w:rsidP="0045789B">
            <w:pPr>
              <w:spacing w:after="0" w:line="240" w:lineRule="auto"/>
              <w:jc w:val="both"/>
              <w:rPr>
                <w:rFonts w:ascii="Cambria" w:eastAsia="Batang" w:hAnsi="Cambria"/>
                <w:color w:val="000000"/>
              </w:rPr>
            </w:pPr>
            <w:r w:rsidRPr="00DD1E2F">
              <w:rPr>
                <w:rFonts w:ascii="Cambria" w:eastAsia="Batang" w:hAnsi="Cambria"/>
                <w:b/>
                <w:color w:val="000000"/>
              </w:rPr>
              <w:t>Rapporteurship involved</w:t>
            </w:r>
            <w:r w:rsidRPr="00DD1E2F">
              <w:rPr>
                <w:rFonts w:ascii="Cambria" w:eastAsia="Batang" w:hAnsi="Cambria"/>
                <w:color w:val="000000"/>
              </w:rPr>
              <w:t>: Memory, Truth, and Justice</w:t>
            </w:r>
          </w:p>
          <w:p w14:paraId="10DC2AF7" w14:textId="77777777" w:rsidR="00583C84" w:rsidRPr="00DD1E2F" w:rsidRDefault="00583C84" w:rsidP="0045789B">
            <w:pPr>
              <w:spacing w:after="0" w:line="240" w:lineRule="auto"/>
              <w:jc w:val="both"/>
              <w:rPr>
                <w:rFonts w:ascii="Cambria" w:eastAsia="Batang" w:hAnsi="Cambria"/>
                <w:color w:val="000000"/>
              </w:rPr>
            </w:pPr>
            <w:r w:rsidRPr="00DD1E2F">
              <w:rPr>
                <w:rFonts w:ascii="Cambria" w:eastAsia="Batang" w:hAnsi="Cambria"/>
                <w:b/>
                <w:color w:val="000000"/>
              </w:rPr>
              <w:t>Topics</w:t>
            </w:r>
            <w:r w:rsidRPr="00DD1E2F">
              <w:rPr>
                <w:rFonts w:ascii="Cambria" w:eastAsia="Batang" w:hAnsi="Cambria"/>
                <w:color w:val="000000"/>
              </w:rPr>
              <w:t>:</w:t>
            </w:r>
            <w:r w:rsidRPr="00DD1E2F">
              <w:rPr>
                <w:rFonts w:ascii="Cambria" w:eastAsia="Batang" w:hAnsi="Cambria"/>
                <w:b/>
                <w:color w:val="000000"/>
              </w:rPr>
              <w:t xml:space="preserve"> </w:t>
            </w:r>
            <w:r w:rsidRPr="00DD1E2F">
              <w:rPr>
                <w:rFonts w:ascii="Cambria" w:eastAsia="Batang" w:hAnsi="Cambria"/>
                <w:color w:val="000000"/>
              </w:rPr>
              <w:t xml:space="preserve">Right to life/investigation/right to humane treatment/fair trial/judicial protection </w:t>
            </w:r>
          </w:p>
          <w:p w14:paraId="696908DD" w14:textId="77777777" w:rsidR="00583C84" w:rsidRPr="00DD1E2F" w:rsidRDefault="00583C84" w:rsidP="0045789B">
            <w:pPr>
              <w:spacing w:after="0" w:line="240" w:lineRule="auto"/>
              <w:jc w:val="both"/>
              <w:rPr>
                <w:rFonts w:ascii="Cambria" w:eastAsia="Batang" w:hAnsi="Cambria"/>
                <w:color w:val="000000"/>
              </w:rPr>
            </w:pPr>
          </w:p>
          <w:p w14:paraId="7D85FCE5" w14:textId="77777777" w:rsidR="00583C84" w:rsidRPr="00DD1E2F" w:rsidRDefault="00583C84" w:rsidP="0045789B">
            <w:pPr>
              <w:spacing w:after="0" w:line="240" w:lineRule="auto"/>
              <w:contextualSpacing/>
              <w:jc w:val="both"/>
              <w:rPr>
                <w:rFonts w:ascii="Cambria" w:eastAsia="MS Mincho" w:hAnsi="Cambria"/>
                <w:b/>
                <w:bCs/>
                <w:color w:val="000000"/>
              </w:rPr>
            </w:pPr>
            <w:r w:rsidRPr="00DD1E2F">
              <w:rPr>
                <w:rFonts w:ascii="Cambria" w:eastAsia="Batang" w:hAnsi="Cambria"/>
                <w:b/>
                <w:color w:val="000000"/>
              </w:rPr>
              <w:t>Facts</w:t>
            </w:r>
            <w:r w:rsidRPr="00DD1E2F">
              <w:rPr>
                <w:rFonts w:ascii="Cambria" w:eastAsia="Batang" w:hAnsi="Cambria"/>
                <w:color w:val="000000"/>
              </w:rPr>
              <w:t xml:space="preserve">: This case </w:t>
            </w:r>
            <w:r w:rsidR="00942C8E" w:rsidRPr="00DD1E2F">
              <w:rPr>
                <w:rFonts w:ascii="Cambria" w:eastAsia="Batang" w:hAnsi="Cambria"/>
                <w:color w:val="000000"/>
              </w:rPr>
              <w:t>relates to</w:t>
            </w:r>
            <w:r w:rsidRPr="00DD1E2F">
              <w:rPr>
                <w:rFonts w:ascii="Cambria" w:eastAsia="Batang" w:hAnsi="Cambria"/>
                <w:color w:val="000000"/>
              </w:rPr>
              <w:t xml:space="preserve"> the death of a 22-year old Army Second Lieutenant, </w:t>
            </w:r>
            <w:r w:rsidRPr="00DD1E2F">
              <w:rPr>
                <w:rFonts w:ascii="Cambria" w:eastAsia="MS Mincho" w:hAnsi="Cambria"/>
                <w:color w:val="000000"/>
              </w:rPr>
              <w:t xml:space="preserve">Julio Rubén Robles Eras, who died on the night of August 2001, allegedly during a “hazing”, under unclear circumstances, by the second lieutenants who had recently arrived at the battalion. These events gave rise to two criminal proceedings, one in the military courts headed up by the </w:t>
            </w:r>
            <w:r w:rsidRPr="00DD1E2F">
              <w:rPr>
                <w:rFonts w:ascii="Cambria" w:hAnsi="Cambria"/>
                <w:color w:val="000000"/>
              </w:rPr>
              <w:t xml:space="preserve">First Criminal Judge of the Third Military Zone, and the other in the civilian courts brought by the Prosecutor of </w:t>
            </w:r>
            <w:r w:rsidRPr="00DD1E2F">
              <w:rPr>
                <w:rFonts w:ascii="Cambria" w:eastAsia="MS Mincho" w:hAnsi="Cambria"/>
                <w:color w:val="000000"/>
              </w:rPr>
              <w:t xml:space="preserve">Macará and </w:t>
            </w:r>
            <w:r w:rsidRPr="00DD1E2F">
              <w:rPr>
                <w:rFonts w:ascii="Cambria" w:hAnsi="Cambria"/>
                <w:color w:val="000000"/>
              </w:rPr>
              <w:t>the Seventh Criminal Court Judge of Loja. This led to a conflict of jurisdiction that was resolved by the Court of Military Justice, which held in its ruling that the military justice system had jurisdiction in the case. Consequently, the proceedings instituted in the civilian courts were joined with the existing criminal proceedings in the military courts.</w:t>
            </w:r>
            <w:r w:rsidRPr="00DD1E2F">
              <w:rPr>
                <w:rFonts w:ascii="Cambria" w:eastAsia="MS Mincho" w:hAnsi="Cambria"/>
                <w:color w:val="000000"/>
              </w:rPr>
              <w:t xml:space="preserve"> </w:t>
            </w:r>
          </w:p>
          <w:p w14:paraId="1843CBA3" w14:textId="77777777" w:rsidR="00583C84" w:rsidRPr="00DD1E2F" w:rsidRDefault="00583C84" w:rsidP="0045789B">
            <w:pPr>
              <w:spacing w:after="0" w:line="240" w:lineRule="auto"/>
              <w:jc w:val="both"/>
              <w:rPr>
                <w:rFonts w:ascii="Cambria" w:eastAsia="Batang" w:hAnsi="Cambria"/>
                <w:color w:val="000000"/>
              </w:rPr>
            </w:pPr>
          </w:p>
          <w:p w14:paraId="7BE7FC29" w14:textId="77777777" w:rsidR="00583C84" w:rsidRPr="00DD1E2F" w:rsidRDefault="00583C84" w:rsidP="0045789B">
            <w:pPr>
              <w:spacing w:after="0" w:line="240" w:lineRule="auto"/>
              <w:jc w:val="both"/>
              <w:rPr>
                <w:rFonts w:ascii="Cambria" w:eastAsia="Batang" w:hAnsi="Cambria"/>
                <w:color w:val="000000"/>
              </w:rPr>
            </w:pPr>
            <w:r w:rsidRPr="00DD1E2F">
              <w:rPr>
                <w:rFonts w:ascii="Cambria" w:eastAsia="Batang" w:hAnsi="Cambria"/>
                <w:b/>
                <w:color w:val="000000"/>
              </w:rPr>
              <w:t>Rights alleged</w:t>
            </w:r>
            <w:r w:rsidRPr="00DD1E2F">
              <w:rPr>
                <w:rFonts w:ascii="Cambria" w:eastAsia="Batang" w:hAnsi="Cambria"/>
                <w:color w:val="000000"/>
              </w:rPr>
              <w:t>: The petitioners alleged violation of the rights provided for under Articles 4 (life),</w:t>
            </w:r>
            <w:r w:rsidRPr="00DD1E2F">
              <w:rPr>
                <w:rFonts w:ascii="Cambria" w:hAnsi="Cambria"/>
                <w:color w:val="000000"/>
              </w:rPr>
              <w:t xml:space="preserve"> </w:t>
            </w:r>
            <w:r w:rsidRPr="00DD1E2F">
              <w:rPr>
                <w:rFonts w:ascii="Cambria" w:eastAsia="Batang" w:hAnsi="Cambria"/>
                <w:color w:val="000000"/>
              </w:rPr>
              <w:t>5 (humane treatment), 8 (fair trial), and 25 (judicial protection) [of the American Convention on Human Rights], in breach of the obligations provided for under Article 1(1) thereof, to the detriment of Julio Rubén Robles Eras.</w:t>
            </w:r>
          </w:p>
        </w:tc>
      </w:tr>
    </w:tbl>
    <w:p w14:paraId="599D0A72" w14:textId="77777777" w:rsidR="00583C84" w:rsidRPr="00DD1E2F" w:rsidRDefault="00583C84" w:rsidP="0045789B">
      <w:pPr>
        <w:spacing w:after="0" w:line="240" w:lineRule="auto"/>
        <w:ind w:firstLine="709"/>
        <w:contextualSpacing/>
        <w:jc w:val="both"/>
        <w:rPr>
          <w:rFonts w:ascii="Cambria" w:eastAsia="Batang" w:hAnsi="Cambria" w:cs="Calibri Light"/>
          <w:b/>
          <w:color w:val="000000"/>
        </w:rPr>
      </w:pPr>
    </w:p>
    <w:p w14:paraId="78A6AED9" w14:textId="77777777" w:rsidR="00583C84" w:rsidRPr="00DD1E2F" w:rsidRDefault="00583C84" w:rsidP="00AD711F">
      <w:pPr>
        <w:numPr>
          <w:ilvl w:val="0"/>
          <w:numId w:val="83"/>
        </w:numPr>
        <w:spacing w:after="0" w:line="240" w:lineRule="auto"/>
        <w:ind w:left="-142" w:firstLine="851"/>
        <w:contextualSpacing/>
        <w:jc w:val="both"/>
        <w:rPr>
          <w:rFonts w:ascii="Cambria" w:eastAsia="Batang" w:hAnsi="Cambria" w:cs="Calibri Light"/>
          <w:b/>
          <w:color w:val="000000"/>
        </w:rPr>
      </w:pPr>
      <w:r w:rsidRPr="00DD1E2F">
        <w:rPr>
          <w:rFonts w:ascii="Cambria" w:eastAsia="Batang" w:hAnsi="Cambria"/>
          <w:b/>
          <w:color w:val="000000"/>
        </w:rPr>
        <w:t>PROCEDURAL ACTIVITY</w:t>
      </w:r>
    </w:p>
    <w:p w14:paraId="2D8EA934" w14:textId="77777777" w:rsidR="00583C84" w:rsidRPr="00DD1E2F" w:rsidRDefault="00583C84" w:rsidP="0045789B">
      <w:pPr>
        <w:spacing w:after="0" w:line="240" w:lineRule="auto"/>
        <w:ind w:left="-142" w:firstLine="851"/>
        <w:contextualSpacing/>
        <w:jc w:val="both"/>
        <w:rPr>
          <w:rFonts w:ascii="Cambria" w:eastAsia="Batang" w:hAnsi="Cambria"/>
          <w:b/>
          <w:color w:val="000000"/>
        </w:rPr>
      </w:pPr>
    </w:p>
    <w:p w14:paraId="54FDF8CB" w14:textId="77777777" w:rsidR="00583C84" w:rsidRPr="00DD1E2F" w:rsidRDefault="00583C84" w:rsidP="00AD711F">
      <w:pPr>
        <w:pStyle w:val="LightGrid-Accent31"/>
        <w:numPr>
          <w:ilvl w:val="0"/>
          <w:numId w:val="86"/>
        </w:numPr>
        <w:spacing w:after="0" w:line="240" w:lineRule="auto"/>
        <w:ind w:left="-142" w:firstLine="851"/>
        <w:contextualSpacing w:val="0"/>
        <w:jc w:val="both"/>
        <w:rPr>
          <w:rFonts w:ascii="Cambria" w:hAnsi="Cambria" w:cs="Calibri Light"/>
          <w:bCs/>
          <w:color w:val="000000"/>
        </w:rPr>
      </w:pPr>
      <w:r w:rsidRPr="00DD1E2F">
        <w:rPr>
          <w:rFonts w:ascii="Cambria" w:hAnsi="Cambria" w:cs="Calibri Light"/>
          <w:bCs/>
          <w:color w:val="000000"/>
        </w:rPr>
        <w:t xml:space="preserve">On October 10, </w:t>
      </w:r>
      <w:r w:rsidR="00BB13EE" w:rsidRPr="00DD1E2F">
        <w:rPr>
          <w:rFonts w:ascii="Cambria" w:hAnsi="Cambria" w:cs="Calibri Light"/>
          <w:bCs/>
          <w:color w:val="000000"/>
        </w:rPr>
        <w:t>2006,</w:t>
      </w:r>
      <w:r w:rsidRPr="00DD1E2F">
        <w:rPr>
          <w:rFonts w:ascii="Cambria" w:hAnsi="Cambria" w:cs="Calibri Light"/>
          <w:bCs/>
          <w:color w:val="000000"/>
        </w:rPr>
        <w:t xml:space="preserve"> the parties signed the friendly settlement agreement.</w:t>
      </w:r>
    </w:p>
    <w:p w14:paraId="2E3E79D6" w14:textId="77777777" w:rsidR="00583C84" w:rsidRPr="00DD1E2F" w:rsidRDefault="00583C84" w:rsidP="0045789B">
      <w:pPr>
        <w:pStyle w:val="LightGrid-Accent31"/>
        <w:spacing w:after="0" w:line="240" w:lineRule="auto"/>
        <w:ind w:left="-142" w:firstLine="851"/>
        <w:contextualSpacing w:val="0"/>
        <w:jc w:val="both"/>
        <w:rPr>
          <w:rFonts w:ascii="Cambria" w:hAnsi="Cambria" w:cs="Calibri Light"/>
          <w:bCs/>
          <w:color w:val="000000"/>
        </w:rPr>
      </w:pPr>
    </w:p>
    <w:p w14:paraId="2DD4C469" w14:textId="77777777" w:rsidR="00583C84" w:rsidRPr="00DD1E2F" w:rsidRDefault="00583C84" w:rsidP="00AD711F">
      <w:pPr>
        <w:pStyle w:val="LightGrid-Accent31"/>
        <w:numPr>
          <w:ilvl w:val="0"/>
          <w:numId w:val="86"/>
        </w:numPr>
        <w:spacing w:after="0" w:line="240" w:lineRule="auto"/>
        <w:ind w:left="-142" w:firstLine="851"/>
        <w:contextualSpacing w:val="0"/>
        <w:jc w:val="both"/>
        <w:rPr>
          <w:rFonts w:ascii="Cambria" w:hAnsi="Cambria" w:cs="Calibri Light"/>
          <w:bCs/>
          <w:color w:val="000000"/>
        </w:rPr>
      </w:pPr>
      <w:r w:rsidRPr="00DD1E2F">
        <w:rPr>
          <w:rFonts w:ascii="Cambria" w:hAnsi="Cambria" w:cs="Calibri Light"/>
          <w:bCs/>
          <w:color w:val="000000"/>
        </w:rPr>
        <w:t>On November 13, 2012, the Commission approved the friendly settlement agreement by report No. 122/12.</w:t>
      </w:r>
    </w:p>
    <w:p w14:paraId="567FB66D" w14:textId="77777777" w:rsidR="00583C84" w:rsidRPr="00DD1E2F" w:rsidRDefault="00583C84" w:rsidP="0045789B">
      <w:pPr>
        <w:spacing w:after="0" w:line="240" w:lineRule="auto"/>
        <w:jc w:val="both"/>
        <w:rPr>
          <w:rFonts w:ascii="Cambria" w:eastAsia="Batang" w:hAnsi="Cambria" w:cs="Calibri Light"/>
          <w:color w:val="000000"/>
        </w:rPr>
      </w:pPr>
    </w:p>
    <w:p w14:paraId="7C865BF8" w14:textId="77777777" w:rsidR="00583C84" w:rsidRPr="00DD1E2F" w:rsidRDefault="00583C84" w:rsidP="00AD711F">
      <w:pPr>
        <w:numPr>
          <w:ilvl w:val="0"/>
          <w:numId w:val="83"/>
        </w:numPr>
        <w:spacing w:after="0" w:line="240" w:lineRule="auto"/>
        <w:ind w:left="0" w:firstLine="720"/>
        <w:contextualSpacing/>
        <w:jc w:val="both"/>
        <w:rPr>
          <w:rFonts w:ascii="Cambria" w:eastAsia="Batang" w:hAnsi="Cambria" w:cs="Calibri Light"/>
          <w:b/>
          <w:color w:val="000000"/>
        </w:rPr>
      </w:pPr>
      <w:r w:rsidRPr="00DD1E2F">
        <w:rPr>
          <w:rFonts w:ascii="Cambria" w:eastAsia="Batang" w:hAnsi="Cambria" w:cs="Calibri Light"/>
          <w:b/>
          <w:color w:val="000000"/>
        </w:rPr>
        <w:t>ANALYSIS OF COMPLIANCE WITH THE CLAUSES OF THE FRIENDLY SETTLEMENT AGREEMENT</w:t>
      </w:r>
    </w:p>
    <w:p w14:paraId="49833A45" w14:textId="77777777" w:rsidR="00583C84" w:rsidRPr="00DD1E2F" w:rsidRDefault="00583C84" w:rsidP="0045789B">
      <w:pPr>
        <w:spacing w:after="0" w:line="240" w:lineRule="auto"/>
        <w:ind w:left="1440"/>
        <w:contextualSpacing/>
        <w:jc w:val="both"/>
        <w:rPr>
          <w:rFonts w:ascii="Cambria" w:eastAsia="Batang" w:hAnsi="Cambria" w:cs="Calibri Light"/>
          <w:b/>
          <w:color w:val="00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9"/>
        <w:gridCol w:w="2698"/>
        <w:gridCol w:w="9"/>
      </w:tblGrid>
      <w:tr w:rsidR="00D54D6F" w:rsidRPr="00DD1E2F" w14:paraId="3F04CCB9" w14:textId="77777777" w:rsidTr="00DA4368">
        <w:trPr>
          <w:gridAfter w:val="1"/>
          <w:wAfter w:w="9" w:type="dxa"/>
          <w:jc w:val="center"/>
        </w:trPr>
        <w:tc>
          <w:tcPr>
            <w:tcW w:w="69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5F489A" w14:textId="77777777" w:rsidR="00D54D6F" w:rsidRPr="00DD1E2F" w:rsidRDefault="00D54D6F" w:rsidP="0045789B">
            <w:pPr>
              <w:spacing w:after="0" w:line="240" w:lineRule="auto"/>
              <w:jc w:val="center"/>
              <w:rPr>
                <w:rFonts w:ascii="Cambria" w:hAnsi="Cambria"/>
                <w:b/>
                <w:color w:val="000000"/>
              </w:rPr>
            </w:pPr>
            <w:r w:rsidRPr="00DD1E2F">
              <w:rPr>
                <w:rFonts w:ascii="Cambria" w:hAnsi="Cambria"/>
                <w:b/>
                <w:color w:val="000000"/>
              </w:rPr>
              <w:t>Agreement clause</w:t>
            </w:r>
          </w:p>
        </w:tc>
        <w:tc>
          <w:tcPr>
            <w:tcW w:w="28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710620" w14:textId="77777777" w:rsidR="00D54D6F" w:rsidRPr="00DD1E2F" w:rsidRDefault="00D54D6F" w:rsidP="0045789B">
            <w:pPr>
              <w:spacing w:after="0" w:line="240" w:lineRule="auto"/>
              <w:jc w:val="center"/>
              <w:rPr>
                <w:rFonts w:ascii="Cambria" w:hAnsi="Cambria"/>
                <w:b/>
                <w:color w:val="000000"/>
              </w:rPr>
            </w:pPr>
            <w:r w:rsidRPr="00DD1E2F">
              <w:rPr>
                <w:rFonts w:ascii="Cambria" w:hAnsi="Cambria"/>
                <w:b/>
                <w:color w:val="000000"/>
              </w:rPr>
              <w:t>State of compliance</w:t>
            </w:r>
          </w:p>
        </w:tc>
      </w:tr>
      <w:tr w:rsidR="000E2820" w:rsidRPr="00DD1E2F" w14:paraId="2AA3D0F8" w14:textId="77777777" w:rsidTr="00DA4368">
        <w:trPr>
          <w:gridAfter w:val="1"/>
          <w:wAfter w:w="9" w:type="dxa"/>
          <w:jc w:val="center"/>
        </w:trPr>
        <w:tc>
          <w:tcPr>
            <w:tcW w:w="6984" w:type="dxa"/>
            <w:tcBorders>
              <w:top w:val="single" w:sz="4" w:space="0" w:color="auto"/>
              <w:left w:val="single" w:sz="4" w:space="0" w:color="auto"/>
              <w:bottom w:val="single" w:sz="4" w:space="0" w:color="auto"/>
              <w:right w:val="single" w:sz="4" w:space="0" w:color="auto"/>
            </w:tcBorders>
            <w:vAlign w:val="center"/>
          </w:tcPr>
          <w:p w14:paraId="362E998B" w14:textId="77777777" w:rsidR="000E2820" w:rsidRPr="00DD1E2F" w:rsidRDefault="000E2820" w:rsidP="000E2820">
            <w:pPr>
              <w:spacing w:after="0" w:line="240" w:lineRule="auto"/>
              <w:jc w:val="both"/>
              <w:rPr>
                <w:rFonts w:ascii="Cambria" w:eastAsia="Times New Roman" w:hAnsi="Cambria"/>
                <w:b/>
                <w:bCs/>
                <w:color w:val="000000"/>
              </w:rPr>
            </w:pPr>
            <w:r w:rsidRPr="00DD1E2F">
              <w:rPr>
                <w:rFonts w:ascii="Cambria" w:eastAsia="Times New Roman" w:hAnsi="Cambria"/>
                <w:b/>
                <w:bCs/>
                <w:color w:val="000000"/>
              </w:rPr>
              <w:t>IV. THE STATE’S INTERNATIONAL RESPONSIBILITY</w:t>
            </w:r>
          </w:p>
          <w:p w14:paraId="34C53626" w14:textId="77777777" w:rsidR="000E2820" w:rsidRPr="00DD1E2F" w:rsidRDefault="000E2820" w:rsidP="000E2820">
            <w:pPr>
              <w:spacing w:after="0" w:line="240" w:lineRule="auto"/>
              <w:jc w:val="both"/>
              <w:rPr>
                <w:rFonts w:ascii="Cambria" w:eastAsia="Times New Roman" w:hAnsi="Cambria"/>
                <w:color w:val="000000"/>
              </w:rPr>
            </w:pPr>
            <w:r w:rsidRPr="00DD1E2F">
              <w:rPr>
                <w:rFonts w:ascii="Cambria" w:eastAsia="Times New Roman" w:hAnsi="Cambria"/>
                <w:color w:val="000000"/>
              </w:rPr>
              <w:lastRenderedPageBreak/>
              <w:t>Based on the case history and the evidence presented at trial, and given the international nature of these violations, which occurred within the jurisdiction of the Ecuadorian state, the State expresses its willingness to accept international responsibility for the violation of Julio Robles Eras’ human rights; the State, therefore, is shouldering its duty to provide some measure of redress for the violation.</w:t>
            </w:r>
          </w:p>
          <w:p w14:paraId="0CBB22AE" w14:textId="77777777" w:rsidR="000E2820" w:rsidRPr="00DD1E2F" w:rsidRDefault="000E2820" w:rsidP="000E2820">
            <w:pPr>
              <w:spacing w:after="0" w:line="240" w:lineRule="auto"/>
              <w:ind w:left="72" w:hanging="72"/>
              <w:jc w:val="both"/>
              <w:rPr>
                <w:rFonts w:ascii="Cambria" w:eastAsia="Times New Roman" w:hAnsi="Cambria"/>
                <w:color w:val="000000"/>
              </w:rPr>
            </w:pPr>
          </w:p>
          <w:p w14:paraId="022E1CA5" w14:textId="77777777" w:rsidR="000E2820" w:rsidRPr="00DD1E2F" w:rsidRDefault="000E2820" w:rsidP="000E2820">
            <w:pPr>
              <w:spacing w:after="0" w:line="240" w:lineRule="auto"/>
              <w:jc w:val="both"/>
              <w:rPr>
                <w:rFonts w:ascii="Cambria" w:eastAsia="Times New Roman" w:hAnsi="Cambria"/>
                <w:b/>
                <w:bCs/>
                <w:color w:val="000000"/>
              </w:rPr>
            </w:pPr>
            <w:r w:rsidRPr="00DD1E2F">
              <w:rPr>
                <w:rFonts w:ascii="Cambria" w:eastAsia="Times New Roman" w:hAnsi="Cambria"/>
                <w:color w:val="000000"/>
              </w:rPr>
              <w:t>The State thus acknowledges its international responsibility for violation of the human rights recognized in articles 4 (right to life), 5 (humane treatment), 8 (judicial guarantees) and 25 (judicial protection) and the obligation undertaken in Article 1(1) (obligation to respect and ensure human rights) of the American Convention, to the detriment of Mr. Julio Robles Eras.</w:t>
            </w:r>
          </w:p>
        </w:tc>
        <w:tc>
          <w:tcPr>
            <w:tcW w:w="2826" w:type="dxa"/>
            <w:tcBorders>
              <w:top w:val="single" w:sz="4" w:space="0" w:color="auto"/>
              <w:left w:val="single" w:sz="4" w:space="0" w:color="auto"/>
              <w:bottom w:val="single" w:sz="4" w:space="0" w:color="auto"/>
              <w:right w:val="single" w:sz="4" w:space="0" w:color="auto"/>
            </w:tcBorders>
            <w:vAlign w:val="center"/>
          </w:tcPr>
          <w:p w14:paraId="3E0D9898" w14:textId="77777777" w:rsidR="000E2820" w:rsidRPr="00DD1E2F" w:rsidRDefault="000E2820" w:rsidP="0045789B">
            <w:pPr>
              <w:spacing w:after="0" w:line="240" w:lineRule="auto"/>
              <w:jc w:val="center"/>
              <w:rPr>
                <w:rFonts w:ascii="Cambria" w:hAnsi="Cambria"/>
                <w:b/>
                <w:color w:val="000000"/>
              </w:rPr>
            </w:pPr>
            <w:r w:rsidRPr="00DD1E2F">
              <w:rPr>
                <w:rFonts w:ascii="Cambria" w:hAnsi="Cambria"/>
                <w:b/>
                <w:color w:val="000000"/>
              </w:rPr>
              <w:lastRenderedPageBreak/>
              <w:t>Declarative</w:t>
            </w:r>
          </w:p>
        </w:tc>
      </w:tr>
      <w:tr w:rsidR="00583C84" w:rsidRPr="00DD1E2F" w14:paraId="1676DF59" w14:textId="77777777" w:rsidTr="00DA4368">
        <w:trPr>
          <w:gridAfter w:val="1"/>
          <w:wAfter w:w="9" w:type="dxa"/>
          <w:jc w:val="center"/>
        </w:trPr>
        <w:tc>
          <w:tcPr>
            <w:tcW w:w="6984" w:type="dxa"/>
            <w:tcBorders>
              <w:top w:val="single" w:sz="4" w:space="0" w:color="auto"/>
              <w:left w:val="single" w:sz="4" w:space="0" w:color="auto"/>
              <w:bottom w:val="single" w:sz="4" w:space="0" w:color="auto"/>
              <w:right w:val="single" w:sz="4" w:space="0" w:color="auto"/>
            </w:tcBorders>
            <w:vAlign w:val="center"/>
          </w:tcPr>
          <w:p w14:paraId="69948B17" w14:textId="77777777" w:rsidR="00583C84" w:rsidRPr="00DD1E2F" w:rsidRDefault="00583C84" w:rsidP="0045789B">
            <w:pPr>
              <w:spacing w:after="0" w:line="240" w:lineRule="auto"/>
              <w:ind w:left="72" w:hanging="72"/>
              <w:jc w:val="both"/>
              <w:rPr>
                <w:rFonts w:ascii="Cambria" w:eastAsia="Times New Roman" w:hAnsi="Cambria"/>
                <w:b/>
                <w:bCs/>
                <w:color w:val="000000"/>
              </w:rPr>
            </w:pPr>
            <w:r w:rsidRPr="00DD1E2F">
              <w:rPr>
                <w:rFonts w:ascii="Cambria" w:eastAsia="Times New Roman" w:hAnsi="Cambria"/>
                <w:b/>
                <w:bCs/>
                <w:color w:val="000000"/>
              </w:rPr>
              <w:t>V. PECUNIARY REPARATIONS</w:t>
            </w:r>
          </w:p>
          <w:p w14:paraId="02A8D8C3" w14:textId="77777777" w:rsidR="00583C84" w:rsidRPr="00DD1E2F" w:rsidRDefault="00583C84" w:rsidP="0045789B">
            <w:pPr>
              <w:spacing w:after="0" w:line="240" w:lineRule="auto"/>
              <w:jc w:val="both"/>
              <w:rPr>
                <w:rFonts w:ascii="Cambria" w:eastAsia="Times New Roman" w:hAnsi="Cambria"/>
                <w:color w:val="000000"/>
              </w:rPr>
            </w:pPr>
            <w:r w:rsidRPr="00DD1E2F">
              <w:rPr>
                <w:rFonts w:ascii="Cambria" w:eastAsia="Times New Roman" w:hAnsi="Cambria"/>
                <w:color w:val="000000"/>
              </w:rPr>
              <w:t xml:space="preserve">The Ecuadorian state pledges to pay the sum of three hundred thousand United States dollars (USD$300,000) in compensatory damages to Dr. Luis Vega Eras, the victim’s representative.  The sum that the Ecuadorian state will pay shall be exempt of any current taxes and any taxes that may one day be decreed. </w:t>
            </w:r>
          </w:p>
        </w:tc>
        <w:tc>
          <w:tcPr>
            <w:tcW w:w="2826" w:type="dxa"/>
            <w:tcBorders>
              <w:top w:val="single" w:sz="4" w:space="0" w:color="auto"/>
              <w:left w:val="single" w:sz="4" w:space="0" w:color="auto"/>
              <w:bottom w:val="single" w:sz="4" w:space="0" w:color="auto"/>
              <w:right w:val="single" w:sz="4" w:space="0" w:color="auto"/>
            </w:tcBorders>
            <w:vAlign w:val="center"/>
            <w:hideMark/>
          </w:tcPr>
          <w:p w14:paraId="2290576E" w14:textId="77777777" w:rsidR="00583C84" w:rsidRPr="00DD1E2F" w:rsidRDefault="00583C84" w:rsidP="0045789B">
            <w:pPr>
              <w:spacing w:after="0" w:line="240" w:lineRule="auto"/>
              <w:jc w:val="center"/>
              <w:rPr>
                <w:rFonts w:ascii="Cambria" w:hAnsi="Cambria"/>
                <w:color w:val="000000"/>
              </w:rPr>
            </w:pPr>
            <w:r w:rsidRPr="00DD1E2F">
              <w:rPr>
                <w:rFonts w:ascii="Cambria" w:hAnsi="Cambria"/>
                <w:b/>
                <w:color w:val="000000"/>
              </w:rPr>
              <w:t>Total</w:t>
            </w:r>
            <w:r w:rsidRPr="00DD1E2F">
              <w:rPr>
                <w:rFonts w:ascii="Cambria" w:hAnsi="Cambria"/>
                <w:color w:val="000000"/>
                <w:vertAlign w:val="superscript"/>
              </w:rPr>
              <w:footnoteReference w:id="1"/>
            </w:r>
          </w:p>
        </w:tc>
      </w:tr>
      <w:tr w:rsidR="00583C84" w:rsidRPr="00DD1E2F" w14:paraId="4457748E" w14:textId="77777777" w:rsidTr="00DA4368">
        <w:trPr>
          <w:gridAfter w:val="1"/>
          <w:wAfter w:w="9" w:type="dxa"/>
          <w:trHeight w:val="350"/>
          <w:jc w:val="center"/>
        </w:trPr>
        <w:tc>
          <w:tcPr>
            <w:tcW w:w="6984" w:type="dxa"/>
            <w:tcBorders>
              <w:top w:val="single" w:sz="4" w:space="0" w:color="auto"/>
              <w:left w:val="single" w:sz="4" w:space="0" w:color="auto"/>
              <w:bottom w:val="single" w:sz="4" w:space="0" w:color="auto"/>
              <w:right w:val="single" w:sz="4" w:space="0" w:color="auto"/>
            </w:tcBorders>
            <w:vAlign w:val="center"/>
          </w:tcPr>
          <w:p w14:paraId="69630F47" w14:textId="77777777" w:rsidR="00583C84" w:rsidRPr="00DD1E2F" w:rsidRDefault="00583C84" w:rsidP="0045789B">
            <w:pPr>
              <w:spacing w:after="0" w:line="240" w:lineRule="auto"/>
              <w:ind w:hanging="18"/>
              <w:jc w:val="both"/>
              <w:rPr>
                <w:rFonts w:ascii="Cambria" w:eastAsia="Times New Roman" w:hAnsi="Cambria"/>
                <w:b/>
                <w:color w:val="000000"/>
              </w:rPr>
            </w:pPr>
            <w:r w:rsidRPr="00DD1E2F">
              <w:rPr>
                <w:rFonts w:ascii="Cambria" w:eastAsia="Times New Roman" w:hAnsi="Cambria"/>
                <w:b/>
                <w:color w:val="000000"/>
              </w:rPr>
              <w:t>VI. NON-PECUNIARY REPARATIONS</w:t>
            </w:r>
          </w:p>
          <w:p w14:paraId="184E0E9B" w14:textId="77777777" w:rsidR="00583C84" w:rsidRPr="00DD1E2F" w:rsidRDefault="00583C84" w:rsidP="0045789B">
            <w:pPr>
              <w:spacing w:after="0" w:line="240" w:lineRule="auto"/>
              <w:ind w:hanging="18"/>
              <w:jc w:val="both"/>
              <w:rPr>
                <w:rFonts w:ascii="Cambria" w:eastAsia="Times New Roman" w:hAnsi="Cambria"/>
                <w:color w:val="000000"/>
              </w:rPr>
            </w:pPr>
            <w:r w:rsidRPr="00DD1E2F">
              <w:rPr>
                <w:rFonts w:ascii="Cambria" w:eastAsia="Times New Roman" w:hAnsi="Cambria"/>
                <w:color w:val="000000"/>
              </w:rPr>
              <w:t xml:space="preserve">To ensure a unitary system of justice in practice, the Office of the Attorney General of the State shall ensure that this principle is enforced, so that the military and police systems of justice, which now come under the Executive Branch, will become part of the Judicial Branch, in keeping with transitory provision twenty-six of the Constitution.  Until this principle becomes practice, measures will be taken to ensure that military proceedings are respectful of all judicial guarantees. </w:t>
            </w:r>
          </w:p>
          <w:p w14:paraId="059314CC" w14:textId="77777777" w:rsidR="00583C84" w:rsidRPr="00DD1E2F" w:rsidRDefault="00583C84" w:rsidP="0045789B">
            <w:pPr>
              <w:spacing w:after="0" w:line="240" w:lineRule="auto"/>
              <w:ind w:hanging="18"/>
              <w:jc w:val="both"/>
              <w:rPr>
                <w:rFonts w:ascii="Cambria" w:eastAsia="Times New Roman" w:hAnsi="Cambria"/>
                <w:color w:val="000000"/>
              </w:rPr>
            </w:pPr>
          </w:p>
          <w:p w14:paraId="76918A55" w14:textId="77777777" w:rsidR="00583C84" w:rsidRPr="00DD1E2F" w:rsidRDefault="00583C84" w:rsidP="0045789B">
            <w:pPr>
              <w:spacing w:after="0" w:line="240" w:lineRule="auto"/>
              <w:ind w:hanging="18"/>
              <w:jc w:val="both"/>
              <w:rPr>
                <w:rFonts w:ascii="Cambria" w:eastAsia="Times New Roman" w:hAnsi="Cambria"/>
                <w:color w:val="000000"/>
              </w:rPr>
            </w:pPr>
            <w:r w:rsidRPr="00DD1E2F">
              <w:rPr>
                <w:rFonts w:ascii="Cambria" w:eastAsia="Times New Roman" w:hAnsi="Cambria"/>
                <w:color w:val="000000"/>
              </w:rPr>
              <w:t>The Office of the Attorney General of the State shall make overtures to the Ministry of National Defense to do away with the routine practice of initiation procedures within the Armed Forces, which have frequently been a source of excess and offensive to human dignity.</w:t>
            </w:r>
          </w:p>
        </w:tc>
        <w:tc>
          <w:tcPr>
            <w:tcW w:w="2826" w:type="dxa"/>
            <w:tcBorders>
              <w:top w:val="single" w:sz="4" w:space="0" w:color="auto"/>
              <w:left w:val="single" w:sz="4" w:space="0" w:color="auto"/>
              <w:bottom w:val="single" w:sz="4" w:space="0" w:color="auto"/>
              <w:right w:val="single" w:sz="4" w:space="0" w:color="auto"/>
            </w:tcBorders>
            <w:vAlign w:val="center"/>
            <w:hideMark/>
          </w:tcPr>
          <w:p w14:paraId="4874CFDF" w14:textId="77777777" w:rsidR="00583C84" w:rsidRPr="00DD1E2F" w:rsidRDefault="00583C84" w:rsidP="0045789B">
            <w:pPr>
              <w:autoSpaceDE w:val="0"/>
              <w:autoSpaceDN w:val="0"/>
              <w:adjustRightInd w:val="0"/>
              <w:spacing w:after="0" w:line="240" w:lineRule="auto"/>
              <w:jc w:val="center"/>
              <w:rPr>
                <w:rFonts w:ascii="Cambria" w:eastAsia="MS Mincho" w:hAnsi="Cambria"/>
                <w:color w:val="000000"/>
              </w:rPr>
            </w:pPr>
            <w:r w:rsidRPr="00DD1E2F">
              <w:rPr>
                <w:rFonts w:ascii="Cambria" w:hAnsi="Cambria"/>
                <w:b/>
                <w:color w:val="000000"/>
              </w:rPr>
              <w:t>Total</w:t>
            </w:r>
            <w:r w:rsidRPr="00DD1E2F">
              <w:rPr>
                <w:rFonts w:ascii="Cambria" w:hAnsi="Cambria"/>
                <w:color w:val="000000"/>
                <w:vertAlign w:val="superscript"/>
              </w:rPr>
              <w:footnoteReference w:id="2"/>
            </w:r>
          </w:p>
        </w:tc>
      </w:tr>
      <w:tr w:rsidR="00DA4368" w:rsidRPr="00DD1E2F" w14:paraId="6CB4FC92" w14:textId="77777777" w:rsidTr="00DA4368">
        <w:trPr>
          <w:trHeight w:val="350"/>
          <w:jc w:val="center"/>
        </w:trPr>
        <w:tc>
          <w:tcPr>
            <w:tcW w:w="6984" w:type="dxa"/>
            <w:tcBorders>
              <w:top w:val="single" w:sz="4" w:space="0" w:color="auto"/>
              <w:left w:val="single" w:sz="4" w:space="0" w:color="auto"/>
              <w:bottom w:val="single" w:sz="4" w:space="0" w:color="auto"/>
              <w:right w:val="single" w:sz="4" w:space="0" w:color="auto"/>
            </w:tcBorders>
          </w:tcPr>
          <w:p w14:paraId="6A1F3D8E" w14:textId="77777777" w:rsidR="00DA4368" w:rsidRPr="00DD1E2F" w:rsidRDefault="00DA4368" w:rsidP="0045789B">
            <w:pPr>
              <w:spacing w:after="0" w:line="240" w:lineRule="auto"/>
              <w:ind w:hanging="18"/>
              <w:jc w:val="both"/>
              <w:rPr>
                <w:rFonts w:ascii="Cambria" w:eastAsia="Times New Roman" w:hAnsi="Cambria"/>
                <w:b/>
                <w:color w:val="000000"/>
              </w:rPr>
            </w:pPr>
            <w:r w:rsidRPr="00DD1E2F">
              <w:rPr>
                <w:rFonts w:ascii="Cambria" w:eastAsia="Times New Roman" w:hAnsi="Cambria"/>
                <w:b/>
                <w:color w:val="000000"/>
              </w:rPr>
              <w:t xml:space="preserve">VII. THE RIGHT TO THE TRUTH OF THE VICTIM’S FAMILY MEMBERS AND THE RIGHT OF RECOURSE AGAINST THE RESPONSIBLE PARTIES </w:t>
            </w:r>
          </w:p>
          <w:p w14:paraId="4B8965D9" w14:textId="77777777" w:rsidR="00DA4368" w:rsidRPr="00DD1E2F" w:rsidRDefault="00DA4368" w:rsidP="0045789B">
            <w:pPr>
              <w:spacing w:after="0" w:line="240" w:lineRule="auto"/>
              <w:ind w:hanging="18"/>
              <w:jc w:val="both"/>
              <w:rPr>
                <w:rFonts w:ascii="Cambria" w:eastAsia="Times New Roman" w:hAnsi="Cambria"/>
                <w:color w:val="000000"/>
              </w:rPr>
            </w:pPr>
            <w:r w:rsidRPr="00DD1E2F">
              <w:rPr>
                <w:rFonts w:ascii="Cambria" w:eastAsia="Times New Roman" w:hAnsi="Cambria"/>
                <w:color w:val="000000"/>
              </w:rPr>
              <w:t xml:space="preserve">The Ecuadorian state shall do everything within its power to ensure that the persons who participated in the act that violated the victim’s human rights and that engaged the state’s international responsibility, shall face civil and criminal liability. </w:t>
            </w:r>
          </w:p>
          <w:p w14:paraId="711519EF" w14:textId="77777777" w:rsidR="00DA4368" w:rsidRPr="00DD1E2F" w:rsidRDefault="00DA4368" w:rsidP="0045789B">
            <w:pPr>
              <w:spacing w:after="0" w:line="240" w:lineRule="auto"/>
              <w:ind w:hanging="18"/>
              <w:jc w:val="both"/>
              <w:rPr>
                <w:rFonts w:ascii="Cambria" w:eastAsia="Times New Roman" w:hAnsi="Cambria"/>
                <w:color w:val="000000"/>
              </w:rPr>
            </w:pPr>
          </w:p>
          <w:p w14:paraId="5190D970" w14:textId="77777777" w:rsidR="00DA4368" w:rsidRPr="00DD1E2F" w:rsidRDefault="00DA4368" w:rsidP="0045789B">
            <w:pPr>
              <w:spacing w:after="0" w:line="240" w:lineRule="auto"/>
              <w:ind w:hanging="18"/>
              <w:jc w:val="both"/>
              <w:rPr>
                <w:rFonts w:ascii="Cambria" w:eastAsia="Times New Roman" w:hAnsi="Cambria"/>
                <w:color w:val="000000"/>
              </w:rPr>
            </w:pPr>
            <w:r w:rsidRPr="00DD1E2F">
              <w:rPr>
                <w:rFonts w:ascii="Cambria" w:eastAsia="Times New Roman" w:hAnsi="Cambria"/>
                <w:color w:val="000000"/>
              </w:rPr>
              <w:t xml:space="preserve">The state reserves exercise of the right of recourse against the former officers that the military courts convicted of violating Mr. Robles Eras’ right to life. It shall exercise this right in accordance </w:t>
            </w:r>
            <w:r w:rsidRPr="00DD1E2F">
              <w:rPr>
                <w:rFonts w:ascii="Cambria" w:eastAsia="Times New Roman" w:hAnsi="Cambria"/>
                <w:color w:val="000000"/>
              </w:rPr>
              <w:lastRenderedPageBreak/>
              <w:t xml:space="preserve">with Article 22 of the Constitution. </w:t>
            </w:r>
          </w:p>
          <w:p w14:paraId="3CF28204" w14:textId="77777777" w:rsidR="00DA4368" w:rsidRPr="00DD1E2F" w:rsidRDefault="00DA4368" w:rsidP="0045789B">
            <w:pPr>
              <w:spacing w:after="0" w:line="240" w:lineRule="auto"/>
              <w:ind w:hanging="18"/>
              <w:jc w:val="both"/>
              <w:rPr>
                <w:rFonts w:ascii="Cambria" w:eastAsia="Times New Roman" w:hAnsi="Cambria"/>
                <w:color w:val="000000"/>
              </w:rPr>
            </w:pPr>
          </w:p>
          <w:p w14:paraId="3E72B59C" w14:textId="77777777" w:rsidR="00DA4368" w:rsidRPr="00DD1E2F" w:rsidRDefault="00DA4368" w:rsidP="0045789B">
            <w:pPr>
              <w:spacing w:after="0" w:line="240" w:lineRule="auto"/>
              <w:ind w:hanging="18"/>
              <w:jc w:val="both"/>
              <w:rPr>
                <w:rFonts w:ascii="Cambria" w:eastAsia="Times New Roman" w:hAnsi="Cambria"/>
                <w:color w:val="000000"/>
              </w:rPr>
            </w:pPr>
            <w:r w:rsidRPr="00DD1E2F">
              <w:rPr>
                <w:rFonts w:ascii="Cambria" w:eastAsia="Times New Roman" w:hAnsi="Cambria"/>
                <w:color w:val="000000"/>
              </w:rPr>
              <w:t>The Office of the Attorney General of the State shall present all the necessary documents to enable the Public Prosecutor’s Office and the Judicial Investigation Service to investigate the violations of Mr. Robles Eras’ right to personal integrity.  Once the circumstances of Sub-Lieutenant Robles Eras’ death are known, i.e., once the culpable parties’ degree of blame has been established and they are sentenced accordingly, the final judgment shall be sufficient for the state to reclaim damages from the convicted former officers.</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1ADF990" w14:textId="77777777" w:rsidR="00DA4368" w:rsidRPr="00DD1E2F" w:rsidRDefault="00DA4368" w:rsidP="0045789B">
            <w:pPr>
              <w:spacing w:after="0" w:line="240" w:lineRule="auto"/>
              <w:jc w:val="center"/>
              <w:rPr>
                <w:rFonts w:ascii="Cambria" w:hAnsi="Cambria"/>
                <w:b/>
                <w:color w:val="000000"/>
              </w:rPr>
            </w:pPr>
          </w:p>
          <w:p w14:paraId="1A4BE5A0" w14:textId="77777777" w:rsidR="00DA4368" w:rsidRPr="00DD1E2F" w:rsidRDefault="000E2820" w:rsidP="0045789B">
            <w:pPr>
              <w:spacing w:after="0" w:line="240" w:lineRule="auto"/>
              <w:contextualSpacing/>
              <w:jc w:val="center"/>
              <w:rPr>
                <w:rFonts w:ascii="Cambria" w:eastAsia="MS Mincho" w:hAnsi="Cambria"/>
                <w:color w:val="000000"/>
              </w:rPr>
            </w:pPr>
            <w:r w:rsidRPr="00DD1E2F">
              <w:rPr>
                <w:rFonts w:ascii="Cambria" w:eastAsia="MS Mincho" w:hAnsi="Cambria"/>
                <w:b/>
                <w:bCs/>
                <w:color w:val="000000"/>
              </w:rPr>
              <w:t>Noncompliance</w:t>
            </w:r>
            <w:r w:rsidR="00DA4368" w:rsidRPr="00DD1E2F">
              <w:rPr>
                <w:rStyle w:val="FootnoteReference"/>
                <w:rFonts w:ascii="Cambria" w:eastAsia="MS Mincho" w:hAnsi="Cambria"/>
                <w:b/>
                <w:bCs/>
                <w:color w:val="000000"/>
              </w:rPr>
              <w:footnoteReference w:id="3"/>
            </w:r>
          </w:p>
        </w:tc>
      </w:tr>
    </w:tbl>
    <w:p w14:paraId="764A57E2" w14:textId="77777777" w:rsidR="00583C84" w:rsidRPr="00DD1E2F" w:rsidRDefault="00583C84" w:rsidP="0045789B">
      <w:pPr>
        <w:spacing w:after="0" w:line="240" w:lineRule="auto"/>
        <w:rPr>
          <w:rFonts w:ascii="Cambria" w:eastAsia="Batang" w:hAnsi="Cambria"/>
          <w:color w:val="000000"/>
        </w:rPr>
      </w:pPr>
    </w:p>
    <w:p w14:paraId="1D1A7A35" w14:textId="77777777" w:rsidR="00583C84" w:rsidRPr="00DD1E2F" w:rsidRDefault="00583C84" w:rsidP="00AD711F">
      <w:pPr>
        <w:numPr>
          <w:ilvl w:val="0"/>
          <w:numId w:val="83"/>
        </w:numPr>
        <w:autoSpaceDE w:val="0"/>
        <w:autoSpaceDN w:val="0"/>
        <w:adjustRightInd w:val="0"/>
        <w:spacing w:after="0" w:line="240" w:lineRule="auto"/>
        <w:ind w:left="-142" w:firstLine="710"/>
        <w:jc w:val="both"/>
        <w:rPr>
          <w:rFonts w:ascii="Cambria" w:eastAsia="Batang" w:hAnsi="Cambria"/>
          <w:color w:val="000000"/>
        </w:rPr>
      </w:pPr>
      <w:r w:rsidRPr="00DD1E2F">
        <w:rPr>
          <w:rFonts w:ascii="Cambria" w:eastAsia="Batang" w:hAnsi="Cambria" w:cs="Calibri Light"/>
          <w:b/>
          <w:color w:val="000000"/>
        </w:rPr>
        <w:t>LEVEL OF COMPLIANCE OF THE CASE</w:t>
      </w:r>
    </w:p>
    <w:p w14:paraId="1BCEF589" w14:textId="77777777" w:rsidR="00583C84" w:rsidRPr="00DD1E2F" w:rsidRDefault="00583C84" w:rsidP="0045789B">
      <w:pPr>
        <w:autoSpaceDE w:val="0"/>
        <w:autoSpaceDN w:val="0"/>
        <w:adjustRightInd w:val="0"/>
        <w:spacing w:after="0" w:line="240" w:lineRule="auto"/>
        <w:ind w:left="-142" w:firstLine="710"/>
        <w:jc w:val="both"/>
        <w:rPr>
          <w:rFonts w:ascii="Cambria" w:eastAsia="Batang" w:hAnsi="Cambria"/>
          <w:color w:val="000000"/>
        </w:rPr>
      </w:pPr>
    </w:p>
    <w:p w14:paraId="6DAE37AC" w14:textId="77777777" w:rsidR="00583C84" w:rsidRPr="00DD1E2F" w:rsidRDefault="00583C84" w:rsidP="00AD711F">
      <w:pPr>
        <w:numPr>
          <w:ilvl w:val="0"/>
          <w:numId w:val="86"/>
        </w:numPr>
        <w:autoSpaceDE w:val="0"/>
        <w:autoSpaceDN w:val="0"/>
        <w:adjustRightInd w:val="0"/>
        <w:spacing w:after="0" w:line="240" w:lineRule="auto"/>
        <w:ind w:left="-142" w:firstLine="710"/>
        <w:jc w:val="both"/>
        <w:rPr>
          <w:rFonts w:ascii="Cambria" w:eastAsia="Batang" w:hAnsi="Cambria" w:cs="Calibri Light"/>
          <w:b/>
          <w:color w:val="000000"/>
        </w:rPr>
      </w:pPr>
      <w:r w:rsidRPr="00DD1E2F">
        <w:rPr>
          <w:rFonts w:ascii="Cambria" w:eastAsia="Times New Roman" w:hAnsi="Cambria" w:cs="Calibri"/>
          <w:color w:val="000000"/>
          <w:lang w:eastAsia="es-ES_tradnl"/>
        </w:rPr>
        <w:t xml:space="preserve">The Commission assessed the request filed on January 17, </w:t>
      </w:r>
      <w:r w:rsidR="000E2820" w:rsidRPr="00DD1E2F">
        <w:rPr>
          <w:rFonts w:ascii="Cambria" w:eastAsia="Times New Roman" w:hAnsi="Cambria" w:cs="Calibri"/>
          <w:color w:val="000000"/>
          <w:lang w:eastAsia="es-ES_tradnl"/>
        </w:rPr>
        <w:t>2020,</w:t>
      </w:r>
      <w:r w:rsidRPr="00DD1E2F">
        <w:rPr>
          <w:rFonts w:ascii="Cambria" w:eastAsia="Times New Roman" w:hAnsi="Cambria" w:cs="Calibri"/>
          <w:color w:val="000000"/>
          <w:lang w:eastAsia="es-ES_tradnl"/>
        </w:rPr>
        <w:t xml:space="preserve"> by the petitioners seeking termination of supervision of the agreement and archiving of the case, given that they </w:t>
      </w:r>
      <w:r w:rsidR="00B238D3" w:rsidRPr="00DD1E2F">
        <w:rPr>
          <w:rFonts w:ascii="Cambria" w:eastAsia="Times New Roman" w:hAnsi="Cambria" w:cs="Calibri"/>
          <w:color w:val="000000"/>
          <w:lang w:eastAsia="es-ES_tradnl"/>
        </w:rPr>
        <w:t>were</w:t>
      </w:r>
      <w:r w:rsidRPr="00DD1E2F">
        <w:rPr>
          <w:rFonts w:ascii="Cambria" w:eastAsia="Times New Roman" w:hAnsi="Cambria" w:cs="Calibri"/>
          <w:color w:val="000000"/>
          <w:lang w:eastAsia="es-ES_tradnl"/>
        </w:rPr>
        <w:t xml:space="preserve"> unable to contact the victims of the case. In this respect, the Commission decided to cease supervision of the friendly settlement agreement and archive the case, noting on the record in the Annual Report that the measure of justice was not complied by the Ecuadorian State and that the level of compliance of the agreement is partial.</w:t>
      </w:r>
    </w:p>
    <w:p w14:paraId="4F9AB672" w14:textId="77777777" w:rsidR="00583C84" w:rsidRPr="00DD1E2F" w:rsidRDefault="00583C84" w:rsidP="0045789B">
      <w:pPr>
        <w:autoSpaceDE w:val="0"/>
        <w:autoSpaceDN w:val="0"/>
        <w:adjustRightInd w:val="0"/>
        <w:spacing w:after="0" w:line="240" w:lineRule="auto"/>
        <w:ind w:left="-142" w:firstLine="710"/>
        <w:jc w:val="both"/>
        <w:rPr>
          <w:rFonts w:ascii="Cambria" w:eastAsia="Batang" w:hAnsi="Cambria" w:cs="Calibri Light"/>
          <w:b/>
          <w:color w:val="000000"/>
        </w:rPr>
      </w:pPr>
    </w:p>
    <w:p w14:paraId="7D562214" w14:textId="77777777" w:rsidR="00583C84" w:rsidRPr="00DD1E2F" w:rsidRDefault="00583C84" w:rsidP="00AD711F">
      <w:pPr>
        <w:numPr>
          <w:ilvl w:val="0"/>
          <w:numId w:val="83"/>
        </w:numPr>
        <w:autoSpaceDE w:val="0"/>
        <w:autoSpaceDN w:val="0"/>
        <w:adjustRightInd w:val="0"/>
        <w:spacing w:after="0" w:line="240" w:lineRule="auto"/>
        <w:ind w:left="-142" w:firstLine="710"/>
        <w:jc w:val="both"/>
        <w:rPr>
          <w:rFonts w:ascii="Cambria" w:eastAsia="Batang" w:hAnsi="Cambria" w:cs="Calibri Light"/>
          <w:b/>
          <w:color w:val="000000"/>
        </w:rPr>
      </w:pPr>
      <w:r w:rsidRPr="00DD1E2F">
        <w:rPr>
          <w:rFonts w:ascii="Cambria" w:eastAsia="Batang" w:hAnsi="Cambria" w:cs="Calibri Light"/>
          <w:b/>
          <w:color w:val="000000"/>
        </w:rPr>
        <w:t xml:space="preserve">INDIVIDUAL AND STRUCTURAL OUTCOMES OF THE CASE </w:t>
      </w:r>
    </w:p>
    <w:p w14:paraId="6C666455" w14:textId="77777777" w:rsidR="00583C84" w:rsidRPr="00DD1E2F" w:rsidRDefault="00583C84" w:rsidP="0045789B">
      <w:pPr>
        <w:spacing w:after="0" w:line="240" w:lineRule="auto"/>
        <w:ind w:left="-142" w:firstLine="710"/>
        <w:contextualSpacing/>
        <w:jc w:val="both"/>
        <w:rPr>
          <w:rFonts w:ascii="Cambria" w:eastAsia="Batang" w:hAnsi="Cambria" w:cs="Calibri Light"/>
          <w:b/>
          <w:color w:val="000000"/>
        </w:rPr>
      </w:pPr>
    </w:p>
    <w:p w14:paraId="2F23EF84" w14:textId="77777777" w:rsidR="00583C84" w:rsidRPr="00DD1E2F" w:rsidRDefault="00D54D6F" w:rsidP="00AD711F">
      <w:pPr>
        <w:numPr>
          <w:ilvl w:val="0"/>
          <w:numId w:val="84"/>
        </w:numPr>
        <w:spacing w:after="0" w:line="240" w:lineRule="auto"/>
        <w:ind w:left="-142" w:firstLine="710"/>
        <w:contextualSpacing/>
        <w:jc w:val="both"/>
        <w:rPr>
          <w:rFonts w:ascii="Cambria" w:eastAsia="Batang" w:hAnsi="Cambria" w:cs="Calibri Light"/>
          <w:b/>
          <w:color w:val="000000"/>
        </w:rPr>
      </w:pPr>
      <w:r w:rsidRPr="00DD1E2F">
        <w:rPr>
          <w:rFonts w:ascii="Cambria" w:eastAsia="Batang" w:hAnsi="Cambria" w:cs="Calibri Light"/>
          <w:b/>
          <w:color w:val="000000"/>
        </w:rPr>
        <w:t>Individual outcomes of the case</w:t>
      </w:r>
    </w:p>
    <w:p w14:paraId="10A85E51" w14:textId="77777777" w:rsidR="00D54D6F" w:rsidRPr="00DD1E2F" w:rsidRDefault="00D54D6F" w:rsidP="0045789B">
      <w:pPr>
        <w:spacing w:after="0" w:line="240" w:lineRule="auto"/>
        <w:ind w:left="568"/>
        <w:contextualSpacing/>
        <w:jc w:val="both"/>
        <w:rPr>
          <w:rFonts w:ascii="Cambria" w:eastAsia="Batang" w:hAnsi="Cambria" w:cs="Calibri Light"/>
          <w:b/>
          <w:color w:val="000000"/>
        </w:rPr>
      </w:pPr>
    </w:p>
    <w:p w14:paraId="26370838" w14:textId="77777777" w:rsidR="00583C84" w:rsidRPr="00DD1E2F" w:rsidRDefault="00583C84" w:rsidP="0045789B">
      <w:pPr>
        <w:spacing w:after="0" w:line="240" w:lineRule="auto"/>
        <w:ind w:left="-142" w:firstLine="710"/>
        <w:contextualSpacing/>
        <w:jc w:val="both"/>
        <w:rPr>
          <w:rFonts w:ascii="Cambria" w:eastAsia="Batang" w:hAnsi="Cambria"/>
          <w:color w:val="000000"/>
        </w:rPr>
      </w:pPr>
      <w:r w:rsidRPr="00DD1E2F">
        <w:rPr>
          <w:rFonts w:ascii="Cambria" w:eastAsia="Batang" w:hAnsi="Cambria"/>
          <w:color w:val="000000"/>
        </w:rPr>
        <w:t>•</w:t>
      </w:r>
      <w:r w:rsidRPr="00DD1E2F">
        <w:rPr>
          <w:rFonts w:ascii="Cambria" w:eastAsia="Batang" w:hAnsi="Cambria"/>
          <w:color w:val="000000"/>
        </w:rPr>
        <w:tab/>
      </w:r>
      <w:r w:rsidR="0073273B" w:rsidRPr="00DD1E2F">
        <w:rPr>
          <w:rFonts w:ascii="Cambria" w:eastAsia="Batang" w:hAnsi="Cambria"/>
          <w:color w:val="000000"/>
        </w:rPr>
        <w:t xml:space="preserve">               </w:t>
      </w:r>
      <w:r w:rsidRPr="00DD1E2F">
        <w:rPr>
          <w:rFonts w:ascii="Cambria" w:eastAsia="Batang" w:hAnsi="Cambria"/>
          <w:color w:val="000000"/>
        </w:rPr>
        <w:t>The State paid financial compensation, as set forth under the agreement.</w:t>
      </w:r>
    </w:p>
    <w:p w14:paraId="28430810" w14:textId="77777777" w:rsidR="00583C84" w:rsidRPr="00DD1E2F" w:rsidRDefault="00583C84" w:rsidP="0045789B">
      <w:pPr>
        <w:spacing w:after="0" w:line="240" w:lineRule="auto"/>
        <w:ind w:left="-142" w:firstLine="710"/>
        <w:contextualSpacing/>
        <w:jc w:val="both"/>
        <w:rPr>
          <w:rFonts w:ascii="Cambria" w:eastAsia="Batang" w:hAnsi="Cambria" w:cs="Calibri Light"/>
          <w:b/>
          <w:color w:val="000000"/>
        </w:rPr>
      </w:pPr>
    </w:p>
    <w:p w14:paraId="2E991EBD" w14:textId="77777777" w:rsidR="00583C84" w:rsidRPr="00DD1E2F" w:rsidRDefault="00D54D6F" w:rsidP="00AD711F">
      <w:pPr>
        <w:numPr>
          <w:ilvl w:val="0"/>
          <w:numId w:val="84"/>
        </w:numPr>
        <w:spacing w:after="0" w:line="240" w:lineRule="auto"/>
        <w:ind w:left="-142" w:firstLine="710"/>
        <w:contextualSpacing/>
        <w:jc w:val="both"/>
        <w:rPr>
          <w:rFonts w:ascii="Cambria" w:eastAsia="Batang" w:hAnsi="Cambria" w:cs="Calibri Light"/>
          <w:b/>
          <w:color w:val="000000"/>
        </w:rPr>
      </w:pPr>
      <w:r w:rsidRPr="00DD1E2F">
        <w:rPr>
          <w:rFonts w:ascii="Cambria" w:eastAsia="Batang" w:hAnsi="Cambria" w:cs="Calibri Light"/>
          <w:b/>
          <w:color w:val="000000"/>
        </w:rPr>
        <w:t>Structural outcomes of the case</w:t>
      </w:r>
    </w:p>
    <w:p w14:paraId="433CF2BB" w14:textId="77777777" w:rsidR="00D54D6F" w:rsidRPr="00DD1E2F" w:rsidRDefault="00D54D6F" w:rsidP="0045789B">
      <w:pPr>
        <w:spacing w:after="0" w:line="240" w:lineRule="auto"/>
        <w:ind w:left="568"/>
        <w:contextualSpacing/>
        <w:jc w:val="both"/>
        <w:rPr>
          <w:rFonts w:ascii="Cambria" w:eastAsia="Batang" w:hAnsi="Cambria" w:cs="Calibri Light"/>
          <w:b/>
          <w:color w:val="000000"/>
        </w:rPr>
      </w:pPr>
    </w:p>
    <w:p w14:paraId="1438C102" w14:textId="77777777" w:rsidR="00D54D6F" w:rsidRPr="00DD1E2F" w:rsidRDefault="0073273B" w:rsidP="00AD711F">
      <w:pPr>
        <w:numPr>
          <w:ilvl w:val="0"/>
          <w:numId w:val="85"/>
        </w:numPr>
        <w:spacing w:after="0" w:line="240" w:lineRule="auto"/>
        <w:ind w:left="-142" w:firstLine="710"/>
        <w:contextualSpacing/>
        <w:jc w:val="both"/>
        <w:rPr>
          <w:rFonts w:ascii="Cambria" w:eastAsia="Batang" w:hAnsi="Cambria"/>
          <w:color w:val="000000"/>
        </w:rPr>
      </w:pPr>
      <w:r w:rsidRPr="00DD1E2F">
        <w:rPr>
          <w:rFonts w:ascii="Cambria" w:eastAsia="Batang" w:hAnsi="Cambria"/>
          <w:color w:val="000000"/>
        </w:rPr>
        <w:t xml:space="preserve">               </w:t>
      </w:r>
      <w:r w:rsidR="00583C84" w:rsidRPr="00DD1E2F">
        <w:rPr>
          <w:rFonts w:ascii="Cambria" w:eastAsia="Batang" w:hAnsi="Cambria"/>
          <w:color w:val="000000"/>
        </w:rPr>
        <w:t>The State banned the practice of “hazing” in the armed forces.</w:t>
      </w:r>
    </w:p>
    <w:p w14:paraId="605131BB" w14:textId="77777777" w:rsidR="00D54D6F" w:rsidRDefault="00D54D6F" w:rsidP="00BE01CC">
      <w:pPr>
        <w:spacing w:after="0" w:line="240" w:lineRule="auto"/>
        <w:contextualSpacing/>
        <w:jc w:val="both"/>
        <w:rPr>
          <w:rFonts w:ascii="Cambria" w:eastAsia="Batang" w:hAnsi="Cambria"/>
          <w:color w:val="000000"/>
        </w:rPr>
      </w:pPr>
    </w:p>
    <w:p w14:paraId="25EDC221" w14:textId="77777777" w:rsidR="00BE01CC" w:rsidRDefault="00BE01CC" w:rsidP="00BE01CC">
      <w:pPr>
        <w:spacing w:after="0" w:line="240" w:lineRule="auto"/>
        <w:contextualSpacing/>
        <w:jc w:val="both"/>
        <w:rPr>
          <w:rFonts w:ascii="Cambria" w:eastAsia="Batang" w:hAnsi="Cambria"/>
          <w:color w:val="000000"/>
        </w:rPr>
      </w:pPr>
    </w:p>
    <w:sectPr w:rsidR="00BE01CC" w:rsidSect="008E42E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2CCA5" w14:textId="77777777" w:rsidR="00E76706" w:rsidRDefault="00E76706" w:rsidP="00A343FF">
      <w:pPr>
        <w:spacing w:after="0" w:line="240" w:lineRule="auto"/>
      </w:pPr>
      <w:r>
        <w:separator/>
      </w:r>
    </w:p>
  </w:endnote>
  <w:endnote w:type="continuationSeparator" w:id="0">
    <w:p w14:paraId="7833F6BB" w14:textId="77777777" w:rsidR="00E76706" w:rsidRDefault="00E76706"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B043" w14:textId="77777777" w:rsidR="00561C07" w:rsidRDefault="00561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9748" w14:textId="77777777" w:rsidR="006D7134" w:rsidRPr="00A61B5E" w:rsidRDefault="006D7134">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CA5D4D">
      <w:rPr>
        <w:noProof/>
        <w:color w:val="404040"/>
        <w:sz w:val="16"/>
        <w:szCs w:val="16"/>
      </w:rPr>
      <w:t>21</w:t>
    </w:r>
    <w:r w:rsidRPr="00A61B5E">
      <w:rPr>
        <w:noProof/>
        <w:color w:val="404040"/>
        <w:sz w:val="16"/>
        <w:szCs w:val="16"/>
      </w:rPr>
      <w:fldChar w:fldCharType="end"/>
    </w:r>
  </w:p>
  <w:p w14:paraId="36357D1F" w14:textId="77777777" w:rsidR="006D7134" w:rsidRDefault="006D7134" w:rsidP="008550EF">
    <w:pPr>
      <w:pStyle w:val="Footer"/>
      <w:spacing w:line="360" w:lineRule="auto"/>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3A07" w14:textId="77777777" w:rsidR="006D7134" w:rsidRDefault="00053506" w:rsidP="008F2248">
    <w:pPr>
      <w:pStyle w:val="Footer"/>
      <w:spacing w:line="360" w:lineRule="auto"/>
    </w:pPr>
    <w:r>
      <w:pict w14:anchorId="7A8F4E14">
        <v:rect id="_x0000_i1028" style="width:0;height:1.5pt" o:hralign="center" o:hrstd="t" o:hr="t" fillcolor="#a0a0a0" stroked="f"/>
      </w:pict>
    </w:r>
  </w:p>
  <w:p w14:paraId="5603FA41" w14:textId="77777777" w:rsidR="006D7134" w:rsidRDefault="00053506" w:rsidP="006E2BD8">
    <w:pPr>
      <w:pStyle w:val="Footer"/>
      <w:jc w:val="center"/>
    </w:pPr>
    <w:r>
      <w:pict w14:anchorId="54EB0D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1.85pt;height:24.65pt">
          <v:imagedata r:id="rId1" o:title="footer-es"/>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D34BF" w14:textId="77777777" w:rsidR="00E76706" w:rsidRDefault="00E76706" w:rsidP="00A343FF">
      <w:pPr>
        <w:spacing w:after="0" w:line="240" w:lineRule="auto"/>
      </w:pPr>
      <w:r>
        <w:separator/>
      </w:r>
    </w:p>
  </w:footnote>
  <w:footnote w:type="continuationSeparator" w:id="0">
    <w:p w14:paraId="1DF39542" w14:textId="77777777" w:rsidR="00E76706" w:rsidRDefault="00E76706" w:rsidP="00A343FF">
      <w:pPr>
        <w:spacing w:after="0" w:line="240" w:lineRule="auto"/>
      </w:pPr>
      <w:r>
        <w:continuationSeparator/>
      </w:r>
    </w:p>
  </w:footnote>
  <w:footnote w:id="1">
    <w:p w14:paraId="66B35D42" w14:textId="77777777" w:rsidR="006D7134" w:rsidRDefault="006D7134" w:rsidP="00583C84">
      <w:pPr>
        <w:pStyle w:val="FootnoteText"/>
        <w:ind w:firstLine="720"/>
        <w:jc w:val="both"/>
        <w:rPr>
          <w:rFonts w:ascii="Cambria" w:hAnsi="Cambria" w:cs="Calibri"/>
          <w:color w:val="000000"/>
          <w:sz w:val="16"/>
          <w:szCs w:val="16"/>
        </w:rPr>
      </w:pPr>
      <w:r>
        <w:rPr>
          <w:rStyle w:val="FootnoteReference"/>
          <w:rFonts w:ascii="Cambria" w:hAnsi="Cambria" w:cs="Calibri"/>
          <w:color w:val="000000"/>
          <w:sz w:val="16"/>
          <w:szCs w:val="16"/>
        </w:rPr>
        <w:footnoteRef/>
      </w:r>
      <w:r>
        <w:rPr>
          <w:rFonts w:ascii="Cambria" w:hAnsi="Cambria" w:cs="Calibri"/>
          <w:color w:val="000000"/>
          <w:sz w:val="16"/>
          <w:szCs w:val="16"/>
        </w:rPr>
        <w:t xml:space="preserve"> Report No. 122/12</w:t>
      </w:r>
      <w:r>
        <w:rPr>
          <w:rFonts w:ascii="Cambria" w:hAnsi="Cambria" w:cs="Calibri"/>
          <w:b/>
          <w:color w:val="000000"/>
          <w:sz w:val="16"/>
          <w:szCs w:val="16"/>
        </w:rPr>
        <w:t xml:space="preserve">, </w:t>
      </w:r>
      <w:r>
        <w:rPr>
          <w:rFonts w:ascii="Cambria" w:hAnsi="Cambria" w:cs="Calibri"/>
          <w:color w:val="000000"/>
          <w:sz w:val="16"/>
          <w:szCs w:val="16"/>
        </w:rPr>
        <w:t>Petition 533-05, Julio Rubén Robles Eras, November 13, 2012.</w:t>
      </w:r>
    </w:p>
  </w:footnote>
  <w:footnote w:id="2">
    <w:p w14:paraId="0A0DA0E5" w14:textId="77777777" w:rsidR="006D7134" w:rsidRDefault="006D7134" w:rsidP="00583C84">
      <w:pPr>
        <w:pStyle w:val="FootnoteText"/>
        <w:ind w:firstLine="720"/>
        <w:jc w:val="both"/>
        <w:rPr>
          <w:rFonts w:ascii="Cambria" w:hAnsi="Cambria" w:cs="Calibri"/>
          <w:color w:val="000000"/>
          <w:sz w:val="16"/>
          <w:szCs w:val="16"/>
        </w:rPr>
      </w:pPr>
      <w:r>
        <w:rPr>
          <w:rStyle w:val="FootnoteReference"/>
          <w:rFonts w:ascii="Cambria" w:hAnsi="Cambria" w:cs="Calibri"/>
          <w:color w:val="000000"/>
          <w:sz w:val="16"/>
          <w:szCs w:val="16"/>
          <w:lang w:val="en-CA"/>
        </w:rPr>
        <w:footnoteRef/>
      </w:r>
      <w:r>
        <w:rPr>
          <w:rFonts w:ascii="Cambria" w:hAnsi="Cambria" w:cs="Calibri"/>
          <w:color w:val="000000"/>
          <w:sz w:val="16"/>
          <w:szCs w:val="16"/>
        </w:rPr>
        <w:t xml:space="preserve"> Report No. 122/12</w:t>
      </w:r>
      <w:r>
        <w:rPr>
          <w:rFonts w:ascii="Cambria" w:hAnsi="Cambria" w:cs="Calibri"/>
          <w:b/>
          <w:color w:val="000000"/>
          <w:sz w:val="16"/>
          <w:szCs w:val="16"/>
        </w:rPr>
        <w:t xml:space="preserve">, </w:t>
      </w:r>
      <w:r>
        <w:rPr>
          <w:rFonts w:ascii="Cambria" w:hAnsi="Cambria" w:cs="Calibri"/>
          <w:color w:val="000000"/>
          <w:sz w:val="16"/>
          <w:szCs w:val="16"/>
        </w:rPr>
        <w:t xml:space="preserve">Petition 533-05, Julio Rubén Robles Eras, November 13, 2012. </w:t>
      </w:r>
    </w:p>
  </w:footnote>
  <w:footnote w:id="3">
    <w:p w14:paraId="47E22498" w14:textId="77777777" w:rsidR="00DA4368" w:rsidRPr="001800DD" w:rsidRDefault="00DA4368" w:rsidP="00583C84">
      <w:pPr>
        <w:pStyle w:val="FootnoteText"/>
        <w:ind w:firstLine="720"/>
        <w:jc w:val="both"/>
      </w:pPr>
      <w:r>
        <w:rPr>
          <w:rStyle w:val="FootnoteReference"/>
          <w:rFonts w:ascii="Cambria" w:hAnsi="Cambria" w:cs="Calibri"/>
          <w:sz w:val="16"/>
          <w:szCs w:val="16"/>
        </w:rPr>
        <w:footnoteRef/>
      </w:r>
      <w:r>
        <w:rPr>
          <w:rFonts w:ascii="Cambria" w:hAnsi="Cambria" w:cs="Calibri"/>
          <w:sz w:val="16"/>
          <w:szCs w:val="16"/>
        </w:rPr>
        <w:t xml:space="preserve"> See IACHR, Annual Report 2020, Chapter II, Section G. Friendly Settlements. Available at: </w:t>
      </w:r>
      <w:hyperlink r:id="rId1" w:history="1">
        <w:r>
          <w:rPr>
            <w:rStyle w:val="Hyperlink"/>
            <w:rFonts w:ascii="Cambria" w:hAnsi="Cambria" w:cs="Calibri"/>
            <w:sz w:val="16"/>
            <w:szCs w:val="16"/>
          </w:rPr>
          <w:t>http://www.oas.org/en/iachr/docs/annual/2020/Chapters/IA2020cap2-en.pdf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E4D9" w14:textId="77777777" w:rsidR="00561C07" w:rsidRDefault="00561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C543" w14:textId="77777777" w:rsidR="006D7134" w:rsidRDefault="00053506" w:rsidP="00DC7C8F">
    <w:pPr>
      <w:pStyle w:val="Header"/>
      <w:jc w:val="center"/>
    </w:pPr>
    <w:r>
      <w:pict w14:anchorId="798A97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5pt;height:8.9pt">
          <v:imagedata r:id="rId1" o:title="iachr-peq"/>
        </v:shape>
      </w:pict>
    </w:r>
  </w:p>
  <w:p w14:paraId="7F80648B" w14:textId="77777777" w:rsidR="006D7134" w:rsidRDefault="00053506">
    <w:pPr>
      <w:pStyle w:val="Header"/>
    </w:pPr>
    <w:r>
      <w:pict w14:anchorId="38F43403">
        <v:rect id="_x0000_i1026"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2ED2" w14:textId="77777777" w:rsidR="006D7134" w:rsidRDefault="00053506" w:rsidP="00A61B5E">
    <w:pPr>
      <w:pStyle w:val="Header"/>
    </w:pPr>
    <w:r>
      <w:rPr>
        <w:noProof/>
      </w:rPr>
      <w:pict w14:anchorId="41877A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2.25pt;width:202.2pt;height:39pt;z-index:-251659264" wrapcoords="-87 0 -87 21150 21600 21150 21600 0 -87 0">
          <v:imagedata r:id="rId1" o:title="cidh-en"/>
          <w10:wrap type="through"/>
        </v:shape>
      </w:pict>
    </w:r>
    <w:r>
      <w:rPr>
        <w:noProof/>
      </w:rPr>
      <w:pict w14:anchorId="057C4CAD">
        <v:shape id="_x0000_s1026" type="#_x0000_t75" style="position:absolute;margin-left:316.5pt;margin-top:-2.7pt;width:151.5pt;height:39.3pt;z-index:-251658240" wrapcoords="1653 0 882 1694 -110 5506 -110 14824 992 20329 1653 21176 3747 21176 13445 20329 21600 17365 21600 12706 20057 6776 20278 5082 16971 3812 3747 0 1653 0">
          <v:imagedata r:id="rId2" o:title="OAS_Seal_ENG_Principal_"/>
          <w10:wrap type="through"/>
        </v:shape>
      </w:pict>
    </w:r>
    <w:r w:rsidR="006D7134">
      <w:tab/>
    </w:r>
    <w:r w:rsidR="006D7134">
      <w:tab/>
    </w:r>
  </w:p>
  <w:p w14:paraId="7E291982" w14:textId="77777777" w:rsidR="006D7134" w:rsidRDefault="006D7134" w:rsidP="00A61B5E">
    <w:pPr>
      <w:pStyle w:val="Header"/>
    </w:pPr>
  </w:p>
  <w:p w14:paraId="09C48DA9" w14:textId="77777777" w:rsidR="006D7134" w:rsidRDefault="006D7134" w:rsidP="00A61B5E">
    <w:pPr>
      <w:pStyle w:val="Header"/>
    </w:pPr>
  </w:p>
  <w:p w14:paraId="547B4291" w14:textId="77777777" w:rsidR="006D7134" w:rsidRDefault="00053506" w:rsidP="00A61B5E">
    <w:pPr>
      <w:pStyle w:val="Header"/>
    </w:pPr>
    <w:r>
      <w:pict w14:anchorId="0C963C2D">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EB4"/>
    <w:multiLevelType w:val="hybridMultilevel"/>
    <w:tmpl w:val="5E16D26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1F1915"/>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24D03ED"/>
    <w:multiLevelType w:val="hybridMultilevel"/>
    <w:tmpl w:val="51CC7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97E4C"/>
    <w:multiLevelType w:val="hybridMultilevel"/>
    <w:tmpl w:val="88409002"/>
    <w:lvl w:ilvl="0" w:tplc="92566816">
      <w:start w:val="1"/>
      <w:numFmt w:val="decimal"/>
      <w:lvlText w:val="%1."/>
      <w:lvlJc w:val="left"/>
      <w:pPr>
        <w:ind w:left="1800" w:hanging="360"/>
      </w:pPr>
      <w:rPr>
        <w:rFonts w:cs="Times New Roman"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4"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3812A68"/>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A80522"/>
    <w:multiLevelType w:val="hybridMultilevel"/>
    <w:tmpl w:val="F544C17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0AAE6EAD"/>
    <w:multiLevelType w:val="hybridMultilevel"/>
    <w:tmpl w:val="2D7C3B04"/>
    <w:lvl w:ilvl="0" w:tplc="FFFFFFFF">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10"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F50237B"/>
    <w:multiLevelType w:val="hybridMultilevel"/>
    <w:tmpl w:val="0A2443A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0D14E2F"/>
    <w:multiLevelType w:val="hybridMultilevel"/>
    <w:tmpl w:val="AA364C9E"/>
    <w:lvl w:ilvl="0" w:tplc="0338B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A33F95"/>
    <w:multiLevelType w:val="hybridMultilevel"/>
    <w:tmpl w:val="B3E264FA"/>
    <w:lvl w:ilvl="0" w:tplc="5F62A53C">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4EE265F"/>
    <w:multiLevelType w:val="hybridMultilevel"/>
    <w:tmpl w:val="CC4C1884"/>
    <w:lvl w:ilvl="0" w:tplc="BFDCF8EC">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5F477A3"/>
    <w:multiLevelType w:val="hybridMultilevel"/>
    <w:tmpl w:val="634E0DC4"/>
    <w:lvl w:ilvl="0" w:tplc="8260077C">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16D800B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7F4874"/>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DE16DF5"/>
    <w:multiLevelType w:val="hybridMultilevel"/>
    <w:tmpl w:val="43683FBE"/>
    <w:lvl w:ilvl="0" w:tplc="EBBE5C6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1F02392C"/>
    <w:multiLevelType w:val="hybridMultilevel"/>
    <w:tmpl w:val="A1547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31D36C9"/>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2342637C"/>
    <w:multiLevelType w:val="hybridMultilevel"/>
    <w:tmpl w:val="E55A6CF2"/>
    <w:lvl w:ilvl="0" w:tplc="FA94A6DC">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38B5396"/>
    <w:multiLevelType w:val="hybridMultilevel"/>
    <w:tmpl w:val="E6249728"/>
    <w:lvl w:ilvl="0" w:tplc="FFFFFFFF">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3D31722"/>
    <w:multiLevelType w:val="hybridMultilevel"/>
    <w:tmpl w:val="AE8E2586"/>
    <w:lvl w:ilvl="0" w:tplc="E5D6C0E0">
      <w:start w:val="2"/>
      <w:numFmt w:val="upperRoman"/>
      <w:lvlText w:val="%1."/>
      <w:lvlJc w:val="left"/>
      <w:pPr>
        <w:ind w:left="1440" w:hanging="720"/>
      </w:pPr>
      <w:rPr>
        <w:rFonts w:cs="Times New Roman" w:hint="default"/>
        <w:b/>
        <w:bCs/>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1"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5B559C4"/>
    <w:multiLevelType w:val="hybridMultilevel"/>
    <w:tmpl w:val="5E5EB598"/>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63C7FC2"/>
    <w:multiLevelType w:val="hybridMultilevel"/>
    <w:tmpl w:val="2AD22794"/>
    <w:lvl w:ilvl="0" w:tplc="BC2696BC">
      <w:start w:val="1"/>
      <w:numFmt w:val="upperRoman"/>
      <w:lvlText w:val="%1."/>
      <w:lvlJc w:val="left"/>
      <w:pPr>
        <w:ind w:left="1288"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27BE4DD0"/>
    <w:multiLevelType w:val="hybridMultilevel"/>
    <w:tmpl w:val="88409002"/>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7"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0535A9"/>
    <w:multiLevelType w:val="hybridMultilevel"/>
    <w:tmpl w:val="91088DBA"/>
    <w:lvl w:ilvl="0" w:tplc="99C81214">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9" w15:restartNumberingAfterBreak="0">
    <w:nsid w:val="2A646E24"/>
    <w:multiLevelType w:val="hybridMultilevel"/>
    <w:tmpl w:val="0E60F21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2BCD018A"/>
    <w:multiLevelType w:val="hybridMultilevel"/>
    <w:tmpl w:val="5E5EB598"/>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C0A27DC"/>
    <w:multiLevelType w:val="hybridMultilevel"/>
    <w:tmpl w:val="AAC83C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15:restartNumberingAfterBreak="0">
    <w:nsid w:val="2D3A39C1"/>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3" w15:restartNumberingAfterBreak="0">
    <w:nsid w:val="2F2A0EBB"/>
    <w:multiLevelType w:val="hybridMultilevel"/>
    <w:tmpl w:val="0AE2CBB2"/>
    <w:lvl w:ilvl="0" w:tplc="F33E4636">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066084B"/>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2A808D6"/>
    <w:multiLevelType w:val="hybridMultilevel"/>
    <w:tmpl w:val="E4484D36"/>
    <w:lvl w:ilvl="0" w:tplc="9FC61820">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8" w15:restartNumberingAfterBreak="0">
    <w:nsid w:val="34A84033"/>
    <w:multiLevelType w:val="hybridMultilevel"/>
    <w:tmpl w:val="F6FCC5FC"/>
    <w:lvl w:ilvl="0" w:tplc="EEF49C9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36CD047C"/>
    <w:multiLevelType w:val="hybridMultilevel"/>
    <w:tmpl w:val="B5E80E60"/>
    <w:lvl w:ilvl="0" w:tplc="F8683754">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0" w15:restartNumberingAfterBreak="0">
    <w:nsid w:val="378816C6"/>
    <w:multiLevelType w:val="hybridMultilevel"/>
    <w:tmpl w:val="4B7C54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79A4549"/>
    <w:multiLevelType w:val="hybridMultilevel"/>
    <w:tmpl w:val="EE06FA14"/>
    <w:lvl w:ilvl="0" w:tplc="583E931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52" w15:restartNumberingAfterBreak="0">
    <w:nsid w:val="38640E60"/>
    <w:multiLevelType w:val="hybridMultilevel"/>
    <w:tmpl w:val="5DA894BA"/>
    <w:lvl w:ilvl="0" w:tplc="20DC086A">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3ABD281C"/>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5" w15:restartNumberingAfterBreak="0">
    <w:nsid w:val="3BC5381F"/>
    <w:multiLevelType w:val="hybridMultilevel"/>
    <w:tmpl w:val="31F03516"/>
    <w:lvl w:ilvl="0" w:tplc="1F9AA54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0BF2A9F"/>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1"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41C31CDA"/>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4"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435304E1"/>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6"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492C711D"/>
    <w:multiLevelType w:val="hybridMultilevel"/>
    <w:tmpl w:val="B492C49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9" w15:restartNumberingAfterBreak="0">
    <w:nsid w:val="4A3E6C95"/>
    <w:multiLevelType w:val="hybridMultilevel"/>
    <w:tmpl w:val="98EE7E7C"/>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0"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1" w15:restartNumberingAfterBreak="0">
    <w:nsid w:val="4E6C4836"/>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2" w15:restartNumberingAfterBreak="0">
    <w:nsid w:val="4E9B47A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3" w15:restartNumberingAfterBreak="0">
    <w:nsid w:val="50656865"/>
    <w:multiLevelType w:val="hybridMultilevel"/>
    <w:tmpl w:val="6FFC9F4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514505AB"/>
    <w:multiLevelType w:val="hybridMultilevel"/>
    <w:tmpl w:val="53AA1E40"/>
    <w:lvl w:ilvl="0" w:tplc="FFFFFFFF">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47C67AC"/>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7"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6FA766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1" w15:restartNumberingAfterBreak="0">
    <w:nsid w:val="5710431D"/>
    <w:multiLevelType w:val="hybridMultilevel"/>
    <w:tmpl w:val="E7C27AEE"/>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9F26E82"/>
    <w:multiLevelType w:val="hybridMultilevel"/>
    <w:tmpl w:val="9EC20220"/>
    <w:lvl w:ilvl="0" w:tplc="CB00531A">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5B8009D7"/>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4" w15:restartNumberingAfterBreak="0">
    <w:nsid w:val="5B9F3E40"/>
    <w:multiLevelType w:val="hybridMultilevel"/>
    <w:tmpl w:val="01881064"/>
    <w:lvl w:ilvl="0" w:tplc="2FE6DA22">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85"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5E29185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9" w15:restartNumberingAfterBreak="0">
    <w:nsid w:val="5F824EF1"/>
    <w:multiLevelType w:val="hybridMultilevel"/>
    <w:tmpl w:val="08BED28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5FE94259"/>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5FFB66E7"/>
    <w:multiLevelType w:val="hybridMultilevel"/>
    <w:tmpl w:val="CEBC8738"/>
    <w:lvl w:ilvl="0" w:tplc="0AC23898">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2" w15:restartNumberingAfterBreak="0">
    <w:nsid w:val="61A24E55"/>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3"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685C5A7B"/>
    <w:multiLevelType w:val="hybridMultilevel"/>
    <w:tmpl w:val="11AAE544"/>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730838B0"/>
    <w:multiLevelType w:val="hybridMultilevel"/>
    <w:tmpl w:val="E7C27AEE"/>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3B95A32"/>
    <w:multiLevelType w:val="hybridMultilevel"/>
    <w:tmpl w:val="20D62F2E"/>
    <w:lvl w:ilvl="0" w:tplc="7B808112">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0" w15:restartNumberingAfterBreak="0">
    <w:nsid w:val="756861C7"/>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1"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782C7D43"/>
    <w:multiLevelType w:val="hybridMultilevel"/>
    <w:tmpl w:val="11AAE544"/>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9A87785"/>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CC44672"/>
    <w:multiLevelType w:val="hybridMultilevel"/>
    <w:tmpl w:val="E34EE03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82213858">
    <w:abstractNumId w:val="78"/>
  </w:num>
  <w:num w:numId="2" w16cid:durableId="1986202234">
    <w:abstractNumId w:val="59"/>
  </w:num>
  <w:num w:numId="3" w16cid:durableId="463278870">
    <w:abstractNumId w:val="21"/>
  </w:num>
  <w:num w:numId="4" w16cid:durableId="1802113142">
    <w:abstractNumId w:val="52"/>
  </w:num>
  <w:num w:numId="5" w16cid:durableId="929657657">
    <w:abstractNumId w:val="3"/>
  </w:num>
  <w:num w:numId="6" w16cid:durableId="875580577">
    <w:abstractNumId w:val="44"/>
  </w:num>
  <w:num w:numId="7" w16cid:durableId="316501613">
    <w:abstractNumId w:val="104"/>
  </w:num>
  <w:num w:numId="8" w16cid:durableId="770514087">
    <w:abstractNumId w:val="36"/>
  </w:num>
  <w:num w:numId="9" w16cid:durableId="1535266348">
    <w:abstractNumId w:val="0"/>
  </w:num>
  <w:num w:numId="10" w16cid:durableId="881668587">
    <w:abstractNumId w:val="30"/>
  </w:num>
  <w:num w:numId="11" w16cid:durableId="1238981104">
    <w:abstractNumId w:val="65"/>
  </w:num>
  <w:num w:numId="12" w16cid:durableId="109516483">
    <w:abstractNumId w:val="68"/>
  </w:num>
  <w:num w:numId="13" w16cid:durableId="1969428420">
    <w:abstractNumId w:val="51"/>
  </w:num>
  <w:num w:numId="14" w16cid:durableId="2022314341">
    <w:abstractNumId w:val="1"/>
  </w:num>
  <w:num w:numId="15" w16cid:durableId="1969775281">
    <w:abstractNumId w:val="47"/>
  </w:num>
  <w:num w:numId="16" w16cid:durableId="1605382638">
    <w:abstractNumId w:val="67"/>
  </w:num>
  <w:num w:numId="17" w16cid:durableId="997536414">
    <w:abstractNumId w:val="48"/>
  </w:num>
  <w:num w:numId="18" w16cid:durableId="440295505">
    <w:abstractNumId w:val="100"/>
  </w:num>
  <w:num w:numId="19" w16cid:durableId="1158155769">
    <w:abstractNumId w:val="70"/>
  </w:num>
  <w:num w:numId="20" w16cid:durableId="724335756">
    <w:abstractNumId w:val="31"/>
  </w:num>
  <w:num w:numId="21" w16cid:durableId="1310328360">
    <w:abstractNumId w:val="9"/>
  </w:num>
  <w:num w:numId="22" w16cid:durableId="1866209858">
    <w:abstractNumId w:val="32"/>
  </w:num>
  <w:num w:numId="23" w16cid:durableId="277374262">
    <w:abstractNumId w:val="2"/>
  </w:num>
  <w:num w:numId="24" w16cid:durableId="69697515">
    <w:abstractNumId w:val="81"/>
  </w:num>
  <w:num w:numId="25" w16cid:durableId="707068243">
    <w:abstractNumId w:val="92"/>
  </w:num>
  <w:num w:numId="26" w16cid:durableId="75133383">
    <w:abstractNumId w:val="98"/>
  </w:num>
  <w:num w:numId="27" w16cid:durableId="10606376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22207306">
    <w:abstractNumId w:val="76"/>
  </w:num>
  <w:num w:numId="29" w16cid:durableId="702681178">
    <w:abstractNumId w:val="16"/>
  </w:num>
  <w:num w:numId="30" w16cid:durableId="2093430953">
    <w:abstractNumId w:val="13"/>
  </w:num>
  <w:num w:numId="31" w16cid:durableId="2070179720">
    <w:abstractNumId w:val="63"/>
  </w:num>
  <w:num w:numId="32" w16cid:durableId="228620193">
    <w:abstractNumId w:val="23"/>
  </w:num>
  <w:num w:numId="33" w16cid:durableId="505825449">
    <w:abstractNumId w:val="11"/>
  </w:num>
  <w:num w:numId="34" w16cid:durableId="804465140">
    <w:abstractNumId w:val="66"/>
  </w:num>
  <w:num w:numId="35" w16cid:durableId="873033378">
    <w:abstractNumId w:val="5"/>
  </w:num>
  <w:num w:numId="36" w16cid:durableId="407312059">
    <w:abstractNumId w:val="7"/>
  </w:num>
  <w:num w:numId="37" w16cid:durableId="777874390">
    <w:abstractNumId w:val="53"/>
  </w:num>
  <w:num w:numId="38" w16cid:durableId="1201480540">
    <w:abstractNumId w:val="54"/>
  </w:num>
  <w:num w:numId="39" w16cid:durableId="1203396167">
    <w:abstractNumId w:val="27"/>
  </w:num>
  <w:num w:numId="40" w16cid:durableId="398748636">
    <w:abstractNumId w:val="35"/>
  </w:num>
  <w:num w:numId="41" w16cid:durableId="341199664">
    <w:abstractNumId w:val="77"/>
  </w:num>
  <w:num w:numId="42" w16cid:durableId="680165315">
    <w:abstractNumId w:val="22"/>
  </w:num>
  <w:num w:numId="43" w16cid:durableId="1079524479">
    <w:abstractNumId w:val="64"/>
  </w:num>
  <w:num w:numId="44" w16cid:durableId="455371048">
    <w:abstractNumId w:val="24"/>
  </w:num>
  <w:num w:numId="45" w16cid:durableId="2122993553">
    <w:abstractNumId w:val="87"/>
  </w:num>
  <w:num w:numId="46" w16cid:durableId="706183073">
    <w:abstractNumId w:val="42"/>
  </w:num>
  <w:num w:numId="47" w16cid:durableId="221983773">
    <w:abstractNumId w:val="61"/>
  </w:num>
  <w:num w:numId="48" w16cid:durableId="1889566513">
    <w:abstractNumId w:val="99"/>
  </w:num>
  <w:num w:numId="49" w16cid:durableId="1491218200">
    <w:abstractNumId w:val="90"/>
  </w:num>
  <w:num w:numId="50" w16cid:durableId="1667787181">
    <w:abstractNumId w:val="40"/>
  </w:num>
  <w:num w:numId="51" w16cid:durableId="1721006330">
    <w:abstractNumId w:val="93"/>
  </w:num>
  <w:num w:numId="52" w16cid:durableId="1927765101">
    <w:abstractNumId w:val="49"/>
  </w:num>
  <w:num w:numId="53" w16cid:durableId="336737844">
    <w:abstractNumId w:val="83"/>
  </w:num>
  <w:num w:numId="54" w16cid:durableId="416247078">
    <w:abstractNumId w:val="33"/>
  </w:num>
  <w:num w:numId="55" w16cid:durableId="305016064">
    <w:abstractNumId w:val="4"/>
  </w:num>
  <w:num w:numId="56" w16cid:durableId="223563426">
    <w:abstractNumId w:val="28"/>
  </w:num>
  <w:num w:numId="57" w16cid:durableId="1953897760">
    <w:abstractNumId w:val="10"/>
  </w:num>
  <w:num w:numId="58" w16cid:durableId="214313154">
    <w:abstractNumId w:val="75"/>
  </w:num>
  <w:num w:numId="59" w16cid:durableId="1164317414">
    <w:abstractNumId w:val="55"/>
  </w:num>
  <w:num w:numId="60" w16cid:durableId="675159900">
    <w:abstractNumId w:val="73"/>
  </w:num>
  <w:num w:numId="61" w16cid:durableId="139126744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58767162">
    <w:abstractNumId w:val="102"/>
  </w:num>
  <w:num w:numId="63" w16cid:durableId="1613896476">
    <w:abstractNumId w:val="82"/>
  </w:num>
  <w:num w:numId="64" w16cid:durableId="741412312">
    <w:abstractNumId w:val="26"/>
  </w:num>
  <w:num w:numId="65" w16cid:durableId="13943103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11851704">
    <w:abstractNumId w:val="95"/>
  </w:num>
  <w:num w:numId="67" w16cid:durableId="2095398609">
    <w:abstractNumId w:val="19"/>
  </w:num>
  <w:num w:numId="68" w16cid:durableId="331956452">
    <w:abstractNumId w:val="20"/>
  </w:num>
  <w:num w:numId="69" w16cid:durableId="932975903">
    <w:abstractNumId w:val="9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2302724">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780730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180042115">
    <w:abstractNumId w:val="60"/>
  </w:num>
  <w:num w:numId="73" w16cid:durableId="1803888035">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10251196">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36491588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1539020">
    <w:abstractNumId w:val="88"/>
  </w:num>
  <w:num w:numId="77" w16cid:durableId="68086388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1207580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10444178">
    <w:abstractNumId w:val="72"/>
  </w:num>
  <w:num w:numId="80" w16cid:durableId="68621775">
    <w:abstractNumId w:val="6"/>
  </w:num>
  <w:num w:numId="81" w16cid:durableId="1324089452">
    <w:abstractNumId w:val="86"/>
  </w:num>
  <w:num w:numId="82" w16cid:durableId="1747458382">
    <w:abstractNumId w:val="71"/>
  </w:num>
  <w:num w:numId="83" w16cid:durableId="19675444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7078701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044555932">
    <w:abstractNumId w:val="79"/>
  </w:num>
  <w:num w:numId="86" w16cid:durableId="696733166">
    <w:abstractNumId w:val="17"/>
  </w:num>
  <w:num w:numId="87" w16cid:durableId="1652952216">
    <w:abstractNumId w:val="85"/>
  </w:num>
  <w:num w:numId="88" w16cid:durableId="1545798997">
    <w:abstractNumId w:val="15"/>
  </w:num>
  <w:num w:numId="89" w16cid:durableId="1116370569">
    <w:abstractNumId w:val="69"/>
  </w:num>
  <w:num w:numId="90" w16cid:durableId="851726736">
    <w:abstractNumId w:val="46"/>
  </w:num>
  <w:num w:numId="91" w16cid:durableId="1359545533">
    <w:abstractNumId w:val="91"/>
  </w:num>
  <w:num w:numId="92" w16cid:durableId="21789686">
    <w:abstractNumId w:val="43"/>
  </w:num>
  <w:num w:numId="93" w16cid:durableId="1714384627">
    <w:abstractNumId w:val="8"/>
  </w:num>
  <w:num w:numId="94" w16cid:durableId="786241247">
    <w:abstractNumId w:val="37"/>
  </w:num>
  <w:num w:numId="95" w16cid:durableId="649528749">
    <w:abstractNumId w:val="38"/>
  </w:num>
  <w:num w:numId="96" w16cid:durableId="1985231754">
    <w:abstractNumId w:val="39"/>
  </w:num>
  <w:num w:numId="97" w16cid:durableId="1818257746">
    <w:abstractNumId w:val="12"/>
  </w:num>
  <w:num w:numId="98" w16cid:durableId="1102726790">
    <w:abstractNumId w:val="89"/>
  </w:num>
  <w:num w:numId="99" w16cid:durableId="1263100923">
    <w:abstractNumId w:val="74"/>
  </w:num>
  <w:num w:numId="100" w16cid:durableId="1540388728">
    <w:abstractNumId w:val="29"/>
  </w:num>
  <w:num w:numId="101" w16cid:durableId="2033260563">
    <w:abstractNumId w:val="103"/>
  </w:num>
  <w:num w:numId="102" w16cid:durableId="877012422">
    <w:abstractNumId w:val="80"/>
  </w:num>
  <w:num w:numId="103" w16cid:durableId="1669557871">
    <w:abstractNumId w:val="41"/>
  </w:num>
  <w:num w:numId="104" w16cid:durableId="1489902596">
    <w:abstractNumId w:val="84"/>
  </w:num>
  <w:num w:numId="105" w16cid:durableId="1928271383">
    <w:abstractNumId w:val="1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1B0F"/>
    <w:rsid w:val="0002150A"/>
    <w:rsid w:val="00021551"/>
    <w:rsid w:val="0002624B"/>
    <w:rsid w:val="00030763"/>
    <w:rsid w:val="000321E0"/>
    <w:rsid w:val="000432F0"/>
    <w:rsid w:val="00047B56"/>
    <w:rsid w:val="00053506"/>
    <w:rsid w:val="0006009D"/>
    <w:rsid w:val="0006625E"/>
    <w:rsid w:val="0006762F"/>
    <w:rsid w:val="00096079"/>
    <w:rsid w:val="00096F88"/>
    <w:rsid w:val="000B0076"/>
    <w:rsid w:val="000D228E"/>
    <w:rsid w:val="000E1242"/>
    <w:rsid w:val="000E2820"/>
    <w:rsid w:val="000E3F0D"/>
    <w:rsid w:val="000F3F0F"/>
    <w:rsid w:val="00112F7C"/>
    <w:rsid w:val="001164B6"/>
    <w:rsid w:val="00123896"/>
    <w:rsid w:val="001256E5"/>
    <w:rsid w:val="0012586C"/>
    <w:rsid w:val="001424B8"/>
    <w:rsid w:val="00157163"/>
    <w:rsid w:val="00162DF2"/>
    <w:rsid w:val="001838B1"/>
    <w:rsid w:val="00195811"/>
    <w:rsid w:val="001A1C17"/>
    <w:rsid w:val="001B1050"/>
    <w:rsid w:val="001C3035"/>
    <w:rsid w:val="001C53D9"/>
    <w:rsid w:val="001D4270"/>
    <w:rsid w:val="001E3C79"/>
    <w:rsid w:val="002032CF"/>
    <w:rsid w:val="00206C8A"/>
    <w:rsid w:val="00214378"/>
    <w:rsid w:val="0021669C"/>
    <w:rsid w:val="00223987"/>
    <w:rsid w:val="00226F48"/>
    <w:rsid w:val="00234203"/>
    <w:rsid w:val="00235E0A"/>
    <w:rsid w:val="00240E8E"/>
    <w:rsid w:val="00245574"/>
    <w:rsid w:val="00245A73"/>
    <w:rsid w:val="00255AC0"/>
    <w:rsid w:val="00260F47"/>
    <w:rsid w:val="002643E1"/>
    <w:rsid w:val="00275D2E"/>
    <w:rsid w:val="00284638"/>
    <w:rsid w:val="002859A9"/>
    <w:rsid w:val="00292B52"/>
    <w:rsid w:val="00293A11"/>
    <w:rsid w:val="002944EB"/>
    <w:rsid w:val="00294B17"/>
    <w:rsid w:val="002966F4"/>
    <w:rsid w:val="002A39B2"/>
    <w:rsid w:val="002E66CA"/>
    <w:rsid w:val="002E6730"/>
    <w:rsid w:val="002F5C77"/>
    <w:rsid w:val="00317741"/>
    <w:rsid w:val="0032106C"/>
    <w:rsid w:val="003408C5"/>
    <w:rsid w:val="00343CED"/>
    <w:rsid w:val="0035302C"/>
    <w:rsid w:val="003548C4"/>
    <w:rsid w:val="00357D1A"/>
    <w:rsid w:val="00376845"/>
    <w:rsid w:val="00393310"/>
    <w:rsid w:val="003B1772"/>
    <w:rsid w:val="003B4055"/>
    <w:rsid w:val="003B6168"/>
    <w:rsid w:val="003C2346"/>
    <w:rsid w:val="003C4836"/>
    <w:rsid w:val="003D5044"/>
    <w:rsid w:val="003E0DFA"/>
    <w:rsid w:val="003F0F0D"/>
    <w:rsid w:val="003F186E"/>
    <w:rsid w:val="003F262C"/>
    <w:rsid w:val="00414974"/>
    <w:rsid w:val="00433F4F"/>
    <w:rsid w:val="0045789B"/>
    <w:rsid w:val="0047146A"/>
    <w:rsid w:val="004722BC"/>
    <w:rsid w:val="00474650"/>
    <w:rsid w:val="00476696"/>
    <w:rsid w:val="00494C40"/>
    <w:rsid w:val="00495CA7"/>
    <w:rsid w:val="004A66BD"/>
    <w:rsid w:val="004B3074"/>
    <w:rsid w:val="004D2211"/>
    <w:rsid w:val="004F12B6"/>
    <w:rsid w:val="004F6FD8"/>
    <w:rsid w:val="0050266C"/>
    <w:rsid w:val="00503957"/>
    <w:rsid w:val="00526977"/>
    <w:rsid w:val="0052740B"/>
    <w:rsid w:val="005309E6"/>
    <w:rsid w:val="00531C37"/>
    <w:rsid w:val="00534F2B"/>
    <w:rsid w:val="00543B28"/>
    <w:rsid w:val="005523E5"/>
    <w:rsid w:val="005534B1"/>
    <w:rsid w:val="005566F5"/>
    <w:rsid w:val="00561C07"/>
    <w:rsid w:val="00572284"/>
    <w:rsid w:val="00575931"/>
    <w:rsid w:val="00580A30"/>
    <w:rsid w:val="00583C84"/>
    <w:rsid w:val="00587AE9"/>
    <w:rsid w:val="005A00E8"/>
    <w:rsid w:val="005A328E"/>
    <w:rsid w:val="005A5E14"/>
    <w:rsid w:val="005A5F0E"/>
    <w:rsid w:val="005A6A6D"/>
    <w:rsid w:val="005D447F"/>
    <w:rsid w:val="005E3827"/>
    <w:rsid w:val="005F4AAA"/>
    <w:rsid w:val="00602467"/>
    <w:rsid w:val="00604132"/>
    <w:rsid w:val="00613DA3"/>
    <w:rsid w:val="0061420C"/>
    <w:rsid w:val="006436A8"/>
    <w:rsid w:val="00652C68"/>
    <w:rsid w:val="00666251"/>
    <w:rsid w:val="00675F22"/>
    <w:rsid w:val="006A5BD8"/>
    <w:rsid w:val="006A6AE0"/>
    <w:rsid w:val="006B441D"/>
    <w:rsid w:val="006B5B33"/>
    <w:rsid w:val="006D7134"/>
    <w:rsid w:val="006E2BD8"/>
    <w:rsid w:val="006E2C7E"/>
    <w:rsid w:val="006F0429"/>
    <w:rsid w:val="006F0E6C"/>
    <w:rsid w:val="006F1011"/>
    <w:rsid w:val="006F6C6F"/>
    <w:rsid w:val="00707CA7"/>
    <w:rsid w:val="0071332B"/>
    <w:rsid w:val="0073273B"/>
    <w:rsid w:val="00736A43"/>
    <w:rsid w:val="007609D9"/>
    <w:rsid w:val="0076210E"/>
    <w:rsid w:val="00772E3C"/>
    <w:rsid w:val="00792456"/>
    <w:rsid w:val="007B0327"/>
    <w:rsid w:val="007B7762"/>
    <w:rsid w:val="007C2CC3"/>
    <w:rsid w:val="007C351D"/>
    <w:rsid w:val="007E2645"/>
    <w:rsid w:val="007E6A34"/>
    <w:rsid w:val="007F5F4E"/>
    <w:rsid w:val="00807BAA"/>
    <w:rsid w:val="00822FF4"/>
    <w:rsid w:val="0082548A"/>
    <w:rsid w:val="00841815"/>
    <w:rsid w:val="008550EF"/>
    <w:rsid w:val="0085675C"/>
    <w:rsid w:val="00860263"/>
    <w:rsid w:val="00864EB7"/>
    <w:rsid w:val="0087552B"/>
    <w:rsid w:val="008837A8"/>
    <w:rsid w:val="008C09FD"/>
    <w:rsid w:val="008D1A95"/>
    <w:rsid w:val="008D3BD3"/>
    <w:rsid w:val="008E42E1"/>
    <w:rsid w:val="008F2248"/>
    <w:rsid w:val="008F7FFD"/>
    <w:rsid w:val="00903383"/>
    <w:rsid w:val="00910BBC"/>
    <w:rsid w:val="00922155"/>
    <w:rsid w:val="0092467B"/>
    <w:rsid w:val="00930AD9"/>
    <w:rsid w:val="00942C8E"/>
    <w:rsid w:val="009453FE"/>
    <w:rsid w:val="00955E55"/>
    <w:rsid w:val="009566FE"/>
    <w:rsid w:val="00963542"/>
    <w:rsid w:val="00980A7D"/>
    <w:rsid w:val="00981586"/>
    <w:rsid w:val="009866D9"/>
    <w:rsid w:val="009949ED"/>
    <w:rsid w:val="0099696A"/>
    <w:rsid w:val="009A3C1C"/>
    <w:rsid w:val="009B219C"/>
    <w:rsid w:val="009B6E96"/>
    <w:rsid w:val="009C095B"/>
    <w:rsid w:val="009C227B"/>
    <w:rsid w:val="009C4D87"/>
    <w:rsid w:val="009D20A3"/>
    <w:rsid w:val="009D6F0F"/>
    <w:rsid w:val="009E73F0"/>
    <w:rsid w:val="009F11D2"/>
    <w:rsid w:val="00A14411"/>
    <w:rsid w:val="00A16430"/>
    <w:rsid w:val="00A2502C"/>
    <w:rsid w:val="00A25CA7"/>
    <w:rsid w:val="00A30651"/>
    <w:rsid w:val="00A343FF"/>
    <w:rsid w:val="00A43DD8"/>
    <w:rsid w:val="00A518D3"/>
    <w:rsid w:val="00A54047"/>
    <w:rsid w:val="00A5663C"/>
    <w:rsid w:val="00A61B5E"/>
    <w:rsid w:val="00A74A8B"/>
    <w:rsid w:val="00A7781B"/>
    <w:rsid w:val="00A90CCA"/>
    <w:rsid w:val="00A962A2"/>
    <w:rsid w:val="00AA2279"/>
    <w:rsid w:val="00AA7906"/>
    <w:rsid w:val="00AB1BC7"/>
    <w:rsid w:val="00AC61DF"/>
    <w:rsid w:val="00AD711F"/>
    <w:rsid w:val="00AE1B0F"/>
    <w:rsid w:val="00AF3A07"/>
    <w:rsid w:val="00AF51F7"/>
    <w:rsid w:val="00B056D9"/>
    <w:rsid w:val="00B111C3"/>
    <w:rsid w:val="00B130F3"/>
    <w:rsid w:val="00B205A7"/>
    <w:rsid w:val="00B238D3"/>
    <w:rsid w:val="00B341F5"/>
    <w:rsid w:val="00B4618D"/>
    <w:rsid w:val="00B47600"/>
    <w:rsid w:val="00B50962"/>
    <w:rsid w:val="00B571D6"/>
    <w:rsid w:val="00B806AC"/>
    <w:rsid w:val="00B93993"/>
    <w:rsid w:val="00BA2B9F"/>
    <w:rsid w:val="00BA3C5C"/>
    <w:rsid w:val="00BB13EE"/>
    <w:rsid w:val="00BD5884"/>
    <w:rsid w:val="00BE01CC"/>
    <w:rsid w:val="00BE28A3"/>
    <w:rsid w:val="00BE32DA"/>
    <w:rsid w:val="00BE4A59"/>
    <w:rsid w:val="00BE53EB"/>
    <w:rsid w:val="00BF2D33"/>
    <w:rsid w:val="00BF54F6"/>
    <w:rsid w:val="00C01947"/>
    <w:rsid w:val="00C17F04"/>
    <w:rsid w:val="00C359F1"/>
    <w:rsid w:val="00C37778"/>
    <w:rsid w:val="00C37954"/>
    <w:rsid w:val="00C402CB"/>
    <w:rsid w:val="00C57947"/>
    <w:rsid w:val="00C66C6D"/>
    <w:rsid w:val="00C931AE"/>
    <w:rsid w:val="00CA5D4D"/>
    <w:rsid w:val="00CB6344"/>
    <w:rsid w:val="00CC0727"/>
    <w:rsid w:val="00CC5D2E"/>
    <w:rsid w:val="00CC6DB2"/>
    <w:rsid w:val="00CE4346"/>
    <w:rsid w:val="00CF54E1"/>
    <w:rsid w:val="00D0510C"/>
    <w:rsid w:val="00D05BCC"/>
    <w:rsid w:val="00D26B92"/>
    <w:rsid w:val="00D277D6"/>
    <w:rsid w:val="00D32DD7"/>
    <w:rsid w:val="00D54D6F"/>
    <w:rsid w:val="00D63A53"/>
    <w:rsid w:val="00D7738D"/>
    <w:rsid w:val="00DA0C80"/>
    <w:rsid w:val="00DA1E58"/>
    <w:rsid w:val="00DA4368"/>
    <w:rsid w:val="00DA5231"/>
    <w:rsid w:val="00DC5A37"/>
    <w:rsid w:val="00DC7C8F"/>
    <w:rsid w:val="00DD1E2F"/>
    <w:rsid w:val="00DD67A1"/>
    <w:rsid w:val="00DE65A9"/>
    <w:rsid w:val="00DE7A8B"/>
    <w:rsid w:val="00DF0687"/>
    <w:rsid w:val="00DF0FE5"/>
    <w:rsid w:val="00E0254C"/>
    <w:rsid w:val="00E0542C"/>
    <w:rsid w:val="00E16827"/>
    <w:rsid w:val="00E3040C"/>
    <w:rsid w:val="00E5644B"/>
    <w:rsid w:val="00E57070"/>
    <w:rsid w:val="00E62F1F"/>
    <w:rsid w:val="00E6614F"/>
    <w:rsid w:val="00E66191"/>
    <w:rsid w:val="00E76706"/>
    <w:rsid w:val="00E90D5A"/>
    <w:rsid w:val="00E9516C"/>
    <w:rsid w:val="00E979A1"/>
    <w:rsid w:val="00EA4D16"/>
    <w:rsid w:val="00EB0F8E"/>
    <w:rsid w:val="00EE07D8"/>
    <w:rsid w:val="00EE38E0"/>
    <w:rsid w:val="00F045AB"/>
    <w:rsid w:val="00F0747D"/>
    <w:rsid w:val="00F33205"/>
    <w:rsid w:val="00F5380D"/>
    <w:rsid w:val="00F53B51"/>
    <w:rsid w:val="00F5415B"/>
    <w:rsid w:val="00F54F60"/>
    <w:rsid w:val="00F66FEE"/>
    <w:rsid w:val="00F67CA5"/>
    <w:rsid w:val="00F7094E"/>
    <w:rsid w:val="00F74974"/>
    <w:rsid w:val="00F86C52"/>
    <w:rsid w:val="00FB18BD"/>
    <w:rsid w:val="00FC66C2"/>
    <w:rsid w:val="00FE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23A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583C8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sid w:val="00583C84"/>
    <w:rPr>
      <w:rFonts w:ascii="Times New Roman" w:eastAsia="Times New Roman" w:hAnsi="Times New Roman"/>
      <w:b/>
      <w:bCs/>
      <w:sz w:val="36"/>
      <w:szCs w:val="36"/>
      <w:lang w:val="en-US" w:eastAsia="en-U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83C84"/>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583C84"/>
    <w:rPr>
      <w:rFonts w:ascii="Times New Roman" w:hAnsi="Times New Roman"/>
      <w:lang w:val="en-US" w:eastAsia="en-US"/>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583C84"/>
    <w:rPr>
      <w:vertAlign w:val="superscript"/>
    </w:rPr>
  </w:style>
  <w:style w:type="paragraph" w:customStyle="1" w:styleId="Appelnotedebasde">
    <w:name w:val="Appel note de bas de..."/>
    <w:basedOn w:val="Normal"/>
    <w:link w:val="FootnoteReference"/>
    <w:rsid w:val="00583C84"/>
    <w:pPr>
      <w:spacing w:after="160" w:line="240" w:lineRule="exact"/>
    </w:pPr>
    <w:rPr>
      <w:sz w:val="20"/>
      <w:szCs w:val="20"/>
      <w:vertAlign w:val="superscript"/>
      <w:lang w:val="es-AR" w:eastAsia="es-AR"/>
    </w:rPr>
  </w:style>
  <w:style w:type="paragraph" w:customStyle="1" w:styleId="LightGrid-Accent31">
    <w:name w:val="Light Grid - Accent 31"/>
    <w:aliases w:val="Párrafo de lista1,List Paragraph1,Colorful List - Accent 11,List Paragraph11"/>
    <w:basedOn w:val="Normal"/>
    <w:link w:val="LightGrid-Accent3Char"/>
    <w:uiPriority w:val="34"/>
    <w:qFormat/>
    <w:rsid w:val="00583C84"/>
    <w:pPr>
      <w:ind w:left="720"/>
      <w:contextualSpacing/>
    </w:pPr>
  </w:style>
  <w:style w:type="character" w:styleId="Hyperlink">
    <w:name w:val="Hyperlink"/>
    <w:uiPriority w:val="99"/>
    <w:unhideWhenUsed/>
    <w:rsid w:val="00583C84"/>
    <w:rPr>
      <w:color w:val="0000FF"/>
      <w:u w:val="single"/>
    </w:rPr>
  </w:style>
  <w:style w:type="paragraph" w:customStyle="1" w:styleId="MediumGrid2-Accent11">
    <w:name w:val="Medium Grid 2 - Accent 11"/>
    <w:uiPriority w:val="1"/>
    <w:qFormat/>
    <w:rsid w:val="00583C84"/>
    <w:rPr>
      <w:sz w:val="22"/>
      <w:szCs w:val="22"/>
      <w:lang w:val="pt-BR"/>
    </w:rPr>
  </w:style>
  <w:style w:type="character" w:customStyle="1" w:styleId="LightGrid-Accent3Char">
    <w:name w:val="Light Grid - Accent 3 Char"/>
    <w:aliases w:val="Párrafo de lista1 Char,List Paragraph1 Char,Colorful List - Accent 11 Char,List Paragraph11 Char,Colorful List - Accent 1 Char"/>
    <w:link w:val="LightGrid-Accent31"/>
    <w:uiPriority w:val="34"/>
    <w:locked/>
    <w:rsid w:val="00583C84"/>
    <w:rPr>
      <w:sz w:val="22"/>
      <w:szCs w:val="22"/>
      <w:lang w:val="en-US" w:eastAsia="en-US"/>
    </w:rPr>
  </w:style>
  <w:style w:type="paragraph" w:customStyle="1" w:styleId="MediumGrid21">
    <w:name w:val="Medium Grid 21"/>
    <w:uiPriority w:val="1"/>
    <w:qFormat/>
    <w:rsid w:val="00583C84"/>
    <w:rPr>
      <w:sz w:val="22"/>
      <w:szCs w:val="22"/>
      <w:lang w:val="pt-BR"/>
    </w:rPr>
  </w:style>
  <w:style w:type="character" w:styleId="UnresolvedMention">
    <w:name w:val="Unresolved Mention"/>
    <w:uiPriority w:val="99"/>
    <w:semiHidden/>
    <w:unhideWhenUsed/>
    <w:rsid w:val="00583C84"/>
    <w:rPr>
      <w:color w:val="605E5C"/>
      <w:shd w:val="clear" w:color="auto" w:fill="E1DFDD"/>
    </w:rPr>
  </w:style>
  <w:style w:type="character" w:customStyle="1" w:styleId="Cuadrculaclara-nfasis3Car">
    <w:name w:val="Cuadrícula clara - Énfasis 3 Car"/>
    <w:aliases w:val="Párrafo de lista1 Car,List Paragraph1 Car,Colorful List - Accent 11 Car,List Paragraph11 Car,Cuadrícula media 1 - Énfasis 2 Car,Párrafo de lista Car"/>
    <w:link w:val="LightGrid-Accent3"/>
    <w:uiPriority w:val="34"/>
    <w:locked/>
    <w:rsid w:val="00583C84"/>
    <w:rPr>
      <w:sz w:val="22"/>
      <w:szCs w:val="22"/>
      <w:lang w:val="en-US" w:eastAsia="en-US"/>
    </w:rPr>
  </w:style>
  <w:style w:type="table" w:styleId="LightGrid-Accent3">
    <w:name w:val="Light Grid Accent 3"/>
    <w:basedOn w:val="TableNormal"/>
    <w:link w:val="Cuadrculaclara-nfasis3Car"/>
    <w:uiPriority w:val="34"/>
    <w:unhideWhenUsed/>
    <w:rsid w:val="00583C84"/>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lastCol">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styleId="ListParagraph">
    <w:name w:val="List Paragraph"/>
    <w:basedOn w:val="Normal"/>
    <w:uiPriority w:val="34"/>
    <w:qFormat/>
    <w:rsid w:val="00583C84"/>
    <w:pPr>
      <w:ind w:left="720"/>
      <w:contextualSpacing/>
    </w:pPr>
    <w:rPr>
      <w:lang w:val="es-ES"/>
    </w:rPr>
  </w:style>
  <w:style w:type="paragraph" w:customStyle="1" w:styleId="Default">
    <w:name w:val="Default"/>
    <w:rsid w:val="00583C84"/>
    <w:pPr>
      <w:autoSpaceDE w:val="0"/>
      <w:autoSpaceDN w:val="0"/>
      <w:adjustRightInd w:val="0"/>
    </w:pPr>
    <w:rPr>
      <w:rFonts w:ascii="Cambria" w:hAnsi="Cambria" w:cs="Cambria"/>
      <w:color w:val="000000"/>
      <w:sz w:val="24"/>
      <w:szCs w:val="24"/>
      <w:lang w:val="pt-BR" w:eastAsia="pt-BR"/>
    </w:rPr>
  </w:style>
  <w:style w:type="paragraph" w:styleId="NoSpacing">
    <w:name w:val="No Spacing"/>
    <w:uiPriority w:val="1"/>
    <w:qFormat/>
    <w:rsid w:val="00583C84"/>
    <w:rPr>
      <w:sz w:val="22"/>
      <w:szCs w:val="22"/>
    </w:rPr>
  </w:style>
  <w:style w:type="paragraph" w:styleId="EndnoteText">
    <w:name w:val="endnote text"/>
    <w:basedOn w:val="Normal"/>
    <w:link w:val="EndnoteTextChar"/>
    <w:uiPriority w:val="99"/>
    <w:semiHidden/>
    <w:unhideWhenUsed/>
    <w:rsid w:val="00D54D6F"/>
    <w:rPr>
      <w:sz w:val="20"/>
      <w:szCs w:val="20"/>
    </w:rPr>
  </w:style>
  <w:style w:type="character" w:customStyle="1" w:styleId="EndnoteTextChar">
    <w:name w:val="Endnote Text Char"/>
    <w:link w:val="EndnoteText"/>
    <w:uiPriority w:val="99"/>
    <w:semiHidden/>
    <w:rsid w:val="00D54D6F"/>
    <w:rPr>
      <w:lang w:val="en-US" w:eastAsia="en-US"/>
    </w:rPr>
  </w:style>
  <w:style w:type="character" w:styleId="EndnoteReference">
    <w:name w:val="endnote reference"/>
    <w:uiPriority w:val="99"/>
    <w:semiHidden/>
    <w:unhideWhenUsed/>
    <w:rsid w:val="00D54D6F"/>
    <w:rPr>
      <w:vertAlign w:val="superscript"/>
    </w:rPr>
  </w:style>
  <w:style w:type="character" w:styleId="FollowedHyperlink">
    <w:name w:val="FollowedHyperlink"/>
    <w:uiPriority w:val="99"/>
    <w:semiHidden/>
    <w:unhideWhenUsed/>
    <w:rsid w:val="0073273B"/>
    <w:rPr>
      <w:color w:val="954F72"/>
      <w:u w:val="single"/>
    </w:rPr>
  </w:style>
  <w:style w:type="character" w:customStyle="1" w:styleId="ui-provider">
    <w:name w:val="ui-provider"/>
    <w:basedOn w:val="DefaultParagraphFont"/>
    <w:rsid w:val="00AA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as.org/en/iachr/decisions/friendly.as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oas.org/en/iachr/docs/annual/2020/Chapters/IA2020cap2-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34A0D-18CE-4362-9E26-A3C7BFDE772A}">
  <ds:schemaRefs>
    <ds:schemaRef ds:uri="http://schemas.microsoft.com/office/2006/metadata/longProperties"/>
  </ds:schemaRefs>
</ds:datastoreItem>
</file>

<file path=customXml/itemProps2.xml><?xml version="1.0" encoding="utf-8"?>
<ds:datastoreItem xmlns:ds="http://schemas.openxmlformats.org/officeDocument/2006/customXml" ds:itemID="{DCDC3242-CF68-44A2-BDBB-17E15E538EAD}">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B0001585-DE71-493B-B245-668A51CE9202}">
  <ds:schemaRefs>
    <ds:schemaRef ds:uri="http://schemas.openxmlformats.org/officeDocument/2006/bibliography"/>
  </ds:schemaRefs>
</ds:datastoreItem>
</file>

<file path=customXml/itemProps4.xml><?xml version="1.0" encoding="utf-8"?>
<ds:datastoreItem xmlns:ds="http://schemas.openxmlformats.org/officeDocument/2006/customXml" ds:itemID="{BF31B657-F33D-43CC-9F55-73619C379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0A2D28-5FAE-4C93-A166-435BBB1CA9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927</Words>
  <Characters>5286</Characters>
  <Application>Microsoft Office Word</Application>
  <DocSecurity>0</DocSecurity>
  <Lines>44</Lines>
  <Paragraphs>12</Paragraphs>
  <ScaleCrop>false</ScaleCrop>
  <Company/>
  <LinksUpToDate>false</LinksUpToDate>
  <CharactersWithSpaces>6201</CharactersWithSpaces>
  <SharedDoc>false</SharedDoc>
  <HLinks>
    <vt:vector size="12" baseType="variant">
      <vt:variant>
        <vt:i4>7077996</vt:i4>
      </vt:variant>
      <vt:variant>
        <vt:i4>0</vt:i4>
      </vt:variant>
      <vt:variant>
        <vt:i4>0</vt:i4>
      </vt:variant>
      <vt:variant>
        <vt:i4>5</vt:i4>
      </vt:variant>
      <vt:variant>
        <vt:lpwstr>http://www.oas.org/en/iachr/decisions/friendly.asp</vt:lpwstr>
      </vt:variant>
      <vt:variant>
        <vt:lpwstr/>
      </vt:variant>
      <vt:variant>
        <vt:i4>3670115</vt:i4>
      </vt:variant>
      <vt:variant>
        <vt:i4>0</vt:i4>
      </vt:variant>
      <vt:variant>
        <vt:i4>0</vt:i4>
      </vt:variant>
      <vt:variant>
        <vt:i4>5</vt:i4>
      </vt:variant>
      <vt:variant>
        <vt:lpwstr>http://www.oas.org/en/iachr/docs/annual/2020/Chapters/IA2020cap2-en.pdf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2023-03-03T22:05:00Z</dcterms:created>
  <dcterms:modified xsi:type="dcterms:W3CDTF">2023-03-03T22:05:00Z</dcterms:modified>
</cp:coreProperties>
</file>