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7D777BE6"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1E58E1A3">
                <wp:simplePos x="0" y="0"/>
                <wp:positionH relativeFrom="column">
                  <wp:posOffset>1208598</wp:posOffset>
                </wp:positionH>
                <wp:positionV relativeFrom="paragraph">
                  <wp:posOffset>76504</wp:posOffset>
                </wp:positionV>
                <wp:extent cx="4524292"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524292"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4D4C9D06"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4E7EB2">
                              <w:rPr>
                                <w:rFonts w:asciiTheme="majorHAnsi" w:hAnsiTheme="majorHAnsi" w:cs="Arial"/>
                                <w:b/>
                                <w:bCs/>
                                <w:color w:val="0D0D0D" w:themeColor="text1" w:themeTint="F2"/>
                                <w:sz w:val="36"/>
                                <w:szCs w:val="40"/>
                              </w:rPr>
                              <w:t>104</w:t>
                            </w:r>
                            <w:r w:rsidR="00CA4DF0">
                              <w:rPr>
                                <w:rFonts w:asciiTheme="majorHAnsi" w:hAnsiTheme="majorHAnsi" w:cs="Arial"/>
                                <w:b/>
                                <w:bCs/>
                                <w:color w:val="0D0D0D" w:themeColor="text1" w:themeTint="F2"/>
                                <w:sz w:val="36"/>
                                <w:szCs w:val="40"/>
                              </w:rPr>
                              <w:t>/20</w:t>
                            </w:r>
                          </w:p>
                          <w:p w14:paraId="081F51F3" w14:textId="1813EA62"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E1CAD">
                              <w:rPr>
                                <w:rFonts w:asciiTheme="majorHAnsi" w:hAnsiTheme="majorHAnsi" w:cs="Arial"/>
                                <w:b/>
                                <w:bCs/>
                                <w:color w:val="0D0D0D" w:themeColor="text1" w:themeTint="F2"/>
                                <w:sz w:val="36"/>
                                <w:szCs w:val="40"/>
                              </w:rPr>
                              <w:t xml:space="preserve"> 1178</w:t>
                            </w:r>
                            <w:r w:rsidR="00F621C3">
                              <w:rPr>
                                <w:rFonts w:asciiTheme="majorHAnsi" w:hAnsiTheme="majorHAnsi" w:cs="Arial"/>
                                <w:b/>
                                <w:bCs/>
                                <w:color w:val="0D0D0D" w:themeColor="text1" w:themeTint="F2"/>
                                <w:sz w:val="36"/>
                                <w:szCs w:val="40"/>
                              </w:rPr>
                              <w:t>-</w:t>
                            </w:r>
                            <w:r w:rsidR="003E1CAD">
                              <w:rPr>
                                <w:rFonts w:asciiTheme="majorHAnsi" w:hAnsiTheme="majorHAnsi" w:cs="Arial"/>
                                <w:b/>
                                <w:bCs/>
                                <w:color w:val="0D0D0D" w:themeColor="text1" w:themeTint="F2"/>
                                <w:sz w:val="36"/>
                                <w:szCs w:val="40"/>
                              </w:rPr>
                              <w:t>10</w:t>
                            </w:r>
                          </w:p>
                          <w:p w14:paraId="34978E5A" w14:textId="319B1912" w:rsidR="002C1641" w:rsidRPr="004B7EB6" w:rsidRDefault="00F42B71" w:rsidP="004B7EB6">
                            <w:pPr>
                              <w:spacing w:line="276" w:lineRule="auto"/>
                              <w:rPr>
                                <w:rFonts w:asciiTheme="majorHAnsi" w:hAnsiTheme="majorHAnsi" w:cs="Arial"/>
                                <w:color w:val="0D0D0D" w:themeColor="text1" w:themeTint="F2"/>
                                <w:szCs w:val="22"/>
                              </w:rPr>
                            </w:pPr>
                            <w:r w:rsidRPr="006A7098">
                              <w:rPr>
                                <w:rFonts w:asciiTheme="majorHAnsi" w:hAnsiTheme="majorHAnsi" w:cs="Arial"/>
                                <w:color w:val="0D0D0D" w:themeColor="text1" w:themeTint="F2"/>
                                <w:szCs w:val="22"/>
                              </w:rPr>
                              <w:t xml:space="preserve">REPORT ON </w:t>
                            </w:r>
                            <w:r w:rsidRPr="006A7098">
                              <w:rPr>
                                <w:rFonts w:asciiTheme="majorHAnsi" w:hAnsiTheme="majorHAnsi" w:cs="Arial"/>
                                <w:szCs w:val="22"/>
                              </w:rPr>
                              <w:t>ADMISSIBILITY</w:t>
                            </w:r>
                            <w:r w:rsidR="006A7098" w:rsidRPr="006A7098">
                              <w:rPr>
                                <w:rFonts w:asciiTheme="majorHAnsi" w:hAnsiTheme="majorHAnsi" w:cs="Arial"/>
                                <w:szCs w:val="22"/>
                              </w:rPr>
                              <w:t xml:space="preserve"> </w:t>
                            </w:r>
                            <w:r w:rsidR="002C1641" w:rsidRPr="006A7098">
                              <w:rPr>
                                <w:rFonts w:asciiTheme="majorHAnsi" w:hAnsiTheme="majorHAnsi" w:cs="Arial"/>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A73D628" w14:textId="5233AF36" w:rsidR="00F42B71" w:rsidRPr="004B625D" w:rsidRDefault="00301E9E"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AMA</w:t>
                            </w:r>
                            <w:r w:rsidR="007F2844">
                              <w:rPr>
                                <w:rFonts w:ascii="Cambria" w:hAnsi="Cambria" w:cs="Arial"/>
                                <w:color w:val="0D0D0D"/>
                                <w:szCs w:val="22"/>
                              </w:rPr>
                              <w:t>N</w:t>
                            </w:r>
                            <w:r>
                              <w:rPr>
                                <w:rFonts w:ascii="Cambria" w:hAnsi="Cambria" w:cs="Arial"/>
                                <w:color w:val="0D0D0D"/>
                                <w:szCs w:val="22"/>
                              </w:rPr>
                              <w:t xml:space="preserve">IE </w:t>
                            </w:r>
                            <w:r w:rsidR="006202F2" w:rsidRPr="00301E9E">
                              <w:rPr>
                                <w:rFonts w:ascii="Cambria" w:hAnsi="Cambria" w:cs="Arial"/>
                                <w:color w:val="0D0D0D"/>
                                <w:szCs w:val="22"/>
                              </w:rPr>
                              <w:t>WEDDERBURN</w:t>
                            </w:r>
                            <w:r w:rsidR="00107662">
                              <w:rPr>
                                <w:rFonts w:ascii="Cambria" w:hAnsi="Cambria" w:cs="Arial"/>
                                <w:color w:val="0D0D0D"/>
                                <w:szCs w:val="22"/>
                              </w:rPr>
                              <w:t>,</w:t>
                            </w:r>
                            <w:r>
                              <w:rPr>
                                <w:rFonts w:ascii="Cambria" w:hAnsi="Cambria" w:cs="Arial"/>
                                <w:color w:val="0D0D0D"/>
                                <w:szCs w:val="22"/>
                              </w:rPr>
                              <w:t xml:space="preserve"> </w:t>
                            </w:r>
                            <w:r w:rsidR="005364B4">
                              <w:rPr>
                                <w:rFonts w:ascii="Cambria" w:hAnsi="Cambria" w:cs="Arial"/>
                                <w:color w:val="0D0D0D"/>
                                <w:szCs w:val="22"/>
                              </w:rPr>
                              <w:t xml:space="preserve">ERIC </w:t>
                            </w:r>
                            <w:r w:rsidRPr="00301E9E">
                              <w:rPr>
                                <w:rFonts w:ascii="Cambria" w:hAnsi="Cambria" w:cs="Arial"/>
                                <w:color w:val="0D0D0D"/>
                                <w:szCs w:val="22"/>
                              </w:rPr>
                              <w:t>WEDDERBURN</w:t>
                            </w:r>
                            <w:r w:rsidR="00107662">
                              <w:rPr>
                                <w:rFonts w:ascii="Cambria" w:hAnsi="Cambria" w:cs="Arial"/>
                                <w:color w:val="0D0D0D"/>
                                <w:szCs w:val="22"/>
                              </w:rPr>
                              <w:t xml:space="preserve"> AND FAMILY</w:t>
                            </w:r>
                          </w:p>
                          <w:p w14:paraId="48EBC31A" w14:textId="39219F05" w:rsidR="00F42B71" w:rsidRPr="004B625D" w:rsidRDefault="003E1CAD"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JAMAICA</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AB7EE52" id="Text Box 5" o:spid="_x0000_s1027" type="#_x0000_t202" style="position:absolute;left:0;text-align:left;margin-left:95.15pt;margin-top:6pt;width:356.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" filled="f" stroked="f" strokeweight=".5pt">
                <v:textbox>
                  <w:txbxContent>
                    <w:p w14:paraId="6F7C2188" w14:textId="4D4C9D06"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4E7EB2">
                        <w:rPr>
                          <w:rFonts w:asciiTheme="majorHAnsi" w:hAnsiTheme="majorHAnsi" w:cs="Arial"/>
                          <w:b/>
                          <w:bCs/>
                          <w:color w:val="0D0D0D" w:themeColor="text1" w:themeTint="F2"/>
                          <w:sz w:val="36"/>
                          <w:szCs w:val="40"/>
                        </w:rPr>
                        <w:t>104</w:t>
                      </w:r>
                      <w:r w:rsidR="00CA4DF0">
                        <w:rPr>
                          <w:rFonts w:asciiTheme="majorHAnsi" w:hAnsiTheme="majorHAnsi" w:cs="Arial"/>
                          <w:b/>
                          <w:bCs/>
                          <w:color w:val="0D0D0D" w:themeColor="text1" w:themeTint="F2"/>
                          <w:sz w:val="36"/>
                          <w:szCs w:val="40"/>
                        </w:rPr>
                        <w:t>/20</w:t>
                      </w:r>
                    </w:p>
                    <w:p w14:paraId="081F51F3" w14:textId="1813EA62"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E1CAD">
                        <w:rPr>
                          <w:rFonts w:asciiTheme="majorHAnsi" w:hAnsiTheme="majorHAnsi" w:cs="Arial"/>
                          <w:b/>
                          <w:bCs/>
                          <w:color w:val="0D0D0D" w:themeColor="text1" w:themeTint="F2"/>
                          <w:sz w:val="36"/>
                          <w:szCs w:val="40"/>
                        </w:rPr>
                        <w:t xml:space="preserve"> 1178</w:t>
                      </w:r>
                      <w:r w:rsidR="00F621C3">
                        <w:rPr>
                          <w:rFonts w:asciiTheme="majorHAnsi" w:hAnsiTheme="majorHAnsi" w:cs="Arial"/>
                          <w:b/>
                          <w:bCs/>
                          <w:color w:val="0D0D0D" w:themeColor="text1" w:themeTint="F2"/>
                          <w:sz w:val="36"/>
                          <w:szCs w:val="40"/>
                        </w:rPr>
                        <w:t>-</w:t>
                      </w:r>
                      <w:r w:rsidR="003E1CAD">
                        <w:rPr>
                          <w:rFonts w:asciiTheme="majorHAnsi" w:hAnsiTheme="majorHAnsi" w:cs="Arial"/>
                          <w:b/>
                          <w:bCs/>
                          <w:color w:val="0D0D0D" w:themeColor="text1" w:themeTint="F2"/>
                          <w:sz w:val="36"/>
                          <w:szCs w:val="40"/>
                        </w:rPr>
                        <w:t>10</w:t>
                      </w:r>
                    </w:p>
                    <w:p w14:paraId="34978E5A" w14:textId="319B1912" w:rsidR="002C1641" w:rsidRPr="004B7EB6" w:rsidRDefault="00F42B71" w:rsidP="004B7EB6">
                      <w:pPr>
                        <w:spacing w:line="276" w:lineRule="auto"/>
                        <w:rPr>
                          <w:rFonts w:asciiTheme="majorHAnsi" w:hAnsiTheme="majorHAnsi" w:cs="Arial"/>
                          <w:color w:val="0D0D0D" w:themeColor="text1" w:themeTint="F2"/>
                          <w:szCs w:val="22"/>
                        </w:rPr>
                      </w:pPr>
                      <w:r w:rsidRPr="006A7098">
                        <w:rPr>
                          <w:rFonts w:asciiTheme="majorHAnsi" w:hAnsiTheme="majorHAnsi" w:cs="Arial"/>
                          <w:color w:val="0D0D0D" w:themeColor="text1" w:themeTint="F2"/>
                          <w:szCs w:val="22"/>
                        </w:rPr>
                        <w:t xml:space="preserve">REPORT ON </w:t>
                      </w:r>
                      <w:r w:rsidRPr="006A7098">
                        <w:rPr>
                          <w:rFonts w:asciiTheme="majorHAnsi" w:hAnsiTheme="majorHAnsi" w:cs="Arial"/>
                          <w:szCs w:val="22"/>
                        </w:rPr>
                        <w:t>ADMISSIBILITY</w:t>
                      </w:r>
                      <w:r w:rsidR="006A7098" w:rsidRPr="006A7098">
                        <w:rPr>
                          <w:rFonts w:asciiTheme="majorHAnsi" w:hAnsiTheme="majorHAnsi" w:cs="Arial"/>
                          <w:szCs w:val="22"/>
                        </w:rPr>
                        <w:t xml:space="preserve"> </w:t>
                      </w:r>
                      <w:r w:rsidR="002C1641" w:rsidRPr="006A7098">
                        <w:rPr>
                          <w:rFonts w:asciiTheme="majorHAnsi" w:hAnsiTheme="majorHAnsi" w:cs="Arial"/>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A73D628" w14:textId="5233AF36" w:rsidR="00F42B71" w:rsidRPr="004B625D" w:rsidRDefault="00301E9E"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AMA</w:t>
                      </w:r>
                      <w:r w:rsidR="007F2844">
                        <w:rPr>
                          <w:rFonts w:ascii="Cambria" w:hAnsi="Cambria" w:cs="Arial"/>
                          <w:color w:val="0D0D0D"/>
                          <w:szCs w:val="22"/>
                        </w:rPr>
                        <w:t>N</w:t>
                      </w:r>
                      <w:r>
                        <w:rPr>
                          <w:rFonts w:ascii="Cambria" w:hAnsi="Cambria" w:cs="Arial"/>
                          <w:color w:val="0D0D0D"/>
                          <w:szCs w:val="22"/>
                        </w:rPr>
                        <w:t xml:space="preserve">IE </w:t>
                      </w:r>
                      <w:r w:rsidR="006202F2" w:rsidRPr="00301E9E">
                        <w:rPr>
                          <w:rFonts w:ascii="Cambria" w:hAnsi="Cambria" w:cs="Arial"/>
                          <w:color w:val="0D0D0D"/>
                          <w:szCs w:val="22"/>
                        </w:rPr>
                        <w:t>WEDDERBURN</w:t>
                      </w:r>
                      <w:r w:rsidR="00107662">
                        <w:rPr>
                          <w:rFonts w:ascii="Cambria" w:hAnsi="Cambria" w:cs="Arial"/>
                          <w:color w:val="0D0D0D"/>
                          <w:szCs w:val="22"/>
                        </w:rPr>
                        <w:t>,</w:t>
                      </w:r>
                      <w:r>
                        <w:rPr>
                          <w:rFonts w:ascii="Cambria" w:hAnsi="Cambria" w:cs="Arial"/>
                          <w:color w:val="0D0D0D"/>
                          <w:szCs w:val="22"/>
                        </w:rPr>
                        <w:t xml:space="preserve"> </w:t>
                      </w:r>
                      <w:r w:rsidR="005364B4">
                        <w:rPr>
                          <w:rFonts w:ascii="Cambria" w:hAnsi="Cambria" w:cs="Arial"/>
                          <w:color w:val="0D0D0D"/>
                          <w:szCs w:val="22"/>
                        </w:rPr>
                        <w:t xml:space="preserve">ERIC </w:t>
                      </w:r>
                      <w:r w:rsidRPr="00301E9E">
                        <w:rPr>
                          <w:rFonts w:ascii="Cambria" w:hAnsi="Cambria" w:cs="Arial"/>
                          <w:color w:val="0D0D0D"/>
                          <w:szCs w:val="22"/>
                        </w:rPr>
                        <w:t>WEDDERBURN</w:t>
                      </w:r>
                      <w:r w:rsidR="00107662">
                        <w:rPr>
                          <w:rFonts w:ascii="Cambria" w:hAnsi="Cambria" w:cs="Arial"/>
                          <w:color w:val="0D0D0D"/>
                          <w:szCs w:val="22"/>
                        </w:rPr>
                        <w:t xml:space="preserve"> AND FAMILY</w:t>
                      </w:r>
                    </w:p>
                    <w:p w14:paraId="48EBC31A" w14:textId="39219F05" w:rsidR="00F42B71" w:rsidRPr="004B625D" w:rsidRDefault="003E1CAD"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JAMAICA</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15684DD6"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4AA08A8C" w14:textId="451CAE2B" w:rsidR="00627C9F" w:rsidRPr="004E7EB2" w:rsidRDefault="00CA6577" w:rsidP="009E566A">
                            <w:pPr>
                              <w:jc w:val="right"/>
                              <w:rPr>
                                <w:rFonts w:asciiTheme="minorHAnsi" w:hAnsiTheme="minorHAnsi"/>
                                <w:color w:val="FFFFFF" w:themeColor="background1"/>
                                <w:sz w:val="22"/>
                              </w:rPr>
                            </w:pPr>
                            <w:r w:rsidRPr="004E7EB2">
                              <w:rPr>
                                <w:rFonts w:asciiTheme="minorHAnsi" w:hAnsiTheme="minorHAnsi"/>
                                <w:color w:val="FFFFFF" w:themeColor="background1"/>
                                <w:sz w:val="22"/>
                              </w:rPr>
                              <w:t>Doc.</w:t>
                            </w:r>
                            <w:r w:rsidR="004E7EB2" w:rsidRPr="004E7EB2">
                              <w:rPr>
                                <w:rFonts w:asciiTheme="minorHAnsi" w:hAnsiTheme="minorHAnsi"/>
                                <w:color w:val="FFFFFF" w:themeColor="background1"/>
                                <w:sz w:val="22"/>
                              </w:rPr>
                              <w:t xml:space="preserve"> 114</w:t>
                            </w:r>
                            <w:r w:rsidRPr="004E7EB2">
                              <w:rPr>
                                <w:rFonts w:asciiTheme="minorHAnsi" w:hAnsiTheme="minorHAnsi"/>
                                <w:color w:val="FFFFFF" w:themeColor="background1"/>
                                <w:sz w:val="22"/>
                              </w:rPr>
                              <w:t xml:space="preserve"> </w:t>
                            </w:r>
                          </w:p>
                          <w:p w14:paraId="0BEFF61A" w14:textId="1792D384" w:rsidR="00627C9F" w:rsidRPr="004B7EB6" w:rsidRDefault="004E7EB2" w:rsidP="009E566A">
                            <w:pPr>
                              <w:jc w:val="right"/>
                              <w:rPr>
                                <w:rFonts w:asciiTheme="minorHAnsi" w:hAnsiTheme="minorHAnsi"/>
                                <w:color w:val="FFFFFF" w:themeColor="background1"/>
                                <w:sz w:val="22"/>
                              </w:rPr>
                            </w:pPr>
                            <w:r>
                              <w:rPr>
                                <w:rFonts w:asciiTheme="minorHAnsi" w:hAnsiTheme="minorHAnsi"/>
                                <w:color w:val="FFFFFF" w:themeColor="background1"/>
                                <w:sz w:val="22"/>
                              </w:rPr>
                              <w:t>24 April</w:t>
                            </w:r>
                            <w:r w:rsidR="000C4365">
                              <w:rPr>
                                <w:rFonts w:asciiTheme="minorHAnsi" w:hAnsiTheme="minorHAnsi"/>
                                <w:color w:val="FFFFFF" w:themeColor="background1"/>
                                <w:sz w:val="22"/>
                              </w:rPr>
                              <w:t xml:space="preserve"> </w:t>
                            </w:r>
                            <w:r>
                              <w:rPr>
                                <w:rFonts w:asciiTheme="minorHAnsi" w:hAnsiTheme="minorHAnsi"/>
                                <w:color w:val="FFFFFF" w:themeColor="background1"/>
                                <w:sz w:val="22"/>
                              </w:rPr>
                              <w:t>20</w:t>
                            </w:r>
                            <w:r w:rsidR="00F42B71">
                              <w:rPr>
                                <w:rFonts w:asciiTheme="minorHAnsi" w:hAnsiTheme="minorHAnsi"/>
                                <w:color w:val="FFFFFF" w:themeColor="background1"/>
                                <w:sz w:val="22"/>
                              </w:rPr>
                              <w:t>20</w:t>
                            </w:r>
                          </w:p>
                          <w:p w14:paraId="0FC103BD" w14:textId="4232848F"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4E7EB2">
                              <w:rPr>
                                <w:rFonts w:asciiTheme="minorHAnsi" w:hAnsiTheme="minorHAnsi"/>
                                <w:color w:val="FFFFFF" w:themeColor="background1"/>
                                <w:sz w:val="22"/>
                              </w:rPr>
                              <w:t xml:space="preserve"> 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15684DD6"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4AA08A8C" w14:textId="451CAE2B" w:rsidR="00627C9F" w:rsidRPr="004E7EB2" w:rsidRDefault="00CA6577" w:rsidP="009E566A">
                      <w:pPr>
                        <w:jc w:val="right"/>
                        <w:rPr>
                          <w:rFonts w:asciiTheme="minorHAnsi" w:hAnsiTheme="minorHAnsi"/>
                          <w:color w:val="FFFFFF" w:themeColor="background1"/>
                          <w:sz w:val="22"/>
                        </w:rPr>
                      </w:pPr>
                      <w:r w:rsidRPr="004E7EB2">
                        <w:rPr>
                          <w:rFonts w:asciiTheme="minorHAnsi" w:hAnsiTheme="minorHAnsi"/>
                          <w:color w:val="FFFFFF" w:themeColor="background1"/>
                          <w:sz w:val="22"/>
                        </w:rPr>
                        <w:t>Doc.</w:t>
                      </w:r>
                      <w:r w:rsidR="004E7EB2" w:rsidRPr="004E7EB2">
                        <w:rPr>
                          <w:rFonts w:asciiTheme="minorHAnsi" w:hAnsiTheme="minorHAnsi"/>
                          <w:color w:val="FFFFFF" w:themeColor="background1"/>
                          <w:sz w:val="22"/>
                        </w:rPr>
                        <w:t xml:space="preserve"> 114</w:t>
                      </w:r>
                      <w:r w:rsidRPr="004E7EB2">
                        <w:rPr>
                          <w:rFonts w:asciiTheme="minorHAnsi" w:hAnsiTheme="minorHAnsi"/>
                          <w:color w:val="FFFFFF" w:themeColor="background1"/>
                          <w:sz w:val="22"/>
                        </w:rPr>
                        <w:t xml:space="preserve"> </w:t>
                      </w:r>
                    </w:p>
                    <w:p w14:paraId="0BEFF61A" w14:textId="1792D384" w:rsidR="00627C9F" w:rsidRPr="004B7EB6" w:rsidRDefault="004E7EB2" w:rsidP="009E566A">
                      <w:pPr>
                        <w:jc w:val="right"/>
                        <w:rPr>
                          <w:rFonts w:asciiTheme="minorHAnsi" w:hAnsiTheme="minorHAnsi"/>
                          <w:color w:val="FFFFFF" w:themeColor="background1"/>
                          <w:sz w:val="22"/>
                        </w:rPr>
                      </w:pPr>
                      <w:r>
                        <w:rPr>
                          <w:rFonts w:asciiTheme="minorHAnsi" w:hAnsiTheme="minorHAnsi"/>
                          <w:color w:val="FFFFFF" w:themeColor="background1"/>
                          <w:sz w:val="22"/>
                        </w:rPr>
                        <w:t>24 April</w:t>
                      </w:r>
                      <w:r w:rsidR="000C4365">
                        <w:rPr>
                          <w:rFonts w:asciiTheme="minorHAnsi" w:hAnsiTheme="minorHAnsi"/>
                          <w:color w:val="FFFFFF" w:themeColor="background1"/>
                          <w:sz w:val="22"/>
                        </w:rPr>
                        <w:t xml:space="preserve"> </w:t>
                      </w:r>
                      <w:r>
                        <w:rPr>
                          <w:rFonts w:asciiTheme="minorHAnsi" w:hAnsiTheme="minorHAnsi"/>
                          <w:color w:val="FFFFFF" w:themeColor="background1"/>
                          <w:sz w:val="22"/>
                        </w:rPr>
                        <w:t>20</w:t>
                      </w:r>
                      <w:r w:rsidR="00F42B71">
                        <w:rPr>
                          <w:rFonts w:asciiTheme="minorHAnsi" w:hAnsiTheme="minorHAnsi"/>
                          <w:color w:val="FFFFFF" w:themeColor="background1"/>
                          <w:sz w:val="22"/>
                        </w:rPr>
                        <w:t>20</w:t>
                      </w:r>
                    </w:p>
                    <w:p w14:paraId="0FC103BD" w14:textId="4232848F"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4E7EB2">
                        <w:rPr>
                          <w:rFonts w:asciiTheme="minorHAnsi" w:hAnsiTheme="minorHAnsi"/>
                          <w:color w:val="FFFFFF" w:themeColor="background1"/>
                          <w:sz w:val="22"/>
                        </w:rPr>
                        <w:t xml:space="preserve"> English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5FD9B507">
                <wp:simplePos x="0" y="0"/>
                <wp:positionH relativeFrom="column">
                  <wp:posOffset>1207698</wp:posOffset>
                </wp:positionH>
                <wp:positionV relativeFrom="paragraph">
                  <wp:posOffset>68988</wp:posOffset>
                </wp:positionV>
                <wp:extent cx="4595495" cy="612476"/>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124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736E5F" w14:textId="41622108" w:rsidR="00CA4DF0" w:rsidRDefault="00CA4DF0" w:rsidP="00CA4DF0">
                            <w:pPr>
                              <w:tabs>
                                <w:tab w:val="center" w:pos="5400"/>
                              </w:tabs>
                              <w:suppressAutoHyphens/>
                              <w:spacing w:before="60"/>
                              <w:rPr>
                                <w:rFonts w:asciiTheme="majorHAnsi" w:hAnsiTheme="majorHAnsi" w:cs="Univers"/>
                                <w:color w:val="0D0D0D" w:themeColor="text1" w:themeTint="F2"/>
                                <w:sz w:val="18"/>
                                <w:szCs w:val="20"/>
                              </w:rPr>
                            </w:pPr>
                            <w:r>
                              <w:rPr>
                                <w:rFonts w:asciiTheme="majorHAnsi" w:hAnsiTheme="majorHAnsi" w:cs="Univers"/>
                                <w:color w:val="0D0D0D" w:themeColor="text1" w:themeTint="F2"/>
                                <w:sz w:val="18"/>
                                <w:szCs w:val="20"/>
                              </w:rPr>
                              <w:t xml:space="preserve">Approved electronically by the Commission on </w:t>
                            </w:r>
                            <w:r w:rsidR="004E7EB2">
                              <w:rPr>
                                <w:rFonts w:asciiTheme="majorHAnsi" w:hAnsiTheme="majorHAnsi" w:cs="Univers"/>
                                <w:color w:val="0D0D0D" w:themeColor="text1" w:themeTint="F2"/>
                                <w:sz w:val="18"/>
                                <w:szCs w:val="20"/>
                              </w:rPr>
                              <w:t>April 24, 2020</w:t>
                            </w:r>
                            <w:r w:rsidR="0068793E">
                              <w:rPr>
                                <w:rFonts w:asciiTheme="majorHAnsi" w:hAnsiTheme="majorHAnsi" w:cs="Univers"/>
                                <w:color w:val="0D0D0D" w:themeColor="text1" w:themeTint="F2"/>
                                <w:sz w:val="18"/>
                                <w:szCs w:val="20"/>
                              </w:rPr>
                              <w:t>.</w:t>
                            </w:r>
                          </w:p>
                          <w:p w14:paraId="6A291EAE" w14:textId="77777777" w:rsidR="00CA4DF0" w:rsidRPr="00CA4DF0" w:rsidRDefault="00CA4DF0" w:rsidP="00CA4DF0">
                            <w:pPr>
                              <w:tabs>
                                <w:tab w:val="center" w:pos="5400"/>
                              </w:tabs>
                              <w:suppressAutoHyphens/>
                              <w:spacing w:before="60"/>
                              <w:rPr>
                                <w:rFonts w:asciiTheme="majorHAnsi" w:hAnsiTheme="majorHAnsi"/>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45188" id="_x0000_t202" coordsize="21600,21600" o:spt="202" path="m,l,21600r21600,l21600,xe">
                <v:stroke joinstyle="miter"/>
                <v:path gradientshapeok="t" o:connecttype="rect"/>
              </v:shapetype>
              <v:shape id="Text Box 7" o:spid="_x0000_s1029" type="#_x0000_t202" style="position:absolute;left:0;text-align:left;margin-left:95.1pt;margin-top:5.45pt;width:361.85pt;height:4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" filled="f" stroked="f" strokeweight=".5pt">
                <v:textbox>
                  <w:txbxContent>
                    <w:p w14:paraId="3C736E5F" w14:textId="41622108" w:rsidR="00CA4DF0" w:rsidRDefault="00CA4DF0" w:rsidP="00CA4DF0">
                      <w:pPr>
                        <w:tabs>
                          <w:tab w:val="center" w:pos="5400"/>
                        </w:tabs>
                        <w:suppressAutoHyphens/>
                        <w:spacing w:before="60"/>
                        <w:rPr>
                          <w:rFonts w:asciiTheme="majorHAnsi" w:hAnsiTheme="majorHAnsi" w:cs="Univers"/>
                          <w:color w:val="0D0D0D" w:themeColor="text1" w:themeTint="F2"/>
                          <w:sz w:val="18"/>
                          <w:szCs w:val="20"/>
                        </w:rPr>
                      </w:pPr>
                      <w:r>
                        <w:rPr>
                          <w:rFonts w:asciiTheme="majorHAnsi" w:hAnsiTheme="majorHAnsi" w:cs="Univers"/>
                          <w:color w:val="0D0D0D" w:themeColor="text1" w:themeTint="F2"/>
                          <w:sz w:val="18"/>
                          <w:szCs w:val="20"/>
                        </w:rPr>
                        <w:t xml:space="preserve">Approved electronically by the Commission on </w:t>
                      </w:r>
                      <w:r w:rsidR="004E7EB2">
                        <w:rPr>
                          <w:rFonts w:asciiTheme="majorHAnsi" w:hAnsiTheme="majorHAnsi" w:cs="Univers"/>
                          <w:color w:val="0D0D0D" w:themeColor="text1" w:themeTint="F2"/>
                          <w:sz w:val="18"/>
                          <w:szCs w:val="20"/>
                        </w:rPr>
                        <w:t>April 24, 2020</w:t>
                      </w:r>
                      <w:r w:rsidR="0068793E">
                        <w:rPr>
                          <w:rFonts w:asciiTheme="majorHAnsi" w:hAnsiTheme="majorHAnsi" w:cs="Univers"/>
                          <w:color w:val="0D0D0D" w:themeColor="text1" w:themeTint="F2"/>
                          <w:sz w:val="18"/>
                          <w:szCs w:val="20"/>
                        </w:rPr>
                        <w:t>.</w:t>
                      </w:r>
                    </w:p>
                    <w:p w14:paraId="6A291EAE" w14:textId="77777777" w:rsidR="00CA4DF0" w:rsidRPr="00CA4DF0" w:rsidRDefault="00CA4DF0" w:rsidP="00CA4DF0">
                      <w:pPr>
                        <w:tabs>
                          <w:tab w:val="center" w:pos="5400"/>
                        </w:tabs>
                        <w:suppressAutoHyphens/>
                        <w:spacing w:before="60"/>
                        <w:rPr>
                          <w:rFonts w:asciiTheme="majorHAnsi" w:hAnsiTheme="majorHAnsi"/>
                          <w:sz w:val="18"/>
                          <w:szCs w:val="22"/>
                        </w:rPr>
                      </w:pP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78B814F4" w:rsidR="00F644E6" w:rsidRPr="00604550" w:rsidRDefault="00F644E6" w:rsidP="0060455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4E7EB2">
                              <w:rPr>
                                <w:rFonts w:asciiTheme="majorHAnsi" w:hAnsiTheme="majorHAnsi"/>
                                <w:color w:val="595959" w:themeColor="text1" w:themeTint="A6"/>
                                <w:sz w:val="18"/>
                              </w:rPr>
                              <w:t>104</w:t>
                            </w:r>
                            <w:r w:rsidR="00022CF5">
                              <w:rPr>
                                <w:rFonts w:asciiTheme="majorHAnsi" w:hAnsiTheme="majorHAnsi"/>
                                <w:color w:val="595959" w:themeColor="text1" w:themeTint="A6"/>
                                <w:sz w:val="18"/>
                              </w:rPr>
                              <w:t>/</w:t>
                            </w:r>
                            <w:r w:rsidR="004E7EB2">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E474B3">
                              <w:rPr>
                                <w:rFonts w:asciiTheme="majorHAnsi" w:hAnsiTheme="majorHAnsi"/>
                                <w:color w:val="595959" w:themeColor="text1" w:themeTint="A6"/>
                                <w:sz w:val="18"/>
                              </w:rPr>
                              <w:t>1178</w:t>
                            </w:r>
                            <w:r w:rsidR="00F621C3">
                              <w:rPr>
                                <w:rFonts w:asciiTheme="majorHAnsi" w:hAnsiTheme="majorHAnsi"/>
                                <w:color w:val="595959" w:themeColor="text1" w:themeTint="A6"/>
                                <w:sz w:val="18"/>
                              </w:rPr>
                              <w:t>-</w:t>
                            </w:r>
                            <w:r w:rsidR="00E474B3">
                              <w:rPr>
                                <w:rFonts w:asciiTheme="majorHAnsi" w:hAnsiTheme="majorHAnsi"/>
                                <w:color w:val="595959" w:themeColor="text1" w:themeTint="A6"/>
                                <w:sz w:val="18"/>
                              </w:rPr>
                              <w:t>10</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604550">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00A74E75">
                              <w:rPr>
                                <w:rFonts w:asciiTheme="majorHAnsi" w:hAnsiTheme="majorHAnsi"/>
                                <w:color w:val="595959" w:themeColor="text1" w:themeTint="A6"/>
                                <w:sz w:val="18"/>
                              </w:rPr>
                              <w:t>.</w:t>
                            </w:r>
                            <w:r w:rsidR="00604550" w:rsidRPr="00604550">
                              <w:rPr>
                                <w:rFonts w:ascii="Cambria" w:hAnsi="Cambria" w:cs="Arial"/>
                                <w:color w:val="0D0D0D"/>
                                <w:szCs w:val="22"/>
                              </w:rPr>
                              <w:t xml:space="preserve"> </w:t>
                            </w:r>
                            <w:proofErr w:type="spellStart"/>
                            <w:r w:rsidR="00604550">
                              <w:rPr>
                                <w:rFonts w:asciiTheme="majorHAnsi" w:hAnsiTheme="majorHAnsi"/>
                                <w:color w:val="595959" w:themeColor="text1" w:themeTint="A6"/>
                                <w:sz w:val="18"/>
                              </w:rPr>
                              <w:t>Ama</w:t>
                            </w:r>
                            <w:r w:rsidR="00F0182C">
                              <w:rPr>
                                <w:rFonts w:asciiTheme="majorHAnsi" w:hAnsiTheme="majorHAnsi"/>
                                <w:color w:val="595959" w:themeColor="text1" w:themeTint="A6"/>
                                <w:sz w:val="18"/>
                              </w:rPr>
                              <w:t>n</w:t>
                            </w:r>
                            <w:r w:rsidR="00604550">
                              <w:rPr>
                                <w:rFonts w:asciiTheme="majorHAnsi" w:hAnsiTheme="majorHAnsi"/>
                                <w:color w:val="595959" w:themeColor="text1" w:themeTint="A6"/>
                                <w:sz w:val="18"/>
                              </w:rPr>
                              <w:t>ie</w:t>
                            </w:r>
                            <w:proofErr w:type="spellEnd"/>
                            <w:r w:rsidR="00604550">
                              <w:rPr>
                                <w:rFonts w:asciiTheme="majorHAnsi" w:hAnsiTheme="majorHAnsi"/>
                                <w:color w:val="595959" w:themeColor="text1" w:themeTint="A6"/>
                                <w:sz w:val="18"/>
                              </w:rPr>
                              <w:t xml:space="preserve"> </w:t>
                            </w:r>
                            <w:proofErr w:type="spellStart"/>
                            <w:r w:rsidR="00A74E75" w:rsidRPr="00A74E75">
                              <w:rPr>
                                <w:rFonts w:asciiTheme="majorHAnsi" w:hAnsiTheme="majorHAnsi"/>
                                <w:color w:val="595959" w:themeColor="text1" w:themeTint="A6"/>
                                <w:sz w:val="18"/>
                              </w:rPr>
                              <w:t>Wedderburn</w:t>
                            </w:r>
                            <w:proofErr w:type="spellEnd"/>
                            <w:r w:rsidR="00A74E75">
                              <w:rPr>
                                <w:rFonts w:asciiTheme="majorHAnsi" w:hAnsiTheme="majorHAnsi"/>
                                <w:color w:val="595959" w:themeColor="text1" w:themeTint="A6"/>
                                <w:sz w:val="18"/>
                              </w:rPr>
                              <w:t>,</w:t>
                            </w:r>
                            <w:r w:rsidR="00604550" w:rsidRPr="00604550">
                              <w:rPr>
                                <w:rFonts w:asciiTheme="majorHAnsi" w:hAnsiTheme="majorHAnsi"/>
                                <w:color w:val="595959" w:themeColor="text1" w:themeTint="A6"/>
                                <w:sz w:val="18"/>
                              </w:rPr>
                              <w:t xml:space="preserve"> Eric </w:t>
                            </w:r>
                            <w:proofErr w:type="spellStart"/>
                            <w:r w:rsidR="00604550" w:rsidRPr="00604550">
                              <w:rPr>
                                <w:rFonts w:asciiTheme="majorHAnsi" w:hAnsiTheme="majorHAnsi"/>
                                <w:color w:val="595959" w:themeColor="text1" w:themeTint="A6"/>
                                <w:sz w:val="18"/>
                              </w:rPr>
                              <w:t>Wedderbur</w:t>
                            </w:r>
                            <w:r w:rsidR="00604550">
                              <w:rPr>
                                <w:rFonts w:asciiTheme="majorHAnsi" w:hAnsiTheme="majorHAnsi"/>
                                <w:color w:val="595959" w:themeColor="text1" w:themeTint="A6"/>
                                <w:sz w:val="18"/>
                              </w:rPr>
                              <w:t>n</w:t>
                            </w:r>
                            <w:proofErr w:type="spellEnd"/>
                            <w:r w:rsidR="00A74E75">
                              <w:rPr>
                                <w:rFonts w:asciiTheme="majorHAnsi" w:hAnsiTheme="majorHAnsi"/>
                                <w:color w:val="595959" w:themeColor="text1" w:themeTint="A6"/>
                                <w:sz w:val="18"/>
                              </w:rPr>
                              <w:t xml:space="preserve"> and family</w:t>
                            </w:r>
                            <w:r w:rsidR="00604550" w:rsidRPr="002F32E3">
                              <w:rPr>
                                <w:rFonts w:ascii="Cambria" w:hAnsi="Cambria" w:cs="Arial"/>
                                <w:color w:val="808080" w:themeColor="background1" w:themeShade="80"/>
                                <w:szCs w:val="22"/>
                              </w:rPr>
                              <w:t>.</w:t>
                            </w:r>
                            <w:r w:rsidR="00604550">
                              <w:rPr>
                                <w:rFonts w:ascii="Cambria" w:hAnsi="Cambria" w:cs="Arial"/>
                                <w:color w:val="0D0D0D"/>
                                <w:szCs w:val="22"/>
                              </w:rPr>
                              <w:t xml:space="preserve"> </w:t>
                            </w:r>
                            <w:r w:rsidR="00284FB7">
                              <w:rPr>
                                <w:rFonts w:asciiTheme="majorHAnsi" w:hAnsiTheme="majorHAnsi"/>
                                <w:color w:val="595959" w:themeColor="text1" w:themeTint="A6"/>
                                <w:sz w:val="18"/>
                              </w:rPr>
                              <w:t>Jamaica</w:t>
                            </w:r>
                            <w:r w:rsidR="00022CF5">
                              <w:rPr>
                                <w:rFonts w:asciiTheme="majorHAnsi" w:hAnsiTheme="majorHAnsi"/>
                                <w:color w:val="595959" w:themeColor="text1" w:themeTint="A6"/>
                                <w:sz w:val="18"/>
                              </w:rPr>
                              <w:t xml:space="preserve">. </w:t>
                            </w:r>
                            <w:r w:rsidR="004E7EB2">
                              <w:rPr>
                                <w:rFonts w:asciiTheme="majorHAnsi" w:hAnsiTheme="majorHAnsi"/>
                                <w:color w:val="595959" w:themeColor="text1" w:themeTint="A6"/>
                                <w:sz w:val="18"/>
                              </w:rPr>
                              <w:t>April 24, 2020</w:t>
                            </w:r>
                            <w:r w:rsidR="00F621C3">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78B814F4" w:rsidR="00F644E6" w:rsidRPr="00604550" w:rsidRDefault="00F644E6" w:rsidP="0060455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4E7EB2">
                        <w:rPr>
                          <w:rFonts w:asciiTheme="majorHAnsi" w:hAnsiTheme="majorHAnsi"/>
                          <w:color w:val="595959" w:themeColor="text1" w:themeTint="A6"/>
                          <w:sz w:val="18"/>
                        </w:rPr>
                        <w:t>104</w:t>
                      </w:r>
                      <w:r w:rsidR="00022CF5">
                        <w:rPr>
                          <w:rFonts w:asciiTheme="majorHAnsi" w:hAnsiTheme="majorHAnsi"/>
                          <w:color w:val="595959" w:themeColor="text1" w:themeTint="A6"/>
                          <w:sz w:val="18"/>
                        </w:rPr>
                        <w:t>/</w:t>
                      </w:r>
                      <w:r w:rsidR="004E7EB2">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E474B3">
                        <w:rPr>
                          <w:rFonts w:asciiTheme="majorHAnsi" w:hAnsiTheme="majorHAnsi"/>
                          <w:color w:val="595959" w:themeColor="text1" w:themeTint="A6"/>
                          <w:sz w:val="18"/>
                        </w:rPr>
                        <w:t>1178</w:t>
                      </w:r>
                      <w:r w:rsidR="00F621C3">
                        <w:rPr>
                          <w:rFonts w:asciiTheme="majorHAnsi" w:hAnsiTheme="majorHAnsi"/>
                          <w:color w:val="595959" w:themeColor="text1" w:themeTint="A6"/>
                          <w:sz w:val="18"/>
                        </w:rPr>
                        <w:t>-</w:t>
                      </w:r>
                      <w:r w:rsidR="00E474B3">
                        <w:rPr>
                          <w:rFonts w:asciiTheme="majorHAnsi" w:hAnsiTheme="majorHAnsi"/>
                          <w:color w:val="595959" w:themeColor="text1" w:themeTint="A6"/>
                          <w:sz w:val="18"/>
                        </w:rPr>
                        <w:t>10</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604550">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00A74E75">
                        <w:rPr>
                          <w:rFonts w:asciiTheme="majorHAnsi" w:hAnsiTheme="majorHAnsi"/>
                          <w:color w:val="595959" w:themeColor="text1" w:themeTint="A6"/>
                          <w:sz w:val="18"/>
                        </w:rPr>
                        <w:t>.</w:t>
                      </w:r>
                      <w:r w:rsidR="00604550" w:rsidRPr="00604550">
                        <w:rPr>
                          <w:rFonts w:ascii="Cambria" w:hAnsi="Cambria" w:cs="Arial"/>
                          <w:color w:val="0D0D0D"/>
                          <w:szCs w:val="22"/>
                        </w:rPr>
                        <w:t xml:space="preserve"> </w:t>
                      </w:r>
                      <w:r w:rsidR="00604550">
                        <w:rPr>
                          <w:rFonts w:asciiTheme="majorHAnsi" w:hAnsiTheme="majorHAnsi"/>
                          <w:color w:val="595959" w:themeColor="text1" w:themeTint="A6"/>
                          <w:sz w:val="18"/>
                        </w:rPr>
                        <w:t>Ama</w:t>
                      </w:r>
                      <w:r w:rsidR="00F0182C">
                        <w:rPr>
                          <w:rFonts w:asciiTheme="majorHAnsi" w:hAnsiTheme="majorHAnsi"/>
                          <w:color w:val="595959" w:themeColor="text1" w:themeTint="A6"/>
                          <w:sz w:val="18"/>
                        </w:rPr>
                        <w:t>n</w:t>
                      </w:r>
                      <w:r w:rsidR="00604550">
                        <w:rPr>
                          <w:rFonts w:asciiTheme="majorHAnsi" w:hAnsiTheme="majorHAnsi"/>
                          <w:color w:val="595959" w:themeColor="text1" w:themeTint="A6"/>
                          <w:sz w:val="18"/>
                        </w:rPr>
                        <w:t xml:space="preserve">ie </w:t>
                      </w:r>
                      <w:r w:rsidR="00A74E75" w:rsidRPr="00A74E75">
                        <w:rPr>
                          <w:rFonts w:asciiTheme="majorHAnsi" w:hAnsiTheme="majorHAnsi"/>
                          <w:color w:val="595959" w:themeColor="text1" w:themeTint="A6"/>
                          <w:sz w:val="18"/>
                        </w:rPr>
                        <w:t>Wedderburn</w:t>
                      </w:r>
                      <w:r w:rsidR="00A74E75">
                        <w:rPr>
                          <w:rFonts w:asciiTheme="majorHAnsi" w:hAnsiTheme="majorHAnsi"/>
                          <w:color w:val="595959" w:themeColor="text1" w:themeTint="A6"/>
                          <w:sz w:val="18"/>
                        </w:rPr>
                        <w:t>,</w:t>
                      </w:r>
                      <w:r w:rsidR="00604550" w:rsidRPr="00604550">
                        <w:rPr>
                          <w:rFonts w:asciiTheme="majorHAnsi" w:hAnsiTheme="majorHAnsi"/>
                          <w:color w:val="595959" w:themeColor="text1" w:themeTint="A6"/>
                          <w:sz w:val="18"/>
                        </w:rPr>
                        <w:t xml:space="preserve"> Eric Wedderbur</w:t>
                      </w:r>
                      <w:r w:rsidR="00604550">
                        <w:rPr>
                          <w:rFonts w:asciiTheme="majorHAnsi" w:hAnsiTheme="majorHAnsi"/>
                          <w:color w:val="595959" w:themeColor="text1" w:themeTint="A6"/>
                          <w:sz w:val="18"/>
                        </w:rPr>
                        <w:t>n</w:t>
                      </w:r>
                      <w:r w:rsidR="00A74E75">
                        <w:rPr>
                          <w:rFonts w:asciiTheme="majorHAnsi" w:hAnsiTheme="majorHAnsi"/>
                          <w:color w:val="595959" w:themeColor="text1" w:themeTint="A6"/>
                          <w:sz w:val="18"/>
                        </w:rPr>
                        <w:t xml:space="preserve"> and family</w:t>
                      </w:r>
                      <w:r w:rsidR="00604550" w:rsidRPr="002F32E3">
                        <w:rPr>
                          <w:rFonts w:ascii="Cambria" w:hAnsi="Cambria" w:cs="Arial"/>
                          <w:color w:val="808080" w:themeColor="background1" w:themeShade="80"/>
                          <w:szCs w:val="22"/>
                        </w:rPr>
                        <w:t>.</w:t>
                      </w:r>
                      <w:r w:rsidR="00604550">
                        <w:rPr>
                          <w:rFonts w:ascii="Cambria" w:hAnsi="Cambria" w:cs="Arial"/>
                          <w:color w:val="0D0D0D"/>
                          <w:szCs w:val="22"/>
                        </w:rPr>
                        <w:t xml:space="preserve"> </w:t>
                      </w:r>
                      <w:r w:rsidR="00284FB7">
                        <w:rPr>
                          <w:rFonts w:asciiTheme="majorHAnsi" w:hAnsiTheme="majorHAnsi"/>
                          <w:color w:val="595959" w:themeColor="text1" w:themeTint="A6"/>
                          <w:sz w:val="18"/>
                        </w:rPr>
                        <w:t>Jamaica</w:t>
                      </w:r>
                      <w:r w:rsidR="00022CF5">
                        <w:rPr>
                          <w:rFonts w:asciiTheme="majorHAnsi" w:hAnsiTheme="majorHAnsi"/>
                          <w:color w:val="595959" w:themeColor="text1" w:themeTint="A6"/>
                          <w:sz w:val="18"/>
                        </w:rPr>
                        <w:t xml:space="preserve">. </w:t>
                      </w:r>
                      <w:r w:rsidR="004E7EB2">
                        <w:rPr>
                          <w:rFonts w:asciiTheme="majorHAnsi" w:hAnsiTheme="majorHAnsi"/>
                          <w:color w:val="595959" w:themeColor="text1" w:themeTint="A6"/>
                          <w:sz w:val="18"/>
                        </w:rPr>
                        <w:t>April 24, 2020</w:t>
                      </w:r>
                      <w:r w:rsidR="00F621C3">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86DAF6"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4E7EB2">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86DAF6"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4E7EB2">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5FA6837C">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09C5166D" w:rsidR="003C32BC" w:rsidRDefault="0068793E">
                            <w:r>
                              <w:rPr>
                                <w:noProof/>
                              </w:rPr>
                              <w:drawing>
                                <wp:inline distT="0" distB="0" distL="0" distR="0" wp14:anchorId="68FA165B" wp14:editId="7D6DC681">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09C5166D" w:rsidR="003C32BC" w:rsidRDefault="0068793E">
                      <w:r>
                        <w:rPr>
                          <w:noProof/>
                        </w:rPr>
                        <w:drawing>
                          <wp:inline distT="0" distB="0" distL="0" distR="0" wp14:anchorId="68FA165B" wp14:editId="7D6DC681">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C355B4">
      <w:pPr>
        <w:spacing w:after="12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F621C3" w:rsidRPr="003E3127" w14:paraId="491E8196" w14:textId="77777777" w:rsidTr="00C355B4">
        <w:tc>
          <w:tcPr>
            <w:tcW w:w="2790" w:type="dxa"/>
            <w:tcBorders>
              <w:top w:val="single" w:sz="4" w:space="0" w:color="auto"/>
              <w:bottom w:val="single" w:sz="6" w:space="0" w:color="auto"/>
            </w:tcBorders>
            <w:shd w:val="clear" w:color="auto" w:fill="67AE3C"/>
            <w:vAlign w:val="center"/>
          </w:tcPr>
          <w:p w14:paraId="5524F917" w14:textId="48378483" w:rsidR="00F621C3" w:rsidRPr="00C355B4" w:rsidRDefault="003771A3" w:rsidP="009163F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Petitioner</w:t>
            </w:r>
            <w:r w:rsidR="003E3127">
              <w:rPr>
                <w:rFonts w:ascii="Cambria" w:hAnsi="Cambria"/>
                <w:bCs/>
                <w:color w:val="FFFFFF" w:themeColor="background1"/>
                <w:sz w:val="19"/>
                <w:szCs w:val="19"/>
              </w:rPr>
              <w:t>s</w:t>
            </w:r>
          </w:p>
        </w:tc>
        <w:tc>
          <w:tcPr>
            <w:tcW w:w="6570" w:type="dxa"/>
            <w:vAlign w:val="center"/>
          </w:tcPr>
          <w:p w14:paraId="0674C7B8" w14:textId="7D66A9DD" w:rsidR="00F621C3" w:rsidRPr="003E3127" w:rsidRDefault="003E3127" w:rsidP="009163FC">
            <w:pPr>
              <w:jc w:val="both"/>
              <w:rPr>
                <w:rFonts w:ascii="Cambria" w:hAnsi="Cambria"/>
                <w:bCs/>
                <w:sz w:val="19"/>
                <w:szCs w:val="19"/>
                <w:lang w:val="es-CO"/>
              </w:rPr>
            </w:pPr>
            <w:r w:rsidRPr="003E3127">
              <w:rPr>
                <w:rFonts w:ascii="Cambria" w:hAnsi="Cambria"/>
                <w:bCs/>
                <w:sz w:val="19"/>
                <w:szCs w:val="19"/>
                <w:lang w:val="es-CO"/>
              </w:rPr>
              <w:t xml:space="preserve">Arturo Carrillo </w:t>
            </w:r>
            <w:r w:rsidR="00692D67">
              <w:rPr>
                <w:rFonts w:ascii="Cambria" w:hAnsi="Cambria"/>
                <w:bCs/>
                <w:sz w:val="19"/>
                <w:szCs w:val="19"/>
                <w:lang w:val="es-CO"/>
              </w:rPr>
              <w:t>and</w:t>
            </w:r>
            <w:r w:rsidRPr="003E3127">
              <w:rPr>
                <w:rFonts w:ascii="Cambria" w:hAnsi="Cambria"/>
                <w:bCs/>
                <w:sz w:val="19"/>
                <w:szCs w:val="19"/>
                <w:lang w:val="es-CO"/>
              </w:rPr>
              <w:t xml:space="preserve"> </w:t>
            </w:r>
            <w:proofErr w:type="spellStart"/>
            <w:r w:rsidRPr="003E3127">
              <w:rPr>
                <w:rFonts w:ascii="Cambria" w:hAnsi="Cambria"/>
                <w:bCs/>
                <w:sz w:val="19"/>
                <w:szCs w:val="19"/>
                <w:lang w:val="es-CO"/>
              </w:rPr>
              <w:t>Carolyn</w:t>
            </w:r>
            <w:proofErr w:type="spellEnd"/>
            <w:r w:rsidRPr="003E3127">
              <w:rPr>
                <w:rFonts w:ascii="Cambria" w:hAnsi="Cambria"/>
                <w:bCs/>
                <w:sz w:val="19"/>
                <w:szCs w:val="19"/>
                <w:lang w:val="es-CO"/>
              </w:rPr>
              <w:t xml:space="preserve"> Gomes</w:t>
            </w:r>
          </w:p>
        </w:tc>
      </w:tr>
      <w:tr w:rsidR="00F621C3" w:rsidRPr="000B6B7A" w14:paraId="0F4A57A0" w14:textId="77777777" w:rsidTr="00C355B4">
        <w:tc>
          <w:tcPr>
            <w:tcW w:w="2790" w:type="dxa"/>
            <w:tcBorders>
              <w:top w:val="single" w:sz="6" w:space="0" w:color="auto"/>
              <w:bottom w:val="single" w:sz="6" w:space="0" w:color="auto"/>
            </w:tcBorders>
            <w:shd w:val="clear" w:color="auto" w:fill="67AE3C"/>
            <w:vAlign w:val="center"/>
          </w:tcPr>
          <w:p w14:paraId="325E239F" w14:textId="315FD772" w:rsidR="00F621C3" w:rsidRPr="00C355B4" w:rsidRDefault="00C355B4" w:rsidP="009163F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Alleged victim</w:t>
            </w:r>
          </w:p>
        </w:tc>
        <w:tc>
          <w:tcPr>
            <w:tcW w:w="6570" w:type="dxa"/>
            <w:vAlign w:val="center"/>
          </w:tcPr>
          <w:p w14:paraId="60895337" w14:textId="56FDC6C9" w:rsidR="00F621C3" w:rsidRPr="00C355B4" w:rsidRDefault="00692D67" w:rsidP="00107662">
            <w:pPr>
              <w:jc w:val="both"/>
              <w:rPr>
                <w:rFonts w:ascii="Cambria" w:hAnsi="Cambria"/>
                <w:bCs/>
                <w:sz w:val="19"/>
                <w:szCs w:val="19"/>
              </w:rPr>
            </w:pPr>
            <w:proofErr w:type="spellStart"/>
            <w:r w:rsidRPr="00692D67">
              <w:rPr>
                <w:rFonts w:ascii="Cambria" w:hAnsi="Cambria"/>
                <w:bCs/>
                <w:sz w:val="19"/>
                <w:szCs w:val="19"/>
              </w:rPr>
              <w:t>Amanie</w:t>
            </w:r>
            <w:proofErr w:type="spellEnd"/>
            <w:r w:rsidRPr="00692D67">
              <w:rPr>
                <w:rFonts w:ascii="Cambria" w:hAnsi="Cambria"/>
                <w:bCs/>
                <w:sz w:val="19"/>
                <w:szCs w:val="19"/>
              </w:rPr>
              <w:t xml:space="preserve"> </w:t>
            </w:r>
            <w:proofErr w:type="spellStart"/>
            <w:r w:rsidR="006202F2">
              <w:rPr>
                <w:rFonts w:ascii="Cambria" w:hAnsi="Cambria"/>
                <w:bCs/>
                <w:sz w:val="19"/>
                <w:szCs w:val="19"/>
              </w:rPr>
              <w:t>Wedderburn</w:t>
            </w:r>
            <w:proofErr w:type="spellEnd"/>
            <w:r w:rsidR="00107662">
              <w:rPr>
                <w:rFonts w:ascii="Cambria" w:hAnsi="Cambria"/>
                <w:bCs/>
                <w:sz w:val="19"/>
                <w:szCs w:val="19"/>
              </w:rPr>
              <w:t>,</w:t>
            </w:r>
            <w:r w:rsidRPr="00692D67">
              <w:rPr>
                <w:rFonts w:ascii="Cambria" w:hAnsi="Cambria"/>
                <w:bCs/>
                <w:sz w:val="19"/>
                <w:szCs w:val="19"/>
              </w:rPr>
              <w:t xml:space="preserve"> Eric </w:t>
            </w:r>
            <w:proofErr w:type="spellStart"/>
            <w:r w:rsidRPr="00692D67">
              <w:rPr>
                <w:rFonts w:ascii="Cambria" w:hAnsi="Cambria"/>
                <w:bCs/>
                <w:sz w:val="19"/>
                <w:szCs w:val="19"/>
              </w:rPr>
              <w:t>Wedderburn</w:t>
            </w:r>
            <w:proofErr w:type="spellEnd"/>
            <w:r w:rsidR="00107662">
              <w:rPr>
                <w:rFonts w:ascii="Cambria" w:hAnsi="Cambria"/>
                <w:bCs/>
                <w:sz w:val="19"/>
                <w:szCs w:val="19"/>
              </w:rPr>
              <w:t xml:space="preserve"> and family</w:t>
            </w:r>
          </w:p>
        </w:tc>
      </w:tr>
      <w:tr w:rsidR="00F621C3" w:rsidRPr="000B6B7A" w14:paraId="067638D2" w14:textId="77777777" w:rsidTr="00897284">
        <w:trPr>
          <w:trHeight w:val="237"/>
        </w:trPr>
        <w:tc>
          <w:tcPr>
            <w:tcW w:w="2790" w:type="dxa"/>
            <w:tcBorders>
              <w:top w:val="single" w:sz="6" w:space="0" w:color="auto"/>
              <w:bottom w:val="single" w:sz="6" w:space="0" w:color="auto"/>
            </w:tcBorders>
            <w:shd w:val="clear" w:color="auto" w:fill="67AE3C"/>
            <w:vAlign w:val="center"/>
          </w:tcPr>
          <w:p w14:paraId="32104528" w14:textId="69A38811" w:rsidR="00F621C3" w:rsidRPr="00C355B4" w:rsidRDefault="005816E5" w:rsidP="005816E5">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Respondent </w:t>
            </w:r>
            <w:r w:rsidR="00C355B4">
              <w:rPr>
                <w:rFonts w:ascii="Cambria" w:hAnsi="Cambria"/>
                <w:bCs/>
                <w:color w:val="FFFFFF" w:themeColor="background1"/>
                <w:sz w:val="19"/>
                <w:szCs w:val="19"/>
              </w:rPr>
              <w:t>State</w:t>
            </w:r>
          </w:p>
        </w:tc>
        <w:tc>
          <w:tcPr>
            <w:tcW w:w="6570" w:type="dxa"/>
            <w:vAlign w:val="center"/>
          </w:tcPr>
          <w:p w14:paraId="3539D391" w14:textId="3B41055C" w:rsidR="00F621C3" w:rsidRPr="00C355B4" w:rsidRDefault="003E1CAD" w:rsidP="009163FC">
            <w:pPr>
              <w:jc w:val="both"/>
              <w:rPr>
                <w:rFonts w:ascii="Cambria" w:hAnsi="Cambria"/>
                <w:bCs/>
                <w:sz w:val="19"/>
                <w:szCs w:val="19"/>
              </w:rPr>
            </w:pPr>
            <w:r>
              <w:rPr>
                <w:rFonts w:ascii="Cambria" w:hAnsi="Cambria"/>
                <w:bCs/>
                <w:sz w:val="19"/>
                <w:szCs w:val="19"/>
              </w:rPr>
              <w:t>Jamaic</w:t>
            </w:r>
            <w:r w:rsidRPr="00E474B3">
              <w:rPr>
                <w:rFonts w:ascii="Cambria" w:hAnsi="Cambria"/>
                <w:bCs/>
                <w:sz w:val="19"/>
                <w:szCs w:val="19"/>
              </w:rPr>
              <w:t>a</w:t>
            </w:r>
            <w:r w:rsidR="003D6EE0" w:rsidRPr="00E474B3">
              <w:rPr>
                <w:rFonts w:ascii="Cambria" w:hAnsi="Cambria"/>
                <w:bCs/>
                <w:sz w:val="19"/>
                <w:szCs w:val="19"/>
                <w:vertAlign w:val="superscript"/>
              </w:rPr>
              <w:footnoteReference w:id="2"/>
            </w:r>
            <w:r w:rsidR="003D6EE0" w:rsidRPr="00E474B3">
              <w:rPr>
                <w:rFonts w:ascii="Cambria" w:hAnsi="Cambria"/>
                <w:bCs/>
                <w:sz w:val="19"/>
                <w:szCs w:val="19"/>
              </w:rPr>
              <w:t xml:space="preserve"> </w:t>
            </w:r>
          </w:p>
        </w:tc>
      </w:tr>
      <w:tr w:rsidR="00E47F3D" w:rsidRPr="000B6B7A" w14:paraId="57F2C481" w14:textId="77777777" w:rsidTr="008A5768">
        <w:trPr>
          <w:trHeight w:val="795"/>
        </w:trPr>
        <w:tc>
          <w:tcPr>
            <w:tcW w:w="2790" w:type="dxa"/>
            <w:tcBorders>
              <w:top w:val="single" w:sz="6" w:space="0" w:color="auto"/>
              <w:bottom w:val="single" w:sz="6" w:space="0" w:color="auto"/>
            </w:tcBorders>
            <w:shd w:val="clear" w:color="auto" w:fill="67AE3C"/>
            <w:vAlign w:val="center"/>
          </w:tcPr>
          <w:p w14:paraId="62BEEF4B" w14:textId="5FB9688D" w:rsidR="00E47F3D" w:rsidRPr="00C355B4" w:rsidRDefault="00E47F3D" w:rsidP="00E7588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Rights </w:t>
            </w:r>
            <w:r w:rsidR="00C355B4">
              <w:rPr>
                <w:rFonts w:ascii="Cambria" w:hAnsi="Cambria"/>
                <w:bCs/>
                <w:color w:val="FFFFFF" w:themeColor="background1"/>
                <w:sz w:val="19"/>
                <w:szCs w:val="19"/>
              </w:rPr>
              <w:t>invoked</w:t>
            </w:r>
          </w:p>
        </w:tc>
        <w:tc>
          <w:tcPr>
            <w:tcW w:w="6570" w:type="dxa"/>
            <w:vAlign w:val="center"/>
          </w:tcPr>
          <w:p w14:paraId="51EEF9D2" w14:textId="692484FB" w:rsidR="00E47F3D" w:rsidRPr="00C355B4" w:rsidRDefault="003D6EE0" w:rsidP="00096758">
            <w:pPr>
              <w:jc w:val="both"/>
              <w:rPr>
                <w:rFonts w:ascii="Cambria" w:hAnsi="Cambria"/>
                <w:bCs/>
                <w:sz w:val="19"/>
                <w:szCs w:val="19"/>
              </w:rPr>
            </w:pPr>
            <w:r>
              <w:rPr>
                <w:rFonts w:ascii="Cambria" w:hAnsi="Cambria"/>
                <w:bCs/>
                <w:sz w:val="19"/>
                <w:szCs w:val="19"/>
              </w:rPr>
              <w:t xml:space="preserve">Articles </w:t>
            </w:r>
            <w:r w:rsidR="00722B00">
              <w:rPr>
                <w:rFonts w:ascii="Cambria" w:hAnsi="Cambria"/>
                <w:bCs/>
                <w:sz w:val="19"/>
                <w:szCs w:val="19"/>
              </w:rPr>
              <w:t>4 (</w:t>
            </w:r>
            <w:r w:rsidR="0058083E">
              <w:rPr>
                <w:rFonts w:ascii="Cambria" w:hAnsi="Cambria"/>
                <w:bCs/>
                <w:sz w:val="19"/>
                <w:szCs w:val="19"/>
              </w:rPr>
              <w:t>L</w:t>
            </w:r>
            <w:r w:rsidR="00722B00">
              <w:rPr>
                <w:rFonts w:ascii="Cambria" w:hAnsi="Cambria"/>
                <w:bCs/>
                <w:sz w:val="19"/>
                <w:szCs w:val="19"/>
              </w:rPr>
              <w:t>ife), 5 (</w:t>
            </w:r>
            <w:r w:rsidR="0058083E" w:rsidRPr="00897284">
              <w:rPr>
                <w:rFonts w:ascii="Cambria" w:hAnsi="Cambria"/>
                <w:bCs/>
                <w:sz w:val="19"/>
                <w:szCs w:val="19"/>
              </w:rPr>
              <w:t>Humane Treatment</w:t>
            </w:r>
            <w:r w:rsidR="00722B00">
              <w:rPr>
                <w:rFonts w:ascii="Cambria" w:hAnsi="Cambria"/>
                <w:bCs/>
                <w:sz w:val="19"/>
                <w:szCs w:val="19"/>
              </w:rPr>
              <w:t xml:space="preserve">), 8 </w:t>
            </w:r>
            <w:r w:rsidR="0058083E">
              <w:rPr>
                <w:rFonts w:ascii="Cambria" w:hAnsi="Cambria"/>
                <w:bCs/>
                <w:sz w:val="19"/>
                <w:szCs w:val="19"/>
              </w:rPr>
              <w:t>(Fair Trial</w:t>
            </w:r>
            <w:r w:rsidR="00722B00">
              <w:rPr>
                <w:rFonts w:ascii="Cambria" w:hAnsi="Cambria"/>
                <w:bCs/>
                <w:sz w:val="19"/>
                <w:szCs w:val="19"/>
              </w:rPr>
              <w:t>)</w:t>
            </w:r>
            <w:r w:rsidR="00EB1339">
              <w:rPr>
                <w:rFonts w:ascii="Cambria" w:hAnsi="Cambria"/>
                <w:bCs/>
                <w:sz w:val="19"/>
                <w:szCs w:val="19"/>
              </w:rPr>
              <w:t>, 19 (</w:t>
            </w:r>
            <w:r w:rsidR="0058083E">
              <w:rPr>
                <w:rFonts w:ascii="Cambria" w:hAnsi="Cambria"/>
                <w:bCs/>
                <w:sz w:val="19"/>
                <w:szCs w:val="19"/>
              </w:rPr>
              <w:t>Rights of the Child</w:t>
            </w:r>
            <w:r w:rsidR="00EB1339">
              <w:rPr>
                <w:rFonts w:ascii="Cambria" w:hAnsi="Cambria"/>
                <w:bCs/>
                <w:sz w:val="19"/>
                <w:szCs w:val="19"/>
              </w:rPr>
              <w:t>)</w:t>
            </w:r>
            <w:r w:rsidR="00722B00">
              <w:rPr>
                <w:rFonts w:ascii="Cambria" w:hAnsi="Cambria"/>
                <w:bCs/>
                <w:sz w:val="19"/>
                <w:szCs w:val="19"/>
              </w:rPr>
              <w:t xml:space="preserve"> 25 (</w:t>
            </w:r>
            <w:r w:rsidR="0058083E">
              <w:rPr>
                <w:rFonts w:ascii="Cambria" w:hAnsi="Cambria"/>
                <w:bCs/>
                <w:sz w:val="19"/>
                <w:szCs w:val="19"/>
              </w:rPr>
              <w:t>Judicial Protection</w:t>
            </w:r>
            <w:r w:rsidR="00722B00">
              <w:rPr>
                <w:rFonts w:ascii="Cambria" w:hAnsi="Cambria"/>
                <w:bCs/>
                <w:sz w:val="19"/>
                <w:szCs w:val="19"/>
              </w:rPr>
              <w:t xml:space="preserve">) of the American </w:t>
            </w:r>
            <w:r w:rsidR="00096758">
              <w:rPr>
                <w:rFonts w:ascii="Cambria" w:hAnsi="Cambria"/>
                <w:bCs/>
                <w:sz w:val="19"/>
                <w:szCs w:val="19"/>
              </w:rPr>
              <w:t>Convention</w:t>
            </w:r>
            <w:r w:rsidR="00722B00">
              <w:rPr>
                <w:rFonts w:ascii="Cambria" w:hAnsi="Cambria"/>
                <w:bCs/>
                <w:sz w:val="19"/>
                <w:szCs w:val="19"/>
              </w:rPr>
              <w:t xml:space="preserve"> on </w:t>
            </w:r>
            <w:r w:rsidR="00B12D51">
              <w:rPr>
                <w:rFonts w:ascii="Cambria" w:hAnsi="Cambria"/>
                <w:bCs/>
                <w:sz w:val="19"/>
                <w:szCs w:val="19"/>
              </w:rPr>
              <w:t>Human Rights</w:t>
            </w:r>
            <w:r w:rsidR="00722B00">
              <w:rPr>
                <w:rStyle w:val="FootnoteReference"/>
                <w:rFonts w:ascii="Cambria" w:hAnsi="Cambria"/>
                <w:bCs/>
                <w:sz w:val="19"/>
                <w:szCs w:val="19"/>
              </w:rPr>
              <w:footnoteReference w:id="3"/>
            </w:r>
            <w:r w:rsidR="00722B00">
              <w:rPr>
                <w:rFonts w:ascii="Cambria" w:hAnsi="Cambria"/>
                <w:bCs/>
                <w:sz w:val="19"/>
                <w:szCs w:val="19"/>
              </w:rPr>
              <w:t>, and the articles 1.1 (</w:t>
            </w:r>
            <w:r w:rsidR="0058083E">
              <w:rPr>
                <w:rFonts w:ascii="Cambria" w:hAnsi="Cambria"/>
                <w:bCs/>
                <w:sz w:val="19"/>
                <w:szCs w:val="19"/>
              </w:rPr>
              <w:t>Obligation To Respect Rights</w:t>
            </w:r>
            <w:r w:rsidR="00722B00">
              <w:rPr>
                <w:rFonts w:ascii="Cambria" w:hAnsi="Cambria"/>
                <w:bCs/>
                <w:sz w:val="19"/>
                <w:szCs w:val="19"/>
              </w:rPr>
              <w:t>) and 2 (</w:t>
            </w:r>
            <w:r w:rsidR="0058083E">
              <w:rPr>
                <w:rFonts w:ascii="Cambria" w:hAnsi="Cambria"/>
                <w:bCs/>
                <w:sz w:val="19"/>
                <w:szCs w:val="19"/>
              </w:rPr>
              <w:t>Domestic Legal Effects</w:t>
            </w:r>
            <w:r w:rsidR="00722B00">
              <w:rPr>
                <w:rFonts w:ascii="Cambria" w:hAnsi="Cambria"/>
                <w:bCs/>
                <w:sz w:val="19"/>
                <w:szCs w:val="19"/>
              </w:rPr>
              <w:t>)</w:t>
            </w:r>
            <w:r w:rsidRPr="003D6EE0">
              <w:rPr>
                <w:rFonts w:ascii="Cambria" w:hAnsi="Cambria"/>
                <w:bCs/>
                <w:color w:val="FF0000"/>
                <w:sz w:val="19"/>
                <w:szCs w:val="19"/>
              </w:rPr>
              <w:t xml:space="preserve"> </w:t>
            </w:r>
            <w:r w:rsidR="008A5768">
              <w:rPr>
                <w:rFonts w:ascii="Cambria" w:hAnsi="Cambria"/>
                <w:bCs/>
                <w:sz w:val="19"/>
                <w:szCs w:val="19"/>
              </w:rPr>
              <w:t>of the same instrument</w:t>
            </w:r>
          </w:p>
        </w:tc>
      </w:tr>
    </w:tbl>
    <w:p w14:paraId="006E8D49" w14:textId="1C646C41" w:rsidR="00F621C3" w:rsidRPr="000B6B7A" w:rsidRDefault="00F621C3" w:rsidP="00C355B4">
      <w:pPr>
        <w:spacing w:before="120" w:after="12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F621C3" w:rsidRPr="000B6B7A" w14:paraId="1CAEC3AF" w14:textId="77777777" w:rsidTr="00C355B4">
        <w:tc>
          <w:tcPr>
            <w:tcW w:w="2790" w:type="dxa"/>
            <w:tcBorders>
              <w:top w:val="single" w:sz="6" w:space="0" w:color="auto"/>
              <w:bottom w:val="single" w:sz="6" w:space="0" w:color="auto"/>
            </w:tcBorders>
            <w:shd w:val="clear" w:color="auto" w:fill="67AE3C"/>
            <w:vAlign w:val="center"/>
          </w:tcPr>
          <w:p w14:paraId="2C2ED774" w14:textId="03B558C0" w:rsidR="00F621C3" w:rsidRPr="00C355B4" w:rsidRDefault="00B06BB7" w:rsidP="00B06BB7">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Filing of the petition</w:t>
            </w:r>
          </w:p>
        </w:tc>
        <w:tc>
          <w:tcPr>
            <w:tcW w:w="6570" w:type="dxa"/>
            <w:vAlign w:val="center"/>
          </w:tcPr>
          <w:p w14:paraId="1C0C3DE2" w14:textId="602DD4A7" w:rsidR="00F621C3" w:rsidRPr="00C355B4" w:rsidRDefault="006547DD" w:rsidP="009163FC">
            <w:pPr>
              <w:jc w:val="both"/>
              <w:rPr>
                <w:rFonts w:ascii="Cambria" w:hAnsi="Cambria"/>
                <w:bCs/>
                <w:sz w:val="19"/>
                <w:szCs w:val="19"/>
              </w:rPr>
            </w:pPr>
            <w:r>
              <w:rPr>
                <w:rFonts w:ascii="Cambria" w:hAnsi="Cambria"/>
                <w:bCs/>
                <w:sz w:val="19"/>
                <w:szCs w:val="19"/>
              </w:rPr>
              <w:t>July 20, 2010</w:t>
            </w:r>
          </w:p>
        </w:tc>
      </w:tr>
      <w:tr w:rsidR="00F621C3" w:rsidRPr="000B6B7A" w14:paraId="700E913D" w14:textId="77777777" w:rsidTr="00C355B4">
        <w:tc>
          <w:tcPr>
            <w:tcW w:w="2790" w:type="dxa"/>
            <w:tcBorders>
              <w:top w:val="single" w:sz="6" w:space="0" w:color="auto"/>
              <w:bottom w:val="single" w:sz="6" w:space="0" w:color="auto"/>
            </w:tcBorders>
            <w:shd w:val="clear" w:color="auto" w:fill="67AE3C"/>
            <w:vAlign w:val="center"/>
          </w:tcPr>
          <w:p w14:paraId="7795D1B9" w14:textId="13A8A6F6" w:rsidR="00F621C3" w:rsidRPr="00C355B4" w:rsidRDefault="00F621C3" w:rsidP="00C355B4">
            <w:pPr>
              <w:jc w:val="center"/>
              <w:rPr>
                <w:rFonts w:ascii="Cambria" w:hAnsi="Cambria"/>
                <w:color w:val="FFFFFF" w:themeColor="background1"/>
                <w:sz w:val="19"/>
                <w:szCs w:val="19"/>
              </w:rPr>
            </w:pPr>
            <w:r w:rsidRPr="00C355B4">
              <w:rPr>
                <w:rFonts w:ascii="Cambria" w:hAnsi="Cambria"/>
                <w:color w:val="FFFFFF" w:themeColor="background1"/>
                <w:sz w:val="19"/>
                <w:szCs w:val="19"/>
              </w:rPr>
              <w:t xml:space="preserve">Additional information received </w:t>
            </w:r>
            <w:r w:rsidR="00C355B4" w:rsidRPr="00C355B4">
              <w:rPr>
                <w:rFonts w:ascii="Cambria" w:hAnsi="Cambria"/>
                <w:color w:val="FFFFFF" w:themeColor="background1"/>
                <w:sz w:val="19"/>
                <w:szCs w:val="19"/>
              </w:rPr>
              <w:t>during</w:t>
            </w:r>
            <w:r w:rsidR="003771A3" w:rsidRPr="00C355B4">
              <w:rPr>
                <w:rFonts w:ascii="Cambria" w:hAnsi="Cambria"/>
                <w:color w:val="FFFFFF" w:themeColor="background1"/>
                <w:sz w:val="19"/>
                <w:szCs w:val="19"/>
              </w:rPr>
              <w:t xml:space="preserve"> initial review</w:t>
            </w:r>
          </w:p>
        </w:tc>
        <w:tc>
          <w:tcPr>
            <w:tcW w:w="6570" w:type="dxa"/>
            <w:vAlign w:val="center"/>
          </w:tcPr>
          <w:p w14:paraId="499B90CB" w14:textId="4769F235" w:rsidR="00F621C3" w:rsidRPr="00C355B4" w:rsidRDefault="00532F6E" w:rsidP="009163FC">
            <w:pPr>
              <w:jc w:val="both"/>
              <w:rPr>
                <w:rFonts w:ascii="Cambria" w:hAnsi="Cambria"/>
                <w:bCs/>
                <w:sz w:val="19"/>
                <w:szCs w:val="19"/>
              </w:rPr>
            </w:pPr>
            <w:r>
              <w:rPr>
                <w:rFonts w:ascii="Cambria" w:hAnsi="Cambria"/>
                <w:bCs/>
                <w:sz w:val="19"/>
                <w:szCs w:val="19"/>
              </w:rPr>
              <w:t>December 17, 2010</w:t>
            </w:r>
          </w:p>
        </w:tc>
      </w:tr>
      <w:tr w:rsidR="00F621C3" w:rsidRPr="000B6B7A" w14:paraId="7EAB2BD7" w14:textId="77777777" w:rsidTr="00C355B4">
        <w:tc>
          <w:tcPr>
            <w:tcW w:w="2790" w:type="dxa"/>
            <w:tcBorders>
              <w:top w:val="single" w:sz="6" w:space="0" w:color="auto"/>
              <w:bottom w:val="single" w:sz="6" w:space="0" w:color="auto"/>
            </w:tcBorders>
            <w:shd w:val="clear" w:color="auto" w:fill="67AE3C"/>
            <w:vAlign w:val="center"/>
          </w:tcPr>
          <w:p w14:paraId="79E6B4A9" w14:textId="4819E596" w:rsidR="00F621C3" w:rsidRPr="00C355B4" w:rsidRDefault="00B06BB7" w:rsidP="00C355B4">
            <w:pPr>
              <w:jc w:val="center"/>
              <w:rPr>
                <w:rFonts w:ascii="Cambria" w:hAnsi="Cambria"/>
                <w:bCs/>
                <w:color w:val="FFFFFF" w:themeColor="background1"/>
                <w:sz w:val="19"/>
                <w:szCs w:val="19"/>
              </w:rPr>
            </w:pPr>
            <w:r w:rsidRPr="00C355B4">
              <w:rPr>
                <w:rFonts w:ascii="Cambria" w:hAnsi="Cambria"/>
                <w:color w:val="FFFFFF" w:themeColor="background1"/>
                <w:sz w:val="19"/>
                <w:szCs w:val="19"/>
              </w:rPr>
              <w:t>Notification of the petition</w:t>
            </w:r>
          </w:p>
        </w:tc>
        <w:tc>
          <w:tcPr>
            <w:tcW w:w="6570" w:type="dxa"/>
            <w:vAlign w:val="center"/>
          </w:tcPr>
          <w:p w14:paraId="22ADBFFE" w14:textId="7E21FBF9" w:rsidR="00F621C3" w:rsidRPr="00C355B4" w:rsidRDefault="00BE7E20" w:rsidP="00BE7E20">
            <w:pPr>
              <w:jc w:val="both"/>
              <w:rPr>
                <w:rFonts w:ascii="Cambria" w:hAnsi="Cambria"/>
                <w:bCs/>
                <w:sz w:val="19"/>
                <w:szCs w:val="19"/>
              </w:rPr>
            </w:pPr>
            <w:r>
              <w:rPr>
                <w:rFonts w:ascii="Cambria" w:hAnsi="Cambria"/>
                <w:bCs/>
                <w:sz w:val="19"/>
                <w:szCs w:val="19"/>
              </w:rPr>
              <w:t>September 17, 2014</w:t>
            </w:r>
          </w:p>
        </w:tc>
      </w:tr>
      <w:tr w:rsidR="00F621C3" w:rsidRPr="000B6B7A" w14:paraId="56560AE1" w14:textId="77777777" w:rsidTr="00C355B4">
        <w:trPr>
          <w:trHeight w:val="264"/>
        </w:trPr>
        <w:tc>
          <w:tcPr>
            <w:tcW w:w="2790" w:type="dxa"/>
            <w:tcBorders>
              <w:top w:val="single" w:sz="6" w:space="0" w:color="auto"/>
              <w:bottom w:val="single" w:sz="6" w:space="0" w:color="auto"/>
            </w:tcBorders>
            <w:shd w:val="clear" w:color="auto" w:fill="67AE3C"/>
            <w:vAlign w:val="center"/>
          </w:tcPr>
          <w:p w14:paraId="07BDDCA2" w14:textId="5C33D8F7" w:rsidR="00F621C3" w:rsidRPr="00C355B4" w:rsidRDefault="00C355B4" w:rsidP="009163FC">
            <w:pPr>
              <w:jc w:val="center"/>
              <w:rPr>
                <w:rFonts w:ascii="Cambria" w:hAnsi="Cambria"/>
                <w:bCs/>
                <w:color w:val="FFFFFF" w:themeColor="background1"/>
                <w:sz w:val="19"/>
                <w:szCs w:val="19"/>
              </w:rPr>
            </w:pPr>
            <w:r w:rsidRPr="00C355B4">
              <w:rPr>
                <w:rFonts w:ascii="Cambria" w:hAnsi="Cambria"/>
                <w:color w:val="FFFFFF" w:themeColor="background1"/>
                <w:sz w:val="19"/>
                <w:szCs w:val="19"/>
              </w:rPr>
              <w:t>State’s first response</w:t>
            </w:r>
          </w:p>
        </w:tc>
        <w:tc>
          <w:tcPr>
            <w:tcW w:w="6570" w:type="dxa"/>
            <w:vAlign w:val="center"/>
          </w:tcPr>
          <w:p w14:paraId="19C5DA57" w14:textId="78CC8580" w:rsidR="00F621C3" w:rsidRPr="00C355B4" w:rsidRDefault="00BE7E20" w:rsidP="009163FC">
            <w:pPr>
              <w:jc w:val="both"/>
              <w:rPr>
                <w:rFonts w:ascii="Cambria" w:hAnsi="Cambria"/>
                <w:bCs/>
                <w:sz w:val="19"/>
                <w:szCs w:val="19"/>
              </w:rPr>
            </w:pPr>
            <w:r>
              <w:rPr>
                <w:rFonts w:ascii="Cambria" w:hAnsi="Cambria"/>
                <w:bCs/>
                <w:sz w:val="19"/>
                <w:szCs w:val="19"/>
              </w:rPr>
              <w:t>December 30, 2014</w:t>
            </w:r>
          </w:p>
        </w:tc>
      </w:tr>
      <w:tr w:rsidR="003771A3" w:rsidRPr="000B6B7A" w14:paraId="7A8A8A3C" w14:textId="77777777" w:rsidTr="00C355B4">
        <w:tc>
          <w:tcPr>
            <w:tcW w:w="2790" w:type="dxa"/>
            <w:tcBorders>
              <w:top w:val="single" w:sz="6" w:space="0" w:color="auto"/>
              <w:bottom w:val="single" w:sz="6" w:space="0" w:color="auto"/>
            </w:tcBorders>
            <w:shd w:val="clear" w:color="auto" w:fill="67AE3C"/>
            <w:vAlign w:val="center"/>
          </w:tcPr>
          <w:p w14:paraId="3DEC3A52" w14:textId="4C1764EE" w:rsidR="003771A3" w:rsidRPr="00C355B4" w:rsidRDefault="003771A3" w:rsidP="0023351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Additional observations from the petition</w:t>
            </w:r>
            <w:r w:rsidR="0023351C" w:rsidRPr="00C355B4">
              <w:rPr>
                <w:rFonts w:ascii="Cambria" w:hAnsi="Cambria"/>
                <w:bCs/>
                <w:color w:val="FFFFFF" w:themeColor="background1"/>
                <w:sz w:val="19"/>
                <w:szCs w:val="19"/>
              </w:rPr>
              <w:t>er</w:t>
            </w:r>
          </w:p>
        </w:tc>
        <w:tc>
          <w:tcPr>
            <w:tcW w:w="6570" w:type="dxa"/>
            <w:vAlign w:val="center"/>
          </w:tcPr>
          <w:p w14:paraId="2A863ACD" w14:textId="65DD8055" w:rsidR="003771A3" w:rsidRPr="00C355B4" w:rsidRDefault="00BE7E20" w:rsidP="009163FC">
            <w:pPr>
              <w:jc w:val="both"/>
              <w:rPr>
                <w:rFonts w:ascii="Cambria" w:hAnsi="Cambria"/>
                <w:bCs/>
                <w:sz w:val="19"/>
                <w:szCs w:val="19"/>
              </w:rPr>
            </w:pPr>
            <w:r>
              <w:rPr>
                <w:rFonts w:ascii="Cambria" w:hAnsi="Cambria"/>
                <w:bCs/>
                <w:sz w:val="19"/>
                <w:szCs w:val="19"/>
              </w:rPr>
              <w:t>May 22, 2017</w:t>
            </w:r>
          </w:p>
        </w:tc>
      </w:tr>
      <w:tr w:rsidR="003771A3" w:rsidRPr="000B6B7A" w14:paraId="718737D9" w14:textId="77777777" w:rsidTr="00C355B4">
        <w:tc>
          <w:tcPr>
            <w:tcW w:w="2790" w:type="dxa"/>
            <w:tcBorders>
              <w:top w:val="single" w:sz="6" w:space="0" w:color="auto"/>
              <w:bottom w:val="single" w:sz="6" w:space="0" w:color="auto"/>
            </w:tcBorders>
            <w:shd w:val="clear" w:color="auto" w:fill="67AE3C"/>
            <w:vAlign w:val="center"/>
          </w:tcPr>
          <w:p w14:paraId="2F925819" w14:textId="1CDB5F8A" w:rsidR="003771A3" w:rsidRPr="00C355B4" w:rsidRDefault="00B06BB7" w:rsidP="00D75084">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Notification</w:t>
            </w:r>
            <w:r w:rsidR="003771A3" w:rsidRPr="00C355B4">
              <w:rPr>
                <w:rFonts w:ascii="Cambria" w:hAnsi="Cambria"/>
                <w:bCs/>
                <w:color w:val="FFFFFF" w:themeColor="background1"/>
                <w:sz w:val="19"/>
                <w:szCs w:val="19"/>
              </w:rPr>
              <w:t xml:space="preserve"> of the pos</w:t>
            </w:r>
            <w:r w:rsidR="00C355B4" w:rsidRPr="00C355B4">
              <w:rPr>
                <w:rFonts w:ascii="Cambria" w:hAnsi="Cambria"/>
                <w:bCs/>
                <w:color w:val="FFFFFF" w:themeColor="background1"/>
                <w:sz w:val="19"/>
                <w:szCs w:val="19"/>
              </w:rPr>
              <w:t>sible archiving of the petition</w:t>
            </w:r>
          </w:p>
        </w:tc>
        <w:tc>
          <w:tcPr>
            <w:tcW w:w="6570" w:type="dxa"/>
            <w:vAlign w:val="center"/>
          </w:tcPr>
          <w:p w14:paraId="1C4A82C3" w14:textId="7D911704" w:rsidR="003771A3" w:rsidRPr="00C355B4" w:rsidRDefault="00BE7E20" w:rsidP="009163FC">
            <w:pPr>
              <w:jc w:val="both"/>
              <w:rPr>
                <w:rFonts w:ascii="Cambria" w:hAnsi="Cambria"/>
                <w:bCs/>
                <w:sz w:val="19"/>
                <w:szCs w:val="19"/>
              </w:rPr>
            </w:pPr>
            <w:r>
              <w:rPr>
                <w:rFonts w:ascii="Cambria" w:hAnsi="Cambria"/>
                <w:bCs/>
                <w:sz w:val="19"/>
                <w:szCs w:val="19"/>
              </w:rPr>
              <w:t>November 16, 2018</w:t>
            </w:r>
          </w:p>
        </w:tc>
      </w:tr>
      <w:tr w:rsidR="003771A3" w:rsidRPr="000B6B7A" w14:paraId="09808A81" w14:textId="77777777" w:rsidTr="00C355B4">
        <w:tc>
          <w:tcPr>
            <w:tcW w:w="2790" w:type="dxa"/>
            <w:tcBorders>
              <w:top w:val="single" w:sz="6" w:space="0" w:color="auto"/>
              <w:bottom w:val="single" w:sz="6" w:space="0" w:color="auto"/>
            </w:tcBorders>
            <w:shd w:val="clear" w:color="auto" w:fill="67AE3C"/>
            <w:vAlign w:val="center"/>
          </w:tcPr>
          <w:p w14:paraId="49BCEA0B" w14:textId="6065F074" w:rsidR="003771A3" w:rsidRPr="00C355B4" w:rsidRDefault="003D6EE0" w:rsidP="00B06BB7">
            <w:pPr>
              <w:jc w:val="center"/>
              <w:rPr>
                <w:rFonts w:ascii="Cambria" w:hAnsi="Cambria"/>
                <w:bCs/>
                <w:color w:val="FFFFFF" w:themeColor="background1"/>
                <w:sz w:val="19"/>
                <w:szCs w:val="19"/>
              </w:rPr>
            </w:pPr>
            <w:r>
              <w:rPr>
                <w:rFonts w:ascii="Cambria" w:hAnsi="Cambria"/>
                <w:bCs/>
                <w:color w:val="FFFFFF" w:themeColor="background1"/>
                <w:sz w:val="19"/>
                <w:szCs w:val="19"/>
              </w:rPr>
              <w:t>Response</w:t>
            </w:r>
            <w:r w:rsidR="003771A3" w:rsidRPr="00C355B4">
              <w:rPr>
                <w:rFonts w:ascii="Cambria" w:hAnsi="Cambria"/>
                <w:bCs/>
                <w:color w:val="FFFFFF" w:themeColor="background1"/>
                <w:sz w:val="19"/>
                <w:szCs w:val="19"/>
              </w:rPr>
              <w:t xml:space="preserve"> to the notification regarding the pos</w:t>
            </w:r>
            <w:r w:rsidR="00C355B4" w:rsidRPr="00C355B4">
              <w:rPr>
                <w:rFonts w:ascii="Cambria" w:hAnsi="Cambria"/>
                <w:bCs/>
                <w:color w:val="FFFFFF" w:themeColor="background1"/>
                <w:sz w:val="19"/>
                <w:szCs w:val="19"/>
              </w:rPr>
              <w:t>sible archiving of the petition</w:t>
            </w:r>
          </w:p>
        </w:tc>
        <w:tc>
          <w:tcPr>
            <w:tcW w:w="6570" w:type="dxa"/>
            <w:vAlign w:val="center"/>
          </w:tcPr>
          <w:p w14:paraId="6F6B7BFD" w14:textId="422CE200" w:rsidR="003771A3" w:rsidRPr="00C355B4" w:rsidRDefault="00BE7E20" w:rsidP="009163FC">
            <w:pPr>
              <w:jc w:val="both"/>
              <w:rPr>
                <w:rFonts w:ascii="Cambria" w:hAnsi="Cambria"/>
                <w:bCs/>
                <w:sz w:val="19"/>
                <w:szCs w:val="19"/>
              </w:rPr>
            </w:pPr>
            <w:r>
              <w:rPr>
                <w:rFonts w:ascii="Cambria" w:hAnsi="Cambria"/>
                <w:bCs/>
                <w:sz w:val="19"/>
                <w:szCs w:val="19"/>
              </w:rPr>
              <w:t>September 18, 2019</w:t>
            </w:r>
          </w:p>
        </w:tc>
      </w:tr>
    </w:tbl>
    <w:p w14:paraId="7F88B361" w14:textId="77777777" w:rsidR="00F621C3" w:rsidRPr="000B6B7A" w:rsidRDefault="00F621C3" w:rsidP="00C355B4">
      <w:pPr>
        <w:spacing w:before="120" w:after="12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1"/>
        <w:gridCol w:w="6481"/>
      </w:tblGrid>
      <w:tr w:rsidR="00F621C3" w:rsidRPr="000B6B7A" w14:paraId="2F81CC8B" w14:textId="77777777" w:rsidTr="00C355B4">
        <w:trPr>
          <w:cantSplit/>
        </w:trPr>
        <w:tc>
          <w:tcPr>
            <w:tcW w:w="2790" w:type="dxa"/>
            <w:tcBorders>
              <w:top w:val="single" w:sz="4" w:space="0" w:color="auto"/>
              <w:bottom w:val="single" w:sz="6" w:space="0" w:color="auto"/>
            </w:tcBorders>
            <w:shd w:val="clear" w:color="auto" w:fill="67AE3C"/>
            <w:vAlign w:val="center"/>
          </w:tcPr>
          <w:p w14:paraId="3A568008" w14:textId="4F1CFB62" w:rsidR="00F621C3" w:rsidRPr="00C355B4" w:rsidRDefault="00F621C3" w:rsidP="009163FC">
            <w:pPr>
              <w:jc w:val="center"/>
              <w:rPr>
                <w:rFonts w:ascii="Cambria" w:hAnsi="Cambria"/>
                <w:bCs/>
                <w:i/>
                <w:color w:val="FFFFFF" w:themeColor="background1"/>
                <w:sz w:val="19"/>
                <w:szCs w:val="19"/>
              </w:rPr>
            </w:pPr>
            <w:proofErr w:type="spellStart"/>
            <w:r w:rsidRPr="00C355B4">
              <w:rPr>
                <w:rFonts w:ascii="Cambria" w:hAnsi="Cambria"/>
                <w:bCs/>
                <w:i/>
                <w:color w:val="FFFFFF" w:themeColor="background1"/>
                <w:sz w:val="19"/>
                <w:szCs w:val="19"/>
              </w:rPr>
              <w:t>Ratione</w:t>
            </w:r>
            <w:proofErr w:type="spellEnd"/>
            <w:r w:rsidRPr="00C355B4">
              <w:rPr>
                <w:rFonts w:ascii="Cambria" w:hAnsi="Cambria"/>
                <w:bCs/>
                <w:i/>
                <w:color w:val="FFFFFF" w:themeColor="background1"/>
                <w:sz w:val="19"/>
                <w:szCs w:val="19"/>
              </w:rPr>
              <w:t xml:space="preserve"> personae:</w:t>
            </w:r>
          </w:p>
        </w:tc>
        <w:tc>
          <w:tcPr>
            <w:tcW w:w="6570" w:type="dxa"/>
            <w:vAlign w:val="center"/>
          </w:tcPr>
          <w:p w14:paraId="237A8D0C" w14:textId="7A341DF8" w:rsidR="00F621C3" w:rsidRPr="00C355B4" w:rsidRDefault="007805B1" w:rsidP="009163FC">
            <w:pPr>
              <w:rPr>
                <w:rFonts w:asciiTheme="majorHAnsi" w:hAnsiTheme="majorHAnsi"/>
                <w:bCs/>
                <w:sz w:val="19"/>
                <w:szCs w:val="19"/>
              </w:rPr>
            </w:pPr>
            <w:r>
              <w:rPr>
                <w:rFonts w:asciiTheme="majorHAnsi" w:hAnsiTheme="majorHAnsi"/>
                <w:bCs/>
                <w:sz w:val="19"/>
                <w:szCs w:val="19"/>
              </w:rPr>
              <w:t>Yes</w:t>
            </w:r>
          </w:p>
        </w:tc>
      </w:tr>
      <w:tr w:rsidR="00F621C3" w:rsidRPr="000B6B7A" w14:paraId="5FE56D1B" w14:textId="77777777" w:rsidTr="00C355B4">
        <w:trPr>
          <w:cantSplit/>
        </w:trPr>
        <w:tc>
          <w:tcPr>
            <w:tcW w:w="2790" w:type="dxa"/>
            <w:tcBorders>
              <w:top w:val="single" w:sz="6" w:space="0" w:color="auto"/>
              <w:bottom w:val="single" w:sz="6" w:space="0" w:color="auto"/>
            </w:tcBorders>
            <w:shd w:val="clear" w:color="auto" w:fill="67AE3C"/>
            <w:vAlign w:val="center"/>
          </w:tcPr>
          <w:p w14:paraId="2190B967" w14:textId="0E15553A" w:rsidR="00F621C3" w:rsidRPr="00C355B4" w:rsidRDefault="00F621C3" w:rsidP="00C355B4">
            <w:pPr>
              <w:jc w:val="center"/>
              <w:rPr>
                <w:rFonts w:ascii="Cambria" w:hAnsi="Cambria"/>
                <w:bCs/>
                <w:color w:val="FFFFFF" w:themeColor="background1"/>
                <w:sz w:val="19"/>
                <w:szCs w:val="19"/>
              </w:rPr>
            </w:pPr>
            <w:proofErr w:type="spellStart"/>
            <w:r w:rsidRPr="00C355B4">
              <w:rPr>
                <w:rFonts w:ascii="Cambria" w:hAnsi="Cambria"/>
                <w:bCs/>
                <w:i/>
                <w:color w:val="FFFFFF" w:themeColor="background1"/>
                <w:sz w:val="19"/>
                <w:szCs w:val="19"/>
              </w:rPr>
              <w:t>Ratione</w:t>
            </w:r>
            <w:proofErr w:type="spellEnd"/>
            <w:r w:rsidRPr="00C355B4">
              <w:rPr>
                <w:rFonts w:ascii="Cambria" w:hAnsi="Cambria"/>
                <w:bCs/>
                <w:i/>
                <w:color w:val="FFFFFF" w:themeColor="background1"/>
                <w:sz w:val="19"/>
                <w:szCs w:val="19"/>
              </w:rPr>
              <w:t xml:space="preserve"> loci</w:t>
            </w:r>
            <w:r w:rsidRPr="00C355B4">
              <w:rPr>
                <w:rFonts w:ascii="Cambria" w:hAnsi="Cambria"/>
                <w:bCs/>
                <w:color w:val="FFFFFF" w:themeColor="background1"/>
                <w:sz w:val="19"/>
                <w:szCs w:val="19"/>
              </w:rPr>
              <w:t>:</w:t>
            </w:r>
          </w:p>
        </w:tc>
        <w:tc>
          <w:tcPr>
            <w:tcW w:w="6570" w:type="dxa"/>
            <w:vAlign w:val="center"/>
          </w:tcPr>
          <w:p w14:paraId="48257424" w14:textId="3C6EA908" w:rsidR="00F621C3" w:rsidRPr="00C355B4" w:rsidRDefault="007805B1" w:rsidP="009163FC">
            <w:pPr>
              <w:rPr>
                <w:rFonts w:asciiTheme="majorHAnsi" w:hAnsiTheme="majorHAnsi"/>
                <w:bCs/>
                <w:sz w:val="19"/>
                <w:szCs w:val="19"/>
              </w:rPr>
            </w:pPr>
            <w:r>
              <w:rPr>
                <w:rFonts w:asciiTheme="majorHAnsi" w:hAnsiTheme="majorHAnsi"/>
                <w:bCs/>
                <w:sz w:val="19"/>
                <w:szCs w:val="19"/>
              </w:rPr>
              <w:t>Yes</w:t>
            </w:r>
          </w:p>
        </w:tc>
      </w:tr>
      <w:tr w:rsidR="00F621C3" w:rsidRPr="000B6B7A" w14:paraId="372B5DD8" w14:textId="77777777" w:rsidTr="00C355B4">
        <w:trPr>
          <w:cantSplit/>
        </w:trPr>
        <w:tc>
          <w:tcPr>
            <w:tcW w:w="2790" w:type="dxa"/>
            <w:tcBorders>
              <w:top w:val="single" w:sz="6" w:space="0" w:color="auto"/>
              <w:bottom w:val="single" w:sz="6" w:space="0" w:color="auto"/>
            </w:tcBorders>
            <w:shd w:val="clear" w:color="auto" w:fill="67AE3C"/>
            <w:vAlign w:val="center"/>
          </w:tcPr>
          <w:p w14:paraId="7F979173" w14:textId="63734385" w:rsidR="00F621C3" w:rsidRPr="00C355B4" w:rsidRDefault="00F621C3" w:rsidP="009163FC">
            <w:pPr>
              <w:jc w:val="center"/>
              <w:rPr>
                <w:rFonts w:ascii="Cambria" w:hAnsi="Cambria"/>
                <w:bCs/>
                <w:color w:val="FFFFFF" w:themeColor="background1"/>
                <w:sz w:val="19"/>
                <w:szCs w:val="19"/>
              </w:rPr>
            </w:pPr>
            <w:proofErr w:type="spellStart"/>
            <w:r w:rsidRPr="00C355B4">
              <w:rPr>
                <w:rFonts w:ascii="Cambria" w:hAnsi="Cambria"/>
                <w:bCs/>
                <w:i/>
                <w:color w:val="FFFFFF" w:themeColor="background1"/>
                <w:sz w:val="19"/>
                <w:szCs w:val="19"/>
              </w:rPr>
              <w:t>Ratione</w:t>
            </w:r>
            <w:proofErr w:type="spellEnd"/>
            <w:r w:rsidRPr="00C355B4">
              <w:rPr>
                <w:rFonts w:ascii="Cambria" w:hAnsi="Cambria"/>
                <w:bCs/>
                <w:i/>
                <w:color w:val="FFFFFF" w:themeColor="background1"/>
                <w:sz w:val="19"/>
                <w:szCs w:val="19"/>
              </w:rPr>
              <w:t xml:space="preserve"> </w:t>
            </w:r>
            <w:proofErr w:type="spellStart"/>
            <w:r w:rsidRPr="00C355B4">
              <w:rPr>
                <w:rFonts w:ascii="Cambria" w:hAnsi="Cambria"/>
                <w:bCs/>
                <w:i/>
                <w:color w:val="FFFFFF" w:themeColor="background1"/>
                <w:sz w:val="19"/>
                <w:szCs w:val="19"/>
              </w:rPr>
              <w:t>temporis</w:t>
            </w:r>
            <w:proofErr w:type="spellEnd"/>
            <w:r w:rsidRPr="00C355B4">
              <w:rPr>
                <w:rFonts w:ascii="Cambria" w:hAnsi="Cambria"/>
                <w:bCs/>
                <w:color w:val="FFFFFF" w:themeColor="background1"/>
                <w:sz w:val="19"/>
                <w:szCs w:val="19"/>
              </w:rPr>
              <w:t>:</w:t>
            </w:r>
          </w:p>
        </w:tc>
        <w:tc>
          <w:tcPr>
            <w:tcW w:w="6570" w:type="dxa"/>
            <w:vAlign w:val="center"/>
          </w:tcPr>
          <w:p w14:paraId="74B3F783" w14:textId="7C576E25" w:rsidR="00F621C3" w:rsidRPr="00C355B4" w:rsidRDefault="007805B1" w:rsidP="009163FC">
            <w:pPr>
              <w:rPr>
                <w:rFonts w:asciiTheme="majorHAnsi" w:hAnsiTheme="majorHAnsi"/>
                <w:bCs/>
                <w:sz w:val="19"/>
                <w:szCs w:val="19"/>
              </w:rPr>
            </w:pPr>
            <w:r>
              <w:rPr>
                <w:rFonts w:asciiTheme="majorHAnsi" w:hAnsiTheme="majorHAnsi"/>
                <w:bCs/>
                <w:sz w:val="19"/>
                <w:szCs w:val="19"/>
              </w:rPr>
              <w:t>Yes</w:t>
            </w:r>
          </w:p>
        </w:tc>
      </w:tr>
      <w:tr w:rsidR="00F621C3" w:rsidRPr="000B6B7A" w14:paraId="6648704B" w14:textId="77777777" w:rsidTr="00C355B4">
        <w:trPr>
          <w:cantSplit/>
        </w:trPr>
        <w:tc>
          <w:tcPr>
            <w:tcW w:w="2790" w:type="dxa"/>
            <w:tcBorders>
              <w:top w:val="single" w:sz="6" w:space="0" w:color="auto"/>
              <w:bottom w:val="single" w:sz="6" w:space="0" w:color="auto"/>
            </w:tcBorders>
            <w:shd w:val="clear" w:color="auto" w:fill="67AE3C"/>
            <w:vAlign w:val="center"/>
          </w:tcPr>
          <w:p w14:paraId="15BBE7AF" w14:textId="57F24106" w:rsidR="00F621C3" w:rsidRPr="00C355B4" w:rsidRDefault="00F621C3" w:rsidP="009163FC">
            <w:pPr>
              <w:jc w:val="center"/>
              <w:rPr>
                <w:rFonts w:ascii="Cambria" w:hAnsi="Cambria"/>
                <w:bCs/>
                <w:color w:val="FFFFFF" w:themeColor="background1"/>
                <w:sz w:val="19"/>
                <w:szCs w:val="19"/>
              </w:rPr>
            </w:pPr>
            <w:proofErr w:type="spellStart"/>
            <w:r w:rsidRPr="00C355B4">
              <w:rPr>
                <w:rFonts w:ascii="Cambria" w:hAnsi="Cambria"/>
                <w:bCs/>
                <w:i/>
                <w:color w:val="FFFFFF" w:themeColor="background1"/>
                <w:sz w:val="19"/>
                <w:szCs w:val="19"/>
              </w:rPr>
              <w:t>Ratione</w:t>
            </w:r>
            <w:proofErr w:type="spellEnd"/>
            <w:r w:rsidRPr="00C355B4">
              <w:rPr>
                <w:rFonts w:ascii="Cambria" w:hAnsi="Cambria"/>
                <w:bCs/>
                <w:i/>
                <w:color w:val="FFFFFF" w:themeColor="background1"/>
                <w:sz w:val="19"/>
                <w:szCs w:val="19"/>
              </w:rPr>
              <w:t xml:space="preserve"> </w:t>
            </w:r>
            <w:proofErr w:type="spellStart"/>
            <w:r w:rsidRPr="00C355B4">
              <w:rPr>
                <w:rFonts w:ascii="Cambria" w:hAnsi="Cambria"/>
                <w:bCs/>
                <w:i/>
                <w:color w:val="FFFFFF" w:themeColor="background1"/>
                <w:sz w:val="19"/>
                <w:szCs w:val="19"/>
              </w:rPr>
              <w:t>materiae</w:t>
            </w:r>
            <w:proofErr w:type="spellEnd"/>
            <w:r w:rsidRPr="00C355B4">
              <w:rPr>
                <w:rFonts w:ascii="Cambria" w:hAnsi="Cambria"/>
                <w:bCs/>
                <w:color w:val="FFFFFF" w:themeColor="background1"/>
                <w:sz w:val="19"/>
                <w:szCs w:val="19"/>
              </w:rPr>
              <w:t>:</w:t>
            </w:r>
          </w:p>
        </w:tc>
        <w:tc>
          <w:tcPr>
            <w:tcW w:w="6570" w:type="dxa"/>
            <w:vAlign w:val="center"/>
          </w:tcPr>
          <w:p w14:paraId="64B3F199" w14:textId="33105EEF" w:rsidR="00F621C3" w:rsidRPr="00C355B4" w:rsidRDefault="00F3030E" w:rsidP="009163FC">
            <w:pPr>
              <w:jc w:val="both"/>
              <w:rPr>
                <w:rFonts w:asciiTheme="majorHAnsi" w:hAnsiTheme="majorHAnsi"/>
                <w:bCs/>
                <w:sz w:val="19"/>
                <w:szCs w:val="19"/>
              </w:rPr>
            </w:pPr>
            <w:r>
              <w:rPr>
                <w:rFonts w:asciiTheme="majorHAnsi" w:hAnsiTheme="majorHAnsi"/>
                <w:bCs/>
                <w:sz w:val="19"/>
                <w:szCs w:val="19"/>
              </w:rPr>
              <w:t>Yes,</w:t>
            </w:r>
            <w:r w:rsidR="007805B1">
              <w:rPr>
                <w:rFonts w:asciiTheme="majorHAnsi" w:hAnsiTheme="majorHAnsi"/>
                <w:bCs/>
                <w:sz w:val="19"/>
                <w:szCs w:val="19"/>
              </w:rPr>
              <w:t xml:space="preserve"> American Convention (deposit of instrument of ratification made on August 7, 1978)</w:t>
            </w:r>
          </w:p>
        </w:tc>
      </w:tr>
    </w:tbl>
    <w:p w14:paraId="0408D4CD" w14:textId="54A61356" w:rsidR="00F621C3" w:rsidRPr="000B6B7A" w:rsidRDefault="00F621C3" w:rsidP="00C355B4">
      <w:pPr>
        <w:spacing w:before="120" w:after="12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F621C3" w:rsidRPr="000B6B7A" w14:paraId="4091A423" w14:textId="77777777" w:rsidTr="00C355B4">
        <w:trPr>
          <w:cantSplit/>
        </w:trPr>
        <w:tc>
          <w:tcPr>
            <w:tcW w:w="2790" w:type="dxa"/>
            <w:tcBorders>
              <w:top w:val="single" w:sz="4" w:space="0" w:color="auto"/>
              <w:bottom w:val="single" w:sz="6" w:space="0" w:color="auto"/>
            </w:tcBorders>
            <w:shd w:val="clear" w:color="auto" w:fill="67AE3C"/>
            <w:vAlign w:val="center"/>
          </w:tcPr>
          <w:p w14:paraId="61D870FF" w14:textId="493C94FE" w:rsidR="00F621C3" w:rsidRPr="00C355B4" w:rsidRDefault="00F621C3" w:rsidP="008546E5">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Duplication of procedures and </w:t>
            </w:r>
            <w:r w:rsidR="008546E5">
              <w:rPr>
                <w:rFonts w:ascii="Cambria" w:hAnsi="Cambria"/>
                <w:bCs/>
                <w:color w:val="FFFFFF" w:themeColor="background1"/>
                <w:sz w:val="19"/>
                <w:szCs w:val="19"/>
              </w:rPr>
              <w:t>i</w:t>
            </w:r>
            <w:r w:rsidRPr="00C355B4">
              <w:rPr>
                <w:rFonts w:ascii="Cambria" w:hAnsi="Cambria"/>
                <w:bCs/>
                <w:color w:val="FFFFFF" w:themeColor="background1"/>
                <w:sz w:val="19"/>
                <w:szCs w:val="19"/>
              </w:rPr>
              <w:t xml:space="preserve">nternational </w:t>
            </w:r>
            <w:r w:rsidRPr="00C355B4">
              <w:rPr>
                <w:rFonts w:ascii="Cambria" w:hAnsi="Cambria"/>
                <w:bCs/>
                <w:i/>
                <w:color w:val="FFFFFF" w:themeColor="background1"/>
                <w:sz w:val="19"/>
                <w:szCs w:val="19"/>
              </w:rPr>
              <w:t>res judicata</w:t>
            </w:r>
          </w:p>
        </w:tc>
        <w:tc>
          <w:tcPr>
            <w:tcW w:w="6570" w:type="dxa"/>
            <w:vAlign w:val="center"/>
          </w:tcPr>
          <w:p w14:paraId="4773CD23" w14:textId="08C3E89C" w:rsidR="00F621C3" w:rsidRPr="00C355B4" w:rsidRDefault="00897284" w:rsidP="009163FC">
            <w:pPr>
              <w:jc w:val="both"/>
              <w:rPr>
                <w:rFonts w:ascii="Cambria" w:hAnsi="Cambria"/>
                <w:bCs/>
                <w:sz w:val="19"/>
                <w:szCs w:val="19"/>
              </w:rPr>
            </w:pPr>
            <w:r>
              <w:rPr>
                <w:rFonts w:ascii="Cambria" w:hAnsi="Cambria"/>
                <w:bCs/>
                <w:sz w:val="19"/>
                <w:szCs w:val="19"/>
              </w:rPr>
              <w:t>No</w:t>
            </w:r>
          </w:p>
        </w:tc>
      </w:tr>
      <w:tr w:rsidR="00F621C3" w:rsidRPr="000B6B7A" w14:paraId="24B3B5A9" w14:textId="77777777" w:rsidTr="00C355B4">
        <w:trPr>
          <w:cantSplit/>
        </w:trPr>
        <w:tc>
          <w:tcPr>
            <w:tcW w:w="2790" w:type="dxa"/>
            <w:tcBorders>
              <w:top w:val="single" w:sz="6" w:space="0" w:color="auto"/>
              <w:bottom w:val="single" w:sz="6" w:space="0" w:color="auto"/>
            </w:tcBorders>
            <w:shd w:val="clear" w:color="auto" w:fill="67AE3C"/>
            <w:vAlign w:val="center"/>
          </w:tcPr>
          <w:p w14:paraId="2E52A630" w14:textId="77777777" w:rsidR="00F621C3" w:rsidRPr="00C355B4" w:rsidRDefault="00F621C3" w:rsidP="009163FC">
            <w:pPr>
              <w:jc w:val="center"/>
              <w:rPr>
                <w:rFonts w:ascii="Cambria" w:hAnsi="Cambria"/>
                <w:bCs/>
                <w:i/>
                <w:color w:val="FFFFFF" w:themeColor="background1"/>
                <w:sz w:val="19"/>
                <w:szCs w:val="19"/>
              </w:rPr>
            </w:pPr>
            <w:r w:rsidRPr="00C355B4">
              <w:rPr>
                <w:rFonts w:ascii="Cambria" w:hAnsi="Cambria"/>
                <w:bCs/>
                <w:color w:val="FFFFFF" w:themeColor="background1"/>
                <w:sz w:val="19"/>
                <w:szCs w:val="19"/>
              </w:rPr>
              <w:t>Rights declared admissible</w:t>
            </w:r>
          </w:p>
        </w:tc>
        <w:tc>
          <w:tcPr>
            <w:tcW w:w="6570" w:type="dxa"/>
            <w:vAlign w:val="center"/>
          </w:tcPr>
          <w:p w14:paraId="33BE4040" w14:textId="7D37C9D7" w:rsidR="00F621C3" w:rsidRPr="00C355B4" w:rsidRDefault="00897284" w:rsidP="00090160">
            <w:pPr>
              <w:jc w:val="both"/>
              <w:rPr>
                <w:rFonts w:ascii="Cambria" w:hAnsi="Cambria"/>
                <w:bCs/>
                <w:sz w:val="19"/>
                <w:szCs w:val="19"/>
              </w:rPr>
            </w:pPr>
            <w:r w:rsidRPr="00897284">
              <w:rPr>
                <w:rFonts w:ascii="Cambria" w:hAnsi="Cambria"/>
                <w:bCs/>
                <w:sz w:val="19"/>
                <w:szCs w:val="19"/>
              </w:rPr>
              <w:t>Articles 4 (Life), 5 (Humane Treatment), 8 (Fair Trial)</w:t>
            </w:r>
            <w:r>
              <w:rPr>
                <w:rFonts w:ascii="Cambria" w:hAnsi="Cambria"/>
                <w:bCs/>
                <w:sz w:val="19"/>
                <w:szCs w:val="19"/>
              </w:rPr>
              <w:t xml:space="preserve">, 19 (Rights of the Child),  </w:t>
            </w:r>
            <w:r w:rsidRPr="00897284">
              <w:rPr>
                <w:rFonts w:ascii="Cambria" w:hAnsi="Cambria"/>
                <w:bCs/>
                <w:sz w:val="19"/>
                <w:szCs w:val="19"/>
              </w:rPr>
              <w:t>25 (Judicial Protection)</w:t>
            </w:r>
            <w:r>
              <w:rPr>
                <w:rFonts w:ascii="Cambria" w:hAnsi="Cambria"/>
                <w:bCs/>
                <w:sz w:val="19"/>
                <w:szCs w:val="19"/>
              </w:rPr>
              <w:t xml:space="preserve"> </w:t>
            </w:r>
            <w:r w:rsidRPr="00897284">
              <w:rPr>
                <w:rFonts w:ascii="Cambria" w:hAnsi="Cambria"/>
                <w:bCs/>
                <w:sz w:val="19"/>
                <w:szCs w:val="19"/>
              </w:rPr>
              <w:t xml:space="preserve">of the Convention, </w:t>
            </w:r>
            <w:r>
              <w:rPr>
                <w:rFonts w:ascii="Cambria" w:hAnsi="Cambria"/>
                <w:bCs/>
                <w:sz w:val="19"/>
                <w:szCs w:val="19"/>
              </w:rPr>
              <w:t xml:space="preserve">in connection with Articles 1.1 </w:t>
            </w:r>
            <w:r w:rsidRPr="00897284">
              <w:rPr>
                <w:rFonts w:ascii="Cambria" w:hAnsi="Cambria"/>
                <w:bCs/>
                <w:sz w:val="19"/>
                <w:szCs w:val="19"/>
              </w:rPr>
              <w:t>(Obligation to respect ri</w:t>
            </w:r>
            <w:r>
              <w:rPr>
                <w:rFonts w:ascii="Cambria" w:hAnsi="Cambria"/>
                <w:bCs/>
                <w:sz w:val="19"/>
                <w:szCs w:val="19"/>
              </w:rPr>
              <w:t>ghts) and 2 (</w:t>
            </w:r>
            <w:r w:rsidR="00F344C4">
              <w:rPr>
                <w:rFonts w:ascii="Cambria" w:hAnsi="Cambria"/>
                <w:bCs/>
                <w:sz w:val="19"/>
                <w:szCs w:val="19"/>
              </w:rPr>
              <w:t>Domestic Legal Effect</w:t>
            </w:r>
            <w:r w:rsidR="002003A9">
              <w:rPr>
                <w:rFonts w:ascii="Cambria" w:hAnsi="Cambria"/>
                <w:bCs/>
                <w:sz w:val="19"/>
                <w:szCs w:val="19"/>
              </w:rPr>
              <w:t>s</w:t>
            </w:r>
            <w:r w:rsidRPr="00897284">
              <w:rPr>
                <w:rFonts w:ascii="Cambria" w:hAnsi="Cambria"/>
                <w:bCs/>
                <w:sz w:val="19"/>
                <w:szCs w:val="19"/>
              </w:rPr>
              <w:t>)</w:t>
            </w:r>
            <w:r w:rsidR="00C06A4B">
              <w:rPr>
                <w:rFonts w:ascii="Cambria" w:hAnsi="Cambria"/>
                <w:bCs/>
                <w:sz w:val="19"/>
                <w:szCs w:val="19"/>
              </w:rPr>
              <w:t xml:space="preserve"> of the same instrument</w:t>
            </w:r>
          </w:p>
        </w:tc>
      </w:tr>
      <w:tr w:rsidR="00F621C3" w:rsidRPr="000B6B7A" w14:paraId="4DFB74FC" w14:textId="77777777" w:rsidTr="00C355B4">
        <w:trPr>
          <w:cantSplit/>
        </w:trPr>
        <w:tc>
          <w:tcPr>
            <w:tcW w:w="2790" w:type="dxa"/>
            <w:tcBorders>
              <w:top w:val="single" w:sz="6" w:space="0" w:color="auto"/>
              <w:bottom w:val="single" w:sz="6" w:space="0" w:color="auto"/>
            </w:tcBorders>
            <w:shd w:val="clear" w:color="auto" w:fill="67AE3C"/>
            <w:vAlign w:val="center"/>
          </w:tcPr>
          <w:p w14:paraId="1D4CE924" w14:textId="18B37E2E" w:rsidR="00F621C3" w:rsidRPr="00C355B4" w:rsidRDefault="00F621C3" w:rsidP="008546E5">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Exhaustion </w:t>
            </w:r>
            <w:r w:rsidR="008546E5">
              <w:rPr>
                <w:rFonts w:ascii="Cambria" w:hAnsi="Cambria"/>
                <w:bCs/>
                <w:color w:val="FFFFFF" w:themeColor="background1"/>
                <w:sz w:val="19"/>
                <w:szCs w:val="19"/>
              </w:rPr>
              <w:t>or exception to the exhaustion of remedies</w:t>
            </w:r>
            <w:r w:rsidRPr="00C355B4">
              <w:rPr>
                <w:rFonts w:ascii="Cambria" w:hAnsi="Cambria"/>
                <w:bCs/>
                <w:color w:val="FFFFFF" w:themeColor="background1"/>
                <w:sz w:val="19"/>
                <w:szCs w:val="19"/>
              </w:rPr>
              <w:t xml:space="preserve"> </w:t>
            </w:r>
          </w:p>
        </w:tc>
        <w:tc>
          <w:tcPr>
            <w:tcW w:w="6570" w:type="dxa"/>
            <w:vAlign w:val="center"/>
          </w:tcPr>
          <w:p w14:paraId="432DC56B" w14:textId="4DEDC35B" w:rsidR="00F621C3" w:rsidRPr="00C355B4" w:rsidRDefault="003506E3" w:rsidP="002003A9">
            <w:pPr>
              <w:rPr>
                <w:rFonts w:ascii="Cambria" w:hAnsi="Cambria"/>
                <w:bCs/>
                <w:sz w:val="19"/>
                <w:szCs w:val="19"/>
              </w:rPr>
            </w:pPr>
            <w:r>
              <w:rPr>
                <w:rFonts w:ascii="Cambria" w:hAnsi="Cambria"/>
                <w:bCs/>
                <w:sz w:val="19"/>
                <w:szCs w:val="19"/>
              </w:rPr>
              <w:t>Yes</w:t>
            </w:r>
            <w:r w:rsidR="006202F2">
              <w:rPr>
                <w:rFonts w:ascii="Cambria" w:hAnsi="Cambria"/>
                <w:bCs/>
                <w:sz w:val="19"/>
                <w:szCs w:val="19"/>
              </w:rPr>
              <w:t>,</w:t>
            </w:r>
            <w:r w:rsidR="006202F2" w:rsidRPr="003B7AE1">
              <w:rPr>
                <w:rFonts w:asciiTheme="majorHAnsi" w:hAnsiTheme="majorHAnsi"/>
                <w:bCs/>
                <w:sz w:val="19"/>
                <w:szCs w:val="19"/>
              </w:rPr>
              <w:t xml:space="preserve"> under the terms of section VI</w:t>
            </w:r>
          </w:p>
        </w:tc>
      </w:tr>
      <w:tr w:rsidR="00F621C3" w:rsidRPr="000B6B7A" w14:paraId="6D900199" w14:textId="77777777" w:rsidTr="00C355B4">
        <w:trPr>
          <w:cantSplit/>
        </w:trPr>
        <w:tc>
          <w:tcPr>
            <w:tcW w:w="2790" w:type="dxa"/>
            <w:tcBorders>
              <w:top w:val="single" w:sz="6" w:space="0" w:color="auto"/>
              <w:bottom w:val="single" w:sz="6" w:space="0" w:color="auto"/>
            </w:tcBorders>
            <w:shd w:val="clear" w:color="auto" w:fill="67AE3C"/>
            <w:vAlign w:val="center"/>
          </w:tcPr>
          <w:p w14:paraId="42C3BC97" w14:textId="2F62D441" w:rsidR="00F621C3" w:rsidRPr="00C355B4" w:rsidRDefault="008546E5" w:rsidP="009163FC">
            <w:pPr>
              <w:jc w:val="center"/>
              <w:rPr>
                <w:rFonts w:ascii="Cambria" w:hAnsi="Cambria"/>
                <w:bCs/>
                <w:color w:val="FFFFFF" w:themeColor="background1"/>
                <w:sz w:val="19"/>
                <w:szCs w:val="19"/>
              </w:rPr>
            </w:pPr>
            <w:r>
              <w:rPr>
                <w:rFonts w:ascii="Cambria" w:hAnsi="Cambria"/>
                <w:bCs/>
                <w:color w:val="FFFFFF" w:themeColor="background1"/>
                <w:sz w:val="19"/>
                <w:szCs w:val="19"/>
              </w:rPr>
              <w:t>Timeliness of the petition</w:t>
            </w:r>
          </w:p>
        </w:tc>
        <w:tc>
          <w:tcPr>
            <w:tcW w:w="6570" w:type="dxa"/>
            <w:vAlign w:val="center"/>
          </w:tcPr>
          <w:p w14:paraId="6A26CCE9" w14:textId="50A27511" w:rsidR="00F621C3" w:rsidRPr="00C355B4" w:rsidRDefault="006A7098" w:rsidP="003B7AE1">
            <w:pPr>
              <w:rPr>
                <w:rFonts w:asciiTheme="majorHAnsi" w:hAnsiTheme="majorHAnsi"/>
                <w:bCs/>
                <w:sz w:val="19"/>
                <w:szCs w:val="19"/>
              </w:rPr>
            </w:pPr>
            <w:r w:rsidRPr="003B7AE1">
              <w:rPr>
                <w:rFonts w:asciiTheme="majorHAnsi" w:hAnsiTheme="majorHAnsi"/>
                <w:bCs/>
                <w:sz w:val="19"/>
                <w:szCs w:val="19"/>
              </w:rPr>
              <w:t>Yes, under the terms of section VI</w:t>
            </w:r>
          </w:p>
        </w:tc>
      </w:tr>
    </w:tbl>
    <w:p w14:paraId="629E2DE8" w14:textId="23969EF0" w:rsidR="00F621C3" w:rsidRPr="002A4D64" w:rsidRDefault="00F621C3" w:rsidP="00C355B4">
      <w:pPr>
        <w:spacing w:before="120" w:after="120"/>
        <w:ind w:firstLine="720"/>
        <w:jc w:val="both"/>
        <w:rPr>
          <w:rFonts w:asciiTheme="majorHAnsi" w:hAnsiTheme="majorHAnsi"/>
          <w:b/>
          <w:sz w:val="20"/>
          <w:szCs w:val="20"/>
        </w:rPr>
      </w:pPr>
      <w:r w:rsidRPr="002A4D64">
        <w:rPr>
          <w:rFonts w:asciiTheme="majorHAnsi" w:hAnsiTheme="majorHAnsi"/>
          <w:b/>
          <w:sz w:val="20"/>
          <w:szCs w:val="20"/>
        </w:rPr>
        <w:t xml:space="preserve">V. </w:t>
      </w:r>
      <w:r w:rsidRPr="002A4D64">
        <w:rPr>
          <w:rFonts w:asciiTheme="majorHAnsi" w:hAnsiTheme="majorHAnsi"/>
          <w:b/>
          <w:sz w:val="20"/>
          <w:szCs w:val="20"/>
        </w:rPr>
        <w:tab/>
      </w:r>
      <w:r w:rsidR="0079535C">
        <w:rPr>
          <w:rFonts w:asciiTheme="majorHAnsi" w:hAnsiTheme="majorHAnsi"/>
          <w:b/>
          <w:sz w:val="20"/>
          <w:szCs w:val="20"/>
        </w:rPr>
        <w:t>FACTS</w:t>
      </w:r>
      <w:r w:rsidR="003D6EE0" w:rsidRPr="002A4D64">
        <w:rPr>
          <w:rFonts w:asciiTheme="majorHAnsi" w:hAnsiTheme="majorHAnsi"/>
          <w:b/>
          <w:sz w:val="20"/>
          <w:szCs w:val="20"/>
        </w:rPr>
        <w:t xml:space="preserve"> </w:t>
      </w:r>
      <w:r w:rsidR="00706858" w:rsidRPr="002A4D64">
        <w:rPr>
          <w:rFonts w:asciiTheme="majorHAnsi" w:hAnsiTheme="majorHAnsi"/>
          <w:b/>
          <w:sz w:val="20"/>
          <w:szCs w:val="20"/>
        </w:rPr>
        <w:t xml:space="preserve">ALLEGED </w:t>
      </w:r>
    </w:p>
    <w:p w14:paraId="282F3FF3" w14:textId="0481FBE9" w:rsidR="00F91AD3" w:rsidRPr="002A4D64" w:rsidRDefault="006202F2" w:rsidP="006202F2">
      <w:pPr>
        <w:pStyle w:val="ListParagraph"/>
        <w:numPr>
          <w:ilvl w:val="0"/>
          <w:numId w:val="108"/>
        </w:numPr>
        <w:spacing w:before="120" w:after="120"/>
        <w:ind w:left="90" w:firstLine="630"/>
        <w:jc w:val="both"/>
        <w:rPr>
          <w:bCs/>
          <w:sz w:val="20"/>
          <w:szCs w:val="20"/>
        </w:rPr>
      </w:pPr>
      <w:r w:rsidRPr="002A4D64">
        <w:rPr>
          <w:rFonts w:asciiTheme="majorHAnsi" w:hAnsiTheme="majorHAnsi"/>
          <w:sz w:val="20"/>
          <w:szCs w:val="20"/>
        </w:rPr>
        <w:t>The petitioners allege the</w:t>
      </w:r>
      <w:r>
        <w:rPr>
          <w:rFonts w:asciiTheme="majorHAnsi" w:hAnsiTheme="majorHAnsi"/>
          <w:sz w:val="20"/>
          <w:szCs w:val="20"/>
        </w:rPr>
        <w:t xml:space="preserve"> responsibility of the State </w:t>
      </w:r>
      <w:r w:rsidRPr="00E1110E">
        <w:rPr>
          <w:rFonts w:asciiTheme="majorHAnsi" w:hAnsiTheme="majorHAnsi"/>
          <w:sz w:val="20"/>
          <w:szCs w:val="20"/>
        </w:rPr>
        <w:t>for</w:t>
      </w:r>
      <w:r>
        <w:rPr>
          <w:rFonts w:asciiTheme="majorHAnsi" w:hAnsiTheme="majorHAnsi"/>
          <w:sz w:val="20"/>
          <w:szCs w:val="20"/>
        </w:rPr>
        <w:t xml:space="preserve"> the</w:t>
      </w:r>
      <w:r w:rsidRPr="002A4D64">
        <w:rPr>
          <w:rFonts w:asciiTheme="majorHAnsi" w:hAnsiTheme="majorHAnsi"/>
          <w:sz w:val="20"/>
          <w:szCs w:val="20"/>
        </w:rPr>
        <w:t xml:space="preserve"> murder</w:t>
      </w:r>
      <w:r>
        <w:rPr>
          <w:rFonts w:asciiTheme="majorHAnsi" w:hAnsiTheme="majorHAnsi"/>
          <w:sz w:val="20"/>
          <w:szCs w:val="20"/>
        </w:rPr>
        <w:t>s</w:t>
      </w:r>
      <w:r w:rsidRPr="002A4D64">
        <w:rPr>
          <w:rFonts w:asciiTheme="majorHAnsi" w:hAnsiTheme="majorHAnsi"/>
          <w:sz w:val="20"/>
          <w:szCs w:val="20"/>
        </w:rPr>
        <w:t xml:space="preserve"> of </w:t>
      </w:r>
      <w:r>
        <w:rPr>
          <w:rFonts w:asciiTheme="majorHAnsi" w:hAnsiTheme="majorHAnsi"/>
          <w:sz w:val="20"/>
          <w:szCs w:val="20"/>
        </w:rPr>
        <w:t xml:space="preserve">the alleged victims, </w:t>
      </w:r>
      <w:proofErr w:type="spellStart"/>
      <w:r w:rsidRPr="002A4D64">
        <w:rPr>
          <w:bCs/>
          <w:sz w:val="20"/>
          <w:szCs w:val="20"/>
        </w:rPr>
        <w:t>Amanie</w:t>
      </w:r>
      <w:proofErr w:type="spellEnd"/>
      <w:r w:rsidRPr="002A4D64">
        <w:rPr>
          <w:bCs/>
          <w:sz w:val="20"/>
          <w:szCs w:val="20"/>
        </w:rPr>
        <w:t xml:space="preserve"> </w:t>
      </w:r>
      <w:proofErr w:type="spellStart"/>
      <w:r w:rsidRPr="002A4D64">
        <w:rPr>
          <w:bCs/>
          <w:sz w:val="20"/>
          <w:szCs w:val="20"/>
        </w:rPr>
        <w:t>Wedderburn</w:t>
      </w:r>
      <w:proofErr w:type="spellEnd"/>
      <w:r>
        <w:rPr>
          <w:bCs/>
          <w:sz w:val="20"/>
          <w:szCs w:val="20"/>
        </w:rPr>
        <w:t xml:space="preserve">, </w:t>
      </w:r>
      <w:r w:rsidR="00A31FA7">
        <w:rPr>
          <w:bCs/>
          <w:sz w:val="20"/>
          <w:szCs w:val="20"/>
        </w:rPr>
        <w:t>then a minor</w:t>
      </w:r>
      <w:r>
        <w:rPr>
          <w:bCs/>
          <w:sz w:val="20"/>
          <w:szCs w:val="20"/>
        </w:rPr>
        <w:t>,</w:t>
      </w:r>
      <w:r w:rsidRPr="002A4D64">
        <w:rPr>
          <w:bCs/>
          <w:sz w:val="20"/>
          <w:szCs w:val="20"/>
        </w:rPr>
        <w:t xml:space="preserve"> and </w:t>
      </w:r>
      <w:r>
        <w:rPr>
          <w:bCs/>
          <w:sz w:val="20"/>
          <w:szCs w:val="20"/>
        </w:rPr>
        <w:t xml:space="preserve">his uncle </w:t>
      </w:r>
      <w:r w:rsidRPr="002A4D64">
        <w:rPr>
          <w:bCs/>
          <w:sz w:val="20"/>
          <w:szCs w:val="20"/>
        </w:rPr>
        <w:t xml:space="preserve">Eric </w:t>
      </w:r>
      <w:proofErr w:type="spellStart"/>
      <w:r w:rsidRPr="002A4D64">
        <w:rPr>
          <w:bCs/>
          <w:sz w:val="20"/>
          <w:szCs w:val="20"/>
        </w:rPr>
        <w:t>Wedderburn</w:t>
      </w:r>
      <w:proofErr w:type="spellEnd"/>
      <w:r w:rsidRPr="002A4D64">
        <w:rPr>
          <w:bCs/>
          <w:sz w:val="20"/>
          <w:szCs w:val="20"/>
        </w:rPr>
        <w:t xml:space="preserve">, as well as the lack of </w:t>
      </w:r>
      <w:r>
        <w:rPr>
          <w:bCs/>
          <w:sz w:val="20"/>
          <w:szCs w:val="20"/>
        </w:rPr>
        <w:t xml:space="preserve">due </w:t>
      </w:r>
      <w:r w:rsidRPr="002A4D64">
        <w:rPr>
          <w:bCs/>
          <w:sz w:val="20"/>
          <w:szCs w:val="20"/>
        </w:rPr>
        <w:t xml:space="preserve">diligence in the investigation of the </w:t>
      </w:r>
      <w:r w:rsidRPr="00A31FA7">
        <w:rPr>
          <w:bCs/>
          <w:sz w:val="20"/>
          <w:szCs w:val="20"/>
        </w:rPr>
        <w:t>facts</w:t>
      </w:r>
      <w:r w:rsidRPr="002A4D64">
        <w:rPr>
          <w:bCs/>
          <w:sz w:val="20"/>
          <w:szCs w:val="20"/>
        </w:rPr>
        <w:t xml:space="preserve">, </w:t>
      </w:r>
      <w:r>
        <w:rPr>
          <w:bCs/>
          <w:sz w:val="20"/>
          <w:szCs w:val="20"/>
        </w:rPr>
        <w:t xml:space="preserve">plus </w:t>
      </w:r>
      <w:r w:rsidRPr="002A4D64">
        <w:rPr>
          <w:bCs/>
          <w:sz w:val="20"/>
          <w:szCs w:val="20"/>
        </w:rPr>
        <w:t xml:space="preserve">violations </w:t>
      </w:r>
      <w:r>
        <w:rPr>
          <w:bCs/>
          <w:sz w:val="20"/>
          <w:szCs w:val="20"/>
        </w:rPr>
        <w:t>to</w:t>
      </w:r>
      <w:r w:rsidRPr="002A4D64">
        <w:rPr>
          <w:bCs/>
          <w:sz w:val="20"/>
          <w:szCs w:val="20"/>
        </w:rPr>
        <w:t xml:space="preserve"> judicial guarantees and </w:t>
      </w:r>
      <w:r>
        <w:rPr>
          <w:bCs/>
          <w:sz w:val="20"/>
          <w:szCs w:val="20"/>
        </w:rPr>
        <w:t xml:space="preserve">to </w:t>
      </w:r>
      <w:r w:rsidRPr="002A4D64">
        <w:rPr>
          <w:bCs/>
          <w:sz w:val="20"/>
          <w:szCs w:val="20"/>
        </w:rPr>
        <w:t>the right to judicial protection,</w:t>
      </w:r>
      <w:r>
        <w:rPr>
          <w:bCs/>
          <w:sz w:val="20"/>
          <w:szCs w:val="20"/>
        </w:rPr>
        <w:t xml:space="preserve"> which </w:t>
      </w:r>
      <w:r w:rsidR="00FA5A25" w:rsidRPr="002A4D64">
        <w:rPr>
          <w:bCs/>
          <w:sz w:val="20"/>
          <w:szCs w:val="20"/>
        </w:rPr>
        <w:t>resulted in the lack of reparation</w:t>
      </w:r>
      <w:r>
        <w:rPr>
          <w:bCs/>
          <w:sz w:val="20"/>
          <w:szCs w:val="20"/>
        </w:rPr>
        <w:t>s</w:t>
      </w:r>
      <w:r w:rsidR="00FA5A25" w:rsidRPr="002A4D64">
        <w:rPr>
          <w:bCs/>
          <w:sz w:val="20"/>
          <w:szCs w:val="20"/>
        </w:rPr>
        <w:t xml:space="preserve"> and compensation by the State to the alleged victim</w:t>
      </w:r>
      <w:r w:rsidR="00A74E75">
        <w:rPr>
          <w:bCs/>
          <w:sz w:val="20"/>
          <w:szCs w:val="20"/>
        </w:rPr>
        <w:t>s</w:t>
      </w:r>
      <w:r w:rsidR="00FA5A25" w:rsidRPr="002A4D64">
        <w:rPr>
          <w:bCs/>
          <w:sz w:val="20"/>
          <w:szCs w:val="20"/>
        </w:rPr>
        <w:t>' next of kin.</w:t>
      </w:r>
      <w:r w:rsidR="00F91AD3" w:rsidRPr="002A4D64">
        <w:rPr>
          <w:bCs/>
          <w:sz w:val="20"/>
          <w:szCs w:val="20"/>
        </w:rPr>
        <w:t xml:space="preserve"> </w:t>
      </w:r>
    </w:p>
    <w:p w14:paraId="77603249" w14:textId="52F785BB" w:rsidR="006202F2" w:rsidRPr="00074961" w:rsidRDefault="00F91AD3" w:rsidP="006202F2">
      <w:pPr>
        <w:pStyle w:val="ListParagraph"/>
        <w:numPr>
          <w:ilvl w:val="0"/>
          <w:numId w:val="108"/>
        </w:numPr>
        <w:spacing w:before="120" w:after="120"/>
        <w:ind w:left="0" w:firstLine="720"/>
        <w:jc w:val="both"/>
        <w:rPr>
          <w:bCs/>
          <w:sz w:val="20"/>
          <w:szCs w:val="20"/>
        </w:rPr>
      </w:pPr>
      <w:r w:rsidRPr="006202F2">
        <w:rPr>
          <w:rFonts w:asciiTheme="majorHAnsi" w:hAnsiTheme="majorHAnsi"/>
          <w:sz w:val="20"/>
          <w:szCs w:val="20"/>
        </w:rPr>
        <w:t xml:space="preserve">The petitioners </w:t>
      </w:r>
      <w:r w:rsidR="000369D0">
        <w:rPr>
          <w:rFonts w:asciiTheme="majorHAnsi" w:hAnsiTheme="majorHAnsi"/>
          <w:sz w:val="20"/>
          <w:szCs w:val="20"/>
        </w:rPr>
        <w:t>allege</w:t>
      </w:r>
      <w:r w:rsidRPr="006202F2">
        <w:rPr>
          <w:rFonts w:asciiTheme="majorHAnsi" w:hAnsiTheme="majorHAnsi"/>
          <w:sz w:val="20"/>
          <w:szCs w:val="20"/>
        </w:rPr>
        <w:t xml:space="preserve"> that </w:t>
      </w:r>
      <w:proofErr w:type="spellStart"/>
      <w:r w:rsidRPr="006202F2">
        <w:rPr>
          <w:bCs/>
          <w:sz w:val="20"/>
          <w:szCs w:val="20"/>
        </w:rPr>
        <w:t>Amanie</w:t>
      </w:r>
      <w:proofErr w:type="spellEnd"/>
      <w:r w:rsidRPr="006202F2">
        <w:rPr>
          <w:bCs/>
          <w:sz w:val="20"/>
          <w:szCs w:val="20"/>
        </w:rPr>
        <w:t xml:space="preserve"> </w:t>
      </w:r>
      <w:proofErr w:type="spellStart"/>
      <w:r w:rsidRPr="006202F2">
        <w:rPr>
          <w:bCs/>
          <w:sz w:val="20"/>
          <w:szCs w:val="20"/>
        </w:rPr>
        <w:t>Wedderburn</w:t>
      </w:r>
      <w:proofErr w:type="spellEnd"/>
      <w:r w:rsidRPr="006202F2">
        <w:rPr>
          <w:bCs/>
          <w:sz w:val="20"/>
          <w:szCs w:val="20"/>
        </w:rPr>
        <w:t xml:space="preserve"> was 14 years old when he was shot by </w:t>
      </w:r>
      <w:r w:rsidR="006202F2" w:rsidRPr="006202F2">
        <w:rPr>
          <w:bCs/>
          <w:sz w:val="20"/>
          <w:szCs w:val="20"/>
        </w:rPr>
        <w:t xml:space="preserve">Constable </w:t>
      </w:r>
      <w:r w:rsidRPr="006202F2">
        <w:rPr>
          <w:bCs/>
          <w:sz w:val="20"/>
          <w:szCs w:val="20"/>
        </w:rPr>
        <w:t>Vernon Ellis, a member of the Jamaica Constabulary Force</w:t>
      </w:r>
      <w:r w:rsidR="00A45D65">
        <w:rPr>
          <w:bCs/>
          <w:sz w:val="20"/>
          <w:szCs w:val="20"/>
        </w:rPr>
        <w:t>,</w:t>
      </w:r>
      <w:r w:rsidRPr="006202F2">
        <w:rPr>
          <w:bCs/>
          <w:sz w:val="20"/>
          <w:szCs w:val="20"/>
        </w:rPr>
        <w:t xml:space="preserve"> on May 2, 2003. They explain that the </w:t>
      </w:r>
      <w:r w:rsidR="00322038" w:rsidRPr="006202F2">
        <w:rPr>
          <w:bCs/>
          <w:sz w:val="20"/>
          <w:szCs w:val="20"/>
        </w:rPr>
        <w:t xml:space="preserve">alleged </w:t>
      </w:r>
      <w:r w:rsidRPr="006202F2">
        <w:rPr>
          <w:bCs/>
          <w:sz w:val="20"/>
          <w:szCs w:val="20"/>
        </w:rPr>
        <w:t xml:space="preserve">victim was </w:t>
      </w:r>
      <w:r w:rsidR="00F65288">
        <w:rPr>
          <w:bCs/>
          <w:sz w:val="20"/>
          <w:szCs w:val="20"/>
        </w:rPr>
        <w:t xml:space="preserve">out </w:t>
      </w:r>
      <w:r w:rsidRPr="006202F2">
        <w:rPr>
          <w:bCs/>
          <w:sz w:val="20"/>
          <w:szCs w:val="20"/>
        </w:rPr>
        <w:t xml:space="preserve">with his friend Tarik </w:t>
      </w:r>
      <w:proofErr w:type="spellStart"/>
      <w:r w:rsidRPr="006202F2">
        <w:rPr>
          <w:bCs/>
          <w:sz w:val="20"/>
          <w:szCs w:val="20"/>
        </w:rPr>
        <w:t>Ergas</w:t>
      </w:r>
      <w:proofErr w:type="spellEnd"/>
      <w:r w:rsidRPr="006202F2">
        <w:rPr>
          <w:bCs/>
          <w:sz w:val="20"/>
          <w:szCs w:val="20"/>
        </w:rPr>
        <w:t xml:space="preserve"> when they were approached by two uniformed police officers, </w:t>
      </w:r>
      <w:r w:rsidRPr="006202F2">
        <w:rPr>
          <w:bCs/>
          <w:sz w:val="20"/>
          <w:szCs w:val="20"/>
        </w:rPr>
        <w:lastRenderedPageBreak/>
        <w:t xml:space="preserve">Corporal Nathaniel Dixon and Constable Winsome Wright. </w:t>
      </w:r>
      <w:r w:rsidR="006202F2">
        <w:rPr>
          <w:bCs/>
          <w:sz w:val="20"/>
          <w:szCs w:val="20"/>
        </w:rPr>
        <w:t xml:space="preserve">Corporal Dixon allegedly grabbed Tarik by the collar and </w:t>
      </w:r>
      <w:r w:rsidR="006202F2" w:rsidRPr="002A4D64">
        <w:rPr>
          <w:bCs/>
          <w:sz w:val="20"/>
          <w:szCs w:val="20"/>
        </w:rPr>
        <w:t xml:space="preserve">accused </w:t>
      </w:r>
      <w:r w:rsidR="006202F2">
        <w:rPr>
          <w:bCs/>
          <w:sz w:val="20"/>
          <w:szCs w:val="20"/>
        </w:rPr>
        <w:t>him</w:t>
      </w:r>
      <w:r w:rsidR="006202F2" w:rsidRPr="002A4D64">
        <w:rPr>
          <w:bCs/>
          <w:sz w:val="20"/>
          <w:szCs w:val="20"/>
        </w:rPr>
        <w:t xml:space="preserve"> of </w:t>
      </w:r>
      <w:r w:rsidR="00A45D65">
        <w:rPr>
          <w:bCs/>
          <w:sz w:val="20"/>
          <w:szCs w:val="20"/>
        </w:rPr>
        <w:t>having</w:t>
      </w:r>
      <w:r w:rsidR="00173C6A">
        <w:rPr>
          <w:bCs/>
          <w:sz w:val="20"/>
          <w:szCs w:val="20"/>
        </w:rPr>
        <w:t>,</w:t>
      </w:r>
      <w:r w:rsidR="00A45D65">
        <w:rPr>
          <w:bCs/>
          <w:sz w:val="20"/>
          <w:szCs w:val="20"/>
        </w:rPr>
        <w:t xml:space="preserve"> </w:t>
      </w:r>
      <w:r w:rsidR="009A5E79" w:rsidRPr="00173C6A">
        <w:rPr>
          <w:bCs/>
          <w:sz w:val="20"/>
          <w:szCs w:val="20"/>
        </w:rPr>
        <w:t>earlier</w:t>
      </w:r>
      <w:r w:rsidR="00173C6A">
        <w:rPr>
          <w:bCs/>
          <w:sz w:val="20"/>
          <w:szCs w:val="20"/>
        </w:rPr>
        <w:t xml:space="preserve"> that </w:t>
      </w:r>
      <w:r w:rsidR="00A54714">
        <w:rPr>
          <w:bCs/>
          <w:sz w:val="20"/>
          <w:szCs w:val="20"/>
        </w:rPr>
        <w:t xml:space="preserve">same </w:t>
      </w:r>
      <w:r w:rsidR="00173C6A">
        <w:rPr>
          <w:bCs/>
          <w:sz w:val="20"/>
          <w:szCs w:val="20"/>
        </w:rPr>
        <w:t>day,</w:t>
      </w:r>
      <w:r w:rsidR="009A5E79">
        <w:rPr>
          <w:bCs/>
          <w:sz w:val="20"/>
          <w:szCs w:val="20"/>
        </w:rPr>
        <w:t xml:space="preserve"> </w:t>
      </w:r>
      <w:r w:rsidR="00A45D65">
        <w:rPr>
          <w:bCs/>
          <w:sz w:val="20"/>
          <w:szCs w:val="20"/>
        </w:rPr>
        <w:t>troubled</w:t>
      </w:r>
      <w:r w:rsidR="00A45D65" w:rsidRPr="002A4D64">
        <w:rPr>
          <w:bCs/>
          <w:sz w:val="20"/>
          <w:szCs w:val="20"/>
        </w:rPr>
        <w:t xml:space="preserve"> </w:t>
      </w:r>
      <w:r w:rsidR="006202F2" w:rsidRPr="002A4D64">
        <w:rPr>
          <w:bCs/>
          <w:sz w:val="20"/>
          <w:szCs w:val="20"/>
        </w:rPr>
        <w:t xml:space="preserve">a fruit vendor, </w:t>
      </w:r>
      <w:r w:rsidR="006202F2">
        <w:rPr>
          <w:bCs/>
          <w:sz w:val="20"/>
          <w:szCs w:val="20"/>
        </w:rPr>
        <w:t>which he</w:t>
      </w:r>
      <w:r w:rsidR="006202F2" w:rsidRPr="002A4D64">
        <w:rPr>
          <w:bCs/>
          <w:sz w:val="20"/>
          <w:szCs w:val="20"/>
        </w:rPr>
        <w:t xml:space="preserve"> denied. </w:t>
      </w:r>
      <w:r w:rsidR="006202F2">
        <w:rPr>
          <w:bCs/>
          <w:sz w:val="20"/>
          <w:szCs w:val="20"/>
        </w:rPr>
        <w:t>A</w:t>
      </w:r>
      <w:r w:rsidR="006202F2" w:rsidRPr="002A4D64">
        <w:rPr>
          <w:bCs/>
          <w:sz w:val="20"/>
          <w:szCs w:val="20"/>
        </w:rPr>
        <w:t xml:space="preserve"> crowd of people </w:t>
      </w:r>
      <w:r w:rsidR="006202F2">
        <w:rPr>
          <w:bCs/>
          <w:sz w:val="20"/>
          <w:szCs w:val="20"/>
        </w:rPr>
        <w:t xml:space="preserve">then </w:t>
      </w:r>
      <w:r w:rsidR="006202F2" w:rsidRPr="002A4D64">
        <w:rPr>
          <w:bCs/>
          <w:sz w:val="20"/>
          <w:szCs w:val="20"/>
        </w:rPr>
        <w:t xml:space="preserve">gathered and </w:t>
      </w:r>
      <w:r w:rsidR="006202F2">
        <w:rPr>
          <w:bCs/>
          <w:sz w:val="20"/>
          <w:szCs w:val="20"/>
        </w:rPr>
        <w:t xml:space="preserve">many </w:t>
      </w:r>
      <w:r w:rsidR="006202F2" w:rsidRPr="002A4D64">
        <w:rPr>
          <w:bCs/>
          <w:sz w:val="20"/>
          <w:szCs w:val="20"/>
        </w:rPr>
        <w:t xml:space="preserve">explained </w:t>
      </w:r>
      <w:r w:rsidR="006202F2">
        <w:rPr>
          <w:bCs/>
          <w:sz w:val="20"/>
          <w:szCs w:val="20"/>
        </w:rPr>
        <w:t xml:space="preserve">to </w:t>
      </w:r>
      <w:r w:rsidR="006202F2" w:rsidRPr="002A4D64">
        <w:rPr>
          <w:bCs/>
          <w:sz w:val="20"/>
          <w:szCs w:val="20"/>
        </w:rPr>
        <w:t>the officers that Tarik wasn’t involve</w:t>
      </w:r>
      <w:r w:rsidR="006202F2">
        <w:rPr>
          <w:bCs/>
          <w:sz w:val="20"/>
          <w:szCs w:val="20"/>
        </w:rPr>
        <w:t>d</w:t>
      </w:r>
      <w:r w:rsidR="006202F2" w:rsidRPr="002A4D64">
        <w:rPr>
          <w:bCs/>
          <w:sz w:val="20"/>
          <w:szCs w:val="20"/>
        </w:rPr>
        <w:t xml:space="preserve"> in </w:t>
      </w:r>
      <w:r w:rsidR="006202F2">
        <w:rPr>
          <w:bCs/>
          <w:sz w:val="20"/>
          <w:szCs w:val="20"/>
        </w:rPr>
        <w:t xml:space="preserve">any </w:t>
      </w:r>
      <w:r w:rsidR="002F32E3">
        <w:rPr>
          <w:bCs/>
          <w:sz w:val="20"/>
          <w:szCs w:val="20"/>
        </w:rPr>
        <w:t>wrongdoing</w:t>
      </w:r>
      <w:r w:rsidR="006202F2">
        <w:rPr>
          <w:bCs/>
          <w:sz w:val="20"/>
          <w:szCs w:val="20"/>
        </w:rPr>
        <w:t>;</w:t>
      </w:r>
      <w:r w:rsidR="006202F2" w:rsidRPr="002A4D64">
        <w:rPr>
          <w:bCs/>
          <w:sz w:val="20"/>
          <w:szCs w:val="20"/>
        </w:rPr>
        <w:t xml:space="preserve"> </w:t>
      </w:r>
      <w:r w:rsidR="005E0DD7">
        <w:rPr>
          <w:bCs/>
          <w:sz w:val="20"/>
          <w:szCs w:val="20"/>
        </w:rPr>
        <w:t>this</w:t>
      </w:r>
      <w:r w:rsidR="006202F2">
        <w:rPr>
          <w:bCs/>
          <w:sz w:val="20"/>
          <w:szCs w:val="20"/>
        </w:rPr>
        <w:t xml:space="preserve"> was confirmed by the fruit vendor himself</w:t>
      </w:r>
      <w:r w:rsidR="006202F2" w:rsidRPr="002A4D64">
        <w:rPr>
          <w:bCs/>
          <w:sz w:val="20"/>
          <w:szCs w:val="20"/>
        </w:rPr>
        <w:t>.</w:t>
      </w:r>
      <w:r w:rsidR="006202F2">
        <w:rPr>
          <w:bCs/>
          <w:sz w:val="20"/>
          <w:szCs w:val="20"/>
        </w:rPr>
        <w:t xml:space="preserve"> </w:t>
      </w:r>
      <w:r w:rsidR="00FE0920">
        <w:rPr>
          <w:bCs/>
          <w:sz w:val="20"/>
          <w:szCs w:val="20"/>
        </w:rPr>
        <w:t>However, w</w:t>
      </w:r>
      <w:r w:rsidR="006202F2">
        <w:rPr>
          <w:bCs/>
          <w:sz w:val="20"/>
          <w:szCs w:val="20"/>
        </w:rPr>
        <w:t>hen Tarik swore at the police officers, Corporal Dixon grabbed him again and told him he was taking him to the police station, to which Tarik offered resistance. In the meantime</w:t>
      </w:r>
      <w:r w:rsidR="006202F2" w:rsidRPr="00630AF5">
        <w:rPr>
          <w:bCs/>
          <w:sz w:val="20"/>
          <w:szCs w:val="20"/>
        </w:rPr>
        <w:t>, Constable Vernon Ellis arrived at the scene, where he was updated on the situation</w:t>
      </w:r>
      <w:r w:rsidR="006202F2">
        <w:rPr>
          <w:bCs/>
          <w:sz w:val="20"/>
          <w:szCs w:val="20"/>
        </w:rPr>
        <w:t>. When</w:t>
      </w:r>
      <w:r w:rsidR="006202F2" w:rsidRPr="00630AF5">
        <w:rPr>
          <w:bCs/>
          <w:sz w:val="20"/>
          <w:szCs w:val="20"/>
        </w:rPr>
        <w:t xml:space="preserve"> Constable Ellis tried to pull Tarik into the patrol jeep</w:t>
      </w:r>
      <w:r w:rsidR="006202F2">
        <w:rPr>
          <w:bCs/>
          <w:sz w:val="20"/>
          <w:szCs w:val="20"/>
        </w:rPr>
        <w:t>,</w:t>
      </w:r>
      <w:r w:rsidR="006202F2" w:rsidRPr="00630AF5">
        <w:rPr>
          <w:bCs/>
          <w:sz w:val="20"/>
          <w:szCs w:val="20"/>
        </w:rPr>
        <w:t xml:space="preserve"> grabbing him by the waist, </w:t>
      </w:r>
      <w:r w:rsidR="006202F2">
        <w:rPr>
          <w:bCs/>
          <w:sz w:val="20"/>
          <w:szCs w:val="20"/>
        </w:rPr>
        <w:t xml:space="preserve">the latter resisted, helped by some of his friends, </w:t>
      </w:r>
      <w:r w:rsidR="00A54714">
        <w:rPr>
          <w:bCs/>
          <w:sz w:val="20"/>
          <w:szCs w:val="20"/>
        </w:rPr>
        <w:t>not including</w:t>
      </w:r>
      <w:r w:rsidR="006202F2">
        <w:rPr>
          <w:bCs/>
          <w:sz w:val="20"/>
          <w:szCs w:val="20"/>
        </w:rPr>
        <w:t xml:space="preserve"> </w:t>
      </w:r>
      <w:proofErr w:type="spellStart"/>
      <w:r w:rsidR="006202F2" w:rsidRPr="00074961">
        <w:rPr>
          <w:bCs/>
          <w:sz w:val="20"/>
          <w:szCs w:val="20"/>
        </w:rPr>
        <w:t>Amanie</w:t>
      </w:r>
      <w:proofErr w:type="spellEnd"/>
      <w:r w:rsidR="006202F2" w:rsidRPr="00074961">
        <w:rPr>
          <w:bCs/>
          <w:sz w:val="20"/>
          <w:szCs w:val="20"/>
        </w:rPr>
        <w:t xml:space="preserve"> </w:t>
      </w:r>
      <w:proofErr w:type="spellStart"/>
      <w:r w:rsidR="006202F2" w:rsidRPr="00074961">
        <w:rPr>
          <w:bCs/>
          <w:sz w:val="20"/>
          <w:szCs w:val="20"/>
        </w:rPr>
        <w:t>Wedderburn</w:t>
      </w:r>
      <w:proofErr w:type="spellEnd"/>
      <w:r w:rsidR="006202F2">
        <w:rPr>
          <w:bCs/>
          <w:sz w:val="20"/>
          <w:szCs w:val="20"/>
        </w:rPr>
        <w:t>.</w:t>
      </w:r>
      <w:r w:rsidR="006202F2" w:rsidRPr="00074961">
        <w:rPr>
          <w:bCs/>
          <w:sz w:val="20"/>
          <w:szCs w:val="20"/>
        </w:rPr>
        <w:t xml:space="preserve"> Constable Ellis</w:t>
      </w:r>
      <w:r w:rsidR="006202F2">
        <w:rPr>
          <w:bCs/>
          <w:sz w:val="20"/>
          <w:szCs w:val="20"/>
        </w:rPr>
        <w:t xml:space="preserve"> then</w:t>
      </w:r>
      <w:r w:rsidR="006202F2" w:rsidRPr="00074961">
        <w:rPr>
          <w:bCs/>
          <w:sz w:val="20"/>
          <w:szCs w:val="20"/>
        </w:rPr>
        <w:t xml:space="preserve"> detonated his firearm towards the crowd of people, which resulted in the death of </w:t>
      </w:r>
      <w:proofErr w:type="spellStart"/>
      <w:r w:rsidR="006202F2" w:rsidRPr="00074961">
        <w:rPr>
          <w:bCs/>
          <w:sz w:val="20"/>
          <w:szCs w:val="20"/>
        </w:rPr>
        <w:t>Amanie</w:t>
      </w:r>
      <w:proofErr w:type="spellEnd"/>
      <w:r w:rsidR="006202F2" w:rsidRPr="00074961">
        <w:rPr>
          <w:bCs/>
          <w:sz w:val="20"/>
          <w:szCs w:val="20"/>
        </w:rPr>
        <w:t xml:space="preserve"> </w:t>
      </w:r>
      <w:proofErr w:type="spellStart"/>
      <w:r w:rsidR="006202F2" w:rsidRPr="00074961">
        <w:rPr>
          <w:bCs/>
          <w:sz w:val="20"/>
          <w:szCs w:val="20"/>
        </w:rPr>
        <w:t>Wedderburn</w:t>
      </w:r>
      <w:proofErr w:type="spellEnd"/>
      <w:r w:rsidR="006202F2">
        <w:rPr>
          <w:bCs/>
          <w:sz w:val="20"/>
          <w:szCs w:val="20"/>
        </w:rPr>
        <w:t>,</w:t>
      </w:r>
      <w:r w:rsidR="006202F2" w:rsidRPr="00074961">
        <w:rPr>
          <w:bCs/>
          <w:sz w:val="20"/>
          <w:szCs w:val="20"/>
        </w:rPr>
        <w:t xml:space="preserve"> who was hit in the head by the bullet. </w:t>
      </w:r>
      <w:r w:rsidR="006202F2">
        <w:rPr>
          <w:bCs/>
          <w:sz w:val="20"/>
          <w:szCs w:val="20"/>
        </w:rPr>
        <w:t>T</w:t>
      </w:r>
      <w:r w:rsidR="006202F2" w:rsidRPr="00074961">
        <w:rPr>
          <w:bCs/>
          <w:sz w:val="20"/>
          <w:szCs w:val="20"/>
        </w:rPr>
        <w:t>he crowd</w:t>
      </w:r>
      <w:r w:rsidR="006202F2">
        <w:rPr>
          <w:bCs/>
          <w:sz w:val="20"/>
          <w:szCs w:val="20"/>
        </w:rPr>
        <w:t xml:space="preserve"> then</w:t>
      </w:r>
      <w:r w:rsidR="006202F2" w:rsidRPr="00074961">
        <w:rPr>
          <w:bCs/>
          <w:sz w:val="20"/>
          <w:szCs w:val="20"/>
        </w:rPr>
        <w:t xml:space="preserve"> started to throw stones and shells </w:t>
      </w:r>
      <w:r w:rsidR="006202F2">
        <w:rPr>
          <w:bCs/>
          <w:sz w:val="20"/>
          <w:szCs w:val="20"/>
        </w:rPr>
        <w:t>at</w:t>
      </w:r>
      <w:r w:rsidR="006202F2" w:rsidRPr="00074961">
        <w:rPr>
          <w:bCs/>
          <w:sz w:val="20"/>
          <w:szCs w:val="20"/>
        </w:rPr>
        <w:t xml:space="preserve"> the officers, who promptly got into their vehicles and drove off.  </w:t>
      </w:r>
    </w:p>
    <w:p w14:paraId="2E647EE4" w14:textId="77777777" w:rsidR="006202F2" w:rsidRDefault="006202F2" w:rsidP="006202F2">
      <w:pPr>
        <w:pStyle w:val="ListParagraph"/>
        <w:numPr>
          <w:ilvl w:val="0"/>
          <w:numId w:val="108"/>
        </w:numPr>
        <w:spacing w:before="120" w:after="120"/>
        <w:ind w:left="0" w:firstLine="720"/>
        <w:jc w:val="both"/>
        <w:rPr>
          <w:bCs/>
          <w:sz w:val="20"/>
          <w:szCs w:val="20"/>
        </w:rPr>
      </w:pPr>
      <w:r>
        <w:rPr>
          <w:bCs/>
          <w:sz w:val="20"/>
          <w:szCs w:val="20"/>
        </w:rPr>
        <w:t xml:space="preserve">The petitioners indicate that the Bureau of Special Investigations conducted an inquiry into </w:t>
      </w:r>
      <w:proofErr w:type="spellStart"/>
      <w:r>
        <w:rPr>
          <w:bCs/>
          <w:sz w:val="20"/>
          <w:szCs w:val="20"/>
        </w:rPr>
        <w:t>Amanie’s</w:t>
      </w:r>
      <w:proofErr w:type="spellEnd"/>
      <w:r>
        <w:rPr>
          <w:bCs/>
          <w:sz w:val="20"/>
          <w:szCs w:val="20"/>
        </w:rPr>
        <w:t xml:space="preserve"> death and eventually forwarded the case file to the Coroner’s Court. On May 20, 2004, eleven witnesses testified in court about what happened the night of the shooting, all corroborating Tarik’s account. For its part, the </w:t>
      </w:r>
      <w:r w:rsidRPr="002A4D64">
        <w:rPr>
          <w:bCs/>
          <w:sz w:val="20"/>
          <w:szCs w:val="20"/>
        </w:rPr>
        <w:t>Jamaica Constabulary Force</w:t>
      </w:r>
      <w:r>
        <w:rPr>
          <w:bCs/>
          <w:sz w:val="20"/>
          <w:szCs w:val="20"/>
        </w:rPr>
        <w:t xml:space="preserve"> alleged that </w:t>
      </w:r>
      <w:proofErr w:type="spellStart"/>
      <w:r>
        <w:rPr>
          <w:bCs/>
          <w:sz w:val="20"/>
          <w:szCs w:val="20"/>
        </w:rPr>
        <w:t>Amanie</w:t>
      </w:r>
      <w:proofErr w:type="spellEnd"/>
      <w:r>
        <w:rPr>
          <w:bCs/>
          <w:sz w:val="20"/>
          <w:szCs w:val="20"/>
        </w:rPr>
        <w:t xml:space="preserve"> was killed by an unknown third person when an assailant tried to steal </w:t>
      </w:r>
      <w:r w:rsidRPr="002A4D64">
        <w:rPr>
          <w:bCs/>
          <w:sz w:val="20"/>
          <w:szCs w:val="20"/>
        </w:rPr>
        <w:t>Constable Ellis</w:t>
      </w:r>
      <w:r>
        <w:rPr>
          <w:bCs/>
          <w:sz w:val="20"/>
          <w:szCs w:val="20"/>
        </w:rPr>
        <w:t>’s gun during a confrontation with the crowd.</w:t>
      </w:r>
      <w:r w:rsidRPr="00295456">
        <w:rPr>
          <w:bCs/>
          <w:sz w:val="20"/>
          <w:szCs w:val="20"/>
        </w:rPr>
        <w:t xml:space="preserve"> </w:t>
      </w:r>
      <w:r>
        <w:rPr>
          <w:bCs/>
          <w:sz w:val="20"/>
          <w:szCs w:val="20"/>
        </w:rPr>
        <w:t xml:space="preserve">On June 3, 2004, the jury found that </w:t>
      </w:r>
      <w:r w:rsidRPr="002A4D64">
        <w:rPr>
          <w:bCs/>
          <w:sz w:val="20"/>
          <w:szCs w:val="20"/>
        </w:rPr>
        <w:t>Constable Ellis</w:t>
      </w:r>
      <w:r>
        <w:rPr>
          <w:bCs/>
          <w:sz w:val="20"/>
          <w:szCs w:val="20"/>
        </w:rPr>
        <w:t xml:space="preserve"> should be charged with the murder of </w:t>
      </w:r>
      <w:proofErr w:type="spellStart"/>
      <w:r>
        <w:rPr>
          <w:bCs/>
          <w:sz w:val="20"/>
          <w:szCs w:val="20"/>
        </w:rPr>
        <w:t>Amanie</w:t>
      </w:r>
      <w:proofErr w:type="spellEnd"/>
      <w:r>
        <w:rPr>
          <w:bCs/>
          <w:sz w:val="20"/>
          <w:szCs w:val="20"/>
        </w:rPr>
        <w:t xml:space="preserve"> </w:t>
      </w:r>
      <w:proofErr w:type="spellStart"/>
      <w:r>
        <w:rPr>
          <w:bCs/>
          <w:sz w:val="20"/>
          <w:szCs w:val="20"/>
        </w:rPr>
        <w:t>Wedderburn</w:t>
      </w:r>
      <w:proofErr w:type="spellEnd"/>
      <w:r>
        <w:rPr>
          <w:bCs/>
          <w:sz w:val="20"/>
          <w:szCs w:val="20"/>
        </w:rPr>
        <w:t>.</w:t>
      </w:r>
    </w:p>
    <w:p w14:paraId="4209897D" w14:textId="0EFD52A4" w:rsidR="006202F2" w:rsidRDefault="00A74E75" w:rsidP="006202F2">
      <w:pPr>
        <w:pStyle w:val="ListParagraph"/>
        <w:numPr>
          <w:ilvl w:val="0"/>
          <w:numId w:val="108"/>
        </w:numPr>
        <w:spacing w:before="120" w:after="120"/>
        <w:ind w:left="0" w:firstLine="720"/>
        <w:jc w:val="both"/>
        <w:rPr>
          <w:bCs/>
          <w:sz w:val="20"/>
          <w:szCs w:val="20"/>
        </w:rPr>
      </w:pPr>
      <w:r w:rsidRPr="00E15663">
        <w:rPr>
          <w:bCs/>
          <w:sz w:val="20"/>
          <w:szCs w:val="20"/>
        </w:rPr>
        <w:t xml:space="preserve">The petitioners </w:t>
      </w:r>
      <w:r w:rsidR="00C17D47">
        <w:rPr>
          <w:bCs/>
          <w:sz w:val="20"/>
          <w:szCs w:val="20"/>
        </w:rPr>
        <w:t>allege</w:t>
      </w:r>
      <w:r w:rsidRPr="00E15663">
        <w:rPr>
          <w:bCs/>
          <w:sz w:val="20"/>
          <w:szCs w:val="20"/>
        </w:rPr>
        <w:t xml:space="preserve"> </w:t>
      </w:r>
      <w:r>
        <w:rPr>
          <w:bCs/>
          <w:sz w:val="20"/>
          <w:szCs w:val="20"/>
        </w:rPr>
        <w:t xml:space="preserve">that </w:t>
      </w:r>
      <w:r w:rsidRPr="00E15663">
        <w:rPr>
          <w:bCs/>
          <w:sz w:val="20"/>
          <w:szCs w:val="20"/>
        </w:rPr>
        <w:t>before the criminal trial</w:t>
      </w:r>
      <w:r w:rsidR="00531817">
        <w:rPr>
          <w:bCs/>
          <w:sz w:val="20"/>
          <w:szCs w:val="20"/>
        </w:rPr>
        <w:t xml:space="preserve"> </w:t>
      </w:r>
      <w:r w:rsidR="00531817" w:rsidRPr="002F7AAC">
        <w:rPr>
          <w:bCs/>
          <w:sz w:val="20"/>
          <w:szCs w:val="20"/>
        </w:rPr>
        <w:t>even beg</w:t>
      </w:r>
      <w:r w:rsidR="002F7AAC" w:rsidRPr="002F7AAC">
        <w:rPr>
          <w:bCs/>
          <w:sz w:val="20"/>
          <w:szCs w:val="20"/>
        </w:rPr>
        <w:t>an</w:t>
      </w:r>
      <w:r w:rsidRPr="002F7AAC">
        <w:rPr>
          <w:bCs/>
          <w:sz w:val="20"/>
          <w:szCs w:val="20"/>
        </w:rPr>
        <w:t>,</w:t>
      </w:r>
      <w:r w:rsidRPr="00E15663">
        <w:rPr>
          <w:bCs/>
          <w:sz w:val="20"/>
          <w:szCs w:val="20"/>
        </w:rPr>
        <w:t xml:space="preserve"> many witnesses </w:t>
      </w:r>
      <w:r w:rsidR="00531817">
        <w:rPr>
          <w:bCs/>
          <w:sz w:val="20"/>
          <w:szCs w:val="20"/>
        </w:rPr>
        <w:t xml:space="preserve">had </w:t>
      </w:r>
      <w:r w:rsidRPr="00E15663">
        <w:rPr>
          <w:bCs/>
          <w:sz w:val="20"/>
          <w:szCs w:val="20"/>
        </w:rPr>
        <w:t xml:space="preserve">received death threats as a result of their involvement in the case. Such is the case of Eric </w:t>
      </w:r>
      <w:proofErr w:type="spellStart"/>
      <w:r w:rsidRPr="00E15663">
        <w:rPr>
          <w:bCs/>
          <w:sz w:val="20"/>
          <w:szCs w:val="20"/>
        </w:rPr>
        <w:t>Wedderburn</w:t>
      </w:r>
      <w:proofErr w:type="spellEnd"/>
      <w:r w:rsidRPr="00E15663">
        <w:rPr>
          <w:bCs/>
          <w:sz w:val="20"/>
          <w:szCs w:val="20"/>
        </w:rPr>
        <w:t>, who had been the driving force behind the investigation of his nephew’s death, identifying his body, making statements to the police and the press, as well as contacting each of the eyewitnesses and ensuring they would be in court for the trial</w:t>
      </w:r>
      <w:r>
        <w:rPr>
          <w:bCs/>
          <w:sz w:val="20"/>
          <w:szCs w:val="20"/>
        </w:rPr>
        <w:t>; h</w:t>
      </w:r>
      <w:r w:rsidRPr="00E15663">
        <w:rPr>
          <w:bCs/>
          <w:sz w:val="20"/>
          <w:szCs w:val="20"/>
        </w:rPr>
        <w:t>e ignored the threats and continued pus</w:t>
      </w:r>
      <w:r>
        <w:rPr>
          <w:bCs/>
          <w:sz w:val="20"/>
          <w:szCs w:val="20"/>
        </w:rPr>
        <w:t>h</w:t>
      </w:r>
      <w:r w:rsidRPr="00E15663">
        <w:rPr>
          <w:bCs/>
          <w:sz w:val="20"/>
          <w:szCs w:val="20"/>
        </w:rPr>
        <w:t xml:space="preserve">ing the case forward. </w:t>
      </w:r>
      <w:r w:rsidR="00531817">
        <w:rPr>
          <w:bCs/>
          <w:sz w:val="20"/>
          <w:szCs w:val="20"/>
        </w:rPr>
        <w:t>O</w:t>
      </w:r>
      <w:r w:rsidR="006202F2" w:rsidRPr="008E7E63">
        <w:rPr>
          <w:bCs/>
          <w:sz w:val="20"/>
          <w:szCs w:val="20"/>
        </w:rPr>
        <w:t xml:space="preserve">n August 13, 2004, Eric </w:t>
      </w:r>
      <w:proofErr w:type="spellStart"/>
      <w:r w:rsidR="006202F2" w:rsidRPr="008E7E63">
        <w:rPr>
          <w:bCs/>
          <w:sz w:val="20"/>
          <w:szCs w:val="20"/>
        </w:rPr>
        <w:t>Wedderburn</w:t>
      </w:r>
      <w:proofErr w:type="spellEnd"/>
      <w:r w:rsidR="006202F2" w:rsidRPr="008E7E63">
        <w:rPr>
          <w:bCs/>
          <w:sz w:val="20"/>
          <w:szCs w:val="20"/>
        </w:rPr>
        <w:t xml:space="preserve"> called Kingston Police Station to ask why </w:t>
      </w:r>
      <w:r w:rsidR="006202F2" w:rsidRPr="000B7CD4">
        <w:rPr>
          <w:bCs/>
          <w:sz w:val="20"/>
          <w:szCs w:val="20"/>
        </w:rPr>
        <w:t xml:space="preserve">Constable Ellis was still on duty and armed. Five days later, he was shot dead in front of his house by passengers of a white car while he was with an unidentified woman, whom got shot too, but survived. The petitioners </w:t>
      </w:r>
      <w:r w:rsidR="00C17D47">
        <w:rPr>
          <w:bCs/>
          <w:sz w:val="20"/>
          <w:szCs w:val="20"/>
        </w:rPr>
        <w:t>submit</w:t>
      </w:r>
      <w:r w:rsidR="006202F2" w:rsidRPr="000B7CD4">
        <w:rPr>
          <w:bCs/>
          <w:sz w:val="20"/>
          <w:szCs w:val="20"/>
        </w:rPr>
        <w:t xml:space="preserve"> that after this event, it became more difficult to secure the presence and collaboration of the witnesses who appeared at the Coroner’s Inquest as they continued receiving death threats, some of which referr</w:t>
      </w:r>
      <w:r w:rsidR="006E2B95">
        <w:rPr>
          <w:bCs/>
          <w:sz w:val="20"/>
          <w:szCs w:val="20"/>
        </w:rPr>
        <w:t>ing</w:t>
      </w:r>
      <w:r w:rsidR="006202F2" w:rsidRPr="000B7CD4">
        <w:rPr>
          <w:bCs/>
          <w:sz w:val="20"/>
          <w:szCs w:val="20"/>
        </w:rPr>
        <w:t xml:space="preserve"> explicitly to Eric </w:t>
      </w:r>
      <w:proofErr w:type="spellStart"/>
      <w:r w:rsidR="006202F2" w:rsidRPr="000B7CD4">
        <w:rPr>
          <w:bCs/>
          <w:sz w:val="20"/>
          <w:szCs w:val="20"/>
        </w:rPr>
        <w:t>Wedderburn’s</w:t>
      </w:r>
      <w:proofErr w:type="spellEnd"/>
      <w:r w:rsidR="006202F2" w:rsidRPr="000B7CD4">
        <w:rPr>
          <w:bCs/>
          <w:sz w:val="20"/>
          <w:szCs w:val="20"/>
        </w:rPr>
        <w:t xml:space="preserve"> murder. As a result, some of the witnesses expressed fear to appear at trial and others fled the country, including Tarik </w:t>
      </w:r>
      <w:proofErr w:type="spellStart"/>
      <w:r w:rsidR="006202F2" w:rsidRPr="000B7CD4">
        <w:rPr>
          <w:bCs/>
          <w:sz w:val="20"/>
          <w:szCs w:val="20"/>
        </w:rPr>
        <w:t>Ergas</w:t>
      </w:r>
      <w:proofErr w:type="spellEnd"/>
      <w:r w:rsidR="006202F2">
        <w:rPr>
          <w:bCs/>
          <w:sz w:val="20"/>
          <w:szCs w:val="20"/>
        </w:rPr>
        <w:t>.</w:t>
      </w:r>
    </w:p>
    <w:p w14:paraId="7243420E" w14:textId="6EA940CE" w:rsidR="00F0182C" w:rsidRDefault="006202F2" w:rsidP="006202F2">
      <w:pPr>
        <w:pStyle w:val="ListParagraph"/>
        <w:numPr>
          <w:ilvl w:val="0"/>
          <w:numId w:val="108"/>
        </w:numPr>
        <w:spacing w:before="120" w:after="120"/>
        <w:ind w:left="0" w:firstLine="720"/>
        <w:jc w:val="both"/>
        <w:rPr>
          <w:bCs/>
          <w:sz w:val="20"/>
          <w:szCs w:val="20"/>
        </w:rPr>
      </w:pPr>
      <w:r w:rsidRPr="00F0182C">
        <w:rPr>
          <w:bCs/>
          <w:sz w:val="20"/>
          <w:szCs w:val="20"/>
        </w:rPr>
        <w:t xml:space="preserve">On May 1, 2006, when the trial against Constable Ellis began, hardly any witnesses testified. In an effort to introduce Tarik’s written testimony in his absence, his father </w:t>
      </w:r>
      <w:r w:rsidR="004776DF" w:rsidRPr="00F0182C">
        <w:rPr>
          <w:bCs/>
          <w:sz w:val="20"/>
          <w:szCs w:val="20"/>
        </w:rPr>
        <w:t xml:space="preserve">reported </w:t>
      </w:r>
      <w:r w:rsidRPr="00F0182C">
        <w:rPr>
          <w:bCs/>
          <w:sz w:val="20"/>
          <w:szCs w:val="20"/>
        </w:rPr>
        <w:t xml:space="preserve">having received numerous death threats against his son’s life, thus fearing for </w:t>
      </w:r>
      <w:r w:rsidR="004776DF" w:rsidRPr="00F0182C">
        <w:rPr>
          <w:bCs/>
          <w:sz w:val="20"/>
          <w:szCs w:val="20"/>
        </w:rPr>
        <w:t>the life of the latter</w:t>
      </w:r>
      <w:r w:rsidRPr="00F0182C">
        <w:rPr>
          <w:bCs/>
          <w:sz w:val="20"/>
          <w:szCs w:val="20"/>
        </w:rPr>
        <w:t xml:space="preserve"> if he was to testify in person. However, the judge determined that it was not sufficient to meet the standard of “fear on the part of the witnesses” that was necessary to justify the introduction of</w:t>
      </w:r>
      <w:r w:rsidR="000D3E2A" w:rsidRPr="00F0182C">
        <w:rPr>
          <w:bCs/>
          <w:sz w:val="20"/>
          <w:szCs w:val="20"/>
        </w:rPr>
        <w:t xml:space="preserve"> a</w:t>
      </w:r>
      <w:r w:rsidRPr="00F0182C">
        <w:rPr>
          <w:bCs/>
          <w:sz w:val="20"/>
          <w:szCs w:val="20"/>
        </w:rPr>
        <w:t xml:space="preserve"> written testimony. Thus, Tarik </w:t>
      </w:r>
      <w:proofErr w:type="spellStart"/>
      <w:r w:rsidRPr="00F0182C">
        <w:rPr>
          <w:bCs/>
          <w:sz w:val="20"/>
          <w:szCs w:val="20"/>
        </w:rPr>
        <w:t>Ergas</w:t>
      </w:r>
      <w:proofErr w:type="spellEnd"/>
      <w:r w:rsidRPr="00F0182C">
        <w:rPr>
          <w:bCs/>
          <w:sz w:val="20"/>
          <w:szCs w:val="20"/>
        </w:rPr>
        <w:t xml:space="preserve">’ testimony from the Coroner’s </w:t>
      </w:r>
      <w:r w:rsidR="006A0959" w:rsidRPr="00F0182C">
        <w:rPr>
          <w:bCs/>
          <w:sz w:val="20"/>
          <w:szCs w:val="20"/>
        </w:rPr>
        <w:t>i</w:t>
      </w:r>
      <w:r w:rsidRPr="00F0182C">
        <w:rPr>
          <w:bCs/>
          <w:sz w:val="20"/>
          <w:szCs w:val="20"/>
        </w:rPr>
        <w:t xml:space="preserve">nquest wasn’t admitted. The petitioners also submit that Andre Clark, one of the few witnesses who appeared at trial, changed his testimony, </w:t>
      </w:r>
      <w:r w:rsidR="002A0D67">
        <w:rPr>
          <w:bCs/>
          <w:sz w:val="20"/>
          <w:szCs w:val="20"/>
        </w:rPr>
        <w:t>hence</w:t>
      </w:r>
      <w:r w:rsidRPr="00F0182C">
        <w:rPr>
          <w:bCs/>
          <w:sz w:val="20"/>
          <w:szCs w:val="20"/>
        </w:rPr>
        <w:t xml:space="preserve"> perjuring himself on the stand – Clark was eventually charged and jailed. Upon his release, the trial judge recognized how fear could be a pervasive factor in Jamaica. After a ten day trial, on May 11, 2006, the jury returned a verdict of “not guilty” of the murder of </w:t>
      </w:r>
      <w:proofErr w:type="spellStart"/>
      <w:r w:rsidRPr="00F0182C">
        <w:rPr>
          <w:bCs/>
          <w:sz w:val="20"/>
          <w:szCs w:val="20"/>
        </w:rPr>
        <w:t>Amanie</w:t>
      </w:r>
      <w:proofErr w:type="spellEnd"/>
      <w:r w:rsidRPr="00F0182C">
        <w:rPr>
          <w:bCs/>
          <w:sz w:val="20"/>
          <w:szCs w:val="20"/>
        </w:rPr>
        <w:t xml:space="preserve"> </w:t>
      </w:r>
      <w:proofErr w:type="spellStart"/>
      <w:r w:rsidRPr="00F0182C">
        <w:rPr>
          <w:bCs/>
          <w:sz w:val="20"/>
          <w:szCs w:val="20"/>
        </w:rPr>
        <w:t>Wedderburn</w:t>
      </w:r>
      <w:proofErr w:type="spellEnd"/>
      <w:r w:rsidRPr="00F0182C">
        <w:rPr>
          <w:bCs/>
          <w:sz w:val="20"/>
          <w:szCs w:val="20"/>
        </w:rPr>
        <w:t>, in front of a courtroom filled with police officers. The petitioners indicate that under the circumstances, the prosecution did not appeal</w:t>
      </w:r>
      <w:r w:rsidR="00F0182C">
        <w:rPr>
          <w:bCs/>
          <w:sz w:val="20"/>
          <w:szCs w:val="20"/>
        </w:rPr>
        <w:t>.</w:t>
      </w:r>
    </w:p>
    <w:p w14:paraId="5560CB30" w14:textId="194A0A00" w:rsidR="006202F2" w:rsidRPr="00F0182C" w:rsidRDefault="006202F2" w:rsidP="006202F2">
      <w:pPr>
        <w:pStyle w:val="ListParagraph"/>
        <w:numPr>
          <w:ilvl w:val="0"/>
          <w:numId w:val="108"/>
        </w:numPr>
        <w:spacing w:before="120" w:after="120"/>
        <w:ind w:left="0" w:firstLine="720"/>
        <w:jc w:val="both"/>
        <w:rPr>
          <w:bCs/>
          <w:sz w:val="20"/>
          <w:szCs w:val="20"/>
        </w:rPr>
      </w:pPr>
      <w:r w:rsidRPr="00F0182C">
        <w:rPr>
          <w:bCs/>
          <w:sz w:val="20"/>
          <w:szCs w:val="20"/>
        </w:rPr>
        <w:t xml:space="preserve">As for Eric </w:t>
      </w:r>
      <w:proofErr w:type="spellStart"/>
      <w:r w:rsidRPr="00F0182C">
        <w:rPr>
          <w:bCs/>
          <w:sz w:val="20"/>
          <w:szCs w:val="20"/>
        </w:rPr>
        <w:t>Wedderburn</w:t>
      </w:r>
      <w:proofErr w:type="spellEnd"/>
      <w:r w:rsidRPr="00F0182C">
        <w:rPr>
          <w:bCs/>
          <w:sz w:val="20"/>
          <w:szCs w:val="20"/>
        </w:rPr>
        <w:t xml:space="preserve">, the petitioners allege that the Negril Police failed to investigate or charge anyone in connection with his murder. </w:t>
      </w:r>
    </w:p>
    <w:p w14:paraId="42E141DC" w14:textId="30106CD9" w:rsidR="006202F2" w:rsidRPr="005E2C83" w:rsidRDefault="006202F2" w:rsidP="006202F2">
      <w:pPr>
        <w:pStyle w:val="ListParagraph"/>
        <w:numPr>
          <w:ilvl w:val="0"/>
          <w:numId w:val="108"/>
        </w:numPr>
        <w:spacing w:before="120" w:after="120"/>
        <w:ind w:left="0" w:firstLine="720"/>
        <w:jc w:val="both"/>
        <w:rPr>
          <w:bCs/>
          <w:sz w:val="20"/>
          <w:szCs w:val="20"/>
        </w:rPr>
      </w:pPr>
      <w:r>
        <w:rPr>
          <w:bCs/>
          <w:sz w:val="20"/>
          <w:szCs w:val="20"/>
        </w:rPr>
        <w:t xml:space="preserve">The petitioners contend that in light of the extensive data confirming the ineffectiveness of the criminal justice system in Jamaica, especially with respect to </w:t>
      </w:r>
      <w:r w:rsidR="00F8797E">
        <w:rPr>
          <w:bCs/>
          <w:sz w:val="20"/>
          <w:szCs w:val="20"/>
        </w:rPr>
        <w:t xml:space="preserve">unlawful </w:t>
      </w:r>
      <w:r>
        <w:rPr>
          <w:bCs/>
          <w:sz w:val="20"/>
          <w:szCs w:val="20"/>
        </w:rPr>
        <w:t xml:space="preserve">police killings, the internal remedies are not an </w:t>
      </w:r>
      <w:r w:rsidR="007136AB" w:rsidRPr="004776DF">
        <w:rPr>
          <w:bCs/>
          <w:sz w:val="20"/>
          <w:szCs w:val="20"/>
        </w:rPr>
        <w:t>adequate</w:t>
      </w:r>
      <w:r w:rsidR="007136AB">
        <w:rPr>
          <w:bCs/>
          <w:sz w:val="20"/>
          <w:szCs w:val="20"/>
        </w:rPr>
        <w:t xml:space="preserve"> </w:t>
      </w:r>
      <w:r>
        <w:rPr>
          <w:bCs/>
          <w:sz w:val="20"/>
          <w:szCs w:val="20"/>
        </w:rPr>
        <w:t>response to the grave violations of human rights suffered by the alleged victims. They</w:t>
      </w:r>
      <w:r w:rsidRPr="005E2C83">
        <w:rPr>
          <w:bCs/>
          <w:sz w:val="20"/>
          <w:szCs w:val="20"/>
        </w:rPr>
        <w:t xml:space="preserve"> </w:t>
      </w:r>
      <w:r>
        <w:rPr>
          <w:bCs/>
          <w:sz w:val="20"/>
          <w:szCs w:val="20"/>
        </w:rPr>
        <w:t>refer to a report from the OAS where it was observed that impunity for unlawful police killings in Jamaica was almost absolute, denouncing a “pattern whereby a disproportionately large number of killings are associated with the State’s security forces, but where very few prosecutions have been undertaken in relation to those killings”</w:t>
      </w:r>
      <w:r>
        <w:rPr>
          <w:rStyle w:val="FootnoteReference"/>
          <w:bCs/>
          <w:sz w:val="20"/>
          <w:szCs w:val="20"/>
        </w:rPr>
        <w:footnoteReference w:id="5"/>
      </w:r>
      <w:r>
        <w:rPr>
          <w:bCs/>
          <w:sz w:val="20"/>
          <w:szCs w:val="20"/>
        </w:rPr>
        <w:t>.</w:t>
      </w:r>
      <w:r w:rsidRPr="005E2C83">
        <w:rPr>
          <w:bCs/>
          <w:sz w:val="20"/>
          <w:szCs w:val="20"/>
        </w:rPr>
        <w:t xml:space="preserve"> </w:t>
      </w:r>
    </w:p>
    <w:p w14:paraId="6F9BC551" w14:textId="6DC37F0A" w:rsidR="006202F2" w:rsidRPr="004D302C" w:rsidRDefault="00355560" w:rsidP="004D302C">
      <w:pPr>
        <w:pStyle w:val="ListParagraph"/>
        <w:numPr>
          <w:ilvl w:val="0"/>
          <w:numId w:val="108"/>
        </w:numPr>
        <w:spacing w:before="120" w:after="120"/>
        <w:ind w:left="0" w:firstLine="720"/>
        <w:jc w:val="both"/>
        <w:rPr>
          <w:bCs/>
          <w:sz w:val="20"/>
          <w:szCs w:val="20"/>
        </w:rPr>
      </w:pPr>
      <w:r>
        <w:rPr>
          <w:bCs/>
          <w:sz w:val="20"/>
          <w:szCs w:val="20"/>
        </w:rPr>
        <w:t>For its part, t</w:t>
      </w:r>
      <w:r w:rsidR="006202F2" w:rsidRPr="00853AF5">
        <w:rPr>
          <w:bCs/>
          <w:sz w:val="20"/>
          <w:szCs w:val="20"/>
        </w:rPr>
        <w:t>he State submits that the petition is inadmissible</w:t>
      </w:r>
      <w:r w:rsidR="004D302C">
        <w:rPr>
          <w:bCs/>
          <w:sz w:val="20"/>
          <w:szCs w:val="20"/>
        </w:rPr>
        <w:t xml:space="preserve"> on the grounds of the doctrine of the fourth instance and for failure to exhaust the domestic remedies. </w:t>
      </w:r>
      <w:r w:rsidR="006202F2" w:rsidRPr="004D302C">
        <w:rPr>
          <w:bCs/>
          <w:sz w:val="20"/>
          <w:szCs w:val="20"/>
        </w:rPr>
        <w:t xml:space="preserve">The State alleges that in the case of </w:t>
      </w:r>
      <w:proofErr w:type="spellStart"/>
      <w:r w:rsidR="006202F2" w:rsidRPr="004D302C">
        <w:rPr>
          <w:bCs/>
          <w:sz w:val="20"/>
          <w:szCs w:val="20"/>
        </w:rPr>
        <w:lastRenderedPageBreak/>
        <w:t>Amanie</w:t>
      </w:r>
      <w:proofErr w:type="spellEnd"/>
      <w:r w:rsidR="006202F2" w:rsidRPr="004D302C">
        <w:rPr>
          <w:bCs/>
          <w:sz w:val="20"/>
          <w:szCs w:val="20"/>
        </w:rPr>
        <w:t xml:space="preserve"> </w:t>
      </w:r>
      <w:proofErr w:type="spellStart"/>
      <w:r w:rsidR="006202F2" w:rsidRPr="004D302C">
        <w:rPr>
          <w:bCs/>
          <w:sz w:val="20"/>
          <w:szCs w:val="20"/>
        </w:rPr>
        <w:t>Wedderburn</w:t>
      </w:r>
      <w:proofErr w:type="spellEnd"/>
      <w:r w:rsidR="006202F2" w:rsidRPr="004D302C">
        <w:rPr>
          <w:bCs/>
          <w:sz w:val="20"/>
          <w:szCs w:val="20"/>
        </w:rPr>
        <w:t>, criminal domestic remedies have been pursued and exhausted, and that they were adequate and effective</w:t>
      </w:r>
      <w:r w:rsidR="00F0182C">
        <w:rPr>
          <w:bCs/>
          <w:sz w:val="20"/>
          <w:szCs w:val="20"/>
        </w:rPr>
        <w:t>;</w:t>
      </w:r>
      <w:r w:rsidR="002D1DE7">
        <w:rPr>
          <w:bCs/>
          <w:sz w:val="20"/>
          <w:szCs w:val="20"/>
        </w:rPr>
        <w:t xml:space="preserve"> Constable Ellis was </w:t>
      </w:r>
      <w:r w:rsidR="002D1DE7" w:rsidRPr="004776DF">
        <w:rPr>
          <w:bCs/>
          <w:sz w:val="20"/>
          <w:szCs w:val="20"/>
        </w:rPr>
        <w:t>charged for murder, and a jury returned a</w:t>
      </w:r>
      <w:r w:rsidR="004776DF" w:rsidRPr="004776DF">
        <w:rPr>
          <w:bCs/>
          <w:sz w:val="20"/>
          <w:szCs w:val="20"/>
        </w:rPr>
        <w:t xml:space="preserve"> not guilty</w:t>
      </w:r>
      <w:r w:rsidR="002D1DE7" w:rsidRPr="004776DF">
        <w:rPr>
          <w:bCs/>
          <w:sz w:val="20"/>
          <w:szCs w:val="20"/>
        </w:rPr>
        <w:t xml:space="preserve"> verdict after </w:t>
      </w:r>
      <w:r w:rsidR="004776DF" w:rsidRPr="004776DF">
        <w:rPr>
          <w:bCs/>
          <w:sz w:val="20"/>
          <w:szCs w:val="20"/>
        </w:rPr>
        <w:t xml:space="preserve">an eleven days </w:t>
      </w:r>
      <w:r w:rsidR="002D1DE7" w:rsidRPr="004776DF">
        <w:rPr>
          <w:bCs/>
          <w:sz w:val="20"/>
          <w:szCs w:val="20"/>
        </w:rPr>
        <w:t>trial</w:t>
      </w:r>
      <w:r w:rsidR="002D1DE7">
        <w:rPr>
          <w:bCs/>
          <w:sz w:val="20"/>
          <w:szCs w:val="20"/>
        </w:rPr>
        <w:t>.</w:t>
      </w:r>
      <w:r w:rsidR="006202F2" w:rsidRPr="004D302C">
        <w:rPr>
          <w:bCs/>
          <w:sz w:val="20"/>
          <w:szCs w:val="20"/>
        </w:rPr>
        <w:t xml:space="preserve"> The petition is </w:t>
      </w:r>
      <w:r w:rsidR="002D1DE7">
        <w:rPr>
          <w:bCs/>
          <w:sz w:val="20"/>
          <w:szCs w:val="20"/>
        </w:rPr>
        <w:t>therefore</w:t>
      </w:r>
      <w:r w:rsidR="006202F2" w:rsidRPr="004D302C">
        <w:rPr>
          <w:bCs/>
          <w:sz w:val="20"/>
          <w:szCs w:val="20"/>
        </w:rPr>
        <w:t xml:space="preserve"> based on the fact that the petitioner did not obtain the outcome hoped for; the petition is </w:t>
      </w:r>
      <w:r w:rsidR="002D1DE7">
        <w:rPr>
          <w:bCs/>
          <w:sz w:val="20"/>
          <w:szCs w:val="20"/>
        </w:rPr>
        <w:t xml:space="preserve">thus </w:t>
      </w:r>
      <w:r w:rsidR="006202F2" w:rsidRPr="004D302C">
        <w:rPr>
          <w:bCs/>
          <w:sz w:val="20"/>
          <w:szCs w:val="20"/>
        </w:rPr>
        <w:t xml:space="preserve">inadmissible. With regard to civil law remedies, the State indicates that the personal representative of </w:t>
      </w:r>
      <w:proofErr w:type="spellStart"/>
      <w:r w:rsidR="006202F2" w:rsidRPr="004D302C">
        <w:rPr>
          <w:bCs/>
          <w:sz w:val="20"/>
          <w:szCs w:val="20"/>
        </w:rPr>
        <w:t>Amanie</w:t>
      </w:r>
      <w:proofErr w:type="spellEnd"/>
      <w:r w:rsidR="006202F2" w:rsidRPr="004D302C">
        <w:rPr>
          <w:bCs/>
          <w:sz w:val="20"/>
          <w:szCs w:val="20"/>
        </w:rPr>
        <w:t xml:space="preserve"> </w:t>
      </w:r>
      <w:proofErr w:type="spellStart"/>
      <w:r w:rsidR="006202F2" w:rsidRPr="004D302C">
        <w:rPr>
          <w:bCs/>
          <w:sz w:val="20"/>
          <w:szCs w:val="20"/>
        </w:rPr>
        <w:t>Wedderburn</w:t>
      </w:r>
      <w:proofErr w:type="spellEnd"/>
      <w:r w:rsidR="006202F2" w:rsidRPr="004D302C">
        <w:rPr>
          <w:bCs/>
          <w:sz w:val="20"/>
          <w:szCs w:val="20"/>
        </w:rPr>
        <w:t xml:space="preserve"> filed a civil suit in the Supreme Court of Judicature on May 01, 2009, seeking damages under the </w:t>
      </w:r>
      <w:r w:rsidR="006202F2" w:rsidRPr="00F0182C">
        <w:rPr>
          <w:bCs/>
          <w:i/>
          <w:sz w:val="20"/>
          <w:szCs w:val="20"/>
        </w:rPr>
        <w:t>fatal accidents act</w:t>
      </w:r>
      <w:r w:rsidR="006202F2" w:rsidRPr="004D302C">
        <w:rPr>
          <w:bCs/>
          <w:sz w:val="20"/>
          <w:szCs w:val="20"/>
        </w:rPr>
        <w:t xml:space="preserve"> and the </w:t>
      </w:r>
      <w:r w:rsidR="006202F2" w:rsidRPr="00F0182C">
        <w:rPr>
          <w:bCs/>
          <w:i/>
          <w:sz w:val="20"/>
          <w:szCs w:val="20"/>
        </w:rPr>
        <w:t>law reform act</w:t>
      </w:r>
      <w:r w:rsidR="006202F2" w:rsidRPr="004D302C">
        <w:rPr>
          <w:bCs/>
          <w:sz w:val="20"/>
          <w:szCs w:val="20"/>
        </w:rPr>
        <w:t xml:space="preserve"> for his death. The State did not challenge the claim, but it entered a defense in respect of the quantity. On January 28, 2010, a judgement on admission was entered in favor of the claimant and on October 25, 2013, the claimant was awarded $337,000.00 plus interest in special damages and $180,000.00 plus interest for general damages. The State alleges that no appeal has been lodged in that matt</w:t>
      </w:r>
      <w:r w:rsidR="004D672D">
        <w:rPr>
          <w:bCs/>
          <w:sz w:val="20"/>
          <w:szCs w:val="20"/>
        </w:rPr>
        <w:t xml:space="preserve">er, therefore, </w:t>
      </w:r>
      <w:proofErr w:type="spellStart"/>
      <w:r w:rsidR="004D672D">
        <w:rPr>
          <w:bCs/>
          <w:sz w:val="20"/>
          <w:szCs w:val="20"/>
        </w:rPr>
        <w:t>Amanie’s</w:t>
      </w:r>
      <w:proofErr w:type="spellEnd"/>
      <w:r w:rsidR="004D672D">
        <w:rPr>
          <w:bCs/>
          <w:sz w:val="20"/>
          <w:szCs w:val="20"/>
        </w:rPr>
        <w:t xml:space="preserve"> </w:t>
      </w:r>
      <w:r w:rsidR="00286014">
        <w:rPr>
          <w:bCs/>
          <w:sz w:val="20"/>
          <w:szCs w:val="20"/>
        </w:rPr>
        <w:t>relatives have</w:t>
      </w:r>
      <w:r w:rsidR="006202F2" w:rsidRPr="004D302C">
        <w:rPr>
          <w:bCs/>
          <w:sz w:val="20"/>
          <w:szCs w:val="20"/>
        </w:rPr>
        <w:t xml:space="preserve"> been adequately and effectively compensated. The Government</w:t>
      </w:r>
      <w:r w:rsidR="0047798A">
        <w:rPr>
          <w:bCs/>
          <w:sz w:val="20"/>
          <w:szCs w:val="20"/>
        </w:rPr>
        <w:t xml:space="preserve"> thus</w:t>
      </w:r>
      <w:r w:rsidR="006202F2" w:rsidRPr="004D302C">
        <w:rPr>
          <w:bCs/>
          <w:sz w:val="20"/>
          <w:szCs w:val="20"/>
        </w:rPr>
        <w:t xml:space="preserve"> contends that the petitioner ha</w:t>
      </w:r>
      <w:r w:rsidR="002D1DE7">
        <w:rPr>
          <w:bCs/>
          <w:sz w:val="20"/>
          <w:szCs w:val="20"/>
        </w:rPr>
        <w:t>s</w:t>
      </w:r>
      <w:r w:rsidR="006202F2" w:rsidRPr="004D302C">
        <w:rPr>
          <w:bCs/>
          <w:sz w:val="20"/>
          <w:szCs w:val="20"/>
        </w:rPr>
        <w:t xml:space="preserve"> already availed itself of legal remedies in the domestic courts, and that it cannot call on the Commission to act as a court of fourth instance. </w:t>
      </w:r>
    </w:p>
    <w:p w14:paraId="36B7AA6E" w14:textId="7FED822A" w:rsidR="006202F2" w:rsidRDefault="006202F2" w:rsidP="006202F2">
      <w:pPr>
        <w:pStyle w:val="ListParagraph"/>
        <w:numPr>
          <w:ilvl w:val="0"/>
          <w:numId w:val="108"/>
        </w:numPr>
        <w:spacing w:before="120" w:after="120"/>
        <w:ind w:left="0" w:firstLine="720"/>
        <w:jc w:val="both"/>
        <w:rPr>
          <w:bCs/>
          <w:sz w:val="20"/>
          <w:szCs w:val="20"/>
        </w:rPr>
      </w:pPr>
      <w:r>
        <w:rPr>
          <w:bCs/>
          <w:sz w:val="20"/>
          <w:szCs w:val="20"/>
        </w:rPr>
        <w:t>W</w:t>
      </w:r>
      <w:r w:rsidRPr="00853AF5">
        <w:rPr>
          <w:bCs/>
          <w:sz w:val="20"/>
          <w:szCs w:val="20"/>
        </w:rPr>
        <w:t xml:space="preserve">ith respect to the case of Eric </w:t>
      </w:r>
      <w:proofErr w:type="spellStart"/>
      <w:r w:rsidRPr="00853AF5">
        <w:rPr>
          <w:bCs/>
          <w:sz w:val="20"/>
          <w:szCs w:val="20"/>
        </w:rPr>
        <w:t>Wedderburn</w:t>
      </w:r>
      <w:proofErr w:type="spellEnd"/>
      <w:r>
        <w:rPr>
          <w:bCs/>
          <w:sz w:val="20"/>
          <w:szCs w:val="20"/>
        </w:rPr>
        <w:t xml:space="preserve">, the State claims that there was no prior exhaustion of domestic remedies. It also submits that there is no evidence that the State violated any rights of the victim; and that there is no indication that the petitioner’s allegations were reported to the relevant authority at the time. The mere fact that no one has been charged in connection with the matter doesn’t mean that no investigation has taken place. </w:t>
      </w:r>
    </w:p>
    <w:p w14:paraId="66877FE1" w14:textId="5D215012" w:rsidR="006202F2" w:rsidRPr="009D4D62" w:rsidRDefault="006202F2" w:rsidP="006202F2">
      <w:pPr>
        <w:pStyle w:val="ListParagraph"/>
        <w:numPr>
          <w:ilvl w:val="0"/>
          <w:numId w:val="108"/>
        </w:numPr>
        <w:spacing w:before="120" w:after="120"/>
        <w:ind w:left="0" w:firstLine="720"/>
        <w:jc w:val="both"/>
        <w:rPr>
          <w:bCs/>
          <w:sz w:val="20"/>
          <w:szCs w:val="20"/>
        </w:rPr>
      </w:pPr>
      <w:r>
        <w:rPr>
          <w:bCs/>
          <w:sz w:val="20"/>
          <w:szCs w:val="20"/>
        </w:rPr>
        <w:t xml:space="preserve">Additionally, the State asserts that the petitioner failed to present the petition in accordance with the provisions of the article 46 of the Convention, since the criminal proceeding ended on May 10, 2006, while the </w:t>
      </w:r>
      <w:r w:rsidRPr="00461391">
        <w:rPr>
          <w:bCs/>
          <w:sz w:val="20"/>
          <w:szCs w:val="20"/>
        </w:rPr>
        <w:t>award</w:t>
      </w:r>
      <w:r>
        <w:rPr>
          <w:bCs/>
          <w:sz w:val="20"/>
          <w:szCs w:val="20"/>
        </w:rPr>
        <w:t xml:space="preserve"> in the civil suit was made on October 25, 2013, and the petition was filed on July 20, 2010. </w:t>
      </w:r>
    </w:p>
    <w:p w14:paraId="55505107" w14:textId="6CAD5FA9" w:rsidR="00F621C3" w:rsidRDefault="00F621C3" w:rsidP="009922EF">
      <w:pPr>
        <w:spacing w:before="120" w:after="120"/>
        <w:ind w:firstLine="720"/>
        <w:jc w:val="both"/>
        <w:rPr>
          <w:rFonts w:asciiTheme="majorHAnsi" w:eastAsia="Cambria" w:hAnsiTheme="majorHAnsi" w:cs="Cambria"/>
          <w:b/>
          <w:bCs/>
          <w:color w:val="000000"/>
          <w:sz w:val="20"/>
          <w:szCs w:val="20"/>
          <w:u w:color="000000"/>
          <w:lang w:eastAsia="es-ES"/>
        </w:rPr>
      </w:pPr>
      <w:r w:rsidRPr="00716AC8">
        <w:rPr>
          <w:rFonts w:asciiTheme="majorHAnsi" w:eastAsia="Cambria" w:hAnsiTheme="majorHAnsi" w:cs="Cambria"/>
          <w:b/>
          <w:bCs/>
          <w:color w:val="000000"/>
          <w:sz w:val="20"/>
          <w:szCs w:val="20"/>
          <w:u w:color="000000"/>
          <w:lang w:eastAsia="es-ES"/>
        </w:rPr>
        <w:t>VI.</w:t>
      </w:r>
      <w:r w:rsidRPr="00716AC8">
        <w:rPr>
          <w:rFonts w:asciiTheme="majorHAnsi" w:eastAsia="Cambria" w:hAnsiTheme="majorHAnsi" w:cs="Cambria"/>
          <w:b/>
          <w:bCs/>
          <w:color w:val="000000"/>
          <w:sz w:val="20"/>
          <w:szCs w:val="20"/>
          <w:u w:color="000000"/>
          <w:lang w:eastAsia="es-ES"/>
        </w:rPr>
        <w:tab/>
      </w:r>
      <w:r w:rsidR="0079535C">
        <w:rPr>
          <w:rFonts w:asciiTheme="majorHAnsi" w:eastAsia="Cambria" w:hAnsiTheme="majorHAnsi" w:cs="Cambria"/>
          <w:b/>
          <w:bCs/>
          <w:color w:val="000000"/>
          <w:sz w:val="20"/>
          <w:szCs w:val="20"/>
          <w:u w:color="000000"/>
          <w:lang w:eastAsia="es-ES"/>
        </w:rPr>
        <w:t xml:space="preserve">ANALYSIS OF </w:t>
      </w:r>
      <w:r w:rsidRPr="00716AC8">
        <w:rPr>
          <w:rFonts w:asciiTheme="majorHAnsi" w:hAnsiTheme="majorHAnsi"/>
          <w:b/>
          <w:sz w:val="20"/>
          <w:szCs w:val="20"/>
        </w:rPr>
        <w:t>EXHAUSTION OF DOMESTIC REMEDIES AND TIMELINESS OF THE PETITION</w:t>
      </w:r>
      <w:r w:rsidRPr="00716AC8">
        <w:rPr>
          <w:rFonts w:asciiTheme="majorHAnsi" w:eastAsia="Cambria" w:hAnsiTheme="majorHAnsi" w:cs="Cambria"/>
          <w:b/>
          <w:bCs/>
          <w:color w:val="000000"/>
          <w:sz w:val="20"/>
          <w:szCs w:val="20"/>
          <w:u w:color="000000"/>
          <w:lang w:eastAsia="es-ES"/>
        </w:rPr>
        <w:t xml:space="preserve"> </w:t>
      </w:r>
    </w:p>
    <w:p w14:paraId="5CF69623" w14:textId="32A5EFB3" w:rsidR="003E424E" w:rsidRDefault="009922EF" w:rsidP="00FF12A3">
      <w:pPr>
        <w:pStyle w:val="ListParagraph"/>
        <w:numPr>
          <w:ilvl w:val="0"/>
          <w:numId w:val="108"/>
        </w:numPr>
        <w:tabs>
          <w:tab w:val="left" w:pos="720"/>
        </w:tabs>
        <w:spacing w:before="120" w:after="120"/>
        <w:ind w:left="0" w:firstLine="720"/>
        <w:jc w:val="both"/>
        <w:rPr>
          <w:bCs/>
          <w:sz w:val="20"/>
          <w:szCs w:val="20"/>
        </w:rPr>
      </w:pPr>
      <w:r w:rsidRPr="00EE31F6">
        <w:rPr>
          <w:sz w:val="20"/>
          <w:szCs w:val="20"/>
        </w:rPr>
        <w:t>Regarding</w:t>
      </w:r>
      <w:r w:rsidRPr="006723D8">
        <w:rPr>
          <w:sz w:val="20"/>
          <w:szCs w:val="20"/>
        </w:rPr>
        <w:t xml:space="preserve"> </w:t>
      </w:r>
      <w:r w:rsidR="003D26C1" w:rsidRPr="006723D8">
        <w:rPr>
          <w:sz w:val="20"/>
          <w:szCs w:val="20"/>
        </w:rPr>
        <w:t xml:space="preserve">the </w:t>
      </w:r>
      <w:r w:rsidR="003D26C1">
        <w:rPr>
          <w:sz w:val="20"/>
          <w:szCs w:val="20"/>
        </w:rPr>
        <w:t>murder</w:t>
      </w:r>
      <w:r w:rsidR="003D26C1" w:rsidRPr="006723D8">
        <w:rPr>
          <w:sz w:val="20"/>
          <w:szCs w:val="20"/>
        </w:rPr>
        <w:t xml:space="preserve"> of </w:t>
      </w:r>
      <w:proofErr w:type="spellStart"/>
      <w:r w:rsidR="003D26C1" w:rsidRPr="006723D8">
        <w:rPr>
          <w:bCs/>
          <w:sz w:val="20"/>
          <w:szCs w:val="20"/>
        </w:rPr>
        <w:t>Amanie</w:t>
      </w:r>
      <w:proofErr w:type="spellEnd"/>
      <w:r w:rsidR="003D26C1" w:rsidRPr="006723D8">
        <w:rPr>
          <w:bCs/>
          <w:sz w:val="20"/>
          <w:szCs w:val="20"/>
        </w:rPr>
        <w:t xml:space="preserve"> </w:t>
      </w:r>
      <w:proofErr w:type="spellStart"/>
      <w:r w:rsidR="003D26C1" w:rsidRPr="006723D8">
        <w:rPr>
          <w:bCs/>
          <w:sz w:val="20"/>
          <w:szCs w:val="20"/>
        </w:rPr>
        <w:t>Wedderburn</w:t>
      </w:r>
      <w:proofErr w:type="spellEnd"/>
      <w:r w:rsidR="003D26C1">
        <w:rPr>
          <w:sz w:val="20"/>
          <w:szCs w:val="20"/>
        </w:rPr>
        <w:t xml:space="preserve">, the Commission observes </w:t>
      </w:r>
      <w:r w:rsidR="003D26C1" w:rsidRPr="006723D8">
        <w:rPr>
          <w:sz w:val="20"/>
          <w:szCs w:val="20"/>
        </w:rPr>
        <w:t xml:space="preserve">that </w:t>
      </w:r>
      <w:r w:rsidR="00F6736F">
        <w:rPr>
          <w:sz w:val="20"/>
          <w:szCs w:val="20"/>
        </w:rPr>
        <w:t xml:space="preserve">an inquiry was conducted by </w:t>
      </w:r>
      <w:r w:rsidR="003D26C1" w:rsidRPr="006723D8">
        <w:rPr>
          <w:bCs/>
          <w:sz w:val="20"/>
          <w:szCs w:val="20"/>
        </w:rPr>
        <w:t>the B</w:t>
      </w:r>
      <w:r w:rsidR="00F6736F">
        <w:rPr>
          <w:bCs/>
          <w:sz w:val="20"/>
          <w:szCs w:val="20"/>
        </w:rPr>
        <w:t xml:space="preserve">ureau of Special Investigations, which </w:t>
      </w:r>
      <w:r w:rsidR="003D26C1" w:rsidRPr="006723D8">
        <w:rPr>
          <w:bCs/>
          <w:sz w:val="20"/>
          <w:szCs w:val="20"/>
        </w:rPr>
        <w:t>forward</w:t>
      </w:r>
      <w:r w:rsidR="003D26C1">
        <w:rPr>
          <w:bCs/>
          <w:sz w:val="20"/>
          <w:szCs w:val="20"/>
        </w:rPr>
        <w:t>ed</w:t>
      </w:r>
      <w:r w:rsidR="003D26C1" w:rsidRPr="006723D8">
        <w:rPr>
          <w:bCs/>
          <w:sz w:val="20"/>
          <w:szCs w:val="20"/>
        </w:rPr>
        <w:t xml:space="preserve"> it to the Coroner’s Court. On June 3, 2004,</w:t>
      </w:r>
      <w:r w:rsidR="003D26C1">
        <w:rPr>
          <w:bCs/>
          <w:sz w:val="20"/>
          <w:szCs w:val="20"/>
        </w:rPr>
        <w:t xml:space="preserve"> following the testimony of eleven witnesses,</w:t>
      </w:r>
      <w:r w:rsidR="003D26C1" w:rsidRPr="006723D8">
        <w:rPr>
          <w:bCs/>
          <w:sz w:val="20"/>
          <w:szCs w:val="20"/>
        </w:rPr>
        <w:t xml:space="preserve"> the jury found that Constable Ellis should be charged with the murder of </w:t>
      </w:r>
      <w:proofErr w:type="spellStart"/>
      <w:r w:rsidR="003D26C1" w:rsidRPr="006723D8">
        <w:rPr>
          <w:bCs/>
          <w:sz w:val="20"/>
          <w:szCs w:val="20"/>
        </w:rPr>
        <w:t>Amanie</w:t>
      </w:r>
      <w:proofErr w:type="spellEnd"/>
      <w:r w:rsidR="003D26C1" w:rsidRPr="006723D8">
        <w:rPr>
          <w:bCs/>
          <w:sz w:val="20"/>
          <w:szCs w:val="20"/>
        </w:rPr>
        <w:t xml:space="preserve"> </w:t>
      </w:r>
      <w:proofErr w:type="spellStart"/>
      <w:r w:rsidR="003D26C1" w:rsidRPr="006723D8">
        <w:rPr>
          <w:bCs/>
          <w:sz w:val="20"/>
          <w:szCs w:val="20"/>
        </w:rPr>
        <w:t>Wedderburn</w:t>
      </w:r>
      <w:proofErr w:type="spellEnd"/>
      <w:r w:rsidR="003D26C1" w:rsidRPr="006723D8">
        <w:rPr>
          <w:bCs/>
          <w:sz w:val="20"/>
          <w:szCs w:val="20"/>
        </w:rPr>
        <w:t>. On May 1, 2006, the trial against Constable Ellis began, where hardly any witnesses testified,</w:t>
      </w:r>
      <w:r w:rsidR="003D26C1">
        <w:rPr>
          <w:bCs/>
          <w:sz w:val="20"/>
          <w:szCs w:val="20"/>
        </w:rPr>
        <w:t xml:space="preserve"> and </w:t>
      </w:r>
      <w:r w:rsidR="003D26C1" w:rsidRPr="006723D8">
        <w:rPr>
          <w:bCs/>
          <w:sz w:val="20"/>
          <w:szCs w:val="20"/>
        </w:rPr>
        <w:t xml:space="preserve">on May 11, 2006, the jury returned a verdict of “not guilty” of the murdered of </w:t>
      </w:r>
      <w:proofErr w:type="spellStart"/>
      <w:r w:rsidR="003D26C1" w:rsidRPr="006723D8">
        <w:rPr>
          <w:bCs/>
          <w:sz w:val="20"/>
          <w:szCs w:val="20"/>
        </w:rPr>
        <w:t>Amanie</w:t>
      </w:r>
      <w:proofErr w:type="spellEnd"/>
      <w:r w:rsidR="003D26C1" w:rsidRPr="006723D8">
        <w:rPr>
          <w:bCs/>
          <w:sz w:val="20"/>
          <w:szCs w:val="20"/>
        </w:rPr>
        <w:t xml:space="preserve"> </w:t>
      </w:r>
      <w:proofErr w:type="spellStart"/>
      <w:r w:rsidR="003D26C1" w:rsidRPr="006723D8">
        <w:rPr>
          <w:bCs/>
          <w:sz w:val="20"/>
          <w:szCs w:val="20"/>
        </w:rPr>
        <w:t>Wedderburn</w:t>
      </w:r>
      <w:proofErr w:type="spellEnd"/>
      <w:r w:rsidR="003D26C1" w:rsidRPr="006723D8">
        <w:rPr>
          <w:bCs/>
          <w:sz w:val="20"/>
          <w:szCs w:val="20"/>
        </w:rPr>
        <w:t xml:space="preserve"> in favor of Constable Ellis</w:t>
      </w:r>
      <w:r w:rsidR="003D26C1">
        <w:rPr>
          <w:bCs/>
          <w:sz w:val="20"/>
          <w:szCs w:val="20"/>
        </w:rPr>
        <w:t>. The Commission notes that the petitioner</w:t>
      </w:r>
      <w:r w:rsidR="00F6736F">
        <w:rPr>
          <w:bCs/>
          <w:sz w:val="20"/>
          <w:szCs w:val="20"/>
        </w:rPr>
        <w:t>s</w:t>
      </w:r>
      <w:r w:rsidR="003D26C1">
        <w:rPr>
          <w:bCs/>
          <w:sz w:val="20"/>
          <w:szCs w:val="20"/>
        </w:rPr>
        <w:t xml:space="preserve"> submit that </w:t>
      </w:r>
      <w:r w:rsidR="000E5375">
        <w:rPr>
          <w:bCs/>
          <w:sz w:val="20"/>
          <w:szCs w:val="20"/>
        </w:rPr>
        <w:t>due to</w:t>
      </w:r>
      <w:r w:rsidR="00035492">
        <w:rPr>
          <w:bCs/>
          <w:sz w:val="20"/>
          <w:szCs w:val="20"/>
        </w:rPr>
        <w:t xml:space="preserve"> </w:t>
      </w:r>
      <w:r w:rsidR="000E5375" w:rsidRPr="00207D6A">
        <w:rPr>
          <w:bCs/>
          <w:sz w:val="20"/>
          <w:szCs w:val="20"/>
        </w:rPr>
        <w:t>the</w:t>
      </w:r>
      <w:r w:rsidR="003D26C1" w:rsidRPr="00207D6A">
        <w:rPr>
          <w:bCs/>
          <w:sz w:val="20"/>
          <w:szCs w:val="20"/>
        </w:rPr>
        <w:t xml:space="preserve"> </w:t>
      </w:r>
      <w:r w:rsidR="00B46EA4" w:rsidRPr="00207D6A">
        <w:rPr>
          <w:bCs/>
          <w:sz w:val="20"/>
          <w:szCs w:val="20"/>
        </w:rPr>
        <w:t xml:space="preserve">context </w:t>
      </w:r>
      <w:r w:rsidR="000E5375" w:rsidRPr="00207D6A">
        <w:rPr>
          <w:bCs/>
          <w:sz w:val="20"/>
          <w:szCs w:val="20"/>
        </w:rPr>
        <w:t>that prevailed at that time</w:t>
      </w:r>
      <w:r w:rsidR="003D26C1" w:rsidRPr="00207D6A">
        <w:rPr>
          <w:bCs/>
          <w:sz w:val="20"/>
          <w:szCs w:val="20"/>
        </w:rPr>
        <w:t>, the prosecution did not appeal. In this case, the IACHR considers that</w:t>
      </w:r>
      <w:r w:rsidR="003D26C1" w:rsidRPr="00371A48">
        <w:rPr>
          <w:bCs/>
          <w:sz w:val="20"/>
          <w:szCs w:val="20"/>
        </w:rPr>
        <w:t xml:space="preserve"> the alleged threats made against the witnesses implied a climate of generalized fear that</w:t>
      </w:r>
      <w:r w:rsidR="00207D6A">
        <w:rPr>
          <w:bCs/>
          <w:sz w:val="20"/>
          <w:szCs w:val="20"/>
        </w:rPr>
        <w:t xml:space="preserve"> would have</w:t>
      </w:r>
      <w:r w:rsidR="003D26C1" w:rsidRPr="00371A48">
        <w:rPr>
          <w:bCs/>
          <w:sz w:val="20"/>
          <w:szCs w:val="20"/>
        </w:rPr>
        <w:t xml:space="preserve"> prevented them from testifying </w:t>
      </w:r>
      <w:r w:rsidR="003D26C1">
        <w:rPr>
          <w:bCs/>
          <w:sz w:val="20"/>
          <w:szCs w:val="20"/>
        </w:rPr>
        <w:t>at</w:t>
      </w:r>
      <w:r w:rsidR="003D26C1" w:rsidRPr="00371A48">
        <w:rPr>
          <w:bCs/>
          <w:sz w:val="20"/>
          <w:szCs w:val="20"/>
        </w:rPr>
        <w:t xml:space="preserve"> the trial, as well as</w:t>
      </w:r>
      <w:r w:rsidR="003D26C1">
        <w:rPr>
          <w:bCs/>
          <w:sz w:val="20"/>
          <w:szCs w:val="20"/>
        </w:rPr>
        <w:t xml:space="preserve"> made illusory the</w:t>
      </w:r>
      <w:r w:rsidR="003D26C1" w:rsidRPr="00371A48">
        <w:rPr>
          <w:bCs/>
          <w:sz w:val="20"/>
          <w:szCs w:val="20"/>
        </w:rPr>
        <w:t xml:space="preserve"> filing </w:t>
      </w:r>
      <w:r w:rsidR="003D26C1">
        <w:rPr>
          <w:bCs/>
          <w:sz w:val="20"/>
          <w:szCs w:val="20"/>
        </w:rPr>
        <w:t xml:space="preserve">of </w:t>
      </w:r>
      <w:r w:rsidR="003D26C1" w:rsidRPr="00371A48">
        <w:rPr>
          <w:bCs/>
          <w:sz w:val="20"/>
          <w:szCs w:val="20"/>
        </w:rPr>
        <w:t xml:space="preserve">an appeal against the </w:t>
      </w:r>
      <w:r w:rsidR="000E5375">
        <w:rPr>
          <w:bCs/>
          <w:sz w:val="20"/>
          <w:szCs w:val="20"/>
        </w:rPr>
        <w:t>verdict</w:t>
      </w:r>
      <w:r w:rsidR="003D26C1" w:rsidRPr="00371A48">
        <w:rPr>
          <w:bCs/>
          <w:sz w:val="20"/>
          <w:szCs w:val="20"/>
        </w:rPr>
        <w:t xml:space="preserve">. Therefore, the Commission concludes that </w:t>
      </w:r>
      <w:r w:rsidR="00207D6A">
        <w:rPr>
          <w:bCs/>
          <w:sz w:val="20"/>
          <w:szCs w:val="20"/>
        </w:rPr>
        <w:t>the exception established in Article 46.</w:t>
      </w:r>
      <w:r w:rsidR="00207D6A" w:rsidRPr="00371A48">
        <w:rPr>
          <w:bCs/>
          <w:sz w:val="20"/>
          <w:szCs w:val="20"/>
        </w:rPr>
        <w:t>2</w:t>
      </w:r>
      <w:r w:rsidR="00207D6A">
        <w:rPr>
          <w:bCs/>
          <w:sz w:val="20"/>
          <w:szCs w:val="20"/>
        </w:rPr>
        <w:t>.</w:t>
      </w:r>
      <w:r w:rsidR="00207D6A" w:rsidRPr="00371A48">
        <w:rPr>
          <w:bCs/>
          <w:sz w:val="20"/>
          <w:szCs w:val="20"/>
        </w:rPr>
        <w:t xml:space="preserve">b of the </w:t>
      </w:r>
      <w:r w:rsidR="00207D6A" w:rsidRPr="007532A0">
        <w:rPr>
          <w:bCs/>
          <w:sz w:val="20"/>
          <w:szCs w:val="20"/>
        </w:rPr>
        <w:t>Convention</w:t>
      </w:r>
      <w:r w:rsidR="00207D6A">
        <w:rPr>
          <w:bCs/>
          <w:sz w:val="20"/>
          <w:szCs w:val="20"/>
        </w:rPr>
        <w:t xml:space="preserve"> is applicable</w:t>
      </w:r>
      <w:r w:rsidR="00371A48" w:rsidRPr="007532A0">
        <w:rPr>
          <w:bCs/>
          <w:sz w:val="20"/>
          <w:szCs w:val="20"/>
        </w:rPr>
        <w:t>.</w:t>
      </w:r>
    </w:p>
    <w:p w14:paraId="32C9784E" w14:textId="72779EF2" w:rsidR="003D26C1" w:rsidRDefault="003D26C1" w:rsidP="00142897">
      <w:pPr>
        <w:pStyle w:val="ListParagraph"/>
        <w:numPr>
          <w:ilvl w:val="0"/>
          <w:numId w:val="108"/>
        </w:numPr>
        <w:tabs>
          <w:tab w:val="left" w:pos="720"/>
        </w:tabs>
        <w:spacing w:before="120" w:after="120"/>
        <w:ind w:left="0" w:firstLine="720"/>
        <w:jc w:val="both"/>
        <w:rPr>
          <w:bCs/>
          <w:sz w:val="20"/>
          <w:szCs w:val="20"/>
        </w:rPr>
      </w:pPr>
      <w:r w:rsidRPr="003E424E">
        <w:rPr>
          <w:bCs/>
          <w:sz w:val="20"/>
          <w:szCs w:val="20"/>
        </w:rPr>
        <w:t xml:space="preserve">With respect to the filing deadline, the </w:t>
      </w:r>
      <w:r w:rsidR="00142897">
        <w:rPr>
          <w:bCs/>
          <w:sz w:val="20"/>
          <w:szCs w:val="20"/>
        </w:rPr>
        <w:t xml:space="preserve">Commission notes that </w:t>
      </w:r>
      <w:r w:rsidRPr="003E424E">
        <w:rPr>
          <w:bCs/>
          <w:sz w:val="20"/>
          <w:szCs w:val="20"/>
        </w:rPr>
        <w:t>petition was received on</w:t>
      </w:r>
      <w:r>
        <w:rPr>
          <w:bCs/>
          <w:sz w:val="20"/>
          <w:szCs w:val="20"/>
        </w:rPr>
        <w:t xml:space="preserve"> </w:t>
      </w:r>
      <w:r>
        <w:rPr>
          <w:bCs/>
          <w:sz w:val="19"/>
          <w:szCs w:val="19"/>
        </w:rPr>
        <w:t>July 20, 2010</w:t>
      </w:r>
      <w:r>
        <w:rPr>
          <w:bCs/>
          <w:sz w:val="20"/>
          <w:szCs w:val="20"/>
        </w:rPr>
        <w:t>,</w:t>
      </w:r>
      <w:r w:rsidRPr="003E424E">
        <w:rPr>
          <w:bCs/>
          <w:sz w:val="20"/>
          <w:szCs w:val="20"/>
        </w:rPr>
        <w:t xml:space="preserve"> </w:t>
      </w:r>
      <w:r w:rsidR="00142897">
        <w:rPr>
          <w:bCs/>
          <w:sz w:val="20"/>
          <w:szCs w:val="20"/>
        </w:rPr>
        <w:t xml:space="preserve">that the alleged victim was killed on May 2, 2003, that on </w:t>
      </w:r>
      <w:r>
        <w:rPr>
          <w:bCs/>
          <w:sz w:val="20"/>
          <w:szCs w:val="20"/>
        </w:rPr>
        <w:t>May 11, 2006</w:t>
      </w:r>
      <w:r w:rsidR="00142897">
        <w:rPr>
          <w:bCs/>
          <w:sz w:val="20"/>
          <w:szCs w:val="20"/>
        </w:rPr>
        <w:t xml:space="preserve"> a verdict of non-guilty was rendered, leaving his murder in impunity,</w:t>
      </w:r>
      <w:r>
        <w:rPr>
          <w:bCs/>
          <w:sz w:val="20"/>
          <w:szCs w:val="20"/>
        </w:rPr>
        <w:t xml:space="preserve"> </w:t>
      </w:r>
      <w:r w:rsidRPr="003E424E">
        <w:rPr>
          <w:bCs/>
          <w:sz w:val="20"/>
          <w:szCs w:val="20"/>
        </w:rPr>
        <w:t>and</w:t>
      </w:r>
      <w:r w:rsidR="00142897">
        <w:rPr>
          <w:bCs/>
          <w:sz w:val="20"/>
          <w:szCs w:val="20"/>
        </w:rPr>
        <w:t xml:space="preserve"> that as such the effects of the alleged </w:t>
      </w:r>
      <w:r w:rsidR="00142897" w:rsidRPr="00142897">
        <w:rPr>
          <w:bCs/>
          <w:sz w:val="20"/>
          <w:szCs w:val="20"/>
        </w:rPr>
        <w:t xml:space="preserve">lack of due process and due diligence in the criminal investigations </w:t>
      </w:r>
      <w:r w:rsidRPr="003E424E">
        <w:rPr>
          <w:bCs/>
          <w:sz w:val="20"/>
          <w:szCs w:val="20"/>
        </w:rPr>
        <w:t>would extend to the present</w:t>
      </w:r>
      <w:r>
        <w:rPr>
          <w:bCs/>
          <w:sz w:val="20"/>
          <w:szCs w:val="20"/>
        </w:rPr>
        <w:t>;</w:t>
      </w:r>
      <w:r w:rsidRPr="003E424E">
        <w:rPr>
          <w:bCs/>
          <w:sz w:val="20"/>
          <w:szCs w:val="20"/>
        </w:rPr>
        <w:t xml:space="preserve"> the Commission concludes that the petition was filed within a reasonable time and that the admissibility requirement relating to the filing deadline must be </w:t>
      </w:r>
      <w:r>
        <w:rPr>
          <w:bCs/>
          <w:sz w:val="20"/>
          <w:szCs w:val="20"/>
        </w:rPr>
        <w:t xml:space="preserve">found </w:t>
      </w:r>
      <w:r w:rsidRPr="003E424E">
        <w:rPr>
          <w:bCs/>
          <w:sz w:val="20"/>
          <w:szCs w:val="20"/>
        </w:rPr>
        <w:t>satisfied.</w:t>
      </w:r>
    </w:p>
    <w:p w14:paraId="31F6E3F2" w14:textId="66E955B9" w:rsidR="003D26C1" w:rsidRDefault="003D26C1" w:rsidP="00572B76">
      <w:pPr>
        <w:pStyle w:val="ListParagraph"/>
        <w:numPr>
          <w:ilvl w:val="0"/>
          <w:numId w:val="108"/>
        </w:numPr>
        <w:tabs>
          <w:tab w:val="left" w:pos="720"/>
        </w:tabs>
        <w:spacing w:before="120" w:after="120"/>
        <w:ind w:left="0" w:firstLine="720"/>
        <w:jc w:val="both"/>
        <w:rPr>
          <w:bCs/>
          <w:sz w:val="20"/>
          <w:szCs w:val="20"/>
        </w:rPr>
      </w:pPr>
      <w:r w:rsidRPr="003D26C1">
        <w:rPr>
          <w:bCs/>
          <w:sz w:val="20"/>
          <w:szCs w:val="20"/>
        </w:rPr>
        <w:t xml:space="preserve">With respect to the murder of Eric </w:t>
      </w:r>
      <w:proofErr w:type="spellStart"/>
      <w:r w:rsidRPr="003D26C1">
        <w:rPr>
          <w:bCs/>
          <w:sz w:val="20"/>
          <w:szCs w:val="20"/>
        </w:rPr>
        <w:t>Wedderburn</w:t>
      </w:r>
      <w:proofErr w:type="spellEnd"/>
      <w:r w:rsidRPr="003D26C1">
        <w:rPr>
          <w:bCs/>
          <w:sz w:val="20"/>
          <w:szCs w:val="20"/>
        </w:rPr>
        <w:t xml:space="preserve">, the Commission recalls that whenever an alleged crime </w:t>
      </w:r>
      <w:r w:rsidR="00AE581C">
        <w:rPr>
          <w:bCs/>
          <w:sz w:val="20"/>
          <w:szCs w:val="20"/>
        </w:rPr>
        <w:t xml:space="preserve">that is </w:t>
      </w:r>
      <w:r w:rsidR="00856ABA" w:rsidRPr="003D26C1">
        <w:rPr>
          <w:bCs/>
          <w:sz w:val="20"/>
          <w:szCs w:val="20"/>
        </w:rPr>
        <w:t>prosecut</w:t>
      </w:r>
      <w:r w:rsidR="00856ABA">
        <w:rPr>
          <w:bCs/>
          <w:sz w:val="20"/>
          <w:szCs w:val="20"/>
        </w:rPr>
        <w:t>able</w:t>
      </w:r>
      <w:r w:rsidR="00856ABA" w:rsidRPr="003D26C1">
        <w:rPr>
          <w:bCs/>
          <w:sz w:val="20"/>
          <w:szCs w:val="20"/>
        </w:rPr>
        <w:t xml:space="preserve"> </w:t>
      </w:r>
      <w:r w:rsidR="00856ABA" w:rsidRPr="0027631C">
        <w:rPr>
          <w:bCs/>
          <w:i/>
          <w:sz w:val="20"/>
          <w:szCs w:val="20"/>
        </w:rPr>
        <w:t>ex officio</w:t>
      </w:r>
      <w:r w:rsidR="00856ABA" w:rsidRPr="003D26C1">
        <w:rPr>
          <w:bCs/>
          <w:sz w:val="20"/>
          <w:szCs w:val="20"/>
        </w:rPr>
        <w:t xml:space="preserve"> </w:t>
      </w:r>
      <w:r w:rsidRPr="003D26C1">
        <w:rPr>
          <w:bCs/>
          <w:sz w:val="20"/>
          <w:szCs w:val="20"/>
        </w:rPr>
        <w:t xml:space="preserve">is committed, the State has the obligation to promote the criminal </w:t>
      </w:r>
      <w:r w:rsidR="0027631C">
        <w:rPr>
          <w:bCs/>
          <w:sz w:val="20"/>
          <w:szCs w:val="20"/>
        </w:rPr>
        <w:t>investigation</w:t>
      </w:r>
      <w:r w:rsidR="0027631C" w:rsidRPr="003D26C1">
        <w:rPr>
          <w:bCs/>
          <w:sz w:val="20"/>
          <w:szCs w:val="20"/>
        </w:rPr>
        <w:t xml:space="preserve"> </w:t>
      </w:r>
      <w:r w:rsidRPr="003D26C1">
        <w:rPr>
          <w:bCs/>
          <w:sz w:val="20"/>
          <w:szCs w:val="20"/>
        </w:rPr>
        <w:t xml:space="preserve">and that, in such cases, the criminal process is the best way to clarify the facts, prosecute those responsible and establish the corresponding </w:t>
      </w:r>
      <w:r w:rsidRPr="00B13654">
        <w:rPr>
          <w:bCs/>
          <w:sz w:val="20"/>
          <w:szCs w:val="20"/>
        </w:rPr>
        <w:t xml:space="preserve">criminal </w:t>
      </w:r>
      <w:r w:rsidR="00DA1572" w:rsidRPr="00B13654">
        <w:rPr>
          <w:bCs/>
          <w:sz w:val="20"/>
          <w:szCs w:val="20"/>
        </w:rPr>
        <w:t>sanctions.</w:t>
      </w:r>
      <w:r w:rsidR="00B13654">
        <w:rPr>
          <w:rStyle w:val="FootnoteReference"/>
          <w:bCs/>
          <w:sz w:val="20"/>
          <w:szCs w:val="20"/>
        </w:rPr>
        <w:footnoteReference w:id="6"/>
      </w:r>
      <w:r w:rsidR="00DA1572" w:rsidRPr="003D26C1">
        <w:rPr>
          <w:bCs/>
          <w:sz w:val="20"/>
          <w:szCs w:val="20"/>
        </w:rPr>
        <w:t xml:space="preserve"> </w:t>
      </w:r>
      <w:r w:rsidRPr="003D26C1">
        <w:rPr>
          <w:bCs/>
          <w:sz w:val="20"/>
          <w:szCs w:val="20"/>
        </w:rPr>
        <w:t>The Commission</w:t>
      </w:r>
      <w:r w:rsidR="00572B76">
        <w:rPr>
          <w:bCs/>
          <w:sz w:val="20"/>
          <w:szCs w:val="20"/>
        </w:rPr>
        <w:t xml:space="preserve"> notes that the petitioners allege that no investigation took place, and that the State did not provide specific information or documents </w:t>
      </w:r>
      <w:r w:rsidR="00C64B34">
        <w:rPr>
          <w:bCs/>
          <w:sz w:val="20"/>
          <w:szCs w:val="20"/>
        </w:rPr>
        <w:t>aimed at demonstrating</w:t>
      </w:r>
      <w:r w:rsidR="00572B76">
        <w:rPr>
          <w:bCs/>
          <w:sz w:val="20"/>
          <w:szCs w:val="20"/>
        </w:rPr>
        <w:t xml:space="preserve"> </w:t>
      </w:r>
      <w:r w:rsidRPr="003D26C1">
        <w:rPr>
          <w:bCs/>
          <w:sz w:val="20"/>
          <w:szCs w:val="20"/>
        </w:rPr>
        <w:t xml:space="preserve">that there </w:t>
      </w:r>
      <w:r w:rsidR="008C7541">
        <w:rPr>
          <w:bCs/>
          <w:sz w:val="20"/>
          <w:szCs w:val="20"/>
        </w:rPr>
        <w:t>were judicial proceedings</w:t>
      </w:r>
      <w:r w:rsidRPr="003D26C1">
        <w:rPr>
          <w:bCs/>
          <w:sz w:val="20"/>
          <w:szCs w:val="20"/>
        </w:rPr>
        <w:t xml:space="preserve"> or a proper police investigation to find those responsible for his death. In view of the foregoing, the IACHR concludes </w:t>
      </w:r>
      <w:r w:rsidR="00553117">
        <w:rPr>
          <w:bCs/>
          <w:sz w:val="20"/>
          <w:szCs w:val="20"/>
        </w:rPr>
        <w:t>that the exception to the rule of exhaustion of domestic remedies, as provided for in</w:t>
      </w:r>
      <w:r w:rsidR="000561C2">
        <w:rPr>
          <w:bCs/>
          <w:sz w:val="20"/>
          <w:szCs w:val="20"/>
        </w:rPr>
        <w:t xml:space="preserve"> Article 46.</w:t>
      </w:r>
      <w:r w:rsidRPr="003D26C1">
        <w:rPr>
          <w:bCs/>
          <w:sz w:val="20"/>
          <w:szCs w:val="20"/>
        </w:rPr>
        <w:t>2</w:t>
      </w:r>
      <w:r w:rsidR="000561C2">
        <w:rPr>
          <w:bCs/>
          <w:sz w:val="20"/>
          <w:szCs w:val="20"/>
        </w:rPr>
        <w:t>.c</w:t>
      </w:r>
      <w:r w:rsidRPr="003D26C1">
        <w:rPr>
          <w:bCs/>
          <w:sz w:val="20"/>
          <w:szCs w:val="20"/>
        </w:rPr>
        <w:t xml:space="preserve"> of the Convention</w:t>
      </w:r>
      <w:r w:rsidR="00553117">
        <w:rPr>
          <w:bCs/>
          <w:sz w:val="20"/>
          <w:szCs w:val="20"/>
        </w:rPr>
        <w:t>, is applicable</w:t>
      </w:r>
      <w:r w:rsidRPr="003D26C1">
        <w:rPr>
          <w:bCs/>
          <w:sz w:val="20"/>
          <w:szCs w:val="20"/>
        </w:rPr>
        <w:t>. In view of the context and elements of the petition, the Commission concludes that the admissibility requirements relating to the filing deadline are satisfied.</w:t>
      </w:r>
    </w:p>
    <w:p w14:paraId="764A4EF4" w14:textId="4AE97540" w:rsidR="00EE31F6" w:rsidRPr="00EE31F6" w:rsidRDefault="008C7541" w:rsidP="00FF12A3">
      <w:pPr>
        <w:pStyle w:val="ListParagraph"/>
        <w:numPr>
          <w:ilvl w:val="0"/>
          <w:numId w:val="108"/>
        </w:numPr>
        <w:tabs>
          <w:tab w:val="left" w:pos="0"/>
          <w:tab w:val="left" w:pos="720"/>
        </w:tabs>
        <w:spacing w:before="120" w:after="120"/>
        <w:ind w:left="0" w:firstLine="720"/>
        <w:jc w:val="both"/>
        <w:rPr>
          <w:bCs/>
          <w:sz w:val="16"/>
          <w:szCs w:val="20"/>
        </w:rPr>
      </w:pPr>
      <w:r>
        <w:rPr>
          <w:bCs/>
          <w:sz w:val="20"/>
          <w:szCs w:val="20"/>
        </w:rPr>
        <w:t>Additionally, t</w:t>
      </w:r>
      <w:r w:rsidR="003E6E7E">
        <w:rPr>
          <w:bCs/>
          <w:sz w:val="20"/>
          <w:szCs w:val="20"/>
        </w:rPr>
        <w:t xml:space="preserve">he Commission notes that the State submits that the victims were adequately compensated through the civil action. On this matter, </w:t>
      </w:r>
      <w:r w:rsidR="00EE31F6" w:rsidRPr="00EE31F6">
        <w:rPr>
          <w:bCs/>
          <w:sz w:val="20"/>
          <w:szCs w:val="20"/>
        </w:rPr>
        <w:t xml:space="preserve">the Commission has repeatedly held that said route does </w:t>
      </w:r>
      <w:r w:rsidR="00EE31F6" w:rsidRPr="00EE31F6">
        <w:rPr>
          <w:bCs/>
          <w:sz w:val="20"/>
          <w:szCs w:val="20"/>
        </w:rPr>
        <w:lastRenderedPageBreak/>
        <w:t>not constitute an appropriate remedy for the purpose of analyzing the admissibility of a claim of the nature of the present, since it is not suitable for provide comprehensive reparation that includes clarification and justice to family members</w:t>
      </w:r>
      <w:r w:rsidR="00F0182C">
        <w:rPr>
          <w:rStyle w:val="FootnoteReference"/>
          <w:bCs/>
          <w:sz w:val="20"/>
          <w:szCs w:val="20"/>
        </w:rPr>
        <w:footnoteReference w:id="7"/>
      </w:r>
      <w:r w:rsidR="00EE31F6" w:rsidRPr="00EE31F6">
        <w:rPr>
          <w:bCs/>
          <w:sz w:val="20"/>
          <w:szCs w:val="20"/>
        </w:rPr>
        <w:t>.</w:t>
      </w:r>
      <w:r w:rsidR="0027631C">
        <w:rPr>
          <w:bCs/>
          <w:sz w:val="20"/>
          <w:szCs w:val="20"/>
        </w:rPr>
        <w:t xml:space="preserve"> However, the IACHR will take that monetary compensation into account when deciding the merits of the present case.</w:t>
      </w:r>
    </w:p>
    <w:p w14:paraId="378478A0" w14:textId="67939068" w:rsidR="00F621C3" w:rsidRPr="00F505DF" w:rsidRDefault="00F621C3" w:rsidP="003D26C1">
      <w:pPr>
        <w:tabs>
          <w:tab w:val="left" w:pos="720"/>
        </w:tabs>
        <w:spacing w:before="120" w:after="120"/>
        <w:ind w:left="720"/>
        <w:jc w:val="both"/>
        <w:rPr>
          <w:rFonts w:asciiTheme="majorHAnsi" w:hAnsiTheme="majorHAnsi"/>
          <w:b/>
          <w:bCs/>
          <w:sz w:val="20"/>
          <w:szCs w:val="20"/>
        </w:rPr>
      </w:pPr>
      <w:r w:rsidRPr="00F505DF">
        <w:rPr>
          <w:rFonts w:asciiTheme="majorHAnsi" w:hAnsiTheme="majorHAnsi"/>
          <w:b/>
          <w:bCs/>
          <w:sz w:val="20"/>
          <w:szCs w:val="20"/>
        </w:rPr>
        <w:t>VII.</w:t>
      </w:r>
      <w:r w:rsidRPr="00F505DF">
        <w:rPr>
          <w:rFonts w:asciiTheme="majorHAnsi" w:hAnsiTheme="majorHAnsi"/>
          <w:b/>
          <w:bCs/>
          <w:sz w:val="20"/>
          <w:szCs w:val="20"/>
        </w:rPr>
        <w:tab/>
      </w:r>
      <w:r w:rsidR="0079535C" w:rsidRPr="00F505DF">
        <w:rPr>
          <w:rFonts w:asciiTheme="majorHAnsi" w:hAnsiTheme="majorHAnsi"/>
          <w:b/>
          <w:bCs/>
          <w:sz w:val="20"/>
          <w:szCs w:val="20"/>
        </w:rPr>
        <w:t xml:space="preserve">ANALYSIS OF </w:t>
      </w:r>
      <w:r w:rsidRPr="00F505DF">
        <w:rPr>
          <w:rFonts w:asciiTheme="majorHAnsi" w:hAnsiTheme="majorHAnsi"/>
          <w:b/>
          <w:bCs/>
          <w:sz w:val="20"/>
          <w:szCs w:val="20"/>
        </w:rPr>
        <w:t>COLORABLE CLAIM</w:t>
      </w:r>
    </w:p>
    <w:p w14:paraId="4C0E1222" w14:textId="00B309B6" w:rsidR="00736AB1" w:rsidRPr="002F7895" w:rsidRDefault="00736AB1" w:rsidP="00736AB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r w:rsidRPr="00F505DF">
        <w:rPr>
          <w:sz w:val="20"/>
          <w:szCs w:val="20"/>
        </w:rPr>
        <w:t xml:space="preserve">The Commission notes that this petition includes allegations regarding </w:t>
      </w:r>
      <w:r w:rsidRPr="00F505DF">
        <w:rPr>
          <w:rFonts w:asciiTheme="majorHAnsi" w:hAnsiTheme="majorHAnsi"/>
          <w:sz w:val="20"/>
          <w:szCs w:val="20"/>
        </w:rPr>
        <w:t xml:space="preserve">the murders of </w:t>
      </w:r>
      <w:proofErr w:type="spellStart"/>
      <w:r w:rsidRPr="00F505DF">
        <w:rPr>
          <w:bCs/>
          <w:sz w:val="20"/>
          <w:szCs w:val="20"/>
        </w:rPr>
        <w:t>Amanie</w:t>
      </w:r>
      <w:proofErr w:type="spellEnd"/>
      <w:r w:rsidRPr="00F505DF">
        <w:rPr>
          <w:bCs/>
          <w:sz w:val="20"/>
          <w:szCs w:val="20"/>
        </w:rPr>
        <w:t xml:space="preserve"> </w:t>
      </w:r>
      <w:proofErr w:type="spellStart"/>
      <w:r w:rsidRPr="00F505DF">
        <w:rPr>
          <w:bCs/>
          <w:sz w:val="20"/>
          <w:szCs w:val="20"/>
        </w:rPr>
        <w:t>Wedderburn</w:t>
      </w:r>
      <w:proofErr w:type="spellEnd"/>
      <w:r w:rsidRPr="00F505DF">
        <w:rPr>
          <w:bCs/>
          <w:sz w:val="20"/>
          <w:szCs w:val="20"/>
        </w:rPr>
        <w:t xml:space="preserve"> and Eric </w:t>
      </w:r>
      <w:proofErr w:type="spellStart"/>
      <w:r w:rsidRPr="00F505DF">
        <w:rPr>
          <w:bCs/>
          <w:sz w:val="20"/>
          <w:szCs w:val="20"/>
        </w:rPr>
        <w:t>Wedderburn</w:t>
      </w:r>
      <w:proofErr w:type="spellEnd"/>
      <w:r w:rsidRPr="00F505DF">
        <w:rPr>
          <w:bCs/>
          <w:sz w:val="20"/>
          <w:szCs w:val="20"/>
        </w:rPr>
        <w:t>, as well as the lack of due process and due diligence in the criminal investigations</w:t>
      </w:r>
      <w:r w:rsidR="007E246B">
        <w:rPr>
          <w:bCs/>
          <w:sz w:val="20"/>
          <w:szCs w:val="20"/>
        </w:rPr>
        <w:t xml:space="preserve"> that followed</w:t>
      </w:r>
      <w:r w:rsidRPr="00F505DF">
        <w:rPr>
          <w:bCs/>
          <w:sz w:val="20"/>
          <w:szCs w:val="20"/>
        </w:rPr>
        <w:t xml:space="preserve">, in a context where the families of the victims and the witnesses were threatened. </w:t>
      </w:r>
      <w:r w:rsidRPr="00F505DF">
        <w:rPr>
          <w:sz w:val="20"/>
          <w:szCs w:val="20"/>
        </w:rPr>
        <w:t xml:space="preserve">In view of these considerations and after examining the factual and legal elements presented by the parties, the Commission considers that the claims of the petitioner are not manifestly unfounded and require a substantive study since the alleged facts, if corroborated as true, could characterize </w:t>
      </w:r>
      <w:r w:rsidRPr="002F7895">
        <w:rPr>
          <w:sz w:val="20"/>
          <w:szCs w:val="20"/>
        </w:rPr>
        <w:t xml:space="preserve">violations of </w:t>
      </w:r>
      <w:r w:rsidRPr="002F7895">
        <w:rPr>
          <w:bCs/>
          <w:sz w:val="20"/>
          <w:szCs w:val="20"/>
        </w:rPr>
        <w:t xml:space="preserve">articles 4 (life), 5 (humane treatment), 8 (fair trial), 19 (rights of the child), 25 (judicial protection) of the Convention, in connection with </w:t>
      </w:r>
      <w:r w:rsidR="00397FD1" w:rsidRPr="002F7895">
        <w:rPr>
          <w:bCs/>
          <w:sz w:val="20"/>
          <w:szCs w:val="20"/>
        </w:rPr>
        <w:t>the a</w:t>
      </w:r>
      <w:r w:rsidRPr="002F7895">
        <w:rPr>
          <w:bCs/>
          <w:sz w:val="20"/>
          <w:szCs w:val="20"/>
        </w:rPr>
        <w:t>rticles 1.1 (obligation to respect rights) and 2 (domestic legal effect) of the same instrument.</w:t>
      </w:r>
    </w:p>
    <w:p w14:paraId="615C4715" w14:textId="26418D0C" w:rsidR="00EB76C8" w:rsidRPr="00736AB1" w:rsidRDefault="003D26C1" w:rsidP="00F505DF">
      <w:pPr>
        <w:pStyle w:val="ListParagraph"/>
        <w:numPr>
          <w:ilvl w:val="0"/>
          <w:numId w:val="108"/>
        </w:numPr>
        <w:spacing w:before="120" w:after="120"/>
        <w:ind w:left="0" w:firstLine="810"/>
        <w:jc w:val="both"/>
        <w:rPr>
          <w:rFonts w:asciiTheme="majorHAnsi" w:hAnsiTheme="majorHAnsi"/>
          <w:sz w:val="20"/>
          <w:szCs w:val="20"/>
        </w:rPr>
      </w:pPr>
      <w:r w:rsidRPr="002F7895">
        <w:rPr>
          <w:bCs/>
          <w:sz w:val="20"/>
          <w:szCs w:val="20"/>
        </w:rPr>
        <w:t xml:space="preserve"> </w:t>
      </w:r>
      <w:r w:rsidR="00EB76C8" w:rsidRPr="002F7895">
        <w:rPr>
          <w:rFonts w:asciiTheme="majorHAnsi" w:hAnsiTheme="majorHAnsi"/>
          <w:sz w:val="20"/>
          <w:szCs w:val="20"/>
        </w:rPr>
        <w:t>Finally, with regard to the plea of the State of fourth instance, the Commission notes that by accepting this request it is not intended to supplant the jurisdiction of the domestic</w:t>
      </w:r>
      <w:r w:rsidR="00EB76C8" w:rsidRPr="00F505DF">
        <w:rPr>
          <w:rFonts w:asciiTheme="majorHAnsi" w:hAnsiTheme="majorHAnsi"/>
          <w:sz w:val="20"/>
          <w:szCs w:val="20"/>
        </w:rPr>
        <w:t xml:space="preserve"> judicial authorities. Rather, it will analyze, at the substantive stage of this petition, whether the domestic judicial processes complied with the guarantees of due process and judi</w:t>
      </w:r>
      <w:r w:rsidR="00EB76C8" w:rsidRPr="00736AB1">
        <w:rPr>
          <w:rFonts w:asciiTheme="majorHAnsi" w:hAnsiTheme="majorHAnsi"/>
          <w:sz w:val="20"/>
          <w:szCs w:val="20"/>
        </w:rPr>
        <w:t>cial protection, and offered due guarantees of access to justice for the alleged victims under the terms of the American Convention.</w:t>
      </w:r>
    </w:p>
    <w:p w14:paraId="5A70550C" w14:textId="77777777" w:rsidR="00F621C3" w:rsidRPr="000B6B7A" w:rsidRDefault="00F621C3" w:rsidP="00C355B4">
      <w:pPr>
        <w:pStyle w:val="ListParagraph"/>
        <w:spacing w:before="120" w:after="12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227B9B6E" w14:textId="73DD9F54" w:rsidR="00F621C3" w:rsidRPr="000B6B7A" w:rsidRDefault="00F621C3" w:rsidP="00C355B4">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rPr>
      </w:pPr>
      <w:r w:rsidRPr="000B6B7A">
        <w:rPr>
          <w:rFonts w:asciiTheme="majorHAnsi" w:hAnsiTheme="majorHAnsi"/>
          <w:sz w:val="20"/>
          <w:szCs w:val="20"/>
        </w:rPr>
        <w:t xml:space="preserve">To find the instant petition admissible in relation to Articles </w:t>
      </w:r>
      <w:r w:rsidR="00134291">
        <w:rPr>
          <w:rFonts w:ascii="Cambria" w:hAnsi="Cambria"/>
          <w:bCs/>
          <w:sz w:val="19"/>
          <w:szCs w:val="19"/>
        </w:rPr>
        <w:t xml:space="preserve">4, 5, 8, 19, 25 </w:t>
      </w:r>
      <w:r w:rsidR="00134291" w:rsidRPr="00897284">
        <w:rPr>
          <w:rFonts w:ascii="Cambria" w:hAnsi="Cambria"/>
          <w:bCs/>
          <w:sz w:val="19"/>
          <w:szCs w:val="19"/>
        </w:rPr>
        <w:t xml:space="preserve">of the Convention, </w:t>
      </w:r>
      <w:r w:rsidR="00134291">
        <w:rPr>
          <w:rFonts w:ascii="Cambria" w:hAnsi="Cambria"/>
          <w:bCs/>
          <w:sz w:val="19"/>
          <w:szCs w:val="19"/>
        </w:rPr>
        <w:t>in connection with Articles 1.1 and 2 of the same instrument</w:t>
      </w:r>
      <w:r w:rsidRPr="000B6B7A">
        <w:rPr>
          <w:rFonts w:asciiTheme="majorHAnsi" w:hAnsiTheme="majorHAnsi"/>
          <w:sz w:val="20"/>
          <w:szCs w:val="20"/>
        </w:rPr>
        <w:t>;</w:t>
      </w:r>
    </w:p>
    <w:p w14:paraId="22CC8DDA" w14:textId="5ADE1642" w:rsidR="00F621C3" w:rsidRPr="004E7EB2" w:rsidRDefault="00F621C3" w:rsidP="00C355B4">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rPr>
      </w:pPr>
      <w:r w:rsidRPr="001F1902">
        <w:rPr>
          <w:rFonts w:asciiTheme="majorHAnsi" w:hAnsiTheme="majorHAnsi"/>
          <w:sz w:val="20"/>
          <w:szCs w:val="20"/>
        </w:rPr>
        <w:t>To notify the parties of this decision;</w:t>
      </w:r>
      <w:r w:rsidR="001F1902" w:rsidRPr="001F1902">
        <w:rPr>
          <w:rFonts w:asciiTheme="majorHAnsi" w:hAnsiTheme="majorHAnsi"/>
          <w:sz w:val="20"/>
          <w:szCs w:val="20"/>
        </w:rPr>
        <w:t xml:space="preserve"> </w:t>
      </w:r>
      <w:r w:rsidR="001F1902" w:rsidRPr="00604550">
        <w:rPr>
          <w:rFonts w:asciiTheme="majorHAnsi" w:hAnsiTheme="majorHAnsi"/>
          <w:sz w:val="20"/>
          <w:szCs w:val="20"/>
        </w:rPr>
        <w:t>t</w:t>
      </w:r>
      <w:r w:rsidRPr="00604550">
        <w:rPr>
          <w:rFonts w:asciiTheme="majorHAnsi" w:hAnsiTheme="majorHAnsi"/>
          <w:sz w:val="20"/>
          <w:szCs w:val="20"/>
        </w:rPr>
        <w:t xml:space="preserve">o </w:t>
      </w:r>
      <w:r w:rsidR="002F7895">
        <w:rPr>
          <w:rFonts w:asciiTheme="majorHAnsi" w:hAnsiTheme="majorHAnsi"/>
          <w:sz w:val="20"/>
          <w:szCs w:val="20"/>
        </w:rPr>
        <w:t>proceed</w:t>
      </w:r>
      <w:r w:rsidRPr="00604550">
        <w:rPr>
          <w:rFonts w:asciiTheme="majorHAnsi" w:hAnsiTheme="majorHAnsi"/>
          <w:sz w:val="20"/>
          <w:szCs w:val="20"/>
        </w:rPr>
        <w:t xml:space="preserve"> with the analysis on the merits</w:t>
      </w:r>
      <w:r w:rsidRPr="001F1902">
        <w:rPr>
          <w:rFonts w:asciiTheme="majorHAnsi" w:hAnsiTheme="majorHAnsi"/>
          <w:sz w:val="20"/>
          <w:szCs w:val="20"/>
        </w:rPr>
        <w:t xml:space="preserve">; and </w:t>
      </w:r>
      <w:r w:rsidR="001F1902">
        <w:rPr>
          <w:rFonts w:asciiTheme="majorHAnsi" w:hAnsiTheme="majorHAnsi"/>
          <w:sz w:val="20"/>
          <w:szCs w:val="20"/>
        </w:rPr>
        <w:t>t</w:t>
      </w:r>
      <w:r w:rsidRPr="001F1902">
        <w:rPr>
          <w:rFonts w:asciiTheme="majorHAnsi" w:hAnsiTheme="majorHAnsi"/>
          <w:sz w:val="20"/>
          <w:szCs w:val="20"/>
        </w:rPr>
        <w:t>o publish this decision and include it in its Annual Report to the General Assembly of the Organization of American States.</w:t>
      </w:r>
    </w:p>
    <w:p w14:paraId="4C4A2AC8" w14:textId="2EFC327F" w:rsidR="004E7EB2" w:rsidRDefault="004E7EB2" w:rsidP="004E7EB2">
      <w:pPr>
        <w:suppressAutoHyphens/>
        <w:ind w:firstLine="720"/>
        <w:jc w:val="both"/>
        <w:rPr>
          <w:rFonts w:ascii="Cambria" w:hAnsi="Cambria"/>
          <w:spacing w:val="-2"/>
          <w:sz w:val="20"/>
        </w:rPr>
      </w:pPr>
      <w:r w:rsidRPr="006D25D7">
        <w:rPr>
          <w:rFonts w:ascii="Cambria" w:hAnsi="Cambria"/>
          <w:spacing w:val="-2"/>
          <w:sz w:val="20"/>
        </w:rPr>
        <w:t xml:space="preserve">Approved by the Inter-American Commission on Human Rights on the </w:t>
      </w:r>
      <w:r>
        <w:rPr>
          <w:rFonts w:ascii="Cambria" w:hAnsi="Cambria"/>
          <w:spacing w:val="-2"/>
          <w:sz w:val="20"/>
        </w:rPr>
        <w:t>24</w:t>
      </w:r>
      <w:r w:rsidRPr="004E7EB2">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ay of the month of April, 2020</w:t>
      </w:r>
      <w:r w:rsidRPr="006D25D7">
        <w:rPr>
          <w:rFonts w:ascii="Cambria" w:hAnsi="Cambria"/>
          <w:spacing w:val="-2"/>
          <w:sz w:val="20"/>
        </w:rPr>
        <w:t xml:space="preserve">. </w:t>
      </w:r>
      <w:r w:rsidRPr="008E4C59">
        <w:rPr>
          <w:rFonts w:asciiTheme="majorHAnsi" w:hAnsiTheme="majorHAnsi" w:cs="Arial"/>
          <w:noProof/>
          <w:spacing w:val="-2"/>
          <w:sz w:val="20"/>
          <w:szCs w:val="20"/>
        </w:rPr>
        <w:t>Joel Hernández</w:t>
      </w:r>
      <w:r w:rsidRPr="006D25D7">
        <w:rPr>
          <w:rFonts w:ascii="Cambria" w:hAnsi="Cambria"/>
          <w:sz w:val="20"/>
        </w:rPr>
        <w:t xml:space="preserve">, President; </w:t>
      </w:r>
      <w:r w:rsidRPr="008E4C59">
        <w:rPr>
          <w:rFonts w:asciiTheme="majorHAnsi" w:hAnsiTheme="majorHAnsi" w:cs="Arial"/>
          <w:noProof/>
          <w:spacing w:val="-2"/>
          <w:sz w:val="20"/>
          <w:szCs w:val="20"/>
        </w:rPr>
        <w:t>Antonia Urrejola</w:t>
      </w:r>
      <w:r w:rsidRPr="006D25D7">
        <w:rPr>
          <w:rFonts w:ascii="Cambria" w:hAnsi="Cambria"/>
          <w:sz w:val="20"/>
        </w:rPr>
        <w:t xml:space="preserve">, First Vice President; </w:t>
      </w:r>
      <w:proofErr w:type="spellStart"/>
      <w:r>
        <w:rPr>
          <w:rFonts w:ascii="Cambria" w:hAnsi="Cambria"/>
          <w:sz w:val="20"/>
          <w:szCs w:val="20"/>
        </w:rPr>
        <w:t>Flávia</w:t>
      </w:r>
      <w:proofErr w:type="spellEnd"/>
      <w:r>
        <w:rPr>
          <w:rFonts w:ascii="Cambria" w:hAnsi="Cambria"/>
          <w:sz w:val="20"/>
          <w:szCs w:val="20"/>
        </w:rPr>
        <w:t xml:space="preserve"> </w:t>
      </w:r>
      <w:proofErr w:type="spellStart"/>
      <w:r>
        <w:rPr>
          <w:rFonts w:ascii="Cambria" w:hAnsi="Cambria"/>
          <w:sz w:val="20"/>
          <w:szCs w:val="20"/>
        </w:rPr>
        <w:t>Piovesan</w:t>
      </w:r>
      <w:proofErr w:type="spellEnd"/>
      <w:r w:rsidRPr="006D25D7">
        <w:rPr>
          <w:rFonts w:ascii="Cambria" w:hAnsi="Cambria"/>
          <w:sz w:val="20"/>
        </w:rPr>
        <w:t>, Second Vice President;</w:t>
      </w:r>
      <w:r>
        <w:rPr>
          <w:rFonts w:ascii="Cambria" w:hAnsi="Cambria"/>
          <w:sz w:val="20"/>
        </w:rPr>
        <w:t xml:space="preserve"> </w:t>
      </w:r>
      <w:r w:rsidRPr="008E4C59">
        <w:rPr>
          <w:rFonts w:asciiTheme="majorHAnsi" w:hAnsiTheme="majorHAnsi" w:cs="Arial"/>
          <w:noProof/>
          <w:spacing w:val="-2"/>
          <w:sz w:val="20"/>
          <w:szCs w:val="20"/>
        </w:rPr>
        <w:t xml:space="preserve">Esmeralda E. Arosemena Bernal de Troitiño, </w:t>
      </w:r>
      <w:r>
        <w:rPr>
          <w:rFonts w:asciiTheme="majorHAnsi" w:hAnsiTheme="majorHAnsi" w:cs="Arial"/>
          <w:noProof/>
          <w:spacing w:val="-2"/>
          <w:sz w:val="20"/>
          <w:szCs w:val="20"/>
        </w:rPr>
        <w:t>and</w:t>
      </w:r>
      <w:r w:rsidRPr="008E4C59">
        <w:rPr>
          <w:rFonts w:asciiTheme="majorHAnsi" w:hAnsiTheme="majorHAnsi" w:cs="Arial"/>
          <w:noProof/>
          <w:spacing w:val="-2"/>
          <w:sz w:val="20"/>
          <w:szCs w:val="20"/>
        </w:rPr>
        <w:t xml:space="preserve"> Stuardo Ralón Orellana</w:t>
      </w:r>
      <w:r w:rsidRPr="006D25D7">
        <w:rPr>
          <w:rFonts w:ascii="Cambria" w:hAnsi="Cambria" w:cs="Arial"/>
          <w:noProof/>
          <w:spacing w:val="-2"/>
          <w:sz w:val="20"/>
        </w:rPr>
        <w:t xml:space="preserve">  </w:t>
      </w:r>
      <w:r w:rsidRPr="006D25D7">
        <w:rPr>
          <w:rFonts w:ascii="Cambria" w:hAnsi="Cambria"/>
          <w:spacing w:val="-2"/>
          <w:sz w:val="20"/>
        </w:rPr>
        <w:t>Commissioners.</w:t>
      </w:r>
    </w:p>
    <w:p w14:paraId="54581AF0" w14:textId="77777777" w:rsidR="004E7EB2" w:rsidRPr="006D25D7" w:rsidRDefault="004E7EB2" w:rsidP="004E7EB2">
      <w:pPr>
        <w:suppressAutoHyphens/>
        <w:ind w:firstLine="720"/>
        <w:jc w:val="both"/>
        <w:rPr>
          <w:rFonts w:ascii="Cambria" w:hAnsi="Cambria"/>
          <w:spacing w:val="-2"/>
          <w:sz w:val="20"/>
        </w:rPr>
      </w:pPr>
    </w:p>
    <w:sectPr w:rsidR="004E7EB2" w:rsidRPr="006D25D7"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70D900" w14:textId="77777777" w:rsidR="00C33206" w:rsidRDefault="00C33206" w:rsidP="00036A8A">
      <w:r>
        <w:separator/>
      </w:r>
    </w:p>
  </w:endnote>
  <w:endnote w:type="continuationSeparator" w:id="0">
    <w:p w14:paraId="71B8E684" w14:textId="77777777" w:rsidR="00C33206" w:rsidRDefault="00C33206"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61560" w14:textId="77777777" w:rsidR="001A5ADC" w:rsidRDefault="001A5A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4A663C05"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1A5ADC">
          <w:rPr>
            <w:noProof/>
            <w:sz w:val="16"/>
          </w:rPr>
          <w:t>1</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095591" w14:textId="77777777" w:rsidR="00C33206" w:rsidRPr="00036A8A" w:rsidRDefault="00C33206"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1C66877D" w14:textId="77777777" w:rsidR="00C33206" w:rsidRPr="00036A8A" w:rsidRDefault="00C33206" w:rsidP="00036A8A">
      <w:pPr>
        <w:rPr>
          <w:rFonts w:asciiTheme="majorHAnsi" w:hAnsiTheme="majorHAnsi"/>
          <w:sz w:val="16"/>
          <w:szCs w:val="16"/>
        </w:rPr>
      </w:pPr>
      <w:r w:rsidRPr="00036A8A">
        <w:rPr>
          <w:rFonts w:asciiTheme="majorHAnsi" w:hAnsiTheme="majorHAnsi"/>
          <w:sz w:val="16"/>
          <w:szCs w:val="16"/>
        </w:rPr>
        <w:separator/>
      </w:r>
    </w:p>
    <w:p w14:paraId="24687D56" w14:textId="77777777" w:rsidR="00C33206" w:rsidRPr="00036A8A" w:rsidRDefault="00C33206"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3DDCDE13" w14:textId="77777777" w:rsidR="00C33206" w:rsidRPr="0093441A" w:rsidRDefault="00C33206"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669AA3DE" w14:textId="6ED9843D" w:rsidR="003D6EE0" w:rsidRPr="009A5E79" w:rsidRDefault="00696FC1" w:rsidP="0027631C">
      <w:pPr>
        <w:pStyle w:val="FootnoteText"/>
        <w:jc w:val="both"/>
        <w:rPr>
          <w:rFonts w:asciiTheme="majorHAnsi" w:hAnsiTheme="majorHAnsi"/>
          <w:sz w:val="16"/>
          <w:szCs w:val="16"/>
        </w:rPr>
      </w:pPr>
      <w:r w:rsidRPr="009A5E79">
        <w:rPr>
          <w:rFonts w:asciiTheme="majorHAnsi" w:hAnsiTheme="majorHAnsi"/>
          <w:sz w:val="16"/>
          <w:szCs w:val="16"/>
          <w:vertAlign w:val="superscript"/>
        </w:rPr>
        <w:t>1</w:t>
      </w:r>
      <w:r w:rsidRPr="009A5E79">
        <w:rPr>
          <w:rFonts w:asciiTheme="majorHAnsi" w:hAnsiTheme="majorHAnsi"/>
          <w:sz w:val="16"/>
          <w:szCs w:val="16"/>
        </w:rPr>
        <w:t xml:space="preserve"> In keeping with Article 17(2</w:t>
      </w:r>
      <w:proofErr w:type="gramStart"/>
      <w:r w:rsidRPr="009A5E79">
        <w:rPr>
          <w:rFonts w:asciiTheme="majorHAnsi" w:hAnsiTheme="majorHAnsi"/>
          <w:sz w:val="16"/>
          <w:szCs w:val="16"/>
        </w:rPr>
        <w:t>)(</w:t>
      </w:r>
      <w:proofErr w:type="gramEnd"/>
      <w:r w:rsidRPr="009A5E79">
        <w:rPr>
          <w:rFonts w:asciiTheme="majorHAnsi" w:hAnsiTheme="majorHAnsi"/>
          <w:sz w:val="16"/>
          <w:szCs w:val="16"/>
        </w:rPr>
        <w:t>a) of the Commission’s Rules of Procedure Commissioner Margarette May Macaulay, a Jamaican national, did not participate in the deliberations or decision in this matter.</w:t>
      </w:r>
    </w:p>
  </w:footnote>
  <w:footnote w:id="3">
    <w:p w14:paraId="43AD8366" w14:textId="68EDD081" w:rsidR="00722B00" w:rsidRPr="009A5E79" w:rsidRDefault="00722B00" w:rsidP="0027631C">
      <w:pPr>
        <w:pStyle w:val="FootnoteText"/>
        <w:jc w:val="both"/>
        <w:rPr>
          <w:rFonts w:asciiTheme="majorHAnsi" w:hAnsiTheme="majorHAnsi"/>
          <w:sz w:val="16"/>
          <w:szCs w:val="16"/>
        </w:rPr>
      </w:pPr>
      <w:r w:rsidRPr="009A5E79">
        <w:rPr>
          <w:rStyle w:val="FootnoteReference"/>
          <w:rFonts w:asciiTheme="majorHAnsi" w:hAnsiTheme="majorHAnsi"/>
          <w:sz w:val="16"/>
          <w:szCs w:val="16"/>
        </w:rPr>
        <w:footnoteRef/>
      </w:r>
      <w:r w:rsidRPr="009A5E79">
        <w:rPr>
          <w:rFonts w:asciiTheme="majorHAnsi" w:hAnsiTheme="majorHAnsi"/>
          <w:sz w:val="16"/>
          <w:szCs w:val="16"/>
        </w:rPr>
        <w:t xml:space="preserve"> Hereinafter “the American </w:t>
      </w:r>
      <w:r w:rsidR="005F6850">
        <w:rPr>
          <w:rFonts w:asciiTheme="majorHAnsi" w:hAnsiTheme="majorHAnsi"/>
          <w:sz w:val="16"/>
          <w:szCs w:val="16"/>
        </w:rPr>
        <w:t>Convention</w:t>
      </w:r>
      <w:r w:rsidRPr="009A5E79">
        <w:rPr>
          <w:rFonts w:asciiTheme="majorHAnsi" w:hAnsiTheme="majorHAnsi"/>
          <w:sz w:val="16"/>
          <w:szCs w:val="16"/>
        </w:rPr>
        <w:t xml:space="preserve">” or “the </w:t>
      </w:r>
      <w:r w:rsidR="005F6850">
        <w:rPr>
          <w:rFonts w:asciiTheme="majorHAnsi" w:hAnsiTheme="majorHAnsi"/>
          <w:sz w:val="16"/>
          <w:szCs w:val="16"/>
        </w:rPr>
        <w:t>Convention</w:t>
      </w:r>
      <w:r w:rsidRPr="009A5E79">
        <w:rPr>
          <w:rFonts w:asciiTheme="majorHAnsi" w:hAnsiTheme="majorHAnsi"/>
          <w:sz w:val="16"/>
          <w:szCs w:val="16"/>
        </w:rPr>
        <w:t>”.</w:t>
      </w:r>
    </w:p>
  </w:footnote>
  <w:footnote w:id="4">
    <w:p w14:paraId="6F51BDAF" w14:textId="5F4755E7" w:rsidR="00653EA6" w:rsidRPr="009A5E79" w:rsidRDefault="00653EA6" w:rsidP="0027631C">
      <w:pPr>
        <w:pStyle w:val="FootnoteText"/>
        <w:jc w:val="both"/>
        <w:rPr>
          <w:rFonts w:asciiTheme="majorHAnsi" w:hAnsiTheme="majorHAnsi"/>
          <w:sz w:val="16"/>
          <w:szCs w:val="16"/>
        </w:rPr>
      </w:pPr>
      <w:r w:rsidRPr="009A5E79">
        <w:rPr>
          <w:rStyle w:val="FootnoteReference"/>
          <w:rFonts w:asciiTheme="majorHAnsi" w:hAnsiTheme="majorHAnsi"/>
          <w:sz w:val="16"/>
          <w:szCs w:val="16"/>
        </w:rPr>
        <w:footnoteRef/>
      </w:r>
      <w:r w:rsidRPr="009A5E79">
        <w:rPr>
          <w:rFonts w:asciiTheme="majorHAnsi" w:hAnsiTheme="majorHAnsi"/>
          <w:sz w:val="16"/>
          <w:szCs w:val="16"/>
        </w:rPr>
        <w:t xml:space="preserve"> The observations </w:t>
      </w:r>
      <w:r w:rsidR="00321AFD" w:rsidRPr="009A5E79">
        <w:rPr>
          <w:rFonts w:asciiTheme="majorHAnsi" w:hAnsiTheme="majorHAnsi"/>
          <w:sz w:val="16"/>
          <w:szCs w:val="16"/>
        </w:rPr>
        <w:t>submitted</w:t>
      </w:r>
      <w:r w:rsidRPr="009A5E79">
        <w:rPr>
          <w:rFonts w:asciiTheme="majorHAnsi" w:hAnsiTheme="majorHAnsi"/>
          <w:sz w:val="16"/>
          <w:szCs w:val="16"/>
        </w:rPr>
        <w:t xml:space="preserve"> by each party were duly transmitted to the opposing party.</w:t>
      </w:r>
    </w:p>
  </w:footnote>
  <w:footnote w:id="5">
    <w:p w14:paraId="56A87A60" w14:textId="04A77F1A" w:rsidR="006202F2" w:rsidRPr="009A5E79" w:rsidRDefault="006202F2" w:rsidP="0027631C">
      <w:pPr>
        <w:pStyle w:val="FootnoteText"/>
        <w:jc w:val="both"/>
        <w:rPr>
          <w:rFonts w:asciiTheme="majorHAnsi" w:hAnsiTheme="majorHAnsi"/>
          <w:sz w:val="16"/>
          <w:szCs w:val="16"/>
        </w:rPr>
      </w:pPr>
      <w:r w:rsidRPr="009A5E79">
        <w:rPr>
          <w:rStyle w:val="FootnoteReference"/>
          <w:rFonts w:asciiTheme="majorHAnsi" w:hAnsiTheme="majorHAnsi"/>
          <w:sz w:val="16"/>
          <w:szCs w:val="16"/>
        </w:rPr>
        <w:footnoteRef/>
      </w:r>
      <w:r w:rsidRPr="009A5E79">
        <w:rPr>
          <w:rFonts w:asciiTheme="majorHAnsi" w:hAnsiTheme="majorHAnsi"/>
          <w:sz w:val="16"/>
          <w:szCs w:val="16"/>
        </w:rPr>
        <w:t xml:space="preserve"> The petitioner refers to the 2012 Country Report on the Human Rights Situation in Jamaica, OEA/</w:t>
      </w:r>
      <w:proofErr w:type="spellStart"/>
      <w:r w:rsidRPr="009A5E79">
        <w:rPr>
          <w:rFonts w:asciiTheme="majorHAnsi" w:hAnsiTheme="majorHAnsi"/>
          <w:sz w:val="16"/>
          <w:szCs w:val="16"/>
        </w:rPr>
        <w:t>Ser.L</w:t>
      </w:r>
      <w:proofErr w:type="spellEnd"/>
      <w:r w:rsidRPr="009A5E79">
        <w:rPr>
          <w:rFonts w:asciiTheme="majorHAnsi" w:hAnsiTheme="majorHAnsi"/>
          <w:sz w:val="16"/>
          <w:szCs w:val="16"/>
        </w:rPr>
        <w:t>/</w:t>
      </w:r>
      <w:r w:rsidR="009A5E79" w:rsidRPr="009A5E79">
        <w:rPr>
          <w:rFonts w:asciiTheme="majorHAnsi" w:hAnsiTheme="majorHAnsi"/>
          <w:sz w:val="16"/>
          <w:szCs w:val="16"/>
        </w:rPr>
        <w:t>V/II.144, 12 August, 2012, par. </w:t>
      </w:r>
      <w:r w:rsidRPr="009A5E79">
        <w:rPr>
          <w:rFonts w:asciiTheme="majorHAnsi" w:hAnsiTheme="majorHAnsi"/>
          <w:sz w:val="16"/>
          <w:szCs w:val="16"/>
        </w:rPr>
        <w:t>94-95.</w:t>
      </w:r>
    </w:p>
  </w:footnote>
  <w:footnote w:id="6">
    <w:p w14:paraId="3DD73B20" w14:textId="39F752B5" w:rsidR="00B13654" w:rsidRPr="007E246B" w:rsidRDefault="00B13654" w:rsidP="0027631C">
      <w:pPr>
        <w:pStyle w:val="FootnoteText"/>
        <w:jc w:val="both"/>
        <w:rPr>
          <w:rFonts w:asciiTheme="majorHAnsi" w:hAnsiTheme="majorHAnsi"/>
          <w:sz w:val="16"/>
          <w:szCs w:val="16"/>
          <w:lang w:val="es-MX"/>
        </w:rPr>
      </w:pPr>
      <w:r w:rsidRPr="009A5E79">
        <w:rPr>
          <w:rFonts w:asciiTheme="majorHAnsi" w:hAnsiTheme="majorHAnsi"/>
          <w:sz w:val="16"/>
          <w:szCs w:val="16"/>
          <w:vertAlign w:val="superscript"/>
        </w:rPr>
        <w:footnoteRef/>
      </w:r>
      <w:r w:rsidR="00925EC2" w:rsidRPr="0027631C">
        <w:rPr>
          <w:rFonts w:asciiTheme="majorHAnsi" w:hAnsiTheme="majorHAnsi"/>
          <w:sz w:val="16"/>
          <w:szCs w:val="16"/>
          <w:lang w:val="es-MX"/>
        </w:rPr>
        <w:t xml:space="preserve"> </w:t>
      </w:r>
      <w:r w:rsidR="0027631C" w:rsidRPr="0027631C">
        <w:rPr>
          <w:rFonts w:asciiTheme="majorHAnsi" w:hAnsiTheme="majorHAnsi"/>
          <w:sz w:val="16"/>
          <w:szCs w:val="16"/>
          <w:lang w:val="es-MX"/>
        </w:rPr>
        <w:t xml:space="preserve">CIDH, Informe No. 87/08, Petición 558-05. Admisibilidad. Jeremy Smith. Jamaica. 30 de octubre de 2008, párr. </w:t>
      </w:r>
      <w:r w:rsidR="0027631C" w:rsidRPr="007E246B">
        <w:rPr>
          <w:rFonts w:asciiTheme="majorHAnsi" w:hAnsiTheme="majorHAnsi"/>
          <w:sz w:val="16"/>
          <w:szCs w:val="16"/>
          <w:lang w:val="es-MX"/>
        </w:rPr>
        <w:t>36</w:t>
      </w:r>
      <w:r w:rsidR="00BC1A7B" w:rsidRPr="007E246B">
        <w:rPr>
          <w:rFonts w:asciiTheme="majorHAnsi" w:hAnsiTheme="majorHAnsi"/>
          <w:sz w:val="16"/>
          <w:szCs w:val="16"/>
          <w:lang w:val="es-MX"/>
        </w:rPr>
        <w:t>.</w:t>
      </w:r>
    </w:p>
  </w:footnote>
  <w:footnote w:id="7">
    <w:p w14:paraId="69110772" w14:textId="6DD4187A" w:rsidR="00F0182C" w:rsidRPr="009A5E79" w:rsidRDefault="00F0182C" w:rsidP="0027631C">
      <w:pPr>
        <w:pStyle w:val="FootnoteText"/>
        <w:jc w:val="both"/>
        <w:rPr>
          <w:rFonts w:asciiTheme="majorHAnsi" w:hAnsiTheme="majorHAnsi"/>
          <w:sz w:val="16"/>
          <w:szCs w:val="16"/>
        </w:rPr>
      </w:pPr>
      <w:r w:rsidRPr="009A5E79">
        <w:rPr>
          <w:rFonts w:asciiTheme="majorHAnsi" w:hAnsiTheme="majorHAnsi"/>
          <w:sz w:val="16"/>
          <w:szCs w:val="16"/>
          <w:vertAlign w:val="superscript"/>
        </w:rPr>
        <w:footnoteRef/>
      </w:r>
      <w:r w:rsidRPr="004E7EB2">
        <w:rPr>
          <w:rFonts w:asciiTheme="majorHAnsi" w:hAnsiTheme="majorHAnsi"/>
          <w:sz w:val="16"/>
          <w:szCs w:val="16"/>
          <w:lang w:val="es-MX"/>
        </w:rPr>
        <w:t xml:space="preserve"> </w:t>
      </w:r>
      <w:proofErr w:type="spellStart"/>
      <w:r w:rsidRPr="004E7EB2">
        <w:rPr>
          <w:rFonts w:asciiTheme="majorHAnsi" w:hAnsiTheme="majorHAnsi"/>
          <w:sz w:val="16"/>
          <w:szCs w:val="16"/>
          <w:lang w:val="es-MX"/>
        </w:rPr>
        <w:t>See</w:t>
      </w:r>
      <w:proofErr w:type="spellEnd"/>
      <w:r w:rsidRPr="004E7EB2">
        <w:rPr>
          <w:rFonts w:asciiTheme="majorHAnsi" w:hAnsiTheme="majorHAnsi"/>
          <w:sz w:val="16"/>
          <w:szCs w:val="16"/>
          <w:lang w:val="es-MX"/>
        </w:rPr>
        <w:t xml:space="preserve"> IACHR, </w:t>
      </w:r>
      <w:proofErr w:type="spellStart"/>
      <w:r w:rsidRPr="004E7EB2">
        <w:rPr>
          <w:rFonts w:asciiTheme="majorHAnsi" w:hAnsiTheme="majorHAnsi"/>
          <w:sz w:val="16"/>
          <w:szCs w:val="16"/>
          <w:lang w:val="es-MX"/>
        </w:rPr>
        <w:t>Report</w:t>
      </w:r>
      <w:proofErr w:type="spellEnd"/>
      <w:r w:rsidRPr="004E7EB2">
        <w:rPr>
          <w:rFonts w:asciiTheme="majorHAnsi" w:hAnsiTheme="majorHAnsi"/>
          <w:sz w:val="16"/>
          <w:szCs w:val="16"/>
          <w:lang w:val="es-MX"/>
        </w:rPr>
        <w:t xml:space="preserve"> No. 72/16. </w:t>
      </w:r>
      <w:proofErr w:type="spellStart"/>
      <w:r w:rsidRPr="004E7EB2">
        <w:rPr>
          <w:rFonts w:asciiTheme="majorHAnsi" w:hAnsiTheme="majorHAnsi"/>
          <w:sz w:val="16"/>
          <w:szCs w:val="16"/>
          <w:lang w:val="es-MX"/>
        </w:rPr>
        <w:t>Petition</w:t>
      </w:r>
      <w:proofErr w:type="spellEnd"/>
      <w:r w:rsidRPr="004E7EB2">
        <w:rPr>
          <w:rFonts w:asciiTheme="majorHAnsi" w:hAnsiTheme="majorHAnsi"/>
          <w:sz w:val="16"/>
          <w:szCs w:val="16"/>
          <w:lang w:val="es-MX"/>
        </w:rPr>
        <w:t xml:space="preserve"> 694-06. </w:t>
      </w:r>
      <w:proofErr w:type="spellStart"/>
      <w:r w:rsidRPr="00011472">
        <w:rPr>
          <w:rFonts w:asciiTheme="majorHAnsi" w:hAnsiTheme="majorHAnsi"/>
          <w:sz w:val="16"/>
          <w:szCs w:val="16"/>
          <w:lang w:val="es-CO"/>
        </w:rPr>
        <w:t>Admissibility</w:t>
      </w:r>
      <w:proofErr w:type="spellEnd"/>
      <w:r w:rsidRPr="00011472">
        <w:rPr>
          <w:rFonts w:asciiTheme="majorHAnsi" w:hAnsiTheme="majorHAnsi"/>
          <w:sz w:val="16"/>
          <w:szCs w:val="16"/>
          <w:lang w:val="es-CO"/>
        </w:rPr>
        <w:t xml:space="preserve">. Onofre Antonio de La Hoz Montero and </w:t>
      </w:r>
      <w:proofErr w:type="spellStart"/>
      <w:r w:rsidRPr="00011472">
        <w:rPr>
          <w:rFonts w:asciiTheme="majorHAnsi" w:hAnsiTheme="majorHAnsi"/>
          <w:sz w:val="16"/>
          <w:szCs w:val="16"/>
          <w:lang w:val="es-CO"/>
        </w:rPr>
        <w:t>Famil</w:t>
      </w:r>
      <w:r w:rsidRPr="00925EC2">
        <w:rPr>
          <w:rFonts w:asciiTheme="majorHAnsi" w:hAnsiTheme="majorHAnsi"/>
          <w:sz w:val="16"/>
          <w:szCs w:val="16"/>
          <w:lang w:val="es-CO"/>
        </w:rPr>
        <w:t>y</w:t>
      </w:r>
      <w:proofErr w:type="spellEnd"/>
      <w:r w:rsidRPr="00925EC2">
        <w:rPr>
          <w:rFonts w:asciiTheme="majorHAnsi" w:hAnsiTheme="majorHAnsi"/>
          <w:sz w:val="16"/>
          <w:szCs w:val="16"/>
          <w:lang w:val="es-CO"/>
        </w:rPr>
        <w:t xml:space="preserve">. </w:t>
      </w:r>
      <w:r w:rsidRPr="0025338F">
        <w:rPr>
          <w:rFonts w:asciiTheme="majorHAnsi" w:hAnsiTheme="majorHAnsi"/>
          <w:sz w:val="16"/>
          <w:szCs w:val="16"/>
          <w:lang w:val="es-CO"/>
        </w:rPr>
        <w:t>Colombi</w:t>
      </w:r>
      <w:r w:rsidRPr="002A018D">
        <w:rPr>
          <w:rFonts w:asciiTheme="majorHAnsi" w:hAnsiTheme="majorHAnsi"/>
          <w:sz w:val="16"/>
          <w:szCs w:val="16"/>
          <w:lang w:val="es-CO"/>
        </w:rPr>
        <w:t xml:space="preserve">a. </w:t>
      </w:r>
      <w:proofErr w:type="spellStart"/>
      <w:r w:rsidRPr="007E246B">
        <w:rPr>
          <w:rFonts w:asciiTheme="majorHAnsi" w:hAnsiTheme="majorHAnsi"/>
          <w:sz w:val="16"/>
          <w:szCs w:val="16"/>
          <w:lang w:val="es-MX"/>
        </w:rPr>
        <w:t>Decemb</w:t>
      </w:r>
      <w:r w:rsidR="00BC1A7B" w:rsidRPr="007E246B">
        <w:rPr>
          <w:rFonts w:asciiTheme="majorHAnsi" w:hAnsiTheme="majorHAnsi"/>
          <w:sz w:val="16"/>
          <w:szCs w:val="16"/>
          <w:lang w:val="es-MX"/>
        </w:rPr>
        <w:t>er</w:t>
      </w:r>
      <w:proofErr w:type="spellEnd"/>
      <w:r w:rsidR="00BC1A7B" w:rsidRPr="007E246B">
        <w:rPr>
          <w:rFonts w:asciiTheme="majorHAnsi" w:hAnsiTheme="majorHAnsi"/>
          <w:sz w:val="16"/>
          <w:szCs w:val="16"/>
          <w:lang w:val="es-MX"/>
        </w:rPr>
        <w:t xml:space="preserve"> 6, 2016, para. 32</w:t>
      </w:r>
      <w:r w:rsidRPr="007E246B">
        <w:rPr>
          <w:rFonts w:asciiTheme="majorHAnsi" w:hAnsiTheme="majorHAnsi"/>
          <w:sz w:val="16"/>
          <w:szCs w:val="16"/>
          <w:lang w:val="es-MX"/>
        </w:rPr>
        <w:t xml:space="preserve">; IACHR, </w:t>
      </w:r>
      <w:proofErr w:type="spellStart"/>
      <w:r w:rsidRPr="007E246B">
        <w:rPr>
          <w:rFonts w:asciiTheme="majorHAnsi" w:hAnsiTheme="majorHAnsi"/>
          <w:sz w:val="16"/>
          <w:szCs w:val="16"/>
          <w:lang w:val="es-MX"/>
        </w:rPr>
        <w:t>Report</w:t>
      </w:r>
      <w:proofErr w:type="spellEnd"/>
      <w:r w:rsidRPr="007E246B">
        <w:rPr>
          <w:rFonts w:asciiTheme="majorHAnsi" w:hAnsiTheme="majorHAnsi"/>
          <w:sz w:val="16"/>
          <w:szCs w:val="16"/>
          <w:lang w:val="es-MX"/>
        </w:rPr>
        <w:t xml:space="preserve"> No. 81/18. </w:t>
      </w:r>
      <w:r w:rsidRPr="009A5E79">
        <w:rPr>
          <w:rFonts w:asciiTheme="majorHAnsi" w:hAnsiTheme="majorHAnsi"/>
          <w:sz w:val="16"/>
          <w:szCs w:val="16"/>
        </w:rPr>
        <w:t>Petition 190-07. Admissibility. Edgar José Sánchez Duarte. Colombia. July 7,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C33206" w:rsidP="002C1641">
    <w:pPr>
      <w:pStyle w:val="Header"/>
      <w:tabs>
        <w:tab w:val="clear" w:pos="4320"/>
        <w:tab w:val="clear" w:pos="8640"/>
      </w:tabs>
      <w:jc w:val="center"/>
      <w:rPr>
        <w:sz w:val="22"/>
        <w:szCs w:val="22"/>
      </w:rPr>
    </w:pPr>
    <w:r>
      <w:rPr>
        <w:noProof/>
        <w:sz w:val="22"/>
        <w:szCs w:val="22"/>
      </w:rPr>
      <w:pict w14:anchorId="490F4606">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00EE9" w14:textId="77777777" w:rsidR="001A5ADC" w:rsidRDefault="001A5A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0130105"/>
    <w:multiLevelType w:val="hybridMultilevel"/>
    <w:tmpl w:val="7F0EAC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16B1350"/>
    <w:multiLevelType w:val="hybridMultilevel"/>
    <w:tmpl w:val="4F443FDC"/>
    <w:lvl w:ilvl="0" w:tplc="6DF49560">
      <w:start w:val="1"/>
      <w:numFmt w:val="decimal"/>
      <w:lvlText w:val="%1."/>
      <w:lvlJc w:val="left"/>
      <w:pPr>
        <w:ind w:left="1440" w:hanging="360"/>
      </w:pPr>
      <w:rPr>
        <w:b w:val="0"/>
        <w:sz w:val="20"/>
        <w:szCs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4E62707"/>
    <w:multiLevelType w:val="hybridMultilevel"/>
    <w:tmpl w:val="CE506E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4"/>
  </w:num>
  <w:num w:numId="9">
    <w:abstractNumId w:val="53"/>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5"/>
  </w:num>
  <w:num w:numId="71">
    <w:abstractNumId w:val="26"/>
  </w:num>
  <w:num w:numId="72">
    <w:abstractNumId w:val="27"/>
  </w:num>
  <w:num w:numId="73">
    <w:abstractNumId w:val="29"/>
  </w:num>
  <w:num w:numId="74">
    <w:abstractNumId w:val="31"/>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3"/>
  </w:num>
  <w:num w:numId="83">
    <w:abstractNumId w:val="44"/>
  </w:num>
  <w:num w:numId="84">
    <w:abstractNumId w:val="50"/>
  </w:num>
  <w:num w:numId="85">
    <w:abstractNumId w:val="54"/>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6"/>
  </w:num>
  <w:num w:numId="94">
    <w:abstractNumId w:val="23"/>
  </w:num>
  <w:num w:numId="95">
    <w:abstractNumId w:val="45"/>
  </w:num>
  <w:num w:numId="96">
    <w:abstractNumId w:val="57"/>
  </w:num>
  <w:num w:numId="97">
    <w:abstractNumId w:val="55"/>
  </w:num>
  <w:num w:numId="98">
    <w:abstractNumId w:val="49"/>
  </w:num>
  <w:num w:numId="99">
    <w:abstractNumId w:val="39"/>
  </w:num>
  <w:num w:numId="100">
    <w:abstractNumId w:val="3"/>
  </w:num>
  <w:num w:numId="101">
    <w:abstractNumId w:val="28"/>
  </w:num>
  <w:num w:numId="102">
    <w:abstractNumId w:val="51"/>
  </w:num>
  <w:num w:numId="103">
    <w:abstractNumId w:val="5"/>
  </w:num>
  <w:num w:numId="104">
    <w:abstractNumId w:val="11"/>
  </w:num>
  <w:num w:numId="105">
    <w:abstractNumId w:val="47"/>
  </w:num>
  <w:num w:numId="106">
    <w:abstractNumId w:val="52"/>
  </w:num>
  <w:num w:numId="107">
    <w:abstractNumId w:val="21"/>
  </w:num>
  <w:num w:numId="108">
    <w:abstractNumId w:val="22"/>
  </w:num>
  <w:num w:numId="109">
    <w:abstractNumId w:val="4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1884"/>
    <w:rsid w:val="000070D7"/>
    <w:rsid w:val="000111A8"/>
    <w:rsid w:val="00011472"/>
    <w:rsid w:val="0001788C"/>
    <w:rsid w:val="00022CF5"/>
    <w:rsid w:val="00035492"/>
    <w:rsid w:val="000369D0"/>
    <w:rsid w:val="00036A8A"/>
    <w:rsid w:val="00040C3A"/>
    <w:rsid w:val="0004174E"/>
    <w:rsid w:val="0005490E"/>
    <w:rsid w:val="000561C2"/>
    <w:rsid w:val="000639C0"/>
    <w:rsid w:val="00070F3A"/>
    <w:rsid w:val="000716C5"/>
    <w:rsid w:val="00075E23"/>
    <w:rsid w:val="000775EF"/>
    <w:rsid w:val="00090160"/>
    <w:rsid w:val="0009290F"/>
    <w:rsid w:val="00092F32"/>
    <w:rsid w:val="0009344A"/>
    <w:rsid w:val="00096758"/>
    <w:rsid w:val="000A575F"/>
    <w:rsid w:val="000A745C"/>
    <w:rsid w:val="000B1CFF"/>
    <w:rsid w:val="000C4365"/>
    <w:rsid w:val="000D10DB"/>
    <w:rsid w:val="000D3E2A"/>
    <w:rsid w:val="000E5375"/>
    <w:rsid w:val="000E5EE8"/>
    <w:rsid w:val="00103022"/>
    <w:rsid w:val="00107662"/>
    <w:rsid w:val="001077FB"/>
    <w:rsid w:val="001171DB"/>
    <w:rsid w:val="00117535"/>
    <w:rsid w:val="00124116"/>
    <w:rsid w:val="00124D09"/>
    <w:rsid w:val="0013104F"/>
    <w:rsid w:val="00134291"/>
    <w:rsid w:val="00137EBA"/>
    <w:rsid w:val="00142897"/>
    <w:rsid w:val="00145EDC"/>
    <w:rsid w:val="00153084"/>
    <w:rsid w:val="00167A34"/>
    <w:rsid w:val="001714B4"/>
    <w:rsid w:val="00173C6A"/>
    <w:rsid w:val="0018037F"/>
    <w:rsid w:val="00181B47"/>
    <w:rsid w:val="00185389"/>
    <w:rsid w:val="00190572"/>
    <w:rsid w:val="001A5ADC"/>
    <w:rsid w:val="001A5F27"/>
    <w:rsid w:val="001A65E4"/>
    <w:rsid w:val="001A7870"/>
    <w:rsid w:val="001C1B41"/>
    <w:rsid w:val="001C34DE"/>
    <w:rsid w:val="001C67DE"/>
    <w:rsid w:val="001D30B1"/>
    <w:rsid w:val="001D4801"/>
    <w:rsid w:val="001D53D7"/>
    <w:rsid w:val="001D5A5F"/>
    <w:rsid w:val="001E366B"/>
    <w:rsid w:val="001F1902"/>
    <w:rsid w:val="001F7762"/>
    <w:rsid w:val="002003A9"/>
    <w:rsid w:val="00207D6A"/>
    <w:rsid w:val="00210E0E"/>
    <w:rsid w:val="00210F4B"/>
    <w:rsid w:val="0022100A"/>
    <w:rsid w:val="00230163"/>
    <w:rsid w:val="0023351C"/>
    <w:rsid w:val="00247403"/>
    <w:rsid w:val="00247542"/>
    <w:rsid w:val="0025338F"/>
    <w:rsid w:val="00257893"/>
    <w:rsid w:val="0026062D"/>
    <w:rsid w:val="00263BF5"/>
    <w:rsid w:val="00266092"/>
    <w:rsid w:val="00266B61"/>
    <w:rsid w:val="0026712A"/>
    <w:rsid w:val="002704DB"/>
    <w:rsid w:val="00270A60"/>
    <w:rsid w:val="002760CE"/>
    <w:rsid w:val="0027631C"/>
    <w:rsid w:val="00284FB7"/>
    <w:rsid w:val="00286014"/>
    <w:rsid w:val="00292472"/>
    <w:rsid w:val="00297143"/>
    <w:rsid w:val="002A018D"/>
    <w:rsid w:val="002A0D67"/>
    <w:rsid w:val="002A4D64"/>
    <w:rsid w:val="002B1121"/>
    <w:rsid w:val="002B4533"/>
    <w:rsid w:val="002B7A85"/>
    <w:rsid w:val="002C1641"/>
    <w:rsid w:val="002D1DE7"/>
    <w:rsid w:val="002D6133"/>
    <w:rsid w:val="002D7EA2"/>
    <w:rsid w:val="002E15DF"/>
    <w:rsid w:val="002E187C"/>
    <w:rsid w:val="002E6E57"/>
    <w:rsid w:val="002F32E3"/>
    <w:rsid w:val="002F7895"/>
    <w:rsid w:val="002F7AAC"/>
    <w:rsid w:val="00301075"/>
    <w:rsid w:val="00301E9E"/>
    <w:rsid w:val="00302733"/>
    <w:rsid w:val="0030457A"/>
    <w:rsid w:val="00311A4F"/>
    <w:rsid w:val="00312E45"/>
    <w:rsid w:val="00314078"/>
    <w:rsid w:val="00321AFD"/>
    <w:rsid w:val="00322038"/>
    <w:rsid w:val="00322450"/>
    <w:rsid w:val="003246B5"/>
    <w:rsid w:val="0033169F"/>
    <w:rsid w:val="003414AC"/>
    <w:rsid w:val="003506E3"/>
    <w:rsid w:val="00355560"/>
    <w:rsid w:val="00356185"/>
    <w:rsid w:val="00360380"/>
    <w:rsid w:val="00371A48"/>
    <w:rsid w:val="003771A3"/>
    <w:rsid w:val="00386CF0"/>
    <w:rsid w:val="00397FD1"/>
    <w:rsid w:val="003A4348"/>
    <w:rsid w:val="003B16E0"/>
    <w:rsid w:val="003B7AE1"/>
    <w:rsid w:val="003C32BC"/>
    <w:rsid w:val="003D26C1"/>
    <w:rsid w:val="003D6EE0"/>
    <w:rsid w:val="003E1CAD"/>
    <w:rsid w:val="003E3127"/>
    <w:rsid w:val="003E3E03"/>
    <w:rsid w:val="003E424E"/>
    <w:rsid w:val="003E6E7E"/>
    <w:rsid w:val="003F1BBF"/>
    <w:rsid w:val="003F6ACC"/>
    <w:rsid w:val="00402E21"/>
    <w:rsid w:val="004031E1"/>
    <w:rsid w:val="00403522"/>
    <w:rsid w:val="004162B1"/>
    <w:rsid w:val="004165C2"/>
    <w:rsid w:val="00417D69"/>
    <w:rsid w:val="0042497E"/>
    <w:rsid w:val="00427045"/>
    <w:rsid w:val="00433343"/>
    <w:rsid w:val="004466AD"/>
    <w:rsid w:val="00450A4A"/>
    <w:rsid w:val="00461391"/>
    <w:rsid w:val="00461FA0"/>
    <w:rsid w:val="00465D9C"/>
    <w:rsid w:val="004666FB"/>
    <w:rsid w:val="00466D0B"/>
    <w:rsid w:val="00467B7E"/>
    <w:rsid w:val="004776DF"/>
    <w:rsid w:val="0047798A"/>
    <w:rsid w:val="00480FFB"/>
    <w:rsid w:val="0049419D"/>
    <w:rsid w:val="004A03C6"/>
    <w:rsid w:val="004B2762"/>
    <w:rsid w:val="004B42D8"/>
    <w:rsid w:val="004B7EB6"/>
    <w:rsid w:val="004C41DE"/>
    <w:rsid w:val="004C4B62"/>
    <w:rsid w:val="004C4D2B"/>
    <w:rsid w:val="004C6A2C"/>
    <w:rsid w:val="004D0435"/>
    <w:rsid w:val="004D302C"/>
    <w:rsid w:val="004D3E59"/>
    <w:rsid w:val="004D53F7"/>
    <w:rsid w:val="004D6025"/>
    <w:rsid w:val="004D672D"/>
    <w:rsid w:val="004D72BC"/>
    <w:rsid w:val="004E7EB2"/>
    <w:rsid w:val="004F6B67"/>
    <w:rsid w:val="00501399"/>
    <w:rsid w:val="00507BC4"/>
    <w:rsid w:val="00507F77"/>
    <w:rsid w:val="005128E4"/>
    <w:rsid w:val="00525560"/>
    <w:rsid w:val="00527736"/>
    <w:rsid w:val="00531817"/>
    <w:rsid w:val="00532F6E"/>
    <w:rsid w:val="005357A6"/>
    <w:rsid w:val="005364B4"/>
    <w:rsid w:val="00544C49"/>
    <w:rsid w:val="00544ED3"/>
    <w:rsid w:val="00547052"/>
    <w:rsid w:val="00550D2B"/>
    <w:rsid w:val="00553117"/>
    <w:rsid w:val="00572B76"/>
    <w:rsid w:val="0057402A"/>
    <w:rsid w:val="0057455B"/>
    <w:rsid w:val="005771D0"/>
    <w:rsid w:val="0058083E"/>
    <w:rsid w:val="005816E5"/>
    <w:rsid w:val="0059191A"/>
    <w:rsid w:val="005921FF"/>
    <w:rsid w:val="00592718"/>
    <w:rsid w:val="005A1995"/>
    <w:rsid w:val="005A6D0E"/>
    <w:rsid w:val="005B222D"/>
    <w:rsid w:val="005B52B0"/>
    <w:rsid w:val="005B6806"/>
    <w:rsid w:val="005C00F9"/>
    <w:rsid w:val="005C4225"/>
    <w:rsid w:val="005E0DD7"/>
    <w:rsid w:val="005F059C"/>
    <w:rsid w:val="005F0F33"/>
    <w:rsid w:val="005F2DA7"/>
    <w:rsid w:val="005F6850"/>
    <w:rsid w:val="00600DEB"/>
    <w:rsid w:val="00604550"/>
    <w:rsid w:val="00613027"/>
    <w:rsid w:val="006202F2"/>
    <w:rsid w:val="00627C9F"/>
    <w:rsid w:val="006311DA"/>
    <w:rsid w:val="006311E9"/>
    <w:rsid w:val="006318B2"/>
    <w:rsid w:val="00632354"/>
    <w:rsid w:val="00642810"/>
    <w:rsid w:val="00652333"/>
    <w:rsid w:val="00653EA6"/>
    <w:rsid w:val="006547DD"/>
    <w:rsid w:val="00670DE4"/>
    <w:rsid w:val="006723D8"/>
    <w:rsid w:val="006735FB"/>
    <w:rsid w:val="0068009E"/>
    <w:rsid w:val="00685166"/>
    <w:rsid w:val="00685361"/>
    <w:rsid w:val="0068793E"/>
    <w:rsid w:val="00692D67"/>
    <w:rsid w:val="00696FC1"/>
    <w:rsid w:val="006A0959"/>
    <w:rsid w:val="006A17D2"/>
    <w:rsid w:val="006A43EE"/>
    <w:rsid w:val="006A478E"/>
    <w:rsid w:val="006A7098"/>
    <w:rsid w:val="006A73E6"/>
    <w:rsid w:val="006B2D5C"/>
    <w:rsid w:val="006C2F52"/>
    <w:rsid w:val="006C4EB1"/>
    <w:rsid w:val="006C5C48"/>
    <w:rsid w:val="006D4707"/>
    <w:rsid w:val="006E0166"/>
    <w:rsid w:val="006E2B95"/>
    <w:rsid w:val="006E7B34"/>
    <w:rsid w:val="00701B24"/>
    <w:rsid w:val="00706858"/>
    <w:rsid w:val="007136AB"/>
    <w:rsid w:val="0071495F"/>
    <w:rsid w:val="00716AC8"/>
    <w:rsid w:val="0072044A"/>
    <w:rsid w:val="00722B00"/>
    <w:rsid w:val="00732406"/>
    <w:rsid w:val="00736AB1"/>
    <w:rsid w:val="0073798E"/>
    <w:rsid w:val="00745899"/>
    <w:rsid w:val="007475BB"/>
    <w:rsid w:val="007532A0"/>
    <w:rsid w:val="007607C4"/>
    <w:rsid w:val="00764A19"/>
    <w:rsid w:val="00765A92"/>
    <w:rsid w:val="0076643F"/>
    <w:rsid w:val="007773A4"/>
    <w:rsid w:val="007805B1"/>
    <w:rsid w:val="00781653"/>
    <w:rsid w:val="00791360"/>
    <w:rsid w:val="0079535C"/>
    <w:rsid w:val="007A2F70"/>
    <w:rsid w:val="007B762E"/>
    <w:rsid w:val="007C3334"/>
    <w:rsid w:val="007C5281"/>
    <w:rsid w:val="007C52BB"/>
    <w:rsid w:val="007D2B98"/>
    <w:rsid w:val="007E246B"/>
    <w:rsid w:val="007F2844"/>
    <w:rsid w:val="007F7980"/>
    <w:rsid w:val="00803F1C"/>
    <w:rsid w:val="0080600E"/>
    <w:rsid w:val="00817612"/>
    <w:rsid w:val="00837C45"/>
    <w:rsid w:val="00842428"/>
    <w:rsid w:val="008472BB"/>
    <w:rsid w:val="00853419"/>
    <w:rsid w:val="00853AF5"/>
    <w:rsid w:val="008546E5"/>
    <w:rsid w:val="00856ABA"/>
    <w:rsid w:val="00883A77"/>
    <w:rsid w:val="00893E4F"/>
    <w:rsid w:val="00897284"/>
    <w:rsid w:val="00897E12"/>
    <w:rsid w:val="008A226D"/>
    <w:rsid w:val="008A5768"/>
    <w:rsid w:val="008B21CF"/>
    <w:rsid w:val="008C7541"/>
    <w:rsid w:val="008D0022"/>
    <w:rsid w:val="008D43BA"/>
    <w:rsid w:val="008E3759"/>
    <w:rsid w:val="008E40F5"/>
    <w:rsid w:val="008E7125"/>
    <w:rsid w:val="008E7848"/>
    <w:rsid w:val="009041DC"/>
    <w:rsid w:val="009104B4"/>
    <w:rsid w:val="009228DA"/>
    <w:rsid w:val="00925EC2"/>
    <w:rsid w:val="00925FCD"/>
    <w:rsid w:val="0093441A"/>
    <w:rsid w:val="00934F0A"/>
    <w:rsid w:val="00954BF7"/>
    <w:rsid w:val="0096706E"/>
    <w:rsid w:val="00981FBA"/>
    <w:rsid w:val="0098783D"/>
    <w:rsid w:val="009922EF"/>
    <w:rsid w:val="009A2EB5"/>
    <w:rsid w:val="009A49BD"/>
    <w:rsid w:val="009A5E79"/>
    <w:rsid w:val="009B381B"/>
    <w:rsid w:val="009C7030"/>
    <w:rsid w:val="009D1675"/>
    <w:rsid w:val="009D4D62"/>
    <w:rsid w:val="009D7611"/>
    <w:rsid w:val="009E53DE"/>
    <w:rsid w:val="009E566A"/>
    <w:rsid w:val="009F0016"/>
    <w:rsid w:val="009F4E63"/>
    <w:rsid w:val="00A023C8"/>
    <w:rsid w:val="00A12DBC"/>
    <w:rsid w:val="00A31FA7"/>
    <w:rsid w:val="00A36009"/>
    <w:rsid w:val="00A407C1"/>
    <w:rsid w:val="00A42E0C"/>
    <w:rsid w:val="00A43458"/>
    <w:rsid w:val="00A45D65"/>
    <w:rsid w:val="00A528D1"/>
    <w:rsid w:val="00A54714"/>
    <w:rsid w:val="00A66BE5"/>
    <w:rsid w:val="00A74E75"/>
    <w:rsid w:val="00AA0B78"/>
    <w:rsid w:val="00AA28E8"/>
    <w:rsid w:val="00AA3CCD"/>
    <w:rsid w:val="00AA5139"/>
    <w:rsid w:val="00AC0600"/>
    <w:rsid w:val="00AD37C1"/>
    <w:rsid w:val="00AE581C"/>
    <w:rsid w:val="00AE66EC"/>
    <w:rsid w:val="00AE6F91"/>
    <w:rsid w:val="00AF5571"/>
    <w:rsid w:val="00B06BB7"/>
    <w:rsid w:val="00B12D51"/>
    <w:rsid w:val="00B13654"/>
    <w:rsid w:val="00B167E9"/>
    <w:rsid w:val="00B179ED"/>
    <w:rsid w:val="00B27A10"/>
    <w:rsid w:val="00B314DB"/>
    <w:rsid w:val="00B31EBE"/>
    <w:rsid w:val="00B32A03"/>
    <w:rsid w:val="00B3718B"/>
    <w:rsid w:val="00B44B23"/>
    <w:rsid w:val="00B4632A"/>
    <w:rsid w:val="00B46EA4"/>
    <w:rsid w:val="00B55B1E"/>
    <w:rsid w:val="00B5788F"/>
    <w:rsid w:val="00B654BC"/>
    <w:rsid w:val="00B70989"/>
    <w:rsid w:val="00B84796"/>
    <w:rsid w:val="00B92E49"/>
    <w:rsid w:val="00B96C23"/>
    <w:rsid w:val="00BA276C"/>
    <w:rsid w:val="00BB306F"/>
    <w:rsid w:val="00BC1A7B"/>
    <w:rsid w:val="00BC3946"/>
    <w:rsid w:val="00BC3C96"/>
    <w:rsid w:val="00BD232B"/>
    <w:rsid w:val="00BD2E42"/>
    <w:rsid w:val="00BD4B89"/>
    <w:rsid w:val="00BE7E20"/>
    <w:rsid w:val="00C036B4"/>
    <w:rsid w:val="00C06003"/>
    <w:rsid w:val="00C06A4B"/>
    <w:rsid w:val="00C10040"/>
    <w:rsid w:val="00C17D47"/>
    <w:rsid w:val="00C17DF0"/>
    <w:rsid w:val="00C21762"/>
    <w:rsid w:val="00C243DB"/>
    <w:rsid w:val="00C24543"/>
    <w:rsid w:val="00C256A2"/>
    <w:rsid w:val="00C25B2A"/>
    <w:rsid w:val="00C33206"/>
    <w:rsid w:val="00C3492D"/>
    <w:rsid w:val="00C355B4"/>
    <w:rsid w:val="00C55560"/>
    <w:rsid w:val="00C6115E"/>
    <w:rsid w:val="00C64B34"/>
    <w:rsid w:val="00C65FC5"/>
    <w:rsid w:val="00C66B72"/>
    <w:rsid w:val="00C83064"/>
    <w:rsid w:val="00C9138F"/>
    <w:rsid w:val="00C9567A"/>
    <w:rsid w:val="00CA4DF0"/>
    <w:rsid w:val="00CA6577"/>
    <w:rsid w:val="00CB2660"/>
    <w:rsid w:val="00CC02C0"/>
    <w:rsid w:val="00CC5E90"/>
    <w:rsid w:val="00CD046C"/>
    <w:rsid w:val="00CD0871"/>
    <w:rsid w:val="00CE5199"/>
    <w:rsid w:val="00CE66D5"/>
    <w:rsid w:val="00CF0C36"/>
    <w:rsid w:val="00CF185D"/>
    <w:rsid w:val="00CF331D"/>
    <w:rsid w:val="00CF4402"/>
    <w:rsid w:val="00CF44C0"/>
    <w:rsid w:val="00D13808"/>
    <w:rsid w:val="00D15217"/>
    <w:rsid w:val="00D165ED"/>
    <w:rsid w:val="00D16D1B"/>
    <w:rsid w:val="00D346DE"/>
    <w:rsid w:val="00D34786"/>
    <w:rsid w:val="00D40620"/>
    <w:rsid w:val="00D40A14"/>
    <w:rsid w:val="00D40A1E"/>
    <w:rsid w:val="00D4716F"/>
    <w:rsid w:val="00D533C0"/>
    <w:rsid w:val="00D61229"/>
    <w:rsid w:val="00D712D3"/>
    <w:rsid w:val="00D71422"/>
    <w:rsid w:val="00D7145E"/>
    <w:rsid w:val="00D75084"/>
    <w:rsid w:val="00D7558D"/>
    <w:rsid w:val="00D77164"/>
    <w:rsid w:val="00D81D92"/>
    <w:rsid w:val="00D93446"/>
    <w:rsid w:val="00D941A0"/>
    <w:rsid w:val="00D97EDC"/>
    <w:rsid w:val="00DA1572"/>
    <w:rsid w:val="00DA7B5F"/>
    <w:rsid w:val="00DB7FDB"/>
    <w:rsid w:val="00DC40F9"/>
    <w:rsid w:val="00DD75A4"/>
    <w:rsid w:val="00DF078B"/>
    <w:rsid w:val="00DF350D"/>
    <w:rsid w:val="00E1110E"/>
    <w:rsid w:val="00E227C1"/>
    <w:rsid w:val="00E22CFB"/>
    <w:rsid w:val="00E306E5"/>
    <w:rsid w:val="00E338C8"/>
    <w:rsid w:val="00E43157"/>
    <w:rsid w:val="00E464B9"/>
    <w:rsid w:val="00E474B3"/>
    <w:rsid w:val="00E47F3D"/>
    <w:rsid w:val="00E533FF"/>
    <w:rsid w:val="00E709B3"/>
    <w:rsid w:val="00E7588C"/>
    <w:rsid w:val="00E7797F"/>
    <w:rsid w:val="00E8240E"/>
    <w:rsid w:val="00E850B6"/>
    <w:rsid w:val="00E8789F"/>
    <w:rsid w:val="00E97B71"/>
    <w:rsid w:val="00EA3C96"/>
    <w:rsid w:val="00EB1339"/>
    <w:rsid w:val="00EB454D"/>
    <w:rsid w:val="00EB76C8"/>
    <w:rsid w:val="00ED06D9"/>
    <w:rsid w:val="00ED0D1B"/>
    <w:rsid w:val="00ED5F39"/>
    <w:rsid w:val="00EE0104"/>
    <w:rsid w:val="00EE091E"/>
    <w:rsid w:val="00EE31F6"/>
    <w:rsid w:val="00EE3522"/>
    <w:rsid w:val="00EE54CE"/>
    <w:rsid w:val="00EF619B"/>
    <w:rsid w:val="00F00B55"/>
    <w:rsid w:val="00F0182C"/>
    <w:rsid w:val="00F0475D"/>
    <w:rsid w:val="00F06C38"/>
    <w:rsid w:val="00F134A2"/>
    <w:rsid w:val="00F1380F"/>
    <w:rsid w:val="00F14F0E"/>
    <w:rsid w:val="00F15A3B"/>
    <w:rsid w:val="00F241BC"/>
    <w:rsid w:val="00F24C29"/>
    <w:rsid w:val="00F253CC"/>
    <w:rsid w:val="00F3030E"/>
    <w:rsid w:val="00F32F5E"/>
    <w:rsid w:val="00F33570"/>
    <w:rsid w:val="00F344C4"/>
    <w:rsid w:val="00F42B71"/>
    <w:rsid w:val="00F45B58"/>
    <w:rsid w:val="00F505DF"/>
    <w:rsid w:val="00F5344F"/>
    <w:rsid w:val="00F56BA5"/>
    <w:rsid w:val="00F621C3"/>
    <w:rsid w:val="00F644E6"/>
    <w:rsid w:val="00F64C35"/>
    <w:rsid w:val="00F65288"/>
    <w:rsid w:val="00F66307"/>
    <w:rsid w:val="00F6736F"/>
    <w:rsid w:val="00F71A4A"/>
    <w:rsid w:val="00F8728F"/>
    <w:rsid w:val="00F8797E"/>
    <w:rsid w:val="00F91AD3"/>
    <w:rsid w:val="00F9653B"/>
    <w:rsid w:val="00FA5A25"/>
    <w:rsid w:val="00FB62CF"/>
    <w:rsid w:val="00FC3EB4"/>
    <w:rsid w:val="00FC6C58"/>
    <w:rsid w:val="00FE0920"/>
    <w:rsid w:val="00FE6B45"/>
    <w:rsid w:val="00FF12A3"/>
    <w:rsid w:val="00FF5851"/>
    <w:rsid w:val="00FF5DEE"/>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57455B"/>
    <w:rPr>
      <w:sz w:val="16"/>
      <w:szCs w:val="16"/>
    </w:rPr>
  </w:style>
  <w:style w:type="paragraph" w:styleId="CommentText">
    <w:name w:val="annotation text"/>
    <w:basedOn w:val="Normal"/>
    <w:link w:val="CommentTextChar"/>
    <w:uiPriority w:val="99"/>
    <w:semiHidden/>
    <w:unhideWhenUsed/>
    <w:rsid w:val="0057455B"/>
    <w:rPr>
      <w:sz w:val="20"/>
      <w:szCs w:val="20"/>
    </w:rPr>
  </w:style>
  <w:style w:type="character" w:customStyle="1" w:styleId="CommentTextChar">
    <w:name w:val="Comment Text Char"/>
    <w:basedOn w:val="DefaultParagraphFont"/>
    <w:link w:val="CommentText"/>
    <w:uiPriority w:val="99"/>
    <w:semiHidden/>
    <w:rsid w:val="0057455B"/>
    <w:rPr>
      <w:lang w:val="en-US" w:eastAsia="en-US"/>
    </w:rPr>
  </w:style>
  <w:style w:type="paragraph" w:styleId="CommentSubject">
    <w:name w:val="annotation subject"/>
    <w:basedOn w:val="CommentText"/>
    <w:next w:val="CommentText"/>
    <w:link w:val="CommentSubjectChar"/>
    <w:uiPriority w:val="99"/>
    <w:semiHidden/>
    <w:unhideWhenUsed/>
    <w:rsid w:val="0057455B"/>
    <w:rPr>
      <w:b/>
      <w:bCs/>
    </w:rPr>
  </w:style>
  <w:style w:type="character" w:customStyle="1" w:styleId="CommentSubjectChar">
    <w:name w:val="Comment Subject Char"/>
    <w:basedOn w:val="CommentTextChar"/>
    <w:link w:val="CommentSubject"/>
    <w:uiPriority w:val="99"/>
    <w:semiHidden/>
    <w:rsid w:val="0057455B"/>
    <w:rPr>
      <w:b/>
      <w:bCs/>
      <w:lang w:val="en-US" w:eastAsia="en-US"/>
    </w:rPr>
  </w:style>
  <w:style w:type="paragraph" w:styleId="Revision">
    <w:name w:val="Revision"/>
    <w:hidden/>
    <w:uiPriority w:val="99"/>
    <w:semiHidden/>
    <w:rsid w:val="00D165E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01113">
      <w:bodyDiv w:val="1"/>
      <w:marLeft w:val="0"/>
      <w:marRight w:val="0"/>
      <w:marTop w:val="0"/>
      <w:marBottom w:val="0"/>
      <w:divBdr>
        <w:top w:val="none" w:sz="0" w:space="0" w:color="auto"/>
        <w:left w:val="none" w:sz="0" w:space="0" w:color="auto"/>
        <w:bottom w:val="none" w:sz="0" w:space="0" w:color="auto"/>
        <w:right w:val="none" w:sz="0" w:space="0" w:color="auto"/>
      </w:divBdr>
    </w:div>
    <w:div w:id="15337568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7046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B1D70-528B-46AB-97B7-070B4959B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2235</Words>
  <Characters>12744</Characters>
  <Application>Microsoft Office Word</Application>
  <DocSecurity>0</DocSecurity>
  <Lines>106</Lines>
  <Paragraphs>29</Paragraphs>
  <ScaleCrop>false</ScaleCrop>
  <Company/>
  <LinksUpToDate>false</LinksUpToDate>
  <CharactersWithSpaces>14950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104/20</dc:title>
  <dc:creator/>
  <cp:lastModifiedBy/>
  <cp:revision>1</cp:revision>
  <dcterms:created xsi:type="dcterms:W3CDTF">2020-06-25T19:10:00Z</dcterms:created>
  <dcterms:modified xsi:type="dcterms:W3CDTF">2020-06-25T19:11:00Z</dcterms:modified>
</cp:coreProperties>
</file>