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C56B40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1510">
                              <w:rPr>
                                <w:rFonts w:asciiTheme="majorHAnsi" w:hAnsiTheme="majorHAnsi" w:cs="Arial"/>
                                <w:b/>
                                <w:bCs/>
                                <w:color w:val="0D0D0D" w:themeColor="text1" w:themeTint="F2"/>
                                <w:sz w:val="36"/>
                                <w:szCs w:val="40"/>
                              </w:rPr>
                              <w:t>185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A97F45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23E3E" w:rsidRPr="00F56687">
                              <w:rPr>
                                <w:rFonts w:asciiTheme="majorHAnsi" w:hAnsiTheme="majorHAnsi" w:cs="Arial"/>
                                <w:b/>
                                <w:color w:val="0D0D0D" w:themeColor="text1" w:themeTint="F2"/>
                                <w:sz w:val="36"/>
                                <w:szCs w:val="22"/>
                              </w:rPr>
                              <w:t>1459-14</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3CA9D72" w14:textId="7FE396D2" w:rsidR="00A23E3E" w:rsidRPr="00A23E3E" w:rsidRDefault="00FF0BED" w:rsidP="00A23E3E">
                            <w:pPr>
                              <w:spacing w:line="276" w:lineRule="auto"/>
                              <w:rPr>
                                <w:rFonts w:asciiTheme="majorHAnsi" w:hAnsiTheme="majorHAnsi"/>
                                <w:color w:val="0D0D0D" w:themeColor="text1" w:themeTint="F2"/>
                              </w:rPr>
                            </w:pPr>
                            <w:r>
                              <w:rPr>
                                <w:rFonts w:asciiTheme="majorHAnsi" w:hAnsiTheme="majorHAnsi"/>
                                <w:color w:val="0D0D0D" w:themeColor="text1" w:themeTint="F2"/>
                              </w:rPr>
                              <w:t>CHILDREN HOW LOST THEIR LIVES AT THE TRAGEDY OF THE "ABC NURSERY"</w:t>
                            </w:r>
                          </w:p>
                          <w:p w14:paraId="17A89EFB" w14:textId="5F06DCAE" w:rsidR="005B52B0" w:rsidRPr="000C4365" w:rsidRDefault="00A23E3E" w:rsidP="00A23E3E">
                            <w:pPr>
                              <w:spacing w:line="276" w:lineRule="auto"/>
                              <w:rPr>
                                <w:rFonts w:asciiTheme="majorHAnsi" w:hAnsiTheme="majorHAnsi"/>
                                <w:color w:val="0D0D0D" w:themeColor="text1" w:themeTint="F2"/>
                              </w:rPr>
                            </w:pPr>
                            <w:r w:rsidRPr="00A23E3E">
                              <w:rPr>
                                <w:rFonts w:asciiTheme="majorHAnsi" w:hAnsiTheme="majorHAnsi"/>
                                <w:color w:val="0D0D0D" w:themeColor="text1" w:themeTint="F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C56B40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F1510">
                        <w:rPr>
                          <w:rFonts w:asciiTheme="majorHAnsi" w:hAnsiTheme="majorHAnsi" w:cs="Arial"/>
                          <w:b/>
                          <w:bCs/>
                          <w:color w:val="0D0D0D" w:themeColor="text1" w:themeTint="F2"/>
                          <w:sz w:val="36"/>
                          <w:szCs w:val="40"/>
                        </w:rPr>
                        <w:t>185</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20</w:t>
                      </w:r>
                    </w:p>
                    <w:p w14:paraId="081F51F3" w14:textId="4A97F45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A23E3E" w:rsidRPr="00F56687">
                        <w:rPr>
                          <w:rFonts w:asciiTheme="majorHAnsi" w:hAnsiTheme="majorHAnsi" w:cs="Arial"/>
                          <w:b/>
                          <w:color w:val="0D0D0D" w:themeColor="text1" w:themeTint="F2"/>
                          <w:sz w:val="36"/>
                          <w:szCs w:val="22"/>
                        </w:rPr>
                        <w:t>1459-14</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3CA9D72" w14:textId="7FE396D2" w:rsidR="00A23E3E" w:rsidRPr="00A23E3E" w:rsidRDefault="00FF0BED" w:rsidP="00A23E3E">
                      <w:pPr>
                        <w:spacing w:line="276" w:lineRule="auto"/>
                        <w:rPr>
                          <w:rFonts w:asciiTheme="majorHAnsi" w:hAnsiTheme="majorHAnsi"/>
                          <w:color w:val="0D0D0D" w:themeColor="text1" w:themeTint="F2"/>
                        </w:rPr>
                      </w:pPr>
                      <w:r>
                        <w:rPr>
                          <w:rFonts w:asciiTheme="majorHAnsi" w:hAnsiTheme="majorHAnsi"/>
                          <w:color w:val="0D0D0D" w:themeColor="text1" w:themeTint="F2"/>
                        </w:rPr>
                        <w:t>CHILDREN HOW LOST THEIR LIVES AT THE TRAGEDY OF THE "ABC NURSERY"</w:t>
                      </w:r>
                    </w:p>
                    <w:p w14:paraId="17A89EFB" w14:textId="5F06DCAE" w:rsidR="005B52B0" w:rsidRPr="000C4365" w:rsidRDefault="00A23E3E" w:rsidP="00A23E3E">
                      <w:pPr>
                        <w:spacing w:line="276" w:lineRule="auto"/>
                        <w:rPr>
                          <w:rFonts w:asciiTheme="majorHAnsi" w:hAnsiTheme="majorHAnsi"/>
                          <w:color w:val="0D0D0D" w:themeColor="text1" w:themeTint="F2"/>
                        </w:rPr>
                      </w:pPr>
                      <w:r w:rsidRPr="00A23E3E">
                        <w:rPr>
                          <w:rFonts w:asciiTheme="majorHAnsi" w:hAnsiTheme="majorHAnsi"/>
                          <w:color w:val="0D0D0D" w:themeColor="text1" w:themeTint="F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23D97" w14:textId="55463189"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480CC10D"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F1510">
                              <w:rPr>
                                <w:rFonts w:asciiTheme="minorHAnsi" w:hAnsiTheme="minorHAnsi"/>
                                <w:color w:val="FFFFFF" w:themeColor="background1"/>
                                <w:sz w:val="22"/>
                                <w:lang w:val="pt-BR"/>
                              </w:rPr>
                              <w:t>195</w:t>
                            </w:r>
                          </w:p>
                          <w:p w14:paraId="0BEFF61A" w14:textId="4908429C" w:rsidR="00627C9F" w:rsidRPr="004B7EB6" w:rsidRDefault="009F151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6 July </w:t>
                            </w:r>
                            <w:r w:rsidR="00167D72">
                              <w:rPr>
                                <w:rFonts w:asciiTheme="minorHAnsi" w:hAnsiTheme="minorHAnsi"/>
                                <w:color w:val="FFFFFF" w:themeColor="background1"/>
                                <w:sz w:val="22"/>
                              </w:rPr>
                              <w:t>2020</w:t>
                            </w:r>
                          </w:p>
                          <w:p w14:paraId="0FC103BD" w14:textId="5E39813A" w:rsidR="00627C9F" w:rsidRDefault="00627C9F" w:rsidP="009E566A">
                            <w:pPr>
                              <w:jc w:val="right"/>
                              <w:rPr>
                                <w:rFonts w:asciiTheme="minorHAnsi" w:hAnsiTheme="minorHAnsi"/>
                                <w:color w:val="FF0000"/>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p>
                          <w:p w14:paraId="5F1F7BEA" w14:textId="32AA1161" w:rsidR="00302748" w:rsidRPr="00302748" w:rsidRDefault="00DB2771" w:rsidP="009E566A">
                            <w:pPr>
                              <w:jc w:val="right"/>
                              <w:rPr>
                                <w:rFonts w:asciiTheme="minorHAnsi" w:hAnsiTheme="minorHAnsi"/>
                                <w:color w:val="FFFFFF" w:themeColor="background1"/>
                                <w:sz w:val="22"/>
                              </w:rPr>
                            </w:pP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F823D97" w14:textId="55463189" w:rsidR="00302748" w:rsidRDefault="009E566A" w:rsidP="009E566A">
                      <w:pPr>
                        <w:jc w:val="right"/>
                        <w:rPr>
                          <w:rFonts w:asciiTheme="minorHAnsi" w:hAnsiTheme="minorHAnsi"/>
                          <w:color w:val="FF0000"/>
                          <w:sz w:val="22"/>
                          <w:lang w:val="pt-BR"/>
                        </w:rPr>
                      </w:pPr>
                      <w:r w:rsidRPr="00466D0B">
                        <w:rPr>
                          <w:rFonts w:asciiTheme="minorHAnsi" w:hAnsiTheme="minorHAnsi"/>
                          <w:color w:val="FFFFFF" w:themeColor="background1"/>
                          <w:sz w:val="22"/>
                          <w:lang w:val="pt-BR"/>
                        </w:rPr>
                        <w:t>OEA/Ser.L/V/II.</w:t>
                      </w:r>
                    </w:p>
                    <w:p w14:paraId="4AA08A8C" w14:textId="480CC10D" w:rsidR="00627C9F" w:rsidRPr="00302748"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9F1510">
                        <w:rPr>
                          <w:rFonts w:asciiTheme="minorHAnsi" w:hAnsiTheme="minorHAnsi"/>
                          <w:color w:val="FFFFFF" w:themeColor="background1"/>
                          <w:sz w:val="22"/>
                          <w:lang w:val="pt-BR"/>
                        </w:rPr>
                        <w:t>195</w:t>
                      </w:r>
                    </w:p>
                    <w:p w14:paraId="0BEFF61A" w14:textId="4908429C" w:rsidR="00627C9F" w:rsidRPr="004B7EB6" w:rsidRDefault="009F1510"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6 July </w:t>
                      </w:r>
                      <w:r w:rsidR="00167D72">
                        <w:rPr>
                          <w:rFonts w:asciiTheme="minorHAnsi" w:hAnsiTheme="minorHAnsi"/>
                          <w:color w:val="FFFFFF" w:themeColor="background1"/>
                          <w:sz w:val="22"/>
                        </w:rPr>
                        <w:t>2020</w:t>
                      </w:r>
                    </w:p>
                    <w:p w14:paraId="0FC103BD" w14:textId="5E39813A" w:rsidR="00627C9F" w:rsidRDefault="00627C9F" w:rsidP="009E566A">
                      <w:pPr>
                        <w:jc w:val="right"/>
                        <w:rPr>
                          <w:rFonts w:asciiTheme="minorHAnsi" w:hAnsiTheme="minorHAnsi"/>
                          <w:color w:val="FF0000"/>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p>
                    <w:p w14:paraId="5F1F7BEA" w14:textId="32AA1161" w:rsidR="00302748" w:rsidRPr="00302748" w:rsidRDefault="00DB2771" w:rsidP="009E566A">
                      <w:pPr>
                        <w:jc w:val="right"/>
                        <w:rPr>
                          <w:rFonts w:asciiTheme="minorHAnsi" w:hAnsiTheme="minorHAnsi"/>
                          <w:color w:val="FFFFFF" w:themeColor="background1"/>
                          <w:sz w:val="22"/>
                        </w:rPr>
                      </w:pPr>
                      <w:r>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F5ED84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F1510">
                              <w:rPr>
                                <w:rFonts w:asciiTheme="majorHAnsi" w:hAnsiTheme="majorHAnsi"/>
                                <w:color w:val="0D0D0D" w:themeColor="text1" w:themeTint="F2"/>
                                <w:sz w:val="18"/>
                                <w:szCs w:val="20"/>
                              </w:rPr>
                              <w:t>July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F5ED84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9F1510">
                        <w:rPr>
                          <w:rFonts w:asciiTheme="majorHAnsi" w:hAnsiTheme="majorHAnsi"/>
                          <w:color w:val="0D0D0D" w:themeColor="text1" w:themeTint="F2"/>
                          <w:sz w:val="18"/>
                          <w:szCs w:val="20"/>
                        </w:rPr>
                        <w:t>July 6</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CFF23C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1510">
                              <w:rPr>
                                <w:rFonts w:asciiTheme="majorHAnsi" w:hAnsiTheme="majorHAnsi"/>
                                <w:color w:val="595959" w:themeColor="text1" w:themeTint="A6"/>
                                <w:sz w:val="18"/>
                              </w:rPr>
                              <w:t>185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F1510">
                              <w:rPr>
                                <w:rFonts w:asciiTheme="majorHAnsi" w:hAnsiTheme="majorHAnsi"/>
                                <w:color w:val="595959" w:themeColor="text1" w:themeTint="A6"/>
                                <w:sz w:val="18"/>
                              </w:rPr>
                              <w:t>1459-14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F1510">
                              <w:rPr>
                                <w:rFonts w:asciiTheme="majorHAnsi" w:hAnsiTheme="majorHAnsi"/>
                                <w:color w:val="595959" w:themeColor="text1" w:themeTint="A6"/>
                                <w:sz w:val="18"/>
                              </w:rPr>
                              <w:t>Children how lost their lives at the tragedy of the “ABC Nursery“. Mexico. July 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4CFF23CA"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F1510">
                        <w:rPr>
                          <w:rFonts w:asciiTheme="majorHAnsi" w:hAnsiTheme="majorHAnsi"/>
                          <w:color w:val="595959" w:themeColor="text1" w:themeTint="A6"/>
                          <w:sz w:val="18"/>
                        </w:rPr>
                        <w:t>185</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F1510">
                        <w:rPr>
                          <w:rFonts w:asciiTheme="majorHAnsi" w:hAnsiTheme="majorHAnsi"/>
                          <w:color w:val="595959" w:themeColor="text1" w:themeTint="A6"/>
                          <w:sz w:val="18"/>
                        </w:rPr>
                        <w:t>1459-14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9F1510">
                        <w:rPr>
                          <w:rFonts w:asciiTheme="majorHAnsi" w:hAnsiTheme="majorHAnsi"/>
                          <w:color w:val="595959" w:themeColor="text1" w:themeTint="A6"/>
                          <w:sz w:val="18"/>
                        </w:rPr>
                        <w:t>Children how lost their lives at the tragedy of the “ABC Nursery“. Mexico. July 6, 2020.</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6B3509A0" w:rsidR="00F621C3" w:rsidRPr="00FE5113" w:rsidRDefault="00A23E3E" w:rsidP="009163FC">
            <w:pPr>
              <w:jc w:val="both"/>
              <w:rPr>
                <w:rFonts w:asciiTheme="majorHAnsi" w:hAnsiTheme="majorHAnsi"/>
                <w:bCs/>
                <w:sz w:val="20"/>
                <w:szCs w:val="20"/>
              </w:rPr>
            </w:pPr>
            <w:r w:rsidRPr="00A23E3E">
              <w:rPr>
                <w:rFonts w:asciiTheme="majorHAnsi" w:hAnsiTheme="majorHAnsi"/>
                <w:bCs/>
                <w:sz w:val="20"/>
                <w:szCs w:val="20"/>
              </w:rPr>
              <w:t xml:space="preserve">Miguel </w:t>
            </w:r>
            <w:proofErr w:type="spellStart"/>
            <w:r w:rsidRPr="00A23E3E">
              <w:rPr>
                <w:rFonts w:asciiTheme="majorHAnsi" w:hAnsiTheme="majorHAnsi"/>
                <w:bCs/>
                <w:sz w:val="20"/>
                <w:szCs w:val="20"/>
              </w:rPr>
              <w:t>Agustín</w:t>
            </w:r>
            <w:proofErr w:type="spellEnd"/>
            <w:r w:rsidRPr="00A23E3E">
              <w:rPr>
                <w:rFonts w:asciiTheme="majorHAnsi" w:hAnsiTheme="majorHAnsi"/>
                <w:bCs/>
                <w:sz w:val="20"/>
                <w:szCs w:val="20"/>
              </w:rPr>
              <w:t xml:space="preserve"> Pro </w:t>
            </w:r>
            <w:proofErr w:type="spellStart"/>
            <w:r w:rsidRPr="00A23E3E">
              <w:rPr>
                <w:rFonts w:asciiTheme="majorHAnsi" w:hAnsiTheme="majorHAnsi"/>
                <w:bCs/>
                <w:sz w:val="20"/>
                <w:szCs w:val="20"/>
              </w:rPr>
              <w:t>Juárez</w:t>
            </w:r>
            <w:proofErr w:type="spellEnd"/>
            <w:r w:rsidRPr="00A23E3E">
              <w:rPr>
                <w:rFonts w:asciiTheme="majorHAnsi" w:hAnsiTheme="majorHAnsi"/>
                <w:bCs/>
                <w:sz w:val="20"/>
                <w:szCs w:val="20"/>
              </w:rPr>
              <w:t xml:space="preserve"> A.C Human Rights Center and others</w:t>
            </w:r>
            <w:r w:rsidRPr="00D90C0E">
              <w:rPr>
                <w:rStyle w:val="FootnoteReference"/>
                <w:rFonts w:ascii="Cambria" w:hAnsi="Cambria"/>
                <w:bCs/>
                <w:sz w:val="20"/>
                <w:szCs w:val="20"/>
                <w:lang w:val="es-ES"/>
              </w:rPr>
              <w:footnoteReference w:id="2"/>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3C017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2B82191" w:rsidR="00F621C3" w:rsidRPr="00FE5113" w:rsidRDefault="00A23E3E" w:rsidP="009163FC">
            <w:pPr>
              <w:jc w:val="both"/>
              <w:rPr>
                <w:rFonts w:asciiTheme="majorHAnsi" w:hAnsiTheme="majorHAnsi"/>
                <w:bCs/>
                <w:sz w:val="20"/>
                <w:szCs w:val="20"/>
              </w:rPr>
            </w:pPr>
            <w:r w:rsidRPr="00A23E3E">
              <w:rPr>
                <w:rFonts w:asciiTheme="majorHAnsi" w:hAnsiTheme="majorHAnsi"/>
                <w:bCs/>
                <w:sz w:val="20"/>
                <w:szCs w:val="20"/>
              </w:rPr>
              <w:t xml:space="preserve">María Magdalena </w:t>
            </w:r>
            <w:proofErr w:type="spellStart"/>
            <w:r w:rsidRPr="00A23E3E">
              <w:rPr>
                <w:rFonts w:asciiTheme="majorHAnsi" w:hAnsiTheme="majorHAnsi"/>
                <w:bCs/>
                <w:sz w:val="20"/>
                <w:szCs w:val="20"/>
              </w:rPr>
              <w:t>Millán</w:t>
            </w:r>
            <w:proofErr w:type="spellEnd"/>
            <w:r w:rsidRPr="00A23E3E">
              <w:rPr>
                <w:rFonts w:asciiTheme="majorHAnsi" w:hAnsiTheme="majorHAnsi"/>
                <w:bCs/>
                <w:sz w:val="20"/>
                <w:szCs w:val="20"/>
              </w:rPr>
              <w:t xml:space="preserve"> García and others</w:t>
            </w:r>
            <w:r w:rsidRPr="00D90C0E">
              <w:rPr>
                <w:rStyle w:val="FootnoteReference"/>
                <w:rFonts w:ascii="Cambria" w:hAnsi="Cambria"/>
                <w:bCs/>
                <w:sz w:val="20"/>
                <w:szCs w:val="20"/>
                <w:lang w:val="es-ES"/>
              </w:rPr>
              <w:footnoteReference w:id="3"/>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F438771" w:rsidR="00F621C3" w:rsidRPr="00FE5113" w:rsidRDefault="00A23E3E" w:rsidP="009163FC">
            <w:pPr>
              <w:jc w:val="both"/>
              <w:rPr>
                <w:rFonts w:asciiTheme="majorHAnsi" w:hAnsiTheme="majorHAnsi"/>
                <w:bCs/>
                <w:sz w:val="20"/>
                <w:szCs w:val="20"/>
              </w:rPr>
            </w:pPr>
            <w:r w:rsidRPr="00D90C0E">
              <w:rPr>
                <w:rFonts w:ascii="Cambria" w:hAnsi="Cambria"/>
                <w:bCs/>
                <w:sz w:val="20"/>
                <w:szCs w:val="20"/>
                <w:lang w:val="es-ES"/>
              </w:rPr>
              <w:t>México</w:t>
            </w:r>
            <w:r w:rsidRPr="00D90C0E">
              <w:rPr>
                <w:rStyle w:val="FootnoteReference"/>
                <w:rFonts w:ascii="Cambria" w:hAnsi="Cambria"/>
                <w:bCs/>
                <w:sz w:val="20"/>
                <w:szCs w:val="20"/>
                <w:lang w:val="es-ES"/>
              </w:rPr>
              <w:footnoteReference w:id="4"/>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533CD89" w:rsidR="00E47F3D" w:rsidRPr="00FE5113" w:rsidRDefault="00A23E3E" w:rsidP="009163FC">
            <w:pPr>
              <w:jc w:val="both"/>
              <w:rPr>
                <w:rFonts w:ascii="Cambria" w:hAnsi="Cambria"/>
                <w:bCs/>
                <w:sz w:val="20"/>
                <w:szCs w:val="20"/>
              </w:rPr>
            </w:pPr>
            <w:r w:rsidRPr="00A23E3E">
              <w:rPr>
                <w:rFonts w:ascii="Cambria" w:hAnsi="Cambria"/>
                <w:bCs/>
                <w:sz w:val="20"/>
                <w:szCs w:val="20"/>
              </w:rPr>
              <w:t>Articles 4 (life), 5 (</w:t>
            </w:r>
            <w:r>
              <w:rPr>
                <w:rFonts w:ascii="Cambria" w:hAnsi="Cambria"/>
                <w:bCs/>
                <w:sz w:val="20"/>
                <w:szCs w:val="20"/>
              </w:rPr>
              <w:t>humane treatment</w:t>
            </w:r>
            <w:r w:rsidRPr="00A23E3E">
              <w:rPr>
                <w:rFonts w:ascii="Cambria" w:hAnsi="Cambria"/>
                <w:bCs/>
                <w:sz w:val="20"/>
                <w:szCs w:val="20"/>
              </w:rPr>
              <w:t>), 8 (</w:t>
            </w:r>
            <w:r>
              <w:rPr>
                <w:rFonts w:ascii="Cambria" w:hAnsi="Cambria"/>
                <w:bCs/>
                <w:sz w:val="20"/>
                <w:szCs w:val="20"/>
              </w:rPr>
              <w:t>fair trial),</w:t>
            </w:r>
            <w:r w:rsidRPr="00A23E3E">
              <w:rPr>
                <w:rFonts w:ascii="Cambria" w:hAnsi="Cambria"/>
                <w:bCs/>
                <w:sz w:val="20"/>
                <w:szCs w:val="20"/>
              </w:rPr>
              <w:t xml:space="preserve"> 19 (</w:t>
            </w:r>
            <w:r>
              <w:rPr>
                <w:rFonts w:ascii="Cambria" w:hAnsi="Cambria"/>
                <w:bCs/>
                <w:sz w:val="20"/>
                <w:szCs w:val="20"/>
              </w:rPr>
              <w:t>rights of the child</w:t>
            </w:r>
            <w:r w:rsidRPr="00A23E3E">
              <w:rPr>
                <w:rFonts w:ascii="Cambria" w:hAnsi="Cambria"/>
                <w:bCs/>
                <w:sz w:val="20"/>
                <w:szCs w:val="20"/>
              </w:rPr>
              <w:t>) and 25 (judicial protection) of the American Convention on Human Rights</w:t>
            </w:r>
            <w:r w:rsidRPr="00D90C0E">
              <w:rPr>
                <w:rStyle w:val="FootnoteReference"/>
                <w:rFonts w:ascii="Cambria" w:hAnsi="Cambria"/>
                <w:sz w:val="20"/>
                <w:szCs w:val="20"/>
                <w:lang w:val="es-ES"/>
              </w:rPr>
              <w:footnoteReference w:id="5"/>
            </w:r>
            <w:r w:rsidRPr="00A23E3E">
              <w:rPr>
                <w:rFonts w:ascii="Cambria" w:hAnsi="Cambria"/>
                <w:bCs/>
                <w:sz w:val="20"/>
                <w:szCs w:val="20"/>
              </w:rPr>
              <w:t>, in relation to its article 1.1 (obligation to respect the rights )</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55A357D5" w14:textId="77777777" w:rsidR="004F35AC" w:rsidRPr="004F35AC" w:rsidRDefault="004F35AC" w:rsidP="004F35AC">
            <w:pPr>
              <w:jc w:val="center"/>
              <w:rPr>
                <w:rFonts w:ascii="Cambria" w:hAnsi="Cambria"/>
                <w:b/>
                <w:bCs/>
                <w:color w:val="FFFFFF" w:themeColor="background1"/>
                <w:sz w:val="22"/>
                <w:szCs w:val="22"/>
              </w:rPr>
            </w:pPr>
            <w:r w:rsidRPr="004F35AC">
              <w:rPr>
                <w:rFonts w:ascii="Cambria" w:hAnsi="Cambria"/>
                <w:b/>
                <w:bCs/>
                <w:color w:val="FFFFFF" w:themeColor="background1"/>
                <w:sz w:val="22"/>
                <w:szCs w:val="22"/>
              </w:rPr>
              <w:t>Date of receipt</w:t>
            </w:r>
          </w:p>
          <w:p w14:paraId="2C2ED774" w14:textId="3FE7C9AE" w:rsidR="00F621C3" w:rsidRPr="00521B60" w:rsidRDefault="00F621C3" w:rsidP="00B06BB7">
            <w:pPr>
              <w:jc w:val="center"/>
              <w:rPr>
                <w:rFonts w:ascii="Cambria" w:hAnsi="Cambria"/>
                <w:b/>
                <w:bCs/>
                <w:color w:val="FFFFFF" w:themeColor="background1"/>
                <w:sz w:val="22"/>
                <w:szCs w:val="22"/>
              </w:rPr>
            </w:pPr>
          </w:p>
        </w:tc>
        <w:tc>
          <w:tcPr>
            <w:tcW w:w="5670" w:type="dxa"/>
            <w:vAlign w:val="center"/>
          </w:tcPr>
          <w:p w14:paraId="1C0C3DE2" w14:textId="70C7EF82" w:rsidR="00F621C3" w:rsidRPr="00FE5113" w:rsidRDefault="00A23E3E" w:rsidP="009163FC">
            <w:pPr>
              <w:jc w:val="both"/>
              <w:rPr>
                <w:rFonts w:ascii="Cambria" w:hAnsi="Cambria"/>
                <w:bCs/>
                <w:sz w:val="20"/>
                <w:szCs w:val="20"/>
              </w:rPr>
            </w:pPr>
            <w:proofErr w:type="spellStart"/>
            <w:r>
              <w:rPr>
                <w:rFonts w:ascii="Cambria" w:hAnsi="Cambria"/>
                <w:bCs/>
                <w:sz w:val="20"/>
                <w:szCs w:val="20"/>
                <w:lang w:val="es-ES"/>
              </w:rPr>
              <w:t>October</w:t>
            </w:r>
            <w:proofErr w:type="spellEnd"/>
            <w:r>
              <w:rPr>
                <w:rFonts w:ascii="Cambria" w:hAnsi="Cambria"/>
                <w:bCs/>
                <w:sz w:val="20"/>
                <w:szCs w:val="20"/>
                <w:lang w:val="es-ES"/>
              </w:rPr>
              <w:t xml:space="preserve"> 27, 2014</w:t>
            </w:r>
          </w:p>
        </w:tc>
      </w:tr>
      <w:tr w:rsidR="00DB2771" w:rsidRPr="000B6B7A" w14:paraId="50325F68" w14:textId="77777777" w:rsidTr="00B06BB7">
        <w:tc>
          <w:tcPr>
            <w:tcW w:w="3690" w:type="dxa"/>
            <w:tcBorders>
              <w:top w:val="single" w:sz="6" w:space="0" w:color="auto"/>
              <w:bottom w:val="single" w:sz="6" w:space="0" w:color="auto"/>
            </w:tcBorders>
            <w:shd w:val="clear" w:color="auto" w:fill="67AE3C"/>
            <w:vAlign w:val="center"/>
          </w:tcPr>
          <w:p w14:paraId="4CBEC65A"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 xml:space="preserve">Additional information received at the stage of initial review: </w:t>
            </w:r>
          </w:p>
          <w:p w14:paraId="283CB52E" w14:textId="77777777" w:rsidR="00DB2771" w:rsidRPr="00521B60" w:rsidRDefault="00DB2771" w:rsidP="004F35AC">
            <w:pPr>
              <w:jc w:val="center"/>
              <w:rPr>
                <w:rFonts w:ascii="Cambria" w:hAnsi="Cambria"/>
                <w:b/>
                <w:color w:val="FFFFFF" w:themeColor="background1"/>
                <w:sz w:val="22"/>
                <w:szCs w:val="22"/>
              </w:rPr>
            </w:pPr>
          </w:p>
        </w:tc>
        <w:tc>
          <w:tcPr>
            <w:tcW w:w="5670" w:type="dxa"/>
            <w:vAlign w:val="center"/>
          </w:tcPr>
          <w:p w14:paraId="22E44E6C" w14:textId="61A9C15E" w:rsidR="004F35AC" w:rsidRDefault="00A23E3E" w:rsidP="00A23E3E">
            <w:pPr>
              <w:jc w:val="both"/>
              <w:rPr>
                <w:rFonts w:ascii="Cambria" w:hAnsi="Cambria"/>
                <w:bCs/>
                <w:sz w:val="20"/>
                <w:szCs w:val="20"/>
              </w:rPr>
            </w:pPr>
            <w:r>
              <w:rPr>
                <w:rFonts w:ascii="Cambria" w:hAnsi="Cambria"/>
                <w:bCs/>
                <w:sz w:val="20"/>
                <w:szCs w:val="20"/>
              </w:rPr>
              <w:t>August 11, 2015, June 23, 2017, July 7, 2017 and August 14, 2017</w:t>
            </w:r>
          </w:p>
          <w:p w14:paraId="3BFF6780" w14:textId="486C2B68" w:rsidR="00A23E3E" w:rsidRPr="00FE5113" w:rsidRDefault="00A23E3E" w:rsidP="00A23E3E">
            <w:pPr>
              <w:jc w:val="both"/>
              <w:rPr>
                <w:rFonts w:ascii="Cambria" w:hAnsi="Cambria"/>
                <w:bCs/>
                <w:sz w:val="20"/>
                <w:szCs w:val="20"/>
              </w:rPr>
            </w:pPr>
          </w:p>
        </w:tc>
      </w:tr>
      <w:tr w:rsidR="00DB2771" w:rsidRPr="000B6B7A" w14:paraId="6AA51B6F" w14:textId="77777777" w:rsidTr="00B06BB7">
        <w:tc>
          <w:tcPr>
            <w:tcW w:w="3690" w:type="dxa"/>
            <w:tcBorders>
              <w:top w:val="single" w:sz="6" w:space="0" w:color="auto"/>
              <w:bottom w:val="single" w:sz="6" w:space="0" w:color="auto"/>
            </w:tcBorders>
            <w:shd w:val="clear" w:color="auto" w:fill="67AE3C"/>
            <w:vAlign w:val="center"/>
          </w:tcPr>
          <w:p w14:paraId="4B589798"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Notification of the petition to the State:</w:t>
            </w:r>
          </w:p>
          <w:p w14:paraId="08AF1E5E" w14:textId="5A83042D" w:rsidR="00DB2771" w:rsidRPr="00521B60" w:rsidRDefault="00DB2771" w:rsidP="00B06BB7">
            <w:pPr>
              <w:jc w:val="center"/>
              <w:rPr>
                <w:rFonts w:ascii="Cambria" w:hAnsi="Cambria"/>
                <w:b/>
                <w:color w:val="FFFFFF" w:themeColor="background1"/>
                <w:sz w:val="22"/>
                <w:szCs w:val="22"/>
              </w:rPr>
            </w:pPr>
          </w:p>
        </w:tc>
        <w:tc>
          <w:tcPr>
            <w:tcW w:w="5670" w:type="dxa"/>
            <w:vAlign w:val="center"/>
          </w:tcPr>
          <w:p w14:paraId="412CB193" w14:textId="5E1614B7" w:rsidR="00DB2771" w:rsidRPr="00FE5113" w:rsidRDefault="00A23E3E" w:rsidP="009163FC">
            <w:pPr>
              <w:jc w:val="both"/>
              <w:rPr>
                <w:rFonts w:ascii="Cambria" w:hAnsi="Cambria"/>
                <w:bCs/>
                <w:sz w:val="20"/>
                <w:szCs w:val="20"/>
              </w:rPr>
            </w:pPr>
            <w:r>
              <w:rPr>
                <w:rFonts w:ascii="Cambria" w:hAnsi="Cambria"/>
                <w:bCs/>
                <w:sz w:val="20"/>
                <w:szCs w:val="20"/>
              </w:rPr>
              <w:t>August 28, 2017</w:t>
            </w:r>
          </w:p>
        </w:tc>
      </w:tr>
      <w:tr w:rsidR="004F35AC" w:rsidRPr="000B6B7A" w14:paraId="6C8DD469" w14:textId="77777777" w:rsidTr="00B06BB7">
        <w:tc>
          <w:tcPr>
            <w:tcW w:w="3690" w:type="dxa"/>
            <w:tcBorders>
              <w:top w:val="single" w:sz="6" w:space="0" w:color="auto"/>
              <w:bottom w:val="single" w:sz="6" w:space="0" w:color="auto"/>
            </w:tcBorders>
            <w:shd w:val="clear" w:color="auto" w:fill="67AE3C"/>
            <w:vAlign w:val="center"/>
          </w:tcPr>
          <w:p w14:paraId="60B0A901"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State’s first response:</w:t>
            </w:r>
          </w:p>
          <w:p w14:paraId="41C256C0" w14:textId="77777777" w:rsidR="004F35AC" w:rsidRPr="00521B60" w:rsidRDefault="004F35AC" w:rsidP="004F35AC">
            <w:pPr>
              <w:jc w:val="center"/>
              <w:rPr>
                <w:rFonts w:ascii="Cambria" w:hAnsi="Cambria"/>
                <w:b/>
                <w:color w:val="FFFFFF" w:themeColor="background1"/>
                <w:sz w:val="22"/>
                <w:szCs w:val="22"/>
              </w:rPr>
            </w:pPr>
          </w:p>
        </w:tc>
        <w:tc>
          <w:tcPr>
            <w:tcW w:w="5670" w:type="dxa"/>
            <w:vAlign w:val="center"/>
          </w:tcPr>
          <w:p w14:paraId="5786E1B5" w14:textId="5527B2CC" w:rsidR="004F35AC" w:rsidRDefault="00A23E3E" w:rsidP="009163FC">
            <w:pPr>
              <w:jc w:val="both"/>
              <w:rPr>
                <w:rFonts w:ascii="Cambria" w:hAnsi="Cambria"/>
                <w:bCs/>
                <w:sz w:val="20"/>
                <w:szCs w:val="20"/>
              </w:rPr>
            </w:pPr>
            <w:r>
              <w:rPr>
                <w:rFonts w:ascii="Cambria" w:hAnsi="Cambria"/>
                <w:bCs/>
                <w:sz w:val="20"/>
                <w:szCs w:val="20"/>
              </w:rPr>
              <w:t>March 27, 2018</w:t>
            </w:r>
          </w:p>
        </w:tc>
      </w:tr>
      <w:tr w:rsidR="00A23E3E" w:rsidRPr="000B6B7A" w14:paraId="4E6858BA" w14:textId="77777777" w:rsidTr="00B06BB7">
        <w:tc>
          <w:tcPr>
            <w:tcW w:w="3690" w:type="dxa"/>
            <w:tcBorders>
              <w:top w:val="single" w:sz="6" w:space="0" w:color="auto"/>
              <w:bottom w:val="single" w:sz="6" w:space="0" w:color="auto"/>
            </w:tcBorders>
            <w:shd w:val="clear" w:color="auto" w:fill="67AE3C"/>
            <w:vAlign w:val="center"/>
          </w:tcPr>
          <w:p w14:paraId="4696F5C4" w14:textId="7362F962" w:rsidR="00A23E3E" w:rsidRPr="004F35AC" w:rsidRDefault="00A23E3E" w:rsidP="00A23E3E">
            <w:pPr>
              <w:jc w:val="center"/>
              <w:rPr>
                <w:rFonts w:ascii="Cambria" w:hAnsi="Cambria"/>
                <w:b/>
                <w:color w:val="FFFFFF" w:themeColor="background1"/>
                <w:sz w:val="22"/>
                <w:szCs w:val="22"/>
              </w:rPr>
            </w:pPr>
            <w:r w:rsidRPr="004F35AC">
              <w:rPr>
                <w:rFonts w:ascii="Cambria" w:hAnsi="Cambria"/>
                <w:b/>
                <w:color w:val="FFFFFF" w:themeColor="background1"/>
                <w:sz w:val="22"/>
                <w:szCs w:val="22"/>
              </w:rPr>
              <w:t xml:space="preserve">Additional observations from the </w:t>
            </w:r>
            <w:r>
              <w:rPr>
                <w:rFonts w:ascii="Cambria" w:hAnsi="Cambria"/>
                <w:b/>
                <w:color w:val="FFFFFF" w:themeColor="background1"/>
                <w:sz w:val="22"/>
                <w:szCs w:val="22"/>
              </w:rPr>
              <w:t>State</w:t>
            </w:r>
          </w:p>
          <w:p w14:paraId="0D415E61" w14:textId="77777777" w:rsidR="00A23E3E" w:rsidRPr="004F35AC" w:rsidRDefault="00A23E3E" w:rsidP="004F35AC">
            <w:pPr>
              <w:jc w:val="center"/>
              <w:rPr>
                <w:rFonts w:ascii="Cambria" w:hAnsi="Cambria"/>
                <w:b/>
                <w:color w:val="FFFFFF" w:themeColor="background1"/>
                <w:sz w:val="22"/>
                <w:szCs w:val="22"/>
              </w:rPr>
            </w:pPr>
          </w:p>
        </w:tc>
        <w:tc>
          <w:tcPr>
            <w:tcW w:w="5670" w:type="dxa"/>
            <w:vAlign w:val="center"/>
          </w:tcPr>
          <w:p w14:paraId="1FCE74ED" w14:textId="27E90937" w:rsidR="00A23E3E" w:rsidRDefault="00A23E3E" w:rsidP="009163FC">
            <w:pPr>
              <w:jc w:val="both"/>
              <w:rPr>
                <w:rFonts w:ascii="Cambria" w:hAnsi="Cambria"/>
                <w:bCs/>
                <w:sz w:val="20"/>
                <w:szCs w:val="20"/>
              </w:rPr>
            </w:pPr>
            <w:r>
              <w:rPr>
                <w:rFonts w:ascii="Cambria" w:hAnsi="Cambria"/>
                <w:bCs/>
                <w:sz w:val="20"/>
                <w:szCs w:val="20"/>
              </w:rPr>
              <w:t>June 21, 2019</w:t>
            </w:r>
          </w:p>
        </w:tc>
      </w:tr>
      <w:tr w:rsidR="004F35AC" w:rsidRPr="000B6B7A" w14:paraId="29D5073D" w14:textId="77777777" w:rsidTr="00B06BB7">
        <w:tc>
          <w:tcPr>
            <w:tcW w:w="3690" w:type="dxa"/>
            <w:tcBorders>
              <w:top w:val="single" w:sz="6" w:space="0" w:color="auto"/>
              <w:bottom w:val="single" w:sz="6" w:space="0" w:color="auto"/>
            </w:tcBorders>
            <w:shd w:val="clear" w:color="auto" w:fill="67AE3C"/>
            <w:vAlign w:val="center"/>
          </w:tcPr>
          <w:p w14:paraId="3F8B0F60" w14:textId="77777777" w:rsidR="004F35AC" w:rsidRPr="004F35AC" w:rsidRDefault="004F35AC" w:rsidP="004F35AC">
            <w:pPr>
              <w:jc w:val="center"/>
              <w:rPr>
                <w:rFonts w:ascii="Cambria" w:hAnsi="Cambria"/>
                <w:b/>
                <w:color w:val="FFFFFF" w:themeColor="background1"/>
                <w:sz w:val="22"/>
                <w:szCs w:val="22"/>
              </w:rPr>
            </w:pPr>
            <w:r w:rsidRPr="004F35AC">
              <w:rPr>
                <w:rFonts w:ascii="Cambria" w:hAnsi="Cambria"/>
                <w:b/>
                <w:color w:val="FFFFFF" w:themeColor="background1"/>
                <w:sz w:val="22"/>
                <w:szCs w:val="22"/>
              </w:rPr>
              <w:t>Additional observations from the petitioner</w:t>
            </w:r>
          </w:p>
          <w:p w14:paraId="5E23FCC0" w14:textId="77777777" w:rsidR="004F35AC" w:rsidRPr="004F35AC" w:rsidRDefault="004F35AC" w:rsidP="004F35AC">
            <w:pPr>
              <w:jc w:val="center"/>
              <w:rPr>
                <w:rFonts w:ascii="Cambria" w:hAnsi="Cambria"/>
                <w:b/>
                <w:color w:val="FFFFFF" w:themeColor="background1"/>
                <w:sz w:val="22"/>
                <w:szCs w:val="22"/>
              </w:rPr>
            </w:pPr>
          </w:p>
        </w:tc>
        <w:tc>
          <w:tcPr>
            <w:tcW w:w="5670" w:type="dxa"/>
            <w:vAlign w:val="center"/>
          </w:tcPr>
          <w:p w14:paraId="12401F6F" w14:textId="3AAE532B" w:rsidR="004F35AC" w:rsidRDefault="004F35AC" w:rsidP="009163FC">
            <w:pPr>
              <w:jc w:val="both"/>
              <w:rPr>
                <w:rFonts w:ascii="Cambria" w:hAnsi="Cambria"/>
                <w:bCs/>
                <w:sz w:val="19"/>
                <w:szCs w:val="19"/>
                <w:lang w:val="es-ES"/>
              </w:rPr>
            </w:pPr>
            <w:proofErr w:type="spellStart"/>
            <w:r>
              <w:rPr>
                <w:rFonts w:ascii="Cambria" w:hAnsi="Cambria"/>
                <w:bCs/>
                <w:sz w:val="19"/>
                <w:szCs w:val="19"/>
                <w:lang w:val="es-ES"/>
              </w:rPr>
              <w:t>July</w:t>
            </w:r>
            <w:proofErr w:type="spellEnd"/>
            <w:r>
              <w:rPr>
                <w:rFonts w:ascii="Cambria" w:hAnsi="Cambria"/>
                <w:bCs/>
                <w:sz w:val="19"/>
                <w:szCs w:val="19"/>
                <w:lang w:val="es-ES"/>
              </w:rPr>
              <w:t xml:space="preserve"> </w:t>
            </w:r>
            <w:r w:rsidR="00A23E3E">
              <w:rPr>
                <w:rFonts w:ascii="Cambria" w:hAnsi="Cambria"/>
                <w:bCs/>
                <w:sz w:val="19"/>
                <w:szCs w:val="19"/>
                <w:lang w:val="es-ES"/>
              </w:rPr>
              <w:t xml:space="preserve">20, </w:t>
            </w:r>
            <w:r>
              <w:rPr>
                <w:rFonts w:ascii="Cambria" w:hAnsi="Cambria"/>
                <w:bCs/>
                <w:sz w:val="19"/>
                <w:szCs w:val="19"/>
                <w:lang w:val="es-ES"/>
              </w:rPr>
              <w:t>2018</w:t>
            </w:r>
          </w:p>
          <w:p w14:paraId="25A44418" w14:textId="578BA6F6" w:rsidR="004F35AC" w:rsidRDefault="004F35AC" w:rsidP="009163FC">
            <w:pPr>
              <w:jc w:val="both"/>
              <w:rPr>
                <w:rFonts w:ascii="Cambria" w:hAnsi="Cambria"/>
                <w:bCs/>
                <w:sz w:val="20"/>
                <w:szCs w:val="20"/>
              </w:rPr>
            </w:pP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6B12BB8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39C38C6E"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DEF3181" w:rsidR="00F621C3" w:rsidRPr="000B6B7A" w:rsidRDefault="0030274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197876F3" w:rsidR="00F621C3" w:rsidRPr="000B6B7A" w:rsidRDefault="00A23E3E" w:rsidP="009163FC">
            <w:pPr>
              <w:jc w:val="both"/>
              <w:rPr>
                <w:rFonts w:asciiTheme="majorHAnsi" w:hAnsiTheme="majorHAnsi"/>
                <w:bCs/>
                <w:sz w:val="20"/>
                <w:szCs w:val="20"/>
              </w:rPr>
            </w:pPr>
            <w:r w:rsidRPr="00A23E3E">
              <w:rPr>
                <w:rFonts w:asciiTheme="majorHAnsi" w:hAnsiTheme="majorHAnsi"/>
                <w:bCs/>
                <w:sz w:val="20"/>
                <w:szCs w:val="20"/>
              </w:rPr>
              <w:t>Yes, American Convention (deposit of the instrument of ratification made on March 24, 1981)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C3CBFCF" w:rsidR="00F621C3" w:rsidRPr="000B6B7A" w:rsidRDefault="00302748"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33BE4040" w14:textId="60699286" w:rsidR="00F621C3" w:rsidRPr="000B6B7A" w:rsidRDefault="00A23E3E" w:rsidP="009163FC">
            <w:pPr>
              <w:jc w:val="both"/>
              <w:rPr>
                <w:rFonts w:ascii="Cambria" w:hAnsi="Cambria"/>
                <w:bCs/>
                <w:sz w:val="20"/>
                <w:szCs w:val="20"/>
              </w:rPr>
            </w:pPr>
            <w:r w:rsidRPr="00A23E3E">
              <w:rPr>
                <w:rFonts w:ascii="Cambria" w:hAnsi="Cambria"/>
                <w:bCs/>
                <w:sz w:val="20"/>
                <w:szCs w:val="20"/>
              </w:rPr>
              <w:t>Articles 4 (life), 5 (</w:t>
            </w:r>
            <w:r>
              <w:rPr>
                <w:rFonts w:ascii="Cambria" w:hAnsi="Cambria"/>
                <w:bCs/>
                <w:sz w:val="20"/>
                <w:szCs w:val="20"/>
              </w:rPr>
              <w:t>humane treatment</w:t>
            </w:r>
            <w:r w:rsidRPr="00A23E3E">
              <w:rPr>
                <w:rFonts w:ascii="Cambria" w:hAnsi="Cambria"/>
                <w:bCs/>
                <w:sz w:val="20"/>
                <w:szCs w:val="20"/>
              </w:rPr>
              <w:t>), 8 (</w:t>
            </w:r>
            <w:r>
              <w:rPr>
                <w:rFonts w:ascii="Cambria" w:hAnsi="Cambria"/>
                <w:bCs/>
                <w:sz w:val="20"/>
                <w:szCs w:val="20"/>
              </w:rPr>
              <w:t>fair trial),</w:t>
            </w:r>
            <w:r w:rsidRPr="00A23E3E">
              <w:rPr>
                <w:rFonts w:ascii="Cambria" w:hAnsi="Cambria"/>
                <w:bCs/>
                <w:sz w:val="20"/>
                <w:szCs w:val="20"/>
              </w:rPr>
              <w:t xml:space="preserve"> 19 (</w:t>
            </w:r>
            <w:r>
              <w:rPr>
                <w:rFonts w:ascii="Cambria" w:hAnsi="Cambria"/>
                <w:bCs/>
                <w:sz w:val="20"/>
                <w:szCs w:val="20"/>
              </w:rPr>
              <w:t>rights of the child</w:t>
            </w:r>
            <w:r w:rsidRPr="00A23E3E">
              <w:rPr>
                <w:rFonts w:ascii="Cambria" w:hAnsi="Cambria"/>
                <w:bCs/>
                <w:sz w:val="20"/>
                <w:szCs w:val="20"/>
              </w:rPr>
              <w:t>) and 25 (judicial protection) of the American Convention on Human Right</w:t>
            </w:r>
            <w:r>
              <w:rPr>
                <w:rFonts w:ascii="Cambria" w:hAnsi="Cambria"/>
                <w:bCs/>
                <w:sz w:val="20"/>
                <w:szCs w:val="20"/>
              </w:rPr>
              <w:t>s</w:t>
            </w:r>
            <w:r w:rsidRPr="00A23E3E">
              <w:rPr>
                <w:rFonts w:ascii="Cambria" w:hAnsi="Cambria"/>
                <w:bCs/>
                <w:sz w:val="20"/>
                <w:szCs w:val="20"/>
              </w:rPr>
              <w:t xml:space="preserve"> in relation to its article 1.1 (obligation to respect the </w:t>
            </w:r>
            <w:proofErr w:type="gramStart"/>
            <w:r w:rsidRPr="00A23E3E">
              <w:rPr>
                <w:rFonts w:ascii="Cambria" w:hAnsi="Cambria"/>
                <w:bCs/>
                <w:sz w:val="20"/>
                <w:szCs w:val="20"/>
              </w:rPr>
              <w:t>rights )</w:t>
            </w:r>
            <w:proofErr w:type="gramEnd"/>
            <w:r>
              <w:rPr>
                <w:rFonts w:ascii="Cambria" w:hAnsi="Cambria"/>
                <w:bCs/>
                <w:sz w:val="20"/>
                <w:szCs w:val="20"/>
              </w:rPr>
              <w:t xml:space="preserve"> and Article 2 (Domestic Legal Effects). </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DC9BC4E" w:rsidR="00F621C3" w:rsidRPr="000B6B7A" w:rsidRDefault="008B69AE" w:rsidP="009163FC">
            <w:pPr>
              <w:rPr>
                <w:rFonts w:ascii="Cambria" w:hAnsi="Cambria"/>
                <w:bCs/>
                <w:sz w:val="20"/>
                <w:szCs w:val="20"/>
              </w:rPr>
            </w:pPr>
            <w:r w:rsidRPr="008B69AE">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3C40DD5" w:rsidR="00F621C3" w:rsidRPr="000B6B7A" w:rsidRDefault="008B69AE" w:rsidP="009163FC">
            <w:pPr>
              <w:rPr>
                <w:rFonts w:asciiTheme="majorHAnsi" w:hAnsiTheme="majorHAnsi"/>
                <w:bCs/>
                <w:sz w:val="20"/>
                <w:szCs w:val="20"/>
              </w:rPr>
            </w:pPr>
            <w:r w:rsidRPr="008B69AE">
              <w:rPr>
                <w:rFonts w:asciiTheme="majorHAnsi" w:hAnsiTheme="majorHAnsi"/>
                <w:bCs/>
                <w:sz w:val="20"/>
                <w:szCs w:val="20"/>
              </w:rPr>
              <w:t>Yes, in the terms of section VI</w:t>
            </w:r>
          </w:p>
        </w:tc>
      </w:tr>
    </w:tbl>
    <w:p w14:paraId="6AA64E9A" w14:textId="77777777" w:rsidR="00F56687" w:rsidRDefault="00F56687" w:rsidP="00F56687">
      <w:pPr>
        <w:rPr>
          <w:rFonts w:asciiTheme="majorHAnsi" w:hAnsiTheme="majorHAnsi"/>
          <w:b/>
          <w:sz w:val="20"/>
          <w:szCs w:val="20"/>
        </w:rPr>
      </w:pPr>
    </w:p>
    <w:p w14:paraId="22BE12EB" w14:textId="2F97B923" w:rsidR="00BF4B32" w:rsidRPr="00167D72" w:rsidRDefault="00F621C3" w:rsidP="00F56687">
      <w:pPr>
        <w:ind w:firstLine="720"/>
        <w:rPr>
          <w:rFonts w:asciiTheme="majorHAnsi" w:hAnsiTheme="majorHAnsi"/>
          <w:b/>
          <w:sz w:val="20"/>
          <w:szCs w:val="20"/>
        </w:rPr>
      </w:pPr>
      <w:r w:rsidRPr="00167D72">
        <w:rPr>
          <w:rFonts w:asciiTheme="majorHAnsi" w:hAnsiTheme="majorHAnsi"/>
          <w:b/>
          <w:sz w:val="20"/>
          <w:szCs w:val="20"/>
        </w:rPr>
        <w:t xml:space="preserve">V. </w:t>
      </w:r>
      <w:r w:rsidRPr="00167D72">
        <w:rPr>
          <w:rFonts w:asciiTheme="majorHAnsi" w:hAnsiTheme="majorHAnsi"/>
          <w:b/>
          <w:sz w:val="20"/>
          <w:szCs w:val="20"/>
        </w:rPr>
        <w:tab/>
        <w:t xml:space="preserve">FACTS </w:t>
      </w:r>
      <w:r w:rsidR="005816E5" w:rsidRPr="00167D72">
        <w:rPr>
          <w:rFonts w:asciiTheme="majorHAnsi" w:hAnsiTheme="majorHAnsi"/>
          <w:b/>
          <w:sz w:val="20"/>
          <w:szCs w:val="20"/>
        </w:rPr>
        <w:t>ALLEGED</w:t>
      </w:r>
    </w:p>
    <w:p w14:paraId="3F366467" w14:textId="7F015F1B" w:rsidR="00EE0EAF" w:rsidRDefault="00EE0EAF" w:rsidP="009F1510">
      <w:pPr>
        <w:pStyle w:val="ListParagraph"/>
        <w:numPr>
          <w:ilvl w:val="0"/>
          <w:numId w:val="107"/>
        </w:numPr>
        <w:spacing w:after="240"/>
        <w:ind w:left="0" w:firstLine="720"/>
        <w:jc w:val="both"/>
        <w:rPr>
          <w:rFonts w:asciiTheme="majorHAnsi" w:hAnsiTheme="majorHAnsi"/>
          <w:sz w:val="20"/>
          <w:szCs w:val="20"/>
        </w:rPr>
      </w:pPr>
      <w:r w:rsidRPr="00EE0EAF">
        <w:rPr>
          <w:rFonts w:asciiTheme="majorHAnsi" w:hAnsiTheme="majorHAnsi"/>
          <w:sz w:val="20"/>
          <w:szCs w:val="20"/>
        </w:rPr>
        <w:t xml:space="preserve">The petitioners denounce that on June 5, 2009, at the “ABC Nursery”, in charge of providing childcare services in the city of Hermosillo, Sonora state, by delegation from the Mexican Social Security Institute (hereinafter “the IMSS” ), a fire occurred due to a short circuit in one of the electric coolers in the adjoining warehouse, located in the same building. </w:t>
      </w:r>
      <w:r>
        <w:rPr>
          <w:rFonts w:asciiTheme="majorHAnsi" w:hAnsiTheme="majorHAnsi"/>
          <w:sz w:val="20"/>
          <w:szCs w:val="20"/>
        </w:rPr>
        <w:t>Petitioners</w:t>
      </w:r>
      <w:r w:rsidRPr="00EE0EAF">
        <w:rPr>
          <w:rFonts w:asciiTheme="majorHAnsi" w:hAnsiTheme="majorHAnsi"/>
          <w:sz w:val="20"/>
          <w:szCs w:val="20"/>
        </w:rPr>
        <w:t xml:space="preserve"> indicate that 49 girls and boys died, and another 70 were injured, as a result of the actions and omissions of the state authorities.</w:t>
      </w:r>
    </w:p>
    <w:p w14:paraId="1B41F679" w14:textId="295D129A" w:rsidR="00EE0EAF" w:rsidRDefault="00EE0EAF" w:rsidP="009F1510">
      <w:pPr>
        <w:pStyle w:val="ListParagraph"/>
        <w:numPr>
          <w:ilvl w:val="0"/>
          <w:numId w:val="107"/>
        </w:numPr>
        <w:spacing w:after="240"/>
        <w:ind w:left="0" w:firstLine="720"/>
        <w:jc w:val="both"/>
        <w:rPr>
          <w:rFonts w:asciiTheme="majorHAnsi" w:hAnsiTheme="majorHAnsi"/>
          <w:sz w:val="20"/>
          <w:szCs w:val="20"/>
        </w:rPr>
      </w:pPr>
      <w:r>
        <w:rPr>
          <w:rFonts w:asciiTheme="majorHAnsi" w:hAnsiTheme="majorHAnsi"/>
          <w:sz w:val="20"/>
          <w:szCs w:val="20"/>
        </w:rPr>
        <w:t>Petitioners</w:t>
      </w:r>
      <w:r w:rsidRPr="00EE0EAF">
        <w:rPr>
          <w:rFonts w:asciiTheme="majorHAnsi" w:hAnsiTheme="majorHAnsi"/>
          <w:sz w:val="20"/>
          <w:szCs w:val="20"/>
        </w:rPr>
        <w:t xml:space="preserve"> allege that the IMSS distorted the internal regulations by delegating its obligation to provide childcare services to the “ABC Nursery”. </w:t>
      </w:r>
      <w:r>
        <w:rPr>
          <w:rFonts w:asciiTheme="majorHAnsi" w:hAnsiTheme="majorHAnsi"/>
          <w:sz w:val="20"/>
          <w:szCs w:val="20"/>
        </w:rPr>
        <w:t>In accordance with</w:t>
      </w:r>
      <w:r w:rsidRPr="00EE0EAF">
        <w:rPr>
          <w:rFonts w:asciiTheme="majorHAnsi" w:hAnsiTheme="majorHAnsi"/>
          <w:sz w:val="20"/>
          <w:szCs w:val="20"/>
        </w:rPr>
        <w:t xml:space="preserve"> the Constitution</w:t>
      </w:r>
      <w:r w:rsidRPr="00D90C0E">
        <w:rPr>
          <w:rStyle w:val="FootnoteReference"/>
          <w:sz w:val="20"/>
          <w:szCs w:val="20"/>
          <w:lang w:val="es-ES"/>
        </w:rPr>
        <w:footnoteReference w:id="7"/>
      </w:r>
      <w:r w:rsidRPr="00F56687">
        <w:rPr>
          <w:sz w:val="20"/>
          <w:szCs w:val="20"/>
        </w:rPr>
        <w:t xml:space="preserve">  </w:t>
      </w:r>
      <w:r w:rsidRPr="00EE0EAF">
        <w:rPr>
          <w:rFonts w:asciiTheme="majorHAnsi" w:hAnsiTheme="majorHAnsi"/>
          <w:sz w:val="20"/>
          <w:szCs w:val="20"/>
        </w:rPr>
        <w:t>and the General Education Law</w:t>
      </w:r>
      <w:r w:rsidRPr="00D90C0E">
        <w:rPr>
          <w:rStyle w:val="FootnoteReference"/>
          <w:sz w:val="20"/>
          <w:szCs w:val="20"/>
          <w:lang w:val="es-ES"/>
        </w:rPr>
        <w:footnoteReference w:id="8"/>
      </w:r>
      <w:r w:rsidRPr="00EE0EAF">
        <w:rPr>
          <w:rFonts w:asciiTheme="majorHAnsi" w:hAnsiTheme="majorHAnsi"/>
          <w:sz w:val="20"/>
          <w:szCs w:val="20"/>
        </w:rPr>
        <w:t>, the State has the obligation to provide the aforementioned benefits through nurseries, which are part of the national educational system. Along these lines, they indicate that the Social Security Law</w:t>
      </w:r>
      <w:r w:rsidR="004D6A1A">
        <w:rPr>
          <w:rStyle w:val="FootnoteReference"/>
          <w:rFonts w:asciiTheme="majorHAnsi" w:hAnsiTheme="majorHAnsi"/>
          <w:sz w:val="20"/>
          <w:szCs w:val="20"/>
        </w:rPr>
        <w:footnoteReference w:id="9"/>
      </w:r>
      <w:r w:rsidRPr="00EE0EAF">
        <w:rPr>
          <w:rFonts w:asciiTheme="majorHAnsi" w:hAnsiTheme="majorHAnsi"/>
          <w:sz w:val="20"/>
          <w:szCs w:val="20"/>
        </w:rPr>
        <w:t xml:space="preserve"> establishes that such services will be provided by the IMSS and that, exceptionally, the aforementioned entity may enter into quota reversal or service subrogation agreements with employers that have day-care centers installed in their companies, provided they comply with the legal requirements for it. </w:t>
      </w:r>
      <w:r>
        <w:rPr>
          <w:rFonts w:asciiTheme="majorHAnsi" w:hAnsiTheme="majorHAnsi"/>
          <w:sz w:val="20"/>
          <w:szCs w:val="20"/>
        </w:rPr>
        <w:t xml:space="preserve">Petitioners </w:t>
      </w:r>
      <w:r w:rsidRPr="00EE0EAF">
        <w:rPr>
          <w:rFonts w:asciiTheme="majorHAnsi" w:hAnsiTheme="majorHAnsi"/>
          <w:sz w:val="20"/>
          <w:szCs w:val="20"/>
        </w:rPr>
        <w:t>argue that in contravention of this legislation, the IMSS initiated a public bidding system, known as the “community neighborhood” scheme, which allowed private third parties to provide childcare services.</w:t>
      </w:r>
    </w:p>
    <w:p w14:paraId="50C8BB86" w14:textId="77777777" w:rsidR="00EE0EAF" w:rsidRDefault="00EE0EAF" w:rsidP="009F1510">
      <w:pPr>
        <w:pStyle w:val="ListParagraph"/>
        <w:numPr>
          <w:ilvl w:val="0"/>
          <w:numId w:val="107"/>
        </w:numPr>
        <w:spacing w:after="240"/>
        <w:ind w:left="0" w:firstLine="720"/>
        <w:jc w:val="both"/>
        <w:rPr>
          <w:rFonts w:asciiTheme="majorHAnsi" w:hAnsiTheme="majorHAnsi"/>
          <w:sz w:val="20"/>
          <w:szCs w:val="20"/>
        </w:rPr>
      </w:pPr>
      <w:r w:rsidRPr="00EE0EAF">
        <w:rPr>
          <w:rFonts w:asciiTheme="majorHAnsi" w:hAnsiTheme="majorHAnsi"/>
          <w:sz w:val="20"/>
          <w:szCs w:val="20"/>
        </w:rPr>
        <w:t xml:space="preserve">The petitioners point out that when implementing the aforementioned “community neighborhood” scheme, the IMSS did not adopt safeguards or supervise childcare facilities to guarantee that the care service is provided in minimum conditions of quality and safety. </w:t>
      </w:r>
      <w:r>
        <w:rPr>
          <w:rFonts w:asciiTheme="majorHAnsi" w:hAnsiTheme="majorHAnsi"/>
          <w:sz w:val="20"/>
          <w:szCs w:val="20"/>
        </w:rPr>
        <w:t>Only</w:t>
      </w:r>
      <w:r w:rsidRPr="00EE0EAF">
        <w:rPr>
          <w:rFonts w:asciiTheme="majorHAnsi" w:hAnsiTheme="majorHAnsi"/>
          <w:sz w:val="20"/>
          <w:szCs w:val="20"/>
        </w:rPr>
        <w:t xml:space="preserve"> 0.3% met the legal requirements for their operation, and none had regular supervision by the IMSS. Likewise, they allege that such absence of measures caused the nurseries managed by private third parties to maximize the number of children enrolled, </w:t>
      </w:r>
      <w:r>
        <w:rPr>
          <w:rFonts w:asciiTheme="majorHAnsi" w:hAnsiTheme="majorHAnsi"/>
          <w:sz w:val="20"/>
          <w:szCs w:val="20"/>
        </w:rPr>
        <w:t>by</w:t>
      </w:r>
      <w:r w:rsidRPr="00EE0EAF">
        <w:rPr>
          <w:rFonts w:asciiTheme="majorHAnsi" w:hAnsiTheme="majorHAnsi"/>
          <w:sz w:val="20"/>
          <w:szCs w:val="20"/>
        </w:rPr>
        <w:t xml:space="preserve"> decreas</w:t>
      </w:r>
      <w:r>
        <w:rPr>
          <w:rFonts w:asciiTheme="majorHAnsi" w:hAnsiTheme="majorHAnsi"/>
          <w:sz w:val="20"/>
          <w:szCs w:val="20"/>
        </w:rPr>
        <w:t>ing</w:t>
      </w:r>
      <w:r w:rsidRPr="00EE0EAF">
        <w:rPr>
          <w:rFonts w:asciiTheme="majorHAnsi" w:hAnsiTheme="majorHAnsi"/>
          <w:sz w:val="20"/>
          <w:szCs w:val="20"/>
        </w:rPr>
        <w:t xml:space="preserve"> the specific investment for each </w:t>
      </w:r>
      <w:r>
        <w:rPr>
          <w:rFonts w:asciiTheme="majorHAnsi" w:hAnsiTheme="majorHAnsi"/>
          <w:sz w:val="20"/>
          <w:szCs w:val="20"/>
        </w:rPr>
        <w:t>child</w:t>
      </w:r>
      <w:r w:rsidRPr="00EE0EAF">
        <w:rPr>
          <w:rFonts w:asciiTheme="majorHAnsi" w:hAnsiTheme="majorHAnsi"/>
          <w:sz w:val="20"/>
          <w:szCs w:val="20"/>
        </w:rPr>
        <w:t>, in order to generate higher profits and offer better discounts to the IMSS to achieve public tender for the service, at the cost of quality in the provision of the service.</w:t>
      </w:r>
    </w:p>
    <w:p w14:paraId="5CE28A3D" w14:textId="6CAA0483" w:rsidR="00EE0EAF" w:rsidRPr="00EE0EAF" w:rsidRDefault="00EE0EAF" w:rsidP="009F1510">
      <w:pPr>
        <w:pStyle w:val="ListParagraph"/>
        <w:numPr>
          <w:ilvl w:val="0"/>
          <w:numId w:val="107"/>
        </w:numPr>
        <w:spacing w:after="240"/>
        <w:ind w:left="0" w:firstLine="720"/>
        <w:jc w:val="both"/>
        <w:rPr>
          <w:rFonts w:asciiTheme="majorHAnsi" w:hAnsiTheme="majorHAnsi"/>
          <w:sz w:val="20"/>
          <w:szCs w:val="20"/>
        </w:rPr>
      </w:pPr>
      <w:r w:rsidRPr="00EE0EAF">
        <w:rPr>
          <w:rFonts w:asciiTheme="majorHAnsi" w:hAnsiTheme="majorHAnsi"/>
          <w:sz w:val="20"/>
          <w:szCs w:val="20"/>
        </w:rPr>
        <w:t xml:space="preserve"> The petitioner argues that, as a result, on August 6, 2001, the IMSS signed a subrogation agreement with the “ABC Nursery School”, delegating the function of providing child care services to 170 children in a building that </w:t>
      </w:r>
      <w:r>
        <w:rPr>
          <w:rFonts w:asciiTheme="majorHAnsi" w:hAnsiTheme="majorHAnsi"/>
          <w:sz w:val="20"/>
          <w:szCs w:val="20"/>
        </w:rPr>
        <w:t>was not</w:t>
      </w:r>
      <w:r w:rsidRPr="00EE0EAF">
        <w:rPr>
          <w:rFonts w:asciiTheme="majorHAnsi" w:hAnsiTheme="majorHAnsi"/>
          <w:sz w:val="20"/>
          <w:szCs w:val="20"/>
        </w:rPr>
        <w:t xml:space="preserve"> built for that </w:t>
      </w:r>
      <w:r>
        <w:rPr>
          <w:rFonts w:asciiTheme="majorHAnsi" w:hAnsiTheme="majorHAnsi"/>
          <w:sz w:val="20"/>
          <w:szCs w:val="20"/>
        </w:rPr>
        <w:t xml:space="preserve">purpose </w:t>
      </w:r>
      <w:r w:rsidRPr="00EE0EAF">
        <w:rPr>
          <w:rFonts w:asciiTheme="majorHAnsi" w:hAnsiTheme="majorHAnsi"/>
          <w:sz w:val="20"/>
          <w:szCs w:val="20"/>
        </w:rPr>
        <w:t>and it shared the same building with a warehouse used by the Sonora State Government that lacked adequate security measures in relation to fire prevention and electrical appliances. It alludes that the partners and managers of said nursery were public officials of the state of Sonora and their relatives, which would show that in practice the “community neighborhood” scheme did not operate in favor of the members of the community, but for the benefit of people linked to the political class.</w:t>
      </w:r>
    </w:p>
    <w:p w14:paraId="7722D527" w14:textId="1469FF2A" w:rsidR="001966F0" w:rsidRDefault="00D92B94" w:rsidP="009F1510">
      <w:pPr>
        <w:pStyle w:val="ListParagraph"/>
        <w:numPr>
          <w:ilvl w:val="0"/>
          <w:numId w:val="107"/>
        </w:numPr>
        <w:spacing w:after="240"/>
        <w:ind w:left="0" w:firstLine="720"/>
        <w:jc w:val="both"/>
        <w:rPr>
          <w:rFonts w:asciiTheme="majorHAnsi" w:hAnsiTheme="majorHAnsi"/>
          <w:sz w:val="20"/>
          <w:szCs w:val="20"/>
        </w:rPr>
      </w:pPr>
      <w:r w:rsidRPr="00D92B94">
        <w:rPr>
          <w:rFonts w:asciiTheme="majorHAnsi" w:hAnsiTheme="majorHAnsi"/>
          <w:sz w:val="20"/>
          <w:szCs w:val="20"/>
        </w:rPr>
        <w:lastRenderedPageBreak/>
        <w:t xml:space="preserve">Emphasizes that the IMSS did not carry out </w:t>
      </w:r>
      <w:r w:rsidRPr="00F56687">
        <w:rPr>
          <w:rFonts w:asciiTheme="majorHAnsi" w:hAnsiTheme="majorHAnsi"/>
          <w:i/>
          <w:sz w:val="20"/>
          <w:szCs w:val="20"/>
        </w:rPr>
        <w:t>ex officio</w:t>
      </w:r>
      <w:r w:rsidRPr="00D92B94">
        <w:rPr>
          <w:rFonts w:asciiTheme="majorHAnsi" w:hAnsiTheme="majorHAnsi"/>
          <w:sz w:val="20"/>
          <w:szCs w:val="20"/>
        </w:rPr>
        <w:t xml:space="preserve"> inspections at the “ABC Nursery” and that the authorities only inspected the facilities of said children's instance, omitting to review the adjoining warehouse, under the excuse that the review of such space corresponded to the state </w:t>
      </w:r>
      <w:r w:rsidR="00F56687">
        <w:rPr>
          <w:rFonts w:asciiTheme="majorHAnsi" w:hAnsiTheme="majorHAnsi"/>
          <w:sz w:val="20"/>
          <w:szCs w:val="20"/>
        </w:rPr>
        <w:t>government</w:t>
      </w:r>
      <w:r w:rsidRPr="00D92B94">
        <w:rPr>
          <w:rFonts w:asciiTheme="majorHAnsi" w:hAnsiTheme="majorHAnsi"/>
          <w:sz w:val="20"/>
          <w:szCs w:val="20"/>
        </w:rPr>
        <w:t xml:space="preserve">. </w:t>
      </w:r>
      <w:r>
        <w:rPr>
          <w:rFonts w:asciiTheme="majorHAnsi" w:hAnsiTheme="majorHAnsi"/>
          <w:sz w:val="20"/>
          <w:szCs w:val="20"/>
        </w:rPr>
        <w:t xml:space="preserve">Petitioners argue </w:t>
      </w:r>
      <w:r w:rsidRPr="00D92B94">
        <w:rPr>
          <w:rFonts w:asciiTheme="majorHAnsi" w:hAnsiTheme="majorHAnsi"/>
          <w:sz w:val="20"/>
          <w:szCs w:val="20"/>
        </w:rPr>
        <w:t xml:space="preserve">that since 2001 the Office of Fire Prevention and Civil Security of the municipality of Hermosillo warned that the aforementioned warehouse had a greater risk of suffering a fire, due to the high temperatures in the city and the amount of paper that was stored in said space. Despite this, on October 31, 2003, the IMSS renewed the contract with the “ABC Nursery”, allowing it to increase its capacity to provide services to 190 children, without taking further security measures. </w:t>
      </w:r>
      <w:r>
        <w:rPr>
          <w:rFonts w:asciiTheme="majorHAnsi" w:hAnsiTheme="majorHAnsi"/>
          <w:sz w:val="20"/>
          <w:szCs w:val="20"/>
        </w:rPr>
        <w:t>Petitioners specify that</w:t>
      </w:r>
      <w:r w:rsidRPr="00D92B94">
        <w:rPr>
          <w:rFonts w:asciiTheme="majorHAnsi" w:hAnsiTheme="majorHAnsi"/>
          <w:sz w:val="20"/>
          <w:szCs w:val="20"/>
        </w:rPr>
        <w:t xml:space="preserve"> on the day of the fire</w:t>
      </w:r>
      <w:r>
        <w:rPr>
          <w:rFonts w:asciiTheme="majorHAnsi" w:hAnsiTheme="majorHAnsi"/>
          <w:sz w:val="20"/>
          <w:szCs w:val="20"/>
        </w:rPr>
        <w:t xml:space="preserve">, </w:t>
      </w:r>
      <w:r w:rsidRPr="00D92B94">
        <w:rPr>
          <w:rFonts w:asciiTheme="majorHAnsi" w:hAnsiTheme="majorHAnsi"/>
          <w:sz w:val="20"/>
          <w:szCs w:val="20"/>
        </w:rPr>
        <w:t>negligence</w:t>
      </w:r>
      <w:r>
        <w:rPr>
          <w:rFonts w:asciiTheme="majorHAnsi" w:hAnsiTheme="majorHAnsi"/>
          <w:sz w:val="20"/>
          <w:szCs w:val="20"/>
        </w:rPr>
        <w:t>, amongst other irregularities occurred</w:t>
      </w:r>
      <w:r w:rsidRPr="00D92B94">
        <w:rPr>
          <w:rFonts w:asciiTheme="majorHAnsi" w:hAnsiTheme="majorHAnsi"/>
          <w:sz w:val="20"/>
          <w:szCs w:val="20"/>
        </w:rPr>
        <w:t xml:space="preserve">: </w:t>
      </w:r>
      <w:proofErr w:type="spellStart"/>
      <w:r w:rsidRPr="00D92B94">
        <w:rPr>
          <w:rFonts w:asciiTheme="majorHAnsi" w:hAnsiTheme="majorHAnsi"/>
          <w:sz w:val="20"/>
          <w:szCs w:val="20"/>
        </w:rPr>
        <w:t>i</w:t>
      </w:r>
      <w:proofErr w:type="spellEnd"/>
      <w:r w:rsidRPr="00D92B94">
        <w:rPr>
          <w:rFonts w:asciiTheme="majorHAnsi" w:hAnsiTheme="majorHAnsi"/>
          <w:sz w:val="20"/>
          <w:szCs w:val="20"/>
        </w:rPr>
        <w:t>) non-compliance with the regulations applicable to emergency exits; ii) lack of updating the health license; iii) absence of renewal of the security opinion by the municipality; iv) lack of a favorable opinion by the firefighters and civil protection; v) inadequate location and operation of smoke detectors; and vi) lack of resistance of the wall that separated the children's room from the warehouse, in order to avoid the spread of the fire.</w:t>
      </w:r>
    </w:p>
    <w:p w14:paraId="648B2890" w14:textId="33EBCD6A"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Refers that on August 6, 2009, the Supreme Court of Justice of the Nation (hereinafter the “SCJN”), within the framework of its constitutional competences</w:t>
      </w:r>
      <w:r w:rsidR="004D6A1A">
        <w:rPr>
          <w:rStyle w:val="FootnoteReference"/>
          <w:sz w:val="20"/>
          <w:szCs w:val="20"/>
          <w:lang w:val="es-AR"/>
        </w:rPr>
        <w:footnoteReference w:id="10"/>
      </w:r>
      <w:r w:rsidRPr="000A63E8">
        <w:rPr>
          <w:rFonts w:asciiTheme="majorHAnsi" w:hAnsiTheme="majorHAnsi"/>
          <w:sz w:val="20"/>
          <w:szCs w:val="20"/>
        </w:rPr>
        <w:t xml:space="preserve">, decided to investigate what happened at the “ABC Nursery”, in order to analyze the general system of infancy stays subrogated by the IMSS and inquire about the actions and possible responsibilities of the authorities that may have generated the fire. </w:t>
      </w:r>
      <w:r>
        <w:rPr>
          <w:rFonts w:asciiTheme="majorHAnsi" w:hAnsiTheme="majorHAnsi"/>
          <w:sz w:val="20"/>
          <w:szCs w:val="20"/>
        </w:rPr>
        <w:t>Petitioners</w:t>
      </w:r>
      <w:r w:rsidRPr="000A63E8">
        <w:rPr>
          <w:rFonts w:asciiTheme="majorHAnsi" w:hAnsiTheme="majorHAnsi"/>
          <w:sz w:val="20"/>
          <w:szCs w:val="20"/>
        </w:rPr>
        <w:t xml:space="preserve"> relate that in February 2010 the preliminary report was delivered to the SCJN Ministers, where it was stated that the cause of the tragedy of the “ABC Nursery School” was the generalized disorder that prevailed in the general system of child-friendly stays, where only 0.3% of the surrogacy nurseries met the legal requirements for their operation.</w:t>
      </w:r>
    </w:p>
    <w:p w14:paraId="23903DFC" w14:textId="149C1413"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The petitioner alleges that on June 16, 2010, in a decision divided from six votes to five, the majority of the members of the SCJN rejected the proposal to declare that there was a general disorder in the awarding of contracts, operation and surveillance of the subrogated child stays, considering that such term could only be used if all the nurseries failed to comply with the regulations. Because of this, an opinion was approved that, although it did not question the concrete findings of the investigation, declared that the highest officials of the IMSS and the state of Sonora were not presumably responsible for what happened, since there was no general disorder at service. The petitioner argues that the Ministers who rejected the initial proposal used unclear and openly arbitrary criteria to support their position.</w:t>
      </w:r>
    </w:p>
    <w:p w14:paraId="02B3D774" w14:textId="217CD897"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The petitioner also points out that for these facts criminal proceedings were initiated in the common and federal courts, which after eleven years have not clarified the truth or sanctioned those responsible. It indicates that on June 5, 2009, the Sonora State Attorney General's Office initiated investigations at the local level, and that on June 19, it brought criminal action for the crimes of homicide and wrongful injury against fourteen low-ranking workers or public officials. Specifies that the processes are currently still open and no convictions have yet been imposed.</w:t>
      </w:r>
    </w:p>
    <w:p w14:paraId="4D8DD2ED" w14:textId="5A62DAF4"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 xml:space="preserve">In this line, </w:t>
      </w:r>
      <w:r>
        <w:rPr>
          <w:rFonts w:asciiTheme="majorHAnsi" w:hAnsiTheme="majorHAnsi"/>
          <w:sz w:val="20"/>
          <w:szCs w:val="20"/>
        </w:rPr>
        <w:t xml:space="preserve">it is </w:t>
      </w:r>
      <w:r w:rsidRPr="000A63E8">
        <w:rPr>
          <w:rFonts w:asciiTheme="majorHAnsi" w:hAnsiTheme="majorHAnsi"/>
          <w:sz w:val="20"/>
          <w:szCs w:val="20"/>
        </w:rPr>
        <w:t>explain</w:t>
      </w:r>
      <w:r>
        <w:rPr>
          <w:rFonts w:asciiTheme="majorHAnsi" w:hAnsiTheme="majorHAnsi"/>
          <w:sz w:val="20"/>
          <w:szCs w:val="20"/>
        </w:rPr>
        <w:t>ed</w:t>
      </w:r>
      <w:r w:rsidRPr="000A63E8">
        <w:rPr>
          <w:rFonts w:asciiTheme="majorHAnsi" w:hAnsiTheme="majorHAnsi"/>
          <w:sz w:val="20"/>
          <w:szCs w:val="20"/>
        </w:rPr>
        <w:t xml:space="preserve"> that on June 22, 2009 the Attorney General of the state of Sonora sent the preliminary investigation to the Attorney General of the Republic (hereinafter the "PGR"), so that said institution continue</w:t>
      </w:r>
      <w:r>
        <w:rPr>
          <w:rFonts w:asciiTheme="majorHAnsi" w:hAnsiTheme="majorHAnsi"/>
          <w:sz w:val="20"/>
          <w:szCs w:val="20"/>
        </w:rPr>
        <w:t>d</w:t>
      </w:r>
      <w:r w:rsidRPr="000A63E8">
        <w:rPr>
          <w:rFonts w:asciiTheme="majorHAnsi" w:hAnsiTheme="majorHAnsi"/>
          <w:sz w:val="20"/>
          <w:szCs w:val="20"/>
        </w:rPr>
        <w:t xml:space="preserve"> to investigate the facts at the federal level. </w:t>
      </w:r>
      <w:r>
        <w:rPr>
          <w:rFonts w:asciiTheme="majorHAnsi" w:hAnsiTheme="majorHAnsi"/>
          <w:sz w:val="20"/>
          <w:szCs w:val="20"/>
        </w:rPr>
        <w:t>In</w:t>
      </w:r>
      <w:r w:rsidRPr="000A63E8">
        <w:rPr>
          <w:rFonts w:asciiTheme="majorHAnsi" w:hAnsiTheme="majorHAnsi"/>
          <w:sz w:val="20"/>
          <w:szCs w:val="20"/>
        </w:rPr>
        <w:t xml:space="preserve"> May 2012 the PGR formally decreed the non-exercise of criminal action against the ex-Director of the IMSS and the ex-Governor of Sonora. Against this, the children's families filed an amparo lawsuit, which in 2013 declared itself well-founded, indicating that the PGR improperly assessed the available evidence. However, it alleges that such decision did not have concrete results in order to achieve clarification of the truth and the sanction of high officials. </w:t>
      </w:r>
      <w:r>
        <w:rPr>
          <w:rFonts w:asciiTheme="majorHAnsi" w:hAnsiTheme="majorHAnsi"/>
          <w:sz w:val="20"/>
          <w:szCs w:val="20"/>
        </w:rPr>
        <w:t>Petitioner alleges</w:t>
      </w:r>
      <w:r w:rsidRPr="000A63E8">
        <w:rPr>
          <w:rFonts w:asciiTheme="majorHAnsi" w:hAnsiTheme="majorHAnsi"/>
          <w:sz w:val="20"/>
          <w:szCs w:val="20"/>
        </w:rPr>
        <w:t xml:space="preserve"> that to date, only nineteen low-ranking officials have been punished in the federal jurisdiction for the crimes of homicide and wrongful injury, through a second instance sentence of June 9, 2017.</w:t>
      </w:r>
    </w:p>
    <w:p w14:paraId="1D76B9EE" w14:textId="54AFB5D6"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lastRenderedPageBreak/>
        <w:t xml:space="preserve">The petitioner claims that the aforementioned processes have been carried out with the aim of minimizing and limiting the responsibilities of the State, omitting to properly investigate the structural factors that the authorities affected. He adds that such investigations were limited from the outset to presuppose that the reason for the fire was the negligence at the individual level of people without command capacity, ruling out in advance lines of investigation related to the actions of state agents and politicians linked to the subrogation of the </w:t>
      </w:r>
      <w:r>
        <w:rPr>
          <w:rFonts w:asciiTheme="majorHAnsi" w:hAnsiTheme="majorHAnsi"/>
          <w:sz w:val="20"/>
          <w:szCs w:val="20"/>
        </w:rPr>
        <w:t>ABC Nursery</w:t>
      </w:r>
      <w:r w:rsidRPr="000A63E8">
        <w:rPr>
          <w:rFonts w:asciiTheme="majorHAnsi" w:hAnsiTheme="majorHAnsi"/>
          <w:sz w:val="20"/>
          <w:szCs w:val="20"/>
        </w:rPr>
        <w:t>, despite the evident participation of public officials in the management of the aforementioned children's stay.</w:t>
      </w:r>
    </w:p>
    <w:p w14:paraId="73DFA90F" w14:textId="28269BCE"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 xml:space="preserve">Likewise, </w:t>
      </w:r>
      <w:r>
        <w:rPr>
          <w:rFonts w:asciiTheme="majorHAnsi" w:hAnsiTheme="majorHAnsi"/>
          <w:sz w:val="20"/>
          <w:szCs w:val="20"/>
        </w:rPr>
        <w:t>petitioner</w:t>
      </w:r>
      <w:r w:rsidRPr="000A63E8">
        <w:rPr>
          <w:rFonts w:asciiTheme="majorHAnsi" w:hAnsiTheme="majorHAnsi"/>
          <w:sz w:val="20"/>
          <w:szCs w:val="20"/>
        </w:rPr>
        <w:t xml:space="preserve"> maintains that to date the PGR has not determined whether the fire occurred due to poor condition and / or negligence in the care of electrical equipment in the warehouse next to the nursery or if it was </w:t>
      </w:r>
      <w:proofErr w:type="spellStart"/>
      <w:r>
        <w:rPr>
          <w:rFonts w:asciiTheme="majorHAnsi" w:hAnsiTheme="majorHAnsi"/>
          <w:sz w:val="20"/>
          <w:szCs w:val="20"/>
        </w:rPr>
        <w:t>provocated</w:t>
      </w:r>
      <w:proofErr w:type="spellEnd"/>
      <w:r w:rsidRPr="000A63E8">
        <w:rPr>
          <w:rFonts w:asciiTheme="majorHAnsi" w:hAnsiTheme="majorHAnsi"/>
          <w:sz w:val="20"/>
          <w:szCs w:val="20"/>
        </w:rPr>
        <w:t xml:space="preserve">. Proof of this is that in 2013, due to the impulse of the children's families, </w:t>
      </w:r>
      <w:r>
        <w:rPr>
          <w:rFonts w:asciiTheme="majorHAnsi" w:hAnsiTheme="majorHAnsi"/>
          <w:sz w:val="20"/>
          <w:szCs w:val="20"/>
        </w:rPr>
        <w:t>a commencement of an investigation on</w:t>
      </w:r>
      <w:r w:rsidRPr="000A63E8">
        <w:rPr>
          <w:rFonts w:asciiTheme="majorHAnsi" w:hAnsiTheme="majorHAnsi"/>
          <w:sz w:val="20"/>
          <w:szCs w:val="20"/>
        </w:rPr>
        <w:t xml:space="preserve"> the possibility that the fire was generated by state officials to destroy documents stored in the warehouse, which allegedly verified the diversion of institutional funds by the then governor of Sonora. It argues that although such an investigation is still ongoing due to the facts, it does not present significant progress.</w:t>
      </w:r>
    </w:p>
    <w:p w14:paraId="6C33F89D" w14:textId="05739D08" w:rsidR="000A63E8" w:rsidRDefault="000A63E8" w:rsidP="009F1510">
      <w:pPr>
        <w:pStyle w:val="ListParagraph"/>
        <w:numPr>
          <w:ilvl w:val="0"/>
          <w:numId w:val="107"/>
        </w:numPr>
        <w:spacing w:after="240"/>
        <w:ind w:left="0" w:firstLine="720"/>
        <w:jc w:val="both"/>
        <w:rPr>
          <w:rFonts w:asciiTheme="majorHAnsi" w:hAnsiTheme="majorHAnsi"/>
          <w:sz w:val="20"/>
          <w:szCs w:val="20"/>
        </w:rPr>
      </w:pPr>
      <w:r w:rsidRPr="000A63E8">
        <w:rPr>
          <w:rFonts w:asciiTheme="majorHAnsi" w:hAnsiTheme="majorHAnsi"/>
          <w:sz w:val="20"/>
          <w:szCs w:val="20"/>
        </w:rPr>
        <w:t xml:space="preserve">Lastly, the petitioner indicates that the Secretary of the Interior and the IMSS have offered a compensation agreement to the relatives of the children, in order to provide financial compensation for human rights violations, as well as medical-psychological care, acts of commemoration, granting of scholarships, among other measures. </w:t>
      </w:r>
      <w:r>
        <w:rPr>
          <w:rFonts w:asciiTheme="majorHAnsi" w:hAnsiTheme="majorHAnsi"/>
          <w:sz w:val="20"/>
          <w:szCs w:val="20"/>
        </w:rPr>
        <w:t>It</w:t>
      </w:r>
      <w:r w:rsidRPr="000A63E8">
        <w:rPr>
          <w:rFonts w:asciiTheme="majorHAnsi" w:hAnsiTheme="majorHAnsi"/>
          <w:sz w:val="20"/>
          <w:szCs w:val="20"/>
        </w:rPr>
        <w:t xml:space="preserve"> maintains that with this, the State seeks impunity and the lack of clarification of the truth, in order to prevent the case from reaching international instances. In this sense, </w:t>
      </w:r>
      <w:r>
        <w:rPr>
          <w:rFonts w:asciiTheme="majorHAnsi" w:hAnsiTheme="majorHAnsi"/>
          <w:sz w:val="20"/>
          <w:szCs w:val="20"/>
        </w:rPr>
        <w:t>it</w:t>
      </w:r>
      <w:r w:rsidRPr="000A63E8">
        <w:rPr>
          <w:rFonts w:asciiTheme="majorHAnsi" w:hAnsiTheme="majorHAnsi"/>
          <w:sz w:val="20"/>
          <w:szCs w:val="20"/>
        </w:rPr>
        <w:t xml:space="preserve"> explains that </w:t>
      </w:r>
      <w:r>
        <w:rPr>
          <w:rFonts w:asciiTheme="majorHAnsi" w:hAnsiTheme="majorHAnsi"/>
          <w:sz w:val="20"/>
          <w:szCs w:val="20"/>
        </w:rPr>
        <w:t>by</w:t>
      </w:r>
      <w:r w:rsidRPr="000A63E8">
        <w:rPr>
          <w:rFonts w:asciiTheme="majorHAnsi" w:hAnsiTheme="majorHAnsi"/>
          <w:sz w:val="20"/>
          <w:szCs w:val="20"/>
        </w:rPr>
        <w:t xml:space="preserve"> </w:t>
      </w:r>
      <w:r>
        <w:rPr>
          <w:rFonts w:asciiTheme="majorHAnsi" w:hAnsiTheme="majorHAnsi"/>
          <w:sz w:val="20"/>
          <w:szCs w:val="20"/>
        </w:rPr>
        <w:t>push</w:t>
      </w:r>
      <w:r w:rsidRPr="000A63E8">
        <w:rPr>
          <w:rFonts w:asciiTheme="majorHAnsi" w:hAnsiTheme="majorHAnsi"/>
          <w:sz w:val="20"/>
          <w:szCs w:val="20"/>
        </w:rPr>
        <w:t xml:space="preserve"> of </w:t>
      </w:r>
      <w:r>
        <w:rPr>
          <w:rFonts w:asciiTheme="majorHAnsi" w:hAnsiTheme="majorHAnsi"/>
          <w:sz w:val="20"/>
          <w:szCs w:val="20"/>
        </w:rPr>
        <w:t xml:space="preserve">the </w:t>
      </w:r>
      <w:r w:rsidRPr="000A63E8">
        <w:rPr>
          <w:rFonts w:asciiTheme="majorHAnsi" w:hAnsiTheme="majorHAnsi"/>
          <w:sz w:val="20"/>
          <w:szCs w:val="20"/>
        </w:rPr>
        <w:t>families, on October 24, 2011, the General Law on the Provision of Services for Comprehensive Child Care, Care and Development (also known as the Law of June 5) was enacted, which seeks to guarantee that the provision of child care services protect the rights of children. However, it argues that various measures are still pending to achieve its implementation and that, to date, the “community neighborhood” scheme continues to operate through nurseries that do not meet the legal requirements for its operation.</w:t>
      </w:r>
    </w:p>
    <w:p w14:paraId="33CA111D" w14:textId="77777777" w:rsidR="007F2AA5" w:rsidRDefault="007F2AA5" w:rsidP="009F1510">
      <w:pPr>
        <w:pStyle w:val="ListParagraph"/>
        <w:numPr>
          <w:ilvl w:val="0"/>
          <w:numId w:val="107"/>
        </w:numPr>
        <w:spacing w:after="240"/>
        <w:ind w:left="0" w:firstLine="720"/>
        <w:jc w:val="both"/>
        <w:rPr>
          <w:rFonts w:asciiTheme="majorHAnsi" w:hAnsiTheme="majorHAnsi"/>
          <w:sz w:val="20"/>
          <w:szCs w:val="20"/>
        </w:rPr>
      </w:pPr>
      <w:r w:rsidRPr="007F2AA5">
        <w:rPr>
          <w:rFonts w:asciiTheme="majorHAnsi" w:hAnsiTheme="majorHAnsi"/>
          <w:sz w:val="20"/>
          <w:szCs w:val="20"/>
        </w:rPr>
        <w:t xml:space="preserve">The State, for its part, maintains that the petition is inadmissible since domestic remedies have not been exhausted. It argues that from the moment the fire started, the authorities investigated the event, obtaining the sanction of nineteen officials responsible for both action and omission. Likewise, it states that two investigations are still open, so that domestic jurisdiction at the criminal level would not have been exhausted. It adds that the alleged victims have also not used domestic remedies in order to access compensation or other types of reparations. It specifies that they have at their disposal the Executive Commission for the Care of Victims in order to seek a reparation agreement in accordance with the standards of the inter-American system. Finally, it maintains that the relatives of the children have at their disposal the remedy of indirect protection in order to allege any issue related to the regulation and harmonization of the General Law on the Provision of Services for Child Care, Care and Development. </w:t>
      </w:r>
    </w:p>
    <w:p w14:paraId="074BB5D6" w14:textId="188C2008" w:rsidR="007F2AA5" w:rsidRPr="007F2AA5" w:rsidRDefault="007F2AA5" w:rsidP="009F1510">
      <w:pPr>
        <w:pStyle w:val="ListParagraph"/>
        <w:numPr>
          <w:ilvl w:val="0"/>
          <w:numId w:val="107"/>
        </w:numPr>
        <w:spacing w:after="240"/>
        <w:ind w:left="0" w:firstLine="720"/>
        <w:jc w:val="both"/>
        <w:rPr>
          <w:rFonts w:asciiTheme="majorHAnsi" w:hAnsiTheme="majorHAnsi"/>
          <w:sz w:val="20"/>
          <w:szCs w:val="20"/>
        </w:rPr>
      </w:pPr>
      <w:r w:rsidRPr="007F2AA5">
        <w:rPr>
          <w:rFonts w:asciiTheme="majorHAnsi" w:hAnsiTheme="majorHAnsi"/>
          <w:sz w:val="20"/>
          <w:szCs w:val="20"/>
        </w:rPr>
        <w:t xml:space="preserve">Additionally, the State argues that the facts set forth in the petition do not characterize human rights violations. </w:t>
      </w:r>
      <w:r w:rsidR="000E3360">
        <w:rPr>
          <w:rFonts w:asciiTheme="majorHAnsi" w:hAnsiTheme="majorHAnsi"/>
          <w:sz w:val="20"/>
          <w:szCs w:val="20"/>
        </w:rPr>
        <w:t>It</w:t>
      </w:r>
      <w:r w:rsidRPr="007F2AA5">
        <w:rPr>
          <w:rFonts w:asciiTheme="majorHAnsi" w:hAnsiTheme="majorHAnsi"/>
          <w:sz w:val="20"/>
          <w:szCs w:val="20"/>
        </w:rPr>
        <w:t xml:space="preserve"> explains t</w:t>
      </w:r>
      <w:r w:rsidR="000E3360">
        <w:rPr>
          <w:rFonts w:asciiTheme="majorHAnsi" w:hAnsiTheme="majorHAnsi"/>
          <w:sz w:val="20"/>
          <w:szCs w:val="20"/>
        </w:rPr>
        <w:t>hat the State</w:t>
      </w:r>
      <w:r w:rsidRPr="007F2AA5">
        <w:rPr>
          <w:rFonts w:asciiTheme="majorHAnsi" w:hAnsiTheme="majorHAnsi"/>
          <w:sz w:val="20"/>
          <w:szCs w:val="20"/>
        </w:rPr>
        <w:t xml:space="preserve"> has fulfilled </w:t>
      </w:r>
      <w:r w:rsidR="000E3360">
        <w:rPr>
          <w:rFonts w:asciiTheme="majorHAnsi" w:hAnsiTheme="majorHAnsi"/>
          <w:sz w:val="20"/>
          <w:szCs w:val="20"/>
        </w:rPr>
        <w:t>its</w:t>
      </w:r>
      <w:r w:rsidRPr="007F2AA5">
        <w:rPr>
          <w:rFonts w:asciiTheme="majorHAnsi" w:hAnsiTheme="majorHAnsi"/>
          <w:sz w:val="20"/>
          <w:szCs w:val="20"/>
        </w:rPr>
        <w:t xml:space="preserve"> obligation to diligently investigate the facts denounced and have made available to the victims reparations in accordance with inter-American standards. Regarding the lack of sanction against high authorities, </w:t>
      </w:r>
      <w:r w:rsidR="000E3360">
        <w:rPr>
          <w:rFonts w:asciiTheme="majorHAnsi" w:hAnsiTheme="majorHAnsi"/>
          <w:sz w:val="20"/>
          <w:szCs w:val="20"/>
        </w:rPr>
        <w:t>it</w:t>
      </w:r>
      <w:r w:rsidRPr="007F2AA5">
        <w:rPr>
          <w:rFonts w:asciiTheme="majorHAnsi" w:hAnsiTheme="majorHAnsi"/>
          <w:sz w:val="20"/>
          <w:szCs w:val="20"/>
        </w:rPr>
        <w:t xml:space="preserve"> argues that the aforementioned amparo action filed by the children's families only resolved that the PGR re-analyze the entire body of evidence in order to safeguard aspects of form, so </w:t>
      </w:r>
      <w:r w:rsidR="000E3360">
        <w:rPr>
          <w:rFonts w:asciiTheme="majorHAnsi" w:hAnsiTheme="majorHAnsi"/>
          <w:sz w:val="20"/>
          <w:szCs w:val="20"/>
        </w:rPr>
        <w:t>i</w:t>
      </w:r>
      <w:r w:rsidRPr="007F2AA5">
        <w:rPr>
          <w:rFonts w:asciiTheme="majorHAnsi" w:hAnsiTheme="majorHAnsi"/>
          <w:sz w:val="20"/>
          <w:szCs w:val="20"/>
        </w:rPr>
        <w:t>t has full freedom of jurisdiction to decide on the exercise or not of criminal action against IMSS officials and the state of Sonora, without implying a violation of rights. Likewise, it alleges that the report of the SCJN on the case of the “ABC Nursery School” determined that the “community neighborhood” scheme has constitutional and legal support, so that the petitioner has not presented arguments to demonstrate that the validity of this represent</w:t>
      </w:r>
      <w:r w:rsidR="000E3360">
        <w:rPr>
          <w:rFonts w:asciiTheme="majorHAnsi" w:hAnsiTheme="majorHAnsi"/>
          <w:sz w:val="20"/>
          <w:szCs w:val="20"/>
        </w:rPr>
        <w:t>ed</w:t>
      </w:r>
      <w:r w:rsidRPr="007F2AA5">
        <w:rPr>
          <w:rFonts w:asciiTheme="majorHAnsi" w:hAnsiTheme="majorHAnsi"/>
          <w:sz w:val="20"/>
          <w:szCs w:val="20"/>
        </w:rPr>
        <w:t xml:space="preserve"> a breach of international obligations. Because of this, it requests that the petition be declared inadmissible based on Article 47 (b) of the American Convention, since it considers that the petitioners intend that the Commission act as a tribunal for the review of domestic decisions.</w:t>
      </w:r>
    </w:p>
    <w:p w14:paraId="49D2AE26" w14:textId="77777777" w:rsidR="00315EBD" w:rsidRDefault="00315EBD" w:rsidP="000A63E8">
      <w:pPr>
        <w:pStyle w:val="ListParagraph"/>
        <w:spacing w:before="240" w:after="240"/>
        <w:jc w:val="both"/>
        <w:rPr>
          <w:rFonts w:asciiTheme="majorHAnsi" w:hAnsiTheme="majorHAnsi"/>
          <w:b/>
          <w:bCs/>
          <w:sz w:val="20"/>
          <w:szCs w:val="20"/>
        </w:rPr>
        <w:sectPr w:rsidR="00315EBD" w:rsidSect="00F621C3">
          <w:pgSz w:w="12240" w:h="15840"/>
          <w:pgMar w:top="1440" w:right="1440" w:bottom="1440" w:left="1440" w:header="720" w:footer="720" w:gutter="0"/>
          <w:pgNumType w:start="1"/>
          <w:cols w:space="720"/>
          <w:docGrid w:linePitch="326"/>
        </w:sectPr>
      </w:pPr>
    </w:p>
    <w:p w14:paraId="3191A206" w14:textId="01237F2E" w:rsidR="00D74450" w:rsidRPr="001966F0" w:rsidRDefault="00F621C3" w:rsidP="000A63E8">
      <w:pPr>
        <w:pStyle w:val="ListParagraph"/>
        <w:spacing w:before="240" w:after="240"/>
        <w:jc w:val="both"/>
        <w:rPr>
          <w:rFonts w:asciiTheme="majorHAnsi" w:hAnsiTheme="majorHAnsi"/>
          <w:sz w:val="20"/>
          <w:szCs w:val="20"/>
        </w:rPr>
      </w:pPr>
      <w:r w:rsidRPr="001966F0">
        <w:rPr>
          <w:rFonts w:asciiTheme="majorHAnsi" w:hAnsiTheme="majorHAnsi"/>
          <w:b/>
          <w:bCs/>
          <w:sz w:val="20"/>
          <w:szCs w:val="20"/>
        </w:rPr>
        <w:lastRenderedPageBreak/>
        <w:t>VI.</w:t>
      </w:r>
      <w:r w:rsidRPr="001966F0">
        <w:rPr>
          <w:rFonts w:asciiTheme="majorHAnsi" w:hAnsiTheme="majorHAnsi"/>
          <w:b/>
          <w:bCs/>
          <w:sz w:val="20"/>
          <w:szCs w:val="20"/>
        </w:rPr>
        <w:tab/>
      </w:r>
      <w:r w:rsidR="001F1902" w:rsidRPr="001966F0">
        <w:rPr>
          <w:rFonts w:asciiTheme="majorHAnsi" w:hAnsiTheme="majorHAnsi"/>
          <w:b/>
          <w:bCs/>
          <w:sz w:val="20"/>
          <w:szCs w:val="20"/>
        </w:rPr>
        <w:t xml:space="preserve">ANALYSIS OF </w:t>
      </w:r>
      <w:r w:rsidRPr="001966F0">
        <w:rPr>
          <w:rFonts w:asciiTheme="majorHAnsi" w:hAnsiTheme="majorHAnsi"/>
          <w:b/>
          <w:sz w:val="20"/>
          <w:szCs w:val="20"/>
        </w:rPr>
        <w:t>EXHAUSTION OF DOMESTIC REMEDIES AND TIMELINESS OF THE PETITION</w:t>
      </w:r>
      <w:r w:rsidRPr="001966F0">
        <w:rPr>
          <w:rFonts w:asciiTheme="majorHAnsi" w:hAnsiTheme="majorHAnsi"/>
          <w:b/>
          <w:bCs/>
          <w:sz w:val="20"/>
          <w:szCs w:val="20"/>
        </w:rPr>
        <w:t xml:space="preserve"> </w:t>
      </w:r>
    </w:p>
    <w:p w14:paraId="4BE3E85D" w14:textId="480BAC67" w:rsidR="000E3360" w:rsidRDefault="000E3360" w:rsidP="009F1510">
      <w:pPr>
        <w:pStyle w:val="ListParagraph"/>
        <w:numPr>
          <w:ilvl w:val="0"/>
          <w:numId w:val="107"/>
        </w:numPr>
        <w:spacing w:after="240"/>
        <w:ind w:left="0" w:firstLine="720"/>
        <w:jc w:val="both"/>
        <w:rPr>
          <w:rFonts w:asciiTheme="majorHAnsi" w:hAnsiTheme="majorHAnsi"/>
          <w:sz w:val="20"/>
          <w:szCs w:val="20"/>
        </w:rPr>
      </w:pPr>
      <w:r w:rsidRPr="000E3360">
        <w:rPr>
          <w:rFonts w:asciiTheme="majorHAnsi" w:hAnsiTheme="majorHAnsi"/>
          <w:sz w:val="20"/>
          <w:szCs w:val="20"/>
        </w:rPr>
        <w:t xml:space="preserve">The petitioner states that the criminal proceedings carried out for the events exceeded the reasonable period and that, to date, not all the intellectual and material perpetrators have been punished. Because of this, it requests that the exception provided in Article 46.2.c of the American Convention be applied. For its part, the State indicates that domestic remedies have not been exhausted, since criminal investigations are still ongoing for the alleged facts. Likewise, it maintains that the relatives of the children have not requested internally the payment of compensation </w:t>
      </w:r>
      <w:r>
        <w:rPr>
          <w:rFonts w:asciiTheme="majorHAnsi" w:hAnsiTheme="majorHAnsi"/>
          <w:sz w:val="20"/>
          <w:szCs w:val="20"/>
        </w:rPr>
        <w:t>n</w:t>
      </w:r>
      <w:r w:rsidRPr="000E3360">
        <w:rPr>
          <w:rFonts w:asciiTheme="majorHAnsi" w:hAnsiTheme="majorHAnsi"/>
          <w:sz w:val="20"/>
          <w:szCs w:val="20"/>
        </w:rPr>
        <w:t xml:space="preserve">or have </w:t>
      </w:r>
      <w:r>
        <w:rPr>
          <w:rFonts w:asciiTheme="majorHAnsi" w:hAnsiTheme="majorHAnsi"/>
          <w:sz w:val="20"/>
          <w:szCs w:val="20"/>
        </w:rPr>
        <w:t xml:space="preserve">they </w:t>
      </w:r>
      <w:r w:rsidRPr="000E3360">
        <w:rPr>
          <w:rFonts w:asciiTheme="majorHAnsi" w:hAnsiTheme="majorHAnsi"/>
          <w:sz w:val="20"/>
          <w:szCs w:val="20"/>
        </w:rPr>
        <w:t>used the remedy of amparo to achieve the implementation of the General Law on the Provision of Services for Child Care, Care and Development.</w:t>
      </w:r>
    </w:p>
    <w:p w14:paraId="6E35EF5F" w14:textId="6E66A444" w:rsidR="000E3360" w:rsidRDefault="000E3360" w:rsidP="009F1510">
      <w:pPr>
        <w:pStyle w:val="ListParagraph"/>
        <w:numPr>
          <w:ilvl w:val="0"/>
          <w:numId w:val="107"/>
        </w:numPr>
        <w:spacing w:after="240"/>
        <w:ind w:left="0" w:firstLine="720"/>
        <w:jc w:val="both"/>
        <w:rPr>
          <w:rFonts w:asciiTheme="majorHAnsi" w:hAnsiTheme="majorHAnsi"/>
          <w:sz w:val="20"/>
          <w:szCs w:val="20"/>
        </w:rPr>
      </w:pPr>
      <w:r w:rsidRPr="000E3360">
        <w:rPr>
          <w:rFonts w:asciiTheme="majorHAnsi" w:hAnsiTheme="majorHAnsi"/>
          <w:sz w:val="20"/>
          <w:szCs w:val="20"/>
        </w:rPr>
        <w:t>In this regard, the Commission recalls that, in situations such as the one raised</w:t>
      </w:r>
      <w:r>
        <w:rPr>
          <w:rFonts w:asciiTheme="majorHAnsi" w:hAnsiTheme="majorHAnsi"/>
          <w:sz w:val="20"/>
          <w:szCs w:val="20"/>
        </w:rPr>
        <w:t>,</w:t>
      </w:r>
      <w:r w:rsidRPr="000E3360">
        <w:rPr>
          <w:rFonts w:asciiTheme="majorHAnsi" w:hAnsiTheme="majorHAnsi"/>
          <w:sz w:val="20"/>
          <w:szCs w:val="20"/>
        </w:rPr>
        <w:t xml:space="preserve"> that include crimes against life and integrity, the domestic remedies that must be taken into account for the purposes of the admissibility of the petitions are those related to the investigation and punishment of the responsible</w:t>
      </w:r>
      <w:r w:rsidR="004D6A1A">
        <w:rPr>
          <w:rStyle w:val="FootnoteReference"/>
          <w:rFonts w:asciiTheme="majorHAnsi" w:hAnsiTheme="majorHAnsi"/>
          <w:sz w:val="20"/>
          <w:szCs w:val="20"/>
        </w:rPr>
        <w:footnoteReference w:id="11"/>
      </w:r>
      <w:r w:rsidRPr="000E3360">
        <w:rPr>
          <w:rFonts w:asciiTheme="majorHAnsi" w:hAnsiTheme="majorHAnsi"/>
          <w:sz w:val="20"/>
          <w:szCs w:val="20"/>
        </w:rPr>
        <w:t xml:space="preserve">, so it is not necessary to exhaust an action or request for compensation, since it is not adequate to provide justice to the next of kin. Along these lines, the IACHR has specified that in the procedural regimes in which the victims or their next of kin may have the legitimacy to intervene in criminal proceedings, their exercise is not compulsory but optional, and does not in any way replace state activity since </w:t>
      </w:r>
      <w:r w:rsidR="00125886">
        <w:rPr>
          <w:rFonts w:asciiTheme="majorHAnsi" w:hAnsiTheme="majorHAnsi"/>
          <w:sz w:val="20"/>
          <w:szCs w:val="20"/>
        </w:rPr>
        <w:t>once</w:t>
      </w:r>
      <w:r w:rsidRPr="000E3360">
        <w:rPr>
          <w:rFonts w:asciiTheme="majorHAnsi" w:hAnsiTheme="majorHAnsi"/>
          <w:sz w:val="20"/>
          <w:szCs w:val="20"/>
        </w:rPr>
        <w:t xml:space="preserve"> a crime is prosecuted </w:t>
      </w:r>
      <w:r w:rsidRPr="00F56687">
        <w:rPr>
          <w:rFonts w:asciiTheme="majorHAnsi" w:hAnsiTheme="majorHAnsi"/>
          <w:i/>
          <w:sz w:val="20"/>
          <w:szCs w:val="20"/>
        </w:rPr>
        <w:t>ex officio</w:t>
      </w:r>
      <w:r w:rsidRPr="000E3360">
        <w:rPr>
          <w:rFonts w:asciiTheme="majorHAnsi" w:hAnsiTheme="majorHAnsi"/>
          <w:sz w:val="20"/>
          <w:szCs w:val="20"/>
        </w:rPr>
        <w:t>, the State is the one that has the obligation to promote the criminal process and that, in those cases, this constitutes an ideal way to clarify the facts, judge those responsible</w:t>
      </w:r>
      <w:r w:rsidR="00125886">
        <w:rPr>
          <w:rFonts w:asciiTheme="majorHAnsi" w:hAnsiTheme="majorHAnsi"/>
          <w:sz w:val="20"/>
          <w:szCs w:val="20"/>
        </w:rPr>
        <w:t>,</w:t>
      </w:r>
      <w:r w:rsidRPr="000E3360">
        <w:rPr>
          <w:rFonts w:asciiTheme="majorHAnsi" w:hAnsiTheme="majorHAnsi"/>
          <w:sz w:val="20"/>
          <w:szCs w:val="20"/>
        </w:rPr>
        <w:t xml:space="preserve"> and establish sanctions</w:t>
      </w:r>
      <w:r w:rsidR="00125886">
        <w:rPr>
          <w:rFonts w:asciiTheme="majorHAnsi" w:hAnsiTheme="majorHAnsi"/>
          <w:sz w:val="20"/>
          <w:szCs w:val="20"/>
        </w:rPr>
        <w:t xml:space="preserve"> and</w:t>
      </w:r>
      <w:r w:rsidRPr="000E3360">
        <w:rPr>
          <w:rFonts w:asciiTheme="majorHAnsi" w:hAnsiTheme="majorHAnsi"/>
          <w:sz w:val="20"/>
          <w:szCs w:val="20"/>
        </w:rPr>
        <w:t xml:space="preserve"> corresponding penalties</w:t>
      </w:r>
      <w:r>
        <w:rPr>
          <w:rStyle w:val="FootnoteReference"/>
          <w:rFonts w:eastAsia="Times New Roman"/>
          <w:sz w:val="20"/>
          <w:szCs w:val="20"/>
          <w:bdr w:val="none" w:sz="0" w:space="0" w:color="auto"/>
        </w:rPr>
        <w:footnoteReference w:id="12"/>
      </w:r>
      <w:r w:rsidR="004D6A1A">
        <w:rPr>
          <w:rFonts w:asciiTheme="majorHAnsi" w:hAnsiTheme="majorHAnsi"/>
          <w:sz w:val="20"/>
          <w:szCs w:val="20"/>
        </w:rPr>
        <w:t>.</w:t>
      </w:r>
    </w:p>
    <w:p w14:paraId="66F6DD00" w14:textId="1B06E034" w:rsidR="00125886" w:rsidRPr="00F56687" w:rsidRDefault="00125886" w:rsidP="009F1510">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eastAsia="Times New Roman"/>
          <w:sz w:val="20"/>
          <w:szCs w:val="20"/>
          <w:bdr w:val="none" w:sz="0" w:space="0" w:color="auto"/>
        </w:rPr>
      </w:pPr>
      <w:r w:rsidRPr="00F56687">
        <w:rPr>
          <w:rFonts w:eastAsia="Times New Roman"/>
          <w:sz w:val="20"/>
          <w:szCs w:val="20"/>
          <w:bdr w:val="none" w:sz="0" w:space="0" w:color="auto"/>
        </w:rPr>
        <w:t>The Commission observes that, in the instant case, eleven years after the events, the State has not clarified whether the fire was intentionally caused or caused by a technical failure, nor has it established the responsibility of all those involved, among them the senior public officials from different state entities. Therefore, given the characteristics of the petition and the time elapsed since the events in the complaint, the Commission considers that the exception provided for in Article 46.2.c of the American Convention is applicable.</w:t>
      </w:r>
    </w:p>
    <w:p w14:paraId="35FF54A8" w14:textId="29A08979" w:rsidR="00D42874" w:rsidRPr="002F4947" w:rsidRDefault="00D42874" w:rsidP="009F1510">
      <w:pPr>
        <w:pStyle w:val="ListParagraph"/>
        <w:numPr>
          <w:ilvl w:val="0"/>
          <w:numId w:val="107"/>
        </w:numPr>
        <w:spacing w:after="240"/>
        <w:ind w:left="0" w:firstLine="720"/>
        <w:jc w:val="both"/>
        <w:rPr>
          <w:rFonts w:asciiTheme="majorHAnsi" w:hAnsiTheme="majorHAnsi"/>
          <w:sz w:val="20"/>
          <w:szCs w:val="20"/>
        </w:rPr>
      </w:pPr>
      <w:r w:rsidRPr="00D42874">
        <w:rPr>
          <w:rFonts w:asciiTheme="majorHAnsi" w:hAnsiTheme="majorHAnsi"/>
          <w:sz w:val="20"/>
          <w:szCs w:val="20"/>
        </w:rPr>
        <w:t xml:space="preserve">In addition, the IACHR observes that the fundamental events denounced in the present petition occurred in 2009; that, as has been outlined in detail in this report, the next of kin of the victims have not stopped </w:t>
      </w:r>
      <w:r>
        <w:rPr>
          <w:rFonts w:asciiTheme="majorHAnsi" w:hAnsiTheme="majorHAnsi"/>
          <w:sz w:val="20"/>
          <w:szCs w:val="20"/>
        </w:rPr>
        <w:t>seeking</w:t>
      </w:r>
      <w:r w:rsidRPr="00D42874">
        <w:rPr>
          <w:rFonts w:asciiTheme="majorHAnsi" w:hAnsiTheme="majorHAnsi"/>
          <w:sz w:val="20"/>
          <w:szCs w:val="20"/>
        </w:rPr>
        <w:t xml:space="preserve"> all the mechanisms of domestic law to claim justice after the events denounced; and that the alleged impunity for such acts continue until the present</w:t>
      </w:r>
      <w:r w:rsidR="002F4947">
        <w:rPr>
          <w:rFonts w:asciiTheme="majorHAnsi" w:hAnsiTheme="majorHAnsi"/>
          <w:sz w:val="20"/>
          <w:szCs w:val="20"/>
        </w:rPr>
        <w:t xml:space="preserve">. </w:t>
      </w:r>
      <w:r w:rsidRPr="00D42874">
        <w:rPr>
          <w:rFonts w:asciiTheme="majorHAnsi" w:hAnsiTheme="majorHAnsi"/>
          <w:sz w:val="20"/>
          <w:szCs w:val="20"/>
        </w:rPr>
        <w:t>The IACHR concludes that the petition was presented within a reasonable time, in the terms of Article 32.2 of the IACHR Rules of Procedure.</w:t>
      </w:r>
    </w:p>
    <w:p w14:paraId="70146B96" w14:textId="1ACE3F98" w:rsidR="00F621C3" w:rsidRPr="001966F0" w:rsidRDefault="00F621C3" w:rsidP="00F56687">
      <w:pPr>
        <w:spacing w:before="240" w:after="240"/>
        <w:ind w:left="360" w:firstLine="360"/>
        <w:jc w:val="both"/>
        <w:rPr>
          <w:rFonts w:asciiTheme="majorHAnsi" w:hAnsiTheme="majorHAnsi"/>
          <w:b/>
          <w:bCs/>
          <w:sz w:val="20"/>
          <w:szCs w:val="20"/>
        </w:rPr>
      </w:pPr>
      <w:r w:rsidRPr="001966F0">
        <w:rPr>
          <w:rFonts w:asciiTheme="majorHAnsi" w:hAnsiTheme="majorHAnsi"/>
          <w:b/>
          <w:bCs/>
          <w:sz w:val="20"/>
          <w:szCs w:val="20"/>
        </w:rPr>
        <w:t>VII.</w:t>
      </w:r>
      <w:r w:rsidRPr="001966F0">
        <w:rPr>
          <w:rFonts w:asciiTheme="majorHAnsi" w:hAnsiTheme="majorHAnsi"/>
          <w:b/>
          <w:bCs/>
          <w:sz w:val="20"/>
          <w:szCs w:val="20"/>
        </w:rPr>
        <w:tab/>
      </w:r>
      <w:r w:rsidR="001F1902" w:rsidRPr="001966F0">
        <w:rPr>
          <w:rFonts w:asciiTheme="majorHAnsi" w:hAnsiTheme="majorHAnsi"/>
          <w:b/>
          <w:bCs/>
          <w:sz w:val="20"/>
          <w:szCs w:val="20"/>
        </w:rPr>
        <w:t xml:space="preserve">ANALYSIS OF </w:t>
      </w:r>
      <w:r w:rsidRPr="001966F0">
        <w:rPr>
          <w:rFonts w:asciiTheme="majorHAnsi" w:hAnsiTheme="majorHAnsi"/>
          <w:b/>
          <w:bCs/>
          <w:sz w:val="20"/>
          <w:szCs w:val="20"/>
        </w:rPr>
        <w:t>COLORABLE CLAIM</w:t>
      </w:r>
    </w:p>
    <w:p w14:paraId="20FB72D0" w14:textId="0C208729" w:rsidR="002F4947" w:rsidRPr="002F4947" w:rsidRDefault="000B5E02" w:rsidP="009F1510">
      <w:pPr>
        <w:pStyle w:val="ListParagraph"/>
        <w:numPr>
          <w:ilvl w:val="0"/>
          <w:numId w:val="107"/>
        </w:numPr>
        <w:spacing w:after="240"/>
        <w:ind w:left="0" w:firstLine="720"/>
        <w:jc w:val="both"/>
        <w:rPr>
          <w:rFonts w:asciiTheme="majorHAnsi" w:hAnsiTheme="majorHAnsi"/>
          <w:b/>
          <w:bCs/>
          <w:sz w:val="20"/>
          <w:szCs w:val="20"/>
        </w:rPr>
      </w:pPr>
      <w:r w:rsidRPr="002F4947">
        <w:rPr>
          <w:rFonts w:asciiTheme="majorHAnsi" w:hAnsiTheme="majorHAnsi"/>
          <w:sz w:val="20"/>
          <w:szCs w:val="20"/>
        </w:rPr>
        <w:t xml:space="preserve"> </w:t>
      </w:r>
      <w:r w:rsidR="002F4947" w:rsidRPr="002F4947">
        <w:rPr>
          <w:rFonts w:asciiTheme="majorHAnsi" w:hAnsiTheme="majorHAnsi"/>
          <w:sz w:val="20"/>
          <w:szCs w:val="20"/>
        </w:rPr>
        <w:t xml:space="preserve">In view of the factual and legal elements presented by the parties and the nature of the matter brought to their attention, the Commission considers that, if proven, the alleged breach of the State duty to prevent and adopt safeguards for the provision of the educational service of child care </w:t>
      </w:r>
      <w:r w:rsidR="002F4947">
        <w:rPr>
          <w:rFonts w:asciiTheme="majorHAnsi" w:hAnsiTheme="majorHAnsi"/>
          <w:sz w:val="20"/>
          <w:szCs w:val="20"/>
        </w:rPr>
        <w:t>could have</w:t>
      </w:r>
      <w:r w:rsidR="002F4947" w:rsidRPr="002F4947">
        <w:rPr>
          <w:rFonts w:asciiTheme="majorHAnsi" w:hAnsiTheme="majorHAnsi"/>
          <w:sz w:val="20"/>
          <w:szCs w:val="20"/>
        </w:rPr>
        <w:t xml:space="preserve"> </w:t>
      </w:r>
      <w:r w:rsidR="002F4947">
        <w:rPr>
          <w:rFonts w:asciiTheme="majorHAnsi" w:hAnsiTheme="majorHAnsi"/>
          <w:sz w:val="20"/>
          <w:szCs w:val="20"/>
        </w:rPr>
        <w:t xml:space="preserve">led to </w:t>
      </w:r>
      <w:r w:rsidR="002F4947" w:rsidRPr="002F4947">
        <w:rPr>
          <w:rFonts w:asciiTheme="majorHAnsi" w:hAnsiTheme="majorHAnsi"/>
          <w:sz w:val="20"/>
          <w:szCs w:val="20"/>
        </w:rPr>
        <w:t xml:space="preserve"> the fire that cost the lives of forty-nine children; as well as the alleged lack of a diligent investigation to clarify what happened and punish those responsible, could characterize violations of articles 4 (life), 5 (</w:t>
      </w:r>
      <w:r w:rsidR="002F4947">
        <w:rPr>
          <w:rFonts w:asciiTheme="majorHAnsi" w:hAnsiTheme="majorHAnsi"/>
          <w:sz w:val="20"/>
          <w:szCs w:val="20"/>
        </w:rPr>
        <w:t>humane treatment</w:t>
      </w:r>
      <w:r w:rsidR="002F4947" w:rsidRPr="002F4947">
        <w:rPr>
          <w:rFonts w:asciiTheme="majorHAnsi" w:hAnsiTheme="majorHAnsi"/>
          <w:sz w:val="20"/>
          <w:szCs w:val="20"/>
        </w:rPr>
        <w:t xml:space="preserve">), 8 </w:t>
      </w:r>
      <w:r w:rsidR="002F4947">
        <w:rPr>
          <w:rFonts w:asciiTheme="majorHAnsi" w:hAnsiTheme="majorHAnsi"/>
          <w:sz w:val="20"/>
          <w:szCs w:val="20"/>
        </w:rPr>
        <w:t>(fair trial</w:t>
      </w:r>
      <w:r w:rsidR="002F4947" w:rsidRPr="002F4947">
        <w:rPr>
          <w:rFonts w:asciiTheme="majorHAnsi" w:hAnsiTheme="majorHAnsi"/>
          <w:sz w:val="20"/>
          <w:szCs w:val="20"/>
        </w:rPr>
        <w:t>), 19 (</w:t>
      </w:r>
      <w:r w:rsidR="002F4947">
        <w:rPr>
          <w:rFonts w:asciiTheme="majorHAnsi" w:hAnsiTheme="majorHAnsi"/>
          <w:sz w:val="20"/>
          <w:szCs w:val="20"/>
        </w:rPr>
        <w:t>rights of children</w:t>
      </w:r>
      <w:r w:rsidR="002F4947" w:rsidRPr="002F4947">
        <w:rPr>
          <w:rFonts w:asciiTheme="majorHAnsi" w:hAnsiTheme="majorHAnsi"/>
          <w:sz w:val="20"/>
          <w:szCs w:val="20"/>
        </w:rPr>
        <w:t>) and 25 (judicial protection) of the American Convention, in relation to its articles 1.1 (obligation to respect rights) and 2 (</w:t>
      </w:r>
      <w:r w:rsidR="002F4947">
        <w:rPr>
          <w:rFonts w:asciiTheme="majorHAnsi" w:hAnsiTheme="majorHAnsi"/>
          <w:sz w:val="20"/>
          <w:szCs w:val="20"/>
        </w:rPr>
        <w:t xml:space="preserve">Domestic legal effects). </w:t>
      </w:r>
    </w:p>
    <w:p w14:paraId="5A70550C" w14:textId="259D5CBD" w:rsidR="00F621C3" w:rsidRPr="002F4947" w:rsidRDefault="00F621C3" w:rsidP="00F56687">
      <w:pPr>
        <w:spacing w:before="240" w:after="240"/>
        <w:ind w:firstLine="720"/>
        <w:jc w:val="both"/>
        <w:rPr>
          <w:rFonts w:asciiTheme="majorHAnsi" w:hAnsiTheme="majorHAnsi"/>
          <w:b/>
          <w:bCs/>
          <w:sz w:val="20"/>
          <w:szCs w:val="20"/>
        </w:rPr>
      </w:pPr>
      <w:r w:rsidRPr="002F4947">
        <w:rPr>
          <w:rFonts w:asciiTheme="majorHAnsi" w:hAnsiTheme="majorHAnsi"/>
          <w:b/>
          <w:bCs/>
          <w:sz w:val="20"/>
          <w:szCs w:val="20"/>
        </w:rPr>
        <w:t xml:space="preserve">VIII. </w:t>
      </w:r>
      <w:r w:rsidRPr="002F4947">
        <w:rPr>
          <w:rFonts w:asciiTheme="majorHAnsi" w:hAnsiTheme="majorHAnsi"/>
          <w:b/>
          <w:bCs/>
          <w:sz w:val="20"/>
          <w:szCs w:val="20"/>
        </w:rPr>
        <w:tab/>
        <w:t>DECISION</w:t>
      </w:r>
    </w:p>
    <w:p w14:paraId="1E9D692B" w14:textId="0F81E0CA" w:rsidR="00E44DF9" w:rsidRPr="00FE0C56" w:rsidRDefault="002F4947" w:rsidP="009F1510">
      <w:pPr>
        <w:pStyle w:val="ListParagraph"/>
        <w:numPr>
          <w:ilvl w:val="0"/>
          <w:numId w:val="108"/>
        </w:numPr>
        <w:tabs>
          <w:tab w:val="left" w:pos="1440"/>
          <w:tab w:val="left" w:pos="2820"/>
        </w:tabs>
        <w:suppressAutoHyphens/>
        <w:spacing w:line="276" w:lineRule="auto"/>
        <w:ind w:left="0" w:firstLine="720"/>
        <w:rPr>
          <w:rFonts w:asciiTheme="majorHAnsi" w:hAnsiTheme="majorHAnsi"/>
          <w:sz w:val="20"/>
          <w:szCs w:val="20"/>
        </w:rPr>
      </w:pPr>
      <w:r w:rsidRPr="002F4947">
        <w:rPr>
          <w:rFonts w:asciiTheme="majorHAnsi" w:hAnsiTheme="majorHAnsi"/>
          <w:sz w:val="20"/>
          <w:szCs w:val="20"/>
        </w:rPr>
        <w:t>To declare this petition admissible in relation to Articles 4, 5, 8, 19, and 25 of the American Convention on Human Rights, in relation to its Articles 1.1 and 2; and</w:t>
      </w:r>
    </w:p>
    <w:p w14:paraId="69F6BEFE" w14:textId="77777777" w:rsidR="00FE0C56" w:rsidRPr="00FE0C56" w:rsidRDefault="00FE0C56" w:rsidP="009F1510">
      <w:pPr>
        <w:pStyle w:val="ListParagraph"/>
        <w:tabs>
          <w:tab w:val="left" w:pos="1440"/>
          <w:tab w:val="left" w:pos="2820"/>
        </w:tabs>
        <w:suppressAutoHyphens/>
        <w:spacing w:line="276" w:lineRule="auto"/>
        <w:ind w:left="0" w:firstLine="720"/>
        <w:rPr>
          <w:rFonts w:asciiTheme="majorHAnsi" w:hAnsiTheme="majorHAnsi"/>
          <w:sz w:val="20"/>
          <w:szCs w:val="20"/>
        </w:rPr>
      </w:pPr>
    </w:p>
    <w:p w14:paraId="2122B46A" w14:textId="12AD42F6" w:rsidR="00C55560" w:rsidRDefault="000B5E02" w:rsidP="009F1510">
      <w:pPr>
        <w:pStyle w:val="ListParagraph"/>
        <w:numPr>
          <w:ilvl w:val="0"/>
          <w:numId w:val="108"/>
        </w:numPr>
        <w:tabs>
          <w:tab w:val="left" w:pos="1440"/>
          <w:tab w:val="left" w:pos="2820"/>
        </w:tabs>
        <w:suppressAutoHyphens/>
        <w:spacing w:line="276" w:lineRule="auto"/>
        <w:ind w:left="0" w:firstLine="720"/>
        <w:rPr>
          <w:rFonts w:asciiTheme="majorHAnsi" w:hAnsiTheme="majorHAnsi"/>
          <w:sz w:val="20"/>
          <w:szCs w:val="20"/>
        </w:rPr>
      </w:pPr>
      <w:r w:rsidRPr="000B5E02">
        <w:rPr>
          <w:rFonts w:asciiTheme="majorHAnsi" w:hAnsiTheme="majorHAnsi"/>
          <w:sz w:val="20"/>
          <w:szCs w:val="20"/>
        </w:rPr>
        <w:lastRenderedPageBreak/>
        <w:t xml:space="preserve"> Notify the parties of this decision; continue with the analysis of the merits of the matter; and publish this decision and include it in its Annual Report to the General Assembly of the Organization of American States.</w:t>
      </w:r>
    </w:p>
    <w:p w14:paraId="645B5444" w14:textId="77777777" w:rsidR="009F1510" w:rsidRPr="009F1510" w:rsidRDefault="009F1510" w:rsidP="009F1510">
      <w:pPr>
        <w:pStyle w:val="ListParagraph"/>
        <w:rPr>
          <w:rFonts w:asciiTheme="majorHAnsi" w:hAnsiTheme="majorHAnsi"/>
          <w:sz w:val="20"/>
          <w:szCs w:val="20"/>
        </w:rPr>
      </w:pPr>
    </w:p>
    <w:p w14:paraId="540983F5" w14:textId="77777777" w:rsidR="009F1510" w:rsidRDefault="009F1510" w:rsidP="009F1510">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6th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Pr>
          <w:rFonts w:asciiTheme="majorHAnsi" w:hAnsiTheme="majorHAnsi" w:cs="Arial"/>
          <w:noProof/>
          <w:spacing w:val="-2"/>
          <w:sz w:val="20"/>
          <w:szCs w:val="20"/>
        </w:rPr>
        <w:t>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Margarette May Macaulay, Esmeralda E. Arosemena Bernal de Troitiño,</w:t>
      </w:r>
      <w:r>
        <w:rPr>
          <w:rFonts w:asciiTheme="majorHAnsi" w:hAnsiTheme="majorHAnsi" w:cs="Arial"/>
          <w:noProof/>
          <w:spacing w:val="-2"/>
          <w:sz w:val="20"/>
          <w:szCs w:val="20"/>
        </w:rPr>
        <w:t xml:space="preserve"> and</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sidRPr="00365F2F">
        <w:rPr>
          <w:rFonts w:ascii="Cambria" w:hAnsi="Cambria"/>
          <w:spacing w:val="-2"/>
          <w:sz w:val="20"/>
        </w:rPr>
        <w:t>Commissioners.</w:t>
      </w:r>
    </w:p>
    <w:p w14:paraId="13594FE9" w14:textId="77777777" w:rsidR="009F1510" w:rsidRPr="009F1510" w:rsidRDefault="009F1510" w:rsidP="009F1510">
      <w:pPr>
        <w:tabs>
          <w:tab w:val="left" w:pos="2820"/>
        </w:tabs>
        <w:suppressAutoHyphens/>
        <w:spacing w:line="276" w:lineRule="auto"/>
        <w:rPr>
          <w:rFonts w:asciiTheme="majorHAnsi" w:hAnsiTheme="majorHAnsi"/>
          <w:sz w:val="20"/>
          <w:szCs w:val="20"/>
        </w:rPr>
      </w:pPr>
    </w:p>
    <w:p w14:paraId="2A7C44B1" w14:textId="77777777" w:rsidR="004D6A1A" w:rsidRPr="004D6A1A" w:rsidRDefault="004D6A1A" w:rsidP="004D6A1A">
      <w:pPr>
        <w:pStyle w:val="ListParagraph"/>
        <w:rPr>
          <w:rFonts w:asciiTheme="majorHAnsi" w:hAnsiTheme="majorHAnsi"/>
          <w:sz w:val="20"/>
          <w:szCs w:val="20"/>
        </w:rPr>
      </w:pPr>
    </w:p>
    <w:p w14:paraId="0570080E" w14:textId="77777777" w:rsidR="00315EBD" w:rsidRDefault="00315EBD" w:rsidP="004D6A1A">
      <w:pPr>
        <w:tabs>
          <w:tab w:val="left" w:pos="2820"/>
        </w:tabs>
        <w:suppressAutoHyphens/>
        <w:spacing w:line="276" w:lineRule="auto"/>
        <w:jc w:val="center"/>
        <w:rPr>
          <w:rFonts w:asciiTheme="majorHAnsi" w:hAnsiTheme="majorHAnsi"/>
          <w:b/>
          <w:bCs/>
          <w:sz w:val="20"/>
          <w:szCs w:val="20"/>
        </w:rPr>
        <w:sectPr w:rsidR="00315EBD" w:rsidSect="00F621C3">
          <w:pgSz w:w="12240" w:h="15840"/>
          <w:pgMar w:top="1440" w:right="1440" w:bottom="1440" w:left="1440" w:header="720" w:footer="720" w:gutter="0"/>
          <w:pgNumType w:start="1"/>
          <w:cols w:space="720"/>
          <w:docGrid w:linePitch="326"/>
        </w:sectPr>
      </w:pPr>
    </w:p>
    <w:p w14:paraId="3FABEACB" w14:textId="326FC89D" w:rsidR="004D6A1A" w:rsidRPr="004D6A1A" w:rsidRDefault="004D6A1A" w:rsidP="004D6A1A">
      <w:pPr>
        <w:tabs>
          <w:tab w:val="left" w:pos="2820"/>
        </w:tabs>
        <w:suppressAutoHyphens/>
        <w:spacing w:line="276" w:lineRule="auto"/>
        <w:jc w:val="center"/>
        <w:rPr>
          <w:rFonts w:asciiTheme="majorHAnsi" w:hAnsiTheme="majorHAnsi"/>
          <w:b/>
          <w:bCs/>
          <w:sz w:val="20"/>
          <w:szCs w:val="20"/>
        </w:rPr>
      </w:pPr>
      <w:r w:rsidRPr="004D6A1A">
        <w:rPr>
          <w:rFonts w:asciiTheme="majorHAnsi" w:hAnsiTheme="majorHAnsi"/>
          <w:b/>
          <w:bCs/>
          <w:sz w:val="20"/>
          <w:szCs w:val="20"/>
        </w:rPr>
        <w:lastRenderedPageBreak/>
        <w:t>Appendix 1</w:t>
      </w:r>
    </w:p>
    <w:p w14:paraId="56D71A90" w14:textId="1739E8C1" w:rsidR="00F56687" w:rsidRDefault="004D6A1A" w:rsidP="00F56687">
      <w:pPr>
        <w:tabs>
          <w:tab w:val="left" w:pos="2820"/>
        </w:tabs>
        <w:suppressAutoHyphens/>
        <w:spacing w:line="276" w:lineRule="auto"/>
        <w:jc w:val="center"/>
        <w:rPr>
          <w:rFonts w:asciiTheme="majorHAnsi" w:hAnsiTheme="majorHAnsi"/>
          <w:b/>
          <w:bCs/>
          <w:sz w:val="20"/>
          <w:szCs w:val="20"/>
        </w:rPr>
      </w:pPr>
      <w:r w:rsidRPr="004D6A1A">
        <w:rPr>
          <w:rFonts w:asciiTheme="majorHAnsi" w:hAnsiTheme="majorHAnsi"/>
          <w:b/>
          <w:bCs/>
          <w:sz w:val="20"/>
          <w:szCs w:val="20"/>
        </w:rPr>
        <w:t>List of alleged victims</w:t>
      </w:r>
    </w:p>
    <w:p w14:paraId="6C73141A"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María</w:t>
      </w:r>
      <w:proofErr w:type="spellEnd"/>
      <w:r w:rsidRPr="00B20B14">
        <w:rPr>
          <w:rFonts w:asciiTheme="majorHAnsi" w:hAnsiTheme="majorHAnsi"/>
          <w:sz w:val="20"/>
          <w:szCs w:val="18"/>
        </w:rPr>
        <w:t xml:space="preserve"> Magdalena </w:t>
      </w:r>
      <w:proofErr w:type="spellStart"/>
      <w:r w:rsidRPr="00B20B14">
        <w:rPr>
          <w:rFonts w:asciiTheme="majorHAnsi" w:hAnsiTheme="majorHAnsi"/>
          <w:sz w:val="20"/>
          <w:szCs w:val="18"/>
        </w:rPr>
        <w:t>Millán</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García</w:t>
      </w:r>
      <w:proofErr w:type="spellEnd"/>
    </w:p>
    <w:p w14:paraId="15D718B7"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Andrea Nicole Figueroa</w:t>
      </w:r>
    </w:p>
    <w:p w14:paraId="77DBF447"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Emilia </w:t>
      </w:r>
      <w:proofErr w:type="spellStart"/>
      <w:r w:rsidRPr="00B20B14">
        <w:rPr>
          <w:rFonts w:asciiTheme="majorHAnsi" w:hAnsiTheme="majorHAnsi"/>
          <w:sz w:val="20"/>
          <w:szCs w:val="18"/>
        </w:rPr>
        <w:t>Fraijo</w:t>
      </w:r>
      <w:proofErr w:type="spellEnd"/>
      <w:r w:rsidRPr="00B20B14">
        <w:rPr>
          <w:rFonts w:asciiTheme="majorHAnsi" w:hAnsiTheme="majorHAnsi"/>
          <w:sz w:val="20"/>
          <w:szCs w:val="18"/>
        </w:rPr>
        <w:t xml:space="preserve"> Navarro </w:t>
      </w:r>
    </w:p>
    <w:p w14:paraId="4C3732CA"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Valeria </w:t>
      </w:r>
      <w:proofErr w:type="spellStart"/>
      <w:r w:rsidRPr="00B20B14">
        <w:rPr>
          <w:rFonts w:asciiTheme="majorHAnsi" w:hAnsiTheme="majorHAnsi"/>
          <w:sz w:val="20"/>
          <w:szCs w:val="18"/>
        </w:rPr>
        <w:t>Muñoz</w:t>
      </w:r>
      <w:proofErr w:type="spellEnd"/>
      <w:r w:rsidRPr="00B20B14">
        <w:rPr>
          <w:rFonts w:asciiTheme="majorHAnsi" w:hAnsiTheme="majorHAnsi"/>
          <w:sz w:val="20"/>
          <w:szCs w:val="18"/>
        </w:rPr>
        <w:t xml:space="preserve"> Ramos</w:t>
      </w:r>
    </w:p>
    <w:p w14:paraId="7CA457E8"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Sofía</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Martínez</w:t>
      </w:r>
      <w:proofErr w:type="spellEnd"/>
      <w:r w:rsidRPr="00B20B14">
        <w:rPr>
          <w:rFonts w:asciiTheme="majorHAnsi" w:hAnsiTheme="majorHAnsi"/>
          <w:sz w:val="20"/>
          <w:szCs w:val="18"/>
        </w:rPr>
        <w:t xml:space="preserve"> Robles</w:t>
      </w:r>
    </w:p>
    <w:p w14:paraId="47CD4808"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Fátima</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Sofía</w:t>
      </w:r>
      <w:proofErr w:type="spellEnd"/>
      <w:r w:rsidRPr="00B20B14">
        <w:rPr>
          <w:rFonts w:asciiTheme="majorHAnsi" w:hAnsiTheme="majorHAnsi"/>
          <w:sz w:val="20"/>
          <w:szCs w:val="18"/>
        </w:rPr>
        <w:t xml:space="preserve"> Moreno Escalante </w:t>
      </w:r>
    </w:p>
    <w:p w14:paraId="29513259"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Dafne</w:t>
      </w:r>
      <w:proofErr w:type="spellEnd"/>
      <w:r w:rsidRPr="00B20B14">
        <w:rPr>
          <w:rFonts w:asciiTheme="majorHAnsi" w:hAnsiTheme="majorHAnsi"/>
          <w:sz w:val="20"/>
          <w:szCs w:val="18"/>
        </w:rPr>
        <w:t xml:space="preserve"> Yesenia Blanco </w:t>
      </w:r>
      <w:proofErr w:type="spellStart"/>
      <w:r w:rsidRPr="00B20B14">
        <w:rPr>
          <w:rFonts w:asciiTheme="majorHAnsi" w:hAnsiTheme="majorHAnsi"/>
          <w:sz w:val="20"/>
          <w:szCs w:val="18"/>
        </w:rPr>
        <w:t>Losoya</w:t>
      </w:r>
      <w:proofErr w:type="spellEnd"/>
      <w:r w:rsidRPr="00B20B14">
        <w:rPr>
          <w:rFonts w:asciiTheme="majorHAnsi" w:hAnsiTheme="majorHAnsi"/>
          <w:sz w:val="20"/>
          <w:szCs w:val="18"/>
        </w:rPr>
        <w:t xml:space="preserve"> </w:t>
      </w:r>
    </w:p>
    <w:p w14:paraId="2B055933"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Ruth Nahomi Madrid Pacheco </w:t>
      </w:r>
    </w:p>
    <w:p w14:paraId="073BBD57"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Denisse Alejandra Figueroa Ortiz </w:t>
      </w:r>
    </w:p>
    <w:p w14:paraId="19DB74D8"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Lucía</w:t>
      </w:r>
      <w:proofErr w:type="spellEnd"/>
      <w:r w:rsidRPr="00B20B14">
        <w:rPr>
          <w:rFonts w:asciiTheme="majorHAnsi" w:hAnsiTheme="majorHAnsi"/>
          <w:sz w:val="20"/>
          <w:szCs w:val="18"/>
        </w:rPr>
        <w:t xml:space="preserve"> Guadalupe Carrillo Campos </w:t>
      </w:r>
    </w:p>
    <w:p w14:paraId="131E4BD4"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Jazmín</w:t>
      </w:r>
      <w:proofErr w:type="spellEnd"/>
      <w:r w:rsidRPr="00B20B14">
        <w:rPr>
          <w:rFonts w:asciiTheme="majorHAnsi" w:hAnsiTheme="majorHAnsi"/>
          <w:sz w:val="20"/>
          <w:szCs w:val="18"/>
        </w:rPr>
        <w:t xml:space="preserve"> Pamela Tapia Ruiz</w:t>
      </w:r>
    </w:p>
    <w:p w14:paraId="0C4FB0D4"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Camila Fuentes </w:t>
      </w:r>
      <w:proofErr w:type="spellStart"/>
      <w:r w:rsidRPr="00B20B14">
        <w:rPr>
          <w:rFonts w:asciiTheme="majorHAnsi" w:hAnsiTheme="majorHAnsi"/>
          <w:sz w:val="20"/>
          <w:szCs w:val="18"/>
        </w:rPr>
        <w:t>Cervera</w:t>
      </w:r>
      <w:proofErr w:type="spellEnd"/>
    </w:p>
    <w:p w14:paraId="683F59F4"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Ana Paula Acosta </w:t>
      </w:r>
      <w:proofErr w:type="spellStart"/>
      <w:r w:rsidRPr="00B20B14">
        <w:rPr>
          <w:rFonts w:asciiTheme="majorHAnsi" w:hAnsiTheme="majorHAnsi"/>
          <w:sz w:val="20"/>
          <w:szCs w:val="18"/>
        </w:rPr>
        <w:t>Jiménez</w:t>
      </w:r>
      <w:proofErr w:type="spellEnd"/>
      <w:r w:rsidRPr="00B20B14">
        <w:rPr>
          <w:rFonts w:asciiTheme="majorHAnsi" w:hAnsiTheme="majorHAnsi"/>
          <w:sz w:val="20"/>
          <w:szCs w:val="18"/>
        </w:rPr>
        <w:t xml:space="preserve"> </w:t>
      </w:r>
    </w:p>
    <w:p w14:paraId="616AD488"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Monserrat Granados </w:t>
      </w:r>
      <w:proofErr w:type="spellStart"/>
      <w:r w:rsidRPr="00B20B14">
        <w:rPr>
          <w:rFonts w:asciiTheme="majorHAnsi" w:hAnsiTheme="majorHAnsi"/>
          <w:sz w:val="20"/>
          <w:szCs w:val="18"/>
        </w:rPr>
        <w:t>Pérez</w:t>
      </w:r>
      <w:proofErr w:type="spellEnd"/>
    </w:p>
    <w:p w14:paraId="5A685F03"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Pauleth</w:t>
      </w:r>
      <w:proofErr w:type="spellEnd"/>
      <w:r w:rsidRPr="00B20B14">
        <w:rPr>
          <w:rFonts w:asciiTheme="majorHAnsi" w:hAnsiTheme="majorHAnsi"/>
          <w:sz w:val="20"/>
          <w:szCs w:val="18"/>
        </w:rPr>
        <w:t xml:space="preserve"> Daniela Coronado Padilla </w:t>
      </w:r>
    </w:p>
    <w:p w14:paraId="7111EEB9"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Ariadna</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Aragón</w:t>
      </w:r>
      <w:proofErr w:type="spellEnd"/>
      <w:r w:rsidRPr="00B20B14">
        <w:rPr>
          <w:rFonts w:asciiTheme="majorHAnsi" w:hAnsiTheme="majorHAnsi"/>
          <w:sz w:val="20"/>
          <w:szCs w:val="18"/>
        </w:rPr>
        <w:t xml:space="preserve"> Valenzuela</w:t>
      </w:r>
    </w:p>
    <w:p w14:paraId="580019FB"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María</w:t>
      </w:r>
      <w:proofErr w:type="spellEnd"/>
      <w:r w:rsidRPr="00B20B14">
        <w:rPr>
          <w:rFonts w:asciiTheme="majorHAnsi" w:hAnsiTheme="majorHAnsi"/>
          <w:sz w:val="20"/>
          <w:szCs w:val="18"/>
        </w:rPr>
        <w:t xml:space="preserve"> Fernanda Miranda </w:t>
      </w:r>
      <w:proofErr w:type="spellStart"/>
      <w:r w:rsidRPr="00B20B14">
        <w:rPr>
          <w:rFonts w:asciiTheme="majorHAnsi" w:hAnsiTheme="majorHAnsi"/>
          <w:sz w:val="20"/>
          <w:szCs w:val="18"/>
        </w:rPr>
        <w:t>Hugues</w:t>
      </w:r>
      <w:proofErr w:type="spellEnd"/>
      <w:r w:rsidRPr="00B20B14">
        <w:rPr>
          <w:rFonts w:asciiTheme="majorHAnsi" w:hAnsiTheme="majorHAnsi"/>
          <w:sz w:val="20"/>
          <w:szCs w:val="18"/>
        </w:rPr>
        <w:t xml:space="preserve"> </w:t>
      </w:r>
    </w:p>
    <w:p w14:paraId="16F185E2"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Yoselín</w:t>
      </w:r>
      <w:proofErr w:type="spellEnd"/>
      <w:r w:rsidRPr="00B20B14">
        <w:rPr>
          <w:rFonts w:asciiTheme="majorHAnsi" w:hAnsiTheme="majorHAnsi"/>
          <w:sz w:val="20"/>
          <w:szCs w:val="18"/>
        </w:rPr>
        <w:t xml:space="preserve"> Valentina Tamayo Trujillo </w:t>
      </w:r>
    </w:p>
    <w:p w14:paraId="4AA9DE75"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Marian Ximena </w:t>
      </w:r>
      <w:proofErr w:type="spellStart"/>
      <w:r w:rsidRPr="00B20B14">
        <w:rPr>
          <w:rFonts w:asciiTheme="majorHAnsi" w:hAnsiTheme="majorHAnsi"/>
          <w:sz w:val="20"/>
          <w:szCs w:val="18"/>
        </w:rPr>
        <w:t>Hugues</w:t>
      </w:r>
      <w:proofErr w:type="spellEnd"/>
      <w:r w:rsidRPr="00B20B14">
        <w:rPr>
          <w:rFonts w:asciiTheme="majorHAnsi" w:hAnsiTheme="majorHAnsi"/>
          <w:sz w:val="20"/>
          <w:szCs w:val="18"/>
        </w:rPr>
        <w:t xml:space="preserve"> Mendoza </w:t>
      </w:r>
    </w:p>
    <w:p w14:paraId="71C8008C"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Nayeli </w:t>
      </w:r>
      <w:proofErr w:type="spellStart"/>
      <w:r w:rsidRPr="00B20B14">
        <w:rPr>
          <w:rFonts w:asciiTheme="majorHAnsi" w:hAnsiTheme="majorHAnsi"/>
          <w:sz w:val="20"/>
          <w:szCs w:val="18"/>
        </w:rPr>
        <w:t>Estefanía</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González</w:t>
      </w:r>
      <w:proofErr w:type="spellEnd"/>
      <w:r w:rsidRPr="00B20B14">
        <w:rPr>
          <w:rFonts w:asciiTheme="majorHAnsi" w:hAnsiTheme="majorHAnsi"/>
          <w:sz w:val="20"/>
          <w:szCs w:val="18"/>
        </w:rPr>
        <w:t xml:space="preserve"> Daniel </w:t>
      </w:r>
    </w:p>
    <w:p w14:paraId="20C9F718"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Ximena </w:t>
      </w:r>
      <w:proofErr w:type="spellStart"/>
      <w:r w:rsidRPr="00B20B14">
        <w:rPr>
          <w:rFonts w:asciiTheme="majorHAnsi" w:hAnsiTheme="majorHAnsi"/>
          <w:sz w:val="20"/>
          <w:szCs w:val="18"/>
        </w:rPr>
        <w:t>Yanes</w:t>
      </w:r>
      <w:proofErr w:type="spellEnd"/>
      <w:r w:rsidRPr="00B20B14">
        <w:rPr>
          <w:rFonts w:asciiTheme="majorHAnsi" w:hAnsiTheme="majorHAnsi"/>
          <w:sz w:val="20"/>
          <w:szCs w:val="18"/>
        </w:rPr>
        <w:t xml:space="preserve"> Madrid</w:t>
      </w:r>
    </w:p>
    <w:p w14:paraId="7F190D7C"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Yeseli</w:t>
      </w:r>
      <w:proofErr w:type="spellEnd"/>
      <w:r w:rsidRPr="00B20B14">
        <w:rPr>
          <w:rFonts w:asciiTheme="majorHAnsi" w:hAnsiTheme="majorHAnsi"/>
          <w:sz w:val="20"/>
          <w:szCs w:val="18"/>
        </w:rPr>
        <w:t xml:space="preserve"> Nahomi </w:t>
      </w:r>
      <w:proofErr w:type="spellStart"/>
      <w:r w:rsidRPr="00B20B14">
        <w:rPr>
          <w:rFonts w:asciiTheme="majorHAnsi" w:hAnsiTheme="majorHAnsi"/>
          <w:sz w:val="20"/>
          <w:szCs w:val="18"/>
        </w:rPr>
        <w:t>Baceli</w:t>
      </w:r>
      <w:proofErr w:type="spellEnd"/>
      <w:r w:rsidRPr="00B20B14">
        <w:rPr>
          <w:rFonts w:asciiTheme="majorHAnsi" w:hAnsiTheme="majorHAnsi"/>
          <w:sz w:val="20"/>
          <w:szCs w:val="18"/>
        </w:rPr>
        <w:t xml:space="preserve"> Meza</w:t>
      </w:r>
    </w:p>
    <w:p w14:paraId="7F274FF8"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Ian Isaac </w:t>
      </w:r>
      <w:proofErr w:type="spellStart"/>
      <w:r w:rsidRPr="00B20B14">
        <w:rPr>
          <w:rFonts w:asciiTheme="majorHAnsi" w:hAnsiTheme="majorHAnsi"/>
          <w:sz w:val="20"/>
          <w:szCs w:val="18"/>
        </w:rPr>
        <w:t>Martínez</w:t>
      </w:r>
      <w:proofErr w:type="spellEnd"/>
      <w:r w:rsidRPr="00B20B14">
        <w:rPr>
          <w:rFonts w:asciiTheme="majorHAnsi" w:hAnsiTheme="majorHAnsi"/>
          <w:sz w:val="20"/>
          <w:szCs w:val="18"/>
        </w:rPr>
        <w:t xml:space="preserve"> Valle</w:t>
      </w:r>
    </w:p>
    <w:p w14:paraId="2233DC19"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Santiago Corona Carranza</w:t>
      </w:r>
    </w:p>
    <w:p w14:paraId="3A8F806D"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Axel Abraham Angulo </w:t>
      </w:r>
      <w:proofErr w:type="spellStart"/>
      <w:r w:rsidRPr="00B20B14">
        <w:rPr>
          <w:rFonts w:asciiTheme="majorHAnsi" w:hAnsiTheme="majorHAnsi"/>
          <w:sz w:val="20"/>
          <w:szCs w:val="18"/>
        </w:rPr>
        <w:t>Cázares</w:t>
      </w:r>
      <w:proofErr w:type="spellEnd"/>
      <w:r w:rsidRPr="00B20B14">
        <w:rPr>
          <w:rFonts w:asciiTheme="majorHAnsi" w:hAnsiTheme="majorHAnsi"/>
          <w:sz w:val="20"/>
          <w:szCs w:val="18"/>
        </w:rPr>
        <w:t xml:space="preserve"> </w:t>
      </w:r>
    </w:p>
    <w:p w14:paraId="2E3EAB2B"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Javier </w:t>
      </w:r>
      <w:proofErr w:type="spellStart"/>
      <w:r w:rsidRPr="00B20B14">
        <w:rPr>
          <w:rFonts w:asciiTheme="majorHAnsi" w:hAnsiTheme="majorHAnsi"/>
          <w:sz w:val="20"/>
          <w:szCs w:val="18"/>
        </w:rPr>
        <w:t>Ángel</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Merancio</w:t>
      </w:r>
      <w:proofErr w:type="spellEnd"/>
      <w:r w:rsidRPr="00B20B14">
        <w:rPr>
          <w:rFonts w:asciiTheme="majorHAnsi" w:hAnsiTheme="majorHAnsi"/>
          <w:sz w:val="20"/>
          <w:szCs w:val="18"/>
        </w:rPr>
        <w:t xml:space="preserve"> Valdez </w:t>
      </w:r>
    </w:p>
    <w:p w14:paraId="353954BB"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Andrés</w:t>
      </w:r>
      <w:proofErr w:type="spellEnd"/>
      <w:r w:rsidRPr="00B20B14">
        <w:rPr>
          <w:rFonts w:asciiTheme="majorHAnsi" w:hAnsiTheme="majorHAnsi"/>
          <w:sz w:val="20"/>
          <w:szCs w:val="18"/>
        </w:rPr>
        <w:t xml:space="preserve"> Alonso </w:t>
      </w:r>
      <w:proofErr w:type="spellStart"/>
      <w:r w:rsidRPr="00B20B14">
        <w:rPr>
          <w:rFonts w:asciiTheme="majorHAnsi" w:hAnsiTheme="majorHAnsi"/>
          <w:sz w:val="20"/>
          <w:szCs w:val="18"/>
        </w:rPr>
        <w:t>García</w:t>
      </w:r>
      <w:proofErr w:type="spellEnd"/>
      <w:r w:rsidRPr="00B20B14">
        <w:rPr>
          <w:rFonts w:asciiTheme="majorHAnsi" w:hAnsiTheme="majorHAnsi"/>
          <w:sz w:val="20"/>
          <w:szCs w:val="18"/>
        </w:rPr>
        <w:t xml:space="preserve"> Duarte </w:t>
      </w:r>
    </w:p>
    <w:p w14:paraId="7374680A"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Carlos </w:t>
      </w:r>
      <w:proofErr w:type="spellStart"/>
      <w:r w:rsidRPr="00B20B14">
        <w:rPr>
          <w:rFonts w:asciiTheme="majorHAnsi" w:hAnsiTheme="majorHAnsi"/>
          <w:sz w:val="20"/>
          <w:szCs w:val="18"/>
        </w:rPr>
        <w:t>Alán</w:t>
      </w:r>
      <w:proofErr w:type="spellEnd"/>
      <w:r w:rsidRPr="00B20B14">
        <w:rPr>
          <w:rFonts w:asciiTheme="majorHAnsi" w:hAnsiTheme="majorHAnsi"/>
          <w:sz w:val="20"/>
          <w:szCs w:val="18"/>
        </w:rPr>
        <w:t xml:space="preserve"> Santos </w:t>
      </w:r>
      <w:proofErr w:type="spellStart"/>
      <w:r w:rsidRPr="00B20B14">
        <w:rPr>
          <w:rFonts w:asciiTheme="majorHAnsi" w:hAnsiTheme="majorHAnsi"/>
          <w:sz w:val="20"/>
          <w:szCs w:val="18"/>
        </w:rPr>
        <w:t>Martínez</w:t>
      </w:r>
      <w:proofErr w:type="spellEnd"/>
      <w:r w:rsidRPr="00B20B14">
        <w:rPr>
          <w:rFonts w:asciiTheme="majorHAnsi" w:hAnsiTheme="majorHAnsi"/>
          <w:sz w:val="20"/>
          <w:szCs w:val="18"/>
        </w:rPr>
        <w:t xml:space="preserve"> </w:t>
      </w:r>
    </w:p>
    <w:p w14:paraId="53C84D3B" w14:textId="77777777" w:rsidR="00F56687" w:rsidRPr="00B20B14" w:rsidRDefault="00F56687" w:rsidP="00B20B14">
      <w:pPr>
        <w:pStyle w:val="NormalWeb"/>
        <w:numPr>
          <w:ilvl w:val="0"/>
          <w:numId w:val="109"/>
        </w:numPr>
        <w:ind w:left="900" w:hanging="540"/>
        <w:rPr>
          <w:rFonts w:asciiTheme="majorHAnsi" w:hAnsiTheme="majorHAnsi"/>
          <w:sz w:val="28"/>
          <w:lang w:val="es-US"/>
        </w:rPr>
      </w:pPr>
      <w:proofErr w:type="spellStart"/>
      <w:r w:rsidRPr="00B20B14">
        <w:rPr>
          <w:rFonts w:asciiTheme="majorHAnsi" w:hAnsiTheme="majorHAnsi"/>
          <w:sz w:val="20"/>
          <w:szCs w:val="18"/>
          <w:lang w:val="es-US"/>
        </w:rPr>
        <w:t>Martín</w:t>
      </w:r>
      <w:proofErr w:type="spellEnd"/>
      <w:r w:rsidRPr="00B20B14">
        <w:rPr>
          <w:rFonts w:asciiTheme="majorHAnsi" w:hAnsiTheme="majorHAnsi"/>
          <w:sz w:val="20"/>
          <w:szCs w:val="18"/>
          <w:lang w:val="es-US"/>
        </w:rPr>
        <w:t xml:space="preserve"> Raymundo de la Cruz Armenta </w:t>
      </w:r>
    </w:p>
    <w:p w14:paraId="4647A52D"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Julio </w:t>
      </w:r>
      <w:proofErr w:type="spellStart"/>
      <w:r w:rsidRPr="00B20B14">
        <w:rPr>
          <w:rFonts w:asciiTheme="majorHAnsi" w:hAnsiTheme="majorHAnsi"/>
          <w:sz w:val="20"/>
          <w:szCs w:val="18"/>
        </w:rPr>
        <w:t>César</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Márquez</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Báez</w:t>
      </w:r>
      <w:proofErr w:type="spellEnd"/>
      <w:r w:rsidRPr="00B20B14">
        <w:rPr>
          <w:rFonts w:asciiTheme="majorHAnsi" w:hAnsiTheme="majorHAnsi"/>
          <w:sz w:val="20"/>
          <w:szCs w:val="18"/>
        </w:rPr>
        <w:t xml:space="preserve"> </w:t>
      </w:r>
    </w:p>
    <w:p w14:paraId="459899E5"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Jesús</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Julián</w:t>
      </w:r>
      <w:proofErr w:type="spellEnd"/>
      <w:r w:rsidRPr="00B20B14">
        <w:rPr>
          <w:rFonts w:asciiTheme="majorHAnsi" w:hAnsiTheme="majorHAnsi"/>
          <w:sz w:val="20"/>
          <w:szCs w:val="18"/>
        </w:rPr>
        <w:t xml:space="preserve"> Valdez Rivera </w:t>
      </w:r>
    </w:p>
    <w:p w14:paraId="0A54CB46"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Santiago de </w:t>
      </w:r>
      <w:proofErr w:type="spellStart"/>
      <w:r w:rsidRPr="00B20B14">
        <w:rPr>
          <w:rFonts w:asciiTheme="majorHAnsi" w:hAnsiTheme="majorHAnsi"/>
          <w:sz w:val="20"/>
          <w:szCs w:val="18"/>
        </w:rPr>
        <w:t>Jesús</w:t>
      </w:r>
      <w:proofErr w:type="spellEnd"/>
      <w:r w:rsidRPr="00B20B14">
        <w:rPr>
          <w:rFonts w:asciiTheme="majorHAnsi" w:hAnsiTheme="majorHAnsi"/>
          <w:sz w:val="20"/>
          <w:szCs w:val="18"/>
        </w:rPr>
        <w:t xml:space="preserve"> Zavala </w:t>
      </w:r>
      <w:proofErr w:type="spellStart"/>
      <w:r w:rsidRPr="00B20B14">
        <w:rPr>
          <w:rFonts w:asciiTheme="majorHAnsi" w:hAnsiTheme="majorHAnsi"/>
          <w:sz w:val="20"/>
          <w:szCs w:val="18"/>
        </w:rPr>
        <w:t>Lemas</w:t>
      </w:r>
      <w:proofErr w:type="spellEnd"/>
      <w:r w:rsidRPr="00B20B14">
        <w:rPr>
          <w:rFonts w:asciiTheme="majorHAnsi" w:hAnsiTheme="majorHAnsi"/>
          <w:sz w:val="20"/>
          <w:szCs w:val="18"/>
        </w:rPr>
        <w:t xml:space="preserve"> </w:t>
      </w:r>
    </w:p>
    <w:p w14:paraId="7206F12D"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Daniel Alberto </w:t>
      </w:r>
      <w:proofErr w:type="spellStart"/>
      <w:r w:rsidRPr="00B20B14">
        <w:rPr>
          <w:rFonts w:asciiTheme="majorHAnsi" w:hAnsiTheme="majorHAnsi"/>
          <w:sz w:val="20"/>
          <w:szCs w:val="18"/>
        </w:rPr>
        <w:t>Gayzueta</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Cabanillas</w:t>
      </w:r>
      <w:proofErr w:type="spellEnd"/>
      <w:r w:rsidRPr="00B20B14">
        <w:rPr>
          <w:rFonts w:asciiTheme="majorHAnsi" w:hAnsiTheme="majorHAnsi"/>
          <w:sz w:val="20"/>
          <w:szCs w:val="18"/>
        </w:rPr>
        <w:t xml:space="preserve"> </w:t>
      </w:r>
    </w:p>
    <w:p w14:paraId="0F5F46C2"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Xiunelth</w:t>
      </w:r>
      <w:proofErr w:type="spellEnd"/>
      <w:r w:rsidRPr="00B20B14">
        <w:rPr>
          <w:rFonts w:asciiTheme="majorHAnsi" w:hAnsiTheme="majorHAnsi"/>
          <w:sz w:val="20"/>
          <w:szCs w:val="18"/>
        </w:rPr>
        <w:t xml:space="preserve"> Emmanuel </w:t>
      </w:r>
      <w:proofErr w:type="spellStart"/>
      <w:r w:rsidRPr="00B20B14">
        <w:rPr>
          <w:rFonts w:asciiTheme="majorHAnsi" w:hAnsiTheme="majorHAnsi"/>
          <w:sz w:val="20"/>
          <w:szCs w:val="18"/>
        </w:rPr>
        <w:t>Rodríguez</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García</w:t>
      </w:r>
      <w:proofErr w:type="spellEnd"/>
      <w:r w:rsidRPr="00B20B14">
        <w:rPr>
          <w:rFonts w:asciiTheme="majorHAnsi" w:hAnsiTheme="majorHAnsi"/>
          <w:sz w:val="20"/>
          <w:szCs w:val="18"/>
        </w:rPr>
        <w:t xml:space="preserve"> </w:t>
      </w:r>
    </w:p>
    <w:p w14:paraId="552A3A3F"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Aquiles</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Dreneth</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Hernández</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Márquez</w:t>
      </w:r>
      <w:proofErr w:type="spellEnd"/>
      <w:r w:rsidRPr="00B20B14">
        <w:rPr>
          <w:rFonts w:asciiTheme="majorHAnsi" w:hAnsiTheme="majorHAnsi"/>
          <w:sz w:val="20"/>
          <w:szCs w:val="18"/>
        </w:rPr>
        <w:t xml:space="preserve"> </w:t>
      </w:r>
    </w:p>
    <w:p w14:paraId="50095E73"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Daniel Rafael Navarro Valenzuela </w:t>
      </w:r>
    </w:p>
    <w:p w14:paraId="12793A45"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Juan Carlos </w:t>
      </w:r>
      <w:proofErr w:type="spellStart"/>
      <w:r w:rsidRPr="00B20B14">
        <w:rPr>
          <w:rFonts w:asciiTheme="majorHAnsi" w:hAnsiTheme="majorHAnsi"/>
          <w:sz w:val="20"/>
          <w:szCs w:val="18"/>
        </w:rPr>
        <w:t>Rodríguez</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Othón</w:t>
      </w:r>
      <w:proofErr w:type="spellEnd"/>
      <w:r w:rsidRPr="00B20B14">
        <w:rPr>
          <w:rFonts w:asciiTheme="majorHAnsi" w:hAnsiTheme="majorHAnsi"/>
          <w:sz w:val="20"/>
          <w:szCs w:val="18"/>
        </w:rPr>
        <w:t xml:space="preserve"> </w:t>
      </w:r>
    </w:p>
    <w:p w14:paraId="4FBD3066"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Germán</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Paúl</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León</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Vázquez</w:t>
      </w:r>
      <w:proofErr w:type="spellEnd"/>
      <w:r w:rsidRPr="00B20B14">
        <w:rPr>
          <w:rFonts w:asciiTheme="majorHAnsi" w:hAnsiTheme="majorHAnsi"/>
          <w:sz w:val="20"/>
          <w:szCs w:val="18"/>
        </w:rPr>
        <w:t xml:space="preserve"> </w:t>
      </w:r>
    </w:p>
    <w:p w14:paraId="27F68FE6"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Bryan Alexander </w:t>
      </w:r>
      <w:proofErr w:type="spellStart"/>
      <w:r w:rsidRPr="00B20B14">
        <w:rPr>
          <w:rFonts w:asciiTheme="majorHAnsi" w:hAnsiTheme="majorHAnsi"/>
          <w:sz w:val="20"/>
          <w:szCs w:val="18"/>
        </w:rPr>
        <w:t>Méndez</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García</w:t>
      </w:r>
      <w:proofErr w:type="spellEnd"/>
      <w:r w:rsidRPr="00B20B14">
        <w:rPr>
          <w:rFonts w:asciiTheme="majorHAnsi" w:hAnsiTheme="majorHAnsi"/>
          <w:sz w:val="20"/>
          <w:szCs w:val="18"/>
        </w:rPr>
        <w:t xml:space="preserve"> </w:t>
      </w:r>
    </w:p>
    <w:p w14:paraId="38FB3209"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Jesús</w:t>
      </w:r>
      <w:proofErr w:type="spellEnd"/>
      <w:r w:rsidRPr="00B20B14">
        <w:rPr>
          <w:rFonts w:asciiTheme="majorHAnsi" w:hAnsiTheme="majorHAnsi"/>
          <w:sz w:val="20"/>
          <w:szCs w:val="18"/>
        </w:rPr>
        <w:t xml:space="preserve"> Antonio </w:t>
      </w:r>
      <w:proofErr w:type="spellStart"/>
      <w:r w:rsidRPr="00B20B14">
        <w:rPr>
          <w:rFonts w:asciiTheme="majorHAnsi" w:hAnsiTheme="majorHAnsi"/>
          <w:sz w:val="20"/>
          <w:szCs w:val="18"/>
        </w:rPr>
        <w:t>Chambert</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López</w:t>
      </w:r>
      <w:proofErr w:type="spellEnd"/>
      <w:r w:rsidRPr="00B20B14">
        <w:rPr>
          <w:rFonts w:asciiTheme="majorHAnsi" w:hAnsiTheme="majorHAnsi"/>
          <w:sz w:val="20"/>
          <w:szCs w:val="18"/>
        </w:rPr>
        <w:t xml:space="preserve"> </w:t>
      </w:r>
    </w:p>
    <w:p w14:paraId="17BB680D"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Luis Denzel </w:t>
      </w:r>
      <w:proofErr w:type="spellStart"/>
      <w:r w:rsidRPr="00B20B14">
        <w:rPr>
          <w:rFonts w:asciiTheme="majorHAnsi" w:hAnsiTheme="majorHAnsi"/>
          <w:sz w:val="20"/>
          <w:szCs w:val="18"/>
        </w:rPr>
        <w:t>Durazo</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López</w:t>
      </w:r>
      <w:proofErr w:type="spellEnd"/>
      <w:r w:rsidRPr="00B20B14">
        <w:rPr>
          <w:rFonts w:asciiTheme="majorHAnsi" w:hAnsiTheme="majorHAnsi"/>
          <w:sz w:val="20"/>
          <w:szCs w:val="18"/>
        </w:rPr>
        <w:t xml:space="preserve"> </w:t>
      </w:r>
    </w:p>
    <w:p w14:paraId="0B9379F7" w14:textId="77777777" w:rsidR="00F56687" w:rsidRPr="00B20B14" w:rsidRDefault="00F56687" w:rsidP="00B20B14">
      <w:pPr>
        <w:pStyle w:val="NormalWeb"/>
        <w:numPr>
          <w:ilvl w:val="0"/>
          <w:numId w:val="109"/>
        </w:numPr>
        <w:ind w:left="900" w:hanging="540"/>
        <w:rPr>
          <w:rFonts w:asciiTheme="majorHAnsi" w:hAnsiTheme="majorHAnsi"/>
          <w:sz w:val="28"/>
        </w:rPr>
      </w:pPr>
      <w:proofErr w:type="spellStart"/>
      <w:r w:rsidRPr="00B20B14">
        <w:rPr>
          <w:rFonts w:asciiTheme="majorHAnsi" w:hAnsiTheme="majorHAnsi"/>
          <w:sz w:val="20"/>
          <w:szCs w:val="18"/>
        </w:rPr>
        <w:t>Daher</w:t>
      </w:r>
      <w:proofErr w:type="spellEnd"/>
      <w:r w:rsidRPr="00B20B14">
        <w:rPr>
          <w:rFonts w:asciiTheme="majorHAnsi" w:hAnsiTheme="majorHAnsi"/>
          <w:sz w:val="20"/>
          <w:szCs w:val="18"/>
        </w:rPr>
        <w:t xml:space="preserve"> Omar Valenzuela Contreras </w:t>
      </w:r>
    </w:p>
    <w:p w14:paraId="33BAB7E5" w14:textId="77777777" w:rsidR="00F56687" w:rsidRPr="00B20B14" w:rsidRDefault="00F56687" w:rsidP="00B20B14">
      <w:pPr>
        <w:pStyle w:val="NormalWeb"/>
        <w:numPr>
          <w:ilvl w:val="0"/>
          <w:numId w:val="109"/>
        </w:numPr>
        <w:ind w:left="900" w:hanging="540"/>
        <w:rPr>
          <w:rFonts w:asciiTheme="majorHAnsi" w:hAnsiTheme="majorHAnsi"/>
          <w:sz w:val="28"/>
          <w:lang w:val="es-US"/>
        </w:rPr>
      </w:pPr>
      <w:r w:rsidRPr="00B20B14">
        <w:rPr>
          <w:rFonts w:asciiTheme="majorHAnsi" w:hAnsiTheme="majorHAnsi"/>
          <w:sz w:val="20"/>
          <w:szCs w:val="18"/>
          <w:lang w:val="es-US"/>
        </w:rPr>
        <w:t xml:space="preserve">Jonathan </w:t>
      </w:r>
      <w:proofErr w:type="spellStart"/>
      <w:r w:rsidRPr="00B20B14">
        <w:rPr>
          <w:rFonts w:asciiTheme="majorHAnsi" w:hAnsiTheme="majorHAnsi"/>
          <w:sz w:val="20"/>
          <w:szCs w:val="18"/>
          <w:lang w:val="es-US"/>
        </w:rPr>
        <w:t>Jesús</w:t>
      </w:r>
      <w:proofErr w:type="spellEnd"/>
      <w:r w:rsidRPr="00B20B14">
        <w:rPr>
          <w:rFonts w:asciiTheme="majorHAnsi" w:hAnsiTheme="majorHAnsi"/>
          <w:sz w:val="20"/>
          <w:szCs w:val="18"/>
          <w:lang w:val="es-US"/>
        </w:rPr>
        <w:t xml:space="preserve"> de los Reyes Luna </w:t>
      </w:r>
    </w:p>
    <w:p w14:paraId="1D2DAAC1"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Emily Guadalupe Ceballos </w:t>
      </w:r>
      <w:proofErr w:type="spellStart"/>
      <w:r w:rsidRPr="00B20B14">
        <w:rPr>
          <w:rFonts w:asciiTheme="majorHAnsi" w:hAnsiTheme="majorHAnsi"/>
          <w:sz w:val="20"/>
          <w:szCs w:val="18"/>
        </w:rPr>
        <w:t>Badilla</w:t>
      </w:r>
      <w:proofErr w:type="spellEnd"/>
      <w:r w:rsidRPr="00B20B14">
        <w:rPr>
          <w:rFonts w:asciiTheme="majorHAnsi" w:hAnsiTheme="majorHAnsi"/>
          <w:sz w:val="20"/>
          <w:szCs w:val="18"/>
        </w:rPr>
        <w:t xml:space="preserve"> </w:t>
      </w:r>
    </w:p>
    <w:p w14:paraId="7BFC6A6D"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Juan Israel </w:t>
      </w:r>
      <w:proofErr w:type="spellStart"/>
      <w:r w:rsidRPr="00B20B14">
        <w:rPr>
          <w:rFonts w:asciiTheme="majorHAnsi" w:hAnsiTheme="majorHAnsi"/>
          <w:sz w:val="20"/>
          <w:szCs w:val="18"/>
        </w:rPr>
        <w:t>Fernández</w:t>
      </w:r>
      <w:proofErr w:type="spellEnd"/>
      <w:r w:rsidRPr="00B20B14">
        <w:rPr>
          <w:rFonts w:asciiTheme="majorHAnsi" w:hAnsiTheme="majorHAnsi"/>
          <w:sz w:val="20"/>
          <w:szCs w:val="18"/>
        </w:rPr>
        <w:t xml:space="preserve"> Lara </w:t>
      </w:r>
    </w:p>
    <w:p w14:paraId="1D8BE045"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Jorge </w:t>
      </w:r>
      <w:proofErr w:type="spellStart"/>
      <w:r w:rsidRPr="00B20B14">
        <w:rPr>
          <w:rFonts w:asciiTheme="majorHAnsi" w:hAnsiTheme="majorHAnsi"/>
          <w:sz w:val="20"/>
          <w:szCs w:val="18"/>
        </w:rPr>
        <w:t>Sebastián</w:t>
      </w:r>
      <w:proofErr w:type="spellEnd"/>
      <w:r w:rsidRPr="00B20B14">
        <w:rPr>
          <w:rFonts w:asciiTheme="majorHAnsi" w:hAnsiTheme="majorHAnsi"/>
          <w:sz w:val="20"/>
          <w:szCs w:val="18"/>
        </w:rPr>
        <w:t xml:space="preserve"> Carrillo </w:t>
      </w:r>
      <w:proofErr w:type="spellStart"/>
      <w:r w:rsidRPr="00B20B14">
        <w:rPr>
          <w:rFonts w:asciiTheme="majorHAnsi" w:hAnsiTheme="majorHAnsi"/>
          <w:sz w:val="20"/>
          <w:szCs w:val="18"/>
        </w:rPr>
        <w:t>González</w:t>
      </w:r>
      <w:proofErr w:type="spellEnd"/>
      <w:r w:rsidRPr="00B20B14">
        <w:rPr>
          <w:rFonts w:asciiTheme="majorHAnsi" w:hAnsiTheme="majorHAnsi"/>
          <w:sz w:val="20"/>
          <w:szCs w:val="18"/>
        </w:rPr>
        <w:t xml:space="preserve"> </w:t>
      </w:r>
    </w:p>
    <w:p w14:paraId="1A277689"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Ximena </w:t>
      </w:r>
      <w:proofErr w:type="spellStart"/>
      <w:r w:rsidRPr="00B20B14">
        <w:rPr>
          <w:rFonts w:asciiTheme="majorHAnsi" w:hAnsiTheme="majorHAnsi"/>
          <w:sz w:val="20"/>
          <w:szCs w:val="18"/>
        </w:rPr>
        <w:t>Álvarez</w:t>
      </w:r>
      <w:proofErr w:type="spellEnd"/>
      <w:r w:rsidRPr="00B20B14">
        <w:rPr>
          <w:rFonts w:asciiTheme="majorHAnsi" w:hAnsiTheme="majorHAnsi"/>
          <w:sz w:val="20"/>
          <w:szCs w:val="18"/>
        </w:rPr>
        <w:t xml:space="preserve"> Cota </w:t>
      </w:r>
    </w:p>
    <w:p w14:paraId="76FB1379"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Daniela Guadalupe Reyes </w:t>
      </w:r>
      <w:proofErr w:type="spellStart"/>
      <w:r w:rsidRPr="00B20B14">
        <w:rPr>
          <w:rFonts w:asciiTheme="majorHAnsi" w:hAnsiTheme="majorHAnsi"/>
          <w:sz w:val="20"/>
          <w:szCs w:val="18"/>
        </w:rPr>
        <w:t>Carretas</w:t>
      </w:r>
      <w:proofErr w:type="spellEnd"/>
      <w:r w:rsidRPr="00B20B14">
        <w:rPr>
          <w:rFonts w:asciiTheme="majorHAnsi" w:hAnsiTheme="majorHAnsi"/>
          <w:sz w:val="20"/>
          <w:szCs w:val="18"/>
        </w:rPr>
        <w:t xml:space="preserve"> </w:t>
      </w:r>
    </w:p>
    <w:p w14:paraId="19270185" w14:textId="77777777" w:rsidR="00F56687" w:rsidRPr="00B20B14" w:rsidRDefault="00F56687" w:rsidP="00B20B14">
      <w:pPr>
        <w:pStyle w:val="NormalWeb"/>
        <w:numPr>
          <w:ilvl w:val="0"/>
          <w:numId w:val="109"/>
        </w:numPr>
        <w:ind w:left="900" w:hanging="540"/>
        <w:rPr>
          <w:rFonts w:asciiTheme="majorHAnsi" w:hAnsiTheme="majorHAnsi"/>
          <w:sz w:val="28"/>
        </w:rPr>
      </w:pPr>
      <w:r w:rsidRPr="00B20B14">
        <w:rPr>
          <w:rFonts w:asciiTheme="majorHAnsi" w:hAnsiTheme="majorHAnsi"/>
          <w:sz w:val="20"/>
          <w:szCs w:val="18"/>
        </w:rPr>
        <w:t xml:space="preserve">Juan Carlos </w:t>
      </w:r>
      <w:proofErr w:type="spellStart"/>
      <w:r w:rsidRPr="00B20B14">
        <w:rPr>
          <w:rFonts w:asciiTheme="majorHAnsi" w:hAnsiTheme="majorHAnsi"/>
          <w:sz w:val="20"/>
          <w:szCs w:val="18"/>
        </w:rPr>
        <w:t>Rascón</w:t>
      </w:r>
      <w:proofErr w:type="spellEnd"/>
      <w:r w:rsidRPr="00B20B14">
        <w:rPr>
          <w:rFonts w:asciiTheme="majorHAnsi" w:hAnsiTheme="majorHAnsi"/>
          <w:sz w:val="20"/>
          <w:szCs w:val="18"/>
        </w:rPr>
        <w:t xml:space="preserve"> </w:t>
      </w:r>
      <w:proofErr w:type="spellStart"/>
      <w:r w:rsidRPr="00B20B14">
        <w:rPr>
          <w:rFonts w:asciiTheme="majorHAnsi" w:hAnsiTheme="majorHAnsi"/>
          <w:sz w:val="20"/>
          <w:szCs w:val="18"/>
        </w:rPr>
        <w:t>Holguín</w:t>
      </w:r>
      <w:proofErr w:type="spellEnd"/>
      <w:r w:rsidRPr="00B20B14">
        <w:rPr>
          <w:rFonts w:asciiTheme="majorHAnsi" w:hAnsiTheme="majorHAnsi"/>
          <w:sz w:val="20"/>
          <w:szCs w:val="18"/>
        </w:rPr>
        <w:t xml:space="preserve"> </w:t>
      </w:r>
    </w:p>
    <w:p w14:paraId="1446F3B5" w14:textId="77777777" w:rsidR="00F56687" w:rsidRDefault="00F56687" w:rsidP="00F56687">
      <w:pPr>
        <w:tabs>
          <w:tab w:val="left" w:pos="2820"/>
        </w:tabs>
        <w:suppressAutoHyphens/>
        <w:spacing w:line="276" w:lineRule="auto"/>
        <w:rPr>
          <w:rFonts w:asciiTheme="majorHAnsi" w:hAnsiTheme="majorHAnsi"/>
          <w:b/>
          <w:bCs/>
          <w:sz w:val="20"/>
          <w:szCs w:val="20"/>
        </w:rPr>
      </w:pPr>
    </w:p>
    <w:p w14:paraId="0B31B036" w14:textId="77777777" w:rsidR="00F56687" w:rsidRPr="00F56687" w:rsidRDefault="00F56687" w:rsidP="00F56687">
      <w:pPr>
        <w:rPr>
          <w:rFonts w:asciiTheme="majorHAnsi" w:hAnsiTheme="majorHAnsi"/>
          <w:sz w:val="20"/>
          <w:szCs w:val="20"/>
        </w:rPr>
      </w:pPr>
    </w:p>
    <w:p w14:paraId="50969AAF" w14:textId="77777777" w:rsidR="00F56687" w:rsidRPr="00F56687" w:rsidRDefault="00F56687" w:rsidP="00F56687">
      <w:pPr>
        <w:rPr>
          <w:rFonts w:asciiTheme="majorHAnsi" w:hAnsiTheme="majorHAnsi"/>
          <w:sz w:val="20"/>
          <w:szCs w:val="20"/>
        </w:rPr>
      </w:pPr>
    </w:p>
    <w:p w14:paraId="216D810B" w14:textId="77777777" w:rsidR="00F56687" w:rsidRPr="00F56687" w:rsidRDefault="00F56687" w:rsidP="00F56687">
      <w:pPr>
        <w:rPr>
          <w:rFonts w:asciiTheme="majorHAnsi" w:hAnsiTheme="majorHAnsi"/>
          <w:sz w:val="20"/>
          <w:szCs w:val="20"/>
        </w:rPr>
      </w:pPr>
    </w:p>
    <w:p w14:paraId="69ED2D28" w14:textId="77777777" w:rsidR="00F56687" w:rsidRPr="00F56687" w:rsidRDefault="00F56687" w:rsidP="00F56687">
      <w:pPr>
        <w:rPr>
          <w:rFonts w:asciiTheme="majorHAnsi" w:hAnsiTheme="majorHAnsi"/>
          <w:sz w:val="20"/>
          <w:szCs w:val="20"/>
        </w:rPr>
      </w:pPr>
    </w:p>
    <w:p w14:paraId="1A2A9CE1" w14:textId="063BA34E" w:rsidR="004D6A1A" w:rsidRPr="00F56687" w:rsidRDefault="004D6A1A" w:rsidP="00F56687">
      <w:pPr>
        <w:tabs>
          <w:tab w:val="left" w:pos="1480"/>
        </w:tabs>
        <w:rPr>
          <w:rFonts w:asciiTheme="majorHAnsi" w:hAnsiTheme="majorHAnsi"/>
          <w:sz w:val="20"/>
          <w:szCs w:val="20"/>
        </w:rPr>
      </w:pPr>
    </w:p>
    <w:sectPr w:rsidR="004D6A1A" w:rsidRPr="00F5668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E1D4F" w14:textId="77777777" w:rsidR="003C0173" w:rsidRDefault="003C0173" w:rsidP="00036A8A">
      <w:r>
        <w:separator/>
      </w:r>
    </w:p>
  </w:endnote>
  <w:endnote w:type="continuationSeparator" w:id="0">
    <w:p w14:paraId="7496F47D" w14:textId="77777777" w:rsidR="003C0173" w:rsidRDefault="003C017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5C3BA" w14:textId="77777777" w:rsidR="0007721B" w:rsidRDefault="00077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0E4780A"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7721B">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55244" w14:textId="77777777" w:rsidR="003C0173" w:rsidRPr="00036A8A" w:rsidRDefault="003C017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0A3838" w14:textId="77777777" w:rsidR="003C0173" w:rsidRPr="00036A8A" w:rsidRDefault="003C0173" w:rsidP="00036A8A">
      <w:pPr>
        <w:rPr>
          <w:rFonts w:asciiTheme="majorHAnsi" w:hAnsiTheme="majorHAnsi"/>
          <w:sz w:val="16"/>
          <w:szCs w:val="16"/>
        </w:rPr>
      </w:pPr>
      <w:r w:rsidRPr="00036A8A">
        <w:rPr>
          <w:rFonts w:asciiTheme="majorHAnsi" w:hAnsiTheme="majorHAnsi"/>
          <w:sz w:val="16"/>
          <w:szCs w:val="16"/>
        </w:rPr>
        <w:separator/>
      </w:r>
    </w:p>
    <w:p w14:paraId="6D1B9368" w14:textId="77777777" w:rsidR="003C0173" w:rsidRPr="00036A8A" w:rsidRDefault="003C017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641DCE5" w14:textId="77777777" w:rsidR="003C0173" w:rsidRPr="0093441A" w:rsidRDefault="003C017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CBF41B9" w14:textId="5AA627F9" w:rsidR="00A23E3E" w:rsidRPr="00197D1E" w:rsidRDefault="00A23E3E" w:rsidP="008B69AE">
      <w:pPr>
        <w:pStyle w:val="FootnoteText"/>
        <w:jc w:val="both"/>
        <w:rPr>
          <w:rFonts w:asciiTheme="majorHAnsi" w:hAnsiTheme="majorHAnsi"/>
          <w:sz w:val="16"/>
          <w:szCs w:val="16"/>
          <w:lang w:val="es-ES"/>
        </w:rPr>
      </w:pPr>
      <w:r w:rsidRPr="00197D1E">
        <w:rPr>
          <w:rStyle w:val="FootnoteReference"/>
          <w:rFonts w:asciiTheme="majorHAnsi" w:hAnsiTheme="majorHAnsi"/>
          <w:sz w:val="16"/>
          <w:szCs w:val="16"/>
        </w:rPr>
        <w:footnoteRef/>
      </w:r>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The</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petitioners</w:t>
      </w:r>
      <w:proofErr w:type="spellEnd"/>
      <w:r w:rsidRPr="00197D1E">
        <w:rPr>
          <w:rFonts w:asciiTheme="majorHAnsi" w:hAnsiTheme="majorHAnsi"/>
          <w:sz w:val="16"/>
          <w:szCs w:val="16"/>
          <w:lang w:val="es-ES"/>
        </w:rPr>
        <w:t xml:space="preserve"> are José Francisco García Quintana, Patricia Duarte Franco, Martha Guadalupe García Morales, Manuel Alfredo Rodríguez, Luis Carlos Santos and María Guadalupe Martínez Trujillo, </w:t>
      </w:r>
      <w:proofErr w:type="spellStart"/>
      <w:r w:rsidRPr="00197D1E">
        <w:rPr>
          <w:rFonts w:asciiTheme="majorHAnsi" w:hAnsiTheme="majorHAnsi"/>
          <w:sz w:val="16"/>
          <w:szCs w:val="16"/>
          <w:lang w:val="es-ES"/>
        </w:rPr>
        <w:t>parents</w:t>
      </w:r>
      <w:proofErr w:type="spellEnd"/>
      <w:r w:rsidRPr="00197D1E">
        <w:rPr>
          <w:rFonts w:asciiTheme="majorHAnsi" w:hAnsiTheme="majorHAnsi"/>
          <w:sz w:val="16"/>
          <w:szCs w:val="16"/>
          <w:lang w:val="es-ES"/>
        </w:rPr>
        <w:t xml:space="preserve"> of </w:t>
      </w:r>
      <w:proofErr w:type="spellStart"/>
      <w:r w:rsidRPr="00197D1E">
        <w:rPr>
          <w:rFonts w:asciiTheme="majorHAnsi" w:hAnsiTheme="majorHAnsi"/>
          <w:sz w:val="16"/>
          <w:szCs w:val="16"/>
          <w:lang w:val="es-ES"/>
        </w:rPr>
        <w:t>the</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alleged</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victims</w:t>
      </w:r>
      <w:proofErr w:type="spellEnd"/>
      <w:r w:rsidRPr="00197D1E">
        <w:rPr>
          <w:rFonts w:asciiTheme="majorHAnsi" w:hAnsiTheme="majorHAnsi"/>
          <w:sz w:val="16"/>
          <w:szCs w:val="16"/>
          <w:lang w:val="es-ES"/>
        </w:rPr>
        <w:t xml:space="preserve"> and </w:t>
      </w:r>
      <w:proofErr w:type="spellStart"/>
      <w:r w:rsidRPr="00197D1E">
        <w:rPr>
          <w:rFonts w:asciiTheme="majorHAnsi" w:hAnsiTheme="majorHAnsi"/>
          <w:sz w:val="16"/>
          <w:szCs w:val="16"/>
          <w:lang w:val="es-ES"/>
        </w:rPr>
        <w:t>members</w:t>
      </w:r>
      <w:proofErr w:type="spellEnd"/>
      <w:r w:rsidRPr="00197D1E">
        <w:rPr>
          <w:rFonts w:asciiTheme="majorHAnsi" w:hAnsiTheme="majorHAnsi"/>
          <w:sz w:val="16"/>
          <w:szCs w:val="16"/>
          <w:lang w:val="es-ES"/>
        </w:rPr>
        <w:t xml:space="preserve"> of </w:t>
      </w:r>
      <w:proofErr w:type="spellStart"/>
      <w:r w:rsidRPr="00197D1E">
        <w:rPr>
          <w:rFonts w:asciiTheme="majorHAnsi" w:hAnsiTheme="majorHAnsi"/>
          <w:sz w:val="16"/>
          <w:szCs w:val="16"/>
          <w:lang w:val="es-ES"/>
        </w:rPr>
        <w:t>the</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Citizen</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Movement</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for</w:t>
      </w:r>
      <w:proofErr w:type="spellEnd"/>
      <w:r w:rsidRPr="00197D1E">
        <w:rPr>
          <w:rFonts w:asciiTheme="majorHAnsi" w:hAnsiTheme="majorHAnsi"/>
          <w:sz w:val="16"/>
          <w:szCs w:val="16"/>
          <w:lang w:val="es-ES"/>
        </w:rPr>
        <w:t xml:space="preserve"> </w:t>
      </w:r>
      <w:proofErr w:type="spellStart"/>
      <w:r w:rsidRPr="00197D1E">
        <w:rPr>
          <w:rFonts w:asciiTheme="majorHAnsi" w:hAnsiTheme="majorHAnsi"/>
          <w:sz w:val="16"/>
          <w:szCs w:val="16"/>
          <w:lang w:val="es-ES"/>
        </w:rPr>
        <w:t>Justice</w:t>
      </w:r>
      <w:proofErr w:type="spellEnd"/>
      <w:r w:rsidRPr="00197D1E">
        <w:rPr>
          <w:rFonts w:asciiTheme="majorHAnsi" w:hAnsiTheme="majorHAnsi"/>
          <w:sz w:val="16"/>
          <w:szCs w:val="16"/>
          <w:lang w:val="es-ES"/>
        </w:rPr>
        <w:t xml:space="preserve"> June 5.</w:t>
      </w:r>
    </w:p>
  </w:footnote>
  <w:footnote w:id="3">
    <w:p w14:paraId="2CEC8694" w14:textId="40645659" w:rsidR="00A23E3E" w:rsidRPr="00F56687" w:rsidRDefault="00A23E3E" w:rsidP="008B69AE">
      <w:pPr>
        <w:pStyle w:val="FootnoteText"/>
        <w:jc w:val="both"/>
        <w:rPr>
          <w:rFonts w:asciiTheme="majorHAnsi" w:hAnsiTheme="majorHAnsi"/>
          <w:sz w:val="16"/>
          <w:szCs w:val="16"/>
        </w:rPr>
      </w:pPr>
      <w:r w:rsidRPr="00197D1E">
        <w:rPr>
          <w:rStyle w:val="FootnoteReference"/>
          <w:rFonts w:asciiTheme="majorHAnsi" w:hAnsiTheme="majorHAnsi"/>
          <w:sz w:val="16"/>
          <w:szCs w:val="16"/>
        </w:rPr>
        <w:footnoteRef/>
      </w:r>
      <w:r w:rsidRPr="00F56687">
        <w:rPr>
          <w:rFonts w:asciiTheme="majorHAnsi" w:hAnsiTheme="majorHAnsi"/>
          <w:sz w:val="16"/>
          <w:szCs w:val="16"/>
        </w:rPr>
        <w:t xml:space="preserve"> The petition was presented in favor of forty-nine alleged victims, individualized in an attached document</w:t>
      </w:r>
    </w:p>
  </w:footnote>
  <w:footnote w:id="4">
    <w:p w14:paraId="2CAFA2ED" w14:textId="6581EB3C" w:rsidR="00A23E3E" w:rsidRPr="00F56687" w:rsidRDefault="00A23E3E" w:rsidP="008B69AE">
      <w:pPr>
        <w:pStyle w:val="FootnoteText"/>
        <w:jc w:val="both"/>
        <w:rPr>
          <w:rFonts w:asciiTheme="majorHAnsi" w:hAnsiTheme="majorHAnsi"/>
          <w:sz w:val="16"/>
          <w:szCs w:val="16"/>
        </w:rPr>
      </w:pPr>
      <w:r w:rsidRPr="00197D1E">
        <w:rPr>
          <w:rStyle w:val="FootnoteReference"/>
          <w:rFonts w:asciiTheme="majorHAnsi" w:hAnsiTheme="majorHAnsi"/>
          <w:sz w:val="16"/>
          <w:szCs w:val="16"/>
        </w:rPr>
        <w:footnoteRef/>
      </w:r>
      <w:r w:rsidR="00197D1E" w:rsidRPr="00F56687">
        <w:rPr>
          <w:rFonts w:asciiTheme="majorHAnsi" w:hAnsiTheme="majorHAnsi"/>
          <w:sz w:val="16"/>
          <w:szCs w:val="16"/>
        </w:rPr>
        <w:t xml:space="preserve"> </w:t>
      </w:r>
      <w:r w:rsidR="008B69AE" w:rsidRPr="00F56687">
        <w:rPr>
          <w:rFonts w:asciiTheme="majorHAnsi" w:hAnsiTheme="majorHAnsi"/>
          <w:sz w:val="16"/>
          <w:szCs w:val="16"/>
        </w:rPr>
        <w:t>Pursuant to Article 17.2.a of the Commission's Regulations, Commissioner Joel Hernández García, a Mexican national, did not participate in the debate or decision on this matter</w:t>
      </w:r>
      <w:r w:rsidRPr="00F56687">
        <w:rPr>
          <w:rFonts w:asciiTheme="majorHAnsi" w:hAnsiTheme="majorHAnsi"/>
          <w:sz w:val="16"/>
          <w:szCs w:val="16"/>
        </w:rPr>
        <w:t>.</w:t>
      </w:r>
    </w:p>
  </w:footnote>
  <w:footnote w:id="5">
    <w:p w14:paraId="0858B1D3" w14:textId="59C3543C" w:rsidR="00A23E3E" w:rsidRPr="00F56687" w:rsidRDefault="00A23E3E" w:rsidP="008B69AE">
      <w:pPr>
        <w:pStyle w:val="FootnoteText"/>
        <w:jc w:val="both"/>
        <w:rPr>
          <w:rFonts w:asciiTheme="majorHAnsi" w:hAnsiTheme="majorHAnsi"/>
          <w:sz w:val="16"/>
          <w:szCs w:val="16"/>
        </w:rPr>
      </w:pPr>
      <w:r w:rsidRPr="00197D1E">
        <w:rPr>
          <w:rStyle w:val="FootnoteReference"/>
          <w:rFonts w:asciiTheme="majorHAnsi" w:hAnsiTheme="majorHAnsi"/>
          <w:sz w:val="16"/>
          <w:szCs w:val="16"/>
        </w:rPr>
        <w:footnoteRef/>
      </w:r>
      <w:r w:rsidRPr="00F56687">
        <w:rPr>
          <w:rFonts w:asciiTheme="majorHAnsi" w:hAnsiTheme="majorHAnsi"/>
          <w:sz w:val="16"/>
          <w:szCs w:val="16"/>
        </w:rPr>
        <w:t xml:space="preserve"> </w:t>
      </w:r>
      <w:r w:rsidR="008B69AE" w:rsidRPr="00F56687">
        <w:rPr>
          <w:rFonts w:asciiTheme="majorHAnsi" w:hAnsiTheme="majorHAnsi"/>
          <w:sz w:val="16"/>
          <w:szCs w:val="16"/>
        </w:rPr>
        <w:t>Hereinafter "the American Convention" or "the Convention".</w:t>
      </w:r>
    </w:p>
  </w:footnote>
  <w:footnote w:id="6">
    <w:p w14:paraId="6F51BDAF" w14:textId="5F4755E7" w:rsidR="00653EA6" w:rsidRPr="000B6B7A" w:rsidRDefault="00653EA6" w:rsidP="00CA14B3">
      <w:pPr>
        <w:pStyle w:val="FootnoteText"/>
        <w:jc w:val="both"/>
        <w:rPr>
          <w:rFonts w:ascii="Cambria" w:hAnsi="Cambria"/>
          <w:sz w:val="16"/>
          <w:szCs w:val="16"/>
        </w:rPr>
      </w:pPr>
      <w:r w:rsidRPr="00197D1E">
        <w:rPr>
          <w:rStyle w:val="FootnoteReference"/>
          <w:rFonts w:asciiTheme="majorHAnsi" w:hAnsiTheme="majorHAnsi"/>
          <w:sz w:val="16"/>
          <w:szCs w:val="16"/>
        </w:rPr>
        <w:footnoteRef/>
      </w:r>
      <w:r w:rsidRPr="00197D1E">
        <w:rPr>
          <w:rFonts w:asciiTheme="majorHAnsi" w:hAnsiTheme="majorHAnsi"/>
          <w:sz w:val="16"/>
          <w:szCs w:val="16"/>
        </w:rPr>
        <w:t xml:space="preserve"> The observations </w:t>
      </w:r>
      <w:r w:rsidR="00321AFD" w:rsidRPr="00197D1E">
        <w:rPr>
          <w:rFonts w:asciiTheme="majorHAnsi" w:hAnsiTheme="majorHAnsi"/>
          <w:sz w:val="16"/>
          <w:szCs w:val="16"/>
        </w:rPr>
        <w:t>submitted</w:t>
      </w:r>
      <w:r w:rsidRPr="00197D1E">
        <w:rPr>
          <w:rFonts w:asciiTheme="majorHAnsi" w:hAnsiTheme="majorHAnsi"/>
          <w:sz w:val="16"/>
          <w:szCs w:val="16"/>
        </w:rPr>
        <w:t xml:space="preserve"> by each party were duly transmitted to the opposing party.</w:t>
      </w:r>
    </w:p>
  </w:footnote>
  <w:footnote w:id="7">
    <w:p w14:paraId="1E902C94" w14:textId="5DDB76D9" w:rsidR="00EE0EAF" w:rsidRPr="00F56687" w:rsidRDefault="00EE0EAF" w:rsidP="002F4947">
      <w:pPr>
        <w:pStyle w:val="FootnoteText"/>
        <w:jc w:val="both"/>
        <w:rPr>
          <w:rFonts w:asciiTheme="majorHAnsi" w:hAnsiTheme="majorHAnsi"/>
          <w:sz w:val="16"/>
          <w:szCs w:val="16"/>
        </w:rPr>
      </w:pPr>
      <w:r w:rsidRPr="004D6A1A">
        <w:rPr>
          <w:rStyle w:val="FootnoteReference"/>
          <w:rFonts w:asciiTheme="majorHAnsi" w:hAnsiTheme="majorHAnsi"/>
          <w:sz w:val="16"/>
          <w:szCs w:val="16"/>
        </w:rPr>
        <w:footnoteRef/>
      </w:r>
      <w:r w:rsidR="002F4947" w:rsidRPr="00F56687">
        <w:rPr>
          <w:rFonts w:asciiTheme="majorHAnsi" w:hAnsiTheme="majorHAnsi"/>
          <w:sz w:val="16"/>
          <w:szCs w:val="16"/>
        </w:rPr>
        <w:t>Political Constitution of the United Mexican States. Article 123. Everyone has the right to decent and socially useful work; for this purpose, the creation of jobs and the social organization of work will be promoted, in accordance with the law. The Congress of the Union, without contravening the following bases, shall issue labor laws, which shall govern: A. Among the workers, day laborers, domestic employees, artisans and, in a general way, all employment contracts: XXIX. The Social Security Law is of public utility, and it will include disability, old-age, life, involuntary cessation of work, illness and accident, childcare and any other insurance aimed at the protection and welfare of workers</w:t>
      </w:r>
      <w:r w:rsidR="00F178D6" w:rsidRPr="00F56687">
        <w:rPr>
          <w:rFonts w:asciiTheme="majorHAnsi" w:hAnsiTheme="majorHAnsi"/>
          <w:sz w:val="16"/>
          <w:szCs w:val="16"/>
        </w:rPr>
        <w:t xml:space="preserve">, </w:t>
      </w:r>
      <w:r w:rsidR="002F4947" w:rsidRPr="00F56687">
        <w:rPr>
          <w:rFonts w:asciiTheme="majorHAnsi" w:hAnsiTheme="majorHAnsi"/>
          <w:sz w:val="16"/>
          <w:szCs w:val="16"/>
        </w:rPr>
        <w:t>peasants, non-wage earners and other social sectors and their families.</w:t>
      </w:r>
    </w:p>
  </w:footnote>
  <w:footnote w:id="8">
    <w:p w14:paraId="0C5947B1" w14:textId="45990DA1" w:rsidR="00EE0EAF" w:rsidRPr="00F56687" w:rsidRDefault="00EE0EAF" w:rsidP="00F178D6">
      <w:pPr>
        <w:pStyle w:val="FootnoteText"/>
        <w:jc w:val="both"/>
        <w:rPr>
          <w:rFonts w:asciiTheme="majorHAnsi" w:hAnsiTheme="majorHAnsi"/>
          <w:sz w:val="16"/>
          <w:szCs w:val="16"/>
        </w:rPr>
      </w:pPr>
      <w:r w:rsidRPr="004D6A1A">
        <w:rPr>
          <w:rStyle w:val="FootnoteReference"/>
          <w:rFonts w:asciiTheme="majorHAnsi" w:hAnsiTheme="majorHAnsi"/>
          <w:sz w:val="16"/>
          <w:szCs w:val="16"/>
        </w:rPr>
        <w:footnoteRef/>
      </w:r>
      <w:r w:rsidR="00F178D6" w:rsidRPr="00F56687">
        <w:rPr>
          <w:rFonts w:asciiTheme="majorHAnsi" w:hAnsiTheme="majorHAnsi"/>
          <w:sz w:val="16"/>
          <w:szCs w:val="16"/>
        </w:rPr>
        <w:t>General Education Law of 1993. Article 39.- Initial education, special education and adult education are included in the national educational system.</w:t>
      </w:r>
    </w:p>
  </w:footnote>
  <w:footnote w:id="9">
    <w:p w14:paraId="729F7589" w14:textId="3584CE80" w:rsidR="004D6A1A" w:rsidRDefault="004D6A1A">
      <w:pPr>
        <w:pStyle w:val="FootnoteText"/>
      </w:pPr>
      <w:r w:rsidRPr="004D6A1A">
        <w:rPr>
          <w:rStyle w:val="FootnoteReference"/>
          <w:rFonts w:asciiTheme="majorHAnsi" w:hAnsiTheme="majorHAnsi"/>
          <w:sz w:val="16"/>
          <w:szCs w:val="16"/>
        </w:rPr>
        <w:footnoteRef/>
      </w:r>
      <w:r w:rsidRPr="004D6A1A">
        <w:rPr>
          <w:rFonts w:asciiTheme="majorHAnsi" w:hAnsiTheme="majorHAnsi"/>
          <w:sz w:val="16"/>
          <w:szCs w:val="16"/>
        </w:rPr>
        <w:t xml:space="preserve"> Social Security Law. Article 213. The Institute may enter into agreements for the reversal of fees or subrogation of services, with employers who have day-care centers installed in their companies or establishments, when they meet the requirements indicated in the relative provisions.</w:t>
      </w:r>
    </w:p>
  </w:footnote>
  <w:footnote w:id="10">
    <w:p w14:paraId="783438F1" w14:textId="39409214" w:rsidR="004D6A1A" w:rsidRPr="00F56687" w:rsidRDefault="004D6A1A" w:rsidP="004D6A1A">
      <w:pPr>
        <w:pStyle w:val="FootnoteText"/>
        <w:jc w:val="both"/>
        <w:rPr>
          <w:rFonts w:ascii="Cambria" w:hAnsi="Cambria"/>
          <w:sz w:val="16"/>
          <w:szCs w:val="16"/>
        </w:rPr>
      </w:pPr>
      <w:r w:rsidRPr="007A3390">
        <w:rPr>
          <w:rStyle w:val="FootnoteReference"/>
          <w:rFonts w:ascii="Cambria" w:hAnsi="Cambria"/>
          <w:sz w:val="16"/>
          <w:szCs w:val="16"/>
        </w:rPr>
        <w:footnoteRef/>
      </w:r>
      <w:r w:rsidRPr="00F56687">
        <w:rPr>
          <w:rFonts w:ascii="Cambria" w:hAnsi="Cambria"/>
          <w:sz w:val="16"/>
          <w:szCs w:val="16"/>
        </w:rPr>
        <w:t xml:space="preserve">  The petitioner indicates that at the time of the events, article 97 of the Political Constitution of the United Mexican States provided the following: “The Supreme Court of Justice of the Nation may appoint one or more of its members or a district judge or magistrate circuit, or designate one or more special commissioners, when deemed appropriate or requested by the Federal Executive or one of the Chambers of the Congress of the Union, or the governor of a state, only to find out any fact or facts that constitute a serious violation of any individual guarantee. (…) ”.</w:t>
      </w:r>
    </w:p>
  </w:footnote>
  <w:footnote w:id="11">
    <w:p w14:paraId="72B8C859" w14:textId="19246449" w:rsidR="004D6A1A" w:rsidRPr="004D6A1A" w:rsidRDefault="004D6A1A">
      <w:pPr>
        <w:pStyle w:val="FootnoteText"/>
        <w:rPr>
          <w:rFonts w:asciiTheme="majorHAnsi" w:hAnsiTheme="majorHAnsi" w:cstheme="minorHAnsi"/>
          <w:sz w:val="16"/>
          <w:szCs w:val="16"/>
        </w:rPr>
      </w:pPr>
      <w:r w:rsidRPr="004D6A1A">
        <w:rPr>
          <w:rStyle w:val="FootnoteReference"/>
          <w:rFonts w:asciiTheme="majorHAnsi" w:hAnsiTheme="majorHAnsi" w:cstheme="minorHAnsi"/>
          <w:sz w:val="16"/>
          <w:szCs w:val="16"/>
        </w:rPr>
        <w:footnoteRef/>
      </w:r>
      <w:r w:rsidRPr="004D6A1A">
        <w:rPr>
          <w:rFonts w:asciiTheme="majorHAnsi" w:hAnsiTheme="majorHAnsi" w:cstheme="minorHAnsi"/>
          <w:sz w:val="16"/>
          <w:szCs w:val="16"/>
        </w:rPr>
        <w:t xml:space="preserve"> IACHR, Report No. 72/18, Petition 1131-08. Admissibility. </w:t>
      </w:r>
      <w:proofErr w:type="spellStart"/>
      <w:r w:rsidRPr="004D6A1A">
        <w:rPr>
          <w:rFonts w:asciiTheme="majorHAnsi" w:hAnsiTheme="majorHAnsi" w:cstheme="minorHAnsi"/>
          <w:sz w:val="16"/>
          <w:szCs w:val="16"/>
        </w:rPr>
        <w:t>Moisés</w:t>
      </w:r>
      <w:proofErr w:type="spellEnd"/>
      <w:r w:rsidRPr="004D6A1A">
        <w:rPr>
          <w:rFonts w:asciiTheme="majorHAnsi" w:hAnsiTheme="majorHAnsi" w:cstheme="minorHAnsi"/>
          <w:sz w:val="16"/>
          <w:szCs w:val="16"/>
        </w:rPr>
        <w:t xml:space="preserve"> de </w:t>
      </w:r>
      <w:proofErr w:type="spellStart"/>
      <w:r w:rsidRPr="004D6A1A">
        <w:rPr>
          <w:rFonts w:asciiTheme="majorHAnsi" w:hAnsiTheme="majorHAnsi" w:cstheme="minorHAnsi"/>
          <w:sz w:val="16"/>
          <w:szCs w:val="16"/>
        </w:rPr>
        <w:t>Jesús</w:t>
      </w:r>
      <w:proofErr w:type="spellEnd"/>
      <w:r w:rsidRPr="004D6A1A">
        <w:rPr>
          <w:rFonts w:asciiTheme="majorHAnsi" w:hAnsiTheme="majorHAnsi" w:cstheme="minorHAnsi"/>
          <w:sz w:val="16"/>
          <w:szCs w:val="16"/>
        </w:rPr>
        <w:t xml:space="preserve"> Hernández Pinto and family. Guatemala. June 20, 2018, para. 10.</w:t>
      </w:r>
    </w:p>
  </w:footnote>
  <w:footnote w:id="12">
    <w:p w14:paraId="5CEFFD5C" w14:textId="2475DFB2" w:rsidR="000E3360" w:rsidRPr="004D6A1A" w:rsidRDefault="000E3360" w:rsidP="002F4947">
      <w:pPr>
        <w:pStyle w:val="FootnoteText"/>
        <w:jc w:val="both"/>
        <w:rPr>
          <w:rFonts w:asciiTheme="majorHAnsi" w:hAnsiTheme="majorHAnsi" w:cstheme="minorHAnsi"/>
          <w:sz w:val="16"/>
          <w:szCs w:val="16"/>
        </w:rPr>
      </w:pPr>
      <w:r w:rsidRPr="004D6A1A">
        <w:rPr>
          <w:rStyle w:val="FootnoteReference"/>
          <w:rFonts w:asciiTheme="majorHAnsi" w:hAnsiTheme="majorHAnsi" w:cstheme="minorHAnsi"/>
          <w:sz w:val="16"/>
          <w:szCs w:val="16"/>
        </w:rPr>
        <w:footnoteRef/>
      </w:r>
      <w:r w:rsidRPr="00F56687">
        <w:rPr>
          <w:rFonts w:asciiTheme="majorHAnsi" w:hAnsiTheme="majorHAnsi" w:cstheme="minorHAnsi"/>
          <w:sz w:val="16"/>
          <w:szCs w:val="16"/>
        </w:rPr>
        <w:t xml:space="preserve"> </w:t>
      </w:r>
      <w:r w:rsidR="002F4947" w:rsidRPr="00F56687">
        <w:rPr>
          <w:rFonts w:asciiTheme="majorHAnsi" w:hAnsiTheme="majorHAnsi" w:cstheme="minorHAnsi"/>
          <w:sz w:val="16"/>
          <w:szCs w:val="16"/>
        </w:rPr>
        <w:t xml:space="preserve">IACHR, Report No. 33/18, Petition 377-08. Admissibility. Amanda Graciela Lace and family. </w:t>
      </w:r>
      <w:r w:rsidR="002F4947" w:rsidRPr="004D6A1A">
        <w:rPr>
          <w:rFonts w:asciiTheme="majorHAnsi" w:hAnsiTheme="majorHAnsi" w:cstheme="minorHAnsi"/>
          <w:sz w:val="16"/>
          <w:szCs w:val="16"/>
          <w:lang w:val="es-ES"/>
        </w:rPr>
        <w:t>Argentina. May 4, 2018, para. 12</w:t>
      </w:r>
    </w:p>
    <w:p w14:paraId="7DD7A68F" w14:textId="77777777" w:rsidR="000E3360" w:rsidRPr="00717E00" w:rsidRDefault="000E3360" w:rsidP="000E3360">
      <w:pPr>
        <w:pStyle w:val="FootnoteText"/>
        <w:ind w:firstLine="720"/>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C0173"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5600" w14:textId="77777777" w:rsidR="0007721B" w:rsidRDefault="00077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B74DC0"/>
    <w:multiLevelType w:val="hybridMultilevel"/>
    <w:tmpl w:val="7A603496"/>
    <w:lvl w:ilvl="0" w:tplc="CDE6863A">
      <w:start w:val="1"/>
      <w:numFmt w:val="decimal"/>
      <w:lvlText w:val="%1."/>
      <w:lvlJc w:val="left"/>
      <w:pPr>
        <w:ind w:left="720" w:hanging="360"/>
      </w:pPr>
      <w:rPr>
        <w:rFonts w:ascii="Cambria" w:hAnsi="Cambria" w:cs="Times New Roman" w:hint="default"/>
        <w:sz w:val="20"/>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2B186E"/>
    <w:multiLevelType w:val="hybridMultilevel"/>
    <w:tmpl w:val="0C84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F90DD6"/>
    <w:multiLevelType w:val="hybridMultilevel"/>
    <w:tmpl w:val="EC76F05E"/>
    <w:lvl w:ilvl="0" w:tplc="CF2EBD98">
      <w:start w:val="1"/>
      <w:numFmt w:val="decimal"/>
      <w:lvlText w:val="%1."/>
      <w:lvlJc w:val="left"/>
      <w:pPr>
        <w:ind w:left="72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E7213E"/>
    <w:multiLevelType w:val="hybridMultilevel"/>
    <w:tmpl w:val="0ED42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39"/>
  </w:num>
  <w:num w:numId="55">
    <w:abstractNumId w:val="40"/>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2"/>
  </w:num>
  <w:num w:numId="83">
    <w:abstractNumId w:val="43"/>
  </w:num>
  <w:num w:numId="84">
    <w:abstractNumId w:val="50"/>
  </w:num>
  <w:num w:numId="85">
    <w:abstractNumId w:val="53"/>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2"/>
  </w:num>
  <w:num w:numId="95">
    <w:abstractNumId w:val="44"/>
  </w:num>
  <w:num w:numId="96">
    <w:abstractNumId w:val="56"/>
  </w:num>
  <w:num w:numId="97">
    <w:abstractNumId w:val="54"/>
  </w:num>
  <w:num w:numId="98">
    <w:abstractNumId w:val="49"/>
  </w:num>
  <w:num w:numId="99">
    <w:abstractNumId w:val="38"/>
  </w:num>
  <w:num w:numId="100">
    <w:abstractNumId w:val="3"/>
  </w:num>
  <w:num w:numId="101">
    <w:abstractNumId w:val="27"/>
  </w:num>
  <w:num w:numId="102">
    <w:abstractNumId w:val="51"/>
  </w:num>
  <w:num w:numId="103">
    <w:abstractNumId w:val="6"/>
  </w:num>
  <w:num w:numId="104">
    <w:abstractNumId w:val="12"/>
  </w:num>
  <w:num w:numId="105">
    <w:abstractNumId w:val="47"/>
  </w:num>
  <w:num w:numId="106">
    <w:abstractNumId w:val="57"/>
  </w:num>
  <w:num w:numId="107">
    <w:abstractNumId w:val="46"/>
  </w:num>
  <w:num w:numId="108">
    <w:abstractNumId w:val="41"/>
  </w:num>
  <w:num w:numId="109">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569"/>
    <w:rsid w:val="000639C0"/>
    <w:rsid w:val="00070571"/>
    <w:rsid w:val="00070F3A"/>
    <w:rsid w:val="000716C5"/>
    <w:rsid w:val="00075E23"/>
    <w:rsid w:val="0007721B"/>
    <w:rsid w:val="00092F32"/>
    <w:rsid w:val="0009344A"/>
    <w:rsid w:val="00094D5B"/>
    <w:rsid w:val="000A575F"/>
    <w:rsid w:val="000A63E8"/>
    <w:rsid w:val="000B5E02"/>
    <w:rsid w:val="000C4365"/>
    <w:rsid w:val="000D10DB"/>
    <w:rsid w:val="000E3360"/>
    <w:rsid w:val="00124116"/>
    <w:rsid w:val="00125886"/>
    <w:rsid w:val="00130279"/>
    <w:rsid w:val="0013104F"/>
    <w:rsid w:val="00137EBA"/>
    <w:rsid w:val="00145EDC"/>
    <w:rsid w:val="00153084"/>
    <w:rsid w:val="00153439"/>
    <w:rsid w:val="00157B97"/>
    <w:rsid w:val="00167A34"/>
    <w:rsid w:val="00167D72"/>
    <w:rsid w:val="001714B4"/>
    <w:rsid w:val="0018037F"/>
    <w:rsid w:val="001966F0"/>
    <w:rsid w:val="00197D1E"/>
    <w:rsid w:val="001A5F27"/>
    <w:rsid w:val="001A65E4"/>
    <w:rsid w:val="001A7870"/>
    <w:rsid w:val="001B2EA5"/>
    <w:rsid w:val="001C1B41"/>
    <w:rsid w:val="001E366B"/>
    <w:rsid w:val="001F1902"/>
    <w:rsid w:val="00210E0E"/>
    <w:rsid w:val="00210F4B"/>
    <w:rsid w:val="00220CFD"/>
    <w:rsid w:val="00230163"/>
    <w:rsid w:val="00232B3E"/>
    <w:rsid w:val="0023351C"/>
    <w:rsid w:val="00235EA0"/>
    <w:rsid w:val="00247403"/>
    <w:rsid w:val="00247542"/>
    <w:rsid w:val="00257893"/>
    <w:rsid w:val="00266092"/>
    <w:rsid w:val="00266B61"/>
    <w:rsid w:val="0026712A"/>
    <w:rsid w:val="002704DB"/>
    <w:rsid w:val="002760CE"/>
    <w:rsid w:val="0028259C"/>
    <w:rsid w:val="00292204"/>
    <w:rsid w:val="002B7A85"/>
    <w:rsid w:val="002C1641"/>
    <w:rsid w:val="002D7EA2"/>
    <w:rsid w:val="002E15DF"/>
    <w:rsid w:val="002E187C"/>
    <w:rsid w:val="002E6E57"/>
    <w:rsid w:val="002F4947"/>
    <w:rsid w:val="00301075"/>
    <w:rsid w:val="00302733"/>
    <w:rsid w:val="00302748"/>
    <w:rsid w:val="00311A4F"/>
    <w:rsid w:val="00314078"/>
    <w:rsid w:val="00315EBD"/>
    <w:rsid w:val="00321AFD"/>
    <w:rsid w:val="00322450"/>
    <w:rsid w:val="003246B5"/>
    <w:rsid w:val="0033169F"/>
    <w:rsid w:val="003414AC"/>
    <w:rsid w:val="00347852"/>
    <w:rsid w:val="00356185"/>
    <w:rsid w:val="00360380"/>
    <w:rsid w:val="003771A3"/>
    <w:rsid w:val="003826B3"/>
    <w:rsid w:val="003854F5"/>
    <w:rsid w:val="00386CF0"/>
    <w:rsid w:val="003A18A7"/>
    <w:rsid w:val="003A4348"/>
    <w:rsid w:val="003C0173"/>
    <w:rsid w:val="003C32BC"/>
    <w:rsid w:val="003E3E03"/>
    <w:rsid w:val="003F1BBF"/>
    <w:rsid w:val="004162B1"/>
    <w:rsid w:val="004165C2"/>
    <w:rsid w:val="00450A4A"/>
    <w:rsid w:val="004666FB"/>
    <w:rsid w:val="00466D0B"/>
    <w:rsid w:val="00467B7E"/>
    <w:rsid w:val="00476D29"/>
    <w:rsid w:val="00484FE3"/>
    <w:rsid w:val="0049419D"/>
    <w:rsid w:val="004B2762"/>
    <w:rsid w:val="004B7EB6"/>
    <w:rsid w:val="004C41DE"/>
    <w:rsid w:val="004C4B62"/>
    <w:rsid w:val="004C7A36"/>
    <w:rsid w:val="004D6025"/>
    <w:rsid w:val="004D6A1A"/>
    <w:rsid w:val="004D72BC"/>
    <w:rsid w:val="004F35AC"/>
    <w:rsid w:val="004F6B67"/>
    <w:rsid w:val="00501399"/>
    <w:rsid w:val="00507BC4"/>
    <w:rsid w:val="005128E4"/>
    <w:rsid w:val="00521B60"/>
    <w:rsid w:val="00525560"/>
    <w:rsid w:val="005357A6"/>
    <w:rsid w:val="005406C2"/>
    <w:rsid w:val="00544C49"/>
    <w:rsid w:val="00572A02"/>
    <w:rsid w:val="0057402A"/>
    <w:rsid w:val="00576A49"/>
    <w:rsid w:val="005771D0"/>
    <w:rsid w:val="005816E5"/>
    <w:rsid w:val="0059191A"/>
    <w:rsid w:val="005921FF"/>
    <w:rsid w:val="00592718"/>
    <w:rsid w:val="005A4F7C"/>
    <w:rsid w:val="005A6D0E"/>
    <w:rsid w:val="005B0771"/>
    <w:rsid w:val="005B222D"/>
    <w:rsid w:val="005B52B0"/>
    <w:rsid w:val="005B6806"/>
    <w:rsid w:val="005C00F9"/>
    <w:rsid w:val="005C4225"/>
    <w:rsid w:val="005C7ADD"/>
    <w:rsid w:val="005F0F33"/>
    <w:rsid w:val="00600DEB"/>
    <w:rsid w:val="00605DE2"/>
    <w:rsid w:val="00613027"/>
    <w:rsid w:val="00627C9F"/>
    <w:rsid w:val="006311DA"/>
    <w:rsid w:val="006311E9"/>
    <w:rsid w:val="006318B2"/>
    <w:rsid w:val="00632354"/>
    <w:rsid w:val="00642810"/>
    <w:rsid w:val="00652333"/>
    <w:rsid w:val="00653EA6"/>
    <w:rsid w:val="0065506C"/>
    <w:rsid w:val="006614CA"/>
    <w:rsid w:val="0068009E"/>
    <w:rsid w:val="006A0BB0"/>
    <w:rsid w:val="006A17D2"/>
    <w:rsid w:val="006A73E6"/>
    <w:rsid w:val="006B2D5C"/>
    <w:rsid w:val="006C4EB1"/>
    <w:rsid w:val="006D4707"/>
    <w:rsid w:val="006E0166"/>
    <w:rsid w:val="006E7B34"/>
    <w:rsid w:val="00701B24"/>
    <w:rsid w:val="00702338"/>
    <w:rsid w:val="0071495F"/>
    <w:rsid w:val="0073798E"/>
    <w:rsid w:val="00745899"/>
    <w:rsid w:val="007607C4"/>
    <w:rsid w:val="007656D5"/>
    <w:rsid w:val="0076643F"/>
    <w:rsid w:val="00781653"/>
    <w:rsid w:val="007A2F70"/>
    <w:rsid w:val="007C3334"/>
    <w:rsid w:val="007C52BB"/>
    <w:rsid w:val="007D1585"/>
    <w:rsid w:val="007D2B98"/>
    <w:rsid w:val="007F196E"/>
    <w:rsid w:val="007F2AA5"/>
    <w:rsid w:val="00803F1C"/>
    <w:rsid w:val="0080600E"/>
    <w:rsid w:val="00817612"/>
    <w:rsid w:val="00817887"/>
    <w:rsid w:val="00837C45"/>
    <w:rsid w:val="00842B67"/>
    <w:rsid w:val="00853419"/>
    <w:rsid w:val="00893AF4"/>
    <w:rsid w:val="00897E12"/>
    <w:rsid w:val="008A614D"/>
    <w:rsid w:val="008A61AD"/>
    <w:rsid w:val="008B69AE"/>
    <w:rsid w:val="008D43BA"/>
    <w:rsid w:val="008E10AB"/>
    <w:rsid w:val="008E3759"/>
    <w:rsid w:val="009041DC"/>
    <w:rsid w:val="009104B4"/>
    <w:rsid w:val="009228DA"/>
    <w:rsid w:val="00925FCD"/>
    <w:rsid w:val="0093441A"/>
    <w:rsid w:val="00954BF7"/>
    <w:rsid w:val="0096706E"/>
    <w:rsid w:val="00981FBA"/>
    <w:rsid w:val="009B381B"/>
    <w:rsid w:val="009D7611"/>
    <w:rsid w:val="009E53DE"/>
    <w:rsid w:val="009E566A"/>
    <w:rsid w:val="009F1510"/>
    <w:rsid w:val="009F1B3B"/>
    <w:rsid w:val="00A12DBC"/>
    <w:rsid w:val="00A14AAA"/>
    <w:rsid w:val="00A23E3E"/>
    <w:rsid w:val="00A43458"/>
    <w:rsid w:val="00A528D1"/>
    <w:rsid w:val="00A66BE5"/>
    <w:rsid w:val="00A71C1C"/>
    <w:rsid w:val="00AD37C1"/>
    <w:rsid w:val="00AE0C9C"/>
    <w:rsid w:val="00AE66EC"/>
    <w:rsid w:val="00AE6F91"/>
    <w:rsid w:val="00AF5571"/>
    <w:rsid w:val="00B06BB7"/>
    <w:rsid w:val="00B167E9"/>
    <w:rsid w:val="00B179ED"/>
    <w:rsid w:val="00B20B14"/>
    <w:rsid w:val="00B314DB"/>
    <w:rsid w:val="00B31EBE"/>
    <w:rsid w:val="00B3718B"/>
    <w:rsid w:val="00B44B23"/>
    <w:rsid w:val="00B4632A"/>
    <w:rsid w:val="00B51815"/>
    <w:rsid w:val="00B92E49"/>
    <w:rsid w:val="00B930DB"/>
    <w:rsid w:val="00B96994"/>
    <w:rsid w:val="00BA276C"/>
    <w:rsid w:val="00BB306F"/>
    <w:rsid w:val="00BD232B"/>
    <w:rsid w:val="00BD2E42"/>
    <w:rsid w:val="00BD4B89"/>
    <w:rsid w:val="00BE45B0"/>
    <w:rsid w:val="00BF1835"/>
    <w:rsid w:val="00BF4B32"/>
    <w:rsid w:val="00C05480"/>
    <w:rsid w:val="00C14851"/>
    <w:rsid w:val="00C20982"/>
    <w:rsid w:val="00C21762"/>
    <w:rsid w:val="00C24543"/>
    <w:rsid w:val="00C256A2"/>
    <w:rsid w:val="00C3492D"/>
    <w:rsid w:val="00C34BA2"/>
    <w:rsid w:val="00C55560"/>
    <w:rsid w:val="00C55757"/>
    <w:rsid w:val="00C66B72"/>
    <w:rsid w:val="00C9567A"/>
    <w:rsid w:val="00CA14B3"/>
    <w:rsid w:val="00CA6577"/>
    <w:rsid w:val="00CB2660"/>
    <w:rsid w:val="00CC5E90"/>
    <w:rsid w:val="00CD046C"/>
    <w:rsid w:val="00CE5199"/>
    <w:rsid w:val="00CE66D5"/>
    <w:rsid w:val="00D34786"/>
    <w:rsid w:val="00D40A1E"/>
    <w:rsid w:val="00D42874"/>
    <w:rsid w:val="00D52067"/>
    <w:rsid w:val="00D533C0"/>
    <w:rsid w:val="00D712D3"/>
    <w:rsid w:val="00D71422"/>
    <w:rsid w:val="00D7145E"/>
    <w:rsid w:val="00D720D9"/>
    <w:rsid w:val="00D74450"/>
    <w:rsid w:val="00D75084"/>
    <w:rsid w:val="00D7558D"/>
    <w:rsid w:val="00D81D92"/>
    <w:rsid w:val="00D92B94"/>
    <w:rsid w:val="00D93446"/>
    <w:rsid w:val="00D97DB3"/>
    <w:rsid w:val="00DA7B5F"/>
    <w:rsid w:val="00DB2771"/>
    <w:rsid w:val="00DC28E0"/>
    <w:rsid w:val="00DF078B"/>
    <w:rsid w:val="00DF350D"/>
    <w:rsid w:val="00DF7AEB"/>
    <w:rsid w:val="00E227C1"/>
    <w:rsid w:val="00E43157"/>
    <w:rsid w:val="00E44DF9"/>
    <w:rsid w:val="00E47F3D"/>
    <w:rsid w:val="00E533FF"/>
    <w:rsid w:val="00E709B3"/>
    <w:rsid w:val="00E7588C"/>
    <w:rsid w:val="00E850B6"/>
    <w:rsid w:val="00E8789F"/>
    <w:rsid w:val="00E961E3"/>
    <w:rsid w:val="00E97B71"/>
    <w:rsid w:val="00EB454D"/>
    <w:rsid w:val="00EB6B8C"/>
    <w:rsid w:val="00ED0D1B"/>
    <w:rsid w:val="00EE0EAF"/>
    <w:rsid w:val="00EE3522"/>
    <w:rsid w:val="00EF619B"/>
    <w:rsid w:val="00F00B55"/>
    <w:rsid w:val="00F1380F"/>
    <w:rsid w:val="00F14F0E"/>
    <w:rsid w:val="00F15A3B"/>
    <w:rsid w:val="00F178D6"/>
    <w:rsid w:val="00F210CE"/>
    <w:rsid w:val="00F24C29"/>
    <w:rsid w:val="00F253CC"/>
    <w:rsid w:val="00F42B71"/>
    <w:rsid w:val="00F56687"/>
    <w:rsid w:val="00F56BA5"/>
    <w:rsid w:val="00F621C3"/>
    <w:rsid w:val="00F644E6"/>
    <w:rsid w:val="00F862D8"/>
    <w:rsid w:val="00F9653B"/>
    <w:rsid w:val="00FB62CF"/>
    <w:rsid w:val="00FC3EB4"/>
    <w:rsid w:val="00FC6C58"/>
    <w:rsid w:val="00FE0C56"/>
    <w:rsid w:val="00FE5113"/>
    <w:rsid w:val="00FE6B45"/>
    <w:rsid w:val="00FF0BED"/>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3826B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Default">
    <w:name w:val="Default"/>
    <w:link w:val="DefaultChar"/>
    <w:rsid w:val="00FE0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FE0C56"/>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F566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035">
      <w:bodyDiv w:val="1"/>
      <w:marLeft w:val="0"/>
      <w:marRight w:val="0"/>
      <w:marTop w:val="0"/>
      <w:marBottom w:val="0"/>
      <w:divBdr>
        <w:top w:val="none" w:sz="0" w:space="0" w:color="auto"/>
        <w:left w:val="none" w:sz="0" w:space="0" w:color="auto"/>
        <w:bottom w:val="none" w:sz="0" w:space="0" w:color="auto"/>
        <w:right w:val="none" w:sz="0" w:space="0" w:color="auto"/>
      </w:divBdr>
    </w:div>
    <w:div w:id="163016155">
      <w:bodyDiv w:val="1"/>
      <w:marLeft w:val="0"/>
      <w:marRight w:val="0"/>
      <w:marTop w:val="0"/>
      <w:marBottom w:val="0"/>
      <w:divBdr>
        <w:top w:val="none" w:sz="0" w:space="0" w:color="auto"/>
        <w:left w:val="none" w:sz="0" w:space="0" w:color="auto"/>
        <w:bottom w:val="none" w:sz="0" w:space="0" w:color="auto"/>
        <w:right w:val="none" w:sz="0" w:space="0" w:color="auto"/>
      </w:divBdr>
    </w:div>
    <w:div w:id="181944525">
      <w:bodyDiv w:val="1"/>
      <w:marLeft w:val="0"/>
      <w:marRight w:val="0"/>
      <w:marTop w:val="0"/>
      <w:marBottom w:val="0"/>
      <w:divBdr>
        <w:top w:val="none" w:sz="0" w:space="0" w:color="auto"/>
        <w:left w:val="none" w:sz="0" w:space="0" w:color="auto"/>
        <w:bottom w:val="none" w:sz="0" w:space="0" w:color="auto"/>
        <w:right w:val="none" w:sz="0" w:space="0" w:color="auto"/>
      </w:divBdr>
    </w:div>
    <w:div w:id="428431920">
      <w:bodyDiv w:val="1"/>
      <w:marLeft w:val="0"/>
      <w:marRight w:val="0"/>
      <w:marTop w:val="0"/>
      <w:marBottom w:val="0"/>
      <w:divBdr>
        <w:top w:val="none" w:sz="0" w:space="0" w:color="auto"/>
        <w:left w:val="none" w:sz="0" w:space="0" w:color="auto"/>
        <w:bottom w:val="none" w:sz="0" w:space="0" w:color="auto"/>
        <w:right w:val="none" w:sz="0" w:space="0" w:color="auto"/>
      </w:divBdr>
    </w:div>
    <w:div w:id="447890763">
      <w:bodyDiv w:val="1"/>
      <w:marLeft w:val="0"/>
      <w:marRight w:val="0"/>
      <w:marTop w:val="0"/>
      <w:marBottom w:val="0"/>
      <w:divBdr>
        <w:top w:val="none" w:sz="0" w:space="0" w:color="auto"/>
        <w:left w:val="none" w:sz="0" w:space="0" w:color="auto"/>
        <w:bottom w:val="none" w:sz="0" w:space="0" w:color="auto"/>
        <w:right w:val="none" w:sz="0" w:space="0" w:color="auto"/>
      </w:divBdr>
    </w:div>
    <w:div w:id="664864760">
      <w:bodyDiv w:val="1"/>
      <w:marLeft w:val="0"/>
      <w:marRight w:val="0"/>
      <w:marTop w:val="0"/>
      <w:marBottom w:val="0"/>
      <w:divBdr>
        <w:top w:val="none" w:sz="0" w:space="0" w:color="auto"/>
        <w:left w:val="none" w:sz="0" w:space="0" w:color="auto"/>
        <w:bottom w:val="none" w:sz="0" w:space="0" w:color="auto"/>
        <w:right w:val="none" w:sz="0" w:space="0" w:color="auto"/>
      </w:divBdr>
    </w:div>
    <w:div w:id="817455304">
      <w:bodyDiv w:val="1"/>
      <w:marLeft w:val="0"/>
      <w:marRight w:val="0"/>
      <w:marTop w:val="0"/>
      <w:marBottom w:val="0"/>
      <w:divBdr>
        <w:top w:val="none" w:sz="0" w:space="0" w:color="auto"/>
        <w:left w:val="none" w:sz="0" w:space="0" w:color="auto"/>
        <w:bottom w:val="none" w:sz="0" w:space="0" w:color="auto"/>
        <w:right w:val="none" w:sz="0" w:space="0" w:color="auto"/>
      </w:divBdr>
    </w:div>
    <w:div w:id="851990095">
      <w:bodyDiv w:val="1"/>
      <w:marLeft w:val="0"/>
      <w:marRight w:val="0"/>
      <w:marTop w:val="0"/>
      <w:marBottom w:val="0"/>
      <w:divBdr>
        <w:top w:val="none" w:sz="0" w:space="0" w:color="auto"/>
        <w:left w:val="none" w:sz="0" w:space="0" w:color="auto"/>
        <w:bottom w:val="none" w:sz="0" w:space="0" w:color="auto"/>
        <w:right w:val="none" w:sz="0" w:space="0" w:color="auto"/>
      </w:divBdr>
    </w:div>
    <w:div w:id="999769292">
      <w:bodyDiv w:val="1"/>
      <w:marLeft w:val="0"/>
      <w:marRight w:val="0"/>
      <w:marTop w:val="0"/>
      <w:marBottom w:val="0"/>
      <w:divBdr>
        <w:top w:val="none" w:sz="0" w:space="0" w:color="auto"/>
        <w:left w:val="none" w:sz="0" w:space="0" w:color="auto"/>
        <w:bottom w:val="none" w:sz="0" w:space="0" w:color="auto"/>
        <w:right w:val="none" w:sz="0" w:space="0" w:color="auto"/>
      </w:divBdr>
    </w:div>
    <w:div w:id="1107233097">
      <w:bodyDiv w:val="1"/>
      <w:marLeft w:val="0"/>
      <w:marRight w:val="0"/>
      <w:marTop w:val="0"/>
      <w:marBottom w:val="0"/>
      <w:divBdr>
        <w:top w:val="none" w:sz="0" w:space="0" w:color="auto"/>
        <w:left w:val="none" w:sz="0" w:space="0" w:color="auto"/>
        <w:bottom w:val="none" w:sz="0" w:space="0" w:color="auto"/>
        <w:right w:val="none" w:sz="0" w:space="0" w:color="auto"/>
      </w:divBdr>
    </w:div>
    <w:div w:id="1186478240">
      <w:bodyDiv w:val="1"/>
      <w:marLeft w:val="0"/>
      <w:marRight w:val="0"/>
      <w:marTop w:val="0"/>
      <w:marBottom w:val="0"/>
      <w:divBdr>
        <w:top w:val="none" w:sz="0" w:space="0" w:color="auto"/>
        <w:left w:val="none" w:sz="0" w:space="0" w:color="auto"/>
        <w:bottom w:val="none" w:sz="0" w:space="0" w:color="auto"/>
        <w:right w:val="none" w:sz="0" w:space="0" w:color="auto"/>
      </w:divBdr>
    </w:div>
    <w:div w:id="1281260505">
      <w:bodyDiv w:val="1"/>
      <w:marLeft w:val="0"/>
      <w:marRight w:val="0"/>
      <w:marTop w:val="0"/>
      <w:marBottom w:val="0"/>
      <w:divBdr>
        <w:top w:val="none" w:sz="0" w:space="0" w:color="auto"/>
        <w:left w:val="none" w:sz="0" w:space="0" w:color="auto"/>
        <w:bottom w:val="none" w:sz="0" w:space="0" w:color="auto"/>
        <w:right w:val="none" w:sz="0" w:space="0" w:color="auto"/>
      </w:divBdr>
    </w:div>
    <w:div w:id="1497841196">
      <w:bodyDiv w:val="1"/>
      <w:marLeft w:val="0"/>
      <w:marRight w:val="0"/>
      <w:marTop w:val="0"/>
      <w:marBottom w:val="0"/>
      <w:divBdr>
        <w:top w:val="none" w:sz="0" w:space="0" w:color="auto"/>
        <w:left w:val="none" w:sz="0" w:space="0" w:color="auto"/>
        <w:bottom w:val="none" w:sz="0" w:space="0" w:color="auto"/>
        <w:right w:val="none" w:sz="0" w:space="0" w:color="auto"/>
      </w:divBdr>
    </w:div>
    <w:div w:id="1497964973">
      <w:bodyDiv w:val="1"/>
      <w:marLeft w:val="0"/>
      <w:marRight w:val="0"/>
      <w:marTop w:val="0"/>
      <w:marBottom w:val="0"/>
      <w:divBdr>
        <w:top w:val="none" w:sz="0" w:space="0" w:color="auto"/>
        <w:left w:val="none" w:sz="0" w:space="0" w:color="auto"/>
        <w:bottom w:val="none" w:sz="0" w:space="0" w:color="auto"/>
        <w:right w:val="none" w:sz="0" w:space="0" w:color="auto"/>
      </w:divBdr>
    </w:div>
    <w:div w:id="1573657417">
      <w:bodyDiv w:val="1"/>
      <w:marLeft w:val="0"/>
      <w:marRight w:val="0"/>
      <w:marTop w:val="0"/>
      <w:marBottom w:val="0"/>
      <w:divBdr>
        <w:top w:val="none" w:sz="0" w:space="0" w:color="auto"/>
        <w:left w:val="none" w:sz="0" w:space="0" w:color="auto"/>
        <w:bottom w:val="none" w:sz="0" w:space="0" w:color="auto"/>
        <w:right w:val="none" w:sz="0" w:space="0" w:color="auto"/>
      </w:divBdr>
    </w:div>
    <w:div w:id="1633096838">
      <w:bodyDiv w:val="1"/>
      <w:marLeft w:val="0"/>
      <w:marRight w:val="0"/>
      <w:marTop w:val="0"/>
      <w:marBottom w:val="0"/>
      <w:divBdr>
        <w:top w:val="none" w:sz="0" w:space="0" w:color="auto"/>
        <w:left w:val="none" w:sz="0" w:space="0" w:color="auto"/>
        <w:bottom w:val="none" w:sz="0" w:space="0" w:color="auto"/>
        <w:right w:val="none" w:sz="0" w:space="0" w:color="auto"/>
      </w:divBdr>
    </w:div>
    <w:div w:id="1638950850">
      <w:bodyDiv w:val="1"/>
      <w:marLeft w:val="0"/>
      <w:marRight w:val="0"/>
      <w:marTop w:val="0"/>
      <w:marBottom w:val="0"/>
      <w:divBdr>
        <w:top w:val="none" w:sz="0" w:space="0" w:color="auto"/>
        <w:left w:val="none" w:sz="0" w:space="0" w:color="auto"/>
        <w:bottom w:val="none" w:sz="0" w:space="0" w:color="auto"/>
        <w:right w:val="none" w:sz="0" w:space="0" w:color="auto"/>
      </w:divBdr>
    </w:div>
    <w:div w:id="16457017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403136">
      <w:bodyDiv w:val="1"/>
      <w:marLeft w:val="0"/>
      <w:marRight w:val="0"/>
      <w:marTop w:val="0"/>
      <w:marBottom w:val="0"/>
      <w:divBdr>
        <w:top w:val="none" w:sz="0" w:space="0" w:color="auto"/>
        <w:left w:val="none" w:sz="0" w:space="0" w:color="auto"/>
        <w:bottom w:val="none" w:sz="0" w:space="0" w:color="auto"/>
        <w:right w:val="none" w:sz="0" w:space="0" w:color="auto"/>
      </w:divBdr>
    </w:div>
    <w:div w:id="1896045534">
      <w:bodyDiv w:val="1"/>
      <w:marLeft w:val="0"/>
      <w:marRight w:val="0"/>
      <w:marTop w:val="0"/>
      <w:marBottom w:val="0"/>
      <w:divBdr>
        <w:top w:val="none" w:sz="0" w:space="0" w:color="auto"/>
        <w:left w:val="none" w:sz="0" w:space="0" w:color="auto"/>
        <w:bottom w:val="none" w:sz="0" w:space="0" w:color="auto"/>
        <w:right w:val="none" w:sz="0" w:space="0" w:color="auto"/>
      </w:divBdr>
    </w:div>
    <w:div w:id="1951358337">
      <w:bodyDiv w:val="1"/>
      <w:marLeft w:val="0"/>
      <w:marRight w:val="0"/>
      <w:marTop w:val="0"/>
      <w:marBottom w:val="0"/>
      <w:divBdr>
        <w:top w:val="none" w:sz="0" w:space="0" w:color="auto"/>
        <w:left w:val="none" w:sz="0" w:space="0" w:color="auto"/>
        <w:bottom w:val="none" w:sz="0" w:space="0" w:color="auto"/>
        <w:right w:val="none" w:sz="0" w:space="0" w:color="auto"/>
      </w:divBdr>
    </w:div>
    <w:div w:id="211701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B46AA"/>
    <w:rsid w:val="001664DB"/>
    <w:rsid w:val="004108B1"/>
    <w:rsid w:val="00527F5A"/>
    <w:rsid w:val="00602DBB"/>
    <w:rsid w:val="00733948"/>
    <w:rsid w:val="0076581E"/>
    <w:rsid w:val="009405F6"/>
    <w:rsid w:val="00A66B24"/>
    <w:rsid w:val="00A939E7"/>
    <w:rsid w:val="00AB44F1"/>
    <w:rsid w:val="00B27754"/>
    <w:rsid w:val="00BD73EC"/>
    <w:rsid w:val="00C119A7"/>
    <w:rsid w:val="00C46B03"/>
    <w:rsid w:val="00D7165A"/>
    <w:rsid w:val="00D95F8B"/>
    <w:rsid w:val="00DF3DF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AAE7-EE0B-4380-A0DA-D8EC666F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16793</Characters>
  <Application>Microsoft Office Word</Application>
  <DocSecurity>0</DocSecurity>
  <Lines>329</Lines>
  <Paragraphs>132</Paragraphs>
  <ScaleCrop>false</ScaleCrop>
  <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185/20</dc:title>
  <dc:creator/>
  <cp:lastModifiedBy/>
  <cp:revision>1</cp:revision>
  <dcterms:created xsi:type="dcterms:W3CDTF">2020-08-03T16:51:00Z</dcterms:created>
  <dcterms:modified xsi:type="dcterms:W3CDTF">2020-08-03T16:51:00Z</dcterms:modified>
</cp:coreProperties>
</file>