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60228793" w:rsidR="00040C3A" w:rsidRPr="0090270B" w:rsidRDefault="00476769" w:rsidP="00627C9F">
      <w:pPr>
        <w:jc w:val="both"/>
        <w:rPr>
          <w:rFonts w:asciiTheme="majorHAnsi" w:hAnsiTheme="majorHAnsi" w:cs="Univers"/>
          <w:b/>
          <w:bCs/>
          <w:sz w:val="22"/>
          <w:szCs w:val="22"/>
          <w:lang w:val="es-ES_tradnl"/>
        </w:rPr>
      </w:pPr>
      <w:r>
        <w:rPr>
          <w:noProof/>
        </w:rPr>
        <mc:AlternateContent>
          <mc:Choice Requires="wps">
            <w:drawing>
              <wp:anchor distT="0" distB="0" distL="114300" distR="114300" simplePos="0" relativeHeight="251668479" behindDoc="0" locked="0" layoutInCell="1" allowOverlap="1" wp14:anchorId="561AEA05" wp14:editId="603DF5EB">
                <wp:simplePos x="0" y="0"/>
                <wp:positionH relativeFrom="column">
                  <wp:posOffset>-418011</wp:posOffset>
                </wp:positionH>
                <wp:positionV relativeFrom="paragraph">
                  <wp:posOffset>-437606</wp:posOffset>
                </wp:positionV>
                <wp:extent cx="1409700" cy="8977630"/>
                <wp:effectExtent l="0" t="0" r="0" b="0"/>
                <wp:wrapNone/>
                <wp:docPr id="1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67AE3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D3ECD" id="Rectangle 1" o:spid="_x0000_s1026" style="position:absolute;margin-left:-32.9pt;margin-top:-34.45pt;width:111pt;height:706.9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" fillcolor="#67ae3c" stroked="f" strokeweight="2pt">
                <v:path arrowok="t"/>
              </v:rec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7B7F6F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64321674" w:rsidR="000D1A20" w:rsidRDefault="000D1A20" w:rsidP="00AE5488">
                            <w:r w:rsidRPr="00492AC5">
                              <w:rPr>
                                <w:noProof/>
                              </w:rPr>
                              <w:drawing>
                                <wp:inline distT="0" distB="0" distL="0" distR="0" wp14:anchorId="70943C3A" wp14:editId="01D75FFB">
                                  <wp:extent cx="2522220" cy="485775"/>
                                  <wp:effectExtent l="0" t="0" r="0" b="0"/>
                                  <wp:docPr id="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2220" cy="48577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64321674" w:rsidR="000D1A20" w:rsidRDefault="000D1A20" w:rsidP="00AE5488">
                      <w:r w:rsidRPr="00492AC5">
                        <w:rPr>
                          <w:noProof/>
                        </w:rPr>
                        <w:drawing>
                          <wp:inline distT="0" distB="0" distL="0" distR="0" wp14:anchorId="70943C3A" wp14:editId="01D75FFB">
                            <wp:extent cx="2522220" cy="485775"/>
                            <wp:effectExtent l="0" t="0" r="0" b="0"/>
                            <wp:docPr id="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2220" cy="48577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23CDA938" w:rsidR="00040C3A" w:rsidRPr="0090270B" w:rsidRDefault="00FB2AFE"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3F566368">
                <wp:simplePos x="0" y="0"/>
                <wp:positionH relativeFrom="column">
                  <wp:posOffset>-391885</wp:posOffset>
                </wp:positionH>
                <wp:positionV relativeFrom="paragraph">
                  <wp:posOffset>175350</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59A5350" w:rsidR="000D1A20" w:rsidRPr="004E2649" w:rsidRDefault="00FB2AFE"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7695D28B" w:rsidR="000D1A20" w:rsidRPr="004E2649" w:rsidRDefault="00FB2AFE"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25</w:t>
                            </w:r>
                          </w:p>
                          <w:p w14:paraId="69373ED2" w14:textId="445A79F2" w:rsidR="000D1A20" w:rsidRPr="00E02E29" w:rsidRDefault="00FB2AFE"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22 March</w:t>
                            </w:r>
                            <w:r w:rsidR="000D1A20" w:rsidRPr="00E02E29">
                              <w:rPr>
                                <w:rFonts w:asciiTheme="minorHAnsi" w:hAnsiTheme="minorHAnsi"/>
                                <w:color w:val="FFFFFF" w:themeColor="background1"/>
                                <w:sz w:val="22"/>
                              </w:rPr>
                              <w:t xml:space="preserve"> 20</w:t>
                            </w:r>
                            <w:r w:rsidR="006268AC">
                              <w:rPr>
                                <w:rFonts w:asciiTheme="minorHAnsi" w:hAnsiTheme="minorHAnsi"/>
                                <w:color w:val="FFFFFF" w:themeColor="background1"/>
                                <w:sz w:val="22"/>
                              </w:rPr>
                              <w:t>20</w:t>
                            </w:r>
                          </w:p>
                          <w:p w14:paraId="0771DB5B" w14:textId="3F857369" w:rsidR="000D1A20" w:rsidRPr="00E02E29" w:rsidRDefault="000D1A20" w:rsidP="007A5817">
                            <w:pPr>
                              <w:spacing w:line="276" w:lineRule="auto"/>
                              <w:jc w:val="right"/>
                              <w:rPr>
                                <w:rFonts w:asciiTheme="minorHAnsi" w:hAnsiTheme="minorHAnsi"/>
                                <w:color w:val="FFFFFF" w:themeColor="background1"/>
                                <w:sz w:val="22"/>
                              </w:rPr>
                            </w:pPr>
                            <w:r w:rsidRPr="00E02E29">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7" type="#_x0000_t202" style="position:absolute;left:0;text-align:left;margin-left:-30.85pt;margin-top:13.8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" filled="f" stroked="f" strokeweight=".5pt">
                <v:textbox>
                  <w:txbxContent>
                    <w:p w14:paraId="6CF0BAF6" w14:textId="659A5350" w:rsidR="000D1A20" w:rsidRPr="004E2649" w:rsidRDefault="00FB2AFE"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7695D28B" w:rsidR="000D1A20" w:rsidRPr="004E2649" w:rsidRDefault="00FB2AFE"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25</w:t>
                      </w:r>
                    </w:p>
                    <w:p w14:paraId="69373ED2" w14:textId="445A79F2" w:rsidR="000D1A20" w:rsidRPr="00E02E29" w:rsidRDefault="00FB2AFE"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22 March</w:t>
                      </w:r>
                      <w:r w:rsidR="000D1A20" w:rsidRPr="00E02E29">
                        <w:rPr>
                          <w:rFonts w:asciiTheme="minorHAnsi" w:hAnsiTheme="minorHAnsi"/>
                          <w:color w:val="FFFFFF" w:themeColor="background1"/>
                          <w:sz w:val="22"/>
                        </w:rPr>
                        <w:t xml:space="preserve"> 20</w:t>
                      </w:r>
                      <w:r w:rsidR="006268AC">
                        <w:rPr>
                          <w:rFonts w:asciiTheme="minorHAnsi" w:hAnsiTheme="minorHAnsi"/>
                          <w:color w:val="FFFFFF" w:themeColor="background1"/>
                          <w:sz w:val="22"/>
                        </w:rPr>
                        <w:t>20</w:t>
                      </w:r>
                    </w:p>
                    <w:p w14:paraId="0771DB5B" w14:textId="3F857369" w:rsidR="000D1A20" w:rsidRPr="00E02E29" w:rsidRDefault="000D1A20" w:rsidP="007A5817">
                      <w:pPr>
                        <w:spacing w:line="276" w:lineRule="auto"/>
                        <w:jc w:val="right"/>
                        <w:rPr>
                          <w:rFonts w:asciiTheme="minorHAnsi" w:hAnsiTheme="minorHAnsi"/>
                          <w:color w:val="FFFFFF" w:themeColor="background1"/>
                          <w:sz w:val="22"/>
                        </w:rPr>
                      </w:pPr>
                      <w:r w:rsidRPr="00E02E29">
                        <w:rPr>
                          <w:rFonts w:asciiTheme="minorHAnsi" w:hAnsiTheme="minorHAnsi"/>
                          <w:color w:val="FFFFFF" w:themeColor="background1"/>
                          <w:sz w:val="22"/>
                        </w:rPr>
                        <w:t>Original: Spanish</w:t>
                      </w:r>
                    </w:p>
                  </w:txbxContent>
                </v:textbox>
              </v:shape>
            </w:pict>
          </mc:Fallback>
        </mc:AlternateContent>
      </w:r>
      <w:r w:rsidR="003D3BC2"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647BF84A">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0008E57" w:rsidR="000D1A20" w:rsidRPr="00E02E29" w:rsidRDefault="000D1A20" w:rsidP="00997BC5">
                            <w:pPr>
                              <w:spacing w:line="276" w:lineRule="auto"/>
                              <w:rPr>
                                <w:rFonts w:asciiTheme="majorHAnsi" w:hAnsiTheme="majorHAnsi" w:cs="Arial"/>
                                <w:b/>
                                <w:bCs/>
                                <w:color w:val="0D0D0D" w:themeColor="text1" w:themeTint="F2"/>
                                <w:sz w:val="36"/>
                                <w:szCs w:val="22"/>
                              </w:rPr>
                            </w:pPr>
                            <w:r w:rsidRPr="00E02E29">
                              <w:rPr>
                                <w:rFonts w:asciiTheme="majorHAnsi" w:hAnsiTheme="majorHAnsi" w:cs="Arial"/>
                                <w:b/>
                                <w:bCs/>
                                <w:color w:val="0D0D0D" w:themeColor="text1" w:themeTint="F2"/>
                                <w:sz w:val="36"/>
                                <w:szCs w:val="22"/>
                              </w:rPr>
                              <w:t xml:space="preserve">REPORT </w:t>
                            </w:r>
                            <w:r w:rsidRPr="00E02E29">
                              <w:rPr>
                                <w:rFonts w:asciiTheme="majorHAnsi" w:hAnsiTheme="majorHAnsi" w:cs="Arial"/>
                                <w:b/>
                                <w:bCs/>
                                <w:color w:val="0D0D0D" w:themeColor="text1" w:themeTint="F2"/>
                                <w:sz w:val="36"/>
                                <w:szCs w:val="40"/>
                              </w:rPr>
                              <w:t>No.</w:t>
                            </w:r>
                            <w:r w:rsidR="00FB2AFE">
                              <w:rPr>
                                <w:rFonts w:asciiTheme="majorHAnsi" w:hAnsiTheme="majorHAnsi" w:cs="Arial"/>
                                <w:b/>
                                <w:bCs/>
                                <w:color w:val="0D0D0D" w:themeColor="text1" w:themeTint="F2"/>
                                <w:sz w:val="36"/>
                                <w:szCs w:val="22"/>
                              </w:rPr>
                              <w:t xml:space="preserve"> 18</w:t>
                            </w:r>
                            <w:r w:rsidR="006268AC">
                              <w:rPr>
                                <w:rFonts w:asciiTheme="majorHAnsi" w:hAnsiTheme="majorHAnsi" w:cs="Arial"/>
                                <w:b/>
                                <w:bCs/>
                                <w:color w:val="0D0D0D" w:themeColor="text1" w:themeTint="F2"/>
                                <w:sz w:val="36"/>
                                <w:szCs w:val="22"/>
                              </w:rPr>
                              <w:t>/20</w:t>
                            </w:r>
                          </w:p>
                          <w:p w14:paraId="09C54AB3" w14:textId="6D2CB347" w:rsidR="000D1A20" w:rsidRPr="00476769" w:rsidRDefault="000D1A20" w:rsidP="00997BC5">
                            <w:pPr>
                              <w:spacing w:line="276" w:lineRule="auto"/>
                              <w:rPr>
                                <w:rFonts w:asciiTheme="majorHAnsi" w:hAnsiTheme="majorHAnsi" w:cs="Arial"/>
                                <w:b/>
                                <w:color w:val="0D0D0D" w:themeColor="text1" w:themeTint="F2"/>
                                <w:sz w:val="36"/>
                                <w:szCs w:val="22"/>
                              </w:rPr>
                            </w:pPr>
                            <w:r w:rsidRPr="00476769">
                              <w:rPr>
                                <w:rFonts w:asciiTheme="majorHAnsi" w:hAnsiTheme="majorHAnsi" w:cs="Arial"/>
                                <w:b/>
                                <w:color w:val="0D0D0D" w:themeColor="text1" w:themeTint="F2"/>
                                <w:sz w:val="36"/>
                                <w:szCs w:val="22"/>
                              </w:rPr>
                              <w:t xml:space="preserve">PETITION </w:t>
                            </w:r>
                            <w:r>
                              <w:rPr>
                                <w:rFonts w:asciiTheme="majorHAnsi" w:hAnsiTheme="majorHAnsi" w:cs="Arial"/>
                                <w:b/>
                                <w:color w:val="0D0D0D" w:themeColor="text1" w:themeTint="F2"/>
                                <w:sz w:val="36"/>
                                <w:szCs w:val="22"/>
                              </w:rPr>
                              <w:t>449</w:t>
                            </w:r>
                            <w:r w:rsidRPr="00476769">
                              <w:rPr>
                                <w:rFonts w:asciiTheme="majorHAnsi" w:hAnsiTheme="majorHAnsi" w:cs="Arial"/>
                                <w:b/>
                                <w:color w:val="0D0D0D" w:themeColor="text1" w:themeTint="F2"/>
                                <w:sz w:val="36"/>
                                <w:szCs w:val="22"/>
                              </w:rPr>
                              <w:t>-</w:t>
                            </w:r>
                            <w:r>
                              <w:rPr>
                                <w:rFonts w:asciiTheme="majorHAnsi" w:hAnsiTheme="majorHAnsi" w:cs="Arial"/>
                                <w:b/>
                                <w:color w:val="0D0D0D" w:themeColor="text1" w:themeTint="F2"/>
                                <w:sz w:val="36"/>
                                <w:szCs w:val="22"/>
                              </w:rPr>
                              <w:t>16</w:t>
                            </w:r>
                            <w:r w:rsidRPr="00476769">
                              <w:rPr>
                                <w:rFonts w:asciiTheme="majorHAnsi" w:hAnsiTheme="majorHAnsi" w:cs="Arial"/>
                                <w:b/>
                                <w:color w:val="0D0D0D" w:themeColor="text1" w:themeTint="F2"/>
                                <w:sz w:val="36"/>
                                <w:szCs w:val="22"/>
                              </w:rPr>
                              <w:t xml:space="preserve"> </w:t>
                            </w:r>
                          </w:p>
                          <w:p w14:paraId="70CF6833" w14:textId="353606EF" w:rsidR="000D1A20" w:rsidRPr="00476769" w:rsidRDefault="000D1A20"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ADMISSIBILITY REPORT</w:t>
                            </w:r>
                          </w:p>
                          <w:p w14:paraId="5FDD6F0D" w14:textId="77777777" w:rsidR="000D1A20" w:rsidRPr="00476769" w:rsidRDefault="000D1A20" w:rsidP="00997BC5">
                            <w:pPr>
                              <w:spacing w:line="276" w:lineRule="auto"/>
                              <w:rPr>
                                <w:rFonts w:asciiTheme="majorHAnsi" w:hAnsiTheme="majorHAnsi" w:cs="Arial"/>
                                <w:color w:val="0D0D0D" w:themeColor="text1" w:themeTint="F2"/>
                                <w:szCs w:val="22"/>
                              </w:rPr>
                            </w:pPr>
                            <w:bookmarkStart w:id="0" w:name="_ftnref1"/>
                          </w:p>
                          <w:p w14:paraId="4CFA2FBF" w14:textId="70176B2C" w:rsidR="000D1A20" w:rsidRPr="00476769" w:rsidRDefault="000D1A20"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MARIA AND FAMILY</w:t>
                            </w:r>
                          </w:p>
                          <w:bookmarkEnd w:id="0"/>
                          <w:p w14:paraId="35068D0D" w14:textId="2B42EF39" w:rsidR="000D1A20" w:rsidRPr="00476769" w:rsidRDefault="000D1A20" w:rsidP="00997BC5">
                            <w:pPr>
                              <w:spacing w:line="276" w:lineRule="auto"/>
                              <w:rPr>
                                <w:rFonts w:asciiTheme="majorHAnsi" w:hAnsiTheme="majorHAnsi" w:cs="Arial"/>
                                <w:color w:val="0D0D0D" w:themeColor="text1" w:themeTint="F2"/>
                                <w:szCs w:val="22"/>
                              </w:rPr>
                            </w:pPr>
                            <w:r w:rsidRPr="00476769">
                              <w:rPr>
                                <w:rFonts w:asciiTheme="majorHAnsi" w:hAnsiTheme="majorHAnsi" w:cs="Arial"/>
                                <w:color w:val="0D0D0D" w:themeColor="text1" w:themeTint="F2"/>
                                <w:szCs w:val="22"/>
                              </w:rPr>
                              <w:t>PER</w:t>
                            </w:r>
                            <w:r>
                              <w:rPr>
                                <w:rFonts w:asciiTheme="majorHAnsi" w:hAnsiTheme="majorHAnsi" w:cs="Arial"/>
                                <w:color w:val="0D0D0D" w:themeColor="text1" w:themeTint="F2"/>
                                <w:szCs w:val="22"/>
                              </w:rPr>
                              <w:t>U</w:t>
                            </w:r>
                          </w:p>
                          <w:p w14:paraId="575DFD52" w14:textId="77777777" w:rsidR="000D1A20" w:rsidRPr="00476769" w:rsidRDefault="000D1A20" w:rsidP="007A5817">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8"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" filled="f" stroked="f" strokeweight=".5pt">
                <v:textbox>
                  <w:txbxContent>
                    <w:p w14:paraId="4D9FE29C" w14:textId="20008E57" w:rsidR="000D1A20" w:rsidRPr="00E02E29" w:rsidRDefault="000D1A20" w:rsidP="00997BC5">
                      <w:pPr>
                        <w:spacing w:line="276" w:lineRule="auto"/>
                        <w:rPr>
                          <w:rFonts w:asciiTheme="majorHAnsi" w:hAnsiTheme="majorHAnsi" w:cs="Arial"/>
                          <w:b/>
                          <w:bCs/>
                          <w:color w:val="0D0D0D" w:themeColor="text1" w:themeTint="F2"/>
                          <w:sz w:val="36"/>
                          <w:szCs w:val="22"/>
                        </w:rPr>
                      </w:pPr>
                      <w:r w:rsidRPr="00E02E29">
                        <w:rPr>
                          <w:rFonts w:asciiTheme="majorHAnsi" w:hAnsiTheme="majorHAnsi" w:cs="Arial"/>
                          <w:b/>
                          <w:bCs/>
                          <w:color w:val="0D0D0D" w:themeColor="text1" w:themeTint="F2"/>
                          <w:sz w:val="36"/>
                          <w:szCs w:val="22"/>
                        </w:rPr>
                        <w:t xml:space="preserve">REPORT </w:t>
                      </w:r>
                      <w:r w:rsidRPr="00E02E29">
                        <w:rPr>
                          <w:rFonts w:asciiTheme="majorHAnsi" w:hAnsiTheme="majorHAnsi" w:cs="Arial"/>
                          <w:b/>
                          <w:bCs/>
                          <w:color w:val="0D0D0D" w:themeColor="text1" w:themeTint="F2"/>
                          <w:sz w:val="36"/>
                          <w:szCs w:val="40"/>
                        </w:rPr>
                        <w:t>No.</w:t>
                      </w:r>
                      <w:r w:rsidR="00FB2AFE">
                        <w:rPr>
                          <w:rFonts w:asciiTheme="majorHAnsi" w:hAnsiTheme="majorHAnsi" w:cs="Arial"/>
                          <w:b/>
                          <w:bCs/>
                          <w:color w:val="0D0D0D" w:themeColor="text1" w:themeTint="F2"/>
                          <w:sz w:val="36"/>
                          <w:szCs w:val="22"/>
                        </w:rPr>
                        <w:t xml:space="preserve"> 18</w:t>
                      </w:r>
                      <w:r w:rsidR="006268AC">
                        <w:rPr>
                          <w:rFonts w:asciiTheme="majorHAnsi" w:hAnsiTheme="majorHAnsi" w:cs="Arial"/>
                          <w:b/>
                          <w:bCs/>
                          <w:color w:val="0D0D0D" w:themeColor="text1" w:themeTint="F2"/>
                          <w:sz w:val="36"/>
                          <w:szCs w:val="22"/>
                        </w:rPr>
                        <w:t>/20</w:t>
                      </w:r>
                    </w:p>
                    <w:p w14:paraId="09C54AB3" w14:textId="6D2CB347" w:rsidR="000D1A20" w:rsidRPr="00476769" w:rsidRDefault="000D1A20" w:rsidP="00997BC5">
                      <w:pPr>
                        <w:spacing w:line="276" w:lineRule="auto"/>
                        <w:rPr>
                          <w:rFonts w:asciiTheme="majorHAnsi" w:hAnsiTheme="majorHAnsi" w:cs="Arial"/>
                          <w:b/>
                          <w:color w:val="0D0D0D" w:themeColor="text1" w:themeTint="F2"/>
                          <w:sz w:val="36"/>
                          <w:szCs w:val="22"/>
                        </w:rPr>
                      </w:pPr>
                      <w:r w:rsidRPr="00476769">
                        <w:rPr>
                          <w:rFonts w:asciiTheme="majorHAnsi" w:hAnsiTheme="majorHAnsi" w:cs="Arial"/>
                          <w:b/>
                          <w:color w:val="0D0D0D" w:themeColor="text1" w:themeTint="F2"/>
                          <w:sz w:val="36"/>
                          <w:szCs w:val="22"/>
                        </w:rPr>
                        <w:t xml:space="preserve">PETITION </w:t>
                      </w:r>
                      <w:r>
                        <w:rPr>
                          <w:rFonts w:asciiTheme="majorHAnsi" w:hAnsiTheme="majorHAnsi" w:cs="Arial"/>
                          <w:b/>
                          <w:color w:val="0D0D0D" w:themeColor="text1" w:themeTint="F2"/>
                          <w:sz w:val="36"/>
                          <w:szCs w:val="22"/>
                        </w:rPr>
                        <w:t>449</w:t>
                      </w:r>
                      <w:r w:rsidRPr="00476769">
                        <w:rPr>
                          <w:rFonts w:asciiTheme="majorHAnsi" w:hAnsiTheme="majorHAnsi" w:cs="Arial"/>
                          <w:b/>
                          <w:color w:val="0D0D0D" w:themeColor="text1" w:themeTint="F2"/>
                          <w:sz w:val="36"/>
                          <w:szCs w:val="22"/>
                        </w:rPr>
                        <w:t>-</w:t>
                      </w:r>
                      <w:r>
                        <w:rPr>
                          <w:rFonts w:asciiTheme="majorHAnsi" w:hAnsiTheme="majorHAnsi" w:cs="Arial"/>
                          <w:b/>
                          <w:color w:val="0D0D0D" w:themeColor="text1" w:themeTint="F2"/>
                          <w:sz w:val="36"/>
                          <w:szCs w:val="22"/>
                        </w:rPr>
                        <w:t>16</w:t>
                      </w:r>
                      <w:r w:rsidRPr="00476769">
                        <w:rPr>
                          <w:rFonts w:asciiTheme="majorHAnsi" w:hAnsiTheme="majorHAnsi" w:cs="Arial"/>
                          <w:b/>
                          <w:color w:val="0D0D0D" w:themeColor="text1" w:themeTint="F2"/>
                          <w:sz w:val="36"/>
                          <w:szCs w:val="22"/>
                        </w:rPr>
                        <w:t xml:space="preserve"> </w:t>
                      </w:r>
                    </w:p>
                    <w:p w14:paraId="70CF6833" w14:textId="353606EF" w:rsidR="000D1A20" w:rsidRPr="00476769" w:rsidRDefault="000D1A20"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ADMISSIBILITY REPORT</w:t>
                      </w:r>
                    </w:p>
                    <w:p w14:paraId="5FDD6F0D" w14:textId="77777777" w:rsidR="000D1A20" w:rsidRPr="00476769" w:rsidRDefault="000D1A20" w:rsidP="00997BC5">
                      <w:pPr>
                        <w:spacing w:line="276" w:lineRule="auto"/>
                        <w:rPr>
                          <w:rFonts w:asciiTheme="majorHAnsi" w:hAnsiTheme="majorHAnsi" w:cs="Arial"/>
                          <w:color w:val="0D0D0D" w:themeColor="text1" w:themeTint="F2"/>
                          <w:szCs w:val="22"/>
                        </w:rPr>
                      </w:pPr>
                      <w:bookmarkStart w:id="1" w:name="_ftnref1"/>
                    </w:p>
                    <w:p w14:paraId="4CFA2FBF" w14:textId="70176B2C" w:rsidR="000D1A20" w:rsidRPr="00476769" w:rsidRDefault="000D1A20"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MARIA AND FAMILY</w:t>
                      </w:r>
                    </w:p>
                    <w:bookmarkEnd w:id="1"/>
                    <w:p w14:paraId="35068D0D" w14:textId="2B42EF39" w:rsidR="000D1A20" w:rsidRPr="00476769" w:rsidRDefault="000D1A20" w:rsidP="00997BC5">
                      <w:pPr>
                        <w:spacing w:line="276" w:lineRule="auto"/>
                        <w:rPr>
                          <w:rFonts w:asciiTheme="majorHAnsi" w:hAnsiTheme="majorHAnsi" w:cs="Arial"/>
                          <w:color w:val="0D0D0D" w:themeColor="text1" w:themeTint="F2"/>
                          <w:szCs w:val="22"/>
                        </w:rPr>
                      </w:pPr>
                      <w:r w:rsidRPr="00476769">
                        <w:rPr>
                          <w:rFonts w:asciiTheme="majorHAnsi" w:hAnsiTheme="majorHAnsi" w:cs="Arial"/>
                          <w:color w:val="0D0D0D" w:themeColor="text1" w:themeTint="F2"/>
                          <w:szCs w:val="22"/>
                        </w:rPr>
                        <w:t>PER</w:t>
                      </w:r>
                      <w:r>
                        <w:rPr>
                          <w:rFonts w:asciiTheme="majorHAnsi" w:hAnsiTheme="majorHAnsi" w:cs="Arial"/>
                          <w:color w:val="0D0D0D" w:themeColor="text1" w:themeTint="F2"/>
                          <w:szCs w:val="22"/>
                        </w:rPr>
                        <w:t>U</w:t>
                      </w:r>
                    </w:p>
                    <w:p w14:paraId="575DFD52" w14:textId="77777777" w:rsidR="000D1A20" w:rsidRPr="00476769" w:rsidRDefault="000D1A20" w:rsidP="007A5817">
                      <w:pPr>
                        <w:rPr>
                          <w:color w:val="0D0D0D" w:themeColor="text1" w:themeTint="F2"/>
                        </w:rPr>
                      </w:pP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5A75D4C4" w:rsidR="000D1A20" w:rsidRPr="00476769" w:rsidRDefault="00FB2AFE"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Approved e</w:t>
                            </w:r>
                            <w:r w:rsidR="000D1A20" w:rsidRPr="00476769">
                              <w:rPr>
                                <w:rFonts w:asciiTheme="majorHAnsi" w:hAnsiTheme="majorHAnsi"/>
                                <w:color w:val="0D0D0D" w:themeColor="text1" w:themeTint="F2"/>
                                <w:sz w:val="18"/>
                                <w:szCs w:val="22"/>
                              </w:rPr>
                              <w:t xml:space="preserve">lectronically by the Commission on </w:t>
                            </w:r>
                            <w:r>
                              <w:rPr>
                                <w:rFonts w:asciiTheme="majorHAnsi" w:hAnsiTheme="majorHAnsi"/>
                                <w:color w:val="0D0D0D" w:themeColor="text1" w:themeTint="F2"/>
                                <w:sz w:val="18"/>
                                <w:szCs w:val="22"/>
                              </w:rPr>
                              <w:t>March 22</w:t>
                            </w:r>
                            <w:r w:rsidR="000D1A20" w:rsidRPr="00476769">
                              <w:rPr>
                                <w:rFonts w:asciiTheme="majorHAnsi" w:hAnsiTheme="majorHAnsi"/>
                                <w:color w:val="0D0D0D" w:themeColor="text1" w:themeTint="F2"/>
                                <w:sz w:val="18"/>
                                <w:szCs w:val="22"/>
                              </w:rPr>
                              <w:t>, 20</w:t>
                            </w:r>
                            <w:r w:rsidR="006268AC">
                              <w:rPr>
                                <w:rFonts w:asciiTheme="majorHAnsi" w:hAnsiTheme="majorHAnsi"/>
                                <w:color w:val="0D0D0D" w:themeColor="text1" w:themeTint="F2"/>
                                <w:sz w:val="18"/>
                                <w:szCs w:val="22"/>
                              </w:rPr>
                              <w:t>20</w:t>
                            </w:r>
                          </w:p>
                          <w:p w14:paraId="4BDF3581" w14:textId="77777777" w:rsidR="000D1A20" w:rsidRPr="00476769" w:rsidRDefault="000D1A20"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0D1A20" w:rsidRPr="00476769" w:rsidRDefault="000D1A2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5A75D4C4" w:rsidR="000D1A20" w:rsidRPr="00476769" w:rsidRDefault="00FB2AFE"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Approved e</w:t>
                      </w:r>
                      <w:r w:rsidR="000D1A20" w:rsidRPr="00476769">
                        <w:rPr>
                          <w:rFonts w:asciiTheme="majorHAnsi" w:hAnsiTheme="majorHAnsi"/>
                          <w:color w:val="0D0D0D" w:themeColor="text1" w:themeTint="F2"/>
                          <w:sz w:val="18"/>
                          <w:szCs w:val="22"/>
                        </w:rPr>
                        <w:t xml:space="preserve">lectronically by the Commission on </w:t>
                      </w:r>
                      <w:r>
                        <w:rPr>
                          <w:rFonts w:asciiTheme="majorHAnsi" w:hAnsiTheme="majorHAnsi"/>
                          <w:color w:val="0D0D0D" w:themeColor="text1" w:themeTint="F2"/>
                          <w:sz w:val="18"/>
                          <w:szCs w:val="22"/>
                        </w:rPr>
                        <w:t>March 22</w:t>
                      </w:r>
                      <w:r w:rsidR="000D1A20" w:rsidRPr="00476769">
                        <w:rPr>
                          <w:rFonts w:asciiTheme="majorHAnsi" w:hAnsiTheme="majorHAnsi"/>
                          <w:color w:val="0D0D0D" w:themeColor="text1" w:themeTint="F2"/>
                          <w:sz w:val="18"/>
                          <w:szCs w:val="22"/>
                        </w:rPr>
                        <w:t>, 20</w:t>
                      </w:r>
                      <w:r w:rsidR="006268AC">
                        <w:rPr>
                          <w:rFonts w:asciiTheme="majorHAnsi" w:hAnsiTheme="majorHAnsi"/>
                          <w:color w:val="0D0D0D" w:themeColor="text1" w:themeTint="F2"/>
                          <w:sz w:val="18"/>
                          <w:szCs w:val="22"/>
                        </w:rPr>
                        <w:t>20</w:t>
                      </w:r>
                    </w:p>
                    <w:p w14:paraId="4BDF3581" w14:textId="77777777" w:rsidR="000D1A20" w:rsidRPr="00476769" w:rsidRDefault="000D1A20"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0D1A20" w:rsidRPr="00476769" w:rsidRDefault="000D1A2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D734C1" w14:textId="77777777" w:rsidR="00FB2AFE" w:rsidRDefault="000D1A20" w:rsidP="00476769">
                            <w:pPr>
                              <w:rPr>
                                <w:rFonts w:ascii="Cambria" w:hAnsi="Cambria"/>
                                <w:color w:val="595959"/>
                                <w:sz w:val="18"/>
                              </w:rPr>
                            </w:pPr>
                            <w:r w:rsidRPr="0029701F">
                              <w:rPr>
                                <w:rFonts w:asciiTheme="majorHAnsi" w:hAnsiTheme="majorHAnsi"/>
                                <w:b/>
                                <w:color w:val="595959" w:themeColor="text1" w:themeTint="A6"/>
                                <w:sz w:val="18"/>
                                <w:szCs w:val="18"/>
                              </w:rPr>
                              <w:t xml:space="preserve">Cite as: </w:t>
                            </w:r>
                            <w:r w:rsidR="00FB2AFE">
                              <w:rPr>
                                <w:rFonts w:ascii="Cambria" w:hAnsi="Cambria"/>
                                <w:color w:val="595959"/>
                                <w:sz w:val="18"/>
                              </w:rPr>
                              <w:t>IACHR, Report No. 18</w:t>
                            </w:r>
                            <w:r w:rsidRPr="008874B2">
                              <w:rPr>
                                <w:rFonts w:ascii="Cambria" w:hAnsi="Cambria"/>
                                <w:color w:val="595959"/>
                                <w:sz w:val="18"/>
                              </w:rPr>
                              <w:t>/</w:t>
                            </w:r>
                            <w:r w:rsidR="00FB2AFE">
                              <w:rPr>
                                <w:rFonts w:ascii="Cambria" w:hAnsi="Cambria"/>
                                <w:color w:val="595959"/>
                                <w:sz w:val="18"/>
                              </w:rPr>
                              <w:t>20</w:t>
                            </w:r>
                            <w:r w:rsidRPr="008874B2">
                              <w:rPr>
                                <w:rFonts w:ascii="Cambria" w:hAnsi="Cambria"/>
                                <w:color w:val="595959"/>
                                <w:sz w:val="18"/>
                              </w:rPr>
                              <w:t xml:space="preserve">, Petition </w:t>
                            </w:r>
                            <w:r>
                              <w:rPr>
                                <w:rFonts w:ascii="Cambria" w:hAnsi="Cambria"/>
                                <w:color w:val="595959"/>
                                <w:sz w:val="18"/>
                              </w:rPr>
                              <w:t>449</w:t>
                            </w:r>
                            <w:r w:rsidRPr="008874B2">
                              <w:rPr>
                                <w:rFonts w:ascii="Cambria" w:hAnsi="Cambria"/>
                                <w:color w:val="595959"/>
                                <w:sz w:val="18"/>
                              </w:rPr>
                              <w:t>-</w:t>
                            </w:r>
                            <w:r>
                              <w:rPr>
                                <w:rFonts w:ascii="Cambria" w:hAnsi="Cambria"/>
                                <w:color w:val="595959"/>
                                <w:sz w:val="18"/>
                              </w:rPr>
                              <w:t>16</w:t>
                            </w:r>
                            <w:r w:rsidRPr="008874B2">
                              <w:rPr>
                                <w:rFonts w:ascii="Cambria" w:hAnsi="Cambria"/>
                                <w:color w:val="595959"/>
                                <w:sz w:val="18"/>
                              </w:rPr>
                              <w:t xml:space="preserve">. </w:t>
                            </w:r>
                            <w:r>
                              <w:rPr>
                                <w:rFonts w:ascii="Cambria" w:hAnsi="Cambria"/>
                                <w:color w:val="595959"/>
                                <w:sz w:val="18"/>
                              </w:rPr>
                              <w:t>Admissibility</w:t>
                            </w:r>
                            <w:r w:rsidR="0029701F">
                              <w:rPr>
                                <w:rFonts w:ascii="Cambria" w:hAnsi="Cambria"/>
                                <w:color w:val="595959"/>
                                <w:sz w:val="18"/>
                              </w:rPr>
                              <w:t xml:space="preserve">. </w:t>
                            </w:r>
                            <w:r>
                              <w:rPr>
                                <w:rFonts w:asciiTheme="majorHAnsi" w:hAnsiTheme="majorHAnsi"/>
                                <w:color w:val="595959" w:themeColor="text1" w:themeTint="A6"/>
                                <w:sz w:val="18"/>
                                <w:szCs w:val="18"/>
                              </w:rPr>
                              <w:t>Maria</w:t>
                            </w:r>
                            <w:r w:rsidR="00FB2AFE">
                              <w:rPr>
                                <w:rFonts w:asciiTheme="majorHAnsi" w:hAnsiTheme="majorHAnsi"/>
                                <w:color w:val="595959" w:themeColor="text1" w:themeTint="A6"/>
                                <w:sz w:val="18"/>
                                <w:szCs w:val="18"/>
                              </w:rPr>
                              <w:t xml:space="preserve"> and family</w:t>
                            </w:r>
                            <w:r w:rsidRPr="008874B2">
                              <w:rPr>
                                <w:rFonts w:ascii="Cambria" w:hAnsi="Cambria"/>
                                <w:color w:val="595959"/>
                                <w:sz w:val="18"/>
                              </w:rPr>
                              <w:t xml:space="preserve">. </w:t>
                            </w:r>
                            <w:r>
                              <w:rPr>
                                <w:rFonts w:ascii="Cambria" w:hAnsi="Cambria"/>
                                <w:color w:val="595959"/>
                                <w:sz w:val="18"/>
                              </w:rPr>
                              <w:t>Peru</w:t>
                            </w:r>
                            <w:r w:rsidRPr="008874B2">
                              <w:rPr>
                                <w:rFonts w:ascii="Cambria" w:hAnsi="Cambria"/>
                                <w:color w:val="595959"/>
                                <w:sz w:val="18"/>
                              </w:rPr>
                              <w:t xml:space="preserve">. </w:t>
                            </w:r>
                          </w:p>
                          <w:p w14:paraId="5253C81E" w14:textId="4B7C3A59" w:rsidR="000D1A20" w:rsidRPr="00476769" w:rsidRDefault="00FB2AFE" w:rsidP="00476769">
                            <w:pPr>
                              <w:rPr>
                                <w:rFonts w:ascii="Cambria" w:hAnsi="Cambria"/>
                                <w:color w:val="595959"/>
                                <w:sz w:val="18"/>
                              </w:rPr>
                            </w:pPr>
                            <w:r>
                              <w:rPr>
                                <w:rFonts w:ascii="Cambria" w:hAnsi="Cambria"/>
                                <w:color w:val="595959"/>
                                <w:sz w:val="18"/>
                              </w:rPr>
                              <w:t>March 22, 2020</w:t>
                            </w:r>
                            <w:r w:rsidR="000D1A20" w:rsidRPr="008874B2">
                              <w:rPr>
                                <w:rFonts w:ascii="Cambria" w:hAnsi="Cambria"/>
                                <w:color w:val="595959"/>
                                <w:sz w:val="18"/>
                              </w:rPr>
                              <w:t>.</w:t>
                            </w:r>
                          </w:p>
                          <w:p w14:paraId="0D1B22CF" w14:textId="33A50B23" w:rsidR="000D1A20" w:rsidRPr="00DA0133" w:rsidRDefault="000D1A20" w:rsidP="00113F73">
                            <w:pPr>
                              <w:spacing w:line="276" w:lineRule="auto"/>
                              <w:rPr>
                                <w:rFonts w:asciiTheme="majorHAnsi" w:hAnsiTheme="majorHAnsi"/>
                                <w:color w:val="595959" w:themeColor="text1" w:themeTint="A6"/>
                                <w:sz w:val="18"/>
                                <w:szCs w:val="18"/>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77D734C1" w14:textId="77777777" w:rsidR="00FB2AFE" w:rsidRDefault="000D1A20" w:rsidP="00476769">
                      <w:pPr>
                        <w:rPr>
                          <w:rFonts w:ascii="Cambria" w:hAnsi="Cambria"/>
                          <w:color w:val="595959"/>
                          <w:sz w:val="18"/>
                        </w:rPr>
                      </w:pPr>
                      <w:r w:rsidRPr="0029701F">
                        <w:rPr>
                          <w:rFonts w:asciiTheme="majorHAnsi" w:hAnsiTheme="majorHAnsi"/>
                          <w:b/>
                          <w:color w:val="595959" w:themeColor="text1" w:themeTint="A6"/>
                          <w:sz w:val="18"/>
                          <w:szCs w:val="18"/>
                        </w:rPr>
                        <w:t xml:space="preserve">Cite as: </w:t>
                      </w:r>
                      <w:r w:rsidR="00FB2AFE">
                        <w:rPr>
                          <w:rFonts w:ascii="Cambria" w:hAnsi="Cambria"/>
                          <w:color w:val="595959"/>
                          <w:sz w:val="18"/>
                        </w:rPr>
                        <w:t>IACHR, Report No. 18</w:t>
                      </w:r>
                      <w:r w:rsidRPr="008874B2">
                        <w:rPr>
                          <w:rFonts w:ascii="Cambria" w:hAnsi="Cambria"/>
                          <w:color w:val="595959"/>
                          <w:sz w:val="18"/>
                        </w:rPr>
                        <w:t>/</w:t>
                      </w:r>
                      <w:r w:rsidR="00FB2AFE">
                        <w:rPr>
                          <w:rFonts w:ascii="Cambria" w:hAnsi="Cambria"/>
                          <w:color w:val="595959"/>
                          <w:sz w:val="18"/>
                        </w:rPr>
                        <w:t>20</w:t>
                      </w:r>
                      <w:r w:rsidRPr="008874B2">
                        <w:rPr>
                          <w:rFonts w:ascii="Cambria" w:hAnsi="Cambria"/>
                          <w:color w:val="595959"/>
                          <w:sz w:val="18"/>
                        </w:rPr>
                        <w:t xml:space="preserve">, Petition </w:t>
                      </w:r>
                      <w:r>
                        <w:rPr>
                          <w:rFonts w:ascii="Cambria" w:hAnsi="Cambria"/>
                          <w:color w:val="595959"/>
                          <w:sz w:val="18"/>
                        </w:rPr>
                        <w:t>449</w:t>
                      </w:r>
                      <w:r w:rsidRPr="008874B2">
                        <w:rPr>
                          <w:rFonts w:ascii="Cambria" w:hAnsi="Cambria"/>
                          <w:color w:val="595959"/>
                          <w:sz w:val="18"/>
                        </w:rPr>
                        <w:t>-</w:t>
                      </w:r>
                      <w:r>
                        <w:rPr>
                          <w:rFonts w:ascii="Cambria" w:hAnsi="Cambria"/>
                          <w:color w:val="595959"/>
                          <w:sz w:val="18"/>
                        </w:rPr>
                        <w:t>16</w:t>
                      </w:r>
                      <w:r w:rsidRPr="008874B2">
                        <w:rPr>
                          <w:rFonts w:ascii="Cambria" w:hAnsi="Cambria"/>
                          <w:color w:val="595959"/>
                          <w:sz w:val="18"/>
                        </w:rPr>
                        <w:t xml:space="preserve">. </w:t>
                      </w:r>
                      <w:r>
                        <w:rPr>
                          <w:rFonts w:ascii="Cambria" w:hAnsi="Cambria"/>
                          <w:color w:val="595959"/>
                          <w:sz w:val="18"/>
                        </w:rPr>
                        <w:t>Admissibility</w:t>
                      </w:r>
                      <w:r w:rsidR="0029701F">
                        <w:rPr>
                          <w:rFonts w:ascii="Cambria" w:hAnsi="Cambria"/>
                          <w:color w:val="595959"/>
                          <w:sz w:val="18"/>
                        </w:rPr>
                        <w:t xml:space="preserve">. </w:t>
                      </w:r>
                      <w:r>
                        <w:rPr>
                          <w:rFonts w:asciiTheme="majorHAnsi" w:hAnsiTheme="majorHAnsi"/>
                          <w:color w:val="595959" w:themeColor="text1" w:themeTint="A6"/>
                          <w:sz w:val="18"/>
                          <w:szCs w:val="18"/>
                        </w:rPr>
                        <w:t>Maria</w:t>
                      </w:r>
                      <w:r w:rsidR="00FB2AFE">
                        <w:rPr>
                          <w:rFonts w:asciiTheme="majorHAnsi" w:hAnsiTheme="majorHAnsi"/>
                          <w:color w:val="595959" w:themeColor="text1" w:themeTint="A6"/>
                          <w:sz w:val="18"/>
                          <w:szCs w:val="18"/>
                        </w:rPr>
                        <w:t xml:space="preserve"> and family</w:t>
                      </w:r>
                      <w:r w:rsidRPr="008874B2">
                        <w:rPr>
                          <w:rFonts w:ascii="Cambria" w:hAnsi="Cambria"/>
                          <w:color w:val="595959"/>
                          <w:sz w:val="18"/>
                        </w:rPr>
                        <w:t xml:space="preserve">. </w:t>
                      </w:r>
                      <w:r>
                        <w:rPr>
                          <w:rFonts w:ascii="Cambria" w:hAnsi="Cambria"/>
                          <w:color w:val="595959"/>
                          <w:sz w:val="18"/>
                        </w:rPr>
                        <w:t>Peru</w:t>
                      </w:r>
                      <w:r w:rsidRPr="008874B2">
                        <w:rPr>
                          <w:rFonts w:ascii="Cambria" w:hAnsi="Cambria"/>
                          <w:color w:val="595959"/>
                          <w:sz w:val="18"/>
                        </w:rPr>
                        <w:t xml:space="preserve">. </w:t>
                      </w:r>
                    </w:p>
                    <w:p w14:paraId="5253C81E" w14:textId="4B7C3A59" w:rsidR="000D1A20" w:rsidRPr="00476769" w:rsidRDefault="00FB2AFE" w:rsidP="00476769">
                      <w:pPr>
                        <w:rPr>
                          <w:rFonts w:ascii="Cambria" w:hAnsi="Cambria"/>
                          <w:color w:val="595959"/>
                          <w:sz w:val="18"/>
                        </w:rPr>
                      </w:pPr>
                      <w:r>
                        <w:rPr>
                          <w:rFonts w:ascii="Cambria" w:hAnsi="Cambria"/>
                          <w:color w:val="595959"/>
                          <w:sz w:val="18"/>
                        </w:rPr>
                        <w:t>March 22, 2020</w:t>
                      </w:r>
                      <w:r w:rsidR="000D1A20" w:rsidRPr="008874B2">
                        <w:rPr>
                          <w:rFonts w:ascii="Cambria" w:hAnsi="Cambria"/>
                          <w:color w:val="595959"/>
                          <w:sz w:val="18"/>
                        </w:rPr>
                        <w:t>.</w:t>
                      </w:r>
                    </w:p>
                    <w:p w14:paraId="0D1B22CF" w14:textId="33A50B23" w:rsidR="000D1A20" w:rsidRPr="00DA0133" w:rsidRDefault="000D1A20" w:rsidP="00113F73">
                      <w:pPr>
                        <w:spacing w:line="276" w:lineRule="auto"/>
                        <w:rPr>
                          <w:rFonts w:asciiTheme="majorHAnsi" w:hAnsiTheme="majorHAnsi"/>
                          <w:color w:val="595959" w:themeColor="text1" w:themeTint="A6"/>
                          <w:sz w:val="18"/>
                          <w:szCs w:val="18"/>
                          <w:lang w:val="en-GB"/>
                        </w:rPr>
                      </w:pP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36564634"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42880D18" w:rsidR="000D1A20" w:rsidRPr="00D72DC6" w:rsidRDefault="00A01CE3" w:rsidP="00F02AD1">
                            <w:pPr>
                              <w:rPr>
                                <w:color w:val="FFFFFF" w:themeColor="background1"/>
                                <w14:textFill>
                                  <w14:noFill/>
                                </w14:textFill>
                              </w:rPr>
                            </w:pPr>
                            <w:r>
                              <w:rPr>
                                <w:noProof/>
                              </w:rPr>
                              <w:drawing>
                                <wp:inline distT="0" distB="0" distL="0" distR="0" wp14:anchorId="786B3944" wp14:editId="4480E6F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42880D18" w:rsidR="000D1A20" w:rsidRPr="00D72DC6" w:rsidRDefault="00A01CE3" w:rsidP="00F02AD1">
                      <w:pPr>
                        <w:rPr>
                          <w:color w:val="FFFFFF" w:themeColor="background1"/>
                          <w14:textFill>
                            <w14:noFill/>
                          </w14:textFill>
                        </w:rPr>
                      </w:pPr>
                      <w:r>
                        <w:rPr>
                          <w:noProof/>
                        </w:rPr>
                        <w:drawing>
                          <wp:inline distT="0" distB="0" distL="0" distR="0" wp14:anchorId="786B3944" wp14:editId="4480E6F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2FE1B253" w14:textId="26D0168E" w:rsidR="0070697F" w:rsidRDefault="00FB2AFE"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55470A4F">
                <wp:simplePos x="0" y="0"/>
                <wp:positionH relativeFrom="column">
                  <wp:posOffset>-298360</wp:posOffset>
                </wp:positionH>
                <wp:positionV relativeFrom="paragraph">
                  <wp:posOffset>634637</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40569AB3" w:rsidR="000D1A20" w:rsidRPr="004B7EB6" w:rsidRDefault="000D1A2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3.5pt;margin-top:49.9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" filled="f" stroked="f" strokeweight=".5pt">
                <v:textbox>
                  <w:txbxContent>
                    <w:p w14:paraId="6EA0DBC3" w14:textId="40569AB3" w:rsidR="000D1A20" w:rsidRPr="004B7EB6" w:rsidRDefault="000D1A2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004A6A54">
        <w:rPr>
          <w:rFonts w:asciiTheme="majorHAnsi" w:hAnsiTheme="majorHAnsi"/>
          <w:b/>
          <w:sz w:val="20"/>
          <w:lang w:val="es-ES_tradnl"/>
        </w:rPr>
        <w:tab/>
      </w:r>
    </w:p>
    <w:p w14:paraId="376DDC8B" w14:textId="1DD0F3DE" w:rsidR="003239B8" w:rsidRPr="00476769" w:rsidRDefault="00476769" w:rsidP="002D75C0">
      <w:pPr>
        <w:pStyle w:val="ListParagraph"/>
        <w:numPr>
          <w:ilvl w:val="0"/>
          <w:numId w:val="111"/>
        </w:numPr>
        <w:spacing w:after="120"/>
        <w:jc w:val="both"/>
        <w:rPr>
          <w:rFonts w:asciiTheme="majorHAnsi" w:hAnsiTheme="majorHAnsi"/>
          <w:b/>
          <w:bCs/>
          <w:sz w:val="20"/>
          <w:szCs w:val="20"/>
        </w:rPr>
      </w:pPr>
      <w:r w:rsidRPr="00476769">
        <w:rPr>
          <w:rFonts w:asciiTheme="majorHAnsi" w:hAnsiTheme="majorHAnsi"/>
          <w:b/>
          <w:bCs/>
          <w:sz w:val="20"/>
          <w:szCs w:val="20"/>
        </w:rPr>
        <w:lastRenderedPageBreak/>
        <w:t>INFORMATION ABOUT THE PETITION</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90"/>
        <w:gridCol w:w="5670"/>
      </w:tblGrid>
      <w:tr w:rsidR="00476769" w:rsidRPr="008874B2" w14:paraId="4B24D5D8" w14:textId="77777777" w:rsidTr="00DF1776">
        <w:tc>
          <w:tcPr>
            <w:tcW w:w="3690" w:type="dxa"/>
            <w:tcBorders>
              <w:top w:val="single" w:sz="4" w:space="0" w:color="auto"/>
              <w:bottom w:val="single" w:sz="6" w:space="0" w:color="auto"/>
            </w:tcBorders>
            <w:shd w:val="clear" w:color="auto" w:fill="67AE3C"/>
            <w:vAlign w:val="center"/>
          </w:tcPr>
          <w:p w14:paraId="16BBD771" w14:textId="77777777" w:rsidR="00476769" w:rsidRPr="002D75C0" w:rsidRDefault="00476769" w:rsidP="00DF1776">
            <w:pPr>
              <w:jc w:val="center"/>
              <w:rPr>
                <w:rFonts w:ascii="Cambria" w:hAnsi="Cambria"/>
                <w:bCs/>
                <w:color w:val="FFFFFF"/>
                <w:sz w:val="19"/>
                <w:szCs w:val="19"/>
              </w:rPr>
            </w:pPr>
            <w:r w:rsidRPr="002D75C0">
              <w:rPr>
                <w:rFonts w:ascii="Cambria" w:hAnsi="Cambria"/>
                <w:bCs/>
                <w:color w:val="FFFFFF"/>
                <w:sz w:val="19"/>
                <w:szCs w:val="19"/>
              </w:rPr>
              <w:t>Petitioner:</w:t>
            </w:r>
          </w:p>
        </w:tc>
        <w:tc>
          <w:tcPr>
            <w:tcW w:w="5670" w:type="dxa"/>
            <w:shd w:val="clear" w:color="auto" w:fill="auto"/>
            <w:vAlign w:val="center"/>
          </w:tcPr>
          <w:p w14:paraId="3F44BD74" w14:textId="44A1A0AD" w:rsidR="00476769" w:rsidRPr="00FC60BA" w:rsidRDefault="00DA0133" w:rsidP="00DF1776">
            <w:pPr>
              <w:jc w:val="both"/>
              <w:rPr>
                <w:rFonts w:ascii="Cambria" w:hAnsi="Cambria"/>
                <w:bCs/>
                <w:sz w:val="19"/>
                <w:szCs w:val="19"/>
              </w:rPr>
            </w:pPr>
            <w:r w:rsidRPr="00FC60BA">
              <w:rPr>
                <w:rFonts w:ascii="Cambria" w:hAnsi="Cambria"/>
                <w:bCs/>
                <w:sz w:val="19"/>
                <w:szCs w:val="19"/>
              </w:rPr>
              <w:t>Center for Reproductive Rights (CRR) and others</w:t>
            </w:r>
            <w:r w:rsidRPr="00FC60BA">
              <w:rPr>
                <w:rStyle w:val="FootnoteReference"/>
                <w:rFonts w:ascii="Cambria" w:hAnsi="Cambria"/>
                <w:bCs/>
                <w:sz w:val="19"/>
                <w:szCs w:val="19"/>
              </w:rPr>
              <w:footnoteReference w:id="2"/>
            </w:r>
          </w:p>
        </w:tc>
      </w:tr>
      <w:tr w:rsidR="00476769" w:rsidRPr="008874B2" w14:paraId="0573838C" w14:textId="77777777" w:rsidTr="00DF1776">
        <w:tc>
          <w:tcPr>
            <w:tcW w:w="3690" w:type="dxa"/>
            <w:tcBorders>
              <w:top w:val="single" w:sz="6" w:space="0" w:color="auto"/>
              <w:bottom w:val="single" w:sz="6" w:space="0" w:color="auto"/>
            </w:tcBorders>
            <w:shd w:val="clear" w:color="auto" w:fill="67AE3C"/>
            <w:vAlign w:val="center"/>
          </w:tcPr>
          <w:p w14:paraId="5F2C9CFA" w14:textId="77777777" w:rsidR="00476769" w:rsidRPr="002D75C0" w:rsidRDefault="00476769" w:rsidP="00DF1776">
            <w:pPr>
              <w:jc w:val="center"/>
              <w:rPr>
                <w:rFonts w:ascii="Cambria" w:hAnsi="Cambria"/>
                <w:bCs/>
                <w:color w:val="FFFFFF"/>
                <w:sz w:val="19"/>
                <w:szCs w:val="19"/>
              </w:rPr>
            </w:pPr>
            <w:r w:rsidRPr="002D75C0">
              <w:rPr>
                <w:rFonts w:ascii="Cambria" w:hAnsi="Cambria"/>
                <w:bCs/>
                <w:color w:val="FFFFFF"/>
                <w:sz w:val="19"/>
                <w:szCs w:val="19"/>
              </w:rPr>
              <w:t>Alleged victim:</w:t>
            </w:r>
          </w:p>
        </w:tc>
        <w:tc>
          <w:tcPr>
            <w:tcW w:w="5670" w:type="dxa"/>
            <w:shd w:val="clear" w:color="auto" w:fill="auto"/>
            <w:vAlign w:val="center"/>
          </w:tcPr>
          <w:p w14:paraId="4D8F1709" w14:textId="70FFACA7" w:rsidR="00476769" w:rsidRPr="00FC60BA" w:rsidRDefault="00DA0133" w:rsidP="00DF1776">
            <w:pPr>
              <w:jc w:val="both"/>
              <w:rPr>
                <w:rFonts w:ascii="Cambria" w:hAnsi="Cambria"/>
                <w:bCs/>
                <w:sz w:val="19"/>
                <w:szCs w:val="19"/>
              </w:rPr>
            </w:pPr>
            <w:r w:rsidRPr="00FC60BA">
              <w:rPr>
                <w:rFonts w:ascii="Cambria" w:hAnsi="Cambria"/>
                <w:bCs/>
                <w:sz w:val="19"/>
                <w:szCs w:val="19"/>
              </w:rPr>
              <w:t>Maria</w:t>
            </w:r>
            <w:r w:rsidRPr="00FC60BA">
              <w:rPr>
                <w:rStyle w:val="FootnoteReference"/>
                <w:rFonts w:ascii="Cambria" w:hAnsi="Cambria"/>
                <w:bCs/>
                <w:sz w:val="19"/>
                <w:szCs w:val="19"/>
              </w:rPr>
              <w:footnoteReference w:id="3"/>
            </w:r>
            <w:r w:rsidRPr="00FC60BA">
              <w:rPr>
                <w:rFonts w:ascii="Cambria" w:hAnsi="Cambria"/>
                <w:bCs/>
                <w:sz w:val="19"/>
                <w:szCs w:val="19"/>
              </w:rPr>
              <w:t xml:space="preserve"> and family</w:t>
            </w:r>
          </w:p>
        </w:tc>
      </w:tr>
      <w:tr w:rsidR="00476769" w:rsidRPr="008874B2" w14:paraId="5880B58E" w14:textId="77777777" w:rsidTr="00DF1776">
        <w:tc>
          <w:tcPr>
            <w:tcW w:w="3690" w:type="dxa"/>
            <w:tcBorders>
              <w:top w:val="single" w:sz="6" w:space="0" w:color="auto"/>
              <w:bottom w:val="single" w:sz="6" w:space="0" w:color="auto"/>
            </w:tcBorders>
            <w:shd w:val="clear" w:color="auto" w:fill="67AE3C"/>
            <w:vAlign w:val="center"/>
          </w:tcPr>
          <w:p w14:paraId="3B8A4C14" w14:textId="77777777" w:rsidR="00476769" w:rsidRPr="002D75C0" w:rsidRDefault="00476769" w:rsidP="00DF1776">
            <w:pPr>
              <w:jc w:val="center"/>
              <w:rPr>
                <w:rFonts w:ascii="Cambria" w:hAnsi="Cambria"/>
                <w:bCs/>
                <w:color w:val="FFFFFF"/>
                <w:sz w:val="19"/>
                <w:szCs w:val="19"/>
              </w:rPr>
            </w:pPr>
            <w:r w:rsidRPr="002D75C0">
              <w:rPr>
                <w:rFonts w:ascii="Cambria" w:hAnsi="Cambria"/>
                <w:bCs/>
                <w:color w:val="FFFFFF"/>
                <w:sz w:val="19"/>
                <w:szCs w:val="19"/>
              </w:rPr>
              <w:t>Respondent State:</w:t>
            </w:r>
          </w:p>
        </w:tc>
        <w:tc>
          <w:tcPr>
            <w:tcW w:w="5670" w:type="dxa"/>
            <w:shd w:val="clear" w:color="auto" w:fill="auto"/>
            <w:vAlign w:val="center"/>
          </w:tcPr>
          <w:p w14:paraId="43957A46" w14:textId="0D6826BF" w:rsidR="00476769" w:rsidRPr="00FC60BA" w:rsidRDefault="00476769" w:rsidP="00DF1776">
            <w:pPr>
              <w:jc w:val="both"/>
              <w:rPr>
                <w:rFonts w:ascii="Cambria" w:hAnsi="Cambria"/>
                <w:bCs/>
                <w:sz w:val="19"/>
                <w:szCs w:val="19"/>
              </w:rPr>
            </w:pPr>
            <w:r w:rsidRPr="00FC60BA">
              <w:rPr>
                <w:rFonts w:ascii="Cambria" w:hAnsi="Cambria"/>
                <w:bCs/>
                <w:sz w:val="19"/>
                <w:szCs w:val="19"/>
              </w:rPr>
              <w:t>Peru</w:t>
            </w:r>
            <w:r w:rsidR="00DA0133" w:rsidRPr="00FC60BA">
              <w:rPr>
                <w:rStyle w:val="FootnoteReference"/>
                <w:rFonts w:ascii="Cambria" w:hAnsi="Cambria"/>
                <w:bCs/>
                <w:sz w:val="19"/>
                <w:szCs w:val="19"/>
              </w:rPr>
              <w:footnoteReference w:id="4"/>
            </w:r>
          </w:p>
        </w:tc>
      </w:tr>
      <w:tr w:rsidR="00476769" w:rsidRPr="008874B2" w14:paraId="71B0D333" w14:textId="77777777" w:rsidTr="00DF1776">
        <w:tc>
          <w:tcPr>
            <w:tcW w:w="3690" w:type="dxa"/>
            <w:tcBorders>
              <w:top w:val="single" w:sz="6" w:space="0" w:color="auto"/>
              <w:bottom w:val="single" w:sz="6" w:space="0" w:color="auto"/>
            </w:tcBorders>
            <w:shd w:val="clear" w:color="auto" w:fill="67AE3C"/>
            <w:vAlign w:val="center"/>
          </w:tcPr>
          <w:p w14:paraId="5CC1F887" w14:textId="77777777" w:rsidR="00476769" w:rsidRPr="002D75C0" w:rsidRDefault="00476769" w:rsidP="00DF1776">
            <w:pPr>
              <w:jc w:val="center"/>
              <w:rPr>
                <w:rFonts w:ascii="Cambria" w:hAnsi="Cambria"/>
                <w:bCs/>
                <w:color w:val="FFFFFF"/>
                <w:sz w:val="19"/>
                <w:szCs w:val="19"/>
              </w:rPr>
            </w:pPr>
            <w:r w:rsidRPr="002D75C0">
              <w:rPr>
                <w:rFonts w:ascii="Cambria" w:hAnsi="Cambria"/>
                <w:bCs/>
                <w:color w:val="FFFFFF"/>
                <w:sz w:val="19"/>
                <w:szCs w:val="19"/>
              </w:rPr>
              <w:t>Rights invoked:</w:t>
            </w:r>
          </w:p>
        </w:tc>
        <w:tc>
          <w:tcPr>
            <w:tcW w:w="5670" w:type="dxa"/>
            <w:shd w:val="clear" w:color="auto" w:fill="auto"/>
            <w:vAlign w:val="center"/>
          </w:tcPr>
          <w:p w14:paraId="18683B1F" w14:textId="353D1A2A" w:rsidR="00476769" w:rsidRPr="00FC60BA" w:rsidRDefault="00DA0133" w:rsidP="0029701F">
            <w:pPr>
              <w:jc w:val="both"/>
              <w:rPr>
                <w:rFonts w:ascii="Cambria" w:hAnsi="Cambria"/>
                <w:bCs/>
                <w:sz w:val="19"/>
                <w:szCs w:val="19"/>
                <w:lang w:val="en-GB"/>
              </w:rPr>
            </w:pPr>
            <w:r w:rsidRPr="00FC60BA">
              <w:rPr>
                <w:rFonts w:ascii="Cambria" w:hAnsi="Cambria"/>
                <w:bCs/>
                <w:sz w:val="19"/>
                <w:szCs w:val="19"/>
              </w:rPr>
              <w:t>Articles 5 (</w:t>
            </w:r>
            <w:r w:rsidR="0029701F" w:rsidRPr="00FC60BA">
              <w:rPr>
                <w:rFonts w:ascii="Cambria" w:hAnsi="Cambria"/>
                <w:bCs/>
                <w:sz w:val="19"/>
                <w:szCs w:val="19"/>
              </w:rPr>
              <w:t>humane treatment</w:t>
            </w:r>
            <w:r w:rsidRPr="00FC60BA">
              <w:rPr>
                <w:rFonts w:ascii="Cambria" w:hAnsi="Cambria"/>
                <w:bCs/>
                <w:sz w:val="19"/>
                <w:szCs w:val="19"/>
              </w:rPr>
              <w:t xml:space="preserve">), 7 (personal </w:t>
            </w:r>
            <w:r w:rsidR="0029701F" w:rsidRPr="00FC60BA">
              <w:rPr>
                <w:rFonts w:ascii="Cambria" w:hAnsi="Cambria"/>
                <w:bCs/>
                <w:sz w:val="19"/>
                <w:szCs w:val="19"/>
              </w:rPr>
              <w:t>liberty</w:t>
            </w:r>
            <w:r w:rsidRPr="00FC60BA">
              <w:rPr>
                <w:rFonts w:ascii="Cambria" w:hAnsi="Cambria"/>
                <w:bCs/>
                <w:sz w:val="19"/>
                <w:szCs w:val="19"/>
              </w:rPr>
              <w:t>), 8 (</w:t>
            </w:r>
            <w:r w:rsidR="0029701F" w:rsidRPr="00FC60BA">
              <w:rPr>
                <w:rFonts w:ascii="Cambria" w:hAnsi="Cambria"/>
                <w:bCs/>
                <w:sz w:val="19"/>
                <w:szCs w:val="19"/>
              </w:rPr>
              <w:t>fair trial</w:t>
            </w:r>
            <w:r w:rsidRPr="00FC60BA">
              <w:rPr>
                <w:rFonts w:ascii="Cambria" w:hAnsi="Cambria"/>
                <w:bCs/>
                <w:sz w:val="19"/>
                <w:szCs w:val="19"/>
              </w:rPr>
              <w:t>),</w:t>
            </w:r>
            <w:r w:rsidR="0029701F" w:rsidRPr="00FC60BA">
              <w:rPr>
                <w:rFonts w:ascii="Cambria" w:hAnsi="Cambria"/>
                <w:bCs/>
                <w:sz w:val="19"/>
                <w:szCs w:val="19"/>
              </w:rPr>
              <w:t xml:space="preserve"> </w:t>
            </w:r>
            <w:r w:rsidRPr="00FC60BA">
              <w:rPr>
                <w:rFonts w:ascii="Cambria" w:hAnsi="Cambria"/>
                <w:bCs/>
                <w:sz w:val="19"/>
                <w:szCs w:val="19"/>
              </w:rPr>
              <w:t>11 (</w:t>
            </w:r>
            <w:r w:rsidR="0029701F" w:rsidRPr="00FC60BA">
              <w:rPr>
                <w:rFonts w:ascii="Cambria" w:hAnsi="Cambria"/>
                <w:bCs/>
                <w:sz w:val="19"/>
                <w:szCs w:val="19"/>
              </w:rPr>
              <w:t>privacy</w:t>
            </w:r>
            <w:r w:rsidRPr="00FC60BA">
              <w:rPr>
                <w:rFonts w:ascii="Cambria" w:hAnsi="Cambria"/>
                <w:bCs/>
                <w:sz w:val="19"/>
                <w:szCs w:val="19"/>
              </w:rPr>
              <w:t>), 25 (judicial protection), 26 (economic, social and cultural rights) of the American Convention of Human Rights</w:t>
            </w:r>
            <w:r w:rsidRPr="00FC60BA">
              <w:rPr>
                <w:rStyle w:val="FootnoteReference"/>
                <w:rFonts w:ascii="Cambria" w:hAnsi="Cambria"/>
                <w:bCs/>
                <w:sz w:val="19"/>
                <w:szCs w:val="19"/>
              </w:rPr>
              <w:footnoteReference w:id="5"/>
            </w:r>
            <w:r w:rsidRPr="00FC60BA">
              <w:rPr>
                <w:rFonts w:ascii="Cambria" w:hAnsi="Cambria"/>
                <w:bCs/>
                <w:sz w:val="19"/>
                <w:szCs w:val="19"/>
              </w:rPr>
              <w:t xml:space="preserve"> in relation to art 1.1 (obligation to respect</w:t>
            </w:r>
            <w:r w:rsidR="00BF2B4E" w:rsidRPr="00FC60BA">
              <w:rPr>
                <w:rFonts w:ascii="Cambria" w:hAnsi="Cambria"/>
                <w:bCs/>
                <w:sz w:val="19"/>
                <w:szCs w:val="19"/>
              </w:rPr>
              <w:t xml:space="preserve"> rights</w:t>
            </w:r>
            <w:r w:rsidRPr="00FC60BA">
              <w:rPr>
                <w:rFonts w:ascii="Cambria" w:hAnsi="Cambria"/>
                <w:bCs/>
                <w:sz w:val="19"/>
                <w:szCs w:val="19"/>
              </w:rPr>
              <w:t xml:space="preserve">); and </w:t>
            </w:r>
            <w:r w:rsidR="004854C1">
              <w:rPr>
                <w:rFonts w:ascii="Cambria" w:hAnsi="Cambria"/>
                <w:bCs/>
                <w:sz w:val="19"/>
                <w:szCs w:val="19"/>
              </w:rPr>
              <w:t>Article</w:t>
            </w:r>
            <w:r w:rsidRPr="00FC60BA">
              <w:rPr>
                <w:rFonts w:ascii="Cambria" w:hAnsi="Cambria"/>
                <w:bCs/>
                <w:sz w:val="19"/>
                <w:szCs w:val="19"/>
              </w:rPr>
              <w:t xml:space="preserve"> 7 of the </w:t>
            </w:r>
            <w:r w:rsidR="00DA32B3" w:rsidRPr="00FC60BA">
              <w:rPr>
                <w:rFonts w:ascii="Cambria" w:hAnsi="Cambria"/>
                <w:bCs/>
                <w:sz w:val="19"/>
                <w:szCs w:val="19"/>
              </w:rPr>
              <w:t>Inter-American Convention on the Prevention, Punishment, and Eradication of Violence against Women.</w:t>
            </w:r>
            <w:r w:rsidR="0084700E" w:rsidRPr="00FC60BA">
              <w:rPr>
                <w:rStyle w:val="FootnoteReference"/>
                <w:rFonts w:ascii="Cambria" w:hAnsi="Cambria"/>
                <w:bCs/>
                <w:sz w:val="19"/>
                <w:szCs w:val="19"/>
              </w:rPr>
              <w:footnoteReference w:id="6"/>
            </w:r>
            <w:r w:rsidR="0084700E" w:rsidRPr="00FC60BA">
              <w:rPr>
                <w:rFonts w:ascii="Cambria" w:hAnsi="Cambria"/>
                <w:bCs/>
                <w:sz w:val="19"/>
                <w:szCs w:val="19"/>
              </w:rPr>
              <w:t xml:space="preserve"> </w:t>
            </w:r>
          </w:p>
        </w:tc>
      </w:tr>
    </w:tbl>
    <w:p w14:paraId="20263696" w14:textId="69B78D01" w:rsidR="003239B8" w:rsidRPr="006D45C9" w:rsidRDefault="006D45C9" w:rsidP="002D75C0">
      <w:pPr>
        <w:pStyle w:val="ListParagraph"/>
        <w:numPr>
          <w:ilvl w:val="0"/>
          <w:numId w:val="111"/>
        </w:numPr>
        <w:spacing w:before="120" w:after="120"/>
        <w:jc w:val="both"/>
        <w:rPr>
          <w:rFonts w:asciiTheme="majorHAnsi" w:hAnsiTheme="majorHAnsi"/>
          <w:b/>
          <w:bCs/>
          <w:sz w:val="20"/>
          <w:szCs w:val="20"/>
        </w:rPr>
      </w:pPr>
      <w:r w:rsidRPr="006D45C9">
        <w:rPr>
          <w:rFonts w:asciiTheme="majorHAnsi" w:hAnsiTheme="majorHAnsi"/>
          <w:b/>
          <w:bCs/>
          <w:sz w:val="20"/>
          <w:szCs w:val="20"/>
        </w:rPr>
        <w:t>PROCEEDINGS BEFORE THE IACHR</w:t>
      </w:r>
      <w:r w:rsidR="008E3BFE" w:rsidRPr="008E3BFE">
        <w:rPr>
          <w:rStyle w:val="FootnoteReference"/>
          <w:b/>
          <w:sz w:val="20"/>
          <w:szCs w:val="20"/>
        </w:rPr>
        <w:footnoteReference w:id="7"/>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90"/>
        <w:gridCol w:w="5670"/>
      </w:tblGrid>
      <w:tr w:rsidR="006D45C9" w:rsidRPr="008874B2" w14:paraId="26BB759A" w14:textId="77777777" w:rsidTr="00DF1776">
        <w:tc>
          <w:tcPr>
            <w:tcW w:w="3690" w:type="dxa"/>
            <w:tcBorders>
              <w:top w:val="single" w:sz="6" w:space="0" w:color="auto"/>
              <w:bottom w:val="single" w:sz="6" w:space="0" w:color="auto"/>
            </w:tcBorders>
            <w:shd w:val="clear" w:color="auto" w:fill="67AE3C"/>
            <w:vAlign w:val="center"/>
          </w:tcPr>
          <w:p w14:paraId="6184F6CA" w14:textId="77777777" w:rsidR="006D45C9" w:rsidRPr="002D75C0" w:rsidRDefault="006D45C9" w:rsidP="00DF1776">
            <w:pPr>
              <w:jc w:val="center"/>
              <w:rPr>
                <w:rFonts w:ascii="Cambria" w:hAnsi="Cambria"/>
                <w:bCs/>
                <w:color w:val="FFFFFF"/>
                <w:sz w:val="19"/>
                <w:szCs w:val="19"/>
              </w:rPr>
            </w:pPr>
            <w:r w:rsidRPr="002D75C0">
              <w:rPr>
                <w:rFonts w:ascii="Cambria" w:hAnsi="Cambria"/>
                <w:bCs/>
                <w:color w:val="FFFFFF"/>
                <w:sz w:val="19"/>
                <w:szCs w:val="19"/>
              </w:rPr>
              <w:t>Filing of the petition:</w:t>
            </w:r>
          </w:p>
        </w:tc>
        <w:tc>
          <w:tcPr>
            <w:tcW w:w="5670" w:type="dxa"/>
            <w:shd w:val="clear" w:color="auto" w:fill="auto"/>
            <w:vAlign w:val="center"/>
          </w:tcPr>
          <w:p w14:paraId="44FC865D" w14:textId="5B0C2214" w:rsidR="006D45C9" w:rsidRPr="00FC60BA" w:rsidRDefault="0084700E" w:rsidP="00DF1776">
            <w:pPr>
              <w:jc w:val="both"/>
              <w:rPr>
                <w:rFonts w:ascii="Cambria" w:hAnsi="Cambria"/>
                <w:bCs/>
                <w:sz w:val="19"/>
                <w:szCs w:val="19"/>
              </w:rPr>
            </w:pPr>
            <w:r w:rsidRPr="00FC60BA">
              <w:rPr>
                <w:rFonts w:ascii="Cambria" w:hAnsi="Cambria"/>
                <w:bCs/>
                <w:sz w:val="19"/>
                <w:szCs w:val="19"/>
              </w:rPr>
              <w:t>March 17, 2016</w:t>
            </w:r>
          </w:p>
        </w:tc>
      </w:tr>
      <w:tr w:rsidR="006D45C9" w:rsidRPr="008874B2" w14:paraId="5858BBF8" w14:textId="77777777" w:rsidTr="00DF1776">
        <w:tc>
          <w:tcPr>
            <w:tcW w:w="3690" w:type="dxa"/>
            <w:tcBorders>
              <w:top w:val="single" w:sz="6" w:space="0" w:color="auto"/>
              <w:bottom w:val="single" w:sz="6" w:space="0" w:color="auto"/>
            </w:tcBorders>
            <w:shd w:val="clear" w:color="auto" w:fill="67AE3C"/>
            <w:vAlign w:val="center"/>
          </w:tcPr>
          <w:p w14:paraId="3D8BACD3" w14:textId="77777777" w:rsidR="006D45C9" w:rsidRPr="002D75C0" w:rsidRDefault="006D45C9" w:rsidP="00DF1776">
            <w:pPr>
              <w:jc w:val="center"/>
              <w:rPr>
                <w:rFonts w:ascii="Cambria" w:hAnsi="Cambria"/>
                <w:bCs/>
                <w:color w:val="FFFFFF"/>
                <w:sz w:val="19"/>
                <w:szCs w:val="19"/>
              </w:rPr>
            </w:pPr>
            <w:r w:rsidRPr="002D75C0">
              <w:rPr>
                <w:rFonts w:ascii="Cambria" w:hAnsi="Cambria"/>
                <w:color w:val="FFFFFF"/>
                <w:sz w:val="19"/>
                <w:szCs w:val="19"/>
              </w:rPr>
              <w:t>Notification of the petition to the State:</w:t>
            </w:r>
          </w:p>
        </w:tc>
        <w:tc>
          <w:tcPr>
            <w:tcW w:w="5670" w:type="dxa"/>
            <w:shd w:val="clear" w:color="auto" w:fill="auto"/>
            <w:vAlign w:val="center"/>
          </w:tcPr>
          <w:p w14:paraId="3271F1DF" w14:textId="29B2CF61" w:rsidR="006D45C9" w:rsidRPr="00FC60BA" w:rsidRDefault="0084700E" w:rsidP="00DF1776">
            <w:pPr>
              <w:jc w:val="both"/>
              <w:rPr>
                <w:rFonts w:ascii="Cambria" w:hAnsi="Cambria"/>
                <w:bCs/>
                <w:sz w:val="19"/>
                <w:szCs w:val="19"/>
              </w:rPr>
            </w:pPr>
            <w:r w:rsidRPr="00FC60BA">
              <w:rPr>
                <w:rFonts w:ascii="Cambria" w:hAnsi="Cambria"/>
                <w:bCs/>
                <w:sz w:val="19"/>
                <w:szCs w:val="19"/>
              </w:rPr>
              <w:t>July 17, 2018</w:t>
            </w:r>
          </w:p>
        </w:tc>
      </w:tr>
      <w:tr w:rsidR="006D45C9" w:rsidRPr="008874B2" w14:paraId="5F7E29A6" w14:textId="77777777" w:rsidTr="00DF1776">
        <w:trPr>
          <w:trHeight w:val="264"/>
        </w:trPr>
        <w:tc>
          <w:tcPr>
            <w:tcW w:w="3690" w:type="dxa"/>
            <w:tcBorders>
              <w:top w:val="single" w:sz="6" w:space="0" w:color="auto"/>
              <w:bottom w:val="single" w:sz="6" w:space="0" w:color="auto"/>
            </w:tcBorders>
            <w:shd w:val="clear" w:color="auto" w:fill="67AE3C"/>
            <w:vAlign w:val="center"/>
          </w:tcPr>
          <w:p w14:paraId="5F300FA1" w14:textId="77777777" w:rsidR="006D45C9" w:rsidRPr="002D75C0" w:rsidRDefault="006D45C9" w:rsidP="00DF1776">
            <w:pPr>
              <w:jc w:val="center"/>
              <w:rPr>
                <w:rFonts w:ascii="Cambria" w:hAnsi="Cambria"/>
                <w:bCs/>
                <w:color w:val="FFFFFF"/>
                <w:sz w:val="19"/>
                <w:szCs w:val="19"/>
              </w:rPr>
            </w:pPr>
            <w:r w:rsidRPr="002D75C0">
              <w:rPr>
                <w:rFonts w:ascii="Cambria" w:hAnsi="Cambria"/>
                <w:color w:val="FFFFFF"/>
                <w:sz w:val="19"/>
                <w:szCs w:val="19"/>
              </w:rPr>
              <w:t>State’s first response:</w:t>
            </w:r>
          </w:p>
        </w:tc>
        <w:tc>
          <w:tcPr>
            <w:tcW w:w="5670" w:type="dxa"/>
            <w:shd w:val="clear" w:color="auto" w:fill="auto"/>
            <w:vAlign w:val="center"/>
          </w:tcPr>
          <w:p w14:paraId="51D47AF7" w14:textId="39B1A00E" w:rsidR="006D45C9" w:rsidRPr="00FC60BA" w:rsidRDefault="0084700E" w:rsidP="00DF1776">
            <w:pPr>
              <w:jc w:val="both"/>
              <w:rPr>
                <w:rFonts w:ascii="Cambria" w:hAnsi="Cambria"/>
                <w:bCs/>
                <w:sz w:val="19"/>
                <w:szCs w:val="19"/>
              </w:rPr>
            </w:pPr>
            <w:r w:rsidRPr="00FC60BA">
              <w:rPr>
                <w:rFonts w:ascii="Cambria" w:hAnsi="Cambria"/>
                <w:bCs/>
                <w:sz w:val="19"/>
                <w:szCs w:val="19"/>
              </w:rPr>
              <w:t>October 18, 2018</w:t>
            </w:r>
            <w:r w:rsidR="006D45C9" w:rsidRPr="00FC60BA">
              <w:rPr>
                <w:rFonts w:ascii="Cambria" w:hAnsi="Cambria"/>
                <w:bCs/>
                <w:sz w:val="19"/>
                <w:szCs w:val="19"/>
              </w:rPr>
              <w:t xml:space="preserve"> </w:t>
            </w:r>
          </w:p>
        </w:tc>
      </w:tr>
      <w:tr w:rsidR="006D45C9" w:rsidRPr="008874B2" w14:paraId="5197796F" w14:textId="77777777" w:rsidTr="00DF1776">
        <w:tc>
          <w:tcPr>
            <w:tcW w:w="3690" w:type="dxa"/>
            <w:tcBorders>
              <w:top w:val="single" w:sz="6" w:space="0" w:color="auto"/>
              <w:bottom w:val="single" w:sz="6" w:space="0" w:color="auto"/>
            </w:tcBorders>
            <w:shd w:val="clear" w:color="auto" w:fill="67AE3C"/>
            <w:vAlign w:val="center"/>
          </w:tcPr>
          <w:p w14:paraId="0610AFEE" w14:textId="77777777" w:rsidR="006D45C9" w:rsidRPr="002D75C0" w:rsidRDefault="006D45C9" w:rsidP="00DF1776">
            <w:pPr>
              <w:jc w:val="center"/>
              <w:rPr>
                <w:rFonts w:ascii="Cambria" w:hAnsi="Cambria"/>
                <w:bCs/>
                <w:color w:val="FFFFFF"/>
                <w:sz w:val="19"/>
                <w:szCs w:val="19"/>
              </w:rPr>
            </w:pPr>
            <w:r w:rsidRPr="002D75C0">
              <w:rPr>
                <w:rFonts w:ascii="Cambria" w:hAnsi="Cambria"/>
                <w:bCs/>
                <w:color w:val="FFFFFF"/>
                <w:sz w:val="19"/>
                <w:szCs w:val="19"/>
              </w:rPr>
              <w:t>Additional observations from the petitioner:</w:t>
            </w:r>
          </w:p>
        </w:tc>
        <w:tc>
          <w:tcPr>
            <w:tcW w:w="5670" w:type="dxa"/>
            <w:shd w:val="clear" w:color="auto" w:fill="auto"/>
            <w:vAlign w:val="center"/>
          </w:tcPr>
          <w:p w14:paraId="493A0325" w14:textId="3F355FA0" w:rsidR="006D45C9" w:rsidRPr="00FC60BA" w:rsidRDefault="0084700E" w:rsidP="002D75C0">
            <w:pPr>
              <w:jc w:val="both"/>
              <w:rPr>
                <w:rFonts w:ascii="Cambria" w:hAnsi="Cambria"/>
                <w:bCs/>
                <w:sz w:val="19"/>
                <w:szCs w:val="19"/>
              </w:rPr>
            </w:pPr>
            <w:r w:rsidRPr="00FC60BA">
              <w:rPr>
                <w:rFonts w:ascii="Cambria" w:hAnsi="Cambria"/>
                <w:bCs/>
                <w:sz w:val="19"/>
                <w:szCs w:val="19"/>
              </w:rPr>
              <w:t>November 2, 2016, May 26, 201</w:t>
            </w:r>
            <w:r w:rsidR="002D75C0" w:rsidRPr="00FC60BA">
              <w:rPr>
                <w:rFonts w:ascii="Cambria" w:hAnsi="Cambria"/>
                <w:bCs/>
                <w:sz w:val="19"/>
                <w:szCs w:val="19"/>
              </w:rPr>
              <w:t>7, February 27, 2018, February </w:t>
            </w:r>
            <w:r w:rsidRPr="00FC60BA">
              <w:rPr>
                <w:rFonts w:ascii="Cambria" w:hAnsi="Cambria"/>
                <w:bCs/>
                <w:sz w:val="19"/>
                <w:szCs w:val="19"/>
              </w:rPr>
              <w:t>1, 2019, April 25, 2019</w:t>
            </w:r>
          </w:p>
        </w:tc>
      </w:tr>
      <w:tr w:rsidR="006D45C9" w:rsidRPr="008874B2" w14:paraId="193F014E" w14:textId="77777777" w:rsidTr="00DF1776">
        <w:tc>
          <w:tcPr>
            <w:tcW w:w="3690" w:type="dxa"/>
            <w:tcBorders>
              <w:top w:val="single" w:sz="6" w:space="0" w:color="auto"/>
              <w:bottom w:val="single" w:sz="6" w:space="0" w:color="auto"/>
            </w:tcBorders>
            <w:shd w:val="clear" w:color="auto" w:fill="67AE3C"/>
            <w:vAlign w:val="center"/>
          </w:tcPr>
          <w:p w14:paraId="3B1A6CBE" w14:textId="77777777" w:rsidR="006D45C9" w:rsidRPr="002D75C0" w:rsidRDefault="006D45C9" w:rsidP="00DF1776">
            <w:pPr>
              <w:jc w:val="center"/>
              <w:rPr>
                <w:rFonts w:ascii="Cambria" w:hAnsi="Cambria"/>
                <w:bCs/>
                <w:color w:val="FFFFFF"/>
                <w:sz w:val="19"/>
                <w:szCs w:val="19"/>
              </w:rPr>
            </w:pPr>
            <w:r w:rsidRPr="002D75C0">
              <w:rPr>
                <w:rFonts w:ascii="Cambria" w:hAnsi="Cambria"/>
                <w:bCs/>
                <w:color w:val="FFFFFF"/>
                <w:sz w:val="19"/>
                <w:szCs w:val="19"/>
              </w:rPr>
              <w:t>Additional observations from the State:</w:t>
            </w:r>
          </w:p>
        </w:tc>
        <w:tc>
          <w:tcPr>
            <w:tcW w:w="5670" w:type="dxa"/>
            <w:shd w:val="clear" w:color="auto" w:fill="auto"/>
            <w:vAlign w:val="center"/>
          </w:tcPr>
          <w:p w14:paraId="7FCA918E" w14:textId="3D36E131" w:rsidR="006D45C9" w:rsidRPr="00FC60BA" w:rsidRDefault="0084700E" w:rsidP="00DF1776">
            <w:pPr>
              <w:jc w:val="both"/>
              <w:rPr>
                <w:rFonts w:ascii="Cambria" w:hAnsi="Cambria"/>
                <w:bCs/>
                <w:sz w:val="19"/>
                <w:szCs w:val="19"/>
              </w:rPr>
            </w:pPr>
            <w:r w:rsidRPr="00FC60BA">
              <w:rPr>
                <w:rFonts w:ascii="Cambria" w:hAnsi="Cambria"/>
                <w:bCs/>
                <w:sz w:val="19"/>
                <w:szCs w:val="19"/>
              </w:rPr>
              <w:t>October 2, 2019</w:t>
            </w:r>
          </w:p>
        </w:tc>
      </w:tr>
    </w:tbl>
    <w:p w14:paraId="4E5087F8" w14:textId="027D17A1" w:rsidR="006D45C9" w:rsidRPr="006D45C9" w:rsidRDefault="003239B8" w:rsidP="002D75C0">
      <w:pPr>
        <w:pStyle w:val="ListParagraph"/>
        <w:numPr>
          <w:ilvl w:val="0"/>
          <w:numId w:val="111"/>
        </w:numPr>
        <w:spacing w:before="120" w:after="120"/>
        <w:jc w:val="both"/>
        <w:rPr>
          <w:rFonts w:asciiTheme="majorHAnsi" w:hAnsiTheme="majorHAnsi"/>
          <w:b/>
          <w:bCs/>
          <w:sz w:val="20"/>
          <w:szCs w:val="20"/>
          <w:lang w:val="es-ES"/>
        </w:rPr>
      </w:pPr>
      <w:r w:rsidRPr="006D45C9">
        <w:rPr>
          <w:rFonts w:asciiTheme="majorHAnsi" w:hAnsiTheme="majorHAnsi"/>
          <w:b/>
          <w:bCs/>
          <w:sz w:val="20"/>
          <w:szCs w:val="20"/>
          <w:lang w:val="es-ES"/>
        </w:rPr>
        <w:t>C</w:t>
      </w:r>
      <w:r w:rsidR="006D45C9" w:rsidRPr="006D45C9">
        <w:rPr>
          <w:rFonts w:asciiTheme="majorHAnsi" w:hAnsiTheme="majorHAnsi"/>
          <w:b/>
          <w:bCs/>
          <w:sz w:val="20"/>
          <w:szCs w:val="20"/>
          <w:lang w:val="es-ES"/>
        </w:rPr>
        <w:t>OMPETENCE</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90"/>
        <w:gridCol w:w="5670"/>
      </w:tblGrid>
      <w:tr w:rsidR="006D45C9" w:rsidRPr="008874B2" w14:paraId="1C600EE0" w14:textId="77777777" w:rsidTr="00DF1776">
        <w:trPr>
          <w:cantSplit/>
        </w:trPr>
        <w:tc>
          <w:tcPr>
            <w:tcW w:w="3690" w:type="dxa"/>
            <w:tcBorders>
              <w:top w:val="single" w:sz="4" w:space="0" w:color="auto"/>
              <w:bottom w:val="single" w:sz="6" w:space="0" w:color="auto"/>
            </w:tcBorders>
            <w:shd w:val="clear" w:color="auto" w:fill="67AE3C"/>
            <w:vAlign w:val="center"/>
          </w:tcPr>
          <w:p w14:paraId="5EC86450" w14:textId="77777777" w:rsidR="006D45C9" w:rsidRPr="002D75C0" w:rsidRDefault="006D45C9" w:rsidP="00DF1776">
            <w:pPr>
              <w:jc w:val="center"/>
              <w:rPr>
                <w:rFonts w:ascii="Cambria" w:hAnsi="Cambria"/>
                <w:bCs/>
                <w:i/>
                <w:color w:val="FFFFFF"/>
                <w:sz w:val="19"/>
                <w:szCs w:val="19"/>
              </w:rPr>
            </w:pPr>
            <w:r w:rsidRPr="002D75C0">
              <w:rPr>
                <w:rFonts w:ascii="Cambria" w:hAnsi="Cambria"/>
                <w:bCs/>
                <w:color w:val="FFFFFF"/>
                <w:sz w:val="19"/>
                <w:szCs w:val="19"/>
              </w:rPr>
              <w:t>Competence</w:t>
            </w:r>
            <w:r w:rsidRPr="002D75C0">
              <w:rPr>
                <w:rFonts w:ascii="Cambria" w:hAnsi="Cambria"/>
                <w:bCs/>
                <w:i/>
                <w:color w:val="FFFFFF"/>
                <w:sz w:val="19"/>
                <w:szCs w:val="19"/>
              </w:rPr>
              <w:t xml:space="preserve"> Ratione personae:</w:t>
            </w:r>
          </w:p>
        </w:tc>
        <w:tc>
          <w:tcPr>
            <w:tcW w:w="5670" w:type="dxa"/>
            <w:shd w:val="clear" w:color="auto" w:fill="auto"/>
            <w:vAlign w:val="center"/>
          </w:tcPr>
          <w:p w14:paraId="48BD2C7A" w14:textId="77777777" w:rsidR="006D45C9" w:rsidRPr="00FC60BA" w:rsidRDefault="006D45C9" w:rsidP="00DF1776">
            <w:pPr>
              <w:rPr>
                <w:rFonts w:ascii="Cambria" w:hAnsi="Cambria"/>
                <w:bCs/>
                <w:sz w:val="19"/>
                <w:szCs w:val="19"/>
              </w:rPr>
            </w:pPr>
            <w:r w:rsidRPr="00FC60BA">
              <w:rPr>
                <w:rFonts w:ascii="Cambria" w:hAnsi="Cambria"/>
                <w:bCs/>
                <w:sz w:val="19"/>
                <w:szCs w:val="19"/>
              </w:rPr>
              <w:t>Yes</w:t>
            </w:r>
          </w:p>
        </w:tc>
      </w:tr>
      <w:tr w:rsidR="006D45C9" w:rsidRPr="008874B2" w14:paraId="2298F10A" w14:textId="77777777" w:rsidTr="00DF1776">
        <w:trPr>
          <w:cantSplit/>
        </w:trPr>
        <w:tc>
          <w:tcPr>
            <w:tcW w:w="3690" w:type="dxa"/>
            <w:tcBorders>
              <w:top w:val="single" w:sz="6" w:space="0" w:color="auto"/>
              <w:bottom w:val="single" w:sz="6" w:space="0" w:color="auto"/>
            </w:tcBorders>
            <w:shd w:val="clear" w:color="auto" w:fill="67AE3C"/>
            <w:vAlign w:val="center"/>
          </w:tcPr>
          <w:p w14:paraId="2C2776F3" w14:textId="77777777" w:rsidR="006D45C9" w:rsidRPr="002D75C0" w:rsidRDefault="006D45C9" w:rsidP="00DF1776">
            <w:pPr>
              <w:jc w:val="center"/>
              <w:rPr>
                <w:rFonts w:ascii="Cambria" w:hAnsi="Cambria"/>
                <w:bCs/>
                <w:color w:val="FFFFFF"/>
                <w:sz w:val="19"/>
                <w:szCs w:val="19"/>
              </w:rPr>
            </w:pPr>
            <w:r w:rsidRPr="002D75C0">
              <w:rPr>
                <w:rFonts w:ascii="Cambria" w:hAnsi="Cambria"/>
                <w:bCs/>
                <w:color w:val="FFFFFF"/>
                <w:sz w:val="19"/>
                <w:szCs w:val="19"/>
              </w:rPr>
              <w:t>Competence</w:t>
            </w:r>
            <w:r w:rsidRPr="002D75C0">
              <w:rPr>
                <w:rFonts w:ascii="Cambria" w:hAnsi="Cambria"/>
                <w:bCs/>
                <w:i/>
                <w:color w:val="FFFFFF"/>
                <w:sz w:val="19"/>
                <w:szCs w:val="19"/>
              </w:rPr>
              <w:t xml:space="preserve"> Ratione loci</w:t>
            </w:r>
            <w:r w:rsidRPr="002D75C0">
              <w:rPr>
                <w:rFonts w:ascii="Cambria" w:hAnsi="Cambria"/>
                <w:bCs/>
                <w:color w:val="FFFFFF"/>
                <w:sz w:val="19"/>
                <w:szCs w:val="19"/>
              </w:rPr>
              <w:t>:</w:t>
            </w:r>
          </w:p>
        </w:tc>
        <w:tc>
          <w:tcPr>
            <w:tcW w:w="5670" w:type="dxa"/>
            <w:shd w:val="clear" w:color="auto" w:fill="auto"/>
            <w:vAlign w:val="center"/>
          </w:tcPr>
          <w:p w14:paraId="010B1E60" w14:textId="77777777" w:rsidR="006D45C9" w:rsidRPr="00FC60BA" w:rsidRDefault="006D45C9" w:rsidP="00DF1776">
            <w:pPr>
              <w:rPr>
                <w:rFonts w:ascii="Cambria" w:hAnsi="Cambria"/>
                <w:bCs/>
                <w:sz w:val="19"/>
                <w:szCs w:val="19"/>
              </w:rPr>
            </w:pPr>
            <w:r w:rsidRPr="00FC60BA">
              <w:rPr>
                <w:rFonts w:ascii="Cambria" w:hAnsi="Cambria"/>
                <w:bCs/>
                <w:sz w:val="19"/>
                <w:szCs w:val="19"/>
              </w:rPr>
              <w:t>Yes</w:t>
            </w:r>
          </w:p>
        </w:tc>
      </w:tr>
      <w:tr w:rsidR="006D45C9" w:rsidRPr="008874B2" w14:paraId="4E3466DA" w14:textId="77777777" w:rsidTr="00DF1776">
        <w:trPr>
          <w:cantSplit/>
        </w:trPr>
        <w:tc>
          <w:tcPr>
            <w:tcW w:w="3690" w:type="dxa"/>
            <w:tcBorders>
              <w:top w:val="single" w:sz="6" w:space="0" w:color="auto"/>
              <w:bottom w:val="single" w:sz="6" w:space="0" w:color="auto"/>
            </w:tcBorders>
            <w:shd w:val="clear" w:color="auto" w:fill="67AE3C"/>
            <w:vAlign w:val="center"/>
          </w:tcPr>
          <w:p w14:paraId="6063CDE5" w14:textId="77777777" w:rsidR="006D45C9" w:rsidRPr="002D75C0" w:rsidRDefault="006D45C9" w:rsidP="00DF1776">
            <w:pPr>
              <w:jc w:val="center"/>
              <w:rPr>
                <w:rFonts w:ascii="Cambria" w:hAnsi="Cambria"/>
                <w:bCs/>
                <w:color w:val="FFFFFF"/>
                <w:sz w:val="19"/>
                <w:szCs w:val="19"/>
              </w:rPr>
            </w:pPr>
            <w:r w:rsidRPr="002D75C0">
              <w:rPr>
                <w:rFonts w:ascii="Cambria" w:hAnsi="Cambria"/>
                <w:bCs/>
                <w:color w:val="FFFFFF"/>
                <w:sz w:val="19"/>
                <w:szCs w:val="19"/>
              </w:rPr>
              <w:t>Competence</w:t>
            </w:r>
            <w:r w:rsidRPr="002D75C0">
              <w:rPr>
                <w:rFonts w:ascii="Cambria" w:hAnsi="Cambria"/>
                <w:bCs/>
                <w:i/>
                <w:color w:val="FFFFFF"/>
                <w:sz w:val="19"/>
                <w:szCs w:val="19"/>
              </w:rPr>
              <w:t xml:space="preserve"> Ratione temporis</w:t>
            </w:r>
            <w:r w:rsidRPr="002D75C0">
              <w:rPr>
                <w:rFonts w:ascii="Cambria" w:hAnsi="Cambria"/>
                <w:bCs/>
                <w:color w:val="FFFFFF"/>
                <w:sz w:val="19"/>
                <w:szCs w:val="19"/>
              </w:rPr>
              <w:t>:</w:t>
            </w:r>
          </w:p>
        </w:tc>
        <w:tc>
          <w:tcPr>
            <w:tcW w:w="5670" w:type="dxa"/>
            <w:shd w:val="clear" w:color="auto" w:fill="auto"/>
            <w:vAlign w:val="center"/>
          </w:tcPr>
          <w:p w14:paraId="6FDEB78C" w14:textId="77777777" w:rsidR="006D45C9" w:rsidRPr="00FC60BA" w:rsidRDefault="006D45C9" w:rsidP="00DF1776">
            <w:pPr>
              <w:rPr>
                <w:rFonts w:ascii="Cambria" w:hAnsi="Cambria"/>
                <w:bCs/>
                <w:sz w:val="19"/>
                <w:szCs w:val="19"/>
              </w:rPr>
            </w:pPr>
            <w:r w:rsidRPr="00FC60BA">
              <w:rPr>
                <w:rFonts w:ascii="Cambria" w:hAnsi="Cambria"/>
                <w:bCs/>
                <w:sz w:val="19"/>
                <w:szCs w:val="19"/>
              </w:rPr>
              <w:t>Yes</w:t>
            </w:r>
          </w:p>
        </w:tc>
      </w:tr>
      <w:tr w:rsidR="006D45C9" w:rsidRPr="008874B2" w14:paraId="4B1C70C0" w14:textId="77777777" w:rsidTr="00DF1776">
        <w:trPr>
          <w:cantSplit/>
        </w:trPr>
        <w:tc>
          <w:tcPr>
            <w:tcW w:w="3690" w:type="dxa"/>
            <w:tcBorders>
              <w:top w:val="single" w:sz="6" w:space="0" w:color="auto"/>
              <w:bottom w:val="single" w:sz="6" w:space="0" w:color="auto"/>
            </w:tcBorders>
            <w:shd w:val="clear" w:color="auto" w:fill="67AE3C"/>
            <w:vAlign w:val="center"/>
          </w:tcPr>
          <w:p w14:paraId="4B5A8FBD" w14:textId="77777777" w:rsidR="006D45C9" w:rsidRPr="002D75C0" w:rsidRDefault="006D45C9" w:rsidP="00DF1776">
            <w:pPr>
              <w:jc w:val="center"/>
              <w:rPr>
                <w:rFonts w:ascii="Cambria" w:hAnsi="Cambria"/>
                <w:bCs/>
                <w:color w:val="FFFFFF"/>
                <w:sz w:val="19"/>
                <w:szCs w:val="19"/>
              </w:rPr>
            </w:pPr>
            <w:r w:rsidRPr="002D75C0">
              <w:rPr>
                <w:rFonts w:ascii="Cambria" w:hAnsi="Cambria"/>
                <w:bCs/>
                <w:color w:val="FFFFFF"/>
                <w:sz w:val="19"/>
                <w:szCs w:val="19"/>
              </w:rPr>
              <w:t>Competence</w:t>
            </w:r>
            <w:r w:rsidRPr="002D75C0">
              <w:rPr>
                <w:rFonts w:ascii="Cambria" w:hAnsi="Cambria"/>
                <w:bCs/>
                <w:i/>
                <w:color w:val="FFFFFF"/>
                <w:sz w:val="19"/>
                <w:szCs w:val="19"/>
              </w:rPr>
              <w:t xml:space="preserve"> Ratione materiae</w:t>
            </w:r>
            <w:r w:rsidRPr="002D75C0">
              <w:rPr>
                <w:rFonts w:ascii="Cambria" w:hAnsi="Cambria"/>
                <w:bCs/>
                <w:color w:val="FFFFFF"/>
                <w:sz w:val="19"/>
                <w:szCs w:val="19"/>
              </w:rPr>
              <w:t>:</w:t>
            </w:r>
          </w:p>
        </w:tc>
        <w:tc>
          <w:tcPr>
            <w:tcW w:w="5670" w:type="dxa"/>
            <w:shd w:val="clear" w:color="auto" w:fill="auto"/>
            <w:vAlign w:val="center"/>
          </w:tcPr>
          <w:p w14:paraId="6C4917A1" w14:textId="5F46D3C4" w:rsidR="006D45C9" w:rsidRPr="00FC60BA" w:rsidRDefault="006D45C9" w:rsidP="00DF1776">
            <w:pPr>
              <w:jc w:val="both"/>
              <w:rPr>
                <w:rFonts w:ascii="Cambria" w:hAnsi="Cambria"/>
                <w:bCs/>
                <w:sz w:val="19"/>
                <w:szCs w:val="19"/>
                <w:lang w:val="en-GB"/>
              </w:rPr>
            </w:pPr>
            <w:r w:rsidRPr="00FC60BA">
              <w:rPr>
                <w:rFonts w:ascii="Cambria" w:hAnsi="Cambria"/>
                <w:bCs/>
                <w:sz w:val="19"/>
                <w:szCs w:val="19"/>
              </w:rPr>
              <w:t>Yes, American Convention</w:t>
            </w:r>
            <w:r w:rsidRPr="00FC60BA" w:rsidDel="00130CEE">
              <w:rPr>
                <w:rFonts w:ascii="Cambria" w:hAnsi="Cambria"/>
                <w:bCs/>
                <w:sz w:val="19"/>
                <w:szCs w:val="19"/>
              </w:rPr>
              <w:t xml:space="preserve"> </w:t>
            </w:r>
            <w:r w:rsidRPr="00FC60BA">
              <w:rPr>
                <w:rFonts w:ascii="Cambria" w:hAnsi="Cambria"/>
                <w:bCs/>
                <w:sz w:val="19"/>
                <w:szCs w:val="19"/>
              </w:rPr>
              <w:t>(deposit of instrument of ratification on July 28, 1978)</w:t>
            </w:r>
            <w:r w:rsidR="0084700E" w:rsidRPr="00FC60BA">
              <w:rPr>
                <w:rFonts w:ascii="Cambria" w:hAnsi="Cambria"/>
                <w:bCs/>
                <w:sz w:val="19"/>
                <w:szCs w:val="19"/>
              </w:rPr>
              <w:t xml:space="preserve"> and Belém do Pará Convention </w:t>
            </w:r>
            <w:r w:rsidR="0084700E" w:rsidRPr="00FC60BA">
              <w:rPr>
                <w:rFonts w:ascii="Cambria" w:hAnsi="Cambria"/>
                <w:bCs/>
                <w:sz w:val="19"/>
                <w:szCs w:val="19"/>
                <w:lang w:val="en-GB"/>
              </w:rPr>
              <w:t>(deposit of instrument of ratification on June 4, 1996)</w:t>
            </w:r>
          </w:p>
        </w:tc>
      </w:tr>
    </w:tbl>
    <w:p w14:paraId="4E92C444" w14:textId="497B347E" w:rsidR="003239B8" w:rsidRPr="006D45C9" w:rsidRDefault="006D45C9" w:rsidP="002D75C0">
      <w:pPr>
        <w:pStyle w:val="ListParagraph"/>
        <w:numPr>
          <w:ilvl w:val="0"/>
          <w:numId w:val="111"/>
        </w:numPr>
        <w:spacing w:before="120" w:after="120"/>
        <w:jc w:val="both"/>
        <w:rPr>
          <w:b/>
          <w:bCs/>
          <w:sz w:val="20"/>
          <w:szCs w:val="20"/>
        </w:rPr>
      </w:pPr>
      <w:r w:rsidRPr="006D45C9">
        <w:rPr>
          <w:b/>
          <w:bCs/>
          <w:sz w:val="20"/>
          <w:szCs w:val="20"/>
        </w:rPr>
        <w:t xml:space="preserve">DUPLICATION OF PROCEDURES AND INTERNATIONAL </w:t>
      </w:r>
      <w:r w:rsidRPr="006D45C9">
        <w:rPr>
          <w:b/>
          <w:bCs/>
          <w:i/>
          <w:sz w:val="20"/>
          <w:szCs w:val="20"/>
        </w:rPr>
        <w:t>RES JUDICATA</w:t>
      </w:r>
      <w:r w:rsidRPr="006D45C9">
        <w:rPr>
          <w:b/>
          <w:bCs/>
          <w:sz w:val="20"/>
          <w:szCs w:val="20"/>
        </w:rPr>
        <w:t>, COLORABLE CLAIM, EXHAUSTION OF DOMESTIC REMEDIES AND TIMELINESS OF THE PETITION</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90"/>
        <w:gridCol w:w="5670"/>
      </w:tblGrid>
      <w:tr w:rsidR="006D45C9" w:rsidRPr="008874B2" w14:paraId="75E95F44" w14:textId="77777777" w:rsidTr="00DF1776">
        <w:trPr>
          <w:cantSplit/>
        </w:trPr>
        <w:tc>
          <w:tcPr>
            <w:tcW w:w="3690" w:type="dxa"/>
            <w:tcBorders>
              <w:top w:val="single" w:sz="4" w:space="0" w:color="auto"/>
              <w:bottom w:val="single" w:sz="6" w:space="0" w:color="auto"/>
            </w:tcBorders>
            <w:shd w:val="clear" w:color="auto" w:fill="67AE3C"/>
            <w:vAlign w:val="center"/>
          </w:tcPr>
          <w:p w14:paraId="7A733274" w14:textId="77777777" w:rsidR="006D45C9" w:rsidRPr="002D75C0" w:rsidRDefault="006D45C9" w:rsidP="00DF1776">
            <w:pPr>
              <w:jc w:val="center"/>
              <w:rPr>
                <w:rFonts w:ascii="Cambria" w:hAnsi="Cambria"/>
                <w:bCs/>
                <w:color w:val="FFFFFF"/>
                <w:sz w:val="19"/>
                <w:szCs w:val="19"/>
              </w:rPr>
            </w:pPr>
            <w:r w:rsidRPr="002D75C0">
              <w:rPr>
                <w:rFonts w:ascii="Cambria" w:hAnsi="Cambria"/>
                <w:bCs/>
                <w:color w:val="FFFFFF"/>
                <w:sz w:val="19"/>
                <w:szCs w:val="19"/>
              </w:rPr>
              <w:t xml:space="preserve">Duplication of procedures and International </w:t>
            </w:r>
            <w:r w:rsidRPr="002D75C0">
              <w:rPr>
                <w:rFonts w:ascii="Cambria" w:hAnsi="Cambria"/>
                <w:bCs/>
                <w:i/>
                <w:color w:val="FFFFFF"/>
                <w:sz w:val="19"/>
                <w:szCs w:val="19"/>
              </w:rPr>
              <w:t>res judicata</w:t>
            </w:r>
            <w:r w:rsidRPr="002D75C0">
              <w:rPr>
                <w:rFonts w:ascii="Cambria" w:hAnsi="Cambria"/>
                <w:bCs/>
                <w:color w:val="FFFFFF"/>
                <w:sz w:val="19"/>
                <w:szCs w:val="19"/>
              </w:rPr>
              <w:t>:</w:t>
            </w:r>
          </w:p>
        </w:tc>
        <w:tc>
          <w:tcPr>
            <w:tcW w:w="5670" w:type="dxa"/>
            <w:shd w:val="clear" w:color="auto" w:fill="auto"/>
            <w:vAlign w:val="center"/>
          </w:tcPr>
          <w:p w14:paraId="30638B72" w14:textId="77777777" w:rsidR="006D45C9" w:rsidRPr="00FC60BA" w:rsidRDefault="006D45C9" w:rsidP="00DF1776">
            <w:pPr>
              <w:jc w:val="both"/>
              <w:rPr>
                <w:rFonts w:ascii="Cambria" w:hAnsi="Cambria"/>
                <w:bCs/>
                <w:sz w:val="19"/>
                <w:szCs w:val="19"/>
              </w:rPr>
            </w:pPr>
            <w:r w:rsidRPr="00FC60BA">
              <w:rPr>
                <w:rFonts w:ascii="Cambria" w:hAnsi="Cambria"/>
                <w:bCs/>
                <w:sz w:val="19"/>
                <w:szCs w:val="19"/>
              </w:rPr>
              <w:t>No</w:t>
            </w:r>
          </w:p>
        </w:tc>
      </w:tr>
      <w:tr w:rsidR="006D45C9" w:rsidRPr="008874B2" w14:paraId="59D9420E" w14:textId="77777777" w:rsidTr="00DF1776">
        <w:trPr>
          <w:cantSplit/>
        </w:trPr>
        <w:tc>
          <w:tcPr>
            <w:tcW w:w="3690" w:type="dxa"/>
            <w:tcBorders>
              <w:top w:val="single" w:sz="6" w:space="0" w:color="auto"/>
              <w:bottom w:val="single" w:sz="6" w:space="0" w:color="auto"/>
            </w:tcBorders>
            <w:shd w:val="clear" w:color="auto" w:fill="67AE3C"/>
            <w:vAlign w:val="center"/>
          </w:tcPr>
          <w:p w14:paraId="14F89F27" w14:textId="77777777" w:rsidR="006D45C9" w:rsidRPr="002D75C0" w:rsidRDefault="006D45C9" w:rsidP="00DF1776">
            <w:pPr>
              <w:jc w:val="center"/>
              <w:rPr>
                <w:rFonts w:ascii="Cambria" w:hAnsi="Cambria"/>
                <w:bCs/>
                <w:i/>
                <w:color w:val="FFFFFF"/>
                <w:sz w:val="19"/>
                <w:szCs w:val="19"/>
              </w:rPr>
            </w:pPr>
            <w:r w:rsidRPr="002D75C0">
              <w:rPr>
                <w:rFonts w:ascii="Cambria" w:hAnsi="Cambria"/>
                <w:bCs/>
                <w:color w:val="FFFFFF"/>
                <w:sz w:val="19"/>
                <w:szCs w:val="19"/>
              </w:rPr>
              <w:t>Rights declared admissible</w:t>
            </w:r>
          </w:p>
        </w:tc>
        <w:tc>
          <w:tcPr>
            <w:tcW w:w="5670" w:type="dxa"/>
            <w:shd w:val="clear" w:color="auto" w:fill="auto"/>
            <w:vAlign w:val="center"/>
          </w:tcPr>
          <w:p w14:paraId="20FE60EE" w14:textId="1888E1EE" w:rsidR="006D45C9" w:rsidRPr="00FC60BA" w:rsidRDefault="0084700E" w:rsidP="002D75C0">
            <w:pPr>
              <w:jc w:val="both"/>
              <w:rPr>
                <w:rFonts w:ascii="Cambria" w:hAnsi="Cambria"/>
                <w:bCs/>
                <w:sz w:val="19"/>
                <w:szCs w:val="19"/>
                <w:lang w:val="en-GB"/>
              </w:rPr>
            </w:pPr>
            <w:r w:rsidRPr="00FC60BA">
              <w:rPr>
                <w:rFonts w:ascii="Cambria" w:hAnsi="Cambria"/>
                <w:bCs/>
                <w:sz w:val="19"/>
                <w:szCs w:val="19"/>
              </w:rPr>
              <w:t>Articles 5 (</w:t>
            </w:r>
            <w:r w:rsidR="00BF2B4E" w:rsidRPr="00FC60BA">
              <w:rPr>
                <w:rFonts w:ascii="Cambria" w:hAnsi="Cambria"/>
                <w:bCs/>
                <w:sz w:val="19"/>
                <w:szCs w:val="19"/>
              </w:rPr>
              <w:t>humane treatment</w:t>
            </w:r>
            <w:r w:rsidRPr="00FC60BA">
              <w:rPr>
                <w:rFonts w:ascii="Cambria" w:hAnsi="Cambria"/>
                <w:bCs/>
                <w:sz w:val="19"/>
                <w:szCs w:val="19"/>
              </w:rPr>
              <w:t xml:space="preserve">), 7 (personal </w:t>
            </w:r>
            <w:r w:rsidR="00BF2B4E" w:rsidRPr="00FC60BA">
              <w:rPr>
                <w:rFonts w:ascii="Cambria" w:hAnsi="Cambria"/>
                <w:bCs/>
                <w:sz w:val="19"/>
                <w:szCs w:val="19"/>
              </w:rPr>
              <w:t>liberty</w:t>
            </w:r>
            <w:r w:rsidRPr="00FC60BA">
              <w:rPr>
                <w:rFonts w:ascii="Cambria" w:hAnsi="Cambria"/>
                <w:bCs/>
                <w:sz w:val="19"/>
                <w:szCs w:val="19"/>
              </w:rPr>
              <w:t>), 8 (</w:t>
            </w:r>
            <w:r w:rsidR="00BF2B4E" w:rsidRPr="00FC60BA">
              <w:rPr>
                <w:rFonts w:ascii="Cambria" w:hAnsi="Cambria"/>
                <w:bCs/>
                <w:sz w:val="19"/>
                <w:szCs w:val="19"/>
              </w:rPr>
              <w:t>fair trial</w:t>
            </w:r>
            <w:r w:rsidRPr="00FC60BA">
              <w:rPr>
                <w:rFonts w:ascii="Cambria" w:hAnsi="Cambria"/>
                <w:bCs/>
                <w:sz w:val="19"/>
                <w:szCs w:val="19"/>
              </w:rPr>
              <w:t>),</w:t>
            </w:r>
            <w:r w:rsidR="00BF2B4E" w:rsidRPr="00FC60BA">
              <w:rPr>
                <w:rFonts w:ascii="Cambria" w:hAnsi="Cambria"/>
                <w:bCs/>
                <w:sz w:val="19"/>
                <w:szCs w:val="19"/>
              </w:rPr>
              <w:t xml:space="preserve"> </w:t>
            </w:r>
            <w:r w:rsidRPr="00FC60BA">
              <w:rPr>
                <w:rFonts w:ascii="Cambria" w:hAnsi="Cambria"/>
                <w:bCs/>
                <w:sz w:val="19"/>
                <w:szCs w:val="19"/>
              </w:rPr>
              <w:t>11 (</w:t>
            </w:r>
            <w:r w:rsidR="00BF2B4E" w:rsidRPr="00FC60BA">
              <w:rPr>
                <w:rFonts w:ascii="Cambria" w:hAnsi="Cambria"/>
                <w:bCs/>
                <w:sz w:val="19"/>
                <w:szCs w:val="19"/>
              </w:rPr>
              <w:t>privacy</w:t>
            </w:r>
            <w:r w:rsidRPr="00FC60BA">
              <w:rPr>
                <w:rFonts w:ascii="Cambria" w:hAnsi="Cambria"/>
                <w:bCs/>
                <w:sz w:val="19"/>
                <w:szCs w:val="19"/>
              </w:rPr>
              <w:t>), 24 (</w:t>
            </w:r>
            <w:r w:rsidR="00BF2B4E" w:rsidRPr="00FC60BA">
              <w:rPr>
                <w:rFonts w:ascii="Cambria" w:hAnsi="Cambria"/>
                <w:bCs/>
                <w:sz w:val="19"/>
                <w:szCs w:val="19"/>
              </w:rPr>
              <w:t>equal protection</w:t>
            </w:r>
            <w:r w:rsidRPr="00FC60BA">
              <w:rPr>
                <w:rFonts w:ascii="Cambria" w:hAnsi="Cambria"/>
                <w:bCs/>
                <w:sz w:val="19"/>
                <w:szCs w:val="19"/>
              </w:rPr>
              <w:t>), 25 (judicial protection), 26 (economic, social and cultural rights) of the American Convention of Human Rights</w:t>
            </w:r>
            <w:r w:rsidR="00E55977" w:rsidRPr="00FC60BA">
              <w:rPr>
                <w:sz w:val="19"/>
                <w:szCs w:val="19"/>
              </w:rPr>
              <w:t xml:space="preserve"> </w:t>
            </w:r>
            <w:r w:rsidRPr="00FC60BA">
              <w:rPr>
                <w:rFonts w:ascii="Cambria" w:hAnsi="Cambria"/>
                <w:bCs/>
                <w:sz w:val="19"/>
                <w:szCs w:val="19"/>
              </w:rPr>
              <w:t>in relation to art 1.1 (obligation to respect</w:t>
            </w:r>
            <w:r w:rsidR="00BF2B4E" w:rsidRPr="00FC60BA">
              <w:rPr>
                <w:rFonts w:ascii="Cambria" w:hAnsi="Cambria"/>
                <w:bCs/>
                <w:sz w:val="19"/>
                <w:szCs w:val="19"/>
              </w:rPr>
              <w:t xml:space="preserve"> rights</w:t>
            </w:r>
            <w:r w:rsidRPr="00FC60BA">
              <w:rPr>
                <w:rFonts w:ascii="Cambria" w:hAnsi="Cambria"/>
                <w:bCs/>
                <w:sz w:val="19"/>
                <w:szCs w:val="19"/>
              </w:rPr>
              <w:t>) and art 2 (</w:t>
            </w:r>
            <w:r w:rsidR="009C6737" w:rsidRPr="00FC60BA">
              <w:rPr>
                <w:rFonts w:ascii="Cambria" w:hAnsi="Cambria"/>
                <w:bCs/>
                <w:sz w:val="19"/>
                <w:szCs w:val="19"/>
              </w:rPr>
              <w:t>domestic legal effects)</w:t>
            </w:r>
            <w:r w:rsidRPr="00FC60BA">
              <w:rPr>
                <w:rFonts w:ascii="Cambria" w:hAnsi="Cambria"/>
                <w:bCs/>
                <w:sz w:val="19"/>
                <w:szCs w:val="19"/>
              </w:rPr>
              <w:t xml:space="preserve"> and </w:t>
            </w:r>
            <w:r w:rsidR="004854C1">
              <w:rPr>
                <w:rFonts w:ascii="Cambria" w:hAnsi="Cambria"/>
                <w:bCs/>
                <w:sz w:val="19"/>
                <w:szCs w:val="19"/>
              </w:rPr>
              <w:t>Article</w:t>
            </w:r>
            <w:r w:rsidRPr="00FC60BA">
              <w:rPr>
                <w:rFonts w:ascii="Cambria" w:hAnsi="Cambria"/>
                <w:bCs/>
                <w:sz w:val="19"/>
                <w:szCs w:val="19"/>
              </w:rPr>
              <w:t xml:space="preserve"> 7 of the Bel</w:t>
            </w:r>
            <w:r w:rsidRPr="00FC60BA">
              <w:rPr>
                <w:rFonts w:ascii="Cambria" w:hAnsi="Cambria"/>
                <w:bCs/>
                <w:sz w:val="19"/>
                <w:szCs w:val="19"/>
                <w:lang w:val="en-GB"/>
              </w:rPr>
              <w:t>ém do Pará Convention</w:t>
            </w:r>
          </w:p>
        </w:tc>
      </w:tr>
      <w:tr w:rsidR="006D45C9" w:rsidRPr="008874B2" w14:paraId="52042C70" w14:textId="77777777" w:rsidTr="00DF1776">
        <w:trPr>
          <w:cantSplit/>
        </w:trPr>
        <w:tc>
          <w:tcPr>
            <w:tcW w:w="3690" w:type="dxa"/>
            <w:tcBorders>
              <w:top w:val="single" w:sz="6" w:space="0" w:color="auto"/>
              <w:bottom w:val="single" w:sz="6" w:space="0" w:color="auto"/>
            </w:tcBorders>
            <w:shd w:val="clear" w:color="auto" w:fill="67AE3C"/>
            <w:vAlign w:val="center"/>
          </w:tcPr>
          <w:p w14:paraId="7EC80ABE" w14:textId="77777777" w:rsidR="006D45C9" w:rsidRPr="002D75C0" w:rsidRDefault="006D45C9" w:rsidP="00DF1776">
            <w:pPr>
              <w:jc w:val="center"/>
              <w:rPr>
                <w:rFonts w:ascii="Cambria" w:hAnsi="Cambria"/>
                <w:bCs/>
                <w:color w:val="FFFFFF"/>
                <w:sz w:val="19"/>
                <w:szCs w:val="19"/>
              </w:rPr>
            </w:pPr>
            <w:r w:rsidRPr="002D75C0">
              <w:rPr>
                <w:rFonts w:ascii="Cambria" w:hAnsi="Cambria"/>
                <w:bCs/>
                <w:color w:val="FFFFFF"/>
                <w:sz w:val="19"/>
                <w:szCs w:val="19"/>
              </w:rPr>
              <w:t>Exhaustion of domestic remedies or applicability of an exception to the rule:</w:t>
            </w:r>
          </w:p>
        </w:tc>
        <w:tc>
          <w:tcPr>
            <w:tcW w:w="5670" w:type="dxa"/>
            <w:shd w:val="clear" w:color="auto" w:fill="auto"/>
            <w:vAlign w:val="center"/>
          </w:tcPr>
          <w:p w14:paraId="5B511E4C" w14:textId="5923867F" w:rsidR="006D45C9" w:rsidRPr="00FC60BA" w:rsidRDefault="0084700E" w:rsidP="002D75C0">
            <w:pPr>
              <w:rPr>
                <w:rFonts w:ascii="Cambria" w:hAnsi="Cambria"/>
                <w:bCs/>
                <w:sz w:val="19"/>
                <w:szCs w:val="19"/>
              </w:rPr>
            </w:pPr>
            <w:r w:rsidRPr="00FC60BA">
              <w:rPr>
                <w:rFonts w:ascii="Cambria" w:hAnsi="Cambria"/>
                <w:bCs/>
                <w:sz w:val="19"/>
                <w:szCs w:val="19"/>
              </w:rPr>
              <w:t xml:space="preserve">Exceptions from </w:t>
            </w:r>
            <w:r w:rsidR="004854C1">
              <w:rPr>
                <w:rFonts w:ascii="Cambria" w:hAnsi="Cambria"/>
                <w:bCs/>
                <w:sz w:val="19"/>
                <w:szCs w:val="19"/>
              </w:rPr>
              <w:t>Article</w:t>
            </w:r>
            <w:r w:rsidR="002D75C0" w:rsidRPr="00FC60BA">
              <w:rPr>
                <w:rFonts w:ascii="Cambria" w:hAnsi="Cambria"/>
                <w:bCs/>
                <w:sz w:val="19"/>
                <w:szCs w:val="19"/>
              </w:rPr>
              <w:t>s</w:t>
            </w:r>
            <w:r w:rsidRPr="00FC60BA">
              <w:rPr>
                <w:rFonts w:ascii="Cambria" w:hAnsi="Cambria"/>
                <w:bCs/>
                <w:sz w:val="19"/>
                <w:szCs w:val="19"/>
              </w:rPr>
              <w:t xml:space="preserve"> 46.2.a and 46.2.c apply</w:t>
            </w:r>
            <w:r w:rsidR="002D75C0" w:rsidRPr="00FC60BA">
              <w:rPr>
                <w:rFonts w:ascii="Cambria" w:hAnsi="Cambria"/>
                <w:bCs/>
                <w:sz w:val="19"/>
                <w:szCs w:val="19"/>
              </w:rPr>
              <w:t>,</w:t>
            </w:r>
            <w:r w:rsidRPr="00FC60BA">
              <w:rPr>
                <w:rFonts w:ascii="Cambria" w:hAnsi="Cambria"/>
                <w:bCs/>
                <w:sz w:val="19"/>
                <w:szCs w:val="19"/>
              </w:rPr>
              <w:t xml:space="preserve"> under the terms </w:t>
            </w:r>
            <w:r w:rsidR="009B2E7A">
              <w:rPr>
                <w:rFonts w:ascii="Cambria" w:hAnsi="Cambria"/>
                <w:bCs/>
                <w:sz w:val="19"/>
                <w:szCs w:val="19"/>
              </w:rPr>
              <w:t>of section VI</w:t>
            </w:r>
          </w:p>
        </w:tc>
      </w:tr>
      <w:tr w:rsidR="006D45C9" w:rsidRPr="008874B2" w14:paraId="53825D2D" w14:textId="77777777" w:rsidTr="00DF1776">
        <w:trPr>
          <w:cantSplit/>
        </w:trPr>
        <w:tc>
          <w:tcPr>
            <w:tcW w:w="3690" w:type="dxa"/>
            <w:tcBorders>
              <w:top w:val="single" w:sz="6" w:space="0" w:color="auto"/>
              <w:bottom w:val="single" w:sz="6" w:space="0" w:color="auto"/>
            </w:tcBorders>
            <w:shd w:val="clear" w:color="auto" w:fill="67AE3C"/>
            <w:vAlign w:val="center"/>
          </w:tcPr>
          <w:p w14:paraId="0529B4EF" w14:textId="77777777" w:rsidR="006D45C9" w:rsidRPr="002D75C0" w:rsidRDefault="006D45C9" w:rsidP="00DF1776">
            <w:pPr>
              <w:jc w:val="center"/>
              <w:rPr>
                <w:rFonts w:ascii="Cambria" w:hAnsi="Cambria"/>
                <w:bCs/>
                <w:color w:val="FFFFFF"/>
                <w:sz w:val="19"/>
                <w:szCs w:val="19"/>
              </w:rPr>
            </w:pPr>
            <w:r w:rsidRPr="002D75C0">
              <w:rPr>
                <w:rFonts w:ascii="Cambria" w:hAnsi="Cambria"/>
                <w:bCs/>
                <w:color w:val="FFFFFF"/>
                <w:sz w:val="19"/>
                <w:szCs w:val="19"/>
              </w:rPr>
              <w:t>Timeliness of the petition:</w:t>
            </w:r>
          </w:p>
        </w:tc>
        <w:tc>
          <w:tcPr>
            <w:tcW w:w="5670" w:type="dxa"/>
            <w:shd w:val="clear" w:color="auto" w:fill="auto"/>
            <w:vAlign w:val="center"/>
          </w:tcPr>
          <w:p w14:paraId="2C0EEC0C" w14:textId="0C7138D8" w:rsidR="006D45C9" w:rsidRPr="00FC60BA" w:rsidRDefault="0084700E" w:rsidP="00DF1776">
            <w:pPr>
              <w:rPr>
                <w:rFonts w:ascii="Cambria" w:hAnsi="Cambria"/>
                <w:bCs/>
                <w:sz w:val="19"/>
                <w:szCs w:val="19"/>
              </w:rPr>
            </w:pPr>
            <w:r w:rsidRPr="00FC60BA">
              <w:rPr>
                <w:rFonts w:ascii="Cambria" w:hAnsi="Cambria"/>
                <w:bCs/>
                <w:sz w:val="19"/>
                <w:szCs w:val="19"/>
              </w:rPr>
              <w:t xml:space="preserve">Yes, under the </w:t>
            </w:r>
            <w:r w:rsidR="009B2E7A">
              <w:rPr>
                <w:rFonts w:ascii="Cambria" w:hAnsi="Cambria"/>
                <w:bCs/>
                <w:sz w:val="19"/>
                <w:szCs w:val="19"/>
              </w:rPr>
              <w:t>terms of section VI</w:t>
            </w:r>
          </w:p>
        </w:tc>
      </w:tr>
    </w:tbl>
    <w:p w14:paraId="18E6423B" w14:textId="5F9F218B" w:rsidR="003239B8" w:rsidRDefault="00223A29" w:rsidP="002D75C0">
      <w:pPr>
        <w:spacing w:before="120" w:after="12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6D45C9">
        <w:rPr>
          <w:rFonts w:asciiTheme="majorHAnsi" w:hAnsiTheme="majorHAnsi"/>
          <w:b/>
          <w:sz w:val="20"/>
          <w:szCs w:val="20"/>
          <w:lang w:val="es-UY"/>
        </w:rPr>
        <w:t>ALLEGED FACTS</w:t>
      </w:r>
      <w:r w:rsidR="003239B8">
        <w:rPr>
          <w:rFonts w:asciiTheme="majorHAnsi" w:hAnsiTheme="majorHAnsi"/>
          <w:b/>
          <w:sz w:val="20"/>
          <w:szCs w:val="20"/>
          <w:lang w:val="es-UY"/>
        </w:rPr>
        <w:t xml:space="preserve"> </w:t>
      </w:r>
    </w:p>
    <w:p w14:paraId="69B3FCAC" w14:textId="5F96617F" w:rsidR="005261CB" w:rsidRDefault="005261CB" w:rsidP="002D75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5261CB">
        <w:rPr>
          <w:rFonts w:ascii="Cambria" w:hAnsi="Cambria"/>
          <w:sz w:val="20"/>
          <w:szCs w:val="20"/>
        </w:rPr>
        <w:t xml:space="preserve">The petitioner </w:t>
      </w:r>
      <w:r w:rsidR="00C0192E">
        <w:rPr>
          <w:rFonts w:ascii="Cambria" w:hAnsi="Cambria"/>
          <w:sz w:val="20"/>
          <w:szCs w:val="20"/>
        </w:rPr>
        <w:t>submits</w:t>
      </w:r>
      <w:r w:rsidRPr="005261CB">
        <w:rPr>
          <w:rFonts w:ascii="Cambria" w:hAnsi="Cambria"/>
          <w:sz w:val="20"/>
          <w:szCs w:val="20"/>
        </w:rPr>
        <w:t xml:space="preserve"> that the alleged victim was sexually abused </w:t>
      </w:r>
      <w:r w:rsidR="00DA32B3">
        <w:rPr>
          <w:rFonts w:ascii="Cambria" w:hAnsi="Cambria"/>
          <w:sz w:val="20"/>
          <w:szCs w:val="20"/>
        </w:rPr>
        <w:t xml:space="preserve">on two </w:t>
      </w:r>
      <w:r w:rsidR="002D75C0">
        <w:rPr>
          <w:rFonts w:ascii="Cambria" w:hAnsi="Cambria"/>
          <w:sz w:val="20"/>
          <w:szCs w:val="20"/>
        </w:rPr>
        <w:t>occasions</w:t>
      </w:r>
      <w:r w:rsidR="00016441">
        <w:rPr>
          <w:rFonts w:ascii="Cambria" w:hAnsi="Cambria"/>
          <w:sz w:val="20"/>
          <w:szCs w:val="20"/>
        </w:rPr>
        <w:t xml:space="preserve"> and </w:t>
      </w:r>
      <w:r w:rsidRPr="005261CB">
        <w:rPr>
          <w:rFonts w:ascii="Cambria" w:hAnsi="Cambria"/>
          <w:sz w:val="20"/>
          <w:szCs w:val="20"/>
        </w:rPr>
        <w:t>denounces the responsibility of the State for lack of diligent investigation,</w:t>
      </w:r>
      <w:r>
        <w:rPr>
          <w:rFonts w:ascii="Cambria" w:hAnsi="Cambria"/>
          <w:sz w:val="20"/>
          <w:szCs w:val="20"/>
        </w:rPr>
        <w:t xml:space="preserve"> perpetuating</w:t>
      </w:r>
      <w:r w:rsidRPr="005261CB">
        <w:rPr>
          <w:rFonts w:ascii="Cambria" w:hAnsi="Cambria"/>
          <w:sz w:val="20"/>
          <w:szCs w:val="20"/>
        </w:rPr>
        <w:t xml:space="preserve"> impunity with respect </w:t>
      </w:r>
      <w:r>
        <w:rPr>
          <w:rFonts w:ascii="Cambria" w:hAnsi="Cambria"/>
          <w:sz w:val="20"/>
          <w:szCs w:val="20"/>
        </w:rPr>
        <w:t>to the facts allegedly committed by</w:t>
      </w:r>
      <w:r w:rsidRPr="005261CB">
        <w:rPr>
          <w:rFonts w:ascii="Cambria" w:hAnsi="Cambria"/>
          <w:sz w:val="20"/>
          <w:szCs w:val="20"/>
        </w:rPr>
        <w:t xml:space="preserve"> three of those responsible. It also denounces the denial of free access to </w:t>
      </w:r>
      <w:r w:rsidRPr="005261CB">
        <w:rPr>
          <w:rFonts w:ascii="Cambria" w:hAnsi="Cambria"/>
          <w:sz w:val="20"/>
          <w:szCs w:val="20"/>
        </w:rPr>
        <w:lastRenderedPageBreak/>
        <w:t xml:space="preserve">emergency oral contraception (AOE) while </w:t>
      </w:r>
      <w:r>
        <w:rPr>
          <w:rFonts w:ascii="Cambria" w:hAnsi="Cambria"/>
          <w:sz w:val="20"/>
          <w:szCs w:val="20"/>
        </w:rPr>
        <w:t>s</w:t>
      </w:r>
      <w:r w:rsidRPr="005261CB">
        <w:rPr>
          <w:rFonts w:ascii="Cambria" w:hAnsi="Cambria"/>
          <w:sz w:val="20"/>
          <w:szCs w:val="20"/>
        </w:rPr>
        <w:t xml:space="preserve">he was in the hospital and the right </w:t>
      </w:r>
      <w:r>
        <w:rPr>
          <w:rFonts w:ascii="Cambria" w:hAnsi="Cambria"/>
          <w:sz w:val="20"/>
          <w:szCs w:val="20"/>
        </w:rPr>
        <w:t xml:space="preserve">to autonomous and free reproductive </w:t>
      </w:r>
      <w:r w:rsidR="00A45B42">
        <w:rPr>
          <w:rFonts w:ascii="Cambria" w:hAnsi="Cambria"/>
          <w:sz w:val="20"/>
          <w:szCs w:val="20"/>
        </w:rPr>
        <w:t>choices</w:t>
      </w:r>
      <w:r>
        <w:rPr>
          <w:rFonts w:ascii="Cambria" w:hAnsi="Cambria"/>
          <w:sz w:val="20"/>
          <w:szCs w:val="20"/>
        </w:rPr>
        <w:t>.</w:t>
      </w:r>
      <w:r>
        <w:rPr>
          <w:rStyle w:val="FootnoteReference"/>
          <w:rFonts w:ascii="Cambria" w:hAnsi="Cambria"/>
          <w:sz w:val="20"/>
          <w:szCs w:val="20"/>
        </w:rPr>
        <w:footnoteReference w:id="8"/>
      </w:r>
      <w:r>
        <w:rPr>
          <w:rFonts w:ascii="Cambria" w:hAnsi="Cambria"/>
          <w:sz w:val="20"/>
          <w:szCs w:val="20"/>
        </w:rPr>
        <w:t xml:space="preserve"> </w:t>
      </w:r>
      <w:r w:rsidR="00DA32B3">
        <w:rPr>
          <w:rFonts w:ascii="Cambria" w:hAnsi="Cambria"/>
          <w:sz w:val="20"/>
          <w:szCs w:val="20"/>
        </w:rPr>
        <w:t>The petitioner</w:t>
      </w:r>
      <w:r w:rsidRPr="005261CB">
        <w:rPr>
          <w:rFonts w:ascii="Cambria" w:hAnsi="Cambria"/>
          <w:sz w:val="20"/>
          <w:szCs w:val="20"/>
        </w:rPr>
        <w:t xml:space="preserve"> argues that as part of </w:t>
      </w:r>
      <w:r>
        <w:rPr>
          <w:rFonts w:ascii="Cambria" w:hAnsi="Cambria"/>
          <w:sz w:val="20"/>
          <w:szCs w:val="20"/>
        </w:rPr>
        <w:t>the right to be treated equally</w:t>
      </w:r>
      <w:r w:rsidRPr="005261CB">
        <w:rPr>
          <w:rFonts w:ascii="Cambria" w:hAnsi="Cambria"/>
          <w:sz w:val="20"/>
          <w:szCs w:val="20"/>
        </w:rPr>
        <w:t xml:space="preserve">, and as part of the health services provided to victims of sexual violence, </w:t>
      </w:r>
      <w:r>
        <w:rPr>
          <w:rFonts w:ascii="Cambria" w:hAnsi="Cambria"/>
          <w:sz w:val="20"/>
          <w:szCs w:val="20"/>
        </w:rPr>
        <w:t>this denial</w:t>
      </w:r>
      <w:r w:rsidRPr="005261CB">
        <w:rPr>
          <w:rFonts w:ascii="Cambria" w:hAnsi="Cambria"/>
          <w:sz w:val="20"/>
          <w:szCs w:val="20"/>
        </w:rPr>
        <w:t xml:space="preserve"> constituted a violation of the</w:t>
      </w:r>
      <w:r>
        <w:rPr>
          <w:rFonts w:ascii="Cambria" w:hAnsi="Cambria"/>
          <w:sz w:val="20"/>
          <w:szCs w:val="20"/>
        </w:rPr>
        <w:t>se</w:t>
      </w:r>
      <w:r w:rsidRPr="005261CB">
        <w:rPr>
          <w:rFonts w:ascii="Cambria" w:hAnsi="Cambria"/>
          <w:sz w:val="20"/>
          <w:szCs w:val="20"/>
        </w:rPr>
        <w:t xml:space="preserve"> rights.</w:t>
      </w:r>
    </w:p>
    <w:p w14:paraId="0D206B05" w14:textId="7F7D8923" w:rsidR="00F63B96" w:rsidRDefault="00F63B96" w:rsidP="002D75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F63B96">
        <w:rPr>
          <w:rFonts w:ascii="Cambria" w:hAnsi="Cambria"/>
          <w:sz w:val="20"/>
          <w:szCs w:val="20"/>
        </w:rPr>
        <w:t xml:space="preserve">The petitioner indicates that by means of a ministerial resolution, </w:t>
      </w:r>
      <w:r w:rsidR="00016441" w:rsidRPr="00F63B96">
        <w:rPr>
          <w:rFonts w:ascii="Cambria" w:hAnsi="Cambria"/>
          <w:sz w:val="20"/>
          <w:szCs w:val="20"/>
        </w:rPr>
        <w:t xml:space="preserve">on July 13, 2001, </w:t>
      </w:r>
      <w:r w:rsidRPr="00F63B96">
        <w:rPr>
          <w:rFonts w:ascii="Cambria" w:hAnsi="Cambria"/>
          <w:sz w:val="20"/>
          <w:szCs w:val="20"/>
        </w:rPr>
        <w:t>family planning standards were extended</w:t>
      </w:r>
      <w:r w:rsidR="002E02D8">
        <w:rPr>
          <w:rFonts w:ascii="Cambria" w:hAnsi="Cambria"/>
          <w:sz w:val="20"/>
          <w:szCs w:val="20"/>
        </w:rPr>
        <w:t xml:space="preserve"> to incorporate</w:t>
      </w:r>
      <w:r w:rsidRPr="00F63B96">
        <w:rPr>
          <w:rFonts w:ascii="Cambria" w:hAnsi="Cambria"/>
          <w:sz w:val="20"/>
          <w:szCs w:val="20"/>
        </w:rPr>
        <w:t xml:space="preserve"> the AOE as a contraceptive method.</w:t>
      </w:r>
      <w:r w:rsidR="00E55977">
        <w:rPr>
          <w:rStyle w:val="FootnoteReference"/>
          <w:rFonts w:ascii="Cambria" w:hAnsi="Cambria"/>
          <w:sz w:val="20"/>
          <w:szCs w:val="20"/>
        </w:rPr>
        <w:footnoteReference w:id="9"/>
      </w:r>
      <w:r w:rsidRPr="00F63B96">
        <w:rPr>
          <w:rFonts w:ascii="Cambria" w:hAnsi="Cambria"/>
          <w:sz w:val="20"/>
          <w:szCs w:val="20"/>
        </w:rPr>
        <w:t xml:space="preserve"> On June 21, 2004, the Ministry of Health approved the National Guidelines for Comprehensive Attention </w:t>
      </w:r>
      <w:r>
        <w:rPr>
          <w:rFonts w:ascii="Cambria" w:hAnsi="Cambria"/>
          <w:sz w:val="20"/>
          <w:szCs w:val="20"/>
        </w:rPr>
        <w:t>for</w:t>
      </w:r>
      <w:r w:rsidRPr="00F63B96">
        <w:rPr>
          <w:rFonts w:ascii="Cambria" w:hAnsi="Cambria"/>
          <w:sz w:val="20"/>
          <w:szCs w:val="20"/>
        </w:rPr>
        <w:t xml:space="preserve"> Sexual and Reproductive Health, including the Protocol on violence against women, which states that in cases of </w:t>
      </w:r>
      <w:r w:rsidR="002E02D8">
        <w:rPr>
          <w:rFonts w:ascii="Cambria" w:hAnsi="Cambria"/>
          <w:sz w:val="20"/>
          <w:szCs w:val="20"/>
        </w:rPr>
        <w:t>patients coming</w:t>
      </w:r>
      <w:r w:rsidR="00DA32B3">
        <w:rPr>
          <w:rFonts w:ascii="Cambria" w:hAnsi="Cambria"/>
          <w:sz w:val="20"/>
          <w:szCs w:val="20"/>
        </w:rPr>
        <w:t xml:space="preserve"> for consultation after being</w:t>
      </w:r>
      <w:r w:rsidRPr="00F63B96">
        <w:rPr>
          <w:rFonts w:ascii="Cambria" w:hAnsi="Cambria"/>
          <w:sz w:val="20"/>
          <w:szCs w:val="20"/>
        </w:rPr>
        <w:t xml:space="preserve"> rape</w:t>
      </w:r>
      <w:r w:rsidR="00DA32B3">
        <w:rPr>
          <w:rFonts w:ascii="Cambria" w:hAnsi="Cambria"/>
          <w:sz w:val="20"/>
          <w:szCs w:val="20"/>
        </w:rPr>
        <w:t>d</w:t>
      </w:r>
      <w:r w:rsidRPr="00F63B96">
        <w:rPr>
          <w:rFonts w:ascii="Cambria" w:hAnsi="Cambria"/>
          <w:sz w:val="20"/>
          <w:szCs w:val="20"/>
        </w:rPr>
        <w:t>, AOE</w:t>
      </w:r>
      <w:r>
        <w:rPr>
          <w:rFonts w:ascii="Cambria" w:hAnsi="Cambria"/>
          <w:sz w:val="20"/>
          <w:szCs w:val="20"/>
        </w:rPr>
        <w:t xml:space="preserve"> should be offered and administered</w:t>
      </w:r>
      <w:r w:rsidRPr="00F63B96">
        <w:rPr>
          <w:rFonts w:ascii="Cambria" w:hAnsi="Cambria"/>
          <w:sz w:val="20"/>
          <w:szCs w:val="20"/>
        </w:rPr>
        <w:t xml:space="preserve">. Finally, on July 18, 2005, the Ministry of Health approved the "Family Planning Technical Standard" which recognizes the AOE as </w:t>
      </w:r>
      <w:r>
        <w:rPr>
          <w:rFonts w:ascii="Cambria" w:hAnsi="Cambria"/>
          <w:sz w:val="20"/>
          <w:szCs w:val="20"/>
        </w:rPr>
        <w:t>a</w:t>
      </w:r>
      <w:r w:rsidRPr="00F63B96">
        <w:rPr>
          <w:rFonts w:ascii="Cambria" w:hAnsi="Cambria"/>
          <w:sz w:val="20"/>
          <w:szCs w:val="20"/>
        </w:rPr>
        <w:t xml:space="preserve"> contraceptive method. However, in a ruling dated October 16, 2009, the Constitutional Court ordered the Ministry of Health to refrain from developing as a public policy the free national distribution of the so-called "Next Day Pill", Levornorgestrel.</w:t>
      </w:r>
      <w:r w:rsidR="00E55977">
        <w:rPr>
          <w:rStyle w:val="FootnoteReference"/>
          <w:rFonts w:ascii="Cambria" w:hAnsi="Cambria"/>
          <w:sz w:val="20"/>
          <w:szCs w:val="20"/>
        </w:rPr>
        <w:footnoteReference w:id="10"/>
      </w:r>
      <w:r w:rsidRPr="00F63B96">
        <w:rPr>
          <w:rFonts w:ascii="Cambria" w:hAnsi="Cambria"/>
          <w:sz w:val="20"/>
          <w:szCs w:val="20"/>
        </w:rPr>
        <w:t xml:space="preserve"> The petitioner informs that, as a result of said decision, the State does not provide AOE for free or sell it in public hospital pharmacies, although its distribution and sale in private pharmacies and </w:t>
      </w:r>
      <w:r>
        <w:rPr>
          <w:rFonts w:ascii="Cambria" w:hAnsi="Cambria"/>
          <w:sz w:val="20"/>
          <w:szCs w:val="20"/>
        </w:rPr>
        <w:t>hospitals</w:t>
      </w:r>
      <w:r w:rsidRPr="00F63B96">
        <w:rPr>
          <w:rFonts w:ascii="Cambria" w:hAnsi="Cambria"/>
          <w:sz w:val="20"/>
          <w:szCs w:val="20"/>
        </w:rPr>
        <w:t xml:space="preserve"> is still allowed, generating a situation of discrimination, </w:t>
      </w:r>
      <w:r>
        <w:rPr>
          <w:rFonts w:ascii="Cambria" w:hAnsi="Cambria"/>
          <w:sz w:val="20"/>
          <w:szCs w:val="20"/>
        </w:rPr>
        <w:t>as</w:t>
      </w:r>
      <w:r w:rsidRPr="00F63B96">
        <w:rPr>
          <w:rFonts w:ascii="Cambria" w:hAnsi="Cambria"/>
          <w:sz w:val="20"/>
          <w:szCs w:val="20"/>
        </w:rPr>
        <w:t xml:space="preserve"> not all women, let alone girls and adolescents, have the necessary financial resources to access it.</w:t>
      </w:r>
    </w:p>
    <w:p w14:paraId="4F1BB45D" w14:textId="01217E57" w:rsidR="00E55977" w:rsidRDefault="00E55977" w:rsidP="002D75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E55977">
        <w:rPr>
          <w:rFonts w:ascii="Cambria" w:hAnsi="Cambria"/>
          <w:sz w:val="20"/>
          <w:szCs w:val="20"/>
        </w:rPr>
        <w:t xml:space="preserve">The petitioner argues </w:t>
      </w:r>
      <w:r w:rsidR="00097DF2">
        <w:rPr>
          <w:rFonts w:ascii="Cambria" w:hAnsi="Cambria"/>
          <w:sz w:val="20"/>
          <w:szCs w:val="20"/>
        </w:rPr>
        <w:t xml:space="preserve">that under the previously described scenario, </w:t>
      </w:r>
      <w:r w:rsidRPr="00E55977">
        <w:rPr>
          <w:rFonts w:ascii="Cambria" w:hAnsi="Cambria"/>
          <w:sz w:val="20"/>
          <w:szCs w:val="20"/>
        </w:rPr>
        <w:t>the alleged victim</w:t>
      </w:r>
      <w:r w:rsidR="00097DF2">
        <w:rPr>
          <w:rFonts w:ascii="Cambria" w:hAnsi="Cambria"/>
          <w:sz w:val="20"/>
          <w:szCs w:val="20"/>
        </w:rPr>
        <w:t>, after being sexually assaulted twice,</w:t>
      </w:r>
      <w:r w:rsidRPr="00E55977">
        <w:rPr>
          <w:rFonts w:ascii="Cambria" w:hAnsi="Cambria"/>
          <w:sz w:val="20"/>
          <w:szCs w:val="20"/>
        </w:rPr>
        <w:t xml:space="preserve"> was denied effective and</w:t>
      </w:r>
      <w:r w:rsidR="00097DF2">
        <w:rPr>
          <w:rFonts w:ascii="Cambria" w:hAnsi="Cambria"/>
          <w:sz w:val="20"/>
          <w:szCs w:val="20"/>
        </w:rPr>
        <w:t xml:space="preserve"> free from</w:t>
      </w:r>
      <w:r w:rsidRPr="00E55977">
        <w:rPr>
          <w:rFonts w:ascii="Cambria" w:hAnsi="Cambria"/>
          <w:sz w:val="20"/>
          <w:szCs w:val="20"/>
        </w:rPr>
        <w:t xml:space="preserve"> discrimination access to the AOE. </w:t>
      </w:r>
      <w:r w:rsidR="00097DF2">
        <w:rPr>
          <w:rFonts w:ascii="Cambria" w:hAnsi="Cambria"/>
          <w:sz w:val="20"/>
          <w:szCs w:val="20"/>
        </w:rPr>
        <w:t>The petitioner</w:t>
      </w:r>
      <w:r w:rsidRPr="00E55977">
        <w:rPr>
          <w:rFonts w:ascii="Cambria" w:hAnsi="Cambria"/>
          <w:sz w:val="20"/>
          <w:szCs w:val="20"/>
        </w:rPr>
        <w:t xml:space="preserve"> argues that the alleged victim was raped a first time, on February 25, 2014, by a schoolmate, and a second time, on March 23, 2014, by four men, including the former aggressor, who then left her abandoned in a park. </w:t>
      </w:r>
      <w:r w:rsidR="00B00BDC">
        <w:rPr>
          <w:rFonts w:ascii="Cambria" w:hAnsi="Cambria"/>
          <w:sz w:val="20"/>
          <w:szCs w:val="20"/>
        </w:rPr>
        <w:t>They</w:t>
      </w:r>
      <w:r w:rsidRPr="00E55977">
        <w:rPr>
          <w:rFonts w:ascii="Cambria" w:hAnsi="Cambria"/>
          <w:sz w:val="20"/>
          <w:szCs w:val="20"/>
        </w:rPr>
        <w:t xml:space="preserve"> </w:t>
      </w:r>
      <w:r w:rsidR="00B00BDC">
        <w:rPr>
          <w:rFonts w:ascii="Cambria" w:hAnsi="Cambria"/>
          <w:sz w:val="20"/>
          <w:szCs w:val="20"/>
        </w:rPr>
        <w:t>contend</w:t>
      </w:r>
      <w:r w:rsidRPr="00E55977">
        <w:rPr>
          <w:rFonts w:ascii="Cambria" w:hAnsi="Cambria"/>
          <w:sz w:val="20"/>
          <w:szCs w:val="20"/>
        </w:rPr>
        <w:t xml:space="preserve"> that on the same day, </w:t>
      </w:r>
      <w:r w:rsidR="00B00BDC">
        <w:rPr>
          <w:rFonts w:ascii="Cambria" w:hAnsi="Cambria"/>
          <w:sz w:val="20"/>
          <w:szCs w:val="20"/>
        </w:rPr>
        <w:t>the relatives of the alleged victim</w:t>
      </w:r>
      <w:r w:rsidRPr="00E55977">
        <w:rPr>
          <w:rFonts w:ascii="Cambria" w:hAnsi="Cambria"/>
          <w:sz w:val="20"/>
          <w:szCs w:val="20"/>
        </w:rPr>
        <w:t xml:space="preserve"> took her to the Hermilio Valdizan Medrano Public Hospital, where she remained until March 26. </w:t>
      </w:r>
      <w:r w:rsidR="00410D9C">
        <w:rPr>
          <w:rFonts w:ascii="Cambria" w:hAnsi="Cambria"/>
          <w:sz w:val="20"/>
          <w:szCs w:val="20"/>
        </w:rPr>
        <w:t>T</w:t>
      </w:r>
      <w:r w:rsidRPr="00E55977">
        <w:rPr>
          <w:rFonts w:ascii="Cambria" w:hAnsi="Cambria"/>
          <w:sz w:val="20"/>
          <w:szCs w:val="20"/>
        </w:rPr>
        <w:t xml:space="preserve">he staff informed the parents that in order to </w:t>
      </w:r>
      <w:r w:rsidR="00B00BDC">
        <w:rPr>
          <w:rFonts w:ascii="Cambria" w:hAnsi="Cambria"/>
          <w:sz w:val="20"/>
          <w:szCs w:val="20"/>
        </w:rPr>
        <w:t>examine her</w:t>
      </w:r>
      <w:r w:rsidR="00410D9C">
        <w:rPr>
          <w:rFonts w:ascii="Cambria" w:hAnsi="Cambria"/>
          <w:sz w:val="20"/>
          <w:szCs w:val="20"/>
        </w:rPr>
        <w:t>,</w:t>
      </w:r>
      <w:r w:rsidRPr="00E55977">
        <w:rPr>
          <w:rFonts w:ascii="Cambria" w:hAnsi="Cambria"/>
          <w:sz w:val="20"/>
          <w:szCs w:val="20"/>
        </w:rPr>
        <w:t xml:space="preserve"> they had to file </w:t>
      </w:r>
      <w:r w:rsidR="00410D9C">
        <w:rPr>
          <w:rFonts w:ascii="Cambria" w:hAnsi="Cambria"/>
          <w:sz w:val="20"/>
          <w:szCs w:val="20"/>
        </w:rPr>
        <w:t>a</w:t>
      </w:r>
      <w:r w:rsidRPr="00E55977">
        <w:rPr>
          <w:rFonts w:ascii="Cambria" w:hAnsi="Cambria"/>
          <w:sz w:val="20"/>
          <w:szCs w:val="20"/>
        </w:rPr>
        <w:t xml:space="preserve"> criminal complaint, thus delaying </w:t>
      </w:r>
      <w:r w:rsidR="005754CF">
        <w:rPr>
          <w:rFonts w:ascii="Cambria" w:hAnsi="Cambria"/>
          <w:sz w:val="20"/>
          <w:szCs w:val="20"/>
        </w:rPr>
        <w:t>the</w:t>
      </w:r>
      <w:r w:rsidRPr="00E55977">
        <w:rPr>
          <w:rFonts w:ascii="Cambria" w:hAnsi="Cambria"/>
          <w:sz w:val="20"/>
          <w:szCs w:val="20"/>
        </w:rPr>
        <w:t xml:space="preserve"> health care </w:t>
      </w:r>
      <w:r w:rsidR="005754CF">
        <w:rPr>
          <w:rFonts w:ascii="Cambria" w:hAnsi="Cambria"/>
          <w:sz w:val="20"/>
          <w:szCs w:val="20"/>
        </w:rPr>
        <w:t xml:space="preserve">provided to the victim, </w:t>
      </w:r>
      <w:r w:rsidRPr="00E55977">
        <w:rPr>
          <w:rFonts w:ascii="Cambria" w:hAnsi="Cambria"/>
          <w:sz w:val="20"/>
          <w:szCs w:val="20"/>
        </w:rPr>
        <w:t>when it was an emergency situation. Therefore, on th</w:t>
      </w:r>
      <w:r w:rsidR="00A375D0">
        <w:rPr>
          <w:rFonts w:ascii="Cambria" w:hAnsi="Cambria"/>
          <w:sz w:val="20"/>
          <w:szCs w:val="20"/>
        </w:rPr>
        <w:t>at</w:t>
      </w:r>
      <w:r w:rsidRPr="00E55977">
        <w:rPr>
          <w:rFonts w:ascii="Cambria" w:hAnsi="Cambria"/>
          <w:sz w:val="20"/>
          <w:szCs w:val="20"/>
        </w:rPr>
        <w:t xml:space="preserve"> same day, the mother of the alleged victim filed a criminal complaint with the Deputy Prosecutor of the First Corporate Criminal Provincial Prosecutor's Office in Huánuco.</w:t>
      </w:r>
      <w:r w:rsidR="00A375D0">
        <w:rPr>
          <w:rStyle w:val="FootnoteReference"/>
          <w:rFonts w:ascii="Cambria" w:hAnsi="Cambria"/>
          <w:sz w:val="20"/>
          <w:szCs w:val="20"/>
        </w:rPr>
        <w:footnoteReference w:id="11"/>
      </w:r>
      <w:r w:rsidRPr="00E55977">
        <w:rPr>
          <w:rFonts w:ascii="Cambria" w:hAnsi="Cambria"/>
          <w:sz w:val="20"/>
          <w:szCs w:val="20"/>
        </w:rPr>
        <w:t xml:space="preserve"> The mother </w:t>
      </w:r>
      <w:r w:rsidR="00A102C3" w:rsidRPr="00E55977">
        <w:rPr>
          <w:rFonts w:ascii="Cambria" w:hAnsi="Cambria"/>
          <w:sz w:val="20"/>
          <w:szCs w:val="20"/>
        </w:rPr>
        <w:t>took the</w:t>
      </w:r>
      <w:r w:rsidRPr="00E55977">
        <w:rPr>
          <w:rFonts w:ascii="Cambria" w:hAnsi="Cambria"/>
          <w:sz w:val="20"/>
          <w:szCs w:val="20"/>
        </w:rPr>
        <w:t xml:space="preserve"> </w:t>
      </w:r>
      <w:r w:rsidR="00A375D0">
        <w:rPr>
          <w:rFonts w:ascii="Cambria" w:hAnsi="Cambria"/>
          <w:sz w:val="20"/>
          <w:szCs w:val="20"/>
        </w:rPr>
        <w:t xml:space="preserve">copy of the </w:t>
      </w:r>
      <w:r w:rsidRPr="00E55977">
        <w:rPr>
          <w:rFonts w:ascii="Cambria" w:hAnsi="Cambria"/>
          <w:sz w:val="20"/>
          <w:szCs w:val="20"/>
        </w:rPr>
        <w:t xml:space="preserve">complaint to the Hospital, where at 23:00 hours of the same day she arrived </w:t>
      </w:r>
      <w:r w:rsidR="00A375D0">
        <w:rPr>
          <w:rFonts w:ascii="Cambria" w:hAnsi="Cambria"/>
          <w:sz w:val="20"/>
          <w:szCs w:val="20"/>
        </w:rPr>
        <w:t>with</w:t>
      </w:r>
      <w:r w:rsidRPr="00E55977">
        <w:rPr>
          <w:rFonts w:ascii="Cambria" w:hAnsi="Cambria"/>
          <w:sz w:val="20"/>
          <w:szCs w:val="20"/>
        </w:rPr>
        <w:t xml:space="preserve"> the legist doctor Flemin Maylle Adriano, who performed the exams in the hospital's surgery service. </w:t>
      </w:r>
      <w:r w:rsidR="00F45741">
        <w:rPr>
          <w:rFonts w:ascii="Cambria" w:hAnsi="Cambria"/>
          <w:sz w:val="20"/>
          <w:szCs w:val="20"/>
        </w:rPr>
        <w:t>Th</w:t>
      </w:r>
      <w:r w:rsidR="00F45741" w:rsidRPr="00E55977">
        <w:rPr>
          <w:rFonts w:ascii="Cambria" w:hAnsi="Cambria"/>
          <w:sz w:val="20"/>
          <w:szCs w:val="20"/>
        </w:rPr>
        <w:t xml:space="preserve">e </w:t>
      </w:r>
      <w:r w:rsidR="00F45741">
        <w:rPr>
          <w:rFonts w:ascii="Cambria" w:hAnsi="Cambria"/>
          <w:sz w:val="20"/>
          <w:szCs w:val="20"/>
        </w:rPr>
        <w:t>petitioners submit</w:t>
      </w:r>
      <w:r w:rsidR="00F45741" w:rsidRPr="00E55977">
        <w:rPr>
          <w:rFonts w:ascii="Cambria" w:hAnsi="Cambria"/>
          <w:sz w:val="20"/>
          <w:szCs w:val="20"/>
        </w:rPr>
        <w:t xml:space="preserve"> </w:t>
      </w:r>
      <w:r w:rsidR="00F45741">
        <w:rPr>
          <w:rFonts w:ascii="Cambria" w:hAnsi="Cambria"/>
          <w:sz w:val="20"/>
          <w:szCs w:val="20"/>
        </w:rPr>
        <w:t>that once</w:t>
      </w:r>
      <w:r w:rsidRPr="00E55977">
        <w:rPr>
          <w:rFonts w:ascii="Cambria" w:hAnsi="Cambria"/>
          <w:sz w:val="20"/>
          <w:szCs w:val="20"/>
        </w:rPr>
        <w:t xml:space="preserve"> the exams completed, and 48 hours after the rape, the so-called </w:t>
      </w:r>
      <w:r w:rsidR="00A375D0" w:rsidRPr="00E55977">
        <w:rPr>
          <w:rFonts w:ascii="Cambria" w:hAnsi="Cambria"/>
          <w:sz w:val="20"/>
          <w:szCs w:val="20"/>
        </w:rPr>
        <w:t xml:space="preserve">“Next Day Pill”, </w:t>
      </w:r>
      <w:r w:rsidRPr="00E55977">
        <w:rPr>
          <w:rFonts w:ascii="Cambria" w:hAnsi="Cambria"/>
          <w:sz w:val="20"/>
          <w:szCs w:val="20"/>
        </w:rPr>
        <w:t>AOE</w:t>
      </w:r>
      <w:r w:rsidR="00A375D0">
        <w:rPr>
          <w:rFonts w:ascii="Cambria" w:hAnsi="Cambria"/>
          <w:sz w:val="20"/>
          <w:szCs w:val="20"/>
        </w:rPr>
        <w:t>,</w:t>
      </w:r>
      <w:r w:rsidRPr="00E55977">
        <w:rPr>
          <w:rFonts w:ascii="Cambria" w:hAnsi="Cambria"/>
          <w:sz w:val="20"/>
          <w:szCs w:val="20"/>
        </w:rPr>
        <w:t xml:space="preserve"> was prescribed</w:t>
      </w:r>
      <w:r w:rsidR="00A375D0">
        <w:rPr>
          <w:rFonts w:ascii="Cambria" w:hAnsi="Cambria"/>
          <w:sz w:val="20"/>
          <w:szCs w:val="20"/>
        </w:rPr>
        <w:t xml:space="preserve"> to the victim</w:t>
      </w:r>
      <w:r w:rsidRPr="00E55977">
        <w:rPr>
          <w:rFonts w:ascii="Cambria" w:hAnsi="Cambria"/>
          <w:sz w:val="20"/>
          <w:szCs w:val="20"/>
        </w:rPr>
        <w:t xml:space="preserve">, without </w:t>
      </w:r>
      <w:r w:rsidR="00B5055E">
        <w:rPr>
          <w:rFonts w:ascii="Cambria" w:hAnsi="Cambria"/>
          <w:sz w:val="20"/>
          <w:szCs w:val="20"/>
        </w:rPr>
        <w:t xml:space="preserve">however </w:t>
      </w:r>
      <w:r w:rsidRPr="00E55977">
        <w:rPr>
          <w:rFonts w:ascii="Cambria" w:hAnsi="Cambria"/>
          <w:sz w:val="20"/>
          <w:szCs w:val="20"/>
        </w:rPr>
        <w:t>providing</w:t>
      </w:r>
      <w:r w:rsidR="00B5055E">
        <w:rPr>
          <w:rFonts w:ascii="Cambria" w:hAnsi="Cambria"/>
          <w:sz w:val="20"/>
          <w:szCs w:val="20"/>
        </w:rPr>
        <w:t xml:space="preserve"> her with the </w:t>
      </w:r>
      <w:r w:rsidR="00B5055E" w:rsidRPr="00E55977">
        <w:rPr>
          <w:rFonts w:ascii="Cambria" w:hAnsi="Cambria"/>
          <w:sz w:val="20"/>
          <w:szCs w:val="20"/>
        </w:rPr>
        <w:t>information</w:t>
      </w:r>
      <w:r w:rsidRPr="00E55977">
        <w:rPr>
          <w:rFonts w:ascii="Cambria" w:hAnsi="Cambria"/>
          <w:sz w:val="20"/>
          <w:szCs w:val="20"/>
        </w:rPr>
        <w:t xml:space="preserve"> on the p</w:t>
      </w:r>
      <w:r w:rsidR="00A375D0">
        <w:rPr>
          <w:rFonts w:ascii="Cambria" w:hAnsi="Cambria"/>
          <w:sz w:val="20"/>
          <w:szCs w:val="20"/>
        </w:rPr>
        <w:t xml:space="preserve">roper way to </w:t>
      </w:r>
      <w:r w:rsidRPr="00E55977">
        <w:rPr>
          <w:rFonts w:ascii="Cambria" w:hAnsi="Cambria"/>
          <w:sz w:val="20"/>
          <w:szCs w:val="20"/>
        </w:rPr>
        <w:t xml:space="preserve">use </w:t>
      </w:r>
      <w:r w:rsidR="00A375D0">
        <w:rPr>
          <w:rFonts w:ascii="Cambria" w:hAnsi="Cambria"/>
          <w:sz w:val="20"/>
          <w:szCs w:val="20"/>
        </w:rPr>
        <w:t xml:space="preserve">it </w:t>
      </w:r>
      <w:r w:rsidRPr="00E55977">
        <w:rPr>
          <w:rFonts w:ascii="Cambria" w:hAnsi="Cambria"/>
          <w:sz w:val="20"/>
          <w:szCs w:val="20"/>
        </w:rPr>
        <w:t xml:space="preserve">or </w:t>
      </w:r>
      <w:r w:rsidR="00A375D0">
        <w:rPr>
          <w:rFonts w:ascii="Cambria" w:hAnsi="Cambria"/>
          <w:sz w:val="20"/>
          <w:szCs w:val="20"/>
        </w:rPr>
        <w:t xml:space="preserve">other </w:t>
      </w:r>
      <w:r w:rsidRPr="00E55977">
        <w:rPr>
          <w:rFonts w:ascii="Cambria" w:hAnsi="Cambria"/>
          <w:sz w:val="20"/>
          <w:szCs w:val="20"/>
        </w:rPr>
        <w:t xml:space="preserve">possible alternatives, </w:t>
      </w:r>
      <w:r w:rsidR="00A375D0">
        <w:rPr>
          <w:rFonts w:ascii="Cambria" w:hAnsi="Cambria"/>
          <w:sz w:val="20"/>
          <w:szCs w:val="20"/>
        </w:rPr>
        <w:t>and without</w:t>
      </w:r>
      <w:r w:rsidR="00B5055E">
        <w:rPr>
          <w:rFonts w:ascii="Cambria" w:hAnsi="Cambria"/>
          <w:sz w:val="20"/>
          <w:szCs w:val="20"/>
        </w:rPr>
        <w:t xml:space="preserve"> the alleged victim</w:t>
      </w:r>
      <w:r w:rsidR="00A375D0">
        <w:rPr>
          <w:rFonts w:ascii="Cambria" w:hAnsi="Cambria"/>
          <w:sz w:val="20"/>
          <w:szCs w:val="20"/>
        </w:rPr>
        <w:t xml:space="preserve"> being able to ask</w:t>
      </w:r>
      <w:r w:rsidRPr="00E55977">
        <w:rPr>
          <w:rFonts w:ascii="Cambria" w:hAnsi="Cambria"/>
          <w:sz w:val="20"/>
          <w:szCs w:val="20"/>
        </w:rPr>
        <w:t xml:space="preserve"> questions about the prescription and its nature and effects. Since neither the hospital nor the public pharmacies had the AOE, the alleged victim had to obtain </w:t>
      </w:r>
      <w:r w:rsidR="00A375D0">
        <w:rPr>
          <w:rFonts w:ascii="Cambria" w:hAnsi="Cambria"/>
          <w:sz w:val="20"/>
          <w:szCs w:val="20"/>
        </w:rPr>
        <w:t>it</w:t>
      </w:r>
      <w:r w:rsidRPr="00E55977">
        <w:rPr>
          <w:rFonts w:ascii="Cambria" w:hAnsi="Cambria"/>
          <w:sz w:val="20"/>
          <w:szCs w:val="20"/>
        </w:rPr>
        <w:t xml:space="preserve"> in a private pharmacy, despite </w:t>
      </w:r>
      <w:r w:rsidR="00DA32B3">
        <w:rPr>
          <w:rFonts w:ascii="Cambria" w:hAnsi="Cambria"/>
          <w:sz w:val="20"/>
          <w:szCs w:val="20"/>
        </w:rPr>
        <w:t>her</w:t>
      </w:r>
      <w:r w:rsidRPr="00E55977">
        <w:rPr>
          <w:rFonts w:ascii="Cambria" w:hAnsi="Cambria"/>
          <w:sz w:val="20"/>
          <w:szCs w:val="20"/>
        </w:rPr>
        <w:t xml:space="preserve"> </w:t>
      </w:r>
      <w:r w:rsidR="00DA32B3">
        <w:rPr>
          <w:rFonts w:ascii="Cambria" w:hAnsi="Cambria"/>
          <w:sz w:val="20"/>
          <w:szCs w:val="20"/>
        </w:rPr>
        <w:t>limited</w:t>
      </w:r>
      <w:r w:rsidRPr="00E55977">
        <w:rPr>
          <w:rFonts w:ascii="Cambria" w:hAnsi="Cambria"/>
          <w:sz w:val="20"/>
          <w:szCs w:val="20"/>
        </w:rPr>
        <w:t xml:space="preserve"> financial resources. Finally, </w:t>
      </w:r>
      <w:r w:rsidR="00A375D0">
        <w:rPr>
          <w:rFonts w:ascii="Cambria" w:hAnsi="Cambria"/>
          <w:sz w:val="20"/>
          <w:szCs w:val="20"/>
        </w:rPr>
        <w:t>t</w:t>
      </w:r>
      <w:r w:rsidRPr="00E55977">
        <w:rPr>
          <w:rFonts w:ascii="Cambria" w:hAnsi="Cambria"/>
          <w:sz w:val="20"/>
          <w:szCs w:val="20"/>
        </w:rPr>
        <w:t xml:space="preserve">he </w:t>
      </w:r>
      <w:r w:rsidR="00A375D0">
        <w:rPr>
          <w:rFonts w:ascii="Cambria" w:hAnsi="Cambria"/>
          <w:sz w:val="20"/>
          <w:szCs w:val="20"/>
        </w:rPr>
        <w:t xml:space="preserve">petitioner </w:t>
      </w:r>
      <w:r w:rsidRPr="00E55977">
        <w:rPr>
          <w:rFonts w:ascii="Cambria" w:hAnsi="Cambria"/>
          <w:sz w:val="20"/>
          <w:szCs w:val="20"/>
        </w:rPr>
        <w:t>indicate</w:t>
      </w:r>
      <w:r w:rsidR="00DA32B3">
        <w:rPr>
          <w:rFonts w:ascii="Cambria" w:hAnsi="Cambria"/>
          <w:sz w:val="20"/>
          <w:szCs w:val="20"/>
        </w:rPr>
        <w:t>d</w:t>
      </w:r>
      <w:r w:rsidRPr="00E55977">
        <w:rPr>
          <w:rFonts w:ascii="Cambria" w:hAnsi="Cambria"/>
          <w:sz w:val="20"/>
          <w:szCs w:val="20"/>
        </w:rPr>
        <w:t xml:space="preserve"> that during the four days he was in the hospital, the medical visit</w:t>
      </w:r>
      <w:r w:rsidR="00A375D0">
        <w:rPr>
          <w:rFonts w:ascii="Cambria" w:hAnsi="Cambria"/>
          <w:sz w:val="20"/>
          <w:szCs w:val="20"/>
        </w:rPr>
        <w:t>s</w:t>
      </w:r>
      <w:r w:rsidRPr="00E55977">
        <w:rPr>
          <w:rFonts w:ascii="Cambria" w:hAnsi="Cambria"/>
          <w:sz w:val="20"/>
          <w:szCs w:val="20"/>
        </w:rPr>
        <w:t xml:space="preserve"> w</w:t>
      </w:r>
      <w:r w:rsidR="00A375D0">
        <w:rPr>
          <w:rFonts w:ascii="Cambria" w:hAnsi="Cambria"/>
          <w:sz w:val="20"/>
          <w:szCs w:val="20"/>
        </w:rPr>
        <w:t>ere</w:t>
      </w:r>
      <w:r w:rsidRPr="00E55977">
        <w:rPr>
          <w:rFonts w:ascii="Cambria" w:hAnsi="Cambria"/>
          <w:sz w:val="20"/>
          <w:szCs w:val="20"/>
        </w:rPr>
        <w:t xml:space="preserve"> carried out by different people</w:t>
      </w:r>
      <w:r w:rsidR="00A375D0">
        <w:rPr>
          <w:rFonts w:ascii="Cambria" w:hAnsi="Cambria"/>
          <w:sz w:val="20"/>
          <w:szCs w:val="20"/>
        </w:rPr>
        <w:t xml:space="preserve"> every single day</w:t>
      </w:r>
      <w:r w:rsidRPr="00E55977">
        <w:rPr>
          <w:rFonts w:ascii="Cambria" w:hAnsi="Cambria"/>
          <w:sz w:val="20"/>
          <w:szCs w:val="20"/>
        </w:rPr>
        <w:t xml:space="preserve">, </w:t>
      </w:r>
      <w:r w:rsidR="00497AE4">
        <w:rPr>
          <w:rFonts w:ascii="Cambria" w:hAnsi="Cambria"/>
          <w:sz w:val="20"/>
          <w:szCs w:val="20"/>
        </w:rPr>
        <w:t>each one of them asking</w:t>
      </w:r>
      <w:r w:rsidRPr="00E55977">
        <w:rPr>
          <w:rFonts w:ascii="Cambria" w:hAnsi="Cambria"/>
          <w:sz w:val="20"/>
          <w:szCs w:val="20"/>
        </w:rPr>
        <w:t xml:space="preserve"> about the rape again and again, revictimizing </w:t>
      </w:r>
      <w:r w:rsidR="002E604F">
        <w:rPr>
          <w:rFonts w:ascii="Cambria" w:hAnsi="Cambria"/>
          <w:sz w:val="20"/>
          <w:szCs w:val="20"/>
        </w:rPr>
        <w:t>her</w:t>
      </w:r>
      <w:r w:rsidRPr="00E55977">
        <w:rPr>
          <w:rFonts w:ascii="Cambria" w:hAnsi="Cambria"/>
          <w:sz w:val="20"/>
          <w:szCs w:val="20"/>
        </w:rPr>
        <w:t xml:space="preserve"> every time.</w:t>
      </w:r>
      <w:r w:rsidR="00497AE4">
        <w:rPr>
          <w:rStyle w:val="FootnoteReference"/>
          <w:rFonts w:ascii="Cambria" w:hAnsi="Cambria"/>
          <w:sz w:val="20"/>
          <w:szCs w:val="20"/>
        </w:rPr>
        <w:footnoteReference w:id="12"/>
      </w:r>
    </w:p>
    <w:p w14:paraId="2344B66C" w14:textId="01C7E785" w:rsidR="001B63E4" w:rsidRDefault="001B63E4" w:rsidP="002D75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1B63E4">
        <w:rPr>
          <w:rFonts w:ascii="Cambria" w:hAnsi="Cambria"/>
          <w:sz w:val="20"/>
          <w:szCs w:val="20"/>
        </w:rPr>
        <w:t>Regarding equal access to emergency oral contraception, the petitioner</w:t>
      </w:r>
      <w:r w:rsidR="00011481">
        <w:rPr>
          <w:rFonts w:ascii="Cambria" w:hAnsi="Cambria"/>
          <w:sz w:val="20"/>
          <w:szCs w:val="20"/>
        </w:rPr>
        <w:t>s</w:t>
      </w:r>
      <w:r w:rsidRPr="001B63E4">
        <w:rPr>
          <w:rFonts w:ascii="Cambria" w:hAnsi="Cambria"/>
          <w:sz w:val="20"/>
          <w:szCs w:val="20"/>
        </w:rPr>
        <w:t xml:space="preserve"> allege that there is no remedy available in Peru that could </w:t>
      </w:r>
      <w:r w:rsidR="00107889">
        <w:rPr>
          <w:rFonts w:ascii="Cambria" w:hAnsi="Cambria"/>
          <w:sz w:val="20"/>
          <w:szCs w:val="20"/>
        </w:rPr>
        <w:t>repair</w:t>
      </w:r>
      <w:r w:rsidRPr="001B63E4">
        <w:rPr>
          <w:rFonts w:ascii="Cambria" w:hAnsi="Cambria"/>
          <w:sz w:val="20"/>
          <w:szCs w:val="20"/>
        </w:rPr>
        <w:t xml:space="preserve"> the human rights violations caused by </w:t>
      </w:r>
      <w:r w:rsidR="00107889">
        <w:rPr>
          <w:rFonts w:ascii="Cambria" w:hAnsi="Cambria"/>
          <w:sz w:val="20"/>
          <w:szCs w:val="20"/>
        </w:rPr>
        <w:t>denying access to the pill</w:t>
      </w:r>
      <w:r w:rsidRPr="001B63E4">
        <w:rPr>
          <w:rFonts w:ascii="Cambria" w:hAnsi="Cambria"/>
          <w:sz w:val="20"/>
          <w:szCs w:val="20"/>
        </w:rPr>
        <w:t>.</w:t>
      </w:r>
      <w:r w:rsidR="00107889">
        <w:rPr>
          <w:rFonts w:ascii="Cambria" w:hAnsi="Cambria"/>
          <w:sz w:val="20"/>
          <w:szCs w:val="20"/>
        </w:rPr>
        <w:t xml:space="preserve"> Petitioners </w:t>
      </w:r>
      <w:r w:rsidRPr="001B63E4">
        <w:rPr>
          <w:rFonts w:ascii="Cambria" w:hAnsi="Cambria"/>
          <w:sz w:val="20"/>
          <w:szCs w:val="20"/>
        </w:rPr>
        <w:t xml:space="preserve">indicate that the only remedy available would be </w:t>
      </w:r>
      <w:r w:rsidR="00107889">
        <w:rPr>
          <w:rFonts w:ascii="Cambria" w:hAnsi="Cambria"/>
          <w:sz w:val="20"/>
          <w:szCs w:val="20"/>
        </w:rPr>
        <w:t>filling an</w:t>
      </w:r>
      <w:r w:rsidRPr="001B63E4">
        <w:rPr>
          <w:rFonts w:ascii="Cambria" w:hAnsi="Cambria"/>
          <w:sz w:val="20"/>
          <w:szCs w:val="20"/>
        </w:rPr>
        <w:t xml:space="preserve"> </w:t>
      </w:r>
      <w:r w:rsidRPr="00DA32B3">
        <w:rPr>
          <w:rFonts w:ascii="Cambria" w:hAnsi="Cambria"/>
          <w:sz w:val="20"/>
          <w:szCs w:val="20"/>
        </w:rPr>
        <w:t>amparo, but</w:t>
      </w:r>
      <w:r w:rsidRPr="001B63E4">
        <w:rPr>
          <w:rFonts w:ascii="Cambria" w:hAnsi="Cambria"/>
          <w:sz w:val="20"/>
          <w:szCs w:val="20"/>
        </w:rPr>
        <w:t xml:space="preserve"> that it </w:t>
      </w:r>
      <w:r w:rsidR="00107889">
        <w:rPr>
          <w:rFonts w:ascii="Cambria" w:hAnsi="Cambria"/>
          <w:sz w:val="20"/>
          <w:szCs w:val="20"/>
        </w:rPr>
        <w:t xml:space="preserve">would be </w:t>
      </w:r>
      <w:r w:rsidRPr="001B63E4">
        <w:rPr>
          <w:rFonts w:ascii="Cambria" w:hAnsi="Cambria"/>
          <w:sz w:val="20"/>
          <w:szCs w:val="20"/>
        </w:rPr>
        <w:t xml:space="preserve"> ineffective, since it would be unreasonable </w:t>
      </w:r>
      <w:r w:rsidR="00107889">
        <w:rPr>
          <w:rFonts w:ascii="Cambria" w:hAnsi="Cambria"/>
          <w:sz w:val="20"/>
          <w:szCs w:val="20"/>
        </w:rPr>
        <w:t xml:space="preserve">for the </w:t>
      </w:r>
      <w:r w:rsidRPr="001B63E4">
        <w:rPr>
          <w:rFonts w:ascii="Cambria" w:hAnsi="Cambria"/>
          <w:sz w:val="20"/>
          <w:szCs w:val="20"/>
        </w:rPr>
        <w:t xml:space="preserve"> alleged victim </w:t>
      </w:r>
      <w:r w:rsidR="00107889">
        <w:rPr>
          <w:rFonts w:ascii="Cambria" w:hAnsi="Cambria"/>
          <w:sz w:val="20"/>
          <w:szCs w:val="20"/>
        </w:rPr>
        <w:t xml:space="preserve">to have to </w:t>
      </w:r>
      <w:r w:rsidRPr="001B63E4">
        <w:rPr>
          <w:rFonts w:ascii="Cambria" w:hAnsi="Cambria"/>
          <w:sz w:val="20"/>
          <w:szCs w:val="20"/>
        </w:rPr>
        <w:t xml:space="preserve">exhaust </w:t>
      </w:r>
      <w:r w:rsidR="00107889">
        <w:rPr>
          <w:rFonts w:ascii="Cambria" w:hAnsi="Cambria"/>
          <w:sz w:val="20"/>
          <w:szCs w:val="20"/>
        </w:rPr>
        <w:t>this recourse consider</w:t>
      </w:r>
      <w:r w:rsidR="00DA32B3">
        <w:rPr>
          <w:rFonts w:ascii="Cambria" w:hAnsi="Cambria"/>
          <w:sz w:val="20"/>
          <w:szCs w:val="20"/>
        </w:rPr>
        <w:t>i</w:t>
      </w:r>
      <w:r w:rsidR="00107889">
        <w:rPr>
          <w:rFonts w:ascii="Cambria" w:hAnsi="Cambria"/>
          <w:sz w:val="20"/>
          <w:szCs w:val="20"/>
        </w:rPr>
        <w:t>ng</w:t>
      </w:r>
      <w:r w:rsidRPr="001B63E4">
        <w:rPr>
          <w:rFonts w:ascii="Cambria" w:hAnsi="Cambria"/>
          <w:sz w:val="20"/>
          <w:szCs w:val="20"/>
        </w:rPr>
        <w:t xml:space="preserve"> the highest judicial instance in constitutional matters</w:t>
      </w:r>
      <w:r w:rsidR="00107889">
        <w:rPr>
          <w:rFonts w:ascii="Cambria" w:hAnsi="Cambria"/>
          <w:sz w:val="20"/>
          <w:szCs w:val="20"/>
        </w:rPr>
        <w:t xml:space="preserve"> has</w:t>
      </w:r>
      <w:r w:rsidRPr="001B63E4">
        <w:rPr>
          <w:rFonts w:ascii="Cambria" w:hAnsi="Cambria"/>
          <w:sz w:val="20"/>
          <w:szCs w:val="20"/>
        </w:rPr>
        <w:t xml:space="preserve"> </w:t>
      </w:r>
      <w:r w:rsidR="00107889">
        <w:rPr>
          <w:rFonts w:ascii="Cambria" w:hAnsi="Cambria"/>
          <w:sz w:val="20"/>
          <w:szCs w:val="20"/>
        </w:rPr>
        <w:t>affirmed</w:t>
      </w:r>
      <w:r w:rsidRPr="001B63E4">
        <w:rPr>
          <w:rFonts w:ascii="Cambria" w:hAnsi="Cambria"/>
          <w:sz w:val="20"/>
          <w:szCs w:val="20"/>
        </w:rPr>
        <w:t xml:space="preserve"> the prohibition of the public distribution of the AOE</w:t>
      </w:r>
      <w:r w:rsidR="00107889">
        <w:rPr>
          <w:rFonts w:ascii="Cambria" w:hAnsi="Cambria"/>
          <w:sz w:val="20"/>
          <w:szCs w:val="20"/>
        </w:rPr>
        <w:t>.</w:t>
      </w:r>
      <w:r w:rsidR="001F33BA">
        <w:rPr>
          <w:rStyle w:val="FootnoteReference"/>
          <w:rFonts w:ascii="Cambria" w:hAnsi="Cambria"/>
          <w:sz w:val="20"/>
          <w:szCs w:val="20"/>
        </w:rPr>
        <w:footnoteReference w:id="13"/>
      </w:r>
      <w:r w:rsidRPr="001B63E4">
        <w:rPr>
          <w:rFonts w:ascii="Cambria" w:hAnsi="Cambria"/>
          <w:sz w:val="20"/>
          <w:szCs w:val="20"/>
        </w:rPr>
        <w:t xml:space="preserve"> </w:t>
      </w:r>
      <w:r w:rsidR="00107889">
        <w:rPr>
          <w:rFonts w:ascii="Cambria" w:hAnsi="Cambria"/>
          <w:sz w:val="20"/>
          <w:szCs w:val="20"/>
        </w:rPr>
        <w:t>Petitioner</w:t>
      </w:r>
      <w:r w:rsidRPr="001B63E4">
        <w:rPr>
          <w:rFonts w:ascii="Cambria" w:hAnsi="Cambria"/>
          <w:sz w:val="20"/>
          <w:szCs w:val="20"/>
        </w:rPr>
        <w:t xml:space="preserve"> also indicates that the control of constitutionality in Peru is concentrated, </w:t>
      </w:r>
      <w:r w:rsidR="00107889">
        <w:rPr>
          <w:rFonts w:ascii="Cambria" w:hAnsi="Cambria"/>
          <w:sz w:val="20"/>
          <w:szCs w:val="20"/>
        </w:rPr>
        <w:t xml:space="preserve">hence this </w:t>
      </w:r>
      <w:r w:rsidR="00107889">
        <w:rPr>
          <w:rFonts w:ascii="Cambria" w:hAnsi="Cambria"/>
          <w:sz w:val="20"/>
          <w:szCs w:val="20"/>
        </w:rPr>
        <w:lastRenderedPageBreak/>
        <w:t xml:space="preserve">Court </w:t>
      </w:r>
      <w:r w:rsidR="001F33BA">
        <w:rPr>
          <w:rFonts w:ascii="Cambria" w:hAnsi="Cambria"/>
          <w:sz w:val="20"/>
          <w:szCs w:val="20"/>
        </w:rPr>
        <w:t>is the only Court in the country to entertain amparos</w:t>
      </w:r>
      <w:r w:rsidRPr="001B63E4">
        <w:rPr>
          <w:rFonts w:ascii="Cambria" w:hAnsi="Cambria"/>
          <w:sz w:val="20"/>
          <w:szCs w:val="20"/>
        </w:rPr>
        <w:t>.</w:t>
      </w:r>
      <w:r w:rsidR="001F33BA">
        <w:rPr>
          <w:rStyle w:val="FootnoteReference"/>
          <w:rFonts w:ascii="Cambria" w:hAnsi="Cambria"/>
          <w:sz w:val="20"/>
          <w:szCs w:val="20"/>
        </w:rPr>
        <w:footnoteReference w:id="14"/>
      </w:r>
      <w:r w:rsidRPr="001B63E4">
        <w:rPr>
          <w:rFonts w:ascii="Cambria" w:hAnsi="Cambria"/>
          <w:sz w:val="20"/>
          <w:szCs w:val="20"/>
        </w:rPr>
        <w:t xml:space="preserve"> Finally, they allege that the appeal lacks the </w:t>
      </w:r>
      <w:r w:rsidR="001F33BA">
        <w:rPr>
          <w:rFonts w:ascii="Cambria" w:hAnsi="Cambria"/>
          <w:sz w:val="20"/>
          <w:szCs w:val="20"/>
        </w:rPr>
        <w:t xml:space="preserve">necessary </w:t>
      </w:r>
      <w:r w:rsidR="001F33BA" w:rsidRPr="00A102C3">
        <w:rPr>
          <w:rFonts w:ascii="Cambria" w:hAnsi="Cambria"/>
          <w:sz w:val="20"/>
          <w:szCs w:val="20"/>
        </w:rPr>
        <w:t>speed</w:t>
      </w:r>
      <w:r w:rsidR="001F33BA">
        <w:rPr>
          <w:rFonts w:ascii="Cambria" w:hAnsi="Cambria"/>
          <w:sz w:val="20"/>
          <w:szCs w:val="20"/>
        </w:rPr>
        <w:t xml:space="preserve"> to consider it</w:t>
      </w:r>
      <w:r w:rsidRPr="001B63E4">
        <w:rPr>
          <w:rFonts w:ascii="Cambria" w:hAnsi="Cambria"/>
          <w:sz w:val="20"/>
          <w:szCs w:val="20"/>
        </w:rPr>
        <w:t xml:space="preserve"> suitable and effective. Experience shows that it is not possible to obtain a ruling in the form of </w:t>
      </w:r>
      <w:r w:rsidR="001F33BA">
        <w:rPr>
          <w:rFonts w:ascii="Cambria" w:hAnsi="Cambria"/>
          <w:sz w:val="20"/>
          <w:szCs w:val="20"/>
        </w:rPr>
        <w:t xml:space="preserve">an </w:t>
      </w:r>
      <w:r w:rsidRPr="001B63E4">
        <w:rPr>
          <w:rFonts w:ascii="Cambria" w:hAnsi="Cambria"/>
          <w:sz w:val="20"/>
          <w:szCs w:val="20"/>
        </w:rPr>
        <w:t xml:space="preserve">amparo by a judicial authority within a period of less than 72 hours, </w:t>
      </w:r>
      <w:r w:rsidR="001F33BA">
        <w:rPr>
          <w:rFonts w:ascii="Cambria" w:hAnsi="Cambria"/>
          <w:sz w:val="20"/>
          <w:szCs w:val="20"/>
        </w:rPr>
        <w:t>the</w:t>
      </w:r>
      <w:r w:rsidRPr="001B63E4">
        <w:rPr>
          <w:rFonts w:ascii="Cambria" w:hAnsi="Cambria"/>
          <w:sz w:val="20"/>
          <w:szCs w:val="20"/>
        </w:rPr>
        <w:t xml:space="preserve"> period prescribed to </w:t>
      </w:r>
      <w:r w:rsidR="001F33BA">
        <w:rPr>
          <w:rFonts w:ascii="Cambria" w:hAnsi="Cambria"/>
          <w:sz w:val="20"/>
          <w:szCs w:val="20"/>
        </w:rPr>
        <w:t>take</w:t>
      </w:r>
      <w:r w:rsidRPr="001B63E4">
        <w:rPr>
          <w:rFonts w:ascii="Cambria" w:hAnsi="Cambria"/>
          <w:sz w:val="20"/>
          <w:szCs w:val="20"/>
        </w:rPr>
        <w:t xml:space="preserve"> the AOE </w:t>
      </w:r>
      <w:r w:rsidR="001F33BA">
        <w:rPr>
          <w:rFonts w:ascii="Cambria" w:hAnsi="Cambria"/>
          <w:sz w:val="20"/>
          <w:szCs w:val="20"/>
        </w:rPr>
        <w:t>for it to be effective</w:t>
      </w:r>
      <w:r w:rsidRPr="001B63E4">
        <w:rPr>
          <w:rFonts w:ascii="Cambria" w:hAnsi="Cambria"/>
          <w:sz w:val="20"/>
          <w:szCs w:val="20"/>
        </w:rPr>
        <w:t xml:space="preserve">. In this regard, they refer to the </w:t>
      </w:r>
      <w:r w:rsidRPr="008B7719">
        <w:rPr>
          <w:rFonts w:ascii="Cambria" w:hAnsi="Cambria"/>
          <w:i/>
          <w:sz w:val="20"/>
          <w:szCs w:val="20"/>
        </w:rPr>
        <w:t xml:space="preserve">Violeta Cristina Gómez v. </w:t>
      </w:r>
      <w:r w:rsidR="008B7719" w:rsidRPr="008B7719">
        <w:rPr>
          <w:rFonts w:ascii="Cambria" w:hAnsi="Cambria"/>
          <w:i/>
          <w:sz w:val="20"/>
          <w:szCs w:val="20"/>
        </w:rPr>
        <w:t xml:space="preserve">Ministry of Health </w:t>
      </w:r>
      <w:r w:rsidR="0079602E" w:rsidRPr="00B22FE6">
        <w:rPr>
          <w:rFonts w:ascii="Cambria" w:hAnsi="Cambria"/>
          <w:sz w:val="20"/>
          <w:szCs w:val="20"/>
        </w:rPr>
        <w:t>c</w:t>
      </w:r>
      <w:r w:rsidR="008B7719">
        <w:rPr>
          <w:rFonts w:ascii="Cambria" w:hAnsi="Cambria"/>
          <w:sz w:val="20"/>
          <w:szCs w:val="20"/>
        </w:rPr>
        <w:t>ase</w:t>
      </w:r>
      <w:r w:rsidRPr="001B63E4">
        <w:rPr>
          <w:rFonts w:ascii="Cambria" w:hAnsi="Cambria"/>
          <w:sz w:val="20"/>
          <w:szCs w:val="20"/>
        </w:rPr>
        <w:t xml:space="preserve">, in which it took 38 days to obtain a decision on a precautionary measure ordering the State to distribute the AOE, and for which there is still no definitive </w:t>
      </w:r>
      <w:r w:rsidR="001F33BA">
        <w:rPr>
          <w:rFonts w:ascii="Cambria" w:hAnsi="Cambria"/>
          <w:sz w:val="20"/>
          <w:szCs w:val="20"/>
        </w:rPr>
        <w:t>ruling even</w:t>
      </w:r>
      <w:r w:rsidRPr="001B63E4">
        <w:rPr>
          <w:rFonts w:ascii="Cambria" w:hAnsi="Cambria"/>
          <w:sz w:val="20"/>
          <w:szCs w:val="20"/>
        </w:rPr>
        <w:t xml:space="preserve"> after five years.</w:t>
      </w:r>
      <w:r w:rsidR="001F33BA">
        <w:rPr>
          <w:rStyle w:val="FootnoteReference"/>
          <w:rFonts w:ascii="Cambria" w:hAnsi="Cambria"/>
          <w:sz w:val="20"/>
          <w:szCs w:val="20"/>
        </w:rPr>
        <w:footnoteReference w:id="15"/>
      </w:r>
      <w:r w:rsidRPr="001B63E4">
        <w:rPr>
          <w:rFonts w:ascii="Cambria" w:hAnsi="Cambria"/>
          <w:sz w:val="20"/>
          <w:szCs w:val="20"/>
        </w:rPr>
        <w:t xml:space="preserve"> Additionally, they indicate that although a precautionary measure was decreed in </w:t>
      </w:r>
      <w:r w:rsidRPr="00A102C3">
        <w:rPr>
          <w:rFonts w:ascii="Cambria" w:hAnsi="Cambria"/>
          <w:sz w:val="20"/>
          <w:szCs w:val="20"/>
        </w:rPr>
        <w:t>this case, compliance with said measure has been deficient.</w:t>
      </w:r>
      <w:r w:rsidR="00B52706" w:rsidRPr="00A102C3">
        <w:rPr>
          <w:rStyle w:val="FootnoteReference"/>
          <w:rFonts w:ascii="Cambria" w:hAnsi="Cambria"/>
          <w:sz w:val="20"/>
          <w:szCs w:val="20"/>
        </w:rPr>
        <w:footnoteReference w:id="16"/>
      </w:r>
      <w:r w:rsidRPr="00A102C3">
        <w:rPr>
          <w:rFonts w:ascii="Cambria" w:hAnsi="Cambria"/>
          <w:sz w:val="20"/>
          <w:szCs w:val="20"/>
        </w:rPr>
        <w:t xml:space="preserve"> Therefore, the appeal for amparo is not suitable to protect the infringed </w:t>
      </w:r>
      <w:r w:rsidR="00A102C3" w:rsidRPr="00A102C3">
        <w:rPr>
          <w:rFonts w:ascii="Cambria" w:hAnsi="Cambria"/>
          <w:sz w:val="20"/>
          <w:szCs w:val="20"/>
        </w:rPr>
        <w:t>rights</w:t>
      </w:r>
      <w:r w:rsidRPr="00A102C3">
        <w:rPr>
          <w:rFonts w:ascii="Cambria" w:hAnsi="Cambria"/>
          <w:sz w:val="20"/>
          <w:szCs w:val="20"/>
        </w:rPr>
        <w:t xml:space="preserve"> and, consequently, should not be considered as an internal remedy that </w:t>
      </w:r>
      <w:r w:rsidR="001F33BA" w:rsidRPr="00A102C3">
        <w:rPr>
          <w:rFonts w:ascii="Cambria" w:hAnsi="Cambria"/>
          <w:sz w:val="20"/>
          <w:szCs w:val="20"/>
        </w:rPr>
        <w:t>needs to</w:t>
      </w:r>
      <w:r w:rsidRPr="00A102C3">
        <w:rPr>
          <w:rFonts w:ascii="Cambria" w:hAnsi="Cambria"/>
          <w:sz w:val="20"/>
          <w:szCs w:val="20"/>
        </w:rPr>
        <w:t xml:space="preserve"> be exhausted.</w:t>
      </w:r>
    </w:p>
    <w:p w14:paraId="4A2D9EB5" w14:textId="37F129CD" w:rsidR="00FE7DCF" w:rsidRDefault="00FE7DCF" w:rsidP="002D75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FE7DCF">
        <w:rPr>
          <w:rFonts w:ascii="Cambria" w:hAnsi="Cambria"/>
          <w:sz w:val="20"/>
          <w:szCs w:val="20"/>
        </w:rPr>
        <w:t xml:space="preserve">Regarding the criminal process, the petitioner indicates that on April 24, 2014, Prosecutor Yanet Marlenen Corfero Dias ordered to initiate the preliminary investigation for the alleged commission of the rape against the alleged victim. On May 9, 2014, the alleged victim </w:t>
      </w:r>
      <w:r w:rsidR="00702FA6">
        <w:rPr>
          <w:rFonts w:ascii="Cambria" w:hAnsi="Cambria"/>
          <w:sz w:val="20"/>
          <w:szCs w:val="20"/>
        </w:rPr>
        <w:t>gave her statement</w:t>
      </w:r>
      <w:r w:rsidRPr="00FE7DCF">
        <w:rPr>
          <w:rFonts w:ascii="Cambria" w:hAnsi="Cambria"/>
          <w:sz w:val="20"/>
          <w:szCs w:val="20"/>
        </w:rPr>
        <w:t xml:space="preserve"> in the investigation that was </w:t>
      </w:r>
      <w:r w:rsidR="00757D32">
        <w:rPr>
          <w:rFonts w:ascii="Cambria" w:hAnsi="Cambria"/>
          <w:sz w:val="20"/>
          <w:szCs w:val="20"/>
        </w:rPr>
        <w:t>carried out</w:t>
      </w:r>
      <w:r w:rsidRPr="00FE7DCF">
        <w:rPr>
          <w:rFonts w:ascii="Cambria" w:hAnsi="Cambria"/>
          <w:sz w:val="20"/>
          <w:szCs w:val="20"/>
        </w:rPr>
        <w:t xml:space="preserve"> against Willinton Albornoz Ramos, and on May 16, </w:t>
      </w:r>
      <w:r w:rsidR="00757D32">
        <w:rPr>
          <w:rFonts w:ascii="Cambria" w:hAnsi="Cambria"/>
          <w:sz w:val="20"/>
          <w:szCs w:val="20"/>
        </w:rPr>
        <w:t xml:space="preserve">she underwent a </w:t>
      </w:r>
      <w:r w:rsidRPr="00FE7DCF">
        <w:rPr>
          <w:rFonts w:ascii="Cambria" w:hAnsi="Cambria"/>
          <w:sz w:val="20"/>
          <w:szCs w:val="20"/>
        </w:rPr>
        <w:t xml:space="preserve">psychological </w:t>
      </w:r>
      <w:r w:rsidR="00702FA6">
        <w:rPr>
          <w:rFonts w:ascii="Cambria" w:hAnsi="Cambria"/>
          <w:sz w:val="20"/>
          <w:szCs w:val="20"/>
        </w:rPr>
        <w:t>expert</w:t>
      </w:r>
      <w:r w:rsidR="00757D32">
        <w:rPr>
          <w:rFonts w:ascii="Cambria" w:hAnsi="Cambria"/>
          <w:sz w:val="20"/>
          <w:szCs w:val="20"/>
        </w:rPr>
        <w:t>ise</w:t>
      </w:r>
      <w:r w:rsidRPr="00FE7DCF">
        <w:rPr>
          <w:rFonts w:ascii="Cambria" w:hAnsi="Cambria"/>
          <w:sz w:val="20"/>
          <w:szCs w:val="20"/>
        </w:rPr>
        <w:t>. On June 21, 2014, the protocol of psychological expertise of the accused and the alleged victim was taken. Subsequently, on September 4, 2014, the Prosecutor</w:t>
      </w:r>
      <w:r w:rsidR="004078DD">
        <w:rPr>
          <w:rFonts w:ascii="Cambria" w:hAnsi="Cambria"/>
          <w:sz w:val="20"/>
          <w:szCs w:val="20"/>
        </w:rPr>
        <w:t xml:space="preserve">’s Office </w:t>
      </w:r>
      <w:r w:rsidRPr="00FE7DCF">
        <w:rPr>
          <w:rFonts w:ascii="Cambria" w:hAnsi="Cambria"/>
          <w:sz w:val="20"/>
          <w:szCs w:val="20"/>
        </w:rPr>
        <w:t xml:space="preserve">of the First Civil and Family Provincial of Huánuco was requested to formalize the complaint against the accused for the commission of rape. On December 23, 2014, the Court decided to open a judicial investigation against the accused, providing for his preventive detention as a procedural condition, </w:t>
      </w:r>
      <w:r w:rsidR="00C21F9A">
        <w:rPr>
          <w:rFonts w:ascii="Cambria" w:hAnsi="Cambria"/>
          <w:sz w:val="20"/>
          <w:szCs w:val="20"/>
        </w:rPr>
        <w:t>emitting</w:t>
      </w:r>
      <w:r w:rsidRPr="00FE7DCF">
        <w:rPr>
          <w:rFonts w:ascii="Cambria" w:hAnsi="Cambria"/>
          <w:sz w:val="20"/>
          <w:szCs w:val="20"/>
        </w:rPr>
        <w:t xml:space="preserve"> location and capture orders. T</w:t>
      </w:r>
      <w:r w:rsidR="004078DD">
        <w:rPr>
          <w:rFonts w:ascii="Cambria" w:hAnsi="Cambria"/>
          <w:sz w:val="20"/>
          <w:szCs w:val="20"/>
        </w:rPr>
        <w:t>he accused</w:t>
      </w:r>
      <w:r w:rsidRPr="00FE7DCF">
        <w:rPr>
          <w:rFonts w:ascii="Cambria" w:hAnsi="Cambria"/>
          <w:sz w:val="20"/>
          <w:szCs w:val="20"/>
        </w:rPr>
        <w:t xml:space="preserve"> was captured on July 20, 2015, </w:t>
      </w:r>
      <w:r w:rsidR="00C21F9A">
        <w:rPr>
          <w:rFonts w:ascii="Cambria" w:hAnsi="Cambria"/>
          <w:sz w:val="20"/>
          <w:szCs w:val="20"/>
        </w:rPr>
        <w:t xml:space="preserve">having been considered </w:t>
      </w:r>
      <w:r w:rsidRPr="00FE7DCF">
        <w:rPr>
          <w:rFonts w:ascii="Cambria" w:hAnsi="Cambria"/>
          <w:sz w:val="20"/>
          <w:szCs w:val="20"/>
        </w:rPr>
        <w:t>a fugitive from justice</w:t>
      </w:r>
      <w:r w:rsidR="00C21F9A">
        <w:rPr>
          <w:rFonts w:ascii="Cambria" w:hAnsi="Cambria"/>
          <w:sz w:val="20"/>
          <w:szCs w:val="20"/>
        </w:rPr>
        <w:t xml:space="preserve"> to that date</w:t>
      </w:r>
      <w:r w:rsidRPr="00FE7DCF">
        <w:rPr>
          <w:rFonts w:ascii="Cambria" w:hAnsi="Cambria"/>
          <w:sz w:val="20"/>
          <w:szCs w:val="20"/>
        </w:rPr>
        <w:t xml:space="preserve">, </w:t>
      </w:r>
      <w:r w:rsidR="00C21F9A">
        <w:rPr>
          <w:rFonts w:ascii="Cambria" w:hAnsi="Cambria"/>
          <w:sz w:val="20"/>
          <w:szCs w:val="20"/>
        </w:rPr>
        <w:t xml:space="preserve">period </w:t>
      </w:r>
      <w:r w:rsidRPr="00FE7DCF">
        <w:rPr>
          <w:rFonts w:ascii="Cambria" w:hAnsi="Cambria"/>
          <w:sz w:val="20"/>
          <w:szCs w:val="20"/>
        </w:rPr>
        <w:t xml:space="preserve">during which </w:t>
      </w:r>
      <w:r w:rsidR="00C21F9A">
        <w:rPr>
          <w:rFonts w:ascii="Cambria" w:hAnsi="Cambria"/>
          <w:sz w:val="20"/>
          <w:szCs w:val="20"/>
        </w:rPr>
        <w:t>t</w:t>
      </w:r>
      <w:r w:rsidRPr="00FE7DCF">
        <w:rPr>
          <w:rFonts w:ascii="Cambria" w:hAnsi="Cambria"/>
          <w:sz w:val="20"/>
          <w:szCs w:val="20"/>
        </w:rPr>
        <w:t xml:space="preserve">he alleged victim continued to receive threats from the aggressor by telephone and through Facebook and other social networks. On July 22, 2015, the Second Specialized Family Court of Huánuco issued a sentence in which </w:t>
      </w:r>
      <w:r w:rsidR="004078DD">
        <w:rPr>
          <w:rFonts w:ascii="Cambria" w:hAnsi="Cambria"/>
          <w:sz w:val="20"/>
          <w:szCs w:val="20"/>
        </w:rPr>
        <w:t>it</w:t>
      </w:r>
      <w:r w:rsidRPr="00FE7DCF">
        <w:rPr>
          <w:rFonts w:ascii="Cambria" w:hAnsi="Cambria"/>
          <w:sz w:val="20"/>
          <w:szCs w:val="20"/>
        </w:rPr>
        <w:t xml:space="preserve"> declared the criminal responsibility of the accused for the rape </w:t>
      </w:r>
      <w:r w:rsidR="00B52706">
        <w:rPr>
          <w:rFonts w:ascii="Cambria" w:hAnsi="Cambria"/>
          <w:sz w:val="20"/>
          <w:szCs w:val="20"/>
        </w:rPr>
        <w:t>of</w:t>
      </w:r>
      <w:r w:rsidRPr="00FE7DCF">
        <w:rPr>
          <w:rFonts w:ascii="Cambria" w:hAnsi="Cambria"/>
          <w:sz w:val="20"/>
          <w:szCs w:val="20"/>
        </w:rPr>
        <w:t xml:space="preserve"> the alleged victim. Since at the time of the events the perpetrator was 17 years old, the court ordered </w:t>
      </w:r>
      <w:r w:rsidR="00C21F9A">
        <w:rPr>
          <w:rFonts w:ascii="Cambria" w:hAnsi="Cambria"/>
          <w:sz w:val="20"/>
          <w:szCs w:val="20"/>
        </w:rPr>
        <w:t>a</w:t>
      </w:r>
      <w:r w:rsidRPr="00FE7DCF">
        <w:rPr>
          <w:rFonts w:ascii="Cambria" w:hAnsi="Cambria"/>
          <w:sz w:val="20"/>
          <w:szCs w:val="20"/>
        </w:rPr>
        <w:t xml:space="preserve"> socio-educational internment measure for a period of one year</w:t>
      </w:r>
      <w:r w:rsidR="00C21F9A">
        <w:rPr>
          <w:rFonts w:ascii="Cambria" w:hAnsi="Cambria"/>
          <w:sz w:val="20"/>
          <w:szCs w:val="20"/>
        </w:rPr>
        <w:t>,</w:t>
      </w:r>
      <w:r w:rsidRPr="00FE7DCF">
        <w:rPr>
          <w:rFonts w:ascii="Cambria" w:hAnsi="Cambria"/>
          <w:sz w:val="20"/>
          <w:szCs w:val="20"/>
        </w:rPr>
        <w:t xml:space="preserve"> as well as </w:t>
      </w:r>
      <w:r w:rsidR="00DD4B2D" w:rsidRPr="00FE7DCF">
        <w:rPr>
          <w:rFonts w:ascii="Cambria" w:hAnsi="Cambria"/>
          <w:sz w:val="20"/>
          <w:szCs w:val="20"/>
        </w:rPr>
        <w:t>civil</w:t>
      </w:r>
      <w:r w:rsidRPr="00FE7DCF">
        <w:rPr>
          <w:rFonts w:ascii="Cambria" w:hAnsi="Cambria"/>
          <w:sz w:val="20"/>
          <w:szCs w:val="20"/>
        </w:rPr>
        <w:t xml:space="preserve"> reparation of 900 </w:t>
      </w:r>
      <w:r w:rsidR="00C21F9A">
        <w:rPr>
          <w:rFonts w:ascii="Cambria" w:hAnsi="Cambria"/>
          <w:sz w:val="20"/>
          <w:szCs w:val="20"/>
        </w:rPr>
        <w:t>sol</w:t>
      </w:r>
      <w:r w:rsidRPr="00FE7DCF">
        <w:rPr>
          <w:rFonts w:ascii="Cambria" w:hAnsi="Cambria"/>
          <w:sz w:val="20"/>
          <w:szCs w:val="20"/>
        </w:rPr>
        <w:t xml:space="preserve">, to be paid to the alleged victim. After an appeal filed by the accused, on October 29, 2015, the </w:t>
      </w:r>
      <w:r w:rsidR="00DD4B2D">
        <w:rPr>
          <w:rFonts w:ascii="Cambria" w:hAnsi="Cambria"/>
          <w:sz w:val="20"/>
          <w:szCs w:val="20"/>
        </w:rPr>
        <w:t>Civil Chamber of the</w:t>
      </w:r>
      <w:r w:rsidR="00DD4B2D" w:rsidRPr="00FE7DCF">
        <w:rPr>
          <w:rFonts w:ascii="Cambria" w:hAnsi="Cambria"/>
          <w:sz w:val="20"/>
          <w:szCs w:val="20"/>
        </w:rPr>
        <w:t xml:space="preserve"> </w:t>
      </w:r>
      <w:r w:rsidRPr="00FE7DCF">
        <w:rPr>
          <w:rFonts w:ascii="Cambria" w:hAnsi="Cambria"/>
          <w:sz w:val="20"/>
          <w:szCs w:val="20"/>
        </w:rPr>
        <w:t>Superior Court of Justice of Huánuco confirmed the judgment of first instance, ratifying the conviction and the socio-educational measure ordered in the first instance.</w:t>
      </w:r>
      <w:r w:rsidR="00B52706">
        <w:rPr>
          <w:rStyle w:val="FootnoteReference"/>
          <w:rFonts w:ascii="Cambria" w:hAnsi="Cambria"/>
          <w:sz w:val="20"/>
          <w:szCs w:val="20"/>
        </w:rPr>
        <w:footnoteReference w:id="17"/>
      </w:r>
      <w:r w:rsidRPr="00FE7DCF">
        <w:rPr>
          <w:rFonts w:ascii="Cambria" w:hAnsi="Cambria"/>
          <w:sz w:val="20"/>
          <w:szCs w:val="20"/>
        </w:rPr>
        <w:t xml:space="preserve"> The petitioner</w:t>
      </w:r>
      <w:r w:rsidR="00DA32B3">
        <w:rPr>
          <w:rFonts w:ascii="Cambria" w:hAnsi="Cambria"/>
          <w:sz w:val="20"/>
          <w:szCs w:val="20"/>
        </w:rPr>
        <w:t xml:space="preserve"> </w:t>
      </w:r>
      <w:r w:rsidRPr="00FE7DCF">
        <w:rPr>
          <w:rFonts w:ascii="Cambria" w:hAnsi="Cambria"/>
          <w:sz w:val="20"/>
          <w:szCs w:val="20"/>
        </w:rPr>
        <w:t>indicat</w:t>
      </w:r>
      <w:r w:rsidR="00DA32B3">
        <w:rPr>
          <w:rFonts w:ascii="Cambria" w:hAnsi="Cambria"/>
          <w:sz w:val="20"/>
          <w:szCs w:val="20"/>
        </w:rPr>
        <w:t>e</w:t>
      </w:r>
      <w:r w:rsidRPr="00FE7DCF">
        <w:rPr>
          <w:rFonts w:ascii="Cambria" w:hAnsi="Cambria"/>
          <w:sz w:val="20"/>
          <w:szCs w:val="20"/>
        </w:rPr>
        <w:t xml:space="preserve">s that since the prosecution did not exercise its ex officio power to appeal the sentence, </w:t>
      </w:r>
      <w:r w:rsidR="00B52706">
        <w:rPr>
          <w:rFonts w:ascii="Cambria" w:hAnsi="Cambria"/>
          <w:sz w:val="20"/>
          <w:szCs w:val="20"/>
        </w:rPr>
        <w:t>the decision is final</w:t>
      </w:r>
      <w:r w:rsidRPr="00FE7DCF">
        <w:rPr>
          <w:rFonts w:ascii="Cambria" w:hAnsi="Cambria"/>
          <w:sz w:val="20"/>
          <w:szCs w:val="20"/>
        </w:rPr>
        <w:t xml:space="preserve">, so domestic remedies were exhausted. On July 18, 2016, the Family Court declared the accused rehabilitated and restored all his suspended or restricted rights, a resolution </w:t>
      </w:r>
      <w:r w:rsidR="00B52706">
        <w:rPr>
          <w:rFonts w:ascii="Cambria" w:hAnsi="Cambria"/>
          <w:sz w:val="20"/>
          <w:szCs w:val="20"/>
        </w:rPr>
        <w:t xml:space="preserve">which was </w:t>
      </w:r>
      <w:r w:rsidRPr="00FE7DCF">
        <w:rPr>
          <w:rFonts w:ascii="Cambria" w:hAnsi="Cambria"/>
          <w:sz w:val="20"/>
          <w:szCs w:val="20"/>
        </w:rPr>
        <w:t>confirmed on August 2, 2016.</w:t>
      </w:r>
    </w:p>
    <w:p w14:paraId="18A31455" w14:textId="017EBAFF" w:rsidR="00B52706" w:rsidRDefault="00B52706" w:rsidP="002D75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eastAsia="Calibri" w:hAnsi="Cambria"/>
          <w:sz w:val="20"/>
          <w:szCs w:val="20"/>
        </w:rPr>
      </w:pPr>
      <w:r w:rsidRPr="00B52706">
        <w:rPr>
          <w:rFonts w:ascii="Cambria" w:hAnsi="Cambria"/>
          <w:sz w:val="20"/>
          <w:szCs w:val="20"/>
        </w:rPr>
        <w:t xml:space="preserve">Regarding the other perpetrators, the </w:t>
      </w:r>
      <w:r>
        <w:rPr>
          <w:rFonts w:ascii="Cambria" w:hAnsi="Cambria"/>
          <w:sz w:val="20"/>
          <w:szCs w:val="20"/>
        </w:rPr>
        <w:t>petitioners</w:t>
      </w:r>
      <w:r w:rsidRPr="00B52706">
        <w:rPr>
          <w:rFonts w:ascii="Cambria" w:hAnsi="Cambria"/>
          <w:sz w:val="20"/>
          <w:szCs w:val="20"/>
        </w:rPr>
        <w:t xml:space="preserve"> argue that up to the date of filing the petition, and more than </w:t>
      </w:r>
      <w:r w:rsidR="00DD4B2D">
        <w:rPr>
          <w:rFonts w:ascii="Cambria" w:hAnsi="Cambria"/>
          <w:sz w:val="20"/>
          <w:szCs w:val="20"/>
        </w:rPr>
        <w:t>2</w:t>
      </w:r>
      <w:r>
        <w:rPr>
          <w:rFonts w:ascii="Cambria" w:hAnsi="Cambria"/>
          <w:sz w:val="20"/>
          <w:szCs w:val="20"/>
        </w:rPr>
        <w:t xml:space="preserve"> </w:t>
      </w:r>
      <w:r w:rsidRPr="00B52706">
        <w:rPr>
          <w:rFonts w:ascii="Cambria" w:hAnsi="Cambria"/>
          <w:sz w:val="20"/>
          <w:szCs w:val="20"/>
        </w:rPr>
        <w:t>years after the facts</w:t>
      </w:r>
      <w:r>
        <w:rPr>
          <w:rFonts w:ascii="Cambria" w:hAnsi="Cambria"/>
          <w:sz w:val="20"/>
          <w:szCs w:val="20"/>
        </w:rPr>
        <w:t xml:space="preserve"> took place</w:t>
      </w:r>
      <w:r w:rsidRPr="00B52706">
        <w:rPr>
          <w:rFonts w:ascii="Cambria" w:hAnsi="Cambria"/>
          <w:sz w:val="20"/>
          <w:szCs w:val="20"/>
        </w:rPr>
        <w:t>, none ha</w:t>
      </w:r>
      <w:r>
        <w:rPr>
          <w:rFonts w:ascii="Cambria" w:hAnsi="Cambria"/>
          <w:sz w:val="20"/>
          <w:szCs w:val="20"/>
        </w:rPr>
        <w:t>ve</w:t>
      </w:r>
      <w:r w:rsidRPr="00B52706">
        <w:rPr>
          <w:rFonts w:ascii="Cambria" w:hAnsi="Cambria"/>
          <w:sz w:val="20"/>
          <w:szCs w:val="20"/>
        </w:rPr>
        <w:t xml:space="preserve"> been located, prosecuted or convicted for their participation in the facts. </w:t>
      </w:r>
      <w:r>
        <w:rPr>
          <w:rFonts w:ascii="Cambria" w:hAnsi="Cambria"/>
          <w:sz w:val="20"/>
          <w:szCs w:val="20"/>
        </w:rPr>
        <w:t>They</w:t>
      </w:r>
      <w:r w:rsidRPr="00B52706">
        <w:rPr>
          <w:rFonts w:ascii="Cambria" w:hAnsi="Cambria"/>
          <w:sz w:val="20"/>
          <w:szCs w:val="20"/>
        </w:rPr>
        <w:t xml:space="preserve"> argue that, despite the allegations and testimonies granted by the victim and h</w:t>
      </w:r>
      <w:r>
        <w:rPr>
          <w:rFonts w:ascii="Cambria" w:hAnsi="Cambria"/>
          <w:sz w:val="20"/>
          <w:szCs w:val="20"/>
        </w:rPr>
        <w:t>er</w:t>
      </w:r>
      <w:r w:rsidRPr="00B52706">
        <w:rPr>
          <w:rFonts w:ascii="Cambria" w:hAnsi="Cambria"/>
          <w:sz w:val="20"/>
          <w:szCs w:val="20"/>
        </w:rPr>
        <w:t xml:space="preserve"> relatives, the State </w:t>
      </w:r>
      <w:r>
        <w:rPr>
          <w:rFonts w:ascii="Cambria" w:hAnsi="Cambria"/>
          <w:sz w:val="20"/>
          <w:szCs w:val="20"/>
        </w:rPr>
        <w:t>failed on</w:t>
      </w:r>
      <w:r w:rsidRPr="00B52706">
        <w:rPr>
          <w:rFonts w:ascii="Cambria" w:hAnsi="Cambria"/>
          <w:sz w:val="20"/>
          <w:szCs w:val="20"/>
        </w:rPr>
        <w:t xml:space="preserve"> its duty to </w:t>
      </w:r>
      <w:r>
        <w:rPr>
          <w:rFonts w:ascii="Cambria" w:hAnsi="Cambria"/>
          <w:sz w:val="20"/>
          <w:szCs w:val="20"/>
        </w:rPr>
        <w:t xml:space="preserve">diligently investigate </w:t>
      </w:r>
      <w:r w:rsidRPr="00B52706">
        <w:rPr>
          <w:rFonts w:ascii="Cambria" w:hAnsi="Cambria"/>
          <w:sz w:val="20"/>
          <w:szCs w:val="20"/>
        </w:rPr>
        <w:t xml:space="preserve">and take procedural action in this regard. Therefore, </w:t>
      </w:r>
      <w:r>
        <w:rPr>
          <w:rFonts w:ascii="Cambria" w:hAnsi="Cambria"/>
          <w:sz w:val="20"/>
          <w:szCs w:val="20"/>
        </w:rPr>
        <w:t>they</w:t>
      </w:r>
      <w:r w:rsidRPr="00B52706">
        <w:rPr>
          <w:rFonts w:ascii="Cambria" w:hAnsi="Cambria"/>
          <w:sz w:val="20"/>
          <w:szCs w:val="20"/>
        </w:rPr>
        <w:t xml:space="preserve"> argue that the exception provided in Article 46.2.c of the American Convention applies.</w:t>
      </w:r>
    </w:p>
    <w:p w14:paraId="657BC512" w14:textId="4A1833A5" w:rsidR="00B52706" w:rsidRDefault="00B52706" w:rsidP="002D75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eastAsia="Calibri" w:hAnsi="Cambria"/>
          <w:sz w:val="20"/>
          <w:szCs w:val="20"/>
        </w:rPr>
      </w:pPr>
      <w:r w:rsidRPr="00B52706">
        <w:rPr>
          <w:rFonts w:ascii="Cambria" w:eastAsia="Calibri" w:hAnsi="Cambria"/>
          <w:sz w:val="20"/>
          <w:szCs w:val="20"/>
        </w:rPr>
        <w:t xml:space="preserve">For its part, the State requests that the petition be declared inadmissible. Regarding the criminal process, the State alleges that it has </w:t>
      </w:r>
      <w:r w:rsidR="00A15EAF">
        <w:rPr>
          <w:rFonts w:ascii="Cambria" w:eastAsia="Calibri" w:hAnsi="Cambria"/>
          <w:sz w:val="20"/>
          <w:szCs w:val="20"/>
        </w:rPr>
        <w:t xml:space="preserve">carried out a </w:t>
      </w:r>
      <w:r w:rsidRPr="00B52706">
        <w:rPr>
          <w:rFonts w:ascii="Cambria" w:eastAsia="Calibri" w:hAnsi="Cambria"/>
          <w:sz w:val="20"/>
          <w:szCs w:val="20"/>
        </w:rPr>
        <w:t xml:space="preserve">serious, impartial and effective </w:t>
      </w:r>
      <w:r w:rsidR="00A15EAF">
        <w:rPr>
          <w:rFonts w:ascii="Cambria" w:eastAsia="Calibri" w:hAnsi="Cambria"/>
          <w:sz w:val="20"/>
          <w:szCs w:val="20"/>
        </w:rPr>
        <w:t>investigation</w:t>
      </w:r>
      <w:r w:rsidRPr="00B52706">
        <w:rPr>
          <w:rFonts w:ascii="Cambria" w:eastAsia="Calibri" w:hAnsi="Cambria"/>
          <w:sz w:val="20"/>
          <w:szCs w:val="20"/>
        </w:rPr>
        <w:t xml:space="preserve">, </w:t>
      </w:r>
      <w:r w:rsidR="00552D90">
        <w:rPr>
          <w:rFonts w:ascii="Cambria" w:eastAsia="Calibri" w:hAnsi="Cambria"/>
          <w:sz w:val="20"/>
          <w:szCs w:val="20"/>
        </w:rPr>
        <w:t>aimed</w:t>
      </w:r>
      <w:r w:rsidR="00A20F4A">
        <w:rPr>
          <w:rFonts w:ascii="Cambria" w:eastAsia="Calibri" w:hAnsi="Cambria"/>
          <w:sz w:val="20"/>
          <w:szCs w:val="20"/>
        </w:rPr>
        <w:t xml:space="preserve"> at</w:t>
      </w:r>
      <w:r w:rsidRPr="00B52706">
        <w:rPr>
          <w:rFonts w:ascii="Cambria" w:eastAsia="Calibri" w:hAnsi="Cambria"/>
          <w:sz w:val="20"/>
          <w:szCs w:val="20"/>
        </w:rPr>
        <w:t xml:space="preserve"> the determination of the truth, the persecution, capture, prosecution and eventual punishment of the perpetrators of the criminal acts. </w:t>
      </w:r>
      <w:r w:rsidR="000D1A20">
        <w:rPr>
          <w:rFonts w:ascii="Cambria" w:eastAsia="Calibri" w:hAnsi="Cambria"/>
          <w:sz w:val="20"/>
          <w:szCs w:val="20"/>
        </w:rPr>
        <w:t>It</w:t>
      </w:r>
      <w:r w:rsidRPr="00B52706">
        <w:rPr>
          <w:rFonts w:ascii="Cambria" w:eastAsia="Calibri" w:hAnsi="Cambria"/>
          <w:sz w:val="20"/>
          <w:szCs w:val="20"/>
        </w:rPr>
        <w:t xml:space="preserve"> argues that, particularly in the absence of witnesses, the scientific </w:t>
      </w:r>
      <w:r w:rsidR="005E734A">
        <w:rPr>
          <w:rFonts w:ascii="Cambria" w:eastAsia="Calibri" w:hAnsi="Cambria"/>
          <w:sz w:val="20"/>
          <w:szCs w:val="20"/>
        </w:rPr>
        <w:t>tests</w:t>
      </w:r>
      <w:r w:rsidRPr="00B52706">
        <w:rPr>
          <w:rFonts w:ascii="Cambria" w:eastAsia="Calibri" w:hAnsi="Cambria"/>
          <w:sz w:val="20"/>
          <w:szCs w:val="20"/>
        </w:rPr>
        <w:t xml:space="preserve"> that could be done </w:t>
      </w:r>
      <w:r w:rsidR="005E734A">
        <w:rPr>
          <w:rFonts w:ascii="Cambria" w:eastAsia="Calibri" w:hAnsi="Cambria"/>
          <w:sz w:val="20"/>
          <w:szCs w:val="20"/>
        </w:rPr>
        <w:t>were</w:t>
      </w:r>
      <w:r w:rsidRPr="00B52706">
        <w:rPr>
          <w:rFonts w:ascii="Cambria" w:eastAsia="Calibri" w:hAnsi="Cambria"/>
          <w:sz w:val="20"/>
          <w:szCs w:val="20"/>
        </w:rPr>
        <w:t xml:space="preserve"> exhausted, but that a result </w:t>
      </w:r>
      <w:r w:rsidR="005E734A" w:rsidRPr="00B52706">
        <w:rPr>
          <w:rFonts w:ascii="Cambria" w:eastAsia="Calibri" w:hAnsi="Cambria"/>
          <w:sz w:val="20"/>
          <w:szCs w:val="20"/>
        </w:rPr>
        <w:t xml:space="preserve">that would give evidence of the participation of the alleged aggressors </w:t>
      </w:r>
      <w:r w:rsidRPr="00B52706">
        <w:rPr>
          <w:rFonts w:ascii="Cambria" w:eastAsia="Calibri" w:hAnsi="Cambria"/>
          <w:sz w:val="20"/>
          <w:szCs w:val="20"/>
        </w:rPr>
        <w:t>could not be obtained from them. This situation does not imply a b</w:t>
      </w:r>
      <w:r w:rsidR="00461FAE">
        <w:rPr>
          <w:rFonts w:ascii="Cambria" w:eastAsia="Calibri" w:hAnsi="Cambria"/>
          <w:sz w:val="20"/>
          <w:szCs w:val="20"/>
        </w:rPr>
        <w:t>reach of the State's obligation</w:t>
      </w:r>
      <w:r w:rsidRPr="00B52706">
        <w:rPr>
          <w:rFonts w:ascii="Cambria" w:eastAsia="Calibri" w:hAnsi="Cambria"/>
          <w:sz w:val="20"/>
          <w:szCs w:val="20"/>
        </w:rPr>
        <w:t xml:space="preserve"> regarding the investigation of the facts, since</w:t>
      </w:r>
      <w:r w:rsidR="000D1A20">
        <w:rPr>
          <w:rFonts w:ascii="Cambria" w:eastAsia="Calibri" w:hAnsi="Cambria"/>
          <w:sz w:val="20"/>
          <w:szCs w:val="20"/>
        </w:rPr>
        <w:t xml:space="preserve"> this obligation</w:t>
      </w:r>
      <w:r w:rsidRPr="00B52706">
        <w:rPr>
          <w:rFonts w:ascii="Cambria" w:eastAsia="Calibri" w:hAnsi="Cambria"/>
          <w:sz w:val="20"/>
          <w:szCs w:val="20"/>
        </w:rPr>
        <w:t xml:space="preserve"> is one of means and not </w:t>
      </w:r>
      <w:r w:rsidR="000D1A20">
        <w:rPr>
          <w:rFonts w:ascii="Cambria" w:eastAsia="Calibri" w:hAnsi="Cambria"/>
          <w:sz w:val="20"/>
          <w:szCs w:val="20"/>
        </w:rPr>
        <w:t xml:space="preserve">of </w:t>
      </w:r>
      <w:r w:rsidRPr="00B52706">
        <w:rPr>
          <w:rFonts w:ascii="Cambria" w:eastAsia="Calibri" w:hAnsi="Cambria"/>
          <w:sz w:val="20"/>
          <w:szCs w:val="20"/>
        </w:rPr>
        <w:t>results. Also, the appeal of a conviction is not an ex officio duty as argued, but is a discretionary power exercised by the prosecutor, taking into account several factors. The Public Ministry chose not to appeal the judgment against the accused</w:t>
      </w:r>
      <w:r w:rsidR="00461FAE">
        <w:rPr>
          <w:rFonts w:ascii="Cambria" w:eastAsia="Calibri" w:hAnsi="Cambria"/>
          <w:sz w:val="20"/>
          <w:szCs w:val="20"/>
        </w:rPr>
        <w:t>,</w:t>
      </w:r>
      <w:r w:rsidRPr="00B52706">
        <w:rPr>
          <w:rFonts w:ascii="Cambria" w:eastAsia="Calibri" w:hAnsi="Cambria"/>
          <w:sz w:val="20"/>
          <w:szCs w:val="20"/>
        </w:rPr>
        <w:t xml:space="preserve"> </w:t>
      </w:r>
      <w:r w:rsidR="00461FAE">
        <w:rPr>
          <w:rFonts w:ascii="Cambria" w:eastAsia="Calibri" w:hAnsi="Cambria"/>
          <w:sz w:val="20"/>
          <w:szCs w:val="20"/>
        </w:rPr>
        <w:t xml:space="preserve">on the basis that </w:t>
      </w:r>
      <w:r w:rsidRPr="00B52706">
        <w:rPr>
          <w:rFonts w:ascii="Cambria" w:eastAsia="Calibri" w:hAnsi="Cambria"/>
          <w:sz w:val="20"/>
          <w:szCs w:val="20"/>
        </w:rPr>
        <w:t>it was harmoniously complying with the obligations of the State and the various interests at stake. Thus, it is clear that the questioning of</w:t>
      </w:r>
      <w:r w:rsidR="00461FAE">
        <w:rPr>
          <w:rFonts w:ascii="Cambria" w:eastAsia="Calibri" w:hAnsi="Cambria"/>
          <w:sz w:val="20"/>
          <w:szCs w:val="20"/>
        </w:rPr>
        <w:t xml:space="preserve"> the</w:t>
      </w:r>
      <w:r w:rsidRPr="00B52706">
        <w:rPr>
          <w:rFonts w:ascii="Cambria" w:eastAsia="Calibri" w:hAnsi="Cambria"/>
          <w:sz w:val="20"/>
          <w:szCs w:val="20"/>
        </w:rPr>
        <w:t xml:space="preserve"> judicial decisions issued by the </w:t>
      </w:r>
      <w:r w:rsidRPr="00B52706">
        <w:rPr>
          <w:rFonts w:ascii="Cambria" w:eastAsia="Calibri" w:hAnsi="Cambria"/>
          <w:sz w:val="20"/>
          <w:szCs w:val="20"/>
        </w:rPr>
        <w:lastRenderedPageBreak/>
        <w:t>competent jurisdictional bodies is not duly substantiated</w:t>
      </w:r>
      <w:r w:rsidR="00461FAE">
        <w:rPr>
          <w:rFonts w:ascii="Cambria" w:eastAsia="Calibri" w:hAnsi="Cambria"/>
          <w:sz w:val="20"/>
          <w:szCs w:val="20"/>
        </w:rPr>
        <w:t>, but is rather</w:t>
      </w:r>
      <w:r w:rsidRPr="00B52706">
        <w:rPr>
          <w:rFonts w:ascii="Cambria" w:eastAsia="Calibri" w:hAnsi="Cambria"/>
          <w:sz w:val="20"/>
          <w:szCs w:val="20"/>
        </w:rPr>
        <w:t xml:space="preserve"> </w:t>
      </w:r>
      <w:r w:rsidR="000D1A20">
        <w:rPr>
          <w:rFonts w:ascii="Cambria" w:eastAsia="Calibri" w:hAnsi="Cambria"/>
          <w:sz w:val="20"/>
          <w:szCs w:val="20"/>
        </w:rPr>
        <w:t xml:space="preserve">only </w:t>
      </w:r>
      <w:r w:rsidRPr="00B52706">
        <w:rPr>
          <w:rFonts w:ascii="Cambria" w:eastAsia="Calibri" w:hAnsi="Cambria"/>
          <w:sz w:val="20"/>
          <w:szCs w:val="20"/>
        </w:rPr>
        <w:t xml:space="preserve">supported by mere disagreement with the result obtained; </w:t>
      </w:r>
      <w:r w:rsidR="000D1A20">
        <w:rPr>
          <w:rFonts w:ascii="Cambria" w:eastAsia="Calibri" w:hAnsi="Cambria"/>
          <w:sz w:val="20"/>
          <w:szCs w:val="20"/>
        </w:rPr>
        <w:t>t</w:t>
      </w:r>
      <w:r w:rsidRPr="00B52706">
        <w:rPr>
          <w:rFonts w:ascii="Cambria" w:eastAsia="Calibri" w:hAnsi="Cambria"/>
          <w:sz w:val="20"/>
          <w:szCs w:val="20"/>
        </w:rPr>
        <w:t xml:space="preserve">he petitioner </w:t>
      </w:r>
      <w:r w:rsidR="00461FAE">
        <w:rPr>
          <w:rFonts w:ascii="Cambria" w:eastAsia="Calibri" w:hAnsi="Cambria"/>
          <w:sz w:val="20"/>
          <w:szCs w:val="20"/>
        </w:rPr>
        <w:t>intends</w:t>
      </w:r>
      <w:r w:rsidRPr="00B52706">
        <w:rPr>
          <w:rFonts w:ascii="Cambria" w:eastAsia="Calibri" w:hAnsi="Cambria"/>
          <w:sz w:val="20"/>
          <w:szCs w:val="20"/>
        </w:rPr>
        <w:t xml:space="preserve"> that the IACHR acts as a fourth instance court.</w:t>
      </w:r>
    </w:p>
    <w:p w14:paraId="68A934E9" w14:textId="540227FB" w:rsidR="00201146" w:rsidRDefault="00A1550F" w:rsidP="002D75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eastAsia="Calibri" w:hAnsi="Cambria"/>
          <w:sz w:val="20"/>
          <w:szCs w:val="20"/>
        </w:rPr>
      </w:pPr>
      <w:r w:rsidRPr="00201146">
        <w:rPr>
          <w:rFonts w:ascii="Cambria" w:eastAsia="Calibri" w:hAnsi="Cambria"/>
          <w:sz w:val="20"/>
          <w:szCs w:val="20"/>
        </w:rPr>
        <w:t>Likewise, the State argues that the petition does not comply with the requirement regarding the exhaustion of domestic remedies.</w:t>
      </w:r>
      <w:r w:rsidR="00A50D67">
        <w:rPr>
          <w:rFonts w:ascii="Cambria" w:eastAsia="Calibri" w:hAnsi="Cambria"/>
          <w:sz w:val="20"/>
          <w:szCs w:val="20"/>
        </w:rPr>
        <w:t xml:space="preserve"> It alleges that the petitioner should have filed an </w:t>
      </w:r>
      <w:r w:rsidRPr="00201146">
        <w:rPr>
          <w:rFonts w:ascii="Cambria" w:eastAsia="Calibri" w:hAnsi="Cambria"/>
          <w:sz w:val="20"/>
          <w:szCs w:val="20"/>
        </w:rPr>
        <w:t xml:space="preserve">amparo, a process aimed at the rapid and effective protection of fundamental rights, such as health and equality. Likewise, in order to prevent certain acts that violate fundamental rights from becoming irreparable, due to their urgency, the possibility of issuing precautionary measures has been incorporated in order to suspend the violation. Hence, the alleged victim has an ideal </w:t>
      </w:r>
      <w:r w:rsidR="00A50D67">
        <w:rPr>
          <w:rFonts w:ascii="Cambria" w:eastAsia="Calibri" w:hAnsi="Cambria"/>
          <w:sz w:val="20"/>
          <w:szCs w:val="20"/>
        </w:rPr>
        <w:t>remedy</w:t>
      </w:r>
      <w:r w:rsidRPr="00201146">
        <w:rPr>
          <w:rFonts w:ascii="Cambria" w:eastAsia="Calibri" w:hAnsi="Cambria"/>
          <w:sz w:val="20"/>
          <w:szCs w:val="20"/>
        </w:rPr>
        <w:t xml:space="preserve"> available, which is not an extraordinary </w:t>
      </w:r>
      <w:r w:rsidR="00AE538B">
        <w:rPr>
          <w:rFonts w:ascii="Cambria" w:eastAsia="Calibri" w:hAnsi="Cambria"/>
          <w:sz w:val="20"/>
          <w:szCs w:val="20"/>
        </w:rPr>
        <w:t>remedy</w:t>
      </w:r>
      <w:r w:rsidR="00875A38">
        <w:rPr>
          <w:rFonts w:ascii="Cambria" w:eastAsia="Calibri" w:hAnsi="Cambria"/>
          <w:sz w:val="20"/>
          <w:szCs w:val="20"/>
        </w:rPr>
        <w:t>,</w:t>
      </w:r>
      <w:r w:rsidRPr="00201146">
        <w:rPr>
          <w:rFonts w:ascii="Cambria" w:eastAsia="Calibri" w:hAnsi="Cambria"/>
          <w:sz w:val="20"/>
          <w:szCs w:val="20"/>
        </w:rPr>
        <w:t xml:space="preserve"> but a formal constitutional process. In this regard, the State refers to a resolution issued by the First Constitutional Court of the Superior Court of Lima on June 19, 2016, whereby a precautionary measure was </w:t>
      </w:r>
      <w:r w:rsidR="00F63E20">
        <w:rPr>
          <w:rFonts w:ascii="Cambria" w:eastAsia="Calibri" w:hAnsi="Cambria"/>
          <w:sz w:val="20"/>
          <w:szCs w:val="20"/>
        </w:rPr>
        <w:t>issued</w:t>
      </w:r>
      <w:r w:rsidRPr="00201146">
        <w:rPr>
          <w:rFonts w:ascii="Cambria" w:eastAsia="Calibri" w:hAnsi="Cambria"/>
          <w:sz w:val="20"/>
          <w:szCs w:val="20"/>
        </w:rPr>
        <w:t xml:space="preserve">, ordering the Ministry of Health </w:t>
      </w:r>
      <w:r w:rsidR="00201146" w:rsidRPr="00201146">
        <w:rPr>
          <w:rFonts w:ascii="Cambria" w:eastAsia="Calibri" w:hAnsi="Cambria"/>
          <w:sz w:val="20"/>
          <w:szCs w:val="20"/>
        </w:rPr>
        <w:t xml:space="preserve">to </w:t>
      </w:r>
      <w:r w:rsidRPr="00201146">
        <w:rPr>
          <w:rFonts w:ascii="Cambria" w:eastAsia="Calibri" w:hAnsi="Cambria"/>
          <w:sz w:val="20"/>
          <w:szCs w:val="20"/>
        </w:rPr>
        <w:t>di</w:t>
      </w:r>
      <w:r w:rsidR="00F63E20">
        <w:rPr>
          <w:rFonts w:ascii="Cambria" w:eastAsia="Calibri" w:hAnsi="Cambria"/>
          <w:sz w:val="20"/>
          <w:szCs w:val="20"/>
        </w:rPr>
        <w:t>stribute the AOE free of charge</w:t>
      </w:r>
      <w:r w:rsidRPr="00201146">
        <w:rPr>
          <w:rFonts w:ascii="Cambria" w:eastAsia="Calibri" w:hAnsi="Cambria"/>
          <w:sz w:val="20"/>
          <w:szCs w:val="20"/>
        </w:rPr>
        <w:t xml:space="preserve"> in all health centers nationwide</w:t>
      </w:r>
      <w:r w:rsidR="00F63E20">
        <w:rPr>
          <w:rFonts w:ascii="Cambria" w:eastAsia="Calibri" w:hAnsi="Cambria"/>
          <w:sz w:val="20"/>
          <w:szCs w:val="20"/>
        </w:rPr>
        <w:t>,</w:t>
      </w:r>
      <w:r w:rsidR="00201146" w:rsidRPr="00201146">
        <w:rPr>
          <w:rFonts w:ascii="Cambria" w:eastAsia="Calibri" w:hAnsi="Cambria"/>
          <w:sz w:val="20"/>
          <w:szCs w:val="20"/>
        </w:rPr>
        <w:t xml:space="preserve"> within 30 days</w:t>
      </w:r>
      <w:r w:rsidRPr="00201146">
        <w:rPr>
          <w:rFonts w:ascii="Cambria" w:eastAsia="Calibri" w:hAnsi="Cambria"/>
          <w:sz w:val="20"/>
          <w:szCs w:val="20"/>
        </w:rPr>
        <w:t xml:space="preserve">. The State alleges that the Ministry of Health has complied with said resolution. It also indicates that on July 2, 2019, the First Constitutional Court of Lima issued a resolution ordering the Ministry of Health to </w:t>
      </w:r>
      <w:r w:rsidR="00F63E20">
        <w:rPr>
          <w:rFonts w:ascii="Cambria" w:eastAsia="Calibri" w:hAnsi="Cambria"/>
          <w:sz w:val="20"/>
          <w:szCs w:val="20"/>
        </w:rPr>
        <w:t>give information about</w:t>
      </w:r>
      <w:r w:rsidRPr="00201146">
        <w:rPr>
          <w:rFonts w:ascii="Cambria" w:eastAsia="Calibri" w:hAnsi="Cambria"/>
          <w:sz w:val="20"/>
          <w:szCs w:val="20"/>
        </w:rPr>
        <w:t xml:space="preserve"> and distribute the emergency oral contraceptive free of charge, noting that the decision of the Constitutional Court 2005-2009-PA / TC of October 26, 2009 contravened the criteria established by the Inter-American Court in the case of </w:t>
      </w:r>
      <w:r w:rsidRPr="001D0DE2">
        <w:rPr>
          <w:rFonts w:ascii="Cambria" w:eastAsia="Calibri" w:hAnsi="Cambria"/>
          <w:i/>
          <w:sz w:val="20"/>
          <w:szCs w:val="20"/>
        </w:rPr>
        <w:t xml:space="preserve">Artavia Murillo et al. </w:t>
      </w:r>
      <w:r w:rsidR="00201146" w:rsidRPr="001D0DE2">
        <w:rPr>
          <w:rFonts w:ascii="Cambria" w:eastAsia="Calibri" w:hAnsi="Cambria"/>
          <w:i/>
          <w:sz w:val="20"/>
          <w:szCs w:val="20"/>
        </w:rPr>
        <w:t xml:space="preserve">vs. </w:t>
      </w:r>
      <w:r w:rsidRPr="001D0DE2">
        <w:rPr>
          <w:rFonts w:ascii="Cambria" w:eastAsia="Calibri" w:hAnsi="Cambria"/>
          <w:i/>
          <w:sz w:val="20"/>
          <w:szCs w:val="20"/>
        </w:rPr>
        <w:t>Costa Rica</w:t>
      </w:r>
      <w:r w:rsidRPr="00201146">
        <w:rPr>
          <w:rFonts w:ascii="Cambria" w:eastAsia="Calibri" w:hAnsi="Cambria"/>
          <w:sz w:val="20"/>
          <w:szCs w:val="20"/>
        </w:rPr>
        <w:t>.</w:t>
      </w:r>
    </w:p>
    <w:p w14:paraId="7C94EC3E" w14:textId="65C51009" w:rsidR="00201146" w:rsidRDefault="00201146" w:rsidP="002D75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eastAsia="Calibri" w:hAnsi="Cambria"/>
          <w:sz w:val="20"/>
          <w:szCs w:val="20"/>
        </w:rPr>
      </w:pPr>
      <w:r w:rsidRPr="00201146">
        <w:rPr>
          <w:rFonts w:ascii="Cambria" w:eastAsia="Calibri" w:hAnsi="Cambria"/>
          <w:sz w:val="20"/>
          <w:szCs w:val="20"/>
        </w:rPr>
        <w:t xml:space="preserve">Finally, the State indicates that although the American Declaration of the Rights and Duties of Man can be used by the IACHR to interpret the Convention, it cannot serve as a source to </w:t>
      </w:r>
      <w:r>
        <w:rPr>
          <w:rFonts w:ascii="Cambria" w:eastAsia="Calibri" w:hAnsi="Cambria"/>
          <w:sz w:val="20"/>
          <w:szCs w:val="20"/>
        </w:rPr>
        <w:t>claim direct effects of</w:t>
      </w:r>
      <w:r w:rsidRPr="00201146">
        <w:rPr>
          <w:rFonts w:ascii="Cambria" w:eastAsia="Calibri" w:hAnsi="Cambria"/>
          <w:sz w:val="20"/>
          <w:szCs w:val="20"/>
        </w:rPr>
        <w:t xml:space="preserve"> any of its provisions. In this regard, it indicates that</w:t>
      </w:r>
      <w:r>
        <w:rPr>
          <w:rFonts w:ascii="Cambria" w:eastAsia="Calibri" w:hAnsi="Cambria"/>
          <w:sz w:val="20"/>
          <w:szCs w:val="20"/>
        </w:rPr>
        <w:t>,</w:t>
      </w:r>
      <w:r w:rsidRPr="00201146">
        <w:rPr>
          <w:rFonts w:ascii="Cambria" w:eastAsia="Calibri" w:hAnsi="Cambria"/>
          <w:sz w:val="20"/>
          <w:szCs w:val="20"/>
        </w:rPr>
        <w:t xml:space="preserve"> unlike the Convention, the Declaration does not contain among its recognized rights the right to health and social security. Likewise, only the rights recognized in </w:t>
      </w:r>
      <w:r w:rsidR="004854C1">
        <w:rPr>
          <w:rFonts w:ascii="Cambria" w:eastAsia="Calibri" w:hAnsi="Cambria"/>
          <w:sz w:val="20"/>
          <w:szCs w:val="20"/>
        </w:rPr>
        <w:t>Article</w:t>
      </w:r>
      <w:r w:rsidRPr="00201146">
        <w:rPr>
          <w:rFonts w:ascii="Cambria" w:eastAsia="Calibri" w:hAnsi="Cambria"/>
          <w:sz w:val="20"/>
          <w:szCs w:val="20"/>
        </w:rPr>
        <w:t xml:space="preserve">s 8 and 13 of the Protocol of San Salvador </w:t>
      </w:r>
      <w:r w:rsidR="00D651DA">
        <w:rPr>
          <w:rFonts w:ascii="Cambria" w:eastAsia="Calibri" w:hAnsi="Cambria"/>
          <w:sz w:val="20"/>
          <w:szCs w:val="20"/>
        </w:rPr>
        <w:t>can</w:t>
      </w:r>
      <w:r w:rsidRPr="00201146">
        <w:rPr>
          <w:rFonts w:ascii="Cambria" w:eastAsia="Calibri" w:hAnsi="Cambria"/>
          <w:sz w:val="20"/>
          <w:szCs w:val="20"/>
        </w:rPr>
        <w:t xml:space="preserve"> be </w:t>
      </w:r>
      <w:r w:rsidR="00F72D32" w:rsidRPr="00FC60BA">
        <w:rPr>
          <w:rFonts w:ascii="Cambria" w:eastAsia="Calibri" w:hAnsi="Cambria"/>
          <w:sz w:val="20"/>
          <w:szCs w:val="20"/>
        </w:rPr>
        <w:t>argued</w:t>
      </w:r>
      <w:r w:rsidRPr="00201146">
        <w:rPr>
          <w:rFonts w:ascii="Cambria" w:eastAsia="Calibri" w:hAnsi="Cambria"/>
          <w:sz w:val="20"/>
          <w:szCs w:val="20"/>
        </w:rPr>
        <w:t xml:space="preserve"> through the individual communications system before the IACHR.</w:t>
      </w:r>
    </w:p>
    <w:p w14:paraId="6F4D4171" w14:textId="3E5FCEFF" w:rsidR="003239B8" w:rsidRPr="00201146" w:rsidRDefault="003239B8" w:rsidP="00A04F7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firstLine="720"/>
        <w:jc w:val="both"/>
        <w:rPr>
          <w:rFonts w:ascii="Cambria" w:eastAsia="Calibri" w:hAnsi="Cambria"/>
          <w:sz w:val="20"/>
          <w:szCs w:val="20"/>
        </w:rPr>
      </w:pPr>
      <w:r w:rsidRPr="00201146">
        <w:rPr>
          <w:rFonts w:asciiTheme="majorHAnsi" w:eastAsia="Cambria" w:hAnsiTheme="majorHAnsi" w:cs="Cambria"/>
          <w:b/>
          <w:bCs/>
          <w:color w:val="000000"/>
          <w:sz w:val="20"/>
          <w:szCs w:val="20"/>
          <w:u w:color="000000"/>
          <w:lang w:eastAsia="es-ES"/>
        </w:rPr>
        <w:t>VI.</w:t>
      </w:r>
      <w:r w:rsidRPr="00201146">
        <w:rPr>
          <w:rFonts w:asciiTheme="majorHAnsi" w:eastAsia="Cambria" w:hAnsiTheme="majorHAnsi" w:cs="Cambria"/>
          <w:b/>
          <w:bCs/>
          <w:color w:val="000000"/>
          <w:sz w:val="20"/>
          <w:szCs w:val="20"/>
          <w:u w:color="000000"/>
          <w:lang w:eastAsia="es-ES"/>
        </w:rPr>
        <w:tab/>
      </w:r>
      <w:r w:rsidR="006D45C9" w:rsidRPr="00201146">
        <w:rPr>
          <w:rFonts w:ascii="Cambria" w:eastAsia="Cambria" w:hAnsi="Cambria" w:cs="Cambria"/>
          <w:b/>
          <w:bCs/>
          <w:color w:val="000000"/>
          <w:sz w:val="20"/>
          <w:szCs w:val="20"/>
          <w:u w:color="000000"/>
          <w:lang w:eastAsia="es-ES"/>
        </w:rPr>
        <w:t>EXHAUSTION OF DOMESTIC REMEDIES AND TIMELINESS OF THE PETITION</w:t>
      </w:r>
      <w:r w:rsidR="00C21FEF" w:rsidRPr="00201146">
        <w:rPr>
          <w:rFonts w:asciiTheme="majorHAnsi" w:eastAsia="Cambria" w:hAnsiTheme="majorHAnsi" w:cs="Cambria"/>
          <w:b/>
          <w:bCs/>
          <w:color w:val="000000"/>
          <w:sz w:val="20"/>
          <w:szCs w:val="20"/>
          <w:u w:color="000000"/>
          <w:lang w:eastAsia="es-ES"/>
        </w:rPr>
        <w:t xml:space="preserve"> </w:t>
      </w:r>
    </w:p>
    <w:p w14:paraId="073757A5" w14:textId="31643420" w:rsidR="00201146" w:rsidRDefault="00201146" w:rsidP="002D75C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Cs/>
          <w:sz w:val="20"/>
          <w:szCs w:val="20"/>
        </w:rPr>
      </w:pPr>
      <w:r w:rsidRPr="00201146">
        <w:rPr>
          <w:rFonts w:asciiTheme="majorHAnsi" w:hAnsiTheme="majorHAnsi"/>
          <w:bCs/>
          <w:sz w:val="20"/>
          <w:szCs w:val="20"/>
        </w:rPr>
        <w:t xml:space="preserve">Regarding the criminal process, the petitioner contends that the investigations have not been completed </w:t>
      </w:r>
      <w:r>
        <w:rPr>
          <w:rFonts w:asciiTheme="majorHAnsi" w:hAnsiTheme="majorHAnsi"/>
          <w:bCs/>
          <w:sz w:val="20"/>
          <w:szCs w:val="20"/>
        </w:rPr>
        <w:t>and</w:t>
      </w:r>
      <w:r w:rsidRPr="00201146">
        <w:rPr>
          <w:rFonts w:asciiTheme="majorHAnsi" w:hAnsiTheme="majorHAnsi"/>
          <w:bCs/>
          <w:sz w:val="20"/>
          <w:szCs w:val="20"/>
        </w:rPr>
        <w:t xml:space="preserve"> all those responsible for the facts have </w:t>
      </w:r>
      <w:r>
        <w:rPr>
          <w:rFonts w:asciiTheme="majorHAnsi" w:hAnsiTheme="majorHAnsi"/>
          <w:bCs/>
          <w:sz w:val="20"/>
          <w:szCs w:val="20"/>
        </w:rPr>
        <w:t xml:space="preserve">not </w:t>
      </w:r>
      <w:r w:rsidRPr="00201146">
        <w:rPr>
          <w:rFonts w:asciiTheme="majorHAnsi" w:hAnsiTheme="majorHAnsi"/>
          <w:bCs/>
          <w:sz w:val="20"/>
          <w:szCs w:val="20"/>
        </w:rPr>
        <w:t xml:space="preserve">been punished, since only one of those responsible was identified and convicted. For its part, the State argues that the criminal proceedings have been carried out within a reasonable period of time, in accordance with the complexity of the matter and due diligence </w:t>
      </w:r>
      <w:r w:rsidR="00EF741F">
        <w:rPr>
          <w:rFonts w:asciiTheme="majorHAnsi" w:hAnsiTheme="majorHAnsi"/>
          <w:bCs/>
          <w:sz w:val="20"/>
          <w:szCs w:val="20"/>
        </w:rPr>
        <w:t xml:space="preserve">on behalf </w:t>
      </w:r>
      <w:r w:rsidRPr="00201146">
        <w:rPr>
          <w:rFonts w:asciiTheme="majorHAnsi" w:hAnsiTheme="majorHAnsi"/>
          <w:bCs/>
          <w:sz w:val="20"/>
          <w:szCs w:val="20"/>
        </w:rPr>
        <w:t xml:space="preserve">of the State. The Commission notes that on July 22, 2015, the Second Specialized Family Court of Huánuco sentenced one of those responsible for the rape </w:t>
      </w:r>
      <w:r w:rsidR="00EF741F">
        <w:rPr>
          <w:rFonts w:asciiTheme="majorHAnsi" w:hAnsiTheme="majorHAnsi"/>
          <w:bCs/>
          <w:sz w:val="20"/>
          <w:szCs w:val="20"/>
        </w:rPr>
        <w:t>of</w:t>
      </w:r>
      <w:r w:rsidRPr="00201146">
        <w:rPr>
          <w:rFonts w:asciiTheme="majorHAnsi" w:hAnsiTheme="majorHAnsi"/>
          <w:bCs/>
          <w:sz w:val="20"/>
          <w:szCs w:val="20"/>
        </w:rPr>
        <w:t xml:space="preserve"> the alleged victim to prison. However, the Commission observes that the petitioner</w:t>
      </w:r>
      <w:r w:rsidR="00CE79F8">
        <w:rPr>
          <w:rFonts w:asciiTheme="majorHAnsi" w:hAnsiTheme="majorHAnsi"/>
          <w:bCs/>
          <w:sz w:val="20"/>
          <w:szCs w:val="20"/>
        </w:rPr>
        <w:t>s</w:t>
      </w:r>
      <w:r w:rsidRPr="00201146">
        <w:rPr>
          <w:rFonts w:asciiTheme="majorHAnsi" w:hAnsiTheme="majorHAnsi"/>
          <w:bCs/>
          <w:sz w:val="20"/>
          <w:szCs w:val="20"/>
        </w:rPr>
        <w:t xml:space="preserve"> allege </w:t>
      </w:r>
      <w:r w:rsidR="00EF741F">
        <w:rPr>
          <w:rFonts w:asciiTheme="majorHAnsi" w:hAnsiTheme="majorHAnsi"/>
          <w:bCs/>
          <w:sz w:val="20"/>
          <w:szCs w:val="20"/>
        </w:rPr>
        <w:t xml:space="preserve">that </w:t>
      </w:r>
      <w:r w:rsidRPr="00201146">
        <w:rPr>
          <w:rFonts w:asciiTheme="majorHAnsi" w:hAnsiTheme="majorHAnsi"/>
          <w:bCs/>
          <w:sz w:val="20"/>
          <w:szCs w:val="20"/>
        </w:rPr>
        <w:t>the State's inaction</w:t>
      </w:r>
      <w:r w:rsidR="00EF741F">
        <w:rPr>
          <w:rFonts w:asciiTheme="majorHAnsi" w:hAnsiTheme="majorHAnsi"/>
          <w:bCs/>
          <w:sz w:val="20"/>
          <w:szCs w:val="20"/>
        </w:rPr>
        <w:t xml:space="preserve"> is the</w:t>
      </w:r>
      <w:r w:rsidRPr="00201146">
        <w:rPr>
          <w:rFonts w:asciiTheme="majorHAnsi" w:hAnsiTheme="majorHAnsi"/>
          <w:bCs/>
          <w:sz w:val="20"/>
          <w:szCs w:val="20"/>
        </w:rPr>
        <w:t xml:space="preserve"> reason </w:t>
      </w:r>
      <w:r w:rsidR="00EF741F">
        <w:rPr>
          <w:rFonts w:asciiTheme="majorHAnsi" w:hAnsiTheme="majorHAnsi"/>
          <w:bCs/>
          <w:sz w:val="20"/>
          <w:szCs w:val="20"/>
        </w:rPr>
        <w:t xml:space="preserve">why </w:t>
      </w:r>
      <w:r w:rsidRPr="00201146">
        <w:rPr>
          <w:rFonts w:asciiTheme="majorHAnsi" w:hAnsiTheme="majorHAnsi"/>
          <w:bCs/>
          <w:sz w:val="20"/>
          <w:szCs w:val="20"/>
        </w:rPr>
        <w:t>the</w:t>
      </w:r>
      <w:r w:rsidR="00EF741F">
        <w:rPr>
          <w:rFonts w:asciiTheme="majorHAnsi" w:hAnsiTheme="majorHAnsi"/>
          <w:bCs/>
          <w:sz w:val="20"/>
          <w:szCs w:val="20"/>
        </w:rPr>
        <w:t xml:space="preserve"> responsibility</w:t>
      </w:r>
      <w:r w:rsidRPr="00201146">
        <w:rPr>
          <w:rFonts w:asciiTheme="majorHAnsi" w:hAnsiTheme="majorHAnsi"/>
          <w:bCs/>
          <w:sz w:val="20"/>
          <w:szCs w:val="20"/>
        </w:rPr>
        <w:t xml:space="preserve"> of three of the four </w:t>
      </w:r>
      <w:r w:rsidR="00EF741F">
        <w:rPr>
          <w:rFonts w:asciiTheme="majorHAnsi" w:hAnsiTheme="majorHAnsi"/>
          <w:bCs/>
          <w:sz w:val="20"/>
          <w:szCs w:val="20"/>
        </w:rPr>
        <w:t xml:space="preserve">alleged </w:t>
      </w:r>
      <w:r w:rsidRPr="00201146">
        <w:rPr>
          <w:rFonts w:asciiTheme="majorHAnsi" w:hAnsiTheme="majorHAnsi"/>
          <w:bCs/>
          <w:sz w:val="20"/>
          <w:szCs w:val="20"/>
        </w:rPr>
        <w:t>responsible parties would remain in impunity. In view of the foregoing, the Commission considers the exception provided for in Article 46.2.c of the American Convention applies.</w:t>
      </w:r>
    </w:p>
    <w:p w14:paraId="7665A985" w14:textId="64799F9C" w:rsidR="00EF741F" w:rsidRDefault="00EF741F" w:rsidP="002D75C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Cs/>
          <w:sz w:val="20"/>
          <w:szCs w:val="20"/>
        </w:rPr>
      </w:pPr>
      <w:r w:rsidRPr="00EF741F">
        <w:rPr>
          <w:rFonts w:asciiTheme="majorHAnsi" w:hAnsiTheme="majorHAnsi"/>
          <w:bCs/>
          <w:sz w:val="20"/>
          <w:szCs w:val="20"/>
        </w:rPr>
        <w:t xml:space="preserve">Regarding equal access to the AOE, the Commission observes that it is an uncontroversial fact that there was a final and binding decision at the time </w:t>
      </w:r>
      <w:r>
        <w:rPr>
          <w:rFonts w:asciiTheme="majorHAnsi" w:hAnsiTheme="majorHAnsi"/>
          <w:bCs/>
          <w:sz w:val="20"/>
          <w:szCs w:val="20"/>
        </w:rPr>
        <w:t>issued by</w:t>
      </w:r>
      <w:r w:rsidRPr="00EF741F">
        <w:rPr>
          <w:rFonts w:asciiTheme="majorHAnsi" w:hAnsiTheme="majorHAnsi"/>
          <w:bCs/>
          <w:sz w:val="20"/>
          <w:szCs w:val="20"/>
        </w:rPr>
        <w:t xml:space="preserve"> the highest judicial instance of Peru in constitutional matters, which declared the unconstitutionality of its distribution by the Ministry of Health. The Commission notes that the State argues that there was no exhaustion of domestic remedies, since the petitioner did not exhaust the amparo, which was available and suitable, as demonstrated by an action</w:t>
      </w:r>
      <w:r w:rsidR="00BD41F2">
        <w:rPr>
          <w:rFonts w:asciiTheme="majorHAnsi" w:hAnsiTheme="majorHAnsi"/>
          <w:bCs/>
          <w:sz w:val="20"/>
          <w:szCs w:val="20"/>
        </w:rPr>
        <w:t xml:space="preserve"> filed regarding</w:t>
      </w:r>
      <w:r w:rsidRPr="00EF741F">
        <w:rPr>
          <w:rFonts w:asciiTheme="majorHAnsi" w:hAnsiTheme="majorHAnsi"/>
          <w:bCs/>
          <w:sz w:val="20"/>
          <w:szCs w:val="20"/>
        </w:rPr>
        <w:t xml:space="preserve"> similar facts, </w:t>
      </w:r>
      <w:r w:rsidR="001043C7">
        <w:rPr>
          <w:rFonts w:asciiTheme="majorHAnsi" w:hAnsiTheme="majorHAnsi"/>
          <w:bCs/>
          <w:sz w:val="20"/>
          <w:szCs w:val="20"/>
        </w:rPr>
        <w:t xml:space="preserve">in which </w:t>
      </w:r>
      <w:r w:rsidRPr="00EF741F">
        <w:rPr>
          <w:rFonts w:asciiTheme="majorHAnsi" w:hAnsiTheme="majorHAnsi"/>
          <w:bCs/>
          <w:sz w:val="20"/>
          <w:szCs w:val="20"/>
        </w:rPr>
        <w:t>a precautionary measure</w:t>
      </w:r>
      <w:r w:rsidR="001043C7">
        <w:rPr>
          <w:rFonts w:asciiTheme="majorHAnsi" w:hAnsiTheme="majorHAnsi"/>
          <w:bCs/>
          <w:sz w:val="20"/>
          <w:szCs w:val="20"/>
        </w:rPr>
        <w:t xml:space="preserve"> was issued on</w:t>
      </w:r>
      <w:r w:rsidRPr="00EF741F">
        <w:rPr>
          <w:rFonts w:asciiTheme="majorHAnsi" w:hAnsiTheme="majorHAnsi"/>
          <w:bCs/>
          <w:sz w:val="20"/>
          <w:szCs w:val="20"/>
        </w:rPr>
        <w:t xml:space="preserve"> June 19, 2016, </w:t>
      </w:r>
      <w:r w:rsidR="001043C7">
        <w:rPr>
          <w:rFonts w:asciiTheme="majorHAnsi" w:hAnsiTheme="majorHAnsi"/>
          <w:bCs/>
          <w:sz w:val="20"/>
          <w:szCs w:val="20"/>
        </w:rPr>
        <w:t>ordering the</w:t>
      </w:r>
      <w:r w:rsidRPr="00EF741F">
        <w:rPr>
          <w:rFonts w:asciiTheme="majorHAnsi" w:hAnsiTheme="majorHAnsi"/>
          <w:bCs/>
          <w:sz w:val="20"/>
          <w:szCs w:val="20"/>
        </w:rPr>
        <w:t xml:space="preserve"> distribution of the AOE within 30 days. The Commission also takes note of the subsequent decision of July 2, 2019, resolving the merits of the appeal. Regarding this, the petitioner</w:t>
      </w:r>
      <w:r w:rsidR="003642A9">
        <w:rPr>
          <w:rFonts w:asciiTheme="majorHAnsi" w:hAnsiTheme="majorHAnsi"/>
          <w:bCs/>
          <w:sz w:val="20"/>
          <w:szCs w:val="20"/>
        </w:rPr>
        <w:t>s indicate</w:t>
      </w:r>
      <w:r w:rsidRPr="00EF741F">
        <w:rPr>
          <w:rFonts w:asciiTheme="majorHAnsi" w:hAnsiTheme="majorHAnsi"/>
          <w:bCs/>
          <w:sz w:val="20"/>
          <w:szCs w:val="20"/>
        </w:rPr>
        <w:t xml:space="preserve"> that</w:t>
      </w:r>
      <w:r w:rsidR="006D4007">
        <w:rPr>
          <w:rFonts w:asciiTheme="majorHAnsi" w:hAnsiTheme="majorHAnsi"/>
          <w:bCs/>
          <w:sz w:val="20"/>
          <w:szCs w:val="20"/>
        </w:rPr>
        <w:t xml:space="preserve"> the usual</w:t>
      </w:r>
      <w:r w:rsidRPr="00EF741F">
        <w:rPr>
          <w:rFonts w:asciiTheme="majorHAnsi" w:hAnsiTheme="majorHAnsi"/>
          <w:bCs/>
          <w:sz w:val="20"/>
          <w:szCs w:val="20"/>
        </w:rPr>
        <w:t xml:space="preserve"> </w:t>
      </w:r>
      <w:r w:rsidR="006D4007">
        <w:rPr>
          <w:rFonts w:asciiTheme="majorHAnsi" w:hAnsiTheme="majorHAnsi"/>
          <w:bCs/>
          <w:sz w:val="20"/>
          <w:szCs w:val="20"/>
        </w:rPr>
        <w:t xml:space="preserve">timeframe </w:t>
      </w:r>
      <w:r>
        <w:rPr>
          <w:rFonts w:asciiTheme="majorHAnsi" w:hAnsiTheme="majorHAnsi"/>
          <w:bCs/>
          <w:sz w:val="20"/>
          <w:szCs w:val="20"/>
        </w:rPr>
        <w:t xml:space="preserve">to resolve </w:t>
      </w:r>
      <w:r w:rsidR="006D4007">
        <w:rPr>
          <w:rFonts w:asciiTheme="majorHAnsi" w:hAnsiTheme="majorHAnsi"/>
          <w:bCs/>
          <w:sz w:val="20"/>
          <w:szCs w:val="20"/>
        </w:rPr>
        <w:t>such</w:t>
      </w:r>
      <w:r w:rsidRPr="00EF741F">
        <w:rPr>
          <w:rFonts w:asciiTheme="majorHAnsi" w:hAnsiTheme="majorHAnsi"/>
          <w:bCs/>
          <w:sz w:val="20"/>
          <w:szCs w:val="20"/>
        </w:rPr>
        <w:t xml:space="preserve"> appeal </w:t>
      </w:r>
      <w:r>
        <w:rPr>
          <w:rFonts w:asciiTheme="majorHAnsi" w:hAnsiTheme="majorHAnsi"/>
          <w:bCs/>
          <w:sz w:val="20"/>
          <w:szCs w:val="20"/>
        </w:rPr>
        <w:t>does not</w:t>
      </w:r>
      <w:r w:rsidRPr="00EF741F">
        <w:rPr>
          <w:rFonts w:asciiTheme="majorHAnsi" w:hAnsiTheme="majorHAnsi"/>
          <w:bCs/>
          <w:sz w:val="20"/>
          <w:szCs w:val="20"/>
        </w:rPr>
        <w:t xml:space="preserve"> protect the rights of the alleged victim, since it is not possible to obtain a ruling by a judicial authority within a period of time allowing </w:t>
      </w:r>
      <w:r>
        <w:rPr>
          <w:rFonts w:asciiTheme="majorHAnsi" w:hAnsiTheme="majorHAnsi"/>
          <w:bCs/>
          <w:sz w:val="20"/>
          <w:szCs w:val="20"/>
        </w:rPr>
        <w:t>the administration of</w:t>
      </w:r>
      <w:r w:rsidRPr="00EF741F">
        <w:rPr>
          <w:rFonts w:asciiTheme="majorHAnsi" w:hAnsiTheme="majorHAnsi"/>
          <w:bCs/>
          <w:sz w:val="20"/>
          <w:szCs w:val="20"/>
        </w:rPr>
        <w:t xml:space="preserve"> AOE</w:t>
      </w:r>
      <w:r>
        <w:rPr>
          <w:rFonts w:asciiTheme="majorHAnsi" w:hAnsiTheme="majorHAnsi"/>
          <w:bCs/>
          <w:sz w:val="20"/>
          <w:szCs w:val="20"/>
        </w:rPr>
        <w:t xml:space="preserve"> to be effective</w:t>
      </w:r>
      <w:r w:rsidRPr="00EF741F">
        <w:rPr>
          <w:rFonts w:asciiTheme="majorHAnsi" w:hAnsiTheme="majorHAnsi"/>
          <w:bCs/>
          <w:sz w:val="20"/>
          <w:szCs w:val="20"/>
        </w:rPr>
        <w:t xml:space="preserve">. Therefore, the Commission observes that in the specific circumstances of the present case, there was no </w:t>
      </w:r>
      <w:r w:rsidR="007C110F">
        <w:rPr>
          <w:rFonts w:asciiTheme="majorHAnsi" w:hAnsiTheme="majorHAnsi"/>
          <w:bCs/>
          <w:sz w:val="20"/>
          <w:szCs w:val="20"/>
        </w:rPr>
        <w:t>remedy</w:t>
      </w:r>
      <w:r w:rsidRPr="00EF741F">
        <w:rPr>
          <w:rFonts w:asciiTheme="majorHAnsi" w:hAnsiTheme="majorHAnsi"/>
          <w:bCs/>
          <w:sz w:val="20"/>
          <w:szCs w:val="20"/>
        </w:rPr>
        <w:t xml:space="preserve"> in the domestic legislation of the State that could be effective for the protection of the rights </w:t>
      </w:r>
      <w:r>
        <w:rPr>
          <w:rFonts w:asciiTheme="majorHAnsi" w:hAnsiTheme="majorHAnsi"/>
          <w:bCs/>
          <w:sz w:val="20"/>
          <w:szCs w:val="20"/>
        </w:rPr>
        <w:t>allegedly violated</w:t>
      </w:r>
      <w:r w:rsidRPr="00EF741F">
        <w:rPr>
          <w:rFonts w:asciiTheme="majorHAnsi" w:hAnsiTheme="majorHAnsi"/>
          <w:bCs/>
          <w:sz w:val="20"/>
          <w:szCs w:val="20"/>
        </w:rPr>
        <w:t xml:space="preserve">. Thus, the Commission concludes that the exception provided for in </w:t>
      </w:r>
      <w:r w:rsidR="004854C1">
        <w:rPr>
          <w:rFonts w:asciiTheme="majorHAnsi" w:hAnsiTheme="majorHAnsi"/>
          <w:bCs/>
          <w:sz w:val="20"/>
          <w:szCs w:val="20"/>
        </w:rPr>
        <w:t>Article</w:t>
      </w:r>
      <w:r w:rsidRPr="00EF741F">
        <w:rPr>
          <w:rFonts w:asciiTheme="majorHAnsi" w:hAnsiTheme="majorHAnsi"/>
          <w:bCs/>
          <w:sz w:val="20"/>
          <w:szCs w:val="20"/>
        </w:rPr>
        <w:t xml:space="preserve"> 46.2.a of the Convention applies.</w:t>
      </w:r>
    </w:p>
    <w:p w14:paraId="740AE4B9" w14:textId="020E3AC4" w:rsidR="00EF741F" w:rsidRPr="00201146" w:rsidRDefault="00EF741F" w:rsidP="002D75C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Cs/>
          <w:sz w:val="20"/>
          <w:szCs w:val="20"/>
        </w:rPr>
      </w:pPr>
      <w:r w:rsidRPr="00EF741F">
        <w:rPr>
          <w:rFonts w:asciiTheme="majorHAnsi" w:hAnsiTheme="majorHAnsi"/>
          <w:bCs/>
          <w:sz w:val="20"/>
          <w:szCs w:val="20"/>
        </w:rPr>
        <w:t>On the other hand, the IACHR observes that the events occurred in 2014 and that there is a conviction dated July 22, 2015</w:t>
      </w:r>
      <w:r w:rsidR="00EA41C8">
        <w:rPr>
          <w:rFonts w:asciiTheme="majorHAnsi" w:hAnsiTheme="majorHAnsi"/>
          <w:bCs/>
          <w:sz w:val="20"/>
          <w:szCs w:val="20"/>
        </w:rPr>
        <w:t>,</w:t>
      </w:r>
      <w:r>
        <w:rPr>
          <w:rFonts w:asciiTheme="majorHAnsi" w:hAnsiTheme="majorHAnsi"/>
          <w:bCs/>
          <w:sz w:val="20"/>
          <w:szCs w:val="20"/>
        </w:rPr>
        <w:t xml:space="preserve"> </w:t>
      </w:r>
      <w:r w:rsidRPr="00EF741F">
        <w:rPr>
          <w:rFonts w:asciiTheme="majorHAnsi" w:hAnsiTheme="majorHAnsi"/>
          <w:bCs/>
          <w:sz w:val="20"/>
          <w:szCs w:val="20"/>
        </w:rPr>
        <w:t xml:space="preserve">confirmed on October 29, 2015, so it is considered that the petition was presented within a reasonable period of time and the admissibility requirement regarding the submission period </w:t>
      </w:r>
      <w:r>
        <w:rPr>
          <w:rFonts w:asciiTheme="majorHAnsi" w:hAnsiTheme="majorHAnsi"/>
          <w:bCs/>
          <w:sz w:val="20"/>
          <w:szCs w:val="20"/>
        </w:rPr>
        <w:t>is</w:t>
      </w:r>
      <w:r w:rsidRPr="00EF741F">
        <w:rPr>
          <w:rFonts w:asciiTheme="majorHAnsi" w:hAnsiTheme="majorHAnsi"/>
          <w:bCs/>
          <w:sz w:val="20"/>
          <w:szCs w:val="20"/>
        </w:rPr>
        <w:t xml:space="preserve"> satisfied.</w:t>
      </w:r>
    </w:p>
    <w:p w14:paraId="39291003" w14:textId="77777777" w:rsidR="00FB2AFE" w:rsidRDefault="00FB2AFE" w:rsidP="00A04F7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firstLine="720"/>
        <w:jc w:val="both"/>
        <w:rPr>
          <w:rFonts w:asciiTheme="majorHAnsi" w:hAnsiTheme="majorHAnsi"/>
          <w:b/>
          <w:bCs/>
          <w:sz w:val="20"/>
          <w:szCs w:val="20"/>
          <w:lang w:val="en-GB"/>
        </w:rPr>
      </w:pPr>
    </w:p>
    <w:p w14:paraId="4FFBE378" w14:textId="51515B51" w:rsidR="003239B8" w:rsidRPr="001F7820" w:rsidRDefault="003239B8" w:rsidP="00A04F7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firstLine="720"/>
        <w:jc w:val="both"/>
        <w:rPr>
          <w:rFonts w:asciiTheme="majorHAnsi" w:hAnsiTheme="majorHAnsi"/>
          <w:b/>
          <w:sz w:val="20"/>
          <w:szCs w:val="20"/>
          <w:lang w:val="en-GB"/>
        </w:rPr>
      </w:pPr>
      <w:r w:rsidRPr="001F7820">
        <w:rPr>
          <w:rFonts w:asciiTheme="majorHAnsi" w:hAnsiTheme="majorHAnsi"/>
          <w:b/>
          <w:bCs/>
          <w:sz w:val="20"/>
          <w:szCs w:val="20"/>
          <w:lang w:val="en-GB"/>
        </w:rPr>
        <w:lastRenderedPageBreak/>
        <w:t>VII.</w:t>
      </w:r>
      <w:r w:rsidRPr="001F7820">
        <w:rPr>
          <w:rFonts w:asciiTheme="majorHAnsi" w:hAnsiTheme="majorHAnsi"/>
          <w:b/>
          <w:bCs/>
          <w:sz w:val="20"/>
          <w:szCs w:val="20"/>
          <w:lang w:val="en-GB"/>
        </w:rPr>
        <w:tab/>
      </w:r>
      <w:r w:rsidR="006D45C9" w:rsidRPr="001F7820">
        <w:rPr>
          <w:rFonts w:asciiTheme="majorHAnsi" w:hAnsiTheme="majorHAnsi"/>
          <w:b/>
          <w:bCs/>
          <w:sz w:val="20"/>
          <w:szCs w:val="20"/>
          <w:lang w:val="en-GB"/>
        </w:rPr>
        <w:t>COLORABLE CLAIM</w:t>
      </w:r>
    </w:p>
    <w:p w14:paraId="4A1AB804" w14:textId="1E5A717D" w:rsidR="00EF741F" w:rsidRDefault="00016441" w:rsidP="0001644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016441">
        <w:rPr>
          <w:rFonts w:ascii="Cambria" w:hAnsi="Cambria"/>
          <w:sz w:val="20"/>
          <w:szCs w:val="20"/>
        </w:rPr>
        <w:t xml:space="preserve">The Commission notes that this petition includes allegations regarding </w:t>
      </w:r>
      <w:r w:rsidR="00EF741F" w:rsidRPr="00EF741F">
        <w:rPr>
          <w:rFonts w:ascii="Cambria" w:hAnsi="Cambria"/>
          <w:sz w:val="20"/>
          <w:szCs w:val="20"/>
        </w:rPr>
        <w:t xml:space="preserve">the lack of diligent investigation by the State </w:t>
      </w:r>
      <w:r w:rsidR="001D2BA6">
        <w:rPr>
          <w:rFonts w:ascii="Cambria" w:hAnsi="Cambria"/>
          <w:sz w:val="20"/>
          <w:szCs w:val="20"/>
        </w:rPr>
        <w:t>as part of</w:t>
      </w:r>
      <w:r w:rsidR="00EF741F" w:rsidRPr="00EF741F">
        <w:rPr>
          <w:rFonts w:ascii="Cambria" w:hAnsi="Cambria"/>
          <w:sz w:val="20"/>
          <w:szCs w:val="20"/>
        </w:rPr>
        <w:t xml:space="preserve"> the criminal process, which would have </w:t>
      </w:r>
      <w:r w:rsidR="00DA32B3">
        <w:rPr>
          <w:rFonts w:ascii="Cambria" w:hAnsi="Cambria"/>
          <w:sz w:val="20"/>
          <w:szCs w:val="20"/>
        </w:rPr>
        <w:t xml:space="preserve">impeded </w:t>
      </w:r>
      <w:r w:rsidR="00EF741F" w:rsidRPr="00EF741F">
        <w:rPr>
          <w:rFonts w:ascii="Cambria" w:hAnsi="Cambria"/>
          <w:sz w:val="20"/>
          <w:szCs w:val="20"/>
        </w:rPr>
        <w:t>the clarification of the facts and the punishment of all those responsible, as well as</w:t>
      </w:r>
      <w:r w:rsidR="001F7820">
        <w:rPr>
          <w:rFonts w:ascii="Cambria" w:hAnsi="Cambria"/>
          <w:sz w:val="20"/>
          <w:szCs w:val="20"/>
        </w:rPr>
        <w:t xml:space="preserve"> </w:t>
      </w:r>
      <w:r w:rsidR="00DA32B3">
        <w:rPr>
          <w:rFonts w:ascii="Cambria" w:hAnsi="Cambria"/>
          <w:sz w:val="20"/>
          <w:szCs w:val="20"/>
        </w:rPr>
        <w:t xml:space="preserve">also </w:t>
      </w:r>
      <w:r w:rsidR="001F7820">
        <w:rPr>
          <w:rFonts w:ascii="Cambria" w:hAnsi="Cambria"/>
          <w:sz w:val="20"/>
          <w:szCs w:val="20"/>
        </w:rPr>
        <w:t>contribut</w:t>
      </w:r>
      <w:r w:rsidR="00DA32B3">
        <w:rPr>
          <w:rFonts w:ascii="Cambria" w:hAnsi="Cambria"/>
          <w:sz w:val="20"/>
          <w:szCs w:val="20"/>
        </w:rPr>
        <w:t>ing</w:t>
      </w:r>
      <w:r w:rsidR="001F7820">
        <w:rPr>
          <w:rFonts w:ascii="Cambria" w:hAnsi="Cambria"/>
          <w:sz w:val="20"/>
          <w:szCs w:val="20"/>
        </w:rPr>
        <w:t xml:space="preserve"> to</w:t>
      </w:r>
      <w:r w:rsidR="00EF741F" w:rsidRPr="00EF741F">
        <w:rPr>
          <w:rFonts w:ascii="Cambria" w:hAnsi="Cambria"/>
          <w:sz w:val="20"/>
          <w:szCs w:val="20"/>
        </w:rPr>
        <w:t xml:space="preserve"> the lack of effective access to justice of the alleged victim </w:t>
      </w:r>
      <w:r w:rsidR="00801EFC">
        <w:rPr>
          <w:rFonts w:ascii="Cambria" w:hAnsi="Cambria"/>
          <w:sz w:val="20"/>
          <w:szCs w:val="20"/>
        </w:rPr>
        <w:t>with</w:t>
      </w:r>
      <w:r w:rsidR="00EF741F" w:rsidRPr="00EF741F">
        <w:rPr>
          <w:rFonts w:ascii="Cambria" w:hAnsi="Cambria"/>
          <w:sz w:val="20"/>
          <w:szCs w:val="20"/>
        </w:rPr>
        <w:t xml:space="preserve">in this process, </w:t>
      </w:r>
      <w:r w:rsidR="001F7820">
        <w:rPr>
          <w:rFonts w:ascii="Cambria" w:hAnsi="Cambria"/>
          <w:sz w:val="20"/>
          <w:szCs w:val="20"/>
        </w:rPr>
        <w:t>including</w:t>
      </w:r>
      <w:r w:rsidR="00EF741F" w:rsidRPr="00EF741F">
        <w:rPr>
          <w:rFonts w:ascii="Cambria" w:hAnsi="Cambria"/>
          <w:sz w:val="20"/>
          <w:szCs w:val="20"/>
        </w:rPr>
        <w:t xml:space="preserve"> the denial of access to the AOE on an equal basis and the lack of relevant and complete information in this regard</w:t>
      </w:r>
      <w:r>
        <w:rPr>
          <w:rFonts w:ascii="Cambria" w:hAnsi="Cambria"/>
          <w:sz w:val="20"/>
          <w:szCs w:val="20"/>
        </w:rPr>
        <w:t xml:space="preserve">. </w:t>
      </w:r>
      <w:r w:rsidRPr="00016441">
        <w:rPr>
          <w:rFonts w:ascii="Cambria" w:hAnsi="Cambria"/>
          <w:sz w:val="20"/>
          <w:szCs w:val="20"/>
        </w:rPr>
        <w:t xml:space="preserve">In view of these considerations and after examining the factual and legal elements presented by the parties, the Commission considers that the claims of the petitioner are not manifestly unfounded and require a substantive study since the alleged facts, if corroborated as true, could characterize violations of </w:t>
      </w:r>
      <w:r w:rsidR="004854C1">
        <w:rPr>
          <w:rFonts w:ascii="Cambria" w:hAnsi="Cambria"/>
          <w:sz w:val="20"/>
          <w:szCs w:val="20"/>
        </w:rPr>
        <w:t>Article</w:t>
      </w:r>
      <w:r w:rsidRPr="00016441">
        <w:rPr>
          <w:rFonts w:ascii="Cambria" w:hAnsi="Cambria"/>
          <w:sz w:val="20"/>
          <w:szCs w:val="20"/>
        </w:rPr>
        <w:t>s</w:t>
      </w:r>
      <w:r w:rsidR="00EF741F" w:rsidRPr="00EF741F">
        <w:rPr>
          <w:rFonts w:ascii="Cambria" w:hAnsi="Cambria"/>
          <w:sz w:val="20"/>
          <w:szCs w:val="20"/>
        </w:rPr>
        <w:t xml:space="preserve"> </w:t>
      </w:r>
      <w:r w:rsidR="00801EFC" w:rsidRPr="00801EFC">
        <w:rPr>
          <w:rFonts w:ascii="Cambria" w:hAnsi="Cambria"/>
          <w:sz w:val="20"/>
          <w:szCs w:val="20"/>
        </w:rPr>
        <w:t xml:space="preserve">5 (humane treatment), 7 (personal liberty), 8 (fair trial), 11 (privacy), 24 (equal protection), 25 (judicial protection), 26 (economic, social and cultural rights) </w:t>
      </w:r>
      <w:r w:rsidR="00EF741F" w:rsidRPr="00EF741F">
        <w:rPr>
          <w:rFonts w:ascii="Cambria" w:hAnsi="Cambria"/>
          <w:sz w:val="20"/>
          <w:szCs w:val="20"/>
        </w:rPr>
        <w:t xml:space="preserve">of the American Convention, in </w:t>
      </w:r>
      <w:r w:rsidR="001F7820">
        <w:rPr>
          <w:rFonts w:ascii="Cambria" w:hAnsi="Cambria"/>
          <w:sz w:val="20"/>
          <w:szCs w:val="20"/>
        </w:rPr>
        <w:t xml:space="preserve">relation </w:t>
      </w:r>
      <w:r w:rsidR="00EF741F" w:rsidRPr="00EF741F">
        <w:rPr>
          <w:rFonts w:ascii="Cambria" w:hAnsi="Cambria"/>
          <w:sz w:val="20"/>
          <w:szCs w:val="20"/>
        </w:rPr>
        <w:t xml:space="preserve">with </w:t>
      </w:r>
      <w:r w:rsidR="004854C1">
        <w:rPr>
          <w:rFonts w:ascii="Cambria" w:hAnsi="Cambria"/>
          <w:sz w:val="20"/>
          <w:szCs w:val="20"/>
        </w:rPr>
        <w:t>Article</w:t>
      </w:r>
      <w:r w:rsidR="00EF741F" w:rsidRPr="00EF741F">
        <w:rPr>
          <w:rFonts w:ascii="Cambria" w:hAnsi="Cambria"/>
          <w:sz w:val="20"/>
          <w:szCs w:val="20"/>
        </w:rPr>
        <w:t>s 1.1 (obligation to respect rights) and 2 (</w:t>
      </w:r>
      <w:r w:rsidR="00801EFC" w:rsidRPr="00801EFC">
        <w:rPr>
          <w:rFonts w:ascii="Cambria" w:hAnsi="Cambria"/>
          <w:sz w:val="20"/>
          <w:szCs w:val="20"/>
        </w:rPr>
        <w:t>domestic legal effects</w:t>
      </w:r>
      <w:r w:rsidR="00EF741F" w:rsidRPr="00EF741F">
        <w:rPr>
          <w:rFonts w:ascii="Cambria" w:hAnsi="Cambria"/>
          <w:sz w:val="20"/>
          <w:szCs w:val="20"/>
        </w:rPr>
        <w:t xml:space="preserve">) of said treaty; as well as </w:t>
      </w:r>
      <w:r w:rsidR="004854C1">
        <w:rPr>
          <w:rFonts w:ascii="Cambria" w:hAnsi="Cambria"/>
          <w:sz w:val="20"/>
          <w:szCs w:val="20"/>
        </w:rPr>
        <w:t>Article</w:t>
      </w:r>
      <w:r w:rsidR="00EF741F" w:rsidRPr="00EF741F">
        <w:rPr>
          <w:rFonts w:ascii="Cambria" w:hAnsi="Cambria"/>
          <w:sz w:val="20"/>
          <w:szCs w:val="20"/>
        </w:rPr>
        <w:t xml:space="preserve"> 7 of the Convention of Belém do Pará. Likewise, the Commission will analyze at the merits stage whether the penalty imposed </w:t>
      </w:r>
      <w:r w:rsidR="00D1256C">
        <w:rPr>
          <w:rFonts w:ascii="Cambria" w:hAnsi="Cambria"/>
          <w:sz w:val="20"/>
          <w:szCs w:val="20"/>
        </w:rPr>
        <w:t xml:space="preserve">to the perpetrator </w:t>
      </w:r>
      <w:r w:rsidR="00EF741F" w:rsidRPr="00EF741F">
        <w:rPr>
          <w:rFonts w:ascii="Cambria" w:hAnsi="Cambria"/>
          <w:sz w:val="20"/>
          <w:szCs w:val="20"/>
        </w:rPr>
        <w:t xml:space="preserve">and the reparation granted to the alleged victim </w:t>
      </w:r>
      <w:r w:rsidR="00D1256C">
        <w:rPr>
          <w:rFonts w:ascii="Cambria" w:hAnsi="Cambria"/>
          <w:sz w:val="20"/>
          <w:szCs w:val="20"/>
        </w:rPr>
        <w:t>as a result</w:t>
      </w:r>
      <w:r w:rsidR="00EF741F" w:rsidRPr="00EF741F">
        <w:rPr>
          <w:rFonts w:ascii="Cambria" w:hAnsi="Cambria"/>
          <w:sz w:val="20"/>
          <w:szCs w:val="20"/>
        </w:rPr>
        <w:t xml:space="preserve"> of the criminal proceeding </w:t>
      </w:r>
      <w:r w:rsidR="00FD0B52">
        <w:rPr>
          <w:rFonts w:ascii="Cambria" w:hAnsi="Cambria"/>
          <w:sz w:val="20"/>
          <w:szCs w:val="20"/>
        </w:rPr>
        <w:t>follow</w:t>
      </w:r>
      <w:r w:rsidR="00EF741F" w:rsidRPr="00EF741F">
        <w:rPr>
          <w:rFonts w:ascii="Cambria" w:hAnsi="Cambria"/>
          <w:sz w:val="20"/>
          <w:szCs w:val="20"/>
        </w:rPr>
        <w:t xml:space="preserve"> the standards</w:t>
      </w:r>
      <w:r w:rsidR="001F7820">
        <w:rPr>
          <w:rFonts w:ascii="Cambria" w:hAnsi="Cambria"/>
          <w:sz w:val="20"/>
          <w:szCs w:val="20"/>
        </w:rPr>
        <w:t xml:space="preserve"> set by</w:t>
      </w:r>
      <w:r w:rsidR="00EF741F" w:rsidRPr="00EF741F">
        <w:rPr>
          <w:rFonts w:ascii="Cambria" w:hAnsi="Cambria"/>
          <w:sz w:val="20"/>
          <w:szCs w:val="20"/>
        </w:rPr>
        <w:t xml:space="preserve"> of the American Convention.</w:t>
      </w:r>
    </w:p>
    <w:p w14:paraId="29BB41F5" w14:textId="2628F598" w:rsidR="003239B8" w:rsidRPr="0078770A" w:rsidRDefault="003239B8" w:rsidP="002D75C0">
      <w:pPr>
        <w:pStyle w:val="ListParagraph"/>
        <w:spacing w:after="120"/>
        <w:jc w:val="both"/>
        <w:rPr>
          <w:rFonts w:asciiTheme="majorHAnsi" w:hAnsiTheme="majorHAnsi"/>
          <w:b/>
          <w:bCs/>
          <w:sz w:val="20"/>
          <w:szCs w:val="20"/>
          <w:lang w:val="es-ES"/>
        </w:rPr>
      </w:pPr>
      <w:r w:rsidRPr="00016441">
        <w:rPr>
          <w:rFonts w:asciiTheme="majorHAnsi" w:hAnsiTheme="majorHAnsi"/>
          <w:b/>
          <w:bCs/>
          <w:sz w:val="20"/>
          <w:szCs w:val="20"/>
        </w:rPr>
        <w:t xml:space="preserve">VIII. </w:t>
      </w:r>
      <w:r w:rsidRPr="00016441">
        <w:rPr>
          <w:rFonts w:asciiTheme="majorHAnsi" w:hAnsiTheme="majorHAnsi"/>
          <w:b/>
          <w:bCs/>
          <w:sz w:val="20"/>
          <w:szCs w:val="20"/>
        </w:rPr>
        <w:tab/>
      </w:r>
      <w:r w:rsidRPr="0078770A">
        <w:rPr>
          <w:rFonts w:asciiTheme="majorHAnsi" w:hAnsiTheme="majorHAnsi"/>
          <w:b/>
          <w:bCs/>
          <w:sz w:val="20"/>
          <w:szCs w:val="20"/>
          <w:lang w:val="es-ES"/>
        </w:rPr>
        <w:t>DECISI</w:t>
      </w:r>
      <w:r w:rsidR="003A64CB">
        <w:rPr>
          <w:rFonts w:asciiTheme="majorHAnsi" w:hAnsiTheme="majorHAnsi"/>
          <w:b/>
          <w:bCs/>
          <w:sz w:val="20"/>
          <w:szCs w:val="20"/>
          <w:lang w:val="es-ES"/>
        </w:rPr>
        <w:t>ON</w:t>
      </w:r>
    </w:p>
    <w:p w14:paraId="397AE9F9" w14:textId="35735476" w:rsidR="003A64CB" w:rsidRDefault="003A64CB" w:rsidP="00913AAC">
      <w:pPr>
        <w:pStyle w:val="ListParagraph"/>
        <w:numPr>
          <w:ilvl w:val="0"/>
          <w:numId w:val="109"/>
        </w:numPr>
        <w:spacing w:after="120"/>
        <w:jc w:val="both"/>
        <w:rPr>
          <w:rFonts w:eastAsia="Arial Unicode MS" w:cs="Times New Roman"/>
          <w:color w:val="auto"/>
          <w:sz w:val="20"/>
          <w:szCs w:val="20"/>
          <w:lang w:eastAsia="en-US"/>
        </w:rPr>
      </w:pPr>
      <w:r w:rsidRPr="003A64CB">
        <w:rPr>
          <w:rFonts w:eastAsia="Arial Unicode MS" w:cs="Times New Roman"/>
          <w:color w:val="auto"/>
          <w:sz w:val="20"/>
          <w:szCs w:val="20"/>
          <w:lang w:eastAsia="en-US"/>
        </w:rPr>
        <w:t xml:space="preserve">To find the instant petition </w:t>
      </w:r>
      <w:r w:rsidR="00C57661">
        <w:rPr>
          <w:rFonts w:eastAsia="Arial Unicode MS" w:cs="Times New Roman"/>
          <w:color w:val="auto"/>
          <w:sz w:val="20"/>
          <w:szCs w:val="20"/>
          <w:lang w:eastAsia="en-US"/>
        </w:rPr>
        <w:t xml:space="preserve">admissible in relation to </w:t>
      </w:r>
      <w:r w:rsidR="004854C1">
        <w:rPr>
          <w:rFonts w:eastAsia="Arial Unicode MS" w:cs="Times New Roman"/>
          <w:color w:val="auto"/>
          <w:sz w:val="20"/>
          <w:szCs w:val="20"/>
          <w:lang w:eastAsia="en-US"/>
        </w:rPr>
        <w:t>Article</w:t>
      </w:r>
      <w:r w:rsidR="00C57661">
        <w:rPr>
          <w:rFonts w:eastAsia="Arial Unicode MS" w:cs="Times New Roman"/>
          <w:color w:val="auto"/>
          <w:sz w:val="20"/>
          <w:szCs w:val="20"/>
          <w:lang w:eastAsia="en-US"/>
        </w:rPr>
        <w:t>s 5, 7, 8, 11, 24, 25 and 26 of the American Convention</w:t>
      </w:r>
      <w:r w:rsidR="00165B44">
        <w:rPr>
          <w:rFonts w:eastAsia="Arial Unicode MS" w:cs="Times New Roman"/>
          <w:color w:val="auto"/>
          <w:sz w:val="20"/>
          <w:szCs w:val="20"/>
          <w:lang w:eastAsia="en-US"/>
        </w:rPr>
        <w:t xml:space="preserve">, in relation with </w:t>
      </w:r>
      <w:r w:rsidR="00A102C3">
        <w:rPr>
          <w:rFonts w:eastAsia="Arial Unicode MS" w:cs="Times New Roman"/>
          <w:color w:val="auto"/>
          <w:sz w:val="20"/>
          <w:szCs w:val="20"/>
          <w:lang w:eastAsia="en-US"/>
        </w:rPr>
        <w:t>its</w:t>
      </w:r>
      <w:r w:rsidR="00165B44">
        <w:rPr>
          <w:rFonts w:eastAsia="Arial Unicode MS" w:cs="Times New Roman"/>
          <w:color w:val="auto"/>
          <w:sz w:val="20"/>
          <w:szCs w:val="20"/>
          <w:lang w:eastAsia="en-US"/>
        </w:rPr>
        <w:t xml:space="preserve"> </w:t>
      </w:r>
      <w:r w:rsidR="004854C1">
        <w:rPr>
          <w:rFonts w:eastAsia="Arial Unicode MS" w:cs="Times New Roman"/>
          <w:color w:val="auto"/>
          <w:sz w:val="20"/>
          <w:szCs w:val="20"/>
          <w:lang w:eastAsia="en-US"/>
        </w:rPr>
        <w:t>Article</w:t>
      </w:r>
      <w:r w:rsidR="00165B44">
        <w:rPr>
          <w:rFonts w:eastAsia="Arial Unicode MS" w:cs="Times New Roman"/>
          <w:color w:val="auto"/>
          <w:sz w:val="20"/>
          <w:szCs w:val="20"/>
          <w:lang w:eastAsia="en-US"/>
        </w:rPr>
        <w:t>s 1.1 and 2,</w:t>
      </w:r>
      <w:r w:rsidR="00C57661">
        <w:rPr>
          <w:rFonts w:eastAsia="Arial Unicode MS" w:cs="Times New Roman"/>
          <w:color w:val="auto"/>
          <w:sz w:val="20"/>
          <w:szCs w:val="20"/>
          <w:lang w:eastAsia="en-US"/>
        </w:rPr>
        <w:t xml:space="preserve"> and </w:t>
      </w:r>
      <w:r w:rsidR="004854C1">
        <w:rPr>
          <w:rFonts w:eastAsia="Arial Unicode MS" w:cs="Times New Roman"/>
          <w:color w:val="auto"/>
          <w:sz w:val="20"/>
          <w:szCs w:val="20"/>
          <w:lang w:eastAsia="en-US"/>
        </w:rPr>
        <w:t>Article</w:t>
      </w:r>
      <w:r w:rsidR="00C57661">
        <w:rPr>
          <w:rFonts w:eastAsia="Arial Unicode MS" w:cs="Times New Roman"/>
          <w:color w:val="auto"/>
          <w:sz w:val="20"/>
          <w:szCs w:val="20"/>
          <w:lang w:eastAsia="en-US"/>
        </w:rPr>
        <w:t xml:space="preserve"> 7 of the Belem do Para Convention; and</w:t>
      </w:r>
    </w:p>
    <w:p w14:paraId="6AC80CA6" w14:textId="3C2E72FE" w:rsidR="00722C9F" w:rsidRPr="00FB2AFE" w:rsidRDefault="003A64CB" w:rsidP="002D75C0">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Pr>
          <w:rFonts w:ascii="Cambria" w:hAnsi="Cambria"/>
          <w:sz w:val="20"/>
          <w:szCs w:val="20"/>
        </w:rPr>
        <w:t>T</w:t>
      </w:r>
      <w:r w:rsidRPr="008874B2">
        <w:rPr>
          <w:rFonts w:ascii="Cambria" w:hAnsi="Cambria"/>
          <w:sz w:val="20"/>
          <w:szCs w:val="20"/>
        </w:rPr>
        <w:t>o publish this decision and include it in its Annual Report to the General Assembly of the Organization of American States</w:t>
      </w:r>
      <w:r w:rsidR="00FB2AFE">
        <w:rPr>
          <w:rFonts w:ascii="Cambria" w:hAnsi="Cambria"/>
          <w:sz w:val="20"/>
          <w:szCs w:val="20"/>
        </w:rPr>
        <w:t>.</w:t>
      </w:r>
    </w:p>
    <w:p w14:paraId="58703ED3" w14:textId="6E8E4C39" w:rsidR="00FB2AFE" w:rsidRPr="00365F2F" w:rsidRDefault="00FB2AFE" w:rsidP="00FB2AFE">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25</w:t>
      </w:r>
      <w:r w:rsidRPr="00D8169A">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February,</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ernández, President; Antonia Ur</w:t>
      </w:r>
      <w:r w:rsidRPr="007F3C48">
        <w:rPr>
          <w:rFonts w:asciiTheme="majorHAnsi" w:hAnsiTheme="majorHAnsi" w:cs="Arial"/>
          <w:noProof/>
          <w:spacing w:val="-2"/>
          <w:sz w:val="20"/>
          <w:szCs w:val="20"/>
        </w:rPr>
        <w:t xml:space="preserve">rejola, First Vice President; Flávia Piovesan, Second Vice President; Esmeralda E. Arosemena Bernal de Troitiño, Margarette May Macaulay, </w:t>
      </w:r>
      <w:r>
        <w:rPr>
          <w:rFonts w:asciiTheme="majorHAnsi" w:hAnsiTheme="majorHAnsi" w:cs="Arial"/>
          <w:noProof/>
          <w:spacing w:val="-2"/>
          <w:sz w:val="20"/>
          <w:szCs w:val="20"/>
        </w:rPr>
        <w:t>and</w:t>
      </w:r>
      <w:r w:rsidRPr="007F3C48">
        <w:rPr>
          <w:rFonts w:asciiTheme="majorHAnsi" w:hAnsiTheme="majorHAnsi" w:cs="Arial"/>
          <w:noProof/>
          <w:spacing w:val="-2"/>
          <w:sz w:val="20"/>
          <w:szCs w:val="20"/>
        </w:rPr>
        <w:t xml:space="preserve"> Stuardo Ralón Orellana</w:t>
      </w:r>
      <w:r>
        <w:rPr>
          <w:rFonts w:asciiTheme="majorHAnsi" w:hAnsiTheme="majorHAnsi" w:cs="Arial"/>
          <w:noProof/>
          <w:spacing w:val="-2"/>
          <w:sz w:val="20"/>
          <w:szCs w:val="20"/>
        </w:rPr>
        <w:t xml:space="preserve"> (dissenting opinion)</w:t>
      </w:r>
      <w:r w:rsidRPr="007F3C48">
        <w:rPr>
          <w:rFonts w:asciiTheme="majorHAnsi" w:hAnsiTheme="majorHAnsi" w:cs="Arial"/>
          <w:noProof/>
          <w:spacing w:val="-2"/>
          <w:sz w:val="20"/>
          <w:szCs w:val="20"/>
        </w:rPr>
        <w:t>,</w:t>
      </w:r>
      <w:r>
        <w:rPr>
          <w:rFonts w:asciiTheme="majorHAnsi" w:hAnsiTheme="majorHAnsi" w:cs="Arial"/>
          <w:noProof/>
          <w:spacing w:val="-2"/>
          <w:sz w:val="20"/>
          <w:szCs w:val="20"/>
        </w:rPr>
        <w:t xml:space="preserve"> </w:t>
      </w:r>
      <w:r w:rsidRPr="00365F2F">
        <w:rPr>
          <w:rFonts w:ascii="Cambria" w:hAnsi="Cambria"/>
          <w:spacing w:val="-2"/>
          <w:sz w:val="20"/>
        </w:rPr>
        <w:t>Commissioners.</w:t>
      </w:r>
    </w:p>
    <w:p w14:paraId="32BFC115" w14:textId="57CF6253" w:rsidR="006A1F8D" w:rsidRDefault="006A1F8D">
      <w:pPr>
        <w:rPr>
          <w:rFonts w:asciiTheme="majorHAnsi" w:hAnsiTheme="majorHAnsi"/>
          <w:sz w:val="20"/>
          <w:szCs w:val="20"/>
        </w:rPr>
      </w:pPr>
      <w:r>
        <w:rPr>
          <w:rFonts w:asciiTheme="majorHAnsi" w:hAnsiTheme="majorHAnsi"/>
          <w:sz w:val="20"/>
          <w:szCs w:val="20"/>
        </w:rPr>
        <w:br w:type="page"/>
      </w:r>
    </w:p>
    <w:p w14:paraId="4466B9D5" w14:textId="77777777" w:rsidR="006A1F8D" w:rsidRPr="006A1F8D" w:rsidRDefault="006A1F8D" w:rsidP="0082240D">
      <w:pPr>
        <w:spacing w:line="360" w:lineRule="auto"/>
        <w:jc w:val="center"/>
        <w:rPr>
          <w:rFonts w:asciiTheme="majorHAnsi" w:hAnsiTheme="majorHAnsi"/>
          <w:b/>
          <w:bCs/>
          <w:sz w:val="20"/>
          <w:szCs w:val="20"/>
        </w:rPr>
      </w:pPr>
      <w:r w:rsidRPr="006A1F8D">
        <w:rPr>
          <w:rFonts w:asciiTheme="majorHAnsi" w:hAnsiTheme="majorHAnsi"/>
          <w:b/>
          <w:bCs/>
          <w:sz w:val="20"/>
          <w:szCs w:val="20"/>
        </w:rPr>
        <w:lastRenderedPageBreak/>
        <w:t>DISSENTING OPINION,</w:t>
      </w:r>
      <w:r w:rsidRPr="006A1F8D">
        <w:rPr>
          <w:rFonts w:asciiTheme="majorHAnsi" w:hAnsiTheme="majorHAnsi"/>
          <w:sz w:val="20"/>
          <w:szCs w:val="20"/>
        </w:rPr>
        <w:t xml:space="preserve"> </w:t>
      </w:r>
      <w:r w:rsidRPr="006A1F8D">
        <w:rPr>
          <w:rFonts w:asciiTheme="majorHAnsi" w:hAnsiTheme="majorHAnsi"/>
          <w:b/>
          <w:bCs/>
          <w:sz w:val="20"/>
          <w:szCs w:val="20"/>
        </w:rPr>
        <w:t>COMMISSIONER STUARDO RALÓN ORELLANA</w:t>
      </w:r>
    </w:p>
    <w:p w14:paraId="33F3E9BC" w14:textId="4A4D4762" w:rsidR="006A1F8D" w:rsidRPr="006A1F8D" w:rsidRDefault="006A1F8D" w:rsidP="0082240D">
      <w:pPr>
        <w:spacing w:line="360" w:lineRule="auto"/>
        <w:jc w:val="center"/>
        <w:rPr>
          <w:rFonts w:asciiTheme="majorHAnsi" w:hAnsiTheme="majorHAnsi"/>
          <w:b/>
          <w:bCs/>
          <w:sz w:val="20"/>
          <w:szCs w:val="20"/>
        </w:rPr>
      </w:pPr>
      <w:r w:rsidRPr="006A1F8D">
        <w:rPr>
          <w:rFonts w:asciiTheme="majorHAnsi" w:hAnsiTheme="majorHAnsi"/>
          <w:b/>
          <w:bCs/>
          <w:sz w:val="20"/>
          <w:szCs w:val="20"/>
        </w:rPr>
        <w:t xml:space="preserve">Report on Admissibility No. </w:t>
      </w:r>
      <w:r w:rsidR="00683DE4">
        <w:rPr>
          <w:rFonts w:asciiTheme="majorHAnsi" w:hAnsiTheme="majorHAnsi"/>
          <w:b/>
          <w:bCs/>
          <w:sz w:val="20"/>
          <w:szCs w:val="20"/>
        </w:rPr>
        <w:t>18</w:t>
      </w:r>
      <w:r w:rsidRPr="006A1F8D">
        <w:rPr>
          <w:rFonts w:asciiTheme="majorHAnsi" w:hAnsiTheme="majorHAnsi"/>
          <w:b/>
          <w:bCs/>
          <w:sz w:val="20"/>
          <w:szCs w:val="20"/>
        </w:rPr>
        <w:t>/20, Petition No. 449-16, “María and Family against Peru”</w:t>
      </w:r>
    </w:p>
    <w:p w14:paraId="2F5AA478" w14:textId="77777777" w:rsidR="006A1F8D" w:rsidRPr="006A1F8D" w:rsidRDefault="006A1F8D" w:rsidP="0082240D">
      <w:pPr>
        <w:spacing w:line="360" w:lineRule="auto"/>
        <w:jc w:val="both"/>
        <w:rPr>
          <w:rFonts w:asciiTheme="majorHAnsi" w:hAnsiTheme="majorHAnsi"/>
          <w:sz w:val="20"/>
          <w:szCs w:val="20"/>
        </w:rPr>
      </w:pPr>
    </w:p>
    <w:p w14:paraId="43645AE6" w14:textId="77777777" w:rsidR="006A1F8D" w:rsidRPr="006A1F8D" w:rsidRDefault="006A1F8D" w:rsidP="0082240D">
      <w:pPr>
        <w:spacing w:line="360" w:lineRule="auto"/>
        <w:jc w:val="both"/>
        <w:rPr>
          <w:rFonts w:asciiTheme="majorHAnsi" w:hAnsiTheme="majorHAnsi"/>
          <w:sz w:val="20"/>
          <w:szCs w:val="20"/>
        </w:rPr>
      </w:pPr>
      <w:r w:rsidRPr="006A1F8D">
        <w:rPr>
          <w:rFonts w:asciiTheme="majorHAnsi" w:hAnsiTheme="majorHAnsi"/>
          <w:sz w:val="20"/>
          <w:szCs w:val="20"/>
        </w:rPr>
        <w:t xml:space="preserve">I must respectfully lodge my dissenting opinion in relation to the present admissibility report. After examining the arguments of the majority, I believe the case before us must be ruled inadmissible. That determination is based on two reasons: </w:t>
      </w:r>
    </w:p>
    <w:p w14:paraId="7BFFF215" w14:textId="77777777" w:rsidR="006A1F8D" w:rsidRPr="006A1F8D" w:rsidRDefault="006A1F8D" w:rsidP="0082240D">
      <w:pPr>
        <w:spacing w:line="360" w:lineRule="auto"/>
        <w:jc w:val="both"/>
        <w:rPr>
          <w:rFonts w:asciiTheme="majorHAnsi" w:hAnsiTheme="majorHAnsi"/>
          <w:sz w:val="20"/>
          <w:szCs w:val="20"/>
        </w:rPr>
      </w:pPr>
    </w:p>
    <w:p w14:paraId="24F7093D" w14:textId="77777777" w:rsidR="006A1F8D" w:rsidRPr="006A1F8D" w:rsidRDefault="006A1F8D" w:rsidP="0082240D">
      <w:pPr>
        <w:spacing w:line="360" w:lineRule="auto"/>
        <w:jc w:val="both"/>
        <w:rPr>
          <w:rFonts w:asciiTheme="majorHAnsi" w:hAnsiTheme="majorHAnsi"/>
          <w:sz w:val="20"/>
          <w:szCs w:val="20"/>
        </w:rPr>
      </w:pPr>
      <w:r w:rsidRPr="006A1F8D">
        <w:rPr>
          <w:rFonts w:asciiTheme="majorHAnsi" w:hAnsiTheme="majorHAnsi"/>
          <w:sz w:val="20"/>
          <w:szCs w:val="20"/>
        </w:rPr>
        <w:t xml:space="preserve">ONE: The State has examined and judicially punished the actions. </w:t>
      </w:r>
    </w:p>
    <w:p w14:paraId="342A3B82" w14:textId="77777777" w:rsidR="006A1F8D" w:rsidRPr="006A1F8D" w:rsidRDefault="006A1F8D" w:rsidP="0082240D">
      <w:pPr>
        <w:spacing w:line="360" w:lineRule="auto"/>
        <w:jc w:val="both"/>
        <w:rPr>
          <w:rFonts w:asciiTheme="majorHAnsi" w:hAnsiTheme="majorHAnsi"/>
          <w:sz w:val="20"/>
          <w:szCs w:val="20"/>
        </w:rPr>
      </w:pPr>
      <w:r w:rsidRPr="006A1F8D">
        <w:rPr>
          <w:rFonts w:asciiTheme="majorHAnsi" w:hAnsiTheme="majorHAnsi"/>
          <w:sz w:val="20"/>
          <w:szCs w:val="20"/>
        </w:rPr>
        <w:t xml:space="preserve">Despite the enormous human drama that the facts of the case reveal, it can also be observed that they have been effectively examined and punished by the respondent state’s courts. Hence, in accordance with the provisions of Article 47.c of the American Convention, it can be concluded that the complaint is obviously out of order. </w:t>
      </w:r>
    </w:p>
    <w:p w14:paraId="5339B59B" w14:textId="77777777" w:rsidR="006A1F8D" w:rsidRPr="006A1F8D" w:rsidRDefault="006A1F8D" w:rsidP="0082240D">
      <w:pPr>
        <w:spacing w:line="360" w:lineRule="auto"/>
        <w:jc w:val="both"/>
        <w:rPr>
          <w:rFonts w:asciiTheme="majorHAnsi" w:hAnsiTheme="majorHAnsi"/>
          <w:sz w:val="20"/>
          <w:szCs w:val="20"/>
        </w:rPr>
      </w:pPr>
    </w:p>
    <w:p w14:paraId="67F8CACE" w14:textId="77777777" w:rsidR="006A1F8D" w:rsidRPr="006A1F8D" w:rsidRDefault="006A1F8D" w:rsidP="0082240D">
      <w:pPr>
        <w:spacing w:line="360" w:lineRule="auto"/>
        <w:jc w:val="both"/>
        <w:rPr>
          <w:rFonts w:asciiTheme="majorHAnsi" w:hAnsiTheme="majorHAnsi"/>
          <w:sz w:val="20"/>
          <w:szCs w:val="20"/>
        </w:rPr>
      </w:pPr>
      <w:r w:rsidRPr="006A1F8D">
        <w:rPr>
          <w:rFonts w:asciiTheme="majorHAnsi" w:hAnsiTheme="majorHAnsi"/>
          <w:sz w:val="20"/>
          <w:szCs w:val="20"/>
        </w:rPr>
        <w:t>TWO: The complaint seeks to condemn the State for actions that are not a right recognized in the American Convention on Human Rights.</w:t>
      </w:r>
    </w:p>
    <w:p w14:paraId="4E893653" w14:textId="77777777" w:rsidR="006A1F8D" w:rsidRPr="006A1F8D" w:rsidRDefault="006A1F8D" w:rsidP="0082240D">
      <w:pPr>
        <w:spacing w:line="360" w:lineRule="auto"/>
        <w:jc w:val="both"/>
        <w:rPr>
          <w:rFonts w:asciiTheme="majorHAnsi" w:hAnsiTheme="majorHAnsi"/>
          <w:sz w:val="20"/>
          <w:szCs w:val="20"/>
        </w:rPr>
      </w:pPr>
    </w:p>
    <w:p w14:paraId="00F5E0CD" w14:textId="77777777" w:rsidR="006A1F8D" w:rsidRPr="006A1F8D" w:rsidRDefault="006A1F8D" w:rsidP="0082240D">
      <w:pPr>
        <w:spacing w:line="360" w:lineRule="auto"/>
        <w:jc w:val="both"/>
        <w:rPr>
          <w:rFonts w:asciiTheme="majorHAnsi" w:hAnsiTheme="majorHAnsi"/>
          <w:sz w:val="20"/>
          <w:szCs w:val="20"/>
        </w:rPr>
      </w:pPr>
      <w:r w:rsidRPr="006A1F8D">
        <w:rPr>
          <w:rFonts w:asciiTheme="majorHAnsi" w:hAnsiTheme="majorHAnsi"/>
          <w:sz w:val="20"/>
          <w:szCs w:val="20"/>
        </w:rPr>
        <w:t>The complaint seeks the censure of the State for actions that, according to the petitioner, constitute a violation of a right protected by the Convention. Abortion is not, however, a Convention right, and States are therefore not obliged to furnish the means for the procedure to be carried out. Again in connection with this aspect, the complaint is also inadmissible in that, in keeping with Article 47.c of the American Convention, it does not tend to establish a violation of “rights guaranteed by this Convention.”</w:t>
      </w:r>
    </w:p>
    <w:p w14:paraId="61A23A64" w14:textId="77777777" w:rsidR="006A1F8D" w:rsidRDefault="006A1F8D" w:rsidP="0082240D">
      <w:pPr>
        <w:spacing w:line="360" w:lineRule="auto"/>
        <w:jc w:val="both"/>
        <w:rPr>
          <w:rFonts w:asciiTheme="majorHAnsi" w:hAnsiTheme="majorHAnsi"/>
          <w:sz w:val="20"/>
          <w:szCs w:val="20"/>
        </w:rPr>
      </w:pPr>
    </w:p>
    <w:p w14:paraId="73BDD95C" w14:textId="4A8EC180" w:rsidR="006A1F8D" w:rsidRPr="006A1F8D" w:rsidRDefault="006A1F8D" w:rsidP="0082240D">
      <w:pPr>
        <w:spacing w:line="360" w:lineRule="auto"/>
        <w:jc w:val="both"/>
        <w:rPr>
          <w:rFonts w:asciiTheme="majorHAnsi" w:hAnsiTheme="majorHAnsi"/>
          <w:sz w:val="20"/>
          <w:szCs w:val="20"/>
        </w:rPr>
      </w:pPr>
      <w:r w:rsidRPr="006A1F8D">
        <w:rPr>
          <w:rFonts w:asciiTheme="majorHAnsi" w:hAnsiTheme="majorHAnsi"/>
          <w:sz w:val="20"/>
          <w:szCs w:val="20"/>
        </w:rPr>
        <w:t>REASONING AND GROUNDS FOR THE DISSENTING OPINION</w:t>
      </w:r>
    </w:p>
    <w:p w14:paraId="554883CD" w14:textId="77777777" w:rsidR="006A1F8D" w:rsidRPr="006A1F8D" w:rsidRDefault="006A1F8D" w:rsidP="0082240D">
      <w:pPr>
        <w:spacing w:line="360" w:lineRule="auto"/>
        <w:jc w:val="both"/>
        <w:rPr>
          <w:rFonts w:asciiTheme="majorHAnsi" w:hAnsiTheme="majorHAnsi"/>
          <w:sz w:val="20"/>
          <w:szCs w:val="20"/>
        </w:rPr>
      </w:pPr>
      <w:r w:rsidRPr="006A1F8D">
        <w:rPr>
          <w:rFonts w:asciiTheme="majorHAnsi" w:hAnsiTheme="majorHAnsi"/>
          <w:sz w:val="20"/>
          <w:szCs w:val="20"/>
        </w:rPr>
        <w:t>As already noted, the facts of the case are extremely dramatic. It involves a situation in which a 17-year-old adolescent raped the complainant. Once the agencies responsible for criminal prosecutions in Peru were informed of that fact, they began the proper investigations. Thus, the competent agencies fulfilled their duty of investigating and identified the adolescent in question as the perpetrator of the crime. The courts then heard the charges and, in 2015, decided to sentence the perpetrator to a one-year prison term and the payment of damages as compensation. The State explains that this punishment was imposed because at the time of the crime, the perpetrator was not yet of adult age. The courts then enforced the adolescent criminal statute with respect to the perpetrator. The accused lodged an appeal against the ruling of the first-instance court; however, the appeals court upheld the lower court’s judgment. Finally, in 2016, after completing his year in detention, the perpetrator of the crime was released and was fully restored in the exercise of his rights in accordance with Peruvian law.</w:t>
      </w:r>
    </w:p>
    <w:p w14:paraId="59F52BB5" w14:textId="77777777" w:rsidR="006A1F8D" w:rsidRPr="006A1F8D" w:rsidRDefault="006A1F8D" w:rsidP="0082240D">
      <w:pPr>
        <w:spacing w:line="360" w:lineRule="auto"/>
        <w:jc w:val="both"/>
        <w:rPr>
          <w:rFonts w:asciiTheme="majorHAnsi" w:hAnsiTheme="majorHAnsi"/>
          <w:sz w:val="20"/>
          <w:szCs w:val="20"/>
        </w:rPr>
      </w:pPr>
    </w:p>
    <w:p w14:paraId="2D9AAF99" w14:textId="77777777" w:rsidR="006A1F8D" w:rsidRPr="006A1F8D" w:rsidRDefault="006A1F8D" w:rsidP="0082240D">
      <w:pPr>
        <w:spacing w:line="360" w:lineRule="auto"/>
        <w:jc w:val="both"/>
        <w:rPr>
          <w:rFonts w:asciiTheme="majorHAnsi" w:hAnsiTheme="majorHAnsi"/>
          <w:sz w:val="20"/>
          <w:szCs w:val="20"/>
        </w:rPr>
      </w:pPr>
      <w:r w:rsidRPr="006A1F8D">
        <w:rPr>
          <w:rFonts w:asciiTheme="majorHAnsi" w:hAnsiTheme="majorHAnsi"/>
          <w:sz w:val="20"/>
          <w:szCs w:val="20"/>
        </w:rPr>
        <w:t xml:space="preserve">As can be seen, in response to a crime committed by a private citizen, the State reacted by investigating the situation, identifying the guilty party, and punishing him in accordance with its criminal legislation. From that </w:t>
      </w:r>
      <w:r w:rsidRPr="006A1F8D">
        <w:rPr>
          <w:rFonts w:asciiTheme="majorHAnsi" w:hAnsiTheme="majorHAnsi"/>
          <w:sz w:val="20"/>
          <w:szCs w:val="20"/>
        </w:rPr>
        <w:lastRenderedPageBreak/>
        <w:t>point of view, the State of Peru has met its international human rights duties as set out in the American Convention.</w:t>
      </w:r>
    </w:p>
    <w:p w14:paraId="224F4931" w14:textId="77777777" w:rsidR="006A1F8D" w:rsidRPr="006A1F8D" w:rsidRDefault="006A1F8D" w:rsidP="0082240D">
      <w:pPr>
        <w:spacing w:line="360" w:lineRule="auto"/>
        <w:jc w:val="both"/>
        <w:rPr>
          <w:rFonts w:asciiTheme="majorHAnsi" w:hAnsiTheme="majorHAnsi"/>
          <w:sz w:val="20"/>
          <w:szCs w:val="20"/>
        </w:rPr>
      </w:pPr>
    </w:p>
    <w:p w14:paraId="56B790A6" w14:textId="77777777" w:rsidR="006A1F8D" w:rsidRPr="006A1F8D" w:rsidRDefault="006A1F8D" w:rsidP="0082240D">
      <w:pPr>
        <w:spacing w:line="360" w:lineRule="auto"/>
        <w:jc w:val="both"/>
        <w:rPr>
          <w:rFonts w:asciiTheme="majorHAnsi" w:hAnsiTheme="majorHAnsi"/>
          <w:sz w:val="20"/>
          <w:szCs w:val="20"/>
        </w:rPr>
      </w:pPr>
      <w:r w:rsidRPr="006A1F8D">
        <w:rPr>
          <w:rFonts w:asciiTheme="majorHAnsi" w:hAnsiTheme="majorHAnsi"/>
          <w:sz w:val="20"/>
          <w:szCs w:val="20"/>
        </w:rPr>
        <w:t xml:space="preserve">Clearly, each of us may maintain his or her own opinion regarding whether the punishment imposed was appropriate, or whether the public prosecutor should have challenged the appellate court’s judgment in order to secure a stiffer sentence. However, were </w:t>
      </w:r>
      <w:bookmarkStart w:id="2" w:name="_GoBack"/>
      <w:bookmarkEnd w:id="2"/>
      <w:r w:rsidRPr="006A1F8D">
        <w:rPr>
          <w:rFonts w:asciiTheme="majorHAnsi" w:hAnsiTheme="majorHAnsi"/>
          <w:sz w:val="20"/>
          <w:szCs w:val="20"/>
        </w:rPr>
        <w:t xml:space="preserve">the Commission to embark on an examination of those circumstances, it would necessarily be setting itself up as a court of the fourth instance. Indeed, assessing the proportionality of the imposed sentence or analyzing whether domestic law was correctly interpreted and enforced by the agencies involved in the proceedings are matters beyond the Commission’s competence, as it has established in its own precedents on repeated occasions. Ruling this case admissible would therefore open a door whereby, hypothetically, the Commission would ultimately be able to judge matters over which the States have not granted jurisdiction. </w:t>
      </w:r>
    </w:p>
    <w:p w14:paraId="5B3524D1" w14:textId="77777777" w:rsidR="006A1F8D" w:rsidRPr="006A1F8D" w:rsidRDefault="006A1F8D" w:rsidP="0082240D">
      <w:pPr>
        <w:spacing w:line="360" w:lineRule="auto"/>
        <w:jc w:val="both"/>
        <w:rPr>
          <w:rFonts w:asciiTheme="majorHAnsi" w:hAnsiTheme="majorHAnsi"/>
          <w:sz w:val="20"/>
          <w:szCs w:val="20"/>
        </w:rPr>
      </w:pPr>
      <w:r w:rsidRPr="006A1F8D">
        <w:rPr>
          <w:rFonts w:asciiTheme="majorHAnsi" w:hAnsiTheme="majorHAnsi"/>
          <w:sz w:val="20"/>
          <w:szCs w:val="20"/>
        </w:rPr>
        <w:t>Furthermore, the petitioner claims that the State failed to provide her with the emergency contraception known as the “morning-after pill” after she reported the rape. According to the petitioner’s contentions, that situation represented an infringement of her human rights, on the grounds that furnishing the pill in question was an obligation of the State under the human rights enshrined in the American Convention. That reasoning would be correct if the text of the American Convention recognized abortion as a right. Indeed, were abortion a right under the Convention, States would then be obliged to furnish all women making such requests with the means necessary to abort. That, however, is not the case.</w:t>
      </w:r>
    </w:p>
    <w:p w14:paraId="20D25113" w14:textId="77777777" w:rsidR="006A1F8D" w:rsidRPr="006A1F8D" w:rsidRDefault="006A1F8D" w:rsidP="0082240D">
      <w:pPr>
        <w:spacing w:line="360" w:lineRule="auto"/>
        <w:jc w:val="both"/>
        <w:rPr>
          <w:rFonts w:asciiTheme="majorHAnsi" w:hAnsiTheme="majorHAnsi"/>
          <w:sz w:val="20"/>
          <w:szCs w:val="20"/>
        </w:rPr>
      </w:pPr>
    </w:p>
    <w:p w14:paraId="3F7D1600" w14:textId="77777777" w:rsidR="006A1F8D" w:rsidRPr="006A1F8D" w:rsidRDefault="006A1F8D" w:rsidP="0082240D">
      <w:pPr>
        <w:spacing w:line="360" w:lineRule="auto"/>
        <w:jc w:val="both"/>
        <w:rPr>
          <w:rFonts w:asciiTheme="majorHAnsi" w:hAnsiTheme="majorHAnsi"/>
          <w:sz w:val="20"/>
          <w:szCs w:val="20"/>
        </w:rPr>
      </w:pPr>
      <w:r w:rsidRPr="006A1F8D">
        <w:rPr>
          <w:rFonts w:asciiTheme="majorHAnsi" w:hAnsiTheme="majorHAnsi"/>
          <w:sz w:val="20"/>
          <w:szCs w:val="20"/>
        </w:rPr>
        <w:t>As a member of the Commission, I understand how traumatic and inhuman the situation the petitioner experienced was. Clearly, few actions constitute as serious attacks on an individual’s dignity as rape. In spite of sharing and understanding the petitioner’s pain, however, I must note that the Peruvian State’s failure to provide the pill at that time did not represent, in accordance with Article 47.b of the American Convention, a situation of facts that “tend to establish a violation of the rights guaranteed by this Convention.” That is because, quite simply, no specific provision of the American Convention on Human Rights recognizes a “right to abortion” that would, in turn, require States to provide the means necessary to carry out that procedure. On the contrary, the American Convention offers broad protection of the right to life—including the lives of the unborn—in Article 4.1, which states that “this right shall be protected by law and, in general, from the moment of conception.”</w:t>
      </w:r>
    </w:p>
    <w:p w14:paraId="3CC1DE82" w14:textId="77777777" w:rsidR="006A1F8D" w:rsidRPr="006A1F8D" w:rsidRDefault="006A1F8D" w:rsidP="0082240D">
      <w:pPr>
        <w:spacing w:line="360" w:lineRule="auto"/>
        <w:jc w:val="both"/>
        <w:rPr>
          <w:rFonts w:asciiTheme="majorHAnsi" w:hAnsiTheme="majorHAnsi"/>
          <w:sz w:val="20"/>
          <w:szCs w:val="20"/>
        </w:rPr>
      </w:pPr>
      <w:r w:rsidRPr="006A1F8D">
        <w:rPr>
          <w:rFonts w:asciiTheme="majorHAnsi" w:hAnsiTheme="majorHAnsi"/>
          <w:sz w:val="20"/>
          <w:szCs w:val="20"/>
        </w:rPr>
        <w:t>In conclusion, since no provision of the American Convention on Human Rights recognizes a “right to abortion,” the State’s failure to provide the so-called morning-after pill, which has a clear abortifacient effect, cannot tend to establish a situation that, under Article 47.b of the Convention, represents a violation of any of rights guaranteed therein. Therefore, and also from that point of view, the petition is inadmissible.</w:t>
      </w:r>
    </w:p>
    <w:p w14:paraId="7481F944" w14:textId="77777777" w:rsidR="006A1F8D" w:rsidRPr="006A1F8D" w:rsidRDefault="006A1F8D" w:rsidP="0082240D">
      <w:pPr>
        <w:spacing w:line="360" w:lineRule="auto"/>
        <w:jc w:val="both"/>
        <w:rPr>
          <w:rFonts w:asciiTheme="majorHAnsi" w:hAnsiTheme="majorHAnsi"/>
          <w:sz w:val="20"/>
          <w:szCs w:val="20"/>
        </w:rPr>
      </w:pPr>
    </w:p>
    <w:p w14:paraId="49FBE08B" w14:textId="14BDA5CF" w:rsidR="00FB2AFE" w:rsidRPr="006A1F8D" w:rsidRDefault="006A1F8D" w:rsidP="006A1F8D">
      <w:pPr>
        <w:spacing w:line="360" w:lineRule="auto"/>
        <w:jc w:val="both"/>
        <w:rPr>
          <w:rFonts w:asciiTheme="majorHAnsi" w:hAnsiTheme="majorHAnsi"/>
          <w:sz w:val="20"/>
          <w:szCs w:val="20"/>
        </w:rPr>
      </w:pPr>
      <w:r w:rsidRPr="006A1F8D">
        <w:rPr>
          <w:rFonts w:asciiTheme="majorHAnsi" w:hAnsiTheme="majorHAnsi"/>
          <w:sz w:val="20"/>
          <w:szCs w:val="20"/>
        </w:rPr>
        <w:t xml:space="preserve">For the reasons set out above in this opinion, I respectfully dissent. </w:t>
      </w:r>
    </w:p>
    <w:sectPr w:rsidR="00FB2AFE" w:rsidRPr="006A1F8D" w:rsidSect="00934A2C">
      <w:type w:val="oddPage"/>
      <w:pgSz w:w="12240" w:h="15840"/>
      <w:pgMar w:top="1440" w:right="1440" w:bottom="1440" w:left="1440" w:header="720" w:footer="720" w:gutter="0"/>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3B6C0F" w16cid:durableId="218597B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0A036" w14:textId="77777777" w:rsidR="00BB48C5" w:rsidRDefault="00BB48C5">
      <w:r>
        <w:separator/>
      </w:r>
    </w:p>
  </w:endnote>
  <w:endnote w:type="continuationSeparator" w:id="0">
    <w:p w14:paraId="7E956E57" w14:textId="77777777" w:rsidR="00BB48C5" w:rsidRDefault="00BB4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66CB6" w14:textId="77777777" w:rsidR="00090A47" w:rsidRDefault="00090A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56B3481" w:rsidR="000D1A20" w:rsidRPr="00934A2C" w:rsidRDefault="000D1A2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854C1">
          <w:rPr>
            <w:noProof/>
            <w:sz w:val="16"/>
            <w:szCs w:val="22"/>
          </w:rPr>
          <w:t>7</w:t>
        </w:r>
        <w:r w:rsidRPr="00934A2C">
          <w:rPr>
            <w:noProof/>
            <w:sz w:val="16"/>
            <w:szCs w:val="22"/>
          </w:rPr>
          <w:fldChar w:fldCharType="end"/>
        </w:r>
      </w:p>
    </w:sdtContent>
  </w:sdt>
  <w:p w14:paraId="68530E6A" w14:textId="77777777" w:rsidR="000D1A20" w:rsidRDefault="000D1A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0D1A20" w:rsidRPr="00934A2C" w:rsidRDefault="000D1A20">
    <w:pPr>
      <w:pStyle w:val="Footer"/>
      <w:jc w:val="center"/>
      <w:rPr>
        <w:sz w:val="16"/>
        <w:szCs w:val="22"/>
      </w:rPr>
    </w:pPr>
  </w:p>
  <w:p w14:paraId="49059CE3" w14:textId="77777777" w:rsidR="000D1A20" w:rsidRDefault="000D1A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467FA" w14:textId="77777777" w:rsidR="00BB48C5" w:rsidRPr="000F35ED" w:rsidRDefault="00BB48C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388BD3D" w14:textId="77777777" w:rsidR="00BB48C5" w:rsidRPr="000F35ED" w:rsidRDefault="00BB48C5" w:rsidP="000F35ED">
      <w:pPr>
        <w:rPr>
          <w:rFonts w:asciiTheme="majorHAnsi" w:hAnsiTheme="majorHAnsi"/>
          <w:sz w:val="16"/>
          <w:szCs w:val="16"/>
        </w:rPr>
      </w:pPr>
      <w:r w:rsidRPr="000F35ED">
        <w:rPr>
          <w:rFonts w:asciiTheme="majorHAnsi" w:hAnsiTheme="majorHAnsi"/>
          <w:sz w:val="16"/>
          <w:szCs w:val="16"/>
        </w:rPr>
        <w:separator/>
      </w:r>
    </w:p>
    <w:p w14:paraId="7FD07FF5" w14:textId="77777777" w:rsidR="00BB48C5" w:rsidRPr="000F35ED" w:rsidRDefault="00BB48C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7A52AE9" w14:textId="77777777" w:rsidR="00BB48C5" w:rsidRPr="000F35ED" w:rsidRDefault="00BB48C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79DE617" w14:textId="6CEED328" w:rsidR="000D1A20" w:rsidRPr="00DA32B3" w:rsidRDefault="000D1A20" w:rsidP="00F40E4A">
      <w:pPr>
        <w:pStyle w:val="FootnoteText"/>
        <w:jc w:val="both"/>
        <w:rPr>
          <w:rFonts w:ascii="Cambria" w:hAnsi="Cambria"/>
          <w:sz w:val="16"/>
          <w:szCs w:val="16"/>
          <w:lang w:val="es-AR"/>
        </w:rPr>
      </w:pPr>
      <w:r w:rsidRPr="00DA32B3">
        <w:rPr>
          <w:rStyle w:val="FootnoteReference"/>
          <w:rFonts w:ascii="Cambria" w:hAnsi="Cambria"/>
          <w:sz w:val="16"/>
          <w:szCs w:val="16"/>
        </w:rPr>
        <w:footnoteRef/>
      </w:r>
      <w:r w:rsidRPr="00DA32B3">
        <w:rPr>
          <w:rFonts w:ascii="Cambria" w:hAnsi="Cambria"/>
          <w:sz w:val="16"/>
          <w:szCs w:val="16"/>
          <w:lang w:val="es-AR"/>
        </w:rPr>
        <w:t xml:space="preserve"> </w:t>
      </w:r>
      <w:r w:rsidRPr="00DA32B3">
        <w:rPr>
          <w:rFonts w:ascii="Cambria" w:hAnsi="Cambria"/>
          <w:sz w:val="16"/>
          <w:szCs w:val="16"/>
          <w:lang w:val="es-MX"/>
        </w:rPr>
        <w:t>Asociación Paz y Esperanza, Centro de Promoción y Defensa de los Derechos Sexuales y Reproductivos (PROMSEX) and Estudio para la Defensa de los Derechos de la Mujer (DEMUS).</w:t>
      </w:r>
    </w:p>
  </w:footnote>
  <w:footnote w:id="3">
    <w:p w14:paraId="1B8F77DC" w14:textId="78486C1A" w:rsidR="000D1A20" w:rsidRPr="00DA32B3" w:rsidRDefault="000D1A20" w:rsidP="00F40E4A">
      <w:pPr>
        <w:pStyle w:val="FootnoteText"/>
        <w:jc w:val="both"/>
        <w:rPr>
          <w:rFonts w:ascii="Cambria" w:hAnsi="Cambria"/>
          <w:sz w:val="16"/>
          <w:szCs w:val="16"/>
        </w:rPr>
      </w:pPr>
      <w:r w:rsidRPr="00DA32B3">
        <w:rPr>
          <w:rStyle w:val="FootnoteReference"/>
          <w:rFonts w:ascii="Cambria" w:hAnsi="Cambria"/>
          <w:sz w:val="16"/>
          <w:szCs w:val="16"/>
        </w:rPr>
        <w:footnoteRef/>
      </w:r>
      <w:r w:rsidRPr="00DA32B3">
        <w:rPr>
          <w:rFonts w:ascii="Cambria" w:hAnsi="Cambria"/>
          <w:sz w:val="16"/>
          <w:szCs w:val="16"/>
        </w:rPr>
        <w:t xml:space="preserve"> The petitioners requested that the alleged victim be assigned the name of “Maria” to preserve her identity as she was victim of sexual violence. </w:t>
      </w:r>
    </w:p>
  </w:footnote>
  <w:footnote w:id="4">
    <w:p w14:paraId="6FA32641" w14:textId="054BBD35" w:rsidR="000D1A20" w:rsidRPr="00DA32B3" w:rsidRDefault="000D1A20" w:rsidP="00F40E4A">
      <w:pPr>
        <w:pStyle w:val="FootnoteText"/>
        <w:jc w:val="both"/>
        <w:rPr>
          <w:rFonts w:ascii="Cambria" w:hAnsi="Cambria"/>
          <w:sz w:val="16"/>
          <w:szCs w:val="16"/>
          <w:lang w:val="en-GB"/>
        </w:rPr>
      </w:pPr>
      <w:r w:rsidRPr="00DA32B3">
        <w:rPr>
          <w:rStyle w:val="FootnoteReference"/>
          <w:rFonts w:ascii="Cambria" w:hAnsi="Cambria"/>
          <w:sz w:val="16"/>
          <w:szCs w:val="16"/>
        </w:rPr>
        <w:footnoteRef/>
      </w:r>
      <w:r w:rsidRPr="00DA32B3">
        <w:rPr>
          <w:rFonts w:ascii="Cambria" w:hAnsi="Cambria"/>
          <w:sz w:val="16"/>
          <w:szCs w:val="16"/>
        </w:rPr>
        <w:t xml:space="preserve"> Based on art. 12.2.a of the Rules of Procedure of the Commission, Commissioner Francisco Jos</w:t>
      </w:r>
      <w:r w:rsidRPr="00DA32B3">
        <w:rPr>
          <w:rFonts w:ascii="Cambria" w:hAnsi="Cambria"/>
          <w:sz w:val="16"/>
          <w:szCs w:val="16"/>
          <w:lang w:val="en-GB"/>
        </w:rPr>
        <w:t>é Eguiguren, a Peruvian national</w:t>
      </w:r>
      <w:r w:rsidR="00DA32B3">
        <w:rPr>
          <w:rFonts w:ascii="Cambria" w:hAnsi="Cambria"/>
          <w:sz w:val="16"/>
          <w:szCs w:val="16"/>
          <w:lang w:val="en-GB"/>
        </w:rPr>
        <w:t>,</w:t>
      </w:r>
      <w:r w:rsidRPr="00DA32B3">
        <w:rPr>
          <w:rFonts w:ascii="Cambria" w:hAnsi="Cambria"/>
          <w:sz w:val="16"/>
          <w:szCs w:val="16"/>
          <w:lang w:val="en-GB"/>
        </w:rPr>
        <w:t xml:space="preserve"> did not participate in the debate or decision of the current matter.</w:t>
      </w:r>
    </w:p>
  </w:footnote>
  <w:footnote w:id="5">
    <w:p w14:paraId="620F6644" w14:textId="7D5D856E" w:rsidR="000D1A20" w:rsidRPr="00DA32B3" w:rsidRDefault="000D1A20" w:rsidP="00F40E4A">
      <w:pPr>
        <w:pStyle w:val="FootnoteText"/>
        <w:jc w:val="both"/>
        <w:rPr>
          <w:rFonts w:ascii="Cambria" w:hAnsi="Cambria"/>
          <w:sz w:val="16"/>
          <w:szCs w:val="16"/>
        </w:rPr>
      </w:pPr>
      <w:r w:rsidRPr="00DA32B3">
        <w:rPr>
          <w:rStyle w:val="FootnoteReference"/>
          <w:rFonts w:ascii="Cambria" w:hAnsi="Cambria"/>
          <w:sz w:val="16"/>
          <w:szCs w:val="16"/>
        </w:rPr>
        <w:footnoteRef/>
      </w:r>
      <w:r w:rsidRPr="00DA32B3">
        <w:rPr>
          <w:rFonts w:ascii="Cambria" w:hAnsi="Cambria"/>
          <w:sz w:val="16"/>
          <w:szCs w:val="16"/>
        </w:rPr>
        <w:t xml:space="preserve"> Hereinafter “American Convention” or “the Convention”.</w:t>
      </w:r>
    </w:p>
  </w:footnote>
  <w:footnote w:id="6">
    <w:p w14:paraId="3ADA976C" w14:textId="25A822F8" w:rsidR="000D1A20" w:rsidRPr="0029701F" w:rsidRDefault="000D1A20" w:rsidP="00F40E4A">
      <w:pPr>
        <w:pStyle w:val="FootnoteText"/>
        <w:jc w:val="both"/>
        <w:rPr>
          <w:rFonts w:ascii="Cambria" w:hAnsi="Cambria"/>
          <w:sz w:val="16"/>
          <w:szCs w:val="16"/>
          <w:lang w:val="pt-BR"/>
        </w:rPr>
      </w:pPr>
      <w:r w:rsidRPr="00DA32B3">
        <w:rPr>
          <w:rStyle w:val="FootnoteReference"/>
          <w:rFonts w:ascii="Cambria" w:hAnsi="Cambria"/>
          <w:sz w:val="16"/>
          <w:szCs w:val="16"/>
        </w:rPr>
        <w:footnoteRef/>
      </w:r>
      <w:r w:rsidRPr="0029701F">
        <w:rPr>
          <w:rFonts w:ascii="Cambria" w:hAnsi="Cambria"/>
          <w:sz w:val="16"/>
          <w:szCs w:val="16"/>
          <w:lang w:val="pt-BR"/>
        </w:rPr>
        <w:t xml:space="preserve"> Hereinafter “Belem do Pará Convention”.</w:t>
      </w:r>
    </w:p>
  </w:footnote>
  <w:footnote w:id="7">
    <w:p w14:paraId="79F07139" w14:textId="174BEB75" w:rsidR="000D1A20" w:rsidRPr="00476769" w:rsidRDefault="000D1A20" w:rsidP="00F40E4A">
      <w:pPr>
        <w:pStyle w:val="FootnoteText"/>
        <w:spacing w:after="120"/>
        <w:jc w:val="both"/>
        <w:rPr>
          <w:rFonts w:ascii="Cambria" w:hAnsi="Cambria"/>
          <w:sz w:val="16"/>
          <w:szCs w:val="16"/>
        </w:rPr>
      </w:pPr>
      <w:r w:rsidRPr="00DA32B3">
        <w:rPr>
          <w:rStyle w:val="FootnoteReference"/>
          <w:rFonts w:ascii="Cambria" w:hAnsi="Cambria"/>
          <w:sz w:val="16"/>
          <w:szCs w:val="16"/>
        </w:rPr>
        <w:footnoteRef/>
      </w:r>
      <w:r w:rsidRPr="00DA32B3">
        <w:rPr>
          <w:rFonts w:ascii="Cambria" w:hAnsi="Cambria"/>
          <w:sz w:val="16"/>
          <w:szCs w:val="16"/>
        </w:rPr>
        <w:t xml:space="preserve"> The observations of each party were duly notified to the other party.</w:t>
      </w:r>
    </w:p>
  </w:footnote>
  <w:footnote w:id="8">
    <w:p w14:paraId="1D39113F" w14:textId="5DE73994" w:rsidR="000D1A20" w:rsidRPr="00DA32B3" w:rsidRDefault="000D1A20" w:rsidP="00F40E4A">
      <w:pPr>
        <w:pStyle w:val="FootnoteText"/>
        <w:jc w:val="both"/>
        <w:rPr>
          <w:rFonts w:ascii="Cambria" w:hAnsi="Cambria"/>
          <w:sz w:val="16"/>
          <w:szCs w:val="16"/>
        </w:rPr>
      </w:pPr>
      <w:r w:rsidRPr="00DA32B3">
        <w:rPr>
          <w:rStyle w:val="FootnoteReference"/>
          <w:rFonts w:ascii="Cambria" w:hAnsi="Cambria" w:cstheme="minorHAnsi"/>
          <w:sz w:val="16"/>
          <w:szCs w:val="16"/>
        </w:rPr>
        <w:footnoteRef/>
      </w:r>
      <w:r w:rsidRPr="00DA32B3">
        <w:rPr>
          <w:rFonts w:ascii="Cambria" w:hAnsi="Cambria" w:cstheme="minorHAnsi"/>
          <w:sz w:val="16"/>
          <w:szCs w:val="16"/>
        </w:rPr>
        <w:t xml:space="preserve"> The petitioner refers to the concept of personal freedom developed by the Inter-American Court in the case Artavia Murillo (In vitro fertilization) vs. Costa Rica </w:t>
      </w:r>
      <w:r w:rsidRPr="00DA32B3">
        <w:rPr>
          <w:rStyle w:val="Strong"/>
          <w:rFonts w:ascii="Cambria" w:hAnsi="Cambria" w:cstheme="minorHAnsi"/>
          <w:b w:val="0"/>
          <w:bCs w:val="0"/>
          <w:sz w:val="16"/>
          <w:szCs w:val="16"/>
          <w:shd w:val="clear" w:color="auto" w:fill="FFFFFF"/>
        </w:rPr>
        <w:t>Preliminary Objections, Merits, Reparations and Costs. Judgment of November 28, 2012. Series C No. 257.</w:t>
      </w:r>
    </w:p>
  </w:footnote>
  <w:footnote w:id="9">
    <w:p w14:paraId="77693A0E" w14:textId="7CF8712C" w:rsidR="000D1A20" w:rsidRPr="00DA32B3" w:rsidRDefault="000D1A20" w:rsidP="00F40E4A">
      <w:pPr>
        <w:pStyle w:val="FootnoteText"/>
        <w:jc w:val="both"/>
        <w:rPr>
          <w:rFonts w:ascii="Cambria" w:hAnsi="Cambria"/>
          <w:sz w:val="16"/>
          <w:szCs w:val="16"/>
          <w:lang w:val="en-GB"/>
        </w:rPr>
      </w:pPr>
      <w:r w:rsidRPr="00DA32B3">
        <w:rPr>
          <w:rStyle w:val="FootnoteReference"/>
          <w:rFonts w:ascii="Cambria" w:hAnsi="Cambria"/>
          <w:sz w:val="16"/>
          <w:szCs w:val="16"/>
        </w:rPr>
        <w:footnoteRef/>
      </w:r>
      <w:r w:rsidRPr="00DA32B3">
        <w:rPr>
          <w:rFonts w:ascii="Cambria" w:hAnsi="Cambria"/>
          <w:sz w:val="16"/>
          <w:szCs w:val="16"/>
        </w:rPr>
        <w:t xml:space="preserve"> It included two sets of combined pills known as Yuzpe method and the pills of </w:t>
      </w:r>
      <w:r w:rsidRPr="00A102C3">
        <w:rPr>
          <w:rFonts w:ascii="Cambria" w:hAnsi="Cambria"/>
          <w:sz w:val="16"/>
          <w:szCs w:val="16"/>
          <w:lang w:val="en-GB"/>
        </w:rPr>
        <w:t xml:space="preserve">Progestágeno, Levornorgestrel (Postinor) </w:t>
      </w:r>
      <w:r w:rsidR="00DA32B3" w:rsidRPr="00A102C3">
        <w:rPr>
          <w:rFonts w:ascii="Cambria" w:hAnsi="Cambria"/>
          <w:sz w:val="16"/>
          <w:szCs w:val="16"/>
          <w:lang w:val="en-GB"/>
        </w:rPr>
        <w:t xml:space="preserve">and </w:t>
      </w:r>
      <w:r w:rsidRPr="00A102C3">
        <w:rPr>
          <w:rFonts w:ascii="Cambria" w:hAnsi="Cambria"/>
          <w:sz w:val="16"/>
          <w:szCs w:val="16"/>
          <w:lang w:val="en-GB"/>
        </w:rPr>
        <w:t>Norgestrel (Ovrette).</w:t>
      </w:r>
    </w:p>
  </w:footnote>
  <w:footnote w:id="10">
    <w:p w14:paraId="52DA17EF" w14:textId="28D38E74" w:rsidR="000D1A20" w:rsidRPr="00DA32B3" w:rsidRDefault="000D1A20" w:rsidP="00F40E4A">
      <w:pPr>
        <w:pStyle w:val="FootnoteText"/>
        <w:jc w:val="both"/>
        <w:rPr>
          <w:rFonts w:ascii="Cambria" w:hAnsi="Cambria"/>
          <w:sz w:val="16"/>
          <w:szCs w:val="16"/>
          <w:lang w:val="en-GB"/>
        </w:rPr>
      </w:pPr>
      <w:r w:rsidRPr="00DA32B3">
        <w:rPr>
          <w:rStyle w:val="FootnoteReference"/>
          <w:rFonts w:ascii="Cambria" w:hAnsi="Cambria"/>
          <w:sz w:val="16"/>
          <w:szCs w:val="16"/>
        </w:rPr>
        <w:footnoteRef/>
      </w:r>
      <w:r w:rsidRPr="00DA32B3">
        <w:rPr>
          <w:rFonts w:ascii="Cambria" w:hAnsi="Cambria"/>
          <w:sz w:val="16"/>
          <w:szCs w:val="16"/>
          <w:lang w:val="en-GB"/>
        </w:rPr>
        <w:t xml:space="preserve"> The petitioners alleged that the Tribunal did not include in its decision any reference on the Yuzpe method, which has been included in the national policies, but which level of efficacy is lower and which causes collateral effects.</w:t>
      </w:r>
    </w:p>
  </w:footnote>
  <w:footnote w:id="11">
    <w:p w14:paraId="4887E765" w14:textId="40202A6F" w:rsidR="000D1A20" w:rsidRPr="00497AE4" w:rsidRDefault="000D1A20" w:rsidP="00F40E4A">
      <w:pPr>
        <w:pStyle w:val="FootnoteText"/>
        <w:jc w:val="both"/>
        <w:rPr>
          <w:lang w:val="en-GB"/>
        </w:rPr>
      </w:pPr>
      <w:r w:rsidRPr="00DA32B3">
        <w:rPr>
          <w:rStyle w:val="FootnoteReference"/>
          <w:rFonts w:ascii="Cambria" w:hAnsi="Cambria"/>
          <w:sz w:val="16"/>
          <w:szCs w:val="16"/>
        </w:rPr>
        <w:footnoteRef/>
      </w:r>
      <w:r w:rsidRPr="00DA32B3">
        <w:rPr>
          <w:rFonts w:ascii="Cambria" w:hAnsi="Cambria"/>
          <w:sz w:val="16"/>
          <w:szCs w:val="16"/>
          <w:lang w:val="en-GB"/>
        </w:rPr>
        <w:t xml:space="preserve"> In relation to the first episode, she alleges that the aggressor threatened her with killing her parents and nephew if she denounced the facts reason why the petitioner didn’t present a claim before the police.</w:t>
      </w:r>
      <w:r>
        <w:rPr>
          <w:lang w:val="en-GB"/>
        </w:rPr>
        <w:t xml:space="preserve"> </w:t>
      </w:r>
    </w:p>
  </w:footnote>
  <w:footnote w:id="12">
    <w:p w14:paraId="07FC1E90" w14:textId="1B878AAE" w:rsidR="000D1A20" w:rsidRPr="00DA32B3" w:rsidRDefault="000D1A20" w:rsidP="00F40E4A">
      <w:pPr>
        <w:pStyle w:val="FootnoteText"/>
        <w:jc w:val="both"/>
        <w:rPr>
          <w:rFonts w:ascii="Cambria" w:hAnsi="Cambria"/>
          <w:sz w:val="16"/>
          <w:szCs w:val="16"/>
          <w:lang w:val="en-GB"/>
        </w:rPr>
      </w:pPr>
      <w:r w:rsidRPr="00DA32B3">
        <w:rPr>
          <w:rStyle w:val="FootnoteReference"/>
          <w:rFonts w:ascii="Cambria" w:hAnsi="Cambria"/>
          <w:sz w:val="16"/>
          <w:szCs w:val="16"/>
        </w:rPr>
        <w:footnoteRef/>
      </w:r>
      <w:r w:rsidRPr="00DA32B3">
        <w:rPr>
          <w:rFonts w:ascii="Cambria" w:hAnsi="Cambria"/>
          <w:sz w:val="16"/>
          <w:szCs w:val="16"/>
          <w:lang w:val="en-GB"/>
        </w:rPr>
        <w:t xml:space="preserve"> The petitioners highlight that since the sexual abuse, Maria presented sleep problems and lack of appetite among other manifestations of the sexual violence trauma. Moreover, the psychologic evaluation concluded that the alleged victim presented indications of emotional stress and depression compatible with a traumatic sexual experience negatively impinging in her life project.</w:t>
      </w:r>
    </w:p>
  </w:footnote>
  <w:footnote w:id="13">
    <w:p w14:paraId="7CC2BDC6" w14:textId="468BCFA5" w:rsidR="000D1A20" w:rsidRPr="00DA32B3" w:rsidRDefault="000D1A20" w:rsidP="00F40E4A">
      <w:pPr>
        <w:pStyle w:val="FootnoteText"/>
        <w:jc w:val="both"/>
        <w:rPr>
          <w:rFonts w:ascii="Cambria" w:hAnsi="Cambria"/>
          <w:sz w:val="16"/>
          <w:szCs w:val="16"/>
        </w:rPr>
      </w:pPr>
      <w:r w:rsidRPr="00DA32B3">
        <w:rPr>
          <w:rStyle w:val="FootnoteReference"/>
          <w:rFonts w:ascii="Cambria" w:hAnsi="Cambria"/>
          <w:sz w:val="16"/>
          <w:szCs w:val="16"/>
        </w:rPr>
        <w:footnoteRef/>
      </w:r>
      <w:r w:rsidRPr="00DA32B3">
        <w:rPr>
          <w:rFonts w:ascii="Cambria" w:hAnsi="Cambria"/>
          <w:sz w:val="16"/>
          <w:szCs w:val="16"/>
        </w:rPr>
        <w:t xml:space="preserve"> Decision from the Constitutional Tribunal 2005-2009-PA/TC October 26, 2009.</w:t>
      </w:r>
    </w:p>
  </w:footnote>
  <w:footnote w:id="14">
    <w:p w14:paraId="7251BEC9" w14:textId="2FF400A6" w:rsidR="000D1A20" w:rsidRPr="00DA32B3" w:rsidRDefault="000D1A20" w:rsidP="00F40E4A">
      <w:pPr>
        <w:pStyle w:val="FootnoteText"/>
        <w:jc w:val="both"/>
        <w:rPr>
          <w:rFonts w:ascii="Cambria" w:hAnsi="Cambria"/>
          <w:sz w:val="16"/>
          <w:szCs w:val="16"/>
        </w:rPr>
      </w:pPr>
      <w:r w:rsidRPr="00DA32B3">
        <w:rPr>
          <w:rStyle w:val="FootnoteReference"/>
          <w:rFonts w:ascii="Cambria" w:hAnsi="Cambria"/>
          <w:sz w:val="16"/>
          <w:szCs w:val="16"/>
        </w:rPr>
        <w:footnoteRef/>
      </w:r>
      <w:r w:rsidRPr="00DA32B3">
        <w:rPr>
          <w:rFonts w:ascii="Cambria" w:hAnsi="Cambria"/>
          <w:sz w:val="16"/>
          <w:szCs w:val="16"/>
        </w:rPr>
        <w:t xml:space="preserve"> The petitioner makes reference to the Inter-American Court case Artavia Murillo and others (“in vitro fertilization”) vs. Costa Rica. </w:t>
      </w:r>
      <w:r w:rsidRPr="00DA32B3">
        <w:rPr>
          <w:rStyle w:val="Strong"/>
          <w:rFonts w:ascii="Cambria" w:hAnsi="Cambria" w:cstheme="minorHAnsi"/>
          <w:b w:val="0"/>
          <w:bCs w:val="0"/>
          <w:sz w:val="16"/>
          <w:szCs w:val="16"/>
          <w:shd w:val="clear" w:color="auto" w:fill="FFFFFF"/>
        </w:rPr>
        <w:t>Preliminary Objections, Merits, Reparations and Costs. Judgment of November 28, 2012. Series C No. 257.</w:t>
      </w:r>
    </w:p>
  </w:footnote>
  <w:footnote w:id="15">
    <w:p w14:paraId="7621C75A" w14:textId="27CA5BD4" w:rsidR="000D1A20" w:rsidRPr="00DA32B3" w:rsidRDefault="000D1A20" w:rsidP="00F40E4A">
      <w:pPr>
        <w:pStyle w:val="FootnoteText"/>
        <w:jc w:val="both"/>
        <w:rPr>
          <w:rFonts w:ascii="Cambria" w:hAnsi="Cambria"/>
          <w:sz w:val="16"/>
          <w:szCs w:val="16"/>
        </w:rPr>
      </w:pPr>
      <w:r w:rsidRPr="00DA32B3">
        <w:rPr>
          <w:rStyle w:val="FootnoteReference"/>
          <w:rFonts w:ascii="Cambria" w:hAnsi="Cambria"/>
          <w:sz w:val="16"/>
          <w:szCs w:val="16"/>
        </w:rPr>
        <w:footnoteRef/>
      </w:r>
      <w:r w:rsidRPr="00DA32B3">
        <w:rPr>
          <w:rFonts w:ascii="Cambria" w:hAnsi="Cambria"/>
          <w:sz w:val="16"/>
          <w:szCs w:val="16"/>
        </w:rPr>
        <w:t xml:space="preserve"> The petitioner makes reference to said case in response to the observations presented by the State.</w:t>
      </w:r>
    </w:p>
  </w:footnote>
  <w:footnote w:id="16">
    <w:p w14:paraId="1F957153" w14:textId="012071CC" w:rsidR="000D1A20" w:rsidRPr="00DA32B3" w:rsidRDefault="000D1A20" w:rsidP="00F40E4A">
      <w:pPr>
        <w:pStyle w:val="FootnoteText"/>
        <w:jc w:val="both"/>
        <w:rPr>
          <w:rFonts w:ascii="Cambria" w:hAnsi="Cambria"/>
          <w:sz w:val="16"/>
          <w:szCs w:val="16"/>
        </w:rPr>
      </w:pPr>
      <w:r w:rsidRPr="00DA32B3">
        <w:rPr>
          <w:rStyle w:val="FootnoteReference"/>
          <w:rFonts w:ascii="Cambria" w:hAnsi="Cambria"/>
          <w:sz w:val="16"/>
          <w:szCs w:val="16"/>
        </w:rPr>
        <w:footnoteRef/>
      </w:r>
      <w:r w:rsidRPr="00DA32B3">
        <w:rPr>
          <w:rFonts w:ascii="Cambria" w:hAnsi="Cambria"/>
          <w:sz w:val="16"/>
          <w:szCs w:val="16"/>
        </w:rPr>
        <w:t xml:space="preserve"> The petitioners indicate that based on studies AOE has only been distributed in 15 out of the 25 departments of Peru and in less than 20% of healthcare facilities.</w:t>
      </w:r>
    </w:p>
  </w:footnote>
  <w:footnote w:id="17">
    <w:p w14:paraId="1A08A021" w14:textId="03C69138" w:rsidR="000D1A20" w:rsidRDefault="000D1A20" w:rsidP="00F40E4A">
      <w:pPr>
        <w:pStyle w:val="FootnoteText"/>
        <w:jc w:val="both"/>
      </w:pPr>
      <w:r w:rsidRPr="00DA32B3">
        <w:rPr>
          <w:rStyle w:val="FootnoteReference"/>
          <w:rFonts w:ascii="Cambria" w:hAnsi="Cambria"/>
          <w:sz w:val="16"/>
          <w:szCs w:val="16"/>
        </w:rPr>
        <w:footnoteRef/>
      </w:r>
      <w:r w:rsidRPr="00DA32B3">
        <w:rPr>
          <w:rFonts w:ascii="Cambria" w:hAnsi="Cambria"/>
          <w:sz w:val="16"/>
          <w:szCs w:val="16"/>
        </w:rPr>
        <w:t xml:space="preserve"> On April 1, 2016 the request for liberty with conditions presented by the person convicted of the crime was declared inadmissible.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D1A20" w:rsidRDefault="000D1A20" w:rsidP="00DF177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D1A20" w:rsidRDefault="000D1A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044A853B" w:rsidR="000D1A20" w:rsidRDefault="000D1A20" w:rsidP="00A50FCF">
    <w:pPr>
      <w:pStyle w:val="Header"/>
      <w:tabs>
        <w:tab w:val="clear" w:pos="4320"/>
        <w:tab w:val="clear" w:pos="8640"/>
      </w:tabs>
      <w:jc w:val="center"/>
      <w:rPr>
        <w:sz w:val="22"/>
        <w:szCs w:val="22"/>
      </w:rPr>
    </w:pPr>
    <w:r w:rsidRPr="00492AC5">
      <w:rPr>
        <w:noProof/>
      </w:rPr>
      <w:drawing>
        <wp:inline distT="0" distB="0" distL="0" distR="0" wp14:anchorId="39E5D983" wp14:editId="41D64F74">
          <wp:extent cx="2207260" cy="120015"/>
          <wp:effectExtent l="0" t="0" r="0" b="0"/>
          <wp:docPr id="14"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260" cy="120015"/>
                  </a:xfrm>
                  <a:prstGeom prst="rect">
                    <a:avLst/>
                  </a:prstGeom>
                  <a:noFill/>
                  <a:ln>
                    <a:noFill/>
                  </a:ln>
                </pic:spPr>
              </pic:pic>
            </a:graphicData>
          </a:graphic>
        </wp:inline>
      </w:drawing>
    </w:r>
  </w:p>
  <w:p w14:paraId="1CF3204D" w14:textId="77777777" w:rsidR="000D1A20" w:rsidRPr="00EC7D62" w:rsidRDefault="00BB48C5"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49EEA" w14:textId="77777777" w:rsidR="00090A47" w:rsidRDefault="00090A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06ECF644"/>
    <w:lvl w:ilvl="0" w:tplc="5434BD2E">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A27988"/>
    <w:multiLevelType w:val="hybridMultilevel"/>
    <w:tmpl w:val="06ECF644"/>
    <w:lvl w:ilvl="0" w:tplc="5434BD2E">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274B6A"/>
    <w:multiLevelType w:val="hybridMultilevel"/>
    <w:tmpl w:val="C1A8BA62"/>
    <w:lvl w:ilvl="0" w:tplc="673A911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60"/>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2"/>
  </w:num>
  <w:num w:numId="95">
    <w:abstractNumId w:val="45"/>
  </w:num>
  <w:num w:numId="96">
    <w:abstractNumId w:val="57"/>
  </w:num>
  <w:num w:numId="97">
    <w:abstractNumId w:val="54"/>
  </w:num>
  <w:num w:numId="98">
    <w:abstractNumId w:val="49"/>
  </w:num>
  <w:num w:numId="99">
    <w:abstractNumId w:val="40"/>
  </w:num>
  <w:num w:numId="100">
    <w:abstractNumId w:val="3"/>
  </w:num>
  <w:num w:numId="101">
    <w:abstractNumId w:val="28"/>
  </w:num>
  <w:num w:numId="102">
    <w:abstractNumId w:val="51"/>
  </w:num>
  <w:num w:numId="103">
    <w:abstractNumId w:val="6"/>
  </w:num>
  <w:num w:numId="104">
    <w:abstractNumId w:val="67"/>
  </w:num>
  <w:num w:numId="105">
    <w:abstractNumId w:val="55"/>
  </w:num>
  <w:num w:numId="106">
    <w:abstractNumId w:val="4"/>
  </w:num>
  <w:num w:numId="107">
    <w:abstractNumId w:val="32"/>
  </w:num>
  <w:num w:numId="108">
    <w:abstractNumId w:val="14"/>
  </w:num>
  <w:num w:numId="109">
    <w:abstractNumId w:val="47"/>
  </w:num>
  <w:num w:numId="110">
    <w:abstractNumId w:val="27"/>
  </w:num>
  <w:num w:numId="111">
    <w:abstractNumId w:val="5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11481"/>
    <w:rsid w:val="000137AB"/>
    <w:rsid w:val="00016441"/>
    <w:rsid w:val="0001788C"/>
    <w:rsid w:val="00020A92"/>
    <w:rsid w:val="000337EF"/>
    <w:rsid w:val="00035677"/>
    <w:rsid w:val="00040C3A"/>
    <w:rsid w:val="000419AD"/>
    <w:rsid w:val="000433C9"/>
    <w:rsid w:val="000630B9"/>
    <w:rsid w:val="00063945"/>
    <w:rsid w:val="0006452C"/>
    <w:rsid w:val="000705D6"/>
    <w:rsid w:val="000716C5"/>
    <w:rsid w:val="00075E23"/>
    <w:rsid w:val="00080A0E"/>
    <w:rsid w:val="00090A47"/>
    <w:rsid w:val="0009344A"/>
    <w:rsid w:val="000959A6"/>
    <w:rsid w:val="00097DF2"/>
    <w:rsid w:val="000A392E"/>
    <w:rsid w:val="000A54D4"/>
    <w:rsid w:val="000A575F"/>
    <w:rsid w:val="000C38A2"/>
    <w:rsid w:val="000C39B5"/>
    <w:rsid w:val="000C636C"/>
    <w:rsid w:val="000D05CB"/>
    <w:rsid w:val="000D10DB"/>
    <w:rsid w:val="000D1A20"/>
    <w:rsid w:val="000E3969"/>
    <w:rsid w:val="000E442D"/>
    <w:rsid w:val="000E4C94"/>
    <w:rsid w:val="000E5EB5"/>
    <w:rsid w:val="000F35ED"/>
    <w:rsid w:val="000F6FB9"/>
    <w:rsid w:val="00102C76"/>
    <w:rsid w:val="001043C7"/>
    <w:rsid w:val="00105F3E"/>
    <w:rsid w:val="00107131"/>
    <w:rsid w:val="0010736F"/>
    <w:rsid w:val="00107889"/>
    <w:rsid w:val="00113A3C"/>
    <w:rsid w:val="00113F73"/>
    <w:rsid w:val="00121CC2"/>
    <w:rsid w:val="00121CEB"/>
    <w:rsid w:val="00131154"/>
    <w:rsid w:val="00133EE5"/>
    <w:rsid w:val="00162C71"/>
    <w:rsid w:val="00165B44"/>
    <w:rsid w:val="00167A34"/>
    <w:rsid w:val="0017424A"/>
    <w:rsid w:val="00175387"/>
    <w:rsid w:val="00193E5E"/>
    <w:rsid w:val="00195EB5"/>
    <w:rsid w:val="001A38A7"/>
    <w:rsid w:val="001A70ED"/>
    <w:rsid w:val="001A7870"/>
    <w:rsid w:val="001B3A00"/>
    <w:rsid w:val="001B63E4"/>
    <w:rsid w:val="001C1B41"/>
    <w:rsid w:val="001C3B9E"/>
    <w:rsid w:val="001D000B"/>
    <w:rsid w:val="001D0DE2"/>
    <w:rsid w:val="001D2BA6"/>
    <w:rsid w:val="001D65EF"/>
    <w:rsid w:val="001E49E7"/>
    <w:rsid w:val="001F28E7"/>
    <w:rsid w:val="001F33BA"/>
    <w:rsid w:val="001F7201"/>
    <w:rsid w:val="001F7820"/>
    <w:rsid w:val="001F7866"/>
    <w:rsid w:val="002000D8"/>
    <w:rsid w:val="00201146"/>
    <w:rsid w:val="0022086B"/>
    <w:rsid w:val="00222636"/>
    <w:rsid w:val="00223A29"/>
    <w:rsid w:val="002250A3"/>
    <w:rsid w:val="00235217"/>
    <w:rsid w:val="00246D1F"/>
    <w:rsid w:val="00247403"/>
    <w:rsid w:val="00247542"/>
    <w:rsid w:val="00255880"/>
    <w:rsid w:val="00266B61"/>
    <w:rsid w:val="0026712A"/>
    <w:rsid w:val="002671B7"/>
    <w:rsid w:val="002704DB"/>
    <w:rsid w:val="00281A64"/>
    <w:rsid w:val="00281D93"/>
    <w:rsid w:val="002845FC"/>
    <w:rsid w:val="00290150"/>
    <w:rsid w:val="00293B32"/>
    <w:rsid w:val="0029701F"/>
    <w:rsid w:val="002A0AAE"/>
    <w:rsid w:val="002A5820"/>
    <w:rsid w:val="002C0D30"/>
    <w:rsid w:val="002D0A8C"/>
    <w:rsid w:val="002D208E"/>
    <w:rsid w:val="002D2B26"/>
    <w:rsid w:val="002D75C0"/>
    <w:rsid w:val="002D7EA2"/>
    <w:rsid w:val="002D7ED5"/>
    <w:rsid w:val="002E02D8"/>
    <w:rsid w:val="002E187C"/>
    <w:rsid w:val="002E604F"/>
    <w:rsid w:val="002E6A77"/>
    <w:rsid w:val="00300640"/>
    <w:rsid w:val="00302733"/>
    <w:rsid w:val="00314078"/>
    <w:rsid w:val="0031535D"/>
    <w:rsid w:val="00321154"/>
    <w:rsid w:val="003239B8"/>
    <w:rsid w:val="0033169F"/>
    <w:rsid w:val="0034005B"/>
    <w:rsid w:val="00344977"/>
    <w:rsid w:val="00346C95"/>
    <w:rsid w:val="00356185"/>
    <w:rsid w:val="00357791"/>
    <w:rsid w:val="00360380"/>
    <w:rsid w:val="003642A9"/>
    <w:rsid w:val="00370371"/>
    <w:rsid w:val="0037519E"/>
    <w:rsid w:val="00381F26"/>
    <w:rsid w:val="00383A42"/>
    <w:rsid w:val="00386905"/>
    <w:rsid w:val="00386CF0"/>
    <w:rsid w:val="003A64CB"/>
    <w:rsid w:val="003B1C46"/>
    <w:rsid w:val="003B527F"/>
    <w:rsid w:val="003B70FB"/>
    <w:rsid w:val="003C4D29"/>
    <w:rsid w:val="003C676B"/>
    <w:rsid w:val="003D3BC2"/>
    <w:rsid w:val="003E4C58"/>
    <w:rsid w:val="003E6CA1"/>
    <w:rsid w:val="00400F80"/>
    <w:rsid w:val="00404089"/>
    <w:rsid w:val="004065A8"/>
    <w:rsid w:val="004078DD"/>
    <w:rsid w:val="00410D9C"/>
    <w:rsid w:val="00415C36"/>
    <w:rsid w:val="004165C2"/>
    <w:rsid w:val="004167F6"/>
    <w:rsid w:val="00417F2E"/>
    <w:rsid w:val="0042276F"/>
    <w:rsid w:val="004278F2"/>
    <w:rsid w:val="00432984"/>
    <w:rsid w:val="0043461D"/>
    <w:rsid w:val="00441ECB"/>
    <w:rsid w:val="00445193"/>
    <w:rsid w:val="00447115"/>
    <w:rsid w:val="00461B63"/>
    <w:rsid w:val="00461FAE"/>
    <w:rsid w:val="00462C1B"/>
    <w:rsid w:val="00467AFB"/>
    <w:rsid w:val="00467B7E"/>
    <w:rsid w:val="00473BB4"/>
    <w:rsid w:val="00476769"/>
    <w:rsid w:val="00477592"/>
    <w:rsid w:val="004854C1"/>
    <w:rsid w:val="00486F1C"/>
    <w:rsid w:val="0049419D"/>
    <w:rsid w:val="00497AE4"/>
    <w:rsid w:val="004A393F"/>
    <w:rsid w:val="004A6A54"/>
    <w:rsid w:val="004B08FE"/>
    <w:rsid w:val="004C0351"/>
    <w:rsid w:val="004C20D2"/>
    <w:rsid w:val="004C2312"/>
    <w:rsid w:val="004C4B62"/>
    <w:rsid w:val="004C54C9"/>
    <w:rsid w:val="004C5AFE"/>
    <w:rsid w:val="004D4ABA"/>
    <w:rsid w:val="004D6025"/>
    <w:rsid w:val="004E2649"/>
    <w:rsid w:val="004E34C6"/>
    <w:rsid w:val="00501399"/>
    <w:rsid w:val="00504731"/>
    <w:rsid w:val="0050633D"/>
    <w:rsid w:val="00507BC4"/>
    <w:rsid w:val="005128E4"/>
    <w:rsid w:val="005133DB"/>
    <w:rsid w:val="00516382"/>
    <w:rsid w:val="00522167"/>
    <w:rsid w:val="00525560"/>
    <w:rsid w:val="0052575E"/>
    <w:rsid w:val="005261CB"/>
    <w:rsid w:val="00542FB3"/>
    <w:rsid w:val="00544C49"/>
    <w:rsid w:val="005460EA"/>
    <w:rsid w:val="005516A1"/>
    <w:rsid w:val="00552D90"/>
    <w:rsid w:val="00563557"/>
    <w:rsid w:val="0057402A"/>
    <w:rsid w:val="005754CF"/>
    <w:rsid w:val="005771D0"/>
    <w:rsid w:val="005807F0"/>
    <w:rsid w:val="0059191A"/>
    <w:rsid w:val="005921FF"/>
    <w:rsid w:val="00593BF1"/>
    <w:rsid w:val="00594265"/>
    <w:rsid w:val="005A24ED"/>
    <w:rsid w:val="005A2E2B"/>
    <w:rsid w:val="005A6D0E"/>
    <w:rsid w:val="005B52B0"/>
    <w:rsid w:val="005B6806"/>
    <w:rsid w:val="005C1D6C"/>
    <w:rsid w:val="005C26D0"/>
    <w:rsid w:val="005C4225"/>
    <w:rsid w:val="005C48DD"/>
    <w:rsid w:val="005D0C88"/>
    <w:rsid w:val="005E63C6"/>
    <w:rsid w:val="005E734A"/>
    <w:rsid w:val="005F0DAD"/>
    <w:rsid w:val="005F0F33"/>
    <w:rsid w:val="005F6D17"/>
    <w:rsid w:val="00600DEB"/>
    <w:rsid w:val="00605D43"/>
    <w:rsid w:val="0061250C"/>
    <w:rsid w:val="0062148D"/>
    <w:rsid w:val="006268AC"/>
    <w:rsid w:val="006274BC"/>
    <w:rsid w:val="00627C9F"/>
    <w:rsid w:val="006311E9"/>
    <w:rsid w:val="00632354"/>
    <w:rsid w:val="00633817"/>
    <w:rsid w:val="00637930"/>
    <w:rsid w:val="00642810"/>
    <w:rsid w:val="0064601B"/>
    <w:rsid w:val="00652333"/>
    <w:rsid w:val="00675C4C"/>
    <w:rsid w:val="0068009E"/>
    <w:rsid w:val="00683DE4"/>
    <w:rsid w:val="00692219"/>
    <w:rsid w:val="006A17D2"/>
    <w:rsid w:val="006A1AF2"/>
    <w:rsid w:val="006A1F8D"/>
    <w:rsid w:val="006A73E6"/>
    <w:rsid w:val="006B1C67"/>
    <w:rsid w:val="006B2D5C"/>
    <w:rsid w:val="006C4EB0"/>
    <w:rsid w:val="006C4EB1"/>
    <w:rsid w:val="006C6223"/>
    <w:rsid w:val="006D253B"/>
    <w:rsid w:val="006D4007"/>
    <w:rsid w:val="006D45C9"/>
    <w:rsid w:val="006E0166"/>
    <w:rsid w:val="006E2FFB"/>
    <w:rsid w:val="006E7B34"/>
    <w:rsid w:val="006F3249"/>
    <w:rsid w:val="006F4A6D"/>
    <w:rsid w:val="006F4C61"/>
    <w:rsid w:val="006F6C45"/>
    <w:rsid w:val="00702FA6"/>
    <w:rsid w:val="007045CD"/>
    <w:rsid w:val="0070697F"/>
    <w:rsid w:val="0072199C"/>
    <w:rsid w:val="00721E63"/>
    <w:rsid w:val="00722C9F"/>
    <w:rsid w:val="007253B8"/>
    <w:rsid w:val="00726D44"/>
    <w:rsid w:val="0073741F"/>
    <w:rsid w:val="007476E4"/>
    <w:rsid w:val="00757D32"/>
    <w:rsid w:val="00762D0E"/>
    <w:rsid w:val="0076643F"/>
    <w:rsid w:val="00772536"/>
    <w:rsid w:val="00777F63"/>
    <w:rsid w:val="007843D6"/>
    <w:rsid w:val="0079602E"/>
    <w:rsid w:val="007A3A97"/>
    <w:rsid w:val="007A47B7"/>
    <w:rsid w:val="007A51FD"/>
    <w:rsid w:val="007A542E"/>
    <w:rsid w:val="007A5817"/>
    <w:rsid w:val="007B05C4"/>
    <w:rsid w:val="007B60E9"/>
    <w:rsid w:val="007B6AEC"/>
    <w:rsid w:val="007B6CC3"/>
    <w:rsid w:val="007B76D3"/>
    <w:rsid w:val="007C110F"/>
    <w:rsid w:val="007C3334"/>
    <w:rsid w:val="007C64B6"/>
    <w:rsid w:val="007C6870"/>
    <w:rsid w:val="007D2B98"/>
    <w:rsid w:val="007D791F"/>
    <w:rsid w:val="007E21BC"/>
    <w:rsid w:val="007E7C82"/>
    <w:rsid w:val="007F0DBC"/>
    <w:rsid w:val="007F588D"/>
    <w:rsid w:val="007F7BFD"/>
    <w:rsid w:val="00801445"/>
    <w:rsid w:val="00801EFC"/>
    <w:rsid w:val="00802D76"/>
    <w:rsid w:val="00803F1C"/>
    <w:rsid w:val="0080600E"/>
    <w:rsid w:val="00817612"/>
    <w:rsid w:val="008219EA"/>
    <w:rsid w:val="0082580D"/>
    <w:rsid w:val="008338A4"/>
    <w:rsid w:val="00834D49"/>
    <w:rsid w:val="00837C45"/>
    <w:rsid w:val="00844730"/>
    <w:rsid w:val="008457C2"/>
    <w:rsid w:val="0084700E"/>
    <w:rsid w:val="00851385"/>
    <w:rsid w:val="00857A82"/>
    <w:rsid w:val="008607BC"/>
    <w:rsid w:val="0086132A"/>
    <w:rsid w:val="00865CDA"/>
    <w:rsid w:val="0087145B"/>
    <w:rsid w:val="00873836"/>
    <w:rsid w:val="00875A38"/>
    <w:rsid w:val="008841D3"/>
    <w:rsid w:val="008849F8"/>
    <w:rsid w:val="0088540E"/>
    <w:rsid w:val="00885737"/>
    <w:rsid w:val="00890650"/>
    <w:rsid w:val="00892AB7"/>
    <w:rsid w:val="008978C7"/>
    <w:rsid w:val="00897E12"/>
    <w:rsid w:val="008A7E0F"/>
    <w:rsid w:val="008B12F5"/>
    <w:rsid w:val="008B764D"/>
    <w:rsid w:val="008B7719"/>
    <w:rsid w:val="008D768D"/>
    <w:rsid w:val="008E3759"/>
    <w:rsid w:val="008E3BFE"/>
    <w:rsid w:val="008F1912"/>
    <w:rsid w:val="00901523"/>
    <w:rsid w:val="00901D97"/>
    <w:rsid w:val="0090270B"/>
    <w:rsid w:val="009041DC"/>
    <w:rsid w:val="00907E7E"/>
    <w:rsid w:val="00913AAC"/>
    <w:rsid w:val="009147DD"/>
    <w:rsid w:val="00915FFF"/>
    <w:rsid w:val="00917B5A"/>
    <w:rsid w:val="00920A58"/>
    <w:rsid w:val="00920A8C"/>
    <w:rsid w:val="0093209F"/>
    <w:rsid w:val="00933821"/>
    <w:rsid w:val="00934A2C"/>
    <w:rsid w:val="00936842"/>
    <w:rsid w:val="0094121C"/>
    <w:rsid w:val="0094544D"/>
    <w:rsid w:val="0096262F"/>
    <w:rsid w:val="0096706E"/>
    <w:rsid w:val="00974491"/>
    <w:rsid w:val="00975C4E"/>
    <w:rsid w:val="00981EFF"/>
    <w:rsid w:val="00981FBA"/>
    <w:rsid w:val="009915D3"/>
    <w:rsid w:val="00997BC5"/>
    <w:rsid w:val="009A4F41"/>
    <w:rsid w:val="009B0554"/>
    <w:rsid w:val="009B28D6"/>
    <w:rsid w:val="009B2E7A"/>
    <w:rsid w:val="009B381B"/>
    <w:rsid w:val="009B4686"/>
    <w:rsid w:val="009C15C6"/>
    <w:rsid w:val="009C52EF"/>
    <w:rsid w:val="009C6737"/>
    <w:rsid w:val="009D1753"/>
    <w:rsid w:val="009D7611"/>
    <w:rsid w:val="009E0B61"/>
    <w:rsid w:val="009E1831"/>
    <w:rsid w:val="009E307F"/>
    <w:rsid w:val="009E53DE"/>
    <w:rsid w:val="009F1729"/>
    <w:rsid w:val="009F698D"/>
    <w:rsid w:val="00A01CE3"/>
    <w:rsid w:val="00A04F7E"/>
    <w:rsid w:val="00A06559"/>
    <w:rsid w:val="00A102C3"/>
    <w:rsid w:val="00A11212"/>
    <w:rsid w:val="00A11E44"/>
    <w:rsid w:val="00A1550F"/>
    <w:rsid w:val="00A15EAF"/>
    <w:rsid w:val="00A20F4A"/>
    <w:rsid w:val="00A26598"/>
    <w:rsid w:val="00A26934"/>
    <w:rsid w:val="00A32122"/>
    <w:rsid w:val="00A328B3"/>
    <w:rsid w:val="00A36E10"/>
    <w:rsid w:val="00A375D0"/>
    <w:rsid w:val="00A45A90"/>
    <w:rsid w:val="00A45B42"/>
    <w:rsid w:val="00A50D67"/>
    <w:rsid w:val="00A50FCF"/>
    <w:rsid w:val="00A528D1"/>
    <w:rsid w:val="00A610CD"/>
    <w:rsid w:val="00A758AA"/>
    <w:rsid w:val="00A81825"/>
    <w:rsid w:val="00AA09A2"/>
    <w:rsid w:val="00AA7996"/>
    <w:rsid w:val="00AC19CB"/>
    <w:rsid w:val="00AC753D"/>
    <w:rsid w:val="00AE538B"/>
    <w:rsid w:val="00AE5488"/>
    <w:rsid w:val="00AE5A29"/>
    <w:rsid w:val="00AE6F91"/>
    <w:rsid w:val="00AE7C31"/>
    <w:rsid w:val="00AF5571"/>
    <w:rsid w:val="00B00BDC"/>
    <w:rsid w:val="00B04817"/>
    <w:rsid w:val="00B06AB9"/>
    <w:rsid w:val="00B07341"/>
    <w:rsid w:val="00B16E88"/>
    <w:rsid w:val="00B22FE6"/>
    <w:rsid w:val="00B30539"/>
    <w:rsid w:val="00B314DB"/>
    <w:rsid w:val="00B361F2"/>
    <w:rsid w:val="00B3718B"/>
    <w:rsid w:val="00B3745F"/>
    <w:rsid w:val="00B45602"/>
    <w:rsid w:val="00B4632A"/>
    <w:rsid w:val="00B5055E"/>
    <w:rsid w:val="00B52706"/>
    <w:rsid w:val="00B52B90"/>
    <w:rsid w:val="00B530F1"/>
    <w:rsid w:val="00B54299"/>
    <w:rsid w:val="00B62850"/>
    <w:rsid w:val="00B83DF3"/>
    <w:rsid w:val="00B83FC7"/>
    <w:rsid w:val="00B94D65"/>
    <w:rsid w:val="00B96ADD"/>
    <w:rsid w:val="00BA1B03"/>
    <w:rsid w:val="00BA276C"/>
    <w:rsid w:val="00BB306F"/>
    <w:rsid w:val="00BB48C5"/>
    <w:rsid w:val="00BC15D7"/>
    <w:rsid w:val="00BC2348"/>
    <w:rsid w:val="00BC3BED"/>
    <w:rsid w:val="00BC4A2B"/>
    <w:rsid w:val="00BD41F2"/>
    <w:rsid w:val="00BD4B89"/>
    <w:rsid w:val="00BD5922"/>
    <w:rsid w:val="00BE59CE"/>
    <w:rsid w:val="00BF02CB"/>
    <w:rsid w:val="00BF2B4E"/>
    <w:rsid w:val="00BF41E4"/>
    <w:rsid w:val="00BF6FD8"/>
    <w:rsid w:val="00C0192E"/>
    <w:rsid w:val="00C02F80"/>
    <w:rsid w:val="00C03680"/>
    <w:rsid w:val="00C054DF"/>
    <w:rsid w:val="00C1626B"/>
    <w:rsid w:val="00C17DF6"/>
    <w:rsid w:val="00C21762"/>
    <w:rsid w:val="00C21F9A"/>
    <w:rsid w:val="00C21FEF"/>
    <w:rsid w:val="00C24543"/>
    <w:rsid w:val="00C256A2"/>
    <w:rsid w:val="00C37D09"/>
    <w:rsid w:val="00C42A76"/>
    <w:rsid w:val="00C51515"/>
    <w:rsid w:val="00C52F07"/>
    <w:rsid w:val="00C55D8E"/>
    <w:rsid w:val="00C5660B"/>
    <w:rsid w:val="00C57661"/>
    <w:rsid w:val="00C60426"/>
    <w:rsid w:val="00C6049B"/>
    <w:rsid w:val="00C66B72"/>
    <w:rsid w:val="00C82CB8"/>
    <w:rsid w:val="00C87AC4"/>
    <w:rsid w:val="00C94946"/>
    <w:rsid w:val="00C9567A"/>
    <w:rsid w:val="00CA1432"/>
    <w:rsid w:val="00CA75DB"/>
    <w:rsid w:val="00CB06D6"/>
    <w:rsid w:val="00CB212D"/>
    <w:rsid w:val="00CB2660"/>
    <w:rsid w:val="00CB2752"/>
    <w:rsid w:val="00CB5667"/>
    <w:rsid w:val="00CC5E90"/>
    <w:rsid w:val="00CD046C"/>
    <w:rsid w:val="00CD5D9A"/>
    <w:rsid w:val="00CE076C"/>
    <w:rsid w:val="00CE5199"/>
    <w:rsid w:val="00CE66D5"/>
    <w:rsid w:val="00CE79F8"/>
    <w:rsid w:val="00CF637A"/>
    <w:rsid w:val="00D013A3"/>
    <w:rsid w:val="00D059DE"/>
    <w:rsid w:val="00D05ABD"/>
    <w:rsid w:val="00D10828"/>
    <w:rsid w:val="00D1256C"/>
    <w:rsid w:val="00D13FCE"/>
    <w:rsid w:val="00D20D88"/>
    <w:rsid w:val="00D23B9F"/>
    <w:rsid w:val="00D24405"/>
    <w:rsid w:val="00D306D1"/>
    <w:rsid w:val="00D30800"/>
    <w:rsid w:val="00D30B1C"/>
    <w:rsid w:val="00D32E3E"/>
    <w:rsid w:val="00D34786"/>
    <w:rsid w:val="00D35A86"/>
    <w:rsid w:val="00D37BFC"/>
    <w:rsid w:val="00D42483"/>
    <w:rsid w:val="00D47A8E"/>
    <w:rsid w:val="00D52D14"/>
    <w:rsid w:val="00D53B1E"/>
    <w:rsid w:val="00D651DA"/>
    <w:rsid w:val="00D712D3"/>
    <w:rsid w:val="00D71422"/>
    <w:rsid w:val="00D72DC6"/>
    <w:rsid w:val="00D7558D"/>
    <w:rsid w:val="00D804B0"/>
    <w:rsid w:val="00D81D92"/>
    <w:rsid w:val="00D84BF1"/>
    <w:rsid w:val="00D85348"/>
    <w:rsid w:val="00D876F9"/>
    <w:rsid w:val="00D93FE2"/>
    <w:rsid w:val="00D95202"/>
    <w:rsid w:val="00DA0133"/>
    <w:rsid w:val="00DA32B3"/>
    <w:rsid w:val="00DA7B5F"/>
    <w:rsid w:val="00DB658C"/>
    <w:rsid w:val="00DC11E7"/>
    <w:rsid w:val="00DC24E3"/>
    <w:rsid w:val="00DC34C5"/>
    <w:rsid w:val="00DC7023"/>
    <w:rsid w:val="00DC769A"/>
    <w:rsid w:val="00DD3D86"/>
    <w:rsid w:val="00DD4AD2"/>
    <w:rsid w:val="00DD4B2D"/>
    <w:rsid w:val="00DE107F"/>
    <w:rsid w:val="00DF1776"/>
    <w:rsid w:val="00DF1EC4"/>
    <w:rsid w:val="00E02E29"/>
    <w:rsid w:val="00E0340B"/>
    <w:rsid w:val="00E04A90"/>
    <w:rsid w:val="00E0551F"/>
    <w:rsid w:val="00E0565B"/>
    <w:rsid w:val="00E0679E"/>
    <w:rsid w:val="00E219C7"/>
    <w:rsid w:val="00E32661"/>
    <w:rsid w:val="00E4118C"/>
    <w:rsid w:val="00E43157"/>
    <w:rsid w:val="00E461CE"/>
    <w:rsid w:val="00E55977"/>
    <w:rsid w:val="00E60234"/>
    <w:rsid w:val="00E62D51"/>
    <w:rsid w:val="00E720CA"/>
    <w:rsid w:val="00E736B6"/>
    <w:rsid w:val="00E84EB5"/>
    <w:rsid w:val="00E85662"/>
    <w:rsid w:val="00E8789F"/>
    <w:rsid w:val="00E949F9"/>
    <w:rsid w:val="00E97B71"/>
    <w:rsid w:val="00EA3D34"/>
    <w:rsid w:val="00EA41C8"/>
    <w:rsid w:val="00EB1F96"/>
    <w:rsid w:val="00EB454D"/>
    <w:rsid w:val="00EC0E52"/>
    <w:rsid w:val="00ED549D"/>
    <w:rsid w:val="00ED76BE"/>
    <w:rsid w:val="00EE00E9"/>
    <w:rsid w:val="00EE0AD9"/>
    <w:rsid w:val="00EF1146"/>
    <w:rsid w:val="00EF456A"/>
    <w:rsid w:val="00EF5E6B"/>
    <w:rsid w:val="00EF619B"/>
    <w:rsid w:val="00EF741F"/>
    <w:rsid w:val="00F00B55"/>
    <w:rsid w:val="00F02AD1"/>
    <w:rsid w:val="00F21118"/>
    <w:rsid w:val="00F253CC"/>
    <w:rsid w:val="00F37106"/>
    <w:rsid w:val="00F40E4A"/>
    <w:rsid w:val="00F4228F"/>
    <w:rsid w:val="00F45741"/>
    <w:rsid w:val="00F519CF"/>
    <w:rsid w:val="00F51B4C"/>
    <w:rsid w:val="00F56BA5"/>
    <w:rsid w:val="00F60E22"/>
    <w:rsid w:val="00F63B96"/>
    <w:rsid w:val="00F63E20"/>
    <w:rsid w:val="00F72D32"/>
    <w:rsid w:val="00F81395"/>
    <w:rsid w:val="00F81BB8"/>
    <w:rsid w:val="00F84537"/>
    <w:rsid w:val="00F917D1"/>
    <w:rsid w:val="00F9653B"/>
    <w:rsid w:val="00F977B1"/>
    <w:rsid w:val="00FA73EF"/>
    <w:rsid w:val="00FB2AFE"/>
    <w:rsid w:val="00FB62CF"/>
    <w:rsid w:val="00FC60BA"/>
    <w:rsid w:val="00FC6C50"/>
    <w:rsid w:val="00FD0B52"/>
    <w:rsid w:val="00FD0D38"/>
    <w:rsid w:val="00FD3C3B"/>
    <w:rsid w:val="00FE0046"/>
    <w:rsid w:val="00FE07DD"/>
    <w:rsid w:val="00FE5457"/>
    <w:rsid w:val="00FE6B45"/>
    <w:rsid w:val="00FE7DCF"/>
    <w:rsid w:val="00FF0DA4"/>
    <w:rsid w:val="00FF4720"/>
    <w:rsid w:val="00FF55F3"/>
    <w:rsid w:val="00FF5851"/>
    <w:rsid w:val="00FF60FF"/>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132A"/>
    <w:rPr>
      <w:sz w:val="16"/>
      <w:szCs w:val="16"/>
    </w:rPr>
  </w:style>
  <w:style w:type="paragraph" w:styleId="CommentText">
    <w:name w:val="annotation text"/>
    <w:basedOn w:val="Normal"/>
    <w:link w:val="CommentTextChar"/>
    <w:uiPriority w:val="99"/>
    <w:semiHidden/>
    <w:unhideWhenUsed/>
    <w:rsid w:val="0086132A"/>
    <w:rPr>
      <w:sz w:val="20"/>
      <w:szCs w:val="20"/>
    </w:rPr>
  </w:style>
  <w:style w:type="character" w:customStyle="1" w:styleId="CommentTextChar">
    <w:name w:val="Comment Text Char"/>
    <w:basedOn w:val="DefaultParagraphFont"/>
    <w:link w:val="CommentText"/>
    <w:uiPriority w:val="99"/>
    <w:semiHidden/>
    <w:rsid w:val="0086132A"/>
    <w:rPr>
      <w:lang w:val="en-US" w:eastAsia="en-US"/>
    </w:rPr>
  </w:style>
  <w:style w:type="paragraph" w:styleId="CommentSubject">
    <w:name w:val="annotation subject"/>
    <w:basedOn w:val="CommentText"/>
    <w:next w:val="CommentText"/>
    <w:link w:val="CommentSubjectChar"/>
    <w:uiPriority w:val="99"/>
    <w:semiHidden/>
    <w:unhideWhenUsed/>
    <w:rsid w:val="0086132A"/>
    <w:rPr>
      <w:b/>
      <w:bCs/>
    </w:rPr>
  </w:style>
  <w:style w:type="character" w:customStyle="1" w:styleId="CommentSubjectChar">
    <w:name w:val="Comment Subject Char"/>
    <w:basedOn w:val="CommentTextChar"/>
    <w:link w:val="CommentSubject"/>
    <w:uiPriority w:val="99"/>
    <w:semiHidden/>
    <w:rsid w:val="0086132A"/>
    <w:rPr>
      <w:b/>
      <w:bCs/>
      <w:lang w:val="en-US" w:eastAsia="en-US"/>
    </w:rPr>
  </w:style>
  <w:style w:type="paragraph" w:styleId="Revision">
    <w:name w:val="Revision"/>
    <w:hidden/>
    <w:uiPriority w:val="99"/>
    <w:semiHidden/>
    <w:rsid w:val="00E02E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Strong">
    <w:name w:val="Strong"/>
    <w:basedOn w:val="DefaultParagraphFont"/>
    <w:uiPriority w:val="22"/>
    <w:qFormat/>
    <w:rsid w:val="00F63B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695705">
      <w:bodyDiv w:val="1"/>
      <w:marLeft w:val="0"/>
      <w:marRight w:val="0"/>
      <w:marTop w:val="0"/>
      <w:marBottom w:val="0"/>
      <w:divBdr>
        <w:top w:val="none" w:sz="0" w:space="0" w:color="auto"/>
        <w:left w:val="none" w:sz="0" w:space="0" w:color="auto"/>
        <w:bottom w:val="none" w:sz="0" w:space="0" w:color="auto"/>
        <w:right w:val="none" w:sz="0" w:space="0" w:color="auto"/>
      </w:divBdr>
      <w:divsChild>
        <w:div w:id="1197737894">
          <w:marLeft w:val="0"/>
          <w:marRight w:val="0"/>
          <w:marTop w:val="0"/>
          <w:marBottom w:val="0"/>
          <w:divBdr>
            <w:top w:val="none" w:sz="0" w:space="0" w:color="auto"/>
            <w:left w:val="none" w:sz="0" w:space="0" w:color="auto"/>
            <w:bottom w:val="none" w:sz="0" w:space="0" w:color="auto"/>
            <w:right w:val="none" w:sz="0" w:space="0" w:color="auto"/>
          </w:divBdr>
          <w:divsChild>
            <w:div w:id="1739131082">
              <w:marLeft w:val="0"/>
              <w:marRight w:val="0"/>
              <w:marTop w:val="0"/>
              <w:marBottom w:val="0"/>
              <w:divBdr>
                <w:top w:val="none" w:sz="0" w:space="0" w:color="auto"/>
                <w:left w:val="none" w:sz="0" w:space="0" w:color="auto"/>
                <w:bottom w:val="none" w:sz="0" w:space="0" w:color="auto"/>
                <w:right w:val="none" w:sz="0" w:space="0" w:color="auto"/>
              </w:divBdr>
              <w:divsChild>
                <w:div w:id="788817916">
                  <w:marLeft w:val="-240"/>
                  <w:marRight w:val="-240"/>
                  <w:marTop w:val="0"/>
                  <w:marBottom w:val="0"/>
                  <w:divBdr>
                    <w:top w:val="none" w:sz="0" w:space="0" w:color="auto"/>
                    <w:left w:val="none" w:sz="0" w:space="0" w:color="auto"/>
                    <w:bottom w:val="none" w:sz="0" w:space="0" w:color="auto"/>
                    <w:right w:val="none" w:sz="0" w:space="0" w:color="auto"/>
                  </w:divBdr>
                  <w:divsChild>
                    <w:div w:id="1706448429">
                      <w:marLeft w:val="0"/>
                      <w:marRight w:val="0"/>
                      <w:marTop w:val="0"/>
                      <w:marBottom w:val="0"/>
                      <w:divBdr>
                        <w:top w:val="none" w:sz="0" w:space="0" w:color="auto"/>
                        <w:left w:val="none" w:sz="0" w:space="0" w:color="auto"/>
                        <w:bottom w:val="none" w:sz="0" w:space="0" w:color="auto"/>
                        <w:right w:val="none" w:sz="0" w:space="0" w:color="auto"/>
                      </w:divBdr>
                      <w:divsChild>
                        <w:div w:id="116871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9A74C-5395-43D7-87FF-CFE9ED2EB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3916</Words>
  <Characters>20717</Characters>
  <Application>Microsoft Office Word</Application>
  <DocSecurity>0</DocSecurity>
  <Lines>351</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18/20</dc:title>
  <dc:creator/>
  <cp:lastModifiedBy/>
  <cp:revision>1</cp:revision>
  <dcterms:created xsi:type="dcterms:W3CDTF">2020-06-05T14:27:00Z</dcterms:created>
  <dcterms:modified xsi:type="dcterms:W3CDTF">2020-06-05T14:29:00Z</dcterms:modified>
</cp:coreProperties>
</file>