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6197" w:rsidRDefault="006C0D54">
      <w:pPr>
        <w:pStyle w:val="BodyA"/>
        <w:jc w:val="both"/>
        <w:rPr>
          <w:rFonts w:ascii="Cambria" w:eastAsia="Cambria" w:hAnsi="Cambria" w:cs="Cambria"/>
          <w:b/>
          <w:bCs/>
        </w:rPr>
      </w:pPr>
      <w:r>
        <w:rPr>
          <w:rFonts w:ascii="Cambria" w:eastAsia="Cambria" w:hAnsi="Cambria" w:cs="Cambria"/>
          <w:noProof/>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-356868</wp:posOffset>
                </wp:positionV>
                <wp:extent cx="1409700" cy="89776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8pt;margin-top:-28.1pt;width:111.0pt;height:706.9pt;z-index:251659264;mso-position-horizontal:absolute;mso-position-horizontal-relative:text;mso-position-vertical:absolute;mso-position-vertical-relative:line;mso-wrap-distance-left:0.0pt;mso-wrap-distance-top:0.0pt;mso-wrap-distance-right:0.0pt;mso-wrap-distance-bottom:0.0pt;">
                <v:fill color="#67AE3C"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Cambria" w:eastAsia="Cambria" w:hAnsi="Cambria" w:cs="Cambria"/>
          <w:noProof/>
        </w:rPr>
        <mc:AlternateContent>
          <mc:Choice Requires="wps">
            <w:drawing>
              <wp:anchor distT="0" distB="0" distL="0" distR="0" simplePos="0" relativeHeight="251660288" behindDoc="0" locked="0" layoutInCell="1" allowOverlap="1">
                <wp:simplePos x="0" y="0"/>
                <wp:positionH relativeFrom="column">
                  <wp:posOffset>1143000</wp:posOffset>
                </wp:positionH>
                <wp:positionV relativeFrom="line">
                  <wp:posOffset>-371475</wp:posOffset>
                </wp:positionV>
                <wp:extent cx="4486275" cy="75247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12700" cap="flat">
                          <a:noFill/>
                          <a:miter lim="400000"/>
                        </a:ln>
                        <a:effectLst/>
                      </wps:spPr>
                      <wps:txbx>
                        <w:txbxContent>
                          <w:p w:rsidR="00246197" w:rsidRDefault="00DC575C">
                            <w:pPr>
                              <w:pStyle w:val="BodyA"/>
                            </w:pPr>
                            <w:r>
                              <w:rPr>
                                <w:noProof/>
                              </w:rPr>
                              <w:drawing>
                                <wp:inline distT="0" distB="0" distL="0" distR="0" wp14:anchorId="26E5F407" wp14:editId="5ECF7A0C">
                                  <wp:extent cx="2522763" cy="485775"/>
                                  <wp:effectExtent l="0" t="0" r="0" b="0"/>
                                  <wp:docPr id="51756447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6C0D54">
                              <w:rPr>
                                <w:rFonts w:ascii="Times New Roman" w:hAnsi="Times New Roman"/>
                                <w:sz w:val="24"/>
                                <w:szCs w:val="24"/>
                                <w:lang w:val="de-DE"/>
                              </w:rPr>
                              <w:t xml:space="preserve">                      </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style="position:absolute;left:0;text-align:left;margin-left:90pt;margin-top:-29.25pt;width:353.25pt;height:59.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" filled="f" stroked="f" strokeweight="1pt">
                <v:stroke miterlimit="4"/>
                <v:textbox inset="1.2699mm,1.2699mm,1.2699mm,1.2699mm">
                  <w:txbxContent>
                    <w:p w:rsidR="00246197" w:rsidRDefault="00DC575C">
                      <w:pPr>
                        <w:pStyle w:val="BodyA"/>
                      </w:pPr>
                      <w:r>
                        <w:rPr>
                          <w:noProof/>
                        </w:rPr>
                        <w:drawing>
                          <wp:inline distT="0" distB="0" distL="0" distR="0" wp14:anchorId="26E5F407" wp14:editId="5ECF7A0C">
                            <wp:extent cx="2522763" cy="485775"/>
                            <wp:effectExtent l="0" t="0" r="0" b="0"/>
                            <wp:docPr id="51756447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6C0D54">
                        <w:rPr>
                          <w:rFonts w:ascii="Times New Roman" w:hAnsi="Times New Roman"/>
                          <w:sz w:val="24"/>
                          <w:szCs w:val="24"/>
                          <w:lang w:val="de-DE"/>
                        </w:rPr>
                        <w:t xml:space="preserve">                      </w:t>
                      </w:r>
                    </w:p>
                  </w:txbxContent>
                </v:textbox>
                <w10:wrap anchory="line"/>
              </v:shape>
            </w:pict>
          </mc:Fallback>
        </mc:AlternateContent>
      </w:r>
    </w:p>
    <w:p w:rsidR="00246197" w:rsidRDefault="00246197">
      <w:pPr>
        <w:pStyle w:val="BodyA"/>
        <w:tabs>
          <w:tab w:val="center" w:pos="5400"/>
        </w:tabs>
        <w:suppressAutoHyphens/>
        <w:jc w:val="both"/>
        <w:rPr>
          <w:rFonts w:ascii="Cambria" w:eastAsia="Cambria" w:hAnsi="Cambria" w:cs="Cambria"/>
          <w:lang w:val="es-ES_tradnl"/>
        </w:rPr>
      </w:pPr>
    </w:p>
    <w:p w:rsidR="00246197" w:rsidRDefault="00246197">
      <w:pPr>
        <w:pStyle w:val="BodyA"/>
        <w:tabs>
          <w:tab w:val="center" w:pos="5400"/>
        </w:tabs>
        <w:suppressAutoHyphens/>
        <w:jc w:val="both"/>
        <w:rPr>
          <w:rFonts w:ascii="Cambria" w:eastAsia="Cambria" w:hAnsi="Cambria" w:cs="Cambria"/>
          <w:lang w:val="es-ES_tradnl"/>
        </w:rPr>
      </w:pPr>
    </w:p>
    <w:p w:rsidR="00246197" w:rsidRDefault="00246197">
      <w:pPr>
        <w:pStyle w:val="BodyA"/>
        <w:tabs>
          <w:tab w:val="center" w:pos="5400"/>
        </w:tabs>
        <w:suppressAutoHyphens/>
        <w:rPr>
          <w:rFonts w:ascii="Cambria" w:eastAsia="Cambria" w:hAnsi="Cambria" w:cs="Cambria"/>
          <w:lang w:val="es-ES_tradnl"/>
        </w:rPr>
      </w:pPr>
    </w:p>
    <w:p w:rsidR="00246197" w:rsidRDefault="00246197">
      <w:pPr>
        <w:pStyle w:val="BodyA"/>
        <w:tabs>
          <w:tab w:val="center" w:pos="5400"/>
        </w:tabs>
        <w:suppressAutoHyphens/>
        <w:rPr>
          <w:rFonts w:ascii="Cambria" w:eastAsia="Cambria" w:hAnsi="Cambria" w:cs="Cambria"/>
          <w:lang w:val="es-ES_tradnl"/>
        </w:rPr>
      </w:pPr>
    </w:p>
    <w:p w:rsidR="00246197" w:rsidRDefault="00246197">
      <w:pPr>
        <w:pStyle w:val="BodyA"/>
        <w:tabs>
          <w:tab w:val="center" w:pos="5400"/>
        </w:tabs>
        <w:suppressAutoHyphens/>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6C0D54">
      <w:pPr>
        <w:pStyle w:val="BodyA"/>
        <w:tabs>
          <w:tab w:val="center" w:pos="5400"/>
        </w:tabs>
        <w:suppressAutoHyphens/>
        <w:jc w:val="center"/>
        <w:rPr>
          <w:rFonts w:ascii="Cambria" w:eastAsia="Cambria" w:hAnsi="Cambria" w:cs="Cambria"/>
        </w:rPr>
      </w:pPr>
      <w:r>
        <w:rPr>
          <w:rFonts w:ascii="Cambria" w:eastAsia="Cambria" w:hAnsi="Cambria" w:cs="Cambria"/>
          <w:noProof/>
        </w:rPr>
        <mc:AlternateContent>
          <mc:Choice Requires="wps">
            <w:drawing>
              <wp:anchor distT="0" distB="0" distL="0" distR="0" simplePos="0" relativeHeight="251661312" behindDoc="0" locked="0" layoutInCell="1" allowOverlap="1">
                <wp:simplePos x="0" y="0"/>
                <wp:positionH relativeFrom="column">
                  <wp:posOffset>1209675</wp:posOffset>
                </wp:positionH>
                <wp:positionV relativeFrom="line">
                  <wp:posOffset>79375</wp:posOffset>
                </wp:positionV>
                <wp:extent cx="4333875" cy="235077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12700" cap="flat">
                          <a:noFill/>
                          <a:miter lim="400000"/>
                        </a:ln>
                        <a:effectLst/>
                      </wps:spPr>
                      <wps:txbx>
                        <w:txbxContent>
                          <w:p w:rsidR="00246197" w:rsidRDefault="006C0D54">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 xml:space="preserve">REPORT No. </w:t>
                            </w:r>
                            <w:r w:rsidR="00DC575C">
                              <w:rPr>
                                <w:rFonts w:ascii="Cambria" w:eastAsia="Cambria" w:hAnsi="Cambria" w:cs="Cambria"/>
                                <w:b/>
                                <w:bCs/>
                                <w:color w:val="0D0D0D"/>
                                <w:sz w:val="36"/>
                                <w:szCs w:val="36"/>
                                <w:u w:color="0D0D0D"/>
                              </w:rPr>
                              <w:t>168</w:t>
                            </w:r>
                            <w:r>
                              <w:rPr>
                                <w:rFonts w:ascii="Cambria" w:eastAsia="Cambria" w:hAnsi="Cambria" w:cs="Cambria"/>
                                <w:b/>
                                <w:bCs/>
                                <w:color w:val="0D0D0D"/>
                                <w:sz w:val="36"/>
                                <w:szCs w:val="36"/>
                                <w:u w:color="0D0D0D"/>
                              </w:rPr>
                              <w:t>/20</w:t>
                            </w:r>
                          </w:p>
                          <w:p w:rsidR="00246197" w:rsidRDefault="006C0D54">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1183-10</w:t>
                            </w:r>
                          </w:p>
                          <w:p w:rsidR="00246197" w:rsidRDefault="00122020">
                            <w:pPr>
                              <w:pStyle w:val="BodyA"/>
                              <w:spacing w:line="276" w:lineRule="auto"/>
                              <w:rPr>
                                <w:rFonts w:ascii="Cambria" w:eastAsia="Cambria" w:hAnsi="Cambria" w:cs="Cambria"/>
                                <w:color w:val="0D0D0D"/>
                                <w:sz w:val="24"/>
                                <w:szCs w:val="24"/>
                                <w:u w:color="0D0D0D"/>
                                <w:lang w:val="de-DE"/>
                              </w:rPr>
                            </w:pPr>
                            <w:r>
                              <w:rPr>
                                <w:rFonts w:ascii="Cambria" w:eastAsia="Cambria" w:hAnsi="Cambria" w:cs="Cambria"/>
                                <w:color w:val="0D0D0D"/>
                                <w:sz w:val="24"/>
                                <w:szCs w:val="24"/>
                                <w:u w:color="0D0D0D"/>
                                <w:lang w:val="de-DE"/>
                              </w:rPr>
                              <w:t xml:space="preserve">REPORT ON </w:t>
                            </w:r>
                            <w:r w:rsidR="006C0D54">
                              <w:rPr>
                                <w:rFonts w:ascii="Cambria" w:eastAsia="Cambria" w:hAnsi="Cambria" w:cs="Cambria"/>
                                <w:color w:val="0D0D0D"/>
                                <w:sz w:val="24"/>
                                <w:szCs w:val="24"/>
                                <w:u w:color="0D0D0D"/>
                                <w:lang w:val="de-DE"/>
                              </w:rPr>
                              <w:t xml:space="preserve">ADMISSIBILITY </w:t>
                            </w:r>
                          </w:p>
                          <w:p w:rsidR="00246197" w:rsidRDefault="00246197">
                            <w:pPr>
                              <w:pStyle w:val="BodyA"/>
                              <w:spacing w:line="276" w:lineRule="auto"/>
                              <w:rPr>
                                <w:rFonts w:ascii="Cambria" w:eastAsia="Cambria" w:hAnsi="Cambria" w:cs="Cambria"/>
                                <w:color w:val="0D0D0D"/>
                                <w:sz w:val="24"/>
                                <w:szCs w:val="24"/>
                                <w:u w:color="0D0D0D"/>
                              </w:rPr>
                            </w:pPr>
                          </w:p>
                          <w:p w:rsidR="00246197" w:rsidRDefault="006C0D54">
                            <w:pPr>
                              <w:pStyle w:val="BodyA"/>
                              <w:spacing w:line="276" w:lineRule="auto"/>
                              <w:rPr>
                                <w:rFonts w:ascii="Cambria" w:eastAsia="Cambria" w:hAnsi="Cambria" w:cs="Cambria"/>
                                <w:color w:val="0D0D0D"/>
                                <w:sz w:val="24"/>
                                <w:szCs w:val="24"/>
                                <w:u w:color="0D0D0D"/>
                              </w:rPr>
                            </w:pPr>
                            <w:r>
                              <w:rPr>
                                <w:rFonts w:ascii="Cambria" w:eastAsia="Cambria" w:hAnsi="Cambria" w:cs="Cambria"/>
                                <w:color w:val="0D0D0D"/>
                                <w:sz w:val="24"/>
                                <w:szCs w:val="24"/>
                                <w:u w:color="0D0D0D"/>
                              </w:rPr>
                              <w:t xml:space="preserve">GILLES BIKINDOU </w:t>
                            </w:r>
                            <w:r w:rsidR="00A31918">
                              <w:rPr>
                                <w:rFonts w:ascii="Cambria" w:eastAsia="Cambria" w:hAnsi="Cambria" w:cs="Cambria"/>
                                <w:color w:val="0D0D0D"/>
                                <w:sz w:val="24"/>
                                <w:szCs w:val="24"/>
                                <w:u w:color="0D0D0D"/>
                              </w:rPr>
                              <w:t>AND FAMILY</w:t>
                            </w:r>
                          </w:p>
                          <w:p w:rsidR="00246197" w:rsidRDefault="006C0D54">
                            <w:pPr>
                              <w:pStyle w:val="BodyA"/>
                              <w:spacing w:line="276" w:lineRule="auto"/>
                            </w:pPr>
                            <w:r>
                              <w:rPr>
                                <w:rFonts w:ascii="Cambria" w:eastAsia="Cambria" w:hAnsi="Cambria" w:cs="Cambria"/>
                                <w:color w:val="0D0D0D"/>
                                <w:sz w:val="24"/>
                                <w:szCs w:val="24"/>
                                <w:u w:color="0D0D0D"/>
                              </w:rPr>
                              <w:t>UNITED STATES OF AMERICA</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95.25pt;margin-top:6.25pt;width:341.25pt;height:185.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" filled="f" stroked="f" strokeweight="1pt">
                <v:stroke miterlimit="4"/>
                <v:textbox inset="1.2699mm,1.2699mm,1.2699mm,1.2699mm">
                  <w:txbxContent>
                    <w:p w:rsidR="00246197" w:rsidRDefault="006C0D54">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 xml:space="preserve">REPORT No. </w:t>
                      </w:r>
                      <w:r w:rsidR="00DC575C">
                        <w:rPr>
                          <w:rFonts w:ascii="Cambria" w:eastAsia="Cambria" w:hAnsi="Cambria" w:cs="Cambria"/>
                          <w:b/>
                          <w:bCs/>
                          <w:color w:val="0D0D0D"/>
                          <w:sz w:val="36"/>
                          <w:szCs w:val="36"/>
                          <w:u w:color="0D0D0D"/>
                        </w:rPr>
                        <w:t>168</w:t>
                      </w:r>
                      <w:r>
                        <w:rPr>
                          <w:rFonts w:ascii="Cambria" w:eastAsia="Cambria" w:hAnsi="Cambria" w:cs="Cambria"/>
                          <w:b/>
                          <w:bCs/>
                          <w:color w:val="0D0D0D"/>
                          <w:sz w:val="36"/>
                          <w:szCs w:val="36"/>
                          <w:u w:color="0D0D0D"/>
                        </w:rPr>
                        <w:t>/20</w:t>
                      </w:r>
                    </w:p>
                    <w:p w:rsidR="00246197" w:rsidRDefault="006C0D54">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1183-10</w:t>
                      </w:r>
                    </w:p>
                    <w:p w:rsidR="00246197" w:rsidRDefault="00122020">
                      <w:pPr>
                        <w:pStyle w:val="BodyA"/>
                        <w:spacing w:line="276" w:lineRule="auto"/>
                        <w:rPr>
                          <w:rFonts w:ascii="Cambria" w:eastAsia="Cambria" w:hAnsi="Cambria" w:cs="Cambria"/>
                          <w:color w:val="0D0D0D"/>
                          <w:sz w:val="24"/>
                          <w:szCs w:val="24"/>
                          <w:u w:color="0D0D0D"/>
                          <w:lang w:val="de-DE"/>
                        </w:rPr>
                      </w:pPr>
                      <w:r>
                        <w:rPr>
                          <w:rFonts w:ascii="Cambria" w:eastAsia="Cambria" w:hAnsi="Cambria" w:cs="Cambria"/>
                          <w:color w:val="0D0D0D"/>
                          <w:sz w:val="24"/>
                          <w:szCs w:val="24"/>
                          <w:u w:color="0D0D0D"/>
                          <w:lang w:val="de-DE"/>
                        </w:rPr>
                        <w:t xml:space="preserve">REPORT ON </w:t>
                      </w:r>
                      <w:r w:rsidR="006C0D54">
                        <w:rPr>
                          <w:rFonts w:ascii="Cambria" w:eastAsia="Cambria" w:hAnsi="Cambria" w:cs="Cambria"/>
                          <w:color w:val="0D0D0D"/>
                          <w:sz w:val="24"/>
                          <w:szCs w:val="24"/>
                          <w:u w:color="0D0D0D"/>
                          <w:lang w:val="de-DE"/>
                        </w:rPr>
                        <w:t xml:space="preserve">ADMISSIBILITY </w:t>
                      </w:r>
                    </w:p>
                    <w:p w:rsidR="00246197" w:rsidRDefault="00246197">
                      <w:pPr>
                        <w:pStyle w:val="BodyA"/>
                        <w:spacing w:line="276" w:lineRule="auto"/>
                        <w:rPr>
                          <w:rFonts w:ascii="Cambria" w:eastAsia="Cambria" w:hAnsi="Cambria" w:cs="Cambria"/>
                          <w:color w:val="0D0D0D"/>
                          <w:sz w:val="24"/>
                          <w:szCs w:val="24"/>
                          <w:u w:color="0D0D0D"/>
                        </w:rPr>
                      </w:pPr>
                    </w:p>
                    <w:p w:rsidR="00246197" w:rsidRDefault="006C0D54">
                      <w:pPr>
                        <w:pStyle w:val="BodyA"/>
                        <w:spacing w:line="276" w:lineRule="auto"/>
                        <w:rPr>
                          <w:rFonts w:ascii="Cambria" w:eastAsia="Cambria" w:hAnsi="Cambria" w:cs="Cambria"/>
                          <w:color w:val="0D0D0D"/>
                          <w:sz w:val="24"/>
                          <w:szCs w:val="24"/>
                          <w:u w:color="0D0D0D"/>
                        </w:rPr>
                      </w:pPr>
                      <w:r>
                        <w:rPr>
                          <w:rFonts w:ascii="Cambria" w:eastAsia="Cambria" w:hAnsi="Cambria" w:cs="Cambria"/>
                          <w:color w:val="0D0D0D"/>
                          <w:sz w:val="24"/>
                          <w:szCs w:val="24"/>
                          <w:u w:color="0D0D0D"/>
                        </w:rPr>
                        <w:t xml:space="preserve">GILLES BIKINDOU </w:t>
                      </w:r>
                      <w:r w:rsidR="00A31918">
                        <w:rPr>
                          <w:rFonts w:ascii="Cambria" w:eastAsia="Cambria" w:hAnsi="Cambria" w:cs="Cambria"/>
                          <w:color w:val="0D0D0D"/>
                          <w:sz w:val="24"/>
                          <w:szCs w:val="24"/>
                          <w:u w:color="0D0D0D"/>
                        </w:rPr>
                        <w:t>AND FAMILY</w:t>
                      </w:r>
                    </w:p>
                    <w:p w:rsidR="00246197" w:rsidRDefault="006C0D54">
                      <w:pPr>
                        <w:pStyle w:val="BodyA"/>
                        <w:spacing w:line="276" w:lineRule="auto"/>
                      </w:pPr>
                      <w:r>
                        <w:rPr>
                          <w:rFonts w:ascii="Cambria" w:eastAsia="Cambria" w:hAnsi="Cambria" w:cs="Cambria"/>
                          <w:color w:val="0D0D0D"/>
                          <w:sz w:val="24"/>
                          <w:szCs w:val="24"/>
                          <w:u w:color="0D0D0D"/>
                        </w:rPr>
                        <w:t>UNITED STATES OF AMERICA</w:t>
                      </w:r>
                    </w:p>
                  </w:txbxContent>
                </v:textbox>
                <w10:wrap anchory="line"/>
              </v:shape>
            </w:pict>
          </mc:Fallback>
        </mc:AlternateContent>
      </w:r>
      <w:r>
        <w:rPr>
          <w:rFonts w:ascii="Cambria" w:eastAsia="Cambria" w:hAnsi="Cambria" w:cs="Cambria"/>
          <w:noProof/>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126998</wp:posOffset>
                </wp:positionV>
                <wp:extent cx="1334137" cy="1377317"/>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334137" cy="1377317"/>
                        </a:xfrm>
                        <a:prstGeom prst="rect">
                          <a:avLst/>
                        </a:prstGeom>
                        <a:noFill/>
                        <a:ln w="12700" cap="flat">
                          <a:noFill/>
                          <a:miter lim="400000"/>
                        </a:ln>
                        <a:effectLst/>
                      </wps:spPr>
                      <wps:txbx>
                        <w:txbxContent>
                          <w:p w:rsidR="00246197" w:rsidRPr="00DC734A" w:rsidRDefault="006C0D54">
                            <w:pPr>
                              <w:pStyle w:val="BodyA"/>
                              <w:jc w:val="right"/>
                              <w:rPr>
                                <w:rFonts w:ascii="Calibri" w:eastAsia="Calibri" w:hAnsi="Calibri" w:cs="Calibri"/>
                                <w:color w:val="FFFFFF" w:themeColor="background1"/>
                                <w:u w:color="FFFFFF"/>
                                <w:lang w:val="pt-PT"/>
                              </w:rPr>
                            </w:pPr>
                            <w:r>
                              <w:rPr>
                                <w:rFonts w:ascii="Calibri" w:eastAsia="Calibri" w:hAnsi="Calibri" w:cs="Calibri"/>
                                <w:color w:val="FFFFFF"/>
                                <w:u w:color="FFFFFF"/>
                                <w:lang w:val="pt-PT"/>
                              </w:rPr>
                              <w:t>OEA/Ser.L/V</w:t>
                            </w:r>
                            <w:r w:rsidRPr="00DC734A">
                              <w:rPr>
                                <w:rFonts w:ascii="Calibri" w:eastAsia="Calibri" w:hAnsi="Calibri" w:cs="Calibri"/>
                                <w:color w:val="FFFFFF" w:themeColor="background1"/>
                                <w:u w:color="FFFFFF"/>
                                <w:lang w:val="pt-PT"/>
                              </w:rPr>
                              <w:t>/II.</w:t>
                            </w:r>
                          </w:p>
                          <w:p w:rsidR="00246197" w:rsidRPr="00DC734A" w:rsidRDefault="006C0D54">
                            <w:pPr>
                              <w:pStyle w:val="BodyA"/>
                              <w:jc w:val="right"/>
                              <w:rPr>
                                <w:rFonts w:ascii="Calibri" w:eastAsia="Calibri" w:hAnsi="Calibri" w:cs="Calibri"/>
                                <w:color w:val="FFFFFF" w:themeColor="background1"/>
                                <w:u w:color="FFFFFF"/>
                                <w:lang w:val="pt-PT"/>
                              </w:rPr>
                            </w:pPr>
                            <w:r w:rsidRPr="00DC734A">
                              <w:rPr>
                                <w:rFonts w:ascii="Calibri" w:eastAsia="Calibri" w:hAnsi="Calibri" w:cs="Calibri"/>
                                <w:color w:val="FFFFFF" w:themeColor="background1"/>
                                <w:u w:color="FFFFFF"/>
                                <w:lang w:val="pt-PT"/>
                              </w:rPr>
                              <w:t xml:space="preserve">Doc. </w:t>
                            </w:r>
                            <w:r w:rsidR="00DC575C">
                              <w:rPr>
                                <w:rFonts w:ascii="Calibri" w:eastAsia="Calibri" w:hAnsi="Calibri" w:cs="Calibri"/>
                                <w:color w:val="FFFFFF" w:themeColor="background1"/>
                                <w:u w:color="FF0000"/>
                                <w:lang w:val="pt-PT"/>
                              </w:rPr>
                              <w:t>178</w:t>
                            </w:r>
                          </w:p>
                          <w:p w:rsidR="00246197" w:rsidRPr="00DC734A" w:rsidRDefault="006C0D54">
                            <w:pPr>
                              <w:pStyle w:val="BodyA"/>
                              <w:jc w:val="right"/>
                              <w:rPr>
                                <w:rFonts w:ascii="Calibri" w:eastAsia="Calibri" w:hAnsi="Calibri" w:cs="Calibri"/>
                                <w:color w:val="FFFFFF" w:themeColor="background1"/>
                                <w:u w:color="FFFFFF"/>
                              </w:rPr>
                            </w:pPr>
                            <w:r w:rsidRPr="00DC734A">
                              <w:rPr>
                                <w:rFonts w:ascii="Calibri" w:eastAsia="Calibri" w:hAnsi="Calibri" w:cs="Calibri"/>
                                <w:color w:val="FFFFFF" w:themeColor="background1"/>
                                <w:u w:color="FFFFFF"/>
                                <w:lang w:val="pt-PT"/>
                              </w:rPr>
                              <w:t xml:space="preserve"> </w:t>
                            </w:r>
                            <w:r w:rsidR="00DC575C">
                              <w:rPr>
                                <w:rFonts w:ascii="Calibri" w:eastAsia="Calibri" w:hAnsi="Calibri" w:cs="Calibri"/>
                                <w:color w:val="FFFFFF" w:themeColor="background1"/>
                                <w:u w:color="FF0000"/>
                              </w:rPr>
                              <w:t>2 July 2020</w:t>
                            </w:r>
                          </w:p>
                          <w:p w:rsidR="00246197" w:rsidRDefault="006C0D54">
                            <w:pPr>
                              <w:pStyle w:val="BodyA"/>
                              <w:jc w:val="right"/>
                            </w:pPr>
                            <w:r w:rsidRPr="00DC734A">
                              <w:rPr>
                                <w:rFonts w:ascii="Calibri" w:eastAsia="Calibri" w:hAnsi="Calibri" w:cs="Calibri"/>
                                <w:color w:val="FFFFFF" w:themeColor="background1"/>
                                <w:u w:color="FFFFFF"/>
                              </w:rPr>
                              <w:t xml:space="preserve">Original: </w:t>
                            </w:r>
                            <w:r w:rsidRPr="00DC734A">
                              <w:rPr>
                                <w:rFonts w:ascii="Calibri" w:eastAsia="Calibri" w:hAnsi="Calibri" w:cs="Calibri"/>
                                <w:color w:val="FFFFFF" w:themeColor="background1"/>
                                <w:u w:color="FF0000"/>
                              </w:rPr>
                              <w:t>English</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" filled="f" stroked="f" strokeweight="1pt">
                <v:stroke miterlimit="4"/>
                <v:textbox inset="1.2699mm,1.2699mm,1.2699mm,1.2699mm">
                  <w:txbxContent>
                    <w:p w:rsidR="00246197" w:rsidRPr="00DC734A" w:rsidRDefault="006C0D54">
                      <w:pPr>
                        <w:pStyle w:val="BodyA"/>
                        <w:jc w:val="right"/>
                        <w:rPr>
                          <w:rFonts w:ascii="Calibri" w:eastAsia="Calibri" w:hAnsi="Calibri" w:cs="Calibri"/>
                          <w:color w:val="FFFFFF" w:themeColor="background1"/>
                          <w:u w:color="FFFFFF"/>
                          <w:lang w:val="pt-PT"/>
                        </w:rPr>
                      </w:pPr>
                      <w:r>
                        <w:rPr>
                          <w:rFonts w:ascii="Calibri" w:eastAsia="Calibri" w:hAnsi="Calibri" w:cs="Calibri"/>
                          <w:color w:val="FFFFFF"/>
                          <w:u w:color="FFFFFF"/>
                          <w:lang w:val="pt-PT"/>
                        </w:rPr>
                        <w:t>OEA/Ser.L/V</w:t>
                      </w:r>
                      <w:r w:rsidRPr="00DC734A">
                        <w:rPr>
                          <w:rFonts w:ascii="Calibri" w:eastAsia="Calibri" w:hAnsi="Calibri" w:cs="Calibri"/>
                          <w:color w:val="FFFFFF" w:themeColor="background1"/>
                          <w:u w:color="FFFFFF"/>
                          <w:lang w:val="pt-PT"/>
                        </w:rPr>
                        <w:t>/II.</w:t>
                      </w:r>
                    </w:p>
                    <w:p w:rsidR="00246197" w:rsidRPr="00DC734A" w:rsidRDefault="006C0D54">
                      <w:pPr>
                        <w:pStyle w:val="BodyA"/>
                        <w:jc w:val="right"/>
                        <w:rPr>
                          <w:rFonts w:ascii="Calibri" w:eastAsia="Calibri" w:hAnsi="Calibri" w:cs="Calibri"/>
                          <w:color w:val="FFFFFF" w:themeColor="background1"/>
                          <w:u w:color="FFFFFF"/>
                          <w:lang w:val="pt-PT"/>
                        </w:rPr>
                      </w:pPr>
                      <w:r w:rsidRPr="00DC734A">
                        <w:rPr>
                          <w:rFonts w:ascii="Calibri" w:eastAsia="Calibri" w:hAnsi="Calibri" w:cs="Calibri"/>
                          <w:color w:val="FFFFFF" w:themeColor="background1"/>
                          <w:u w:color="FFFFFF"/>
                          <w:lang w:val="pt-PT"/>
                        </w:rPr>
                        <w:t xml:space="preserve">Doc. </w:t>
                      </w:r>
                      <w:r w:rsidR="00DC575C">
                        <w:rPr>
                          <w:rFonts w:ascii="Calibri" w:eastAsia="Calibri" w:hAnsi="Calibri" w:cs="Calibri"/>
                          <w:color w:val="FFFFFF" w:themeColor="background1"/>
                          <w:u w:color="FF0000"/>
                          <w:lang w:val="pt-PT"/>
                        </w:rPr>
                        <w:t>178</w:t>
                      </w:r>
                    </w:p>
                    <w:p w:rsidR="00246197" w:rsidRPr="00DC734A" w:rsidRDefault="006C0D54">
                      <w:pPr>
                        <w:pStyle w:val="BodyA"/>
                        <w:jc w:val="right"/>
                        <w:rPr>
                          <w:rFonts w:ascii="Calibri" w:eastAsia="Calibri" w:hAnsi="Calibri" w:cs="Calibri"/>
                          <w:color w:val="FFFFFF" w:themeColor="background1"/>
                          <w:u w:color="FFFFFF"/>
                        </w:rPr>
                      </w:pPr>
                      <w:r w:rsidRPr="00DC734A">
                        <w:rPr>
                          <w:rFonts w:ascii="Calibri" w:eastAsia="Calibri" w:hAnsi="Calibri" w:cs="Calibri"/>
                          <w:color w:val="FFFFFF" w:themeColor="background1"/>
                          <w:u w:color="FFFFFF"/>
                          <w:lang w:val="pt-PT"/>
                        </w:rPr>
                        <w:t xml:space="preserve"> </w:t>
                      </w:r>
                      <w:r w:rsidR="00DC575C">
                        <w:rPr>
                          <w:rFonts w:ascii="Calibri" w:eastAsia="Calibri" w:hAnsi="Calibri" w:cs="Calibri"/>
                          <w:color w:val="FFFFFF" w:themeColor="background1"/>
                          <w:u w:color="FF0000"/>
                        </w:rPr>
                        <w:t>2 July 2020</w:t>
                      </w:r>
                    </w:p>
                    <w:p w:rsidR="00246197" w:rsidRDefault="006C0D54">
                      <w:pPr>
                        <w:pStyle w:val="BodyA"/>
                        <w:jc w:val="right"/>
                      </w:pPr>
                      <w:r w:rsidRPr="00DC734A">
                        <w:rPr>
                          <w:rFonts w:ascii="Calibri" w:eastAsia="Calibri" w:hAnsi="Calibri" w:cs="Calibri"/>
                          <w:color w:val="FFFFFF" w:themeColor="background1"/>
                          <w:u w:color="FFFFFF"/>
                        </w:rPr>
                        <w:t xml:space="preserve">Original: </w:t>
                      </w:r>
                      <w:r w:rsidRPr="00DC734A">
                        <w:rPr>
                          <w:rFonts w:ascii="Calibri" w:eastAsia="Calibri" w:hAnsi="Calibri" w:cs="Calibri"/>
                          <w:color w:val="FFFFFF" w:themeColor="background1"/>
                          <w:u w:color="FF0000"/>
                        </w:rPr>
                        <w:t>English</w:t>
                      </w:r>
                    </w:p>
                  </w:txbxContent>
                </v:textbox>
                <w10:wrap anchory="line"/>
              </v:shape>
            </w:pict>
          </mc:Fallback>
        </mc:AlternateContent>
      </w: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6C0D54">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rPr>
        <mc:AlternateContent>
          <mc:Choice Requires="wps">
            <w:drawing>
              <wp:anchor distT="0" distB="0" distL="0" distR="0" simplePos="0" relativeHeight="251663360" behindDoc="0" locked="0" layoutInCell="1" allowOverlap="1">
                <wp:simplePos x="0" y="0"/>
                <wp:positionH relativeFrom="column">
                  <wp:posOffset>1207007</wp:posOffset>
                </wp:positionH>
                <wp:positionV relativeFrom="line">
                  <wp:posOffset>68021</wp:posOffset>
                </wp:positionV>
                <wp:extent cx="4595496" cy="504749"/>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4595496" cy="504749"/>
                        </a:xfrm>
                        <a:prstGeom prst="rect">
                          <a:avLst/>
                        </a:prstGeom>
                        <a:noFill/>
                        <a:ln w="12700" cap="flat">
                          <a:noFill/>
                          <a:miter lim="400000"/>
                        </a:ln>
                        <a:effectLst/>
                      </wps:spPr>
                      <wps:txbx>
                        <w:txbxContent>
                          <w:p w:rsidR="00246197" w:rsidRDefault="006C0D54">
                            <w:pPr>
                              <w:pStyle w:val="BodyA"/>
                              <w:tabs>
                                <w:tab w:val="center" w:pos="5400"/>
                              </w:tabs>
                              <w:suppressAutoHyphens/>
                              <w:spacing w:before="60"/>
                            </w:pPr>
                            <w:r>
                              <w:rPr>
                                <w:rFonts w:ascii="Cambria" w:eastAsia="Cambria" w:hAnsi="Cambria" w:cs="Cambria"/>
                                <w:color w:val="0D0D0D"/>
                                <w:sz w:val="18"/>
                                <w:szCs w:val="18"/>
                                <w:u w:color="0D0D0D"/>
                              </w:rPr>
                              <w:t>Approved</w:t>
                            </w:r>
                            <w:r w:rsidR="00DC734A">
                              <w:rPr>
                                <w:rFonts w:ascii="Cambria" w:eastAsia="Cambria" w:hAnsi="Cambria" w:cs="Cambria"/>
                                <w:color w:val="0D0D0D"/>
                                <w:sz w:val="18"/>
                                <w:szCs w:val="18"/>
                                <w:u w:color="0D0D0D"/>
                              </w:rPr>
                              <w:t xml:space="preserve"> electronically</w:t>
                            </w:r>
                            <w:r>
                              <w:rPr>
                                <w:rFonts w:ascii="Cambria" w:eastAsia="Cambria" w:hAnsi="Cambria" w:cs="Cambria"/>
                                <w:color w:val="0D0D0D"/>
                                <w:sz w:val="18"/>
                                <w:szCs w:val="18"/>
                                <w:u w:color="0D0D0D"/>
                              </w:rPr>
                              <w:t xml:space="preserve"> by the Commission </w:t>
                            </w:r>
                            <w:r w:rsidR="00DC734A">
                              <w:rPr>
                                <w:rFonts w:ascii="Cambria" w:eastAsia="Cambria" w:hAnsi="Cambria" w:cs="Cambria"/>
                                <w:color w:val="0D0D0D"/>
                                <w:sz w:val="18"/>
                                <w:szCs w:val="18"/>
                                <w:u w:color="0D0D0D"/>
                              </w:rPr>
                              <w:t xml:space="preserve">on </w:t>
                            </w:r>
                            <w:r w:rsidR="00DC575C">
                              <w:rPr>
                                <w:rFonts w:ascii="Cambria" w:eastAsia="Cambria" w:hAnsi="Cambria" w:cs="Cambria"/>
                                <w:color w:val="0D0D0D"/>
                                <w:sz w:val="18"/>
                                <w:szCs w:val="18"/>
                                <w:u w:color="0D0D0D"/>
                              </w:rPr>
                              <w:t>July 2</w:t>
                            </w:r>
                            <w:r w:rsidR="00DC734A">
                              <w:rPr>
                                <w:rFonts w:ascii="Cambria" w:eastAsia="Cambria" w:hAnsi="Cambria" w:cs="Cambria"/>
                                <w:color w:val="0D0D0D"/>
                                <w:sz w:val="18"/>
                                <w:szCs w:val="18"/>
                                <w:u w:color="0D0D0D"/>
                              </w:rPr>
                              <w:t>, 2020</w:t>
                            </w:r>
                            <w:r w:rsidR="0042402D">
                              <w:rPr>
                                <w:rFonts w:ascii="Cambria" w:eastAsia="Cambria" w:hAnsi="Cambria" w:cs="Cambria"/>
                                <w:color w:val="0D0D0D"/>
                                <w:sz w:val="18"/>
                                <w:szCs w:val="18"/>
                                <w:u w:color="0D0D0D"/>
                              </w:rPr>
                              <w:t>.</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5.05pt;margin-top:5.35pt;width:361.85pt;height:39.7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" filled="f" stroked="f" strokeweight="1pt">
                <v:stroke miterlimit="4"/>
                <v:textbox inset="1.2699mm,1.2699mm,1.2699mm,1.2699mm">
                  <w:txbxContent>
                    <w:p w:rsidR="00246197" w:rsidRDefault="006C0D54">
                      <w:pPr>
                        <w:pStyle w:val="BodyA"/>
                        <w:tabs>
                          <w:tab w:val="center" w:pos="5400"/>
                        </w:tabs>
                        <w:suppressAutoHyphens/>
                        <w:spacing w:before="60"/>
                      </w:pPr>
                      <w:r>
                        <w:rPr>
                          <w:rFonts w:ascii="Cambria" w:eastAsia="Cambria" w:hAnsi="Cambria" w:cs="Cambria"/>
                          <w:color w:val="0D0D0D"/>
                          <w:sz w:val="18"/>
                          <w:szCs w:val="18"/>
                          <w:u w:color="0D0D0D"/>
                        </w:rPr>
                        <w:t>Approved</w:t>
                      </w:r>
                      <w:r w:rsidR="00DC734A">
                        <w:rPr>
                          <w:rFonts w:ascii="Cambria" w:eastAsia="Cambria" w:hAnsi="Cambria" w:cs="Cambria"/>
                          <w:color w:val="0D0D0D"/>
                          <w:sz w:val="18"/>
                          <w:szCs w:val="18"/>
                          <w:u w:color="0D0D0D"/>
                        </w:rPr>
                        <w:t xml:space="preserve"> electronically</w:t>
                      </w:r>
                      <w:r>
                        <w:rPr>
                          <w:rFonts w:ascii="Cambria" w:eastAsia="Cambria" w:hAnsi="Cambria" w:cs="Cambria"/>
                          <w:color w:val="0D0D0D"/>
                          <w:sz w:val="18"/>
                          <w:szCs w:val="18"/>
                          <w:u w:color="0D0D0D"/>
                        </w:rPr>
                        <w:t xml:space="preserve"> by the Commission </w:t>
                      </w:r>
                      <w:r w:rsidR="00DC734A">
                        <w:rPr>
                          <w:rFonts w:ascii="Cambria" w:eastAsia="Cambria" w:hAnsi="Cambria" w:cs="Cambria"/>
                          <w:color w:val="0D0D0D"/>
                          <w:sz w:val="18"/>
                          <w:szCs w:val="18"/>
                          <w:u w:color="0D0D0D"/>
                        </w:rPr>
                        <w:t xml:space="preserve">on </w:t>
                      </w:r>
                      <w:r w:rsidR="00DC575C">
                        <w:rPr>
                          <w:rFonts w:ascii="Cambria" w:eastAsia="Cambria" w:hAnsi="Cambria" w:cs="Cambria"/>
                          <w:color w:val="0D0D0D"/>
                          <w:sz w:val="18"/>
                          <w:szCs w:val="18"/>
                          <w:u w:color="0D0D0D"/>
                        </w:rPr>
                        <w:t>July 2</w:t>
                      </w:r>
                      <w:r w:rsidR="00DC734A">
                        <w:rPr>
                          <w:rFonts w:ascii="Cambria" w:eastAsia="Cambria" w:hAnsi="Cambria" w:cs="Cambria"/>
                          <w:color w:val="0D0D0D"/>
                          <w:sz w:val="18"/>
                          <w:szCs w:val="18"/>
                          <w:u w:color="0D0D0D"/>
                        </w:rPr>
                        <w:t>, 2020</w:t>
                      </w:r>
                      <w:r w:rsidR="0042402D">
                        <w:rPr>
                          <w:rFonts w:ascii="Cambria" w:eastAsia="Cambria" w:hAnsi="Cambria" w:cs="Cambria"/>
                          <w:color w:val="0D0D0D"/>
                          <w:sz w:val="18"/>
                          <w:szCs w:val="18"/>
                          <w:u w:color="0D0D0D"/>
                        </w:rPr>
                        <w:t>.</w:t>
                      </w:r>
                    </w:p>
                  </w:txbxContent>
                </v:textbox>
                <w10:wrap anchory="line"/>
              </v:shape>
            </w:pict>
          </mc:Fallback>
        </mc:AlternateContent>
      </w: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6C0D54">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4384" behindDoc="0" locked="0" layoutInCell="1" allowOverlap="1">
                <wp:simplePos x="0" y="0"/>
                <wp:positionH relativeFrom="column">
                  <wp:posOffset>1209674</wp:posOffset>
                </wp:positionH>
                <wp:positionV relativeFrom="line">
                  <wp:posOffset>92075</wp:posOffset>
                </wp:positionV>
                <wp:extent cx="4824097" cy="6096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824097" cy="609600"/>
                        </a:xfrm>
                        <a:prstGeom prst="rect">
                          <a:avLst/>
                        </a:prstGeom>
                        <a:noFill/>
                        <a:ln w="12700" cap="flat">
                          <a:noFill/>
                          <a:miter lim="400000"/>
                        </a:ln>
                        <a:effectLst/>
                      </wps:spPr>
                      <wps:txbx>
                        <w:txbxContent>
                          <w:p w:rsidR="00246197" w:rsidRDefault="006C0D54">
                            <w:pPr>
                              <w:pStyle w:val="BodyA"/>
                              <w:spacing w:line="276" w:lineRule="auto"/>
                            </w:pPr>
                            <w:r>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IACHR, R</w:t>
                            </w:r>
                            <w:r w:rsidR="00DC734A">
                              <w:rPr>
                                <w:rFonts w:ascii="Cambria" w:eastAsia="Cambria" w:hAnsi="Cambria" w:cs="Cambria"/>
                                <w:color w:val="595959"/>
                                <w:sz w:val="18"/>
                                <w:szCs w:val="18"/>
                                <w:u w:color="595959"/>
                              </w:rPr>
                              <w:t xml:space="preserve">eport No. </w:t>
                            </w:r>
                            <w:r w:rsidR="00DC575C">
                              <w:rPr>
                                <w:rFonts w:ascii="Cambria" w:eastAsia="Cambria" w:hAnsi="Cambria" w:cs="Cambria"/>
                                <w:color w:val="595959"/>
                                <w:sz w:val="18"/>
                                <w:szCs w:val="18"/>
                                <w:u w:color="595959"/>
                              </w:rPr>
                              <w:t>168</w:t>
                            </w:r>
                            <w:r w:rsidR="00DC734A">
                              <w:rPr>
                                <w:rFonts w:ascii="Cambria" w:eastAsia="Cambria" w:hAnsi="Cambria" w:cs="Cambria"/>
                                <w:color w:val="595959"/>
                                <w:sz w:val="18"/>
                                <w:szCs w:val="18"/>
                                <w:u w:color="595959"/>
                              </w:rPr>
                              <w:t>/</w:t>
                            </w:r>
                            <w:r w:rsidR="00DC575C">
                              <w:rPr>
                                <w:rFonts w:ascii="Cambria" w:eastAsia="Cambria" w:hAnsi="Cambria" w:cs="Cambria"/>
                                <w:color w:val="595959"/>
                                <w:sz w:val="18"/>
                                <w:szCs w:val="18"/>
                                <w:u w:color="595959"/>
                              </w:rPr>
                              <w:t>20</w:t>
                            </w:r>
                            <w:r w:rsidR="00DC734A">
                              <w:rPr>
                                <w:rFonts w:ascii="Cambria" w:eastAsia="Cambria" w:hAnsi="Cambria" w:cs="Cambria"/>
                                <w:color w:val="595959"/>
                                <w:sz w:val="18"/>
                                <w:szCs w:val="18"/>
                                <w:u w:color="595959"/>
                              </w:rPr>
                              <w:t>, Petition 1183-10</w:t>
                            </w:r>
                            <w:r>
                              <w:rPr>
                                <w:rFonts w:ascii="Cambria" w:eastAsia="Cambria" w:hAnsi="Cambria" w:cs="Cambria"/>
                                <w:color w:val="595959"/>
                                <w:sz w:val="18"/>
                                <w:szCs w:val="18"/>
                                <w:u w:color="595959"/>
                              </w:rPr>
                              <w:t xml:space="preserve">. Admissibility. </w:t>
                            </w:r>
                            <w:r w:rsidR="00DC734A">
                              <w:rPr>
                                <w:rFonts w:ascii="Cambria" w:eastAsia="Cambria" w:hAnsi="Cambria" w:cs="Cambria"/>
                                <w:color w:val="595959"/>
                                <w:sz w:val="18"/>
                                <w:szCs w:val="18"/>
                                <w:u w:color="595959"/>
                              </w:rPr>
                              <w:t xml:space="preserve">Gilles </w:t>
                            </w:r>
                            <w:proofErr w:type="spellStart"/>
                            <w:r w:rsidR="00DC734A">
                              <w:rPr>
                                <w:rFonts w:ascii="Cambria" w:eastAsia="Cambria" w:hAnsi="Cambria" w:cs="Cambria"/>
                                <w:color w:val="595959"/>
                                <w:sz w:val="18"/>
                                <w:szCs w:val="18"/>
                                <w:u w:color="595959"/>
                              </w:rPr>
                              <w:t>Bikindou</w:t>
                            </w:r>
                            <w:proofErr w:type="spellEnd"/>
                            <w:r w:rsidR="00DC734A">
                              <w:rPr>
                                <w:rFonts w:ascii="Cambria" w:eastAsia="Cambria" w:hAnsi="Cambria" w:cs="Cambria"/>
                                <w:color w:val="595959"/>
                                <w:sz w:val="18"/>
                                <w:szCs w:val="18"/>
                                <w:u w:color="595959"/>
                              </w:rPr>
                              <w:t xml:space="preserve"> and family</w:t>
                            </w:r>
                            <w:r>
                              <w:rPr>
                                <w:rFonts w:ascii="Cambria" w:eastAsia="Cambria" w:hAnsi="Cambria" w:cs="Cambria"/>
                                <w:color w:val="595959"/>
                                <w:sz w:val="18"/>
                                <w:szCs w:val="18"/>
                                <w:u w:color="595959"/>
                              </w:rPr>
                              <w:t xml:space="preserve">. </w:t>
                            </w:r>
                            <w:r w:rsidR="00DC734A">
                              <w:rPr>
                                <w:rFonts w:ascii="Cambria" w:eastAsia="Cambria" w:hAnsi="Cambria" w:cs="Cambria"/>
                                <w:color w:val="595959"/>
                                <w:sz w:val="18"/>
                                <w:szCs w:val="18"/>
                                <w:u w:color="595959"/>
                              </w:rPr>
                              <w:t>United States of America</w:t>
                            </w:r>
                            <w:r>
                              <w:rPr>
                                <w:rFonts w:ascii="Cambria" w:eastAsia="Cambria" w:hAnsi="Cambria" w:cs="Cambria"/>
                                <w:color w:val="595959"/>
                                <w:sz w:val="18"/>
                                <w:szCs w:val="18"/>
                                <w:u w:color="595959"/>
                              </w:rPr>
                              <w:t xml:space="preserve">. </w:t>
                            </w:r>
                            <w:r w:rsidR="00DC575C">
                              <w:rPr>
                                <w:rFonts w:ascii="Cambria" w:eastAsia="Cambria" w:hAnsi="Cambria" w:cs="Cambria"/>
                                <w:color w:val="595959"/>
                                <w:sz w:val="18"/>
                                <w:szCs w:val="18"/>
                                <w:u w:color="595959"/>
                              </w:rPr>
                              <w:t>July 2, 2020.</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" filled="f" stroked="f" strokeweight="1pt">
                <v:stroke miterlimit="4"/>
                <v:textbox inset="1.2699mm,1.2699mm,1.2699mm,1.2699mm">
                  <w:txbxContent>
                    <w:p w:rsidR="00246197" w:rsidRDefault="006C0D54">
                      <w:pPr>
                        <w:pStyle w:val="BodyA"/>
                        <w:spacing w:line="276" w:lineRule="auto"/>
                      </w:pPr>
                      <w:r>
                        <w:rPr>
                          <w:rFonts w:ascii="Cambria" w:eastAsia="Cambria" w:hAnsi="Cambria" w:cs="Cambria"/>
                          <w:b/>
                          <w:bCs/>
                          <w:color w:val="595959"/>
                          <w:sz w:val="18"/>
                          <w:szCs w:val="18"/>
                          <w:u w:color="595959"/>
                        </w:rPr>
                        <w:t xml:space="preserve">Cite </w:t>
                      </w:r>
                      <w:proofErr w:type="gramStart"/>
                      <w:r>
                        <w:rPr>
                          <w:rFonts w:ascii="Cambria" w:eastAsia="Cambria" w:hAnsi="Cambria" w:cs="Cambria"/>
                          <w:b/>
                          <w:bCs/>
                          <w:color w:val="595959"/>
                          <w:sz w:val="18"/>
                          <w:szCs w:val="18"/>
                          <w:u w:color="595959"/>
                        </w:rPr>
                        <w:t>as:</w:t>
                      </w:r>
                      <w:proofErr w:type="gramEnd"/>
                      <w:r>
                        <w:rPr>
                          <w:rFonts w:ascii="Cambria" w:eastAsia="Cambria" w:hAnsi="Cambria" w:cs="Cambria"/>
                          <w:b/>
                          <w:bCs/>
                          <w:color w:val="595959"/>
                          <w:sz w:val="18"/>
                          <w:szCs w:val="18"/>
                          <w:u w:color="595959"/>
                        </w:rPr>
                        <w:t xml:space="preserve"> </w:t>
                      </w:r>
                      <w:r>
                        <w:rPr>
                          <w:rFonts w:ascii="Cambria" w:eastAsia="Cambria" w:hAnsi="Cambria" w:cs="Cambria"/>
                          <w:color w:val="595959"/>
                          <w:sz w:val="18"/>
                          <w:szCs w:val="18"/>
                          <w:u w:color="595959"/>
                        </w:rPr>
                        <w:t>IACHR, R</w:t>
                      </w:r>
                      <w:r w:rsidR="00DC734A">
                        <w:rPr>
                          <w:rFonts w:ascii="Cambria" w:eastAsia="Cambria" w:hAnsi="Cambria" w:cs="Cambria"/>
                          <w:color w:val="595959"/>
                          <w:sz w:val="18"/>
                          <w:szCs w:val="18"/>
                          <w:u w:color="595959"/>
                        </w:rPr>
                        <w:t xml:space="preserve">eport No. </w:t>
                      </w:r>
                      <w:r w:rsidR="00DC575C">
                        <w:rPr>
                          <w:rFonts w:ascii="Cambria" w:eastAsia="Cambria" w:hAnsi="Cambria" w:cs="Cambria"/>
                          <w:color w:val="595959"/>
                          <w:sz w:val="18"/>
                          <w:szCs w:val="18"/>
                          <w:u w:color="595959"/>
                        </w:rPr>
                        <w:t>168</w:t>
                      </w:r>
                      <w:r w:rsidR="00DC734A">
                        <w:rPr>
                          <w:rFonts w:ascii="Cambria" w:eastAsia="Cambria" w:hAnsi="Cambria" w:cs="Cambria"/>
                          <w:color w:val="595959"/>
                          <w:sz w:val="18"/>
                          <w:szCs w:val="18"/>
                          <w:u w:color="595959"/>
                        </w:rPr>
                        <w:t>/</w:t>
                      </w:r>
                      <w:r w:rsidR="00DC575C">
                        <w:rPr>
                          <w:rFonts w:ascii="Cambria" w:eastAsia="Cambria" w:hAnsi="Cambria" w:cs="Cambria"/>
                          <w:color w:val="595959"/>
                          <w:sz w:val="18"/>
                          <w:szCs w:val="18"/>
                          <w:u w:color="595959"/>
                        </w:rPr>
                        <w:t>20</w:t>
                      </w:r>
                      <w:r w:rsidR="00DC734A">
                        <w:rPr>
                          <w:rFonts w:ascii="Cambria" w:eastAsia="Cambria" w:hAnsi="Cambria" w:cs="Cambria"/>
                          <w:color w:val="595959"/>
                          <w:sz w:val="18"/>
                          <w:szCs w:val="18"/>
                          <w:u w:color="595959"/>
                        </w:rPr>
                        <w:t>, Petition 1183-10</w:t>
                      </w:r>
                      <w:r>
                        <w:rPr>
                          <w:rFonts w:ascii="Cambria" w:eastAsia="Cambria" w:hAnsi="Cambria" w:cs="Cambria"/>
                          <w:color w:val="595959"/>
                          <w:sz w:val="18"/>
                          <w:szCs w:val="18"/>
                          <w:u w:color="595959"/>
                        </w:rPr>
                        <w:t xml:space="preserve">. Admissibility. </w:t>
                      </w:r>
                      <w:r w:rsidR="00DC734A">
                        <w:rPr>
                          <w:rFonts w:ascii="Cambria" w:eastAsia="Cambria" w:hAnsi="Cambria" w:cs="Cambria"/>
                          <w:color w:val="595959"/>
                          <w:sz w:val="18"/>
                          <w:szCs w:val="18"/>
                          <w:u w:color="595959"/>
                        </w:rPr>
                        <w:t xml:space="preserve">Gilles </w:t>
                      </w:r>
                      <w:proofErr w:type="spellStart"/>
                      <w:r w:rsidR="00DC734A">
                        <w:rPr>
                          <w:rFonts w:ascii="Cambria" w:eastAsia="Cambria" w:hAnsi="Cambria" w:cs="Cambria"/>
                          <w:color w:val="595959"/>
                          <w:sz w:val="18"/>
                          <w:szCs w:val="18"/>
                          <w:u w:color="595959"/>
                        </w:rPr>
                        <w:t>Bikindou</w:t>
                      </w:r>
                      <w:proofErr w:type="spellEnd"/>
                      <w:r w:rsidR="00DC734A">
                        <w:rPr>
                          <w:rFonts w:ascii="Cambria" w:eastAsia="Cambria" w:hAnsi="Cambria" w:cs="Cambria"/>
                          <w:color w:val="595959"/>
                          <w:sz w:val="18"/>
                          <w:szCs w:val="18"/>
                          <w:u w:color="595959"/>
                        </w:rPr>
                        <w:t xml:space="preserve"> and family</w:t>
                      </w:r>
                      <w:r>
                        <w:rPr>
                          <w:rFonts w:ascii="Cambria" w:eastAsia="Cambria" w:hAnsi="Cambria" w:cs="Cambria"/>
                          <w:color w:val="595959"/>
                          <w:sz w:val="18"/>
                          <w:szCs w:val="18"/>
                          <w:u w:color="595959"/>
                        </w:rPr>
                        <w:t xml:space="preserve">. </w:t>
                      </w:r>
                      <w:r w:rsidR="00DC734A">
                        <w:rPr>
                          <w:rFonts w:ascii="Cambria" w:eastAsia="Cambria" w:hAnsi="Cambria" w:cs="Cambria"/>
                          <w:color w:val="595959"/>
                          <w:sz w:val="18"/>
                          <w:szCs w:val="18"/>
                          <w:u w:color="595959"/>
                        </w:rPr>
                        <w:t>United States of America</w:t>
                      </w:r>
                      <w:r>
                        <w:rPr>
                          <w:rFonts w:ascii="Cambria" w:eastAsia="Cambria" w:hAnsi="Cambria" w:cs="Cambria"/>
                          <w:color w:val="595959"/>
                          <w:sz w:val="18"/>
                          <w:szCs w:val="18"/>
                          <w:u w:color="595959"/>
                        </w:rPr>
                        <w:t xml:space="preserve">. </w:t>
                      </w:r>
                      <w:r w:rsidR="00DC575C">
                        <w:rPr>
                          <w:rFonts w:ascii="Cambria" w:eastAsia="Cambria" w:hAnsi="Cambria" w:cs="Cambria"/>
                          <w:color w:val="595959"/>
                          <w:sz w:val="18"/>
                          <w:szCs w:val="18"/>
                          <w:u w:color="595959"/>
                        </w:rPr>
                        <w:t>July 2, 2020.</w:t>
                      </w:r>
                    </w:p>
                  </w:txbxContent>
                </v:textbox>
                <w10:wrap anchory="line"/>
              </v:shape>
            </w:pict>
          </mc:Fallback>
        </mc:AlternateContent>
      </w: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lang w:val="es-ES_tradnl"/>
        </w:rPr>
      </w:pPr>
    </w:p>
    <w:p w:rsidR="00246197" w:rsidRDefault="00246197">
      <w:pPr>
        <w:pStyle w:val="BodyA"/>
        <w:tabs>
          <w:tab w:val="center" w:pos="5400"/>
        </w:tabs>
        <w:suppressAutoHyphens/>
        <w:jc w:val="center"/>
        <w:rPr>
          <w:rFonts w:ascii="Cambria" w:eastAsia="Cambria" w:hAnsi="Cambria" w:cs="Cambria"/>
          <w:sz w:val="18"/>
          <w:szCs w:val="18"/>
        </w:rPr>
      </w:pPr>
    </w:p>
    <w:p w:rsidR="00246197" w:rsidRDefault="006C0D54">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rPr>
        <mc:AlternateContent>
          <mc:Choice Requires="wps">
            <w:drawing>
              <wp:anchor distT="0" distB="0" distL="0" distR="0" simplePos="0" relativeHeight="251665408" behindDoc="0" locked="0" layoutInCell="1" allowOverlap="1">
                <wp:simplePos x="0" y="0"/>
                <wp:positionH relativeFrom="column">
                  <wp:posOffset>-298895</wp:posOffset>
                </wp:positionH>
                <wp:positionV relativeFrom="line">
                  <wp:posOffset>859155</wp:posOffset>
                </wp:positionV>
                <wp:extent cx="1181100" cy="332742"/>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1181100" cy="332742"/>
                        </a:xfrm>
                        <a:prstGeom prst="rect">
                          <a:avLst/>
                        </a:prstGeom>
                        <a:noFill/>
                        <a:ln w="12700" cap="flat">
                          <a:noFill/>
                          <a:miter lim="400000"/>
                        </a:ln>
                        <a:effectLst/>
                      </wps:spPr>
                      <wps:txbx>
                        <w:txbxContent>
                          <w:p w:rsidR="00246197" w:rsidRDefault="006C0D54">
                            <w:pPr>
                              <w:pStyle w:val="BodyA"/>
                              <w:jc w:val="center"/>
                            </w:pPr>
                            <w:r>
                              <w:rPr>
                                <w:rFonts w:ascii="Calibri" w:eastAsia="Calibri" w:hAnsi="Calibri" w:cs="Calibri"/>
                                <w:b/>
                                <w:bCs/>
                                <w:color w:val="FFFFFF"/>
                                <w:sz w:val="24"/>
                                <w:szCs w:val="24"/>
                                <w:u w:color="FFFFFF"/>
                                <w:lang w:val="pt-PT"/>
                              </w:rPr>
                              <w:t>www.cidh.org</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shape id="_x0000_s1031" type="#_x0000_t202" style="position:absolute;left:0;text-align:left;margin-left:-23.55pt;margin-top:67.65pt;width:93pt;height:26.2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" filled="f" stroked="f" strokeweight="1pt">
                <v:stroke miterlimit="4"/>
                <v:textbox inset="1.2699mm,1.2699mm,1.2699mm,1.2699mm">
                  <w:txbxContent>
                    <w:p w:rsidR="00246197" w:rsidRDefault="006C0D54">
                      <w:pPr>
                        <w:pStyle w:val="BodyA"/>
                        <w:jc w:val="center"/>
                      </w:pPr>
                      <w:r>
                        <w:rPr>
                          <w:rFonts w:ascii="Calibri" w:eastAsia="Calibri" w:hAnsi="Calibri" w:cs="Calibri"/>
                          <w:b/>
                          <w:bCs/>
                          <w:color w:val="FFFFFF"/>
                          <w:sz w:val="24"/>
                          <w:szCs w:val="24"/>
                          <w:u w:color="FFFFFF"/>
                          <w:lang w:val="pt-PT"/>
                        </w:rPr>
                        <w:t>www.cidh.org</w:t>
                      </w:r>
                    </w:p>
                  </w:txbxContent>
                </v:textbox>
                <w10:wrap anchory="line"/>
              </v:shape>
            </w:pict>
          </mc:Fallback>
        </mc:AlternateContent>
      </w:r>
    </w:p>
    <w:p w:rsidR="00246197" w:rsidRDefault="0042402D">
      <w:pPr>
        <w:pStyle w:val="BodyA"/>
        <w:tabs>
          <w:tab w:val="center" w:pos="5400"/>
        </w:tabs>
        <w:suppressAutoHyphens/>
        <w:jc w:val="center"/>
      </w:pPr>
      <w:r>
        <w:rPr>
          <w:noProof/>
        </w:rPr>
        <w:drawing>
          <wp:anchor distT="0" distB="0" distL="114300" distR="114300" simplePos="0" relativeHeight="251666432" behindDoc="0" locked="0" layoutInCell="1" allowOverlap="1">
            <wp:simplePos x="0" y="0"/>
            <wp:positionH relativeFrom="margin">
              <wp:posOffset>1300480</wp:posOffset>
            </wp:positionH>
            <wp:positionV relativeFrom="margin">
              <wp:posOffset>7841615</wp:posOffset>
            </wp:positionV>
            <wp:extent cx="1513840" cy="387985"/>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840" cy="387985"/>
                    </a:xfrm>
                    <a:prstGeom prst="rect">
                      <a:avLst/>
                    </a:prstGeom>
                    <a:noFill/>
                    <a:ln>
                      <a:noFill/>
                    </a:ln>
                  </pic:spPr>
                </pic:pic>
              </a:graphicData>
            </a:graphic>
          </wp:anchor>
        </w:drawing>
      </w:r>
      <w:r w:rsidR="006C0D54">
        <w:rPr>
          <w:rFonts w:ascii="Cambria" w:eastAsia="Cambria" w:hAnsi="Cambria" w:cs="Cambria"/>
          <w:sz w:val="18"/>
          <w:szCs w:val="18"/>
        </w:rPr>
        <w:br w:type="page"/>
      </w:r>
    </w:p>
    <w:p w:rsidR="00246197" w:rsidRDefault="006C0D54">
      <w:pPr>
        <w:pStyle w:val="BodyA"/>
        <w:spacing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43"/>
        <w:gridCol w:w="5599"/>
      </w:tblGrid>
      <w:tr w:rsidR="00246197">
        <w:trPr>
          <w:trHeight w:val="234"/>
        </w:trPr>
        <w:tc>
          <w:tcPr>
            <w:tcW w:w="3643"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Petitioner:</w:t>
            </w:r>
          </w:p>
        </w:tc>
        <w:tc>
          <w:tcPr>
            <w:tcW w:w="559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 xml:space="preserve">Gilles </w:t>
            </w:r>
            <w:proofErr w:type="spellStart"/>
            <w:r>
              <w:rPr>
                <w:rFonts w:ascii="Cambria" w:eastAsia="Cambria" w:hAnsi="Cambria" w:cs="Cambria"/>
                <w:sz w:val="20"/>
                <w:szCs w:val="20"/>
              </w:rPr>
              <w:t>Bikindou</w:t>
            </w:r>
            <w:proofErr w:type="spellEnd"/>
          </w:p>
        </w:tc>
      </w:tr>
      <w:tr w:rsidR="00246197">
        <w:trPr>
          <w:trHeight w:val="242"/>
        </w:trPr>
        <w:tc>
          <w:tcPr>
            <w:tcW w:w="364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Alleged victim:</w:t>
            </w:r>
          </w:p>
        </w:tc>
        <w:tc>
          <w:tcPr>
            <w:tcW w:w="559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 xml:space="preserve">Gilles </w:t>
            </w:r>
            <w:proofErr w:type="spellStart"/>
            <w:r>
              <w:rPr>
                <w:rFonts w:ascii="Cambria" w:eastAsia="Cambria" w:hAnsi="Cambria" w:cs="Cambria"/>
                <w:sz w:val="20"/>
                <w:szCs w:val="20"/>
              </w:rPr>
              <w:t>Bikindou</w:t>
            </w:r>
            <w:proofErr w:type="spellEnd"/>
            <w:r w:rsidR="00A31918">
              <w:rPr>
                <w:rFonts w:ascii="Cambria" w:eastAsia="Cambria" w:hAnsi="Cambria" w:cs="Cambria"/>
                <w:sz w:val="20"/>
                <w:szCs w:val="20"/>
              </w:rPr>
              <w:t xml:space="preserve"> and Family</w:t>
            </w:r>
          </w:p>
        </w:tc>
      </w:tr>
      <w:tr w:rsidR="00246197">
        <w:trPr>
          <w:trHeight w:val="242"/>
        </w:trPr>
        <w:tc>
          <w:tcPr>
            <w:tcW w:w="364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Respondent State:</w:t>
            </w:r>
          </w:p>
        </w:tc>
        <w:tc>
          <w:tcPr>
            <w:tcW w:w="559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United States of America</w:t>
            </w:r>
          </w:p>
        </w:tc>
      </w:tr>
      <w:tr w:rsidR="00246197">
        <w:trPr>
          <w:trHeight w:val="242"/>
        </w:trPr>
        <w:tc>
          <w:tcPr>
            <w:tcW w:w="364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Rights invoked:</w:t>
            </w:r>
          </w:p>
        </w:tc>
        <w:tc>
          <w:tcPr>
            <w:tcW w:w="559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None specified</w:t>
            </w:r>
          </w:p>
        </w:tc>
      </w:tr>
    </w:tbl>
    <w:p w:rsidR="00246197" w:rsidRDefault="006C0D54" w:rsidP="00923C75">
      <w:pPr>
        <w:pStyle w:val="BodyA"/>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2"/>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90"/>
        <w:gridCol w:w="5670"/>
      </w:tblGrid>
      <w:tr w:rsidR="00246197">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Filing of the petition:</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August 23, 2010</w:t>
            </w:r>
          </w:p>
        </w:tc>
      </w:tr>
      <w:tr w:rsidR="00246197">
        <w:trPr>
          <w:trHeight w:val="46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Additional information received at the stage of initial review:</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October 5, 2010</w:t>
            </w:r>
          </w:p>
        </w:tc>
      </w:tr>
      <w:tr w:rsidR="00246197">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Notification of the petition to the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February 2, 2011</w:t>
            </w:r>
          </w:p>
        </w:tc>
      </w:tr>
      <w:tr w:rsidR="00246197">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State’s first response: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December 6, 2016</w:t>
            </w:r>
          </w:p>
        </w:tc>
      </w:tr>
      <w:tr w:rsidR="00246197">
        <w:trPr>
          <w:trHeight w:val="46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Additional observations from the petitioner:</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October 9, 2017</w:t>
            </w:r>
          </w:p>
        </w:tc>
      </w:tr>
    </w:tbl>
    <w:p w:rsidR="00246197" w:rsidRDefault="006C0D54" w:rsidP="00923C75">
      <w:pPr>
        <w:pStyle w:val="BodyA"/>
        <w:spacing w:before="240" w:after="240"/>
        <w:ind w:firstLine="720"/>
        <w:jc w:val="both"/>
        <w:rPr>
          <w:rFonts w:ascii="Cambria" w:eastAsia="Cambria" w:hAnsi="Cambria" w:cs="Cambria"/>
          <w:b/>
          <w:bCs/>
          <w:sz w:val="20"/>
          <w:szCs w:val="20"/>
          <w:lang w:val="de-DE"/>
        </w:rPr>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90"/>
        <w:gridCol w:w="5670"/>
      </w:tblGrid>
      <w:tr w:rsidR="00246197">
        <w:trPr>
          <w:trHeight w:val="23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personae:</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pPr>
            <w:r>
              <w:rPr>
                <w:rFonts w:ascii="Cambria" w:eastAsia="Cambria" w:hAnsi="Cambria" w:cs="Cambria"/>
                <w:sz w:val="20"/>
                <w:szCs w:val="20"/>
              </w:rPr>
              <w:t>Yes</w:t>
            </w:r>
          </w:p>
        </w:tc>
      </w:tr>
      <w:tr w:rsidR="00246197">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loci</w:t>
            </w:r>
            <w:r>
              <w:rPr>
                <w:rFonts w:ascii="Cambria" w:eastAsia="Cambria" w:hAnsi="Cambria" w:cs="Cambria"/>
                <w:b/>
                <w:bCs/>
                <w:color w:val="FFFFFF"/>
                <w:sz w:val="20"/>
                <w:szCs w:val="20"/>
                <w:u w:color="FFFFFF"/>
              </w:rPr>
              <w:t>:</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pPr>
            <w:r>
              <w:rPr>
                <w:rFonts w:ascii="Cambria" w:eastAsia="Cambria" w:hAnsi="Cambria" w:cs="Cambria"/>
                <w:sz w:val="20"/>
                <w:szCs w:val="20"/>
              </w:rPr>
              <w:t>Yes</w:t>
            </w:r>
          </w:p>
        </w:tc>
      </w:tr>
      <w:tr w:rsidR="00246197">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temporis</w:t>
            </w:r>
            <w:proofErr w:type="spellEnd"/>
            <w:r>
              <w:rPr>
                <w:rFonts w:ascii="Cambria" w:eastAsia="Cambria" w:hAnsi="Cambria" w:cs="Cambria"/>
                <w:b/>
                <w:bCs/>
                <w:color w:val="FFFFFF"/>
                <w:sz w:val="20"/>
                <w:szCs w:val="20"/>
                <w:u w:color="FFFFFF"/>
              </w:rPr>
              <w:t>:</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pPr>
            <w:r>
              <w:rPr>
                <w:rFonts w:ascii="Cambria" w:eastAsia="Cambria" w:hAnsi="Cambria" w:cs="Cambria"/>
                <w:sz w:val="20"/>
                <w:szCs w:val="20"/>
              </w:rPr>
              <w:t xml:space="preserve">Yes </w:t>
            </w:r>
          </w:p>
        </w:tc>
      </w:tr>
      <w:tr w:rsidR="00246197">
        <w:trPr>
          <w:trHeight w:val="495"/>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materiae</w:t>
            </w:r>
            <w:proofErr w:type="spellEnd"/>
            <w:r>
              <w:rPr>
                <w:rFonts w:ascii="Cambria" w:eastAsia="Cambria" w:hAnsi="Cambria" w:cs="Cambria"/>
                <w:b/>
                <w:bCs/>
                <w:color w:val="FFFFFF"/>
                <w:sz w:val="20"/>
                <w:szCs w:val="20"/>
                <w:u w:color="FFFFFF"/>
              </w:rPr>
              <w:t>:</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rPr>
                <w:rFonts w:ascii="Cambria" w:eastAsia="Cambria" w:hAnsi="Cambria" w:cs="Cambria"/>
                <w:sz w:val="20"/>
                <w:szCs w:val="20"/>
              </w:rPr>
            </w:pPr>
            <w:r>
              <w:rPr>
                <w:rFonts w:ascii="Cambria" w:eastAsia="Cambria" w:hAnsi="Cambria" w:cs="Cambria"/>
                <w:sz w:val="20"/>
                <w:szCs w:val="20"/>
              </w:rPr>
              <w:t>Yes, American Declaration of the Rights and Duties of Man</w:t>
            </w:r>
          </w:p>
          <w:p w:rsidR="00246197" w:rsidRDefault="006C0D54">
            <w:pPr>
              <w:pStyle w:val="Default"/>
              <w:jc w:val="both"/>
            </w:pPr>
            <w:r>
              <w:rPr>
                <w:rFonts w:ascii="Cambria" w:eastAsia="Cambria" w:hAnsi="Cambria" w:cs="Cambria"/>
                <w:sz w:val="20"/>
                <w:szCs w:val="20"/>
              </w:rPr>
              <w:t xml:space="preserve"> (ratification of the OAS Charter on June</w:t>
            </w:r>
            <w:r>
              <w:t xml:space="preserve"> </w:t>
            </w:r>
            <w:r>
              <w:rPr>
                <w:rFonts w:ascii="Cambria" w:eastAsia="Cambria" w:hAnsi="Cambria" w:cs="Cambria"/>
                <w:sz w:val="20"/>
                <w:szCs w:val="20"/>
              </w:rPr>
              <w:t>19, 1951)</w:t>
            </w:r>
          </w:p>
        </w:tc>
      </w:tr>
    </w:tbl>
    <w:p w:rsidR="00246197" w:rsidRDefault="006C0D54" w:rsidP="00923C75">
      <w:pPr>
        <w:pStyle w:val="BodyA"/>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 xml:space="preserve">IV. </w:t>
      </w:r>
      <w:r>
        <w:rPr>
          <w:rFonts w:ascii="Cambria" w:eastAsia="Cambria" w:hAnsi="Cambria" w:cs="Cambria"/>
          <w:b/>
          <w:bCs/>
          <w:sz w:val="20"/>
          <w:szCs w:val="20"/>
        </w:rPr>
        <w:tab/>
        <w:t xml:space="preserve">DUPLICATION OF PROCEDURES AND INTERNATIONAL </w:t>
      </w:r>
      <w:r>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90"/>
        <w:gridCol w:w="5670"/>
      </w:tblGrid>
      <w:tr w:rsidR="00246197">
        <w:trPr>
          <w:trHeight w:val="45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 xml:space="preserve">Duplication of procedures and International </w:t>
            </w:r>
            <w:r>
              <w:rPr>
                <w:rFonts w:ascii="Cambria" w:eastAsia="Cambria" w:hAnsi="Cambria" w:cs="Cambria"/>
                <w:b/>
                <w:bCs/>
                <w:i/>
                <w:iCs/>
                <w:color w:val="FFFFFF"/>
                <w:sz w:val="20"/>
                <w:szCs w:val="20"/>
                <w:u w:color="FFFFFF"/>
              </w:rPr>
              <w:t>res judicata</w:t>
            </w:r>
            <w:r>
              <w:rPr>
                <w:rFonts w:ascii="Cambria" w:eastAsia="Cambria" w:hAnsi="Cambria" w:cs="Cambria"/>
                <w:b/>
                <w:bCs/>
                <w:color w:val="FFFFFF"/>
                <w:sz w:val="20"/>
                <w:szCs w:val="20"/>
                <w:u w:color="FFFFFF"/>
              </w:rPr>
              <w:t>:</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6C0D54">
            <w:pPr>
              <w:pStyle w:val="Default"/>
              <w:jc w:val="both"/>
            </w:pPr>
            <w:r>
              <w:rPr>
                <w:rFonts w:ascii="Cambria" w:eastAsia="Cambria" w:hAnsi="Cambria" w:cs="Cambria"/>
                <w:sz w:val="20"/>
                <w:szCs w:val="20"/>
              </w:rPr>
              <w:t xml:space="preserve">No </w:t>
            </w:r>
          </w:p>
        </w:tc>
      </w:tr>
      <w:tr w:rsidR="00246197">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Rights declared admissible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Pr="0062559A" w:rsidRDefault="0078113D">
            <w:pPr>
              <w:pStyle w:val="Default"/>
              <w:jc w:val="both"/>
              <w:rPr>
                <w:rFonts w:ascii="Cambria" w:hAnsi="Cambria"/>
                <w:sz w:val="20"/>
                <w:szCs w:val="20"/>
              </w:rPr>
            </w:pPr>
            <w:r w:rsidRPr="0062559A">
              <w:rPr>
                <w:rFonts w:ascii="Cambria" w:hAnsi="Cambria"/>
                <w:sz w:val="20"/>
                <w:szCs w:val="20"/>
              </w:rPr>
              <w:t xml:space="preserve">Articles XI </w:t>
            </w:r>
            <w:r w:rsidR="00122020" w:rsidRPr="0062559A">
              <w:rPr>
                <w:rFonts w:ascii="Cambria" w:hAnsi="Cambria"/>
                <w:sz w:val="20"/>
                <w:szCs w:val="20"/>
              </w:rPr>
              <w:t>(Right to the preservation of health and to well-being) XVIII (right to fair trial) and XXVII (Right to seek asylum) of the American Declaration of the Rights and Duties of Man.</w:t>
            </w:r>
          </w:p>
        </w:tc>
      </w:tr>
      <w:tr w:rsidR="00246197">
        <w:trPr>
          <w:trHeight w:val="46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Exhaustion of domestic remedies or applicability of an exception to the rule: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46197" w:rsidRDefault="00246197">
            <w:pPr>
              <w:pStyle w:val="BodyA"/>
              <w:rPr>
                <w:rFonts w:ascii="Cambria" w:eastAsia="Cambria" w:hAnsi="Cambria" w:cs="Cambria"/>
                <w:sz w:val="20"/>
                <w:szCs w:val="20"/>
              </w:rPr>
            </w:pPr>
          </w:p>
          <w:p w:rsidR="00246197" w:rsidRDefault="0078113D">
            <w:pPr>
              <w:pStyle w:val="BodyA"/>
            </w:pPr>
            <w:r>
              <w:rPr>
                <w:rFonts w:ascii="Cambria" w:eastAsia="Cambria" w:hAnsi="Cambria" w:cs="Cambria"/>
                <w:sz w:val="20"/>
                <w:szCs w:val="20"/>
              </w:rPr>
              <w:t>Yes</w:t>
            </w:r>
            <w:r w:rsidR="006C0D54">
              <w:rPr>
                <w:rFonts w:ascii="Cambria" w:eastAsia="Cambria" w:hAnsi="Cambria" w:cs="Cambria"/>
                <w:sz w:val="20"/>
                <w:szCs w:val="20"/>
              </w:rPr>
              <w:t>, in terms of Section VI</w:t>
            </w:r>
          </w:p>
        </w:tc>
      </w:tr>
      <w:tr w:rsidR="00246197">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246197" w:rsidRDefault="006C0D54">
            <w:pPr>
              <w:pStyle w:val="BodyA"/>
              <w:jc w:val="center"/>
            </w:pPr>
            <w:r>
              <w:rPr>
                <w:rFonts w:ascii="Cambria" w:eastAsia="Cambria" w:hAnsi="Cambria" w:cs="Cambria"/>
                <w:b/>
                <w:bCs/>
                <w:color w:val="FFFFFF"/>
                <w:sz w:val="20"/>
                <w:szCs w:val="20"/>
                <w:u w:color="FFFFFF"/>
              </w:rPr>
              <w:t>Timeliness of the petition:</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6197" w:rsidRDefault="0078113D">
            <w:pPr>
              <w:pStyle w:val="Default"/>
            </w:pPr>
            <w:r>
              <w:rPr>
                <w:rFonts w:ascii="Cambria" w:eastAsia="Cambria" w:hAnsi="Cambria" w:cs="Cambria"/>
                <w:sz w:val="20"/>
                <w:szCs w:val="20"/>
              </w:rPr>
              <w:t>Yes, in terms of Section VI</w:t>
            </w:r>
          </w:p>
        </w:tc>
      </w:tr>
    </w:tbl>
    <w:p w:rsidR="00246197" w:rsidRDefault="006C0D54" w:rsidP="0062559A">
      <w:pPr>
        <w:pStyle w:val="BodyA"/>
        <w:spacing w:before="240" w:after="240"/>
        <w:ind w:firstLine="720"/>
        <w:jc w:val="both"/>
        <w:rPr>
          <w:rFonts w:ascii="Cambria" w:eastAsia="Cambria" w:hAnsi="Cambria" w:cs="Cambria"/>
          <w:b/>
          <w:bCs/>
          <w:sz w:val="20"/>
          <w:szCs w:val="20"/>
          <w:lang w:val="de-DE"/>
        </w:rPr>
      </w:pPr>
      <w:r>
        <w:rPr>
          <w:rFonts w:ascii="Cambria" w:eastAsia="Cambria" w:hAnsi="Cambria" w:cs="Cambria"/>
          <w:b/>
          <w:bCs/>
          <w:sz w:val="20"/>
          <w:szCs w:val="20"/>
          <w:lang w:val="de-DE"/>
        </w:rPr>
        <w:lastRenderedPageBreak/>
        <w:t xml:space="preserve">V. </w:t>
      </w:r>
      <w:r>
        <w:rPr>
          <w:rFonts w:ascii="Cambria" w:eastAsia="Cambria" w:hAnsi="Cambria" w:cs="Cambria"/>
          <w:b/>
          <w:bCs/>
          <w:sz w:val="20"/>
          <w:szCs w:val="20"/>
          <w:lang w:val="de-DE"/>
        </w:rPr>
        <w:tab/>
        <w:t xml:space="preserve">ALLEGED FACTS </w:t>
      </w:r>
    </w:p>
    <w:p w:rsidR="00246197" w:rsidRDefault="006C0D54" w:rsidP="00923C75">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This petition deals with the refusal of asylum to Gilles </w:t>
      </w:r>
      <w:proofErr w:type="spellStart"/>
      <w:r>
        <w:rPr>
          <w:rFonts w:ascii="Cambria" w:eastAsia="Cambria" w:hAnsi="Cambria" w:cs="Cambria"/>
          <w:sz w:val="20"/>
          <w:szCs w:val="20"/>
        </w:rPr>
        <w:t>Bikindou</w:t>
      </w:r>
      <w:proofErr w:type="spellEnd"/>
      <w:r>
        <w:rPr>
          <w:rFonts w:ascii="Cambria" w:eastAsia="Cambria" w:hAnsi="Cambria" w:cs="Cambria"/>
          <w:sz w:val="20"/>
          <w:szCs w:val="20"/>
        </w:rPr>
        <w:t xml:space="preserve"> (“the petitioner’” or “alleged victim”) and withholding of removal and alleged implications thereof, including risk of persecution and lack of access to adequate medical treatment for HIV.</w:t>
      </w:r>
    </w:p>
    <w:p w:rsidR="00246197" w:rsidRDefault="006C0D54" w:rsidP="00923C75">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According to the petitioner, he is citizen of the Democratic Republic of the Congo (DRC), who arrived in the United States of America on July 12, 2004 on a J-1 student visa to pursue a Master’s Degree at Columbia University.  However, according to the record, the petitioner never actually attended Columbia University, because of financial reasons</w:t>
      </w:r>
      <w:r>
        <w:rPr>
          <w:rFonts w:ascii="Cambria" w:eastAsia="Cambria" w:hAnsi="Cambria" w:cs="Cambria"/>
          <w:sz w:val="20"/>
          <w:szCs w:val="20"/>
          <w:vertAlign w:val="superscript"/>
        </w:rPr>
        <w:footnoteReference w:id="3"/>
      </w:r>
      <w:r>
        <w:rPr>
          <w:rFonts w:ascii="Cambria" w:eastAsia="Cambria" w:hAnsi="Cambria" w:cs="Cambria"/>
          <w:sz w:val="20"/>
          <w:szCs w:val="20"/>
        </w:rPr>
        <w:t>.  At the time of his arrival in the United States of America, the petitioner alleges that he was an employee of the government of the DRC.</w:t>
      </w:r>
    </w:p>
    <w:p w:rsidR="00246197" w:rsidRDefault="006C0D54" w:rsidP="00923C75">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In March 2005, the petitioner applied to the Department of Homeland Security (</w:t>
      </w:r>
      <w:r>
        <w:rPr>
          <w:rFonts w:ascii="Cambria" w:eastAsia="Cambria" w:hAnsi="Cambria" w:cs="Cambria"/>
          <w:sz w:val="20"/>
          <w:szCs w:val="20"/>
          <w:lang w:val="de-DE"/>
        </w:rPr>
        <w:t>“</w:t>
      </w:r>
      <w:r>
        <w:rPr>
          <w:rFonts w:ascii="Cambria" w:eastAsia="Cambria" w:hAnsi="Cambria" w:cs="Cambria"/>
          <w:sz w:val="20"/>
          <w:szCs w:val="20"/>
        </w:rPr>
        <w:t>DHS”) for asylum and withholding of removal based primarily on the ground that he would be at risk of persecution were he returned to the DRC</w:t>
      </w:r>
      <w:r>
        <w:rPr>
          <w:rFonts w:ascii="Cambria" w:eastAsia="Cambria" w:hAnsi="Cambria" w:cs="Cambria"/>
          <w:sz w:val="20"/>
          <w:szCs w:val="20"/>
          <w:vertAlign w:val="superscript"/>
        </w:rPr>
        <w:footnoteReference w:id="4"/>
      </w:r>
      <w:r>
        <w:rPr>
          <w:rFonts w:ascii="Cambria" w:eastAsia="Cambria" w:hAnsi="Cambria" w:cs="Cambria"/>
          <w:sz w:val="20"/>
          <w:szCs w:val="20"/>
        </w:rPr>
        <w:t xml:space="preserve">.   According to the record, the DHS interviewed the petitioner in March 2005 to assess his eligibility for asylum and withholding of removal, following which the DHS refused the petitioner’s application.  Subsequently, the petitioner’s asylum application was referred to an Immigration Judge for the initiation of removal proceedings.  Following a preliminary hearing before the Immigration Judge in August 2006, a hearing on the merits was scheduled for April 23, 2007.   According to the petitioner, he was diagnosed with HIV in September 2006.  During the hearing of April 23, 2007, the petitioner sought to submit evidence regarding his medical condition, but this was refused by the Immigration Judge primarily because it was only </w:t>
      </w:r>
      <w:r>
        <w:rPr>
          <w:rFonts w:ascii="Cambria" w:eastAsia="Cambria" w:hAnsi="Cambria" w:cs="Cambria"/>
          <w:sz w:val="20"/>
          <w:szCs w:val="20"/>
          <w:lang w:val="de-DE"/>
        </w:rPr>
        <w:t>“</w:t>
      </w:r>
      <w:r>
        <w:rPr>
          <w:rFonts w:ascii="Cambria" w:eastAsia="Cambria" w:hAnsi="Cambria" w:cs="Cambria"/>
          <w:sz w:val="20"/>
          <w:szCs w:val="20"/>
        </w:rPr>
        <w:t>tangentially related” to the petitioner’s application for asylum, and thus was inadmissible.  On that day, the petitioner testified in support of his asylum application and the Immigration Judge indicated that a subsequent hearing would be scheduled to allow the petitioner to present the testimony of a supporting witness.</w:t>
      </w:r>
    </w:p>
    <w:p w:rsidR="00246197" w:rsidRDefault="006C0D54" w:rsidP="00923C75">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According to the petitioner, the Immigration Judge did not schedule a subsequent hearing, and on August 22, 2007, issued a decision on the merits of the petitioner’s application.  The Immigration Judge dismissed the petitioner’s application, ruling that the petitioner had failed to (a) provide credible testimony or to adequately corroborate his claims; (b) establish past persecution; (c) demonstrate a sufficient likelihood of future persecution.  As a result, the Immigration Judge ordered the removal of the petitioner to the DRC.  The petitioner subsequently appealed to the Board of Immigration Appeals (</w:t>
      </w:r>
      <w:r>
        <w:rPr>
          <w:rFonts w:ascii="Cambria" w:eastAsia="Cambria" w:hAnsi="Cambria" w:cs="Cambria"/>
          <w:sz w:val="20"/>
          <w:szCs w:val="20"/>
          <w:lang w:val="de-DE"/>
        </w:rPr>
        <w:t>“</w:t>
      </w:r>
      <w:r>
        <w:rPr>
          <w:rFonts w:ascii="Cambria" w:eastAsia="Cambria" w:hAnsi="Cambria" w:cs="Cambria"/>
          <w:sz w:val="20"/>
          <w:szCs w:val="20"/>
          <w:lang w:val="da-DK"/>
        </w:rPr>
        <w:t>BIA</w:t>
      </w:r>
      <w:r>
        <w:rPr>
          <w:rFonts w:ascii="Cambria" w:eastAsia="Cambria" w:hAnsi="Cambria" w:cs="Cambria"/>
          <w:sz w:val="20"/>
          <w:szCs w:val="20"/>
        </w:rPr>
        <w:t xml:space="preserve">”), challenging not only the substantive decision of the Immigration Judge, but also on the ground that the Immigration Judge had issued a decision without first allowing the petitioner to present the testimony of a supporting witness.  On December 21, 2008, the BIA allowed the appeal and remanded the case to the Immigration Judge to rehear the application and to consider the testimony of the petitioner’s witness.  On January 26, 2010, the Immigration Judge issued a new decision which again denied the petitioner’s request for asylum and withholding of removal.  The grounds for dismissal largely mirrored the first decision.   The petitioner claims that he was not notified of this decision until June 9, 2010.  According to the petitioner, this late notification prevented him from initiating a timely appeal (within 90 days).  Thus, the petitioner argues that he was ultimately prevented from exhausting domestic remedies.   According to the record, the petitioner was represented by counsel during the judicial proceedings relating to his asylum claim, and indicated that this counsel </w:t>
      </w:r>
      <w:r w:rsidR="00F24B01" w:rsidRPr="005B6F37">
        <w:rPr>
          <w:rFonts w:ascii="Cambria" w:eastAsia="Cambria" w:hAnsi="Cambria" w:cs="Cambria"/>
          <w:sz w:val="20"/>
          <w:szCs w:val="20"/>
        </w:rPr>
        <w:t>is</w:t>
      </w:r>
      <w:r w:rsidR="00F24B01">
        <w:rPr>
          <w:rFonts w:ascii="Cambria" w:eastAsia="Cambria" w:hAnsi="Cambria" w:cs="Cambria"/>
          <w:sz w:val="20"/>
          <w:szCs w:val="20"/>
        </w:rPr>
        <w:t xml:space="preserve"> </w:t>
      </w:r>
      <w:r>
        <w:rPr>
          <w:rFonts w:ascii="Cambria" w:eastAsia="Cambria" w:hAnsi="Cambria" w:cs="Cambria"/>
          <w:sz w:val="20"/>
          <w:szCs w:val="20"/>
        </w:rPr>
        <w:t>taking steps to reopen his asylum claim.</w:t>
      </w:r>
    </w:p>
    <w:p w:rsidR="00246197" w:rsidRDefault="006C0D54" w:rsidP="00923C75">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petitioner argues that removal to DRC would violate the principle of </w:t>
      </w:r>
      <w:r>
        <w:rPr>
          <w:rFonts w:ascii="Cambria" w:eastAsia="Cambria" w:hAnsi="Cambria" w:cs="Cambria"/>
          <w:i/>
          <w:iCs/>
          <w:sz w:val="20"/>
          <w:szCs w:val="20"/>
        </w:rPr>
        <w:t>non-</w:t>
      </w:r>
      <w:proofErr w:type="spellStart"/>
      <w:r>
        <w:rPr>
          <w:rFonts w:ascii="Cambria" w:eastAsia="Cambria" w:hAnsi="Cambria" w:cs="Cambria"/>
          <w:i/>
          <w:iCs/>
          <w:sz w:val="20"/>
          <w:szCs w:val="20"/>
        </w:rPr>
        <w:t>refoulement</w:t>
      </w:r>
      <w:proofErr w:type="spellEnd"/>
      <w:r>
        <w:rPr>
          <w:rFonts w:ascii="Cambria" w:eastAsia="Cambria" w:hAnsi="Cambria" w:cs="Cambria"/>
          <w:sz w:val="20"/>
          <w:szCs w:val="20"/>
        </w:rPr>
        <w:t xml:space="preserve">, given (a) the risk of persecution; and (b) his HIV status.  With regard to the former issue, the petitioner contends that international human rights law prohibits the deportation of a person where there are substantial grounds for believing that he would be subjected to torture or other cruel, inhuman, or degrading punishment or treatment.  With regard to the latter issue, the petitioner states that he receives adequate medical treatment in </w:t>
      </w:r>
      <w:r>
        <w:rPr>
          <w:rFonts w:ascii="Cambria" w:eastAsia="Cambria" w:hAnsi="Cambria" w:cs="Cambria"/>
          <w:sz w:val="20"/>
          <w:szCs w:val="20"/>
        </w:rPr>
        <w:lastRenderedPageBreak/>
        <w:t>the United States of America, but that he would be unlikely to have the requisite resources to access the medical treatment necessary in the DRC or relevant support systems.  The petitioner adds that while anti-retroviral medication is generally available in the DRC, there are factors, such as discrimination and mismanagement that might reduce access to this medication. The petitioner contends that the risk of discrimination would be heightened given his current relationship with the government of the DRC.  The petitioner also claims that in the absence of the treatment that he currently receives in the United States, he would be at risk of illness or premature death</w:t>
      </w:r>
      <w:r w:rsidR="00C54DFD">
        <w:rPr>
          <w:rStyle w:val="FootnoteReference"/>
          <w:rFonts w:ascii="Cambria" w:eastAsia="Cambria" w:hAnsi="Cambria" w:cs="Cambria"/>
          <w:sz w:val="20"/>
          <w:szCs w:val="20"/>
        </w:rPr>
        <w:footnoteReference w:id="5"/>
      </w:r>
      <w:r>
        <w:rPr>
          <w:rFonts w:ascii="Cambria" w:eastAsia="Cambria" w:hAnsi="Cambria" w:cs="Cambria"/>
          <w:sz w:val="20"/>
          <w:szCs w:val="20"/>
        </w:rPr>
        <w:t>.  According to the record, the petitioner states that he has not yet been removed from the United States of America.</w:t>
      </w:r>
    </w:p>
    <w:p w:rsidR="00246197" w:rsidRDefault="006C0D54" w:rsidP="00923C75">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According to the State, the petition is inadmissible for failure to (a) exhaust domestic remedies; and (b) to state facts that tend to establish violations of the American Declaration.   With regard to the question of exhaustion of domestic remedies, the State doesn’t dispute the chronology of judicial proceedings set out by the petitioner, or the petitioner’s allegation that he was unaware of the January 26 2010 decision of the Immigration Judge until five months later.  However, the State contends that a </w:t>
      </w:r>
      <w:r>
        <w:rPr>
          <w:rFonts w:ascii="Cambria" w:eastAsia="Cambria" w:hAnsi="Cambria" w:cs="Cambria"/>
          <w:sz w:val="20"/>
          <w:szCs w:val="20"/>
          <w:lang w:val="de-DE"/>
        </w:rPr>
        <w:t>“</w:t>
      </w:r>
      <w:r>
        <w:rPr>
          <w:rFonts w:ascii="Cambria" w:eastAsia="Cambria" w:hAnsi="Cambria" w:cs="Cambria"/>
          <w:sz w:val="20"/>
          <w:szCs w:val="20"/>
        </w:rPr>
        <w:t xml:space="preserve">timely appeal” to the Board of Immigration Appeals was not the only domestic remedy available to the petitioner.  In this regard, the State submits that the petitioner could have filed, and is still eligible to file a motion to reopen his case with the Immigration Court, requesting the Immigration Judge to reopen proceedings </w:t>
      </w:r>
      <w:r>
        <w:rPr>
          <w:rFonts w:ascii="Cambria" w:eastAsia="Cambria" w:hAnsi="Cambria" w:cs="Cambria"/>
          <w:i/>
          <w:iCs/>
          <w:sz w:val="20"/>
          <w:szCs w:val="20"/>
          <w:lang w:val="it-IT"/>
        </w:rPr>
        <w:t>sua sponte</w:t>
      </w:r>
      <w:r>
        <w:rPr>
          <w:rFonts w:ascii="Cambria" w:eastAsia="Cambria" w:hAnsi="Cambria" w:cs="Cambria"/>
          <w:sz w:val="20"/>
          <w:szCs w:val="20"/>
        </w:rPr>
        <w:t>, for the purpose of reissuing his January 26, 2010 decision, so that the petitioner could then file a timely appeal with the Board of Immigration Appeals.  The State further argues that with regard to the exclusion of medical evidence by the Immigration Judge in 2007, that the petitioner did not appeal this ruling to the Board of Immigration Appeals (which ultimately remitted the case for further hearing by the Immigration Judge).   The State also indicates that it was open to the petitioner to challenge any decision of the Board of Immigration Appeals (arising from the 2010 judgment) to the Federal Court of Appeals.  Ultimately, the State contends that the petitioner has so far failed to take any of these steps (despite having the assistance of counsel) and therefore has failed to exhaust available domestic remedies.</w:t>
      </w:r>
    </w:p>
    <w:p w:rsidR="00246197" w:rsidRDefault="006C0D54" w:rsidP="00923C75">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regard to the issue of prima facie violations of the American Declaration, the State cites Article XXVI of the American Declaration, with particular reference to the provision </w:t>
      </w:r>
      <w:r>
        <w:rPr>
          <w:rFonts w:ascii="Cambria" w:eastAsia="Cambria" w:hAnsi="Cambria" w:cs="Cambria"/>
          <w:sz w:val="20"/>
          <w:szCs w:val="20"/>
          <w:lang w:val="de-DE"/>
        </w:rPr>
        <w:t>“</w:t>
      </w:r>
      <w:r>
        <w:rPr>
          <w:rFonts w:ascii="Cambria" w:eastAsia="Cambria" w:hAnsi="Cambria" w:cs="Cambria"/>
          <w:sz w:val="20"/>
          <w:szCs w:val="20"/>
        </w:rPr>
        <w:t xml:space="preserve">Every person accused of an offense has the right … not to receive cruel, infamous or unusual punishment.”  In this regard, the State contends that this provision (a) only to a criminal context and not a civil immigration context; and (b) does not include an implied </w:t>
      </w:r>
      <w:r>
        <w:rPr>
          <w:rFonts w:ascii="Cambria" w:eastAsia="Cambria" w:hAnsi="Cambria" w:cs="Cambria"/>
          <w:i/>
          <w:iCs/>
          <w:sz w:val="20"/>
          <w:szCs w:val="20"/>
        </w:rPr>
        <w:t>non-</w:t>
      </w:r>
      <w:proofErr w:type="spellStart"/>
      <w:r>
        <w:rPr>
          <w:rFonts w:ascii="Cambria" w:eastAsia="Cambria" w:hAnsi="Cambria" w:cs="Cambria"/>
          <w:i/>
          <w:iCs/>
          <w:sz w:val="20"/>
          <w:szCs w:val="20"/>
        </w:rPr>
        <w:t>refoulement</w:t>
      </w:r>
      <w:proofErr w:type="spellEnd"/>
      <w:r>
        <w:rPr>
          <w:rFonts w:ascii="Cambria" w:eastAsia="Cambria" w:hAnsi="Cambria" w:cs="Cambria"/>
          <w:sz w:val="20"/>
          <w:szCs w:val="20"/>
        </w:rPr>
        <w:t xml:space="preserve"> obligation</w:t>
      </w:r>
      <w:r>
        <w:rPr>
          <w:rFonts w:ascii="Cambria" w:eastAsia="Cambria" w:hAnsi="Cambria" w:cs="Cambria"/>
          <w:sz w:val="20"/>
          <w:szCs w:val="20"/>
          <w:vertAlign w:val="superscript"/>
        </w:rPr>
        <w:footnoteReference w:id="6"/>
      </w:r>
      <w:r>
        <w:rPr>
          <w:rFonts w:ascii="Cambria" w:eastAsia="Cambria" w:hAnsi="Cambria" w:cs="Cambria"/>
          <w:sz w:val="20"/>
          <w:szCs w:val="20"/>
        </w:rPr>
        <w:t xml:space="preserve">.   The State emphasizes that the petitioner is not accused of any offense and that an order of removal does not constitute punishment.   With respect to the petitioner’s medical condition, the State contends that the petitioner has not provided any evidence to corroborate his claims regarding accessibility to medical care in the </w:t>
      </w:r>
      <w:r w:rsidR="00357241">
        <w:rPr>
          <w:rFonts w:ascii="Cambria" w:eastAsia="Cambria" w:hAnsi="Cambria" w:cs="Cambria"/>
          <w:sz w:val="20"/>
          <w:szCs w:val="20"/>
        </w:rPr>
        <w:t>receiving country</w:t>
      </w:r>
      <w:r>
        <w:rPr>
          <w:rFonts w:ascii="Cambria" w:eastAsia="Cambria" w:hAnsi="Cambria" w:cs="Cambria"/>
          <w:sz w:val="20"/>
          <w:szCs w:val="20"/>
        </w:rPr>
        <w:t xml:space="preserve">. </w:t>
      </w:r>
    </w:p>
    <w:p w:rsidR="00246197" w:rsidRDefault="006C0D54">
      <w:pPr>
        <w:pStyle w:val="BodyA"/>
        <w:spacing w:before="240" w:after="240"/>
        <w:ind w:firstLine="720"/>
        <w:jc w:val="both"/>
        <w:rPr>
          <w:rFonts w:ascii="Cambria" w:eastAsia="Cambria" w:hAnsi="Cambria" w:cs="Cambria"/>
          <w:sz w:val="20"/>
          <w:szCs w:val="20"/>
        </w:rPr>
      </w:pPr>
      <w:r>
        <w:rPr>
          <w:rFonts w:ascii="Cambria" w:eastAsia="Cambria" w:hAnsi="Cambria" w:cs="Cambria"/>
          <w:b/>
          <w:bCs/>
          <w:sz w:val="20"/>
          <w:szCs w:val="20"/>
        </w:rPr>
        <w:t>VI.</w:t>
      </w:r>
      <w:r>
        <w:rPr>
          <w:rFonts w:ascii="Cambria" w:eastAsia="Cambria" w:hAnsi="Cambria" w:cs="Cambria"/>
          <w:b/>
          <w:bCs/>
          <w:sz w:val="20"/>
          <w:szCs w:val="20"/>
        </w:rPr>
        <w:tab/>
        <w:t xml:space="preserve">ANALYSIS OF EXHAUSTION OF DOMESTIC REMEDIES AND TIMELINESS OF THE PETITION </w:t>
      </w:r>
    </w:p>
    <w:p w:rsidR="00246197" w:rsidRDefault="006C0D54" w:rsidP="007C7790">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petitioner contends that he was effectively prevented from filing a timely appeal to the judgment of January 26, 2010, because he was not informed of the judgment until five months after it had been delivered.   This late notification has not been contested by the State.  However, the State contends that the petitioner is, and remains eligible to apply to reopen the proceedings that led to this judgment, and if warranted, to further challenge this judgment before the Board of Immigration Appeals and the Federal Court of Appeals.  In the Commission’s view, the State’s position requires the petitioner to rectify the late notification, without providing any basis for the suitability of this remedy or the likelihood of success (in having the proceedings reopened).   In the circumstances, the Commission considers that the petitioner was effectively prevented from pursuing domestic remedies (following the judgment of January 26, 2010), is accordingly </w:t>
      </w:r>
      <w:r>
        <w:rPr>
          <w:rFonts w:ascii="Cambria" w:eastAsia="Cambria" w:hAnsi="Cambria" w:cs="Cambria"/>
          <w:sz w:val="20"/>
          <w:szCs w:val="20"/>
        </w:rPr>
        <w:lastRenderedPageBreak/>
        <w:t>exempted from the requirement of exhausting domestic remedies pursuant to Article 31 (2) (b) of the Commission’s Rules of Procedure. The Commission notes that the petition was filed on August 23, 2010, which it considers to be a reasonable time (pursuant to Article 32.2 of its Rules of Procedure), having regard for the chronology of circumstances that gave rise to the petition. Accordingly, the IACHR considers that the petition meets the requirement of timeliness and is therefore admissible</w:t>
      </w:r>
    </w:p>
    <w:p w:rsidR="00246197" w:rsidRDefault="006C0D54">
      <w:pPr>
        <w:pStyle w:val="ListParagraph"/>
        <w:spacing w:before="240" w:after="240"/>
        <w:jc w:val="both"/>
      </w:pPr>
      <w:r>
        <w:rPr>
          <w:b/>
          <w:bCs/>
          <w:sz w:val="20"/>
          <w:szCs w:val="20"/>
        </w:rPr>
        <w:t>VII.</w:t>
      </w:r>
      <w:r>
        <w:rPr>
          <w:b/>
          <w:bCs/>
          <w:sz w:val="20"/>
          <w:szCs w:val="20"/>
        </w:rPr>
        <w:tab/>
        <w:t>ANALYSIS OF COLORABLE CLAIM</w:t>
      </w:r>
    </w:p>
    <w:p w:rsidR="00357241" w:rsidRPr="00357241" w:rsidRDefault="006C0D54" w:rsidP="00357241">
      <w:pPr>
        <w:pStyle w:val="BodyA"/>
        <w:numPr>
          <w:ilvl w:val="0"/>
          <w:numId w:val="2"/>
        </w:numPr>
        <w:tabs>
          <w:tab w:val="clear" w:pos="1440"/>
        </w:tabs>
        <w:suppressAutoHyphens/>
        <w:spacing w:after="240"/>
        <w:ind w:left="0" w:firstLine="720"/>
        <w:jc w:val="both"/>
        <w:rPr>
          <w:rFonts w:ascii="Cambria" w:hAnsi="Cambria"/>
          <w:sz w:val="20"/>
          <w:szCs w:val="20"/>
        </w:rPr>
      </w:pPr>
      <w:r>
        <w:rPr>
          <w:rFonts w:ascii="Cambria" w:hAnsi="Cambria"/>
          <w:sz w:val="20"/>
          <w:szCs w:val="20"/>
        </w:rPr>
        <w:t xml:space="preserve">The Commission notes that this petition contains allegations </w:t>
      </w:r>
      <w:r w:rsidR="005B6F37">
        <w:rPr>
          <w:rFonts w:ascii="Cambria" w:hAnsi="Cambria"/>
          <w:sz w:val="20"/>
          <w:szCs w:val="20"/>
        </w:rPr>
        <w:t xml:space="preserve">that </w:t>
      </w:r>
      <w:r>
        <w:rPr>
          <w:rFonts w:ascii="Cambria" w:hAnsi="Cambria"/>
          <w:sz w:val="20"/>
          <w:szCs w:val="20"/>
        </w:rPr>
        <w:t>relate to (a) the refusal of the petitioner</w:t>
      </w:r>
      <w:r>
        <w:rPr>
          <w:rFonts w:ascii="Cambria" w:hAnsi="Cambria"/>
          <w:sz w:val="20"/>
          <w:szCs w:val="20"/>
          <w:rtl/>
        </w:rPr>
        <w:t>’</w:t>
      </w:r>
      <w:r>
        <w:rPr>
          <w:rFonts w:ascii="Cambria" w:hAnsi="Cambria"/>
          <w:sz w:val="20"/>
          <w:szCs w:val="20"/>
        </w:rPr>
        <w:t>s asylum claim; (b) the lack of judicial co</w:t>
      </w:r>
      <w:r w:rsidR="007C7790">
        <w:rPr>
          <w:rFonts w:ascii="Cambria" w:hAnsi="Cambria"/>
          <w:sz w:val="20"/>
          <w:szCs w:val="20"/>
        </w:rPr>
        <w:t>nsideration of his HIV status; and (</w:t>
      </w:r>
      <w:r>
        <w:rPr>
          <w:rFonts w:ascii="Cambria" w:hAnsi="Cambria"/>
          <w:sz w:val="20"/>
          <w:szCs w:val="20"/>
        </w:rPr>
        <w:t>c) late notification of a judgment of January 26, 2010 that alleg</w:t>
      </w:r>
      <w:r w:rsidR="007C7790">
        <w:rPr>
          <w:rFonts w:ascii="Cambria" w:hAnsi="Cambria"/>
          <w:sz w:val="20"/>
          <w:szCs w:val="20"/>
        </w:rPr>
        <w:t>edly prevented a timely appeal.</w:t>
      </w:r>
      <w:r w:rsidR="00357241" w:rsidRPr="00357241">
        <w:t xml:space="preserve"> </w:t>
      </w:r>
    </w:p>
    <w:p w:rsidR="00246197" w:rsidRPr="00684330" w:rsidRDefault="006C0D54" w:rsidP="00684330">
      <w:pPr>
        <w:pStyle w:val="BodyA"/>
        <w:numPr>
          <w:ilvl w:val="0"/>
          <w:numId w:val="2"/>
        </w:numPr>
        <w:suppressAutoHyphens/>
        <w:spacing w:after="240"/>
        <w:ind w:left="0" w:firstLine="720"/>
        <w:jc w:val="both"/>
        <w:rPr>
          <w:rFonts w:ascii="Cambria" w:eastAsia="Cambria" w:hAnsi="Cambria" w:cs="Cambria"/>
          <w:sz w:val="20"/>
          <w:szCs w:val="20"/>
        </w:rPr>
      </w:pPr>
      <w:r w:rsidRPr="007C7790">
        <w:rPr>
          <w:rFonts w:ascii="Cambria" w:hAnsi="Cambria"/>
          <w:sz w:val="20"/>
          <w:szCs w:val="20"/>
        </w:rPr>
        <w:t xml:space="preserve">In view of the elements of fact and law presented by the parties and the nature of the matter brought to its attention, the Commission believes that the claims of the petitioner are not manifestly unfounded and require a substantive study on </w:t>
      </w:r>
      <w:r w:rsidR="009F7D99">
        <w:rPr>
          <w:rFonts w:ascii="Cambria" w:hAnsi="Cambria"/>
          <w:sz w:val="20"/>
          <w:szCs w:val="20"/>
        </w:rPr>
        <w:t>the merits as the alleged facts, particularly with regard to</w:t>
      </w:r>
      <w:r w:rsidR="00684330" w:rsidRPr="00684330">
        <w:rPr>
          <w:rFonts w:ascii="Cambria" w:hAnsi="Cambria"/>
          <w:sz w:val="20"/>
          <w:szCs w:val="20"/>
        </w:rPr>
        <w:t xml:space="preserve"> </w:t>
      </w:r>
      <w:r w:rsidR="00684330">
        <w:rPr>
          <w:rFonts w:ascii="Cambria" w:hAnsi="Cambria"/>
          <w:sz w:val="20"/>
          <w:szCs w:val="20"/>
        </w:rPr>
        <w:t>lack of judicial consideration</w:t>
      </w:r>
      <w:r w:rsidR="009F7D99">
        <w:rPr>
          <w:rFonts w:ascii="Cambria" w:hAnsi="Cambria"/>
          <w:sz w:val="20"/>
          <w:szCs w:val="20"/>
        </w:rPr>
        <w:t xml:space="preserve"> </w:t>
      </w:r>
      <w:r w:rsidR="00684330">
        <w:rPr>
          <w:rFonts w:ascii="Cambria" w:hAnsi="Cambria"/>
          <w:sz w:val="20"/>
          <w:szCs w:val="20"/>
        </w:rPr>
        <w:t xml:space="preserve">to </w:t>
      </w:r>
      <w:r w:rsidR="009F7D99">
        <w:rPr>
          <w:rFonts w:ascii="Cambria" w:hAnsi="Cambria"/>
          <w:sz w:val="20"/>
          <w:szCs w:val="20"/>
        </w:rPr>
        <w:t xml:space="preserve">a </w:t>
      </w:r>
      <w:r w:rsidR="009F7D99" w:rsidRPr="00357241">
        <w:rPr>
          <w:rFonts w:ascii="Cambria" w:hAnsi="Cambria"/>
          <w:sz w:val="20"/>
          <w:szCs w:val="20"/>
        </w:rPr>
        <w:t>change in</w:t>
      </w:r>
      <w:r w:rsidR="00EA5C33">
        <w:rPr>
          <w:rFonts w:ascii="Cambria" w:hAnsi="Cambria"/>
          <w:sz w:val="20"/>
          <w:szCs w:val="20"/>
        </w:rPr>
        <w:t xml:space="preserve"> the</w:t>
      </w:r>
      <w:r w:rsidR="009F7D99" w:rsidRPr="00357241">
        <w:rPr>
          <w:rFonts w:ascii="Cambria" w:hAnsi="Cambria"/>
          <w:sz w:val="20"/>
          <w:szCs w:val="20"/>
        </w:rPr>
        <w:t xml:space="preserve"> status </w:t>
      </w:r>
      <w:r w:rsidR="00684330">
        <w:rPr>
          <w:rFonts w:ascii="Cambria" w:hAnsi="Cambria"/>
          <w:sz w:val="20"/>
          <w:szCs w:val="20"/>
        </w:rPr>
        <w:t>quo to the detriment of the alleged victim</w:t>
      </w:r>
      <w:r w:rsidR="009F7D99" w:rsidRPr="00357241">
        <w:rPr>
          <w:rFonts w:ascii="Cambria" w:hAnsi="Cambria"/>
          <w:sz w:val="20"/>
          <w:szCs w:val="20"/>
        </w:rPr>
        <w:t xml:space="preserve"> subject</w:t>
      </w:r>
      <w:r w:rsidR="00684330">
        <w:rPr>
          <w:rFonts w:ascii="Cambria" w:hAnsi="Cambria"/>
          <w:sz w:val="20"/>
          <w:szCs w:val="20"/>
        </w:rPr>
        <w:t>ed</w:t>
      </w:r>
      <w:r w:rsidR="009F7D99" w:rsidRPr="00357241">
        <w:rPr>
          <w:rFonts w:ascii="Cambria" w:hAnsi="Cambria"/>
          <w:sz w:val="20"/>
          <w:szCs w:val="20"/>
        </w:rPr>
        <w:t xml:space="preserve"> to a deportation procedure</w:t>
      </w:r>
      <w:r w:rsidR="00684330">
        <w:rPr>
          <w:rFonts w:ascii="Cambria" w:hAnsi="Cambria"/>
          <w:sz w:val="20"/>
          <w:szCs w:val="20"/>
        </w:rPr>
        <w:t xml:space="preserve">, </w:t>
      </w:r>
      <w:r w:rsidR="00EA5C33">
        <w:rPr>
          <w:rFonts w:ascii="Cambria" w:hAnsi="Cambria"/>
          <w:sz w:val="20"/>
          <w:szCs w:val="20"/>
        </w:rPr>
        <w:t>as</w:t>
      </w:r>
      <w:r w:rsidR="009F7D99">
        <w:rPr>
          <w:rFonts w:ascii="Cambria" w:hAnsi="Cambria"/>
          <w:sz w:val="20"/>
          <w:szCs w:val="20"/>
        </w:rPr>
        <w:t xml:space="preserve"> </w:t>
      </w:r>
      <w:r w:rsidR="00EA5C33">
        <w:rPr>
          <w:rFonts w:ascii="Cambria" w:hAnsi="Cambria"/>
          <w:sz w:val="20"/>
          <w:szCs w:val="20"/>
        </w:rPr>
        <w:t xml:space="preserve">Mr. </w:t>
      </w:r>
      <w:proofErr w:type="spellStart"/>
      <w:r w:rsidR="00EA5C33">
        <w:rPr>
          <w:rFonts w:ascii="Cambria" w:hAnsi="Cambria"/>
          <w:sz w:val="20"/>
          <w:szCs w:val="20"/>
        </w:rPr>
        <w:t>Bikindou</w:t>
      </w:r>
      <w:proofErr w:type="spellEnd"/>
      <w:r w:rsidR="00EA5C33">
        <w:rPr>
          <w:rFonts w:ascii="Cambria" w:hAnsi="Cambria"/>
          <w:sz w:val="20"/>
          <w:szCs w:val="20"/>
        </w:rPr>
        <w:t xml:space="preserve"> </w:t>
      </w:r>
      <w:r w:rsidR="009F7D99">
        <w:rPr>
          <w:rFonts w:ascii="Cambria" w:hAnsi="Cambria"/>
          <w:sz w:val="20"/>
          <w:szCs w:val="20"/>
        </w:rPr>
        <w:t xml:space="preserve">learned that </w:t>
      </w:r>
      <w:r w:rsidR="009F7D99" w:rsidRPr="00357241">
        <w:rPr>
          <w:rFonts w:ascii="Cambria" w:hAnsi="Cambria"/>
          <w:sz w:val="20"/>
          <w:szCs w:val="20"/>
        </w:rPr>
        <w:t>he was HIV positi</w:t>
      </w:r>
      <w:r w:rsidR="00EA5C33">
        <w:rPr>
          <w:rFonts w:ascii="Cambria" w:hAnsi="Cambria"/>
          <w:sz w:val="20"/>
          <w:szCs w:val="20"/>
        </w:rPr>
        <w:t>ve during his asylum application</w:t>
      </w:r>
      <w:r w:rsidR="009F7D99" w:rsidRPr="00357241">
        <w:rPr>
          <w:rFonts w:ascii="Cambria" w:hAnsi="Cambria"/>
          <w:sz w:val="20"/>
          <w:szCs w:val="20"/>
        </w:rPr>
        <w:t xml:space="preserve">, </w:t>
      </w:r>
      <w:r w:rsidR="00EA5C33">
        <w:rPr>
          <w:rFonts w:ascii="Cambria" w:hAnsi="Cambria"/>
          <w:sz w:val="20"/>
          <w:szCs w:val="20"/>
        </w:rPr>
        <w:t xml:space="preserve">and </w:t>
      </w:r>
      <w:r w:rsidR="00FF6ABE">
        <w:rPr>
          <w:rFonts w:ascii="Cambria" w:hAnsi="Cambria"/>
          <w:sz w:val="20"/>
          <w:szCs w:val="20"/>
        </w:rPr>
        <w:t xml:space="preserve">as such, if deported could face cruel and degrading treatment or even death </w:t>
      </w:r>
      <w:r w:rsidR="009F7D99" w:rsidRPr="00357241">
        <w:rPr>
          <w:rFonts w:ascii="Cambria" w:hAnsi="Cambria"/>
          <w:sz w:val="20"/>
          <w:szCs w:val="20"/>
        </w:rPr>
        <w:t xml:space="preserve">given </w:t>
      </w:r>
      <w:r w:rsidR="00EA5C33">
        <w:rPr>
          <w:rFonts w:ascii="Cambria" w:hAnsi="Cambria"/>
          <w:sz w:val="20"/>
          <w:szCs w:val="20"/>
        </w:rPr>
        <w:t xml:space="preserve">the poor access </w:t>
      </w:r>
      <w:r w:rsidR="00FF6ABE">
        <w:rPr>
          <w:rFonts w:ascii="Cambria" w:hAnsi="Cambria"/>
          <w:sz w:val="20"/>
          <w:szCs w:val="20"/>
        </w:rPr>
        <w:t>to</w:t>
      </w:r>
      <w:r w:rsidR="00EA5C33">
        <w:rPr>
          <w:rFonts w:ascii="Cambria" w:hAnsi="Cambria"/>
          <w:sz w:val="20"/>
          <w:szCs w:val="20"/>
        </w:rPr>
        <w:t xml:space="preserve"> </w:t>
      </w:r>
      <w:r w:rsidR="009F7D99" w:rsidRPr="00357241">
        <w:rPr>
          <w:rFonts w:ascii="Cambria" w:hAnsi="Cambria"/>
          <w:sz w:val="20"/>
          <w:szCs w:val="20"/>
        </w:rPr>
        <w:t xml:space="preserve">medical care </w:t>
      </w:r>
      <w:r w:rsidR="00EA5C33">
        <w:rPr>
          <w:rFonts w:ascii="Cambria" w:hAnsi="Cambria"/>
          <w:sz w:val="20"/>
          <w:szCs w:val="20"/>
        </w:rPr>
        <w:t xml:space="preserve">for </w:t>
      </w:r>
      <w:r w:rsidR="00EA5C33" w:rsidRPr="00357241">
        <w:rPr>
          <w:rFonts w:ascii="Cambria" w:hAnsi="Cambria"/>
          <w:sz w:val="20"/>
          <w:szCs w:val="20"/>
        </w:rPr>
        <w:t xml:space="preserve">people living with HIV in </w:t>
      </w:r>
      <w:r w:rsidR="00EA5C33">
        <w:rPr>
          <w:rFonts w:ascii="Cambria" w:hAnsi="Cambria"/>
          <w:sz w:val="20"/>
          <w:szCs w:val="20"/>
        </w:rPr>
        <w:t>DRC</w:t>
      </w:r>
      <w:r w:rsidR="00EA5C33" w:rsidRPr="00357241">
        <w:rPr>
          <w:rFonts w:ascii="Cambria" w:hAnsi="Cambria"/>
          <w:sz w:val="20"/>
          <w:szCs w:val="20"/>
        </w:rPr>
        <w:t xml:space="preserve"> </w:t>
      </w:r>
      <w:r w:rsidR="00FF6ABE">
        <w:rPr>
          <w:rFonts w:ascii="Cambria" w:hAnsi="Cambria"/>
          <w:sz w:val="20"/>
          <w:szCs w:val="20"/>
        </w:rPr>
        <w:t>and</w:t>
      </w:r>
      <w:r w:rsidR="009F7D99" w:rsidRPr="00357241">
        <w:rPr>
          <w:rFonts w:ascii="Cambria" w:hAnsi="Cambria"/>
          <w:sz w:val="20"/>
          <w:szCs w:val="20"/>
        </w:rPr>
        <w:t xml:space="preserve"> discrimination</w:t>
      </w:r>
      <w:r w:rsidR="00684330">
        <w:rPr>
          <w:rFonts w:ascii="Cambria" w:hAnsi="Cambria"/>
          <w:sz w:val="20"/>
          <w:szCs w:val="20"/>
        </w:rPr>
        <w:t>.</w:t>
      </w:r>
      <w:r w:rsidRPr="00684330">
        <w:rPr>
          <w:rFonts w:ascii="Cambria" w:hAnsi="Cambria"/>
          <w:sz w:val="20"/>
          <w:szCs w:val="20"/>
        </w:rPr>
        <w:t xml:space="preserve"> In this regard, the Commission</w:t>
      </w:r>
      <w:r w:rsidR="007C7790" w:rsidRPr="00684330">
        <w:rPr>
          <w:rFonts w:ascii="Cambria" w:hAnsi="Cambria"/>
          <w:sz w:val="20"/>
          <w:szCs w:val="20"/>
        </w:rPr>
        <w:t xml:space="preserve"> considers that the allegations</w:t>
      </w:r>
      <w:r w:rsidRPr="00684330">
        <w:rPr>
          <w:rFonts w:ascii="Cambria" w:hAnsi="Cambria"/>
          <w:sz w:val="20"/>
          <w:szCs w:val="20"/>
        </w:rPr>
        <w:t xml:space="preserve"> if corroborated could characterize violations of Articles XI </w:t>
      </w:r>
      <w:r w:rsidR="00684330">
        <w:rPr>
          <w:rFonts w:ascii="Cambria" w:hAnsi="Cambria"/>
          <w:sz w:val="20"/>
          <w:szCs w:val="20"/>
        </w:rPr>
        <w:t>(r</w:t>
      </w:r>
      <w:r w:rsidRPr="00684330">
        <w:rPr>
          <w:rFonts w:ascii="Cambria" w:hAnsi="Cambria"/>
          <w:sz w:val="20"/>
          <w:szCs w:val="20"/>
        </w:rPr>
        <w:t xml:space="preserve">ight to the preservation of health and to well-being) XVIII (right to fair trial) </w:t>
      </w:r>
      <w:r w:rsidR="007C7790" w:rsidRPr="00684330">
        <w:rPr>
          <w:rFonts w:ascii="Cambria" w:hAnsi="Cambria"/>
          <w:sz w:val="20"/>
          <w:szCs w:val="20"/>
        </w:rPr>
        <w:t>and XXVII</w:t>
      </w:r>
      <w:r w:rsidRPr="00684330">
        <w:rPr>
          <w:rFonts w:ascii="Cambria" w:hAnsi="Cambria"/>
          <w:sz w:val="20"/>
          <w:szCs w:val="20"/>
        </w:rPr>
        <w:t xml:space="preserve"> (Right to seek asylum) of the American Declaration of the Rights and Duties of Man.</w:t>
      </w:r>
    </w:p>
    <w:p w:rsidR="00246197" w:rsidRPr="00DC575C" w:rsidRDefault="006C0D54" w:rsidP="007C7790">
      <w:pPr>
        <w:pStyle w:val="Body"/>
        <w:spacing w:before="240" w:after="240"/>
        <w:ind w:firstLine="720"/>
        <w:jc w:val="both"/>
        <w:rPr>
          <w:rFonts w:ascii="Cambria" w:hAnsi="Cambria"/>
          <w:b/>
          <w:bCs/>
          <w:sz w:val="20"/>
          <w:szCs w:val="20"/>
        </w:rPr>
      </w:pPr>
      <w:r w:rsidRPr="00DC575C">
        <w:rPr>
          <w:rFonts w:ascii="Cambria" w:hAnsi="Cambria"/>
          <w:b/>
          <w:bCs/>
          <w:sz w:val="20"/>
          <w:szCs w:val="20"/>
          <w:lang w:val="es-ES_tradnl"/>
        </w:rPr>
        <w:t xml:space="preserve">VIII. </w:t>
      </w:r>
      <w:r w:rsidRPr="00DC575C">
        <w:rPr>
          <w:rFonts w:ascii="Cambria" w:hAnsi="Cambria"/>
          <w:b/>
          <w:bCs/>
          <w:sz w:val="20"/>
          <w:szCs w:val="20"/>
          <w:lang w:val="es-ES_tradnl"/>
        </w:rPr>
        <w:tab/>
        <w:t>DECISION</w:t>
      </w:r>
    </w:p>
    <w:p w:rsidR="00246197" w:rsidRDefault="006C0D54" w:rsidP="007C7790">
      <w:pPr>
        <w:pStyle w:val="BodyA"/>
        <w:numPr>
          <w:ilvl w:val="0"/>
          <w:numId w:val="4"/>
        </w:numPr>
        <w:tabs>
          <w:tab w:val="clear" w:pos="144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To find the instant petition admissible in relation to Articles XI, XVIII, and XXVII of the American Declaration </w:t>
      </w:r>
      <w:r w:rsidR="007C7790">
        <w:rPr>
          <w:rFonts w:ascii="Cambria" w:eastAsia="Cambria" w:hAnsi="Cambria" w:cs="Cambria"/>
          <w:sz w:val="20"/>
          <w:szCs w:val="20"/>
        </w:rPr>
        <w:t>of the Rights and Duties of Man</w:t>
      </w:r>
      <w:r>
        <w:rPr>
          <w:rFonts w:ascii="Cambria" w:eastAsia="Cambria" w:hAnsi="Cambria" w:cs="Cambria"/>
          <w:sz w:val="20"/>
          <w:szCs w:val="20"/>
        </w:rPr>
        <w:t>; and</w:t>
      </w:r>
    </w:p>
    <w:p w:rsidR="00246197" w:rsidRDefault="006C0D54" w:rsidP="007C7790">
      <w:pPr>
        <w:pStyle w:val="BodyA"/>
        <w:numPr>
          <w:ilvl w:val="0"/>
          <w:numId w:val="4"/>
        </w:numPr>
        <w:tabs>
          <w:tab w:val="clear" w:pos="144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To notify the parties of this decision; and to publish this decision and include it in its Annual Report to the General Assembly of the Organization of American States.</w:t>
      </w:r>
    </w:p>
    <w:p w:rsidR="009812A9" w:rsidRPr="00DC575C" w:rsidRDefault="009812A9" w:rsidP="009812A9">
      <w:pPr>
        <w:ind w:firstLine="720"/>
        <w:jc w:val="both"/>
        <w:rPr>
          <w:rFonts w:ascii="Cambria" w:hAnsi="Cambria"/>
          <w:sz w:val="20"/>
        </w:rPr>
      </w:pPr>
      <w:r w:rsidRPr="00DC575C">
        <w:rPr>
          <w:rFonts w:ascii="Cambria" w:hAnsi="Cambria"/>
          <w:sz w:val="20"/>
        </w:rPr>
        <w:t xml:space="preserve">Approved by the Inter-American Commission on Human Rights on the </w:t>
      </w:r>
      <w:r>
        <w:rPr>
          <w:rFonts w:ascii="Cambria" w:hAnsi="Cambria"/>
          <w:sz w:val="20"/>
        </w:rPr>
        <w:t>2</w:t>
      </w:r>
      <w:r w:rsidRPr="00DC575C">
        <w:rPr>
          <w:rFonts w:ascii="Cambria" w:hAnsi="Cambria"/>
          <w:sz w:val="20"/>
          <w:vertAlign w:val="superscript"/>
        </w:rPr>
        <w:t>nd</w:t>
      </w:r>
      <w:r>
        <w:rPr>
          <w:rFonts w:ascii="Cambria" w:hAnsi="Cambria"/>
          <w:sz w:val="20"/>
        </w:rPr>
        <w:t xml:space="preserve"> </w:t>
      </w:r>
      <w:r w:rsidRPr="00DC575C">
        <w:rPr>
          <w:rFonts w:ascii="Cambria" w:hAnsi="Cambria"/>
          <w:sz w:val="20"/>
        </w:rPr>
        <w:t xml:space="preserve">day of the month of </w:t>
      </w:r>
      <w:r>
        <w:rPr>
          <w:rFonts w:ascii="Cambria" w:hAnsi="Cambria"/>
          <w:sz w:val="20"/>
        </w:rPr>
        <w:t>July,</w:t>
      </w:r>
      <w:r w:rsidRPr="00DC575C">
        <w:rPr>
          <w:rFonts w:ascii="Cambria" w:hAnsi="Cambria"/>
          <w:sz w:val="20"/>
        </w:rPr>
        <w:t xml:space="preserve"> 2020. Joel Hernández</w:t>
      </w:r>
      <w:r w:rsidRPr="006D25D7">
        <w:rPr>
          <w:rFonts w:ascii="Cambria" w:hAnsi="Cambria"/>
          <w:sz w:val="20"/>
        </w:rPr>
        <w:t xml:space="preserve">, President; </w:t>
      </w:r>
      <w:r w:rsidRPr="00DC575C">
        <w:rPr>
          <w:rFonts w:ascii="Cambria" w:hAnsi="Cambria"/>
          <w:sz w:val="20"/>
        </w:rPr>
        <w:t>Antonia Urrejola</w:t>
      </w:r>
      <w:r w:rsidRPr="006D25D7">
        <w:rPr>
          <w:rFonts w:ascii="Cambria" w:hAnsi="Cambria"/>
          <w:sz w:val="20"/>
        </w:rPr>
        <w:t xml:space="preserve">, First Vice President; </w:t>
      </w:r>
      <w:proofErr w:type="spellStart"/>
      <w:r w:rsidRPr="00DC575C">
        <w:rPr>
          <w:rFonts w:ascii="Cambria" w:hAnsi="Cambria"/>
          <w:sz w:val="20"/>
        </w:rPr>
        <w:t>Flávia</w:t>
      </w:r>
      <w:proofErr w:type="spellEnd"/>
      <w:r w:rsidRPr="00DC575C">
        <w:rPr>
          <w:rFonts w:ascii="Cambria" w:hAnsi="Cambria"/>
          <w:sz w:val="20"/>
        </w:rPr>
        <w:t xml:space="preserve"> </w:t>
      </w:r>
      <w:proofErr w:type="spellStart"/>
      <w:r w:rsidRPr="00DC575C">
        <w:rPr>
          <w:rFonts w:ascii="Cambria" w:hAnsi="Cambria"/>
          <w:sz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Pr>
          <w:rFonts w:ascii="Cambria" w:hAnsi="Cambria"/>
          <w:sz w:val="20"/>
        </w:rPr>
        <w:t xml:space="preserve">and </w:t>
      </w:r>
      <w:r w:rsidRPr="00DC575C">
        <w:rPr>
          <w:rFonts w:ascii="Cambria" w:hAnsi="Cambria"/>
          <w:sz w:val="20"/>
        </w:rPr>
        <w:t xml:space="preserve">Esmeralda E. </w:t>
      </w:r>
      <w:proofErr w:type="spellStart"/>
      <w:r w:rsidRPr="00DC575C">
        <w:rPr>
          <w:rFonts w:ascii="Cambria" w:hAnsi="Cambria"/>
          <w:sz w:val="20"/>
        </w:rPr>
        <w:t>Arosemena</w:t>
      </w:r>
      <w:proofErr w:type="spellEnd"/>
      <w:r w:rsidRPr="00DC575C">
        <w:rPr>
          <w:rFonts w:ascii="Cambria" w:hAnsi="Cambria"/>
          <w:sz w:val="20"/>
        </w:rPr>
        <w:t xml:space="preserve"> Bernal de </w:t>
      </w:r>
      <w:proofErr w:type="spellStart"/>
      <w:r w:rsidRPr="00DC575C">
        <w:rPr>
          <w:rFonts w:ascii="Cambria" w:hAnsi="Cambria"/>
          <w:sz w:val="20"/>
        </w:rPr>
        <w:t>Troitiño</w:t>
      </w:r>
      <w:proofErr w:type="spellEnd"/>
      <w:r w:rsidRPr="00DC575C">
        <w:rPr>
          <w:rFonts w:ascii="Cambria" w:hAnsi="Cambria"/>
          <w:sz w:val="20"/>
        </w:rPr>
        <w:t>,  Commissioners.</w:t>
      </w:r>
    </w:p>
    <w:sectPr w:rsidR="009812A9" w:rsidRPr="00DC575C" w:rsidSect="00F81F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F2" w:rsidRDefault="005551F2">
      <w:r>
        <w:separator/>
      </w:r>
    </w:p>
  </w:endnote>
  <w:endnote w:type="continuationSeparator" w:id="0">
    <w:p w:rsidR="005551F2" w:rsidRDefault="0055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1" w:rsidRDefault="00220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1" w:rsidRDefault="00220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1" w:rsidRDefault="0022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F2" w:rsidRDefault="005551F2">
      <w:r>
        <w:separator/>
      </w:r>
    </w:p>
  </w:footnote>
  <w:footnote w:type="continuationSeparator" w:id="0">
    <w:p w:rsidR="005551F2" w:rsidRDefault="005551F2">
      <w:r>
        <w:continuationSeparator/>
      </w:r>
    </w:p>
  </w:footnote>
  <w:footnote w:type="continuationNotice" w:id="1">
    <w:p w:rsidR="005551F2" w:rsidRDefault="005551F2"/>
  </w:footnote>
  <w:footnote w:id="2">
    <w:p w:rsidR="00246197" w:rsidRDefault="006C0D54">
      <w:pPr>
        <w:pStyle w:val="FootnoteText"/>
        <w:ind w:firstLine="720"/>
        <w:jc w:val="both"/>
      </w:pPr>
      <w:r w:rsidRPr="00DC575C">
        <w:rPr>
          <w:rFonts w:ascii="Cambria" w:eastAsia="Cambria" w:hAnsi="Cambria" w:cs="Cambria"/>
          <w:bCs/>
          <w:vertAlign w:val="superscript"/>
        </w:rPr>
        <w:footnoteRef/>
      </w:r>
      <w:r w:rsidRPr="00DC575C">
        <w:rPr>
          <w:rFonts w:ascii="Cambria" w:eastAsia="Cambria" w:hAnsi="Cambria" w:cs="Cambria"/>
          <w:sz w:val="16"/>
          <w:szCs w:val="16"/>
        </w:rPr>
        <w:t xml:space="preserve"> </w:t>
      </w:r>
      <w:r>
        <w:rPr>
          <w:rFonts w:ascii="Cambria" w:eastAsia="Cambria" w:hAnsi="Cambria" w:cs="Cambria"/>
          <w:sz w:val="16"/>
          <w:szCs w:val="16"/>
        </w:rPr>
        <w:t>The observations submitted by each party were duly transmitted to the opposing party.</w:t>
      </w:r>
    </w:p>
  </w:footnote>
  <w:footnote w:id="3">
    <w:p w:rsidR="00246197" w:rsidRDefault="006C0D54">
      <w:pPr>
        <w:pStyle w:val="FootnoteText"/>
        <w:ind w:firstLine="720"/>
        <w:jc w:val="both"/>
      </w:pPr>
      <w:r>
        <w:rPr>
          <w:rFonts w:ascii="Cambria" w:eastAsia="Cambria" w:hAnsi="Cambria" w:cs="Cambria"/>
          <w:vertAlign w:val="superscript"/>
        </w:rPr>
        <w:footnoteRef/>
      </w:r>
      <w:r>
        <w:rPr>
          <w:rFonts w:ascii="Cambria" w:eastAsia="Cambria" w:hAnsi="Cambria" w:cs="Cambria"/>
          <w:sz w:val="16"/>
          <w:szCs w:val="16"/>
        </w:rPr>
        <w:t xml:space="preserve">  According to the petitioner, the government of the DRC reneged on a promise to provide him funding for his university studies.</w:t>
      </w:r>
    </w:p>
  </w:footnote>
  <w:footnote w:id="4">
    <w:p w:rsidR="00246197" w:rsidRDefault="006C0D54">
      <w:pPr>
        <w:pStyle w:val="FootnoteText"/>
        <w:ind w:firstLine="720"/>
        <w:jc w:val="both"/>
      </w:pPr>
      <w:r>
        <w:rPr>
          <w:rFonts w:ascii="Cambria" w:eastAsia="Cambria" w:hAnsi="Cambria" w:cs="Cambria"/>
          <w:vertAlign w:val="superscript"/>
        </w:rPr>
        <w:footnoteRef/>
      </w:r>
      <w:r>
        <w:rPr>
          <w:rFonts w:ascii="Cambria" w:eastAsia="Cambria" w:hAnsi="Cambria" w:cs="Cambria"/>
          <w:sz w:val="16"/>
          <w:szCs w:val="16"/>
        </w:rPr>
        <w:t xml:space="preserve">  In his asylum application, the petitioner claimed that (a) he had fled the DRC in April 1999 because of fighting in the DRC; (b) that on his return to the DRC in May 1999, he was subjected to a week-long detention and mistreatment by officials of the DRC; (c) he was a witness to aspects of an event referred to as “the Disappeared of the Beach”, in which up to 350 other returnees were allegedly disappeared; (d) that he fears persecution by the DRC government, because he (as a government employee) has refused to support the DRC’s version of events relating to “the Disappeared of the Beach”. </w:t>
      </w:r>
    </w:p>
  </w:footnote>
  <w:footnote w:id="5">
    <w:p w:rsidR="00C54DFD" w:rsidRPr="00C54DFD" w:rsidRDefault="00C54DFD" w:rsidP="00C54DFD">
      <w:pPr>
        <w:pStyle w:val="FootnoteText"/>
        <w:ind w:firstLine="720"/>
        <w:jc w:val="both"/>
        <w:rPr>
          <w:sz w:val="16"/>
          <w:szCs w:val="16"/>
        </w:rPr>
      </w:pPr>
      <w:r w:rsidRPr="00C54DFD">
        <w:rPr>
          <w:rStyle w:val="FootnoteReference"/>
          <w:sz w:val="16"/>
          <w:szCs w:val="16"/>
        </w:rPr>
        <w:footnoteRef/>
      </w:r>
      <w:r w:rsidRPr="00C54DFD">
        <w:rPr>
          <w:sz w:val="16"/>
          <w:szCs w:val="16"/>
        </w:rPr>
        <w:t xml:space="preserve"> </w:t>
      </w:r>
      <w:r w:rsidRPr="00C54DFD">
        <w:rPr>
          <w:rFonts w:ascii="Cambria" w:hAnsi="Cambria"/>
          <w:sz w:val="16"/>
          <w:szCs w:val="16"/>
        </w:rPr>
        <w:t xml:space="preserve">Mr. </w:t>
      </w:r>
      <w:proofErr w:type="spellStart"/>
      <w:r w:rsidRPr="00C54DFD">
        <w:rPr>
          <w:rFonts w:ascii="Cambria" w:hAnsi="Cambria"/>
          <w:sz w:val="16"/>
          <w:szCs w:val="16"/>
        </w:rPr>
        <w:t>Bilindou</w:t>
      </w:r>
      <w:r w:rsidR="0037099A">
        <w:rPr>
          <w:rFonts w:ascii="Cambria" w:hAnsi="Cambria"/>
          <w:sz w:val="16"/>
          <w:szCs w:val="16"/>
        </w:rPr>
        <w:t>’s</w:t>
      </w:r>
      <w:proofErr w:type="spellEnd"/>
      <w:r w:rsidRPr="00C54DFD">
        <w:rPr>
          <w:rFonts w:ascii="Cambria" w:hAnsi="Cambria"/>
          <w:sz w:val="16"/>
          <w:szCs w:val="16"/>
        </w:rPr>
        <w:t xml:space="preserve"> case was </w:t>
      </w:r>
      <w:r w:rsidR="0037099A">
        <w:rPr>
          <w:rFonts w:ascii="Cambria" w:hAnsi="Cambria"/>
          <w:sz w:val="16"/>
          <w:szCs w:val="16"/>
        </w:rPr>
        <w:t xml:space="preserve">the </w:t>
      </w:r>
      <w:r w:rsidRPr="00C54DFD">
        <w:rPr>
          <w:rFonts w:ascii="Cambria" w:hAnsi="Cambria"/>
          <w:sz w:val="16"/>
          <w:szCs w:val="16"/>
        </w:rPr>
        <w:t xml:space="preserve">focus of public attention in </w:t>
      </w:r>
      <w:r w:rsidR="0037099A">
        <w:rPr>
          <w:rFonts w:ascii="Cambria" w:hAnsi="Cambria"/>
          <w:sz w:val="16"/>
          <w:szCs w:val="16"/>
        </w:rPr>
        <w:t xml:space="preserve">the </w:t>
      </w:r>
      <w:r w:rsidRPr="00C54DFD">
        <w:rPr>
          <w:rFonts w:ascii="Cambria" w:hAnsi="Cambria"/>
          <w:sz w:val="16"/>
          <w:szCs w:val="16"/>
        </w:rPr>
        <w:t xml:space="preserve">US media: See </w:t>
      </w:r>
      <w:hyperlink r:id="rId1" w:history="1">
        <w:r w:rsidRPr="00C54DFD">
          <w:rPr>
            <w:rStyle w:val="Hyperlink"/>
            <w:rFonts w:ascii="Cambria" w:hAnsi="Cambria"/>
            <w:sz w:val="16"/>
            <w:szCs w:val="16"/>
          </w:rPr>
          <w:t>https://www.cnn.com/2018/02/22/us/church-fights-deportation-gilles-bikindou/index.html</w:t>
        </w:r>
      </w:hyperlink>
      <w:r w:rsidRPr="00C54DFD">
        <w:rPr>
          <w:rFonts w:ascii="Cambria" w:hAnsi="Cambria"/>
          <w:sz w:val="16"/>
          <w:szCs w:val="16"/>
        </w:rPr>
        <w:t>.</w:t>
      </w:r>
      <w:r>
        <w:rPr>
          <w:sz w:val="16"/>
          <w:szCs w:val="16"/>
        </w:rPr>
        <w:t xml:space="preserve"> </w:t>
      </w:r>
    </w:p>
  </w:footnote>
  <w:footnote w:id="6">
    <w:p w:rsidR="00246197" w:rsidRDefault="006C0D54">
      <w:pPr>
        <w:pStyle w:val="FootnoteText"/>
        <w:ind w:firstLine="720"/>
        <w:jc w:val="both"/>
      </w:pPr>
      <w:r>
        <w:rPr>
          <w:rFonts w:ascii="Cambria" w:eastAsia="Cambria" w:hAnsi="Cambria" w:cs="Cambria"/>
          <w:vertAlign w:val="superscript"/>
        </w:rPr>
        <w:footnoteRef/>
      </w:r>
      <w:r>
        <w:rPr>
          <w:rFonts w:ascii="Cambria" w:eastAsia="Cambria" w:hAnsi="Cambria" w:cs="Cambria"/>
          <w:sz w:val="16"/>
          <w:szCs w:val="16"/>
        </w:rPr>
        <w:t xml:space="preserve">  The State cites its disagreement with the IACHR case of Andrea </w:t>
      </w:r>
      <w:proofErr w:type="spellStart"/>
      <w:r>
        <w:rPr>
          <w:rFonts w:ascii="Cambria" w:eastAsia="Cambria" w:hAnsi="Cambria" w:cs="Cambria"/>
          <w:sz w:val="16"/>
          <w:szCs w:val="16"/>
        </w:rPr>
        <w:t>Mortlock</w:t>
      </w:r>
      <w:proofErr w:type="spellEnd"/>
      <w:r>
        <w:rPr>
          <w:rFonts w:ascii="Cambria" w:eastAsia="Cambria" w:hAnsi="Cambria" w:cs="Cambria"/>
          <w:sz w:val="16"/>
          <w:szCs w:val="16"/>
        </w:rPr>
        <w:t xml:space="preserve"> [IACHR Report Nº 63/08 CASE 12.534 ADMISSIBILITY and MERITS, UNITED STATES July 25, 2008] in which the IACHR found that Article XXVI includes an implied obligation of non-</w:t>
      </w:r>
      <w:proofErr w:type="spellStart"/>
      <w:r>
        <w:rPr>
          <w:rFonts w:ascii="Cambria" w:eastAsia="Cambria" w:hAnsi="Cambria" w:cs="Cambria"/>
          <w:sz w:val="16"/>
          <w:szCs w:val="16"/>
        </w:rPr>
        <w:t>refoulement</w:t>
      </w:r>
      <w:proofErr w:type="spellEnd"/>
      <w:r>
        <w:rPr>
          <w:rFonts w:ascii="Cambria" w:eastAsia="Cambria" w:hAnsi="Cambria" w:cs="Cambria"/>
          <w:sz w:val="16"/>
          <w:szCs w:val="16"/>
        </w:rPr>
        <w:t xml:space="preserve">.  This was a case in which the IACHR found that Ms. </w:t>
      </w:r>
      <w:proofErr w:type="spellStart"/>
      <w:r>
        <w:rPr>
          <w:rFonts w:ascii="Cambria" w:eastAsia="Cambria" w:hAnsi="Cambria" w:cs="Cambria"/>
          <w:sz w:val="16"/>
          <w:szCs w:val="16"/>
        </w:rPr>
        <w:t>Mortlock</w:t>
      </w:r>
      <w:proofErr w:type="spellEnd"/>
      <w:r>
        <w:rPr>
          <w:rFonts w:ascii="Cambria" w:eastAsia="Cambria" w:hAnsi="Cambria" w:cs="Cambria"/>
          <w:sz w:val="16"/>
          <w:szCs w:val="16"/>
        </w:rPr>
        <w:t>, an HIV patient was at risk of deportation to Jamaica where she would be prevented from receiving necessary medical care to treat her illness and therefore subject to “cruel, infamous or unusual punishment” within the meaning of Articles XI and XXVI of the American Declaration, given the uncertainties confronting her in Jamaica through shortage of the necessary drugs and medical facilities available there.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1" w:rsidRDefault="00220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48" w:rsidRDefault="00834348" w:rsidP="00834348">
    <w:pPr>
      <w:pStyle w:val="Header"/>
      <w:jc w:val="center"/>
    </w:pPr>
    <w:r>
      <w:rPr>
        <w:noProof/>
      </w:rPr>
      <w:drawing>
        <wp:inline distT="0" distB="0" distL="0" distR="0" wp14:anchorId="0FB4EDE4" wp14:editId="2B170A6A">
          <wp:extent cx="2209800" cy="117396"/>
          <wp:effectExtent l="0" t="0" r="0" b="0"/>
          <wp:docPr id="114572737"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2209800" cy="117396"/>
                  </a:xfrm>
                  <a:prstGeom prst="rect">
                    <a:avLst/>
                  </a:prstGeom>
                </pic:spPr>
              </pic:pic>
            </a:graphicData>
          </a:graphic>
        </wp:inline>
      </w:drawing>
    </w:r>
    <w:r w:rsidR="005551F2">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1" w:rsidRDefault="00220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729A"/>
    <w:multiLevelType w:val="hybridMultilevel"/>
    <w:tmpl w:val="CB9A8936"/>
    <w:numStyleLink w:val="ImportedStyle2"/>
  </w:abstractNum>
  <w:abstractNum w:abstractNumId="1" w15:restartNumberingAfterBreak="0">
    <w:nsid w:val="1C9E0413"/>
    <w:multiLevelType w:val="hybridMultilevel"/>
    <w:tmpl w:val="100CEA84"/>
    <w:styleLink w:val="ImportedStyle3"/>
    <w:lvl w:ilvl="0" w:tplc="91D29E10">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6CCDD4">
      <w:start w:val="1"/>
      <w:numFmt w:val="lowerLetter"/>
      <w:lvlText w:val="%2."/>
      <w:lvlJc w:val="left"/>
      <w:pPr>
        <w:tabs>
          <w:tab w:val="num" w:pos="1440"/>
        </w:tabs>
        <w:ind w:left="7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698FC42">
      <w:start w:val="1"/>
      <w:numFmt w:val="lowerRoman"/>
      <w:lvlText w:val="%3."/>
      <w:lvlJc w:val="left"/>
      <w:pPr>
        <w:tabs>
          <w:tab w:val="left" w:pos="1440"/>
          <w:tab w:val="num" w:pos="2160"/>
        </w:tabs>
        <w:ind w:left="144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47610DC">
      <w:start w:val="1"/>
      <w:numFmt w:val="decimal"/>
      <w:lvlText w:val="%4."/>
      <w:lvlJc w:val="left"/>
      <w:pPr>
        <w:tabs>
          <w:tab w:val="left" w:pos="1440"/>
          <w:tab w:val="num" w:pos="2880"/>
        </w:tabs>
        <w:ind w:left="21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C436B4">
      <w:start w:val="1"/>
      <w:numFmt w:val="lowerLetter"/>
      <w:lvlText w:val="%5."/>
      <w:lvlJc w:val="left"/>
      <w:pPr>
        <w:tabs>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ACBD34">
      <w:start w:val="1"/>
      <w:numFmt w:val="lowerRoman"/>
      <w:lvlText w:val="%6."/>
      <w:lvlJc w:val="left"/>
      <w:pPr>
        <w:tabs>
          <w:tab w:val="left" w:pos="1440"/>
          <w:tab w:val="num" w:pos="4320"/>
        </w:tabs>
        <w:ind w:left="360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06F8F4">
      <w:start w:val="1"/>
      <w:numFmt w:val="decimal"/>
      <w:lvlText w:val="%7."/>
      <w:lvlJc w:val="left"/>
      <w:pPr>
        <w:tabs>
          <w:tab w:val="left" w:pos="1440"/>
          <w:tab w:val="num" w:pos="5040"/>
        </w:tabs>
        <w:ind w:left="43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027D8A">
      <w:start w:val="1"/>
      <w:numFmt w:val="lowerLetter"/>
      <w:lvlText w:val="%8."/>
      <w:lvlJc w:val="left"/>
      <w:pPr>
        <w:tabs>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969E6E">
      <w:start w:val="1"/>
      <w:numFmt w:val="lowerRoman"/>
      <w:lvlText w:val="%9."/>
      <w:lvlJc w:val="left"/>
      <w:pPr>
        <w:tabs>
          <w:tab w:val="left" w:pos="1440"/>
          <w:tab w:val="num" w:pos="6480"/>
        </w:tabs>
        <w:ind w:left="57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712192A"/>
    <w:multiLevelType w:val="hybridMultilevel"/>
    <w:tmpl w:val="100CEA84"/>
    <w:numStyleLink w:val="ImportedStyle3"/>
  </w:abstractNum>
  <w:abstractNum w:abstractNumId="3" w15:restartNumberingAfterBreak="0">
    <w:nsid w:val="2E1063F8"/>
    <w:multiLevelType w:val="hybridMultilevel"/>
    <w:tmpl w:val="CB9A8936"/>
    <w:styleLink w:val="ImportedStyle2"/>
    <w:lvl w:ilvl="0" w:tplc="79901382">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8427AA">
      <w:start w:val="1"/>
      <w:numFmt w:val="lowerLetter"/>
      <w:lvlText w:val="%2."/>
      <w:lvlJc w:val="left"/>
      <w:pPr>
        <w:tabs>
          <w:tab w:val="num" w:pos="1440"/>
        </w:tabs>
        <w:ind w:left="7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248F40E">
      <w:start w:val="1"/>
      <w:numFmt w:val="lowerRoman"/>
      <w:lvlText w:val="%3."/>
      <w:lvlJc w:val="left"/>
      <w:pPr>
        <w:tabs>
          <w:tab w:val="num" w:pos="2160"/>
        </w:tabs>
        <w:ind w:left="144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723D00">
      <w:start w:val="1"/>
      <w:numFmt w:val="decimal"/>
      <w:lvlText w:val="%4."/>
      <w:lvlJc w:val="left"/>
      <w:pPr>
        <w:tabs>
          <w:tab w:val="num" w:pos="2880"/>
        </w:tabs>
        <w:ind w:left="21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B66CBE">
      <w:start w:val="1"/>
      <w:numFmt w:val="lowerLetter"/>
      <w:lvlText w:val="%5."/>
      <w:lvlJc w:val="left"/>
      <w:pPr>
        <w:tabs>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5E62212">
      <w:start w:val="1"/>
      <w:numFmt w:val="lowerRoman"/>
      <w:lvlText w:val="%6."/>
      <w:lvlJc w:val="left"/>
      <w:pPr>
        <w:tabs>
          <w:tab w:val="num" w:pos="4320"/>
        </w:tabs>
        <w:ind w:left="360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250D8F8">
      <w:start w:val="1"/>
      <w:numFmt w:val="decimal"/>
      <w:lvlText w:val="%7."/>
      <w:lvlJc w:val="left"/>
      <w:pPr>
        <w:tabs>
          <w:tab w:val="num" w:pos="5040"/>
        </w:tabs>
        <w:ind w:left="43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124CED6">
      <w:start w:val="1"/>
      <w:numFmt w:val="lowerLetter"/>
      <w:lvlText w:val="%8."/>
      <w:lvlJc w:val="left"/>
      <w:pPr>
        <w:tabs>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54C6DBC">
      <w:start w:val="1"/>
      <w:numFmt w:val="lowerRoman"/>
      <w:lvlText w:val="%9."/>
      <w:lvlJc w:val="left"/>
      <w:pPr>
        <w:tabs>
          <w:tab w:val="num" w:pos="6480"/>
        </w:tabs>
        <w:ind w:left="57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97"/>
    <w:rsid w:val="000924C3"/>
    <w:rsid w:val="00122020"/>
    <w:rsid w:val="002205A1"/>
    <w:rsid w:val="00246197"/>
    <w:rsid w:val="00357241"/>
    <w:rsid w:val="0037099A"/>
    <w:rsid w:val="0042402D"/>
    <w:rsid w:val="005551F2"/>
    <w:rsid w:val="005B6F37"/>
    <w:rsid w:val="0062559A"/>
    <w:rsid w:val="00684330"/>
    <w:rsid w:val="006C0D54"/>
    <w:rsid w:val="00773A8D"/>
    <w:rsid w:val="0078113D"/>
    <w:rsid w:val="007C7790"/>
    <w:rsid w:val="00834348"/>
    <w:rsid w:val="00923C75"/>
    <w:rsid w:val="009812A9"/>
    <w:rsid w:val="009D4D71"/>
    <w:rsid w:val="009F7D99"/>
    <w:rsid w:val="00A31918"/>
    <w:rsid w:val="00C4587E"/>
    <w:rsid w:val="00C4769C"/>
    <w:rsid w:val="00C54DFD"/>
    <w:rsid w:val="00D87CA8"/>
    <w:rsid w:val="00DC575C"/>
    <w:rsid w:val="00DC67B0"/>
    <w:rsid w:val="00DC734A"/>
    <w:rsid w:val="00EA5C33"/>
    <w:rsid w:val="00F24B01"/>
    <w:rsid w:val="00F81F67"/>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3">
    <w:name w:val="Imported Style 3"/>
    <w:pPr>
      <w:numPr>
        <w:numId w:val="3"/>
      </w:numPr>
    </w:pPr>
  </w:style>
  <w:style w:type="character" w:styleId="FootnoteReference">
    <w:name w:val="footnote reference"/>
    <w:basedOn w:val="DefaultParagraphFont"/>
    <w:uiPriority w:val="99"/>
    <w:semiHidden/>
    <w:unhideWhenUsed/>
    <w:rsid w:val="00C54DFD"/>
    <w:rPr>
      <w:vertAlign w:val="superscript"/>
    </w:rPr>
  </w:style>
  <w:style w:type="paragraph" w:styleId="BalloonText">
    <w:name w:val="Balloon Text"/>
    <w:basedOn w:val="Normal"/>
    <w:link w:val="BalloonTextChar"/>
    <w:uiPriority w:val="99"/>
    <w:semiHidden/>
    <w:unhideWhenUsed/>
    <w:rsid w:val="005B6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37"/>
    <w:rPr>
      <w:rFonts w:ascii="Segoe UI" w:hAnsi="Segoe UI" w:cs="Segoe UI"/>
      <w:sz w:val="18"/>
      <w:szCs w:val="18"/>
    </w:rPr>
  </w:style>
  <w:style w:type="paragraph" w:styleId="Header">
    <w:name w:val="header"/>
    <w:basedOn w:val="Normal"/>
    <w:link w:val="HeaderChar"/>
    <w:uiPriority w:val="99"/>
    <w:unhideWhenUsed/>
    <w:rsid w:val="00834348"/>
    <w:pPr>
      <w:tabs>
        <w:tab w:val="center" w:pos="4680"/>
        <w:tab w:val="right" w:pos="9360"/>
      </w:tabs>
    </w:pPr>
  </w:style>
  <w:style w:type="character" w:customStyle="1" w:styleId="HeaderChar">
    <w:name w:val="Header Char"/>
    <w:basedOn w:val="DefaultParagraphFont"/>
    <w:link w:val="Header"/>
    <w:uiPriority w:val="99"/>
    <w:rsid w:val="00834348"/>
    <w:rPr>
      <w:sz w:val="24"/>
      <w:szCs w:val="24"/>
    </w:rPr>
  </w:style>
  <w:style w:type="paragraph" w:styleId="Footer">
    <w:name w:val="footer"/>
    <w:basedOn w:val="Normal"/>
    <w:link w:val="FooterChar"/>
    <w:uiPriority w:val="99"/>
    <w:unhideWhenUsed/>
    <w:rsid w:val="00834348"/>
    <w:pPr>
      <w:tabs>
        <w:tab w:val="center" w:pos="4680"/>
        <w:tab w:val="right" w:pos="9360"/>
      </w:tabs>
    </w:pPr>
  </w:style>
  <w:style w:type="character" w:customStyle="1" w:styleId="FooterChar">
    <w:name w:val="Footer Char"/>
    <w:basedOn w:val="DefaultParagraphFont"/>
    <w:link w:val="Footer"/>
    <w:uiPriority w:val="99"/>
    <w:rsid w:val="00834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nn.com/2018/02/22/us/church-fights-deportation-gilles-bikindou/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DC17-86C0-4D13-ABA9-D2967031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168/20</dc:title>
  <dc:creator/>
  <cp:lastModifiedBy/>
  <cp:revision>1</cp:revision>
  <dcterms:created xsi:type="dcterms:W3CDTF">2020-07-22T16:45:00Z</dcterms:created>
  <dcterms:modified xsi:type="dcterms:W3CDTF">2020-07-22T16:45:00Z</dcterms:modified>
</cp:coreProperties>
</file>