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66365" w14:textId="101811C5" w:rsidR="00040C3A" w:rsidRPr="006D6B01" w:rsidRDefault="00DB1191" w:rsidP="00627C9F">
      <w:pPr>
        <w:jc w:val="both"/>
        <w:rPr>
          <w:rFonts w:asciiTheme="majorHAnsi" w:hAnsiTheme="majorHAnsi" w:cs="Univers"/>
          <w:b/>
          <w:bCs/>
          <w:sz w:val="22"/>
          <w:szCs w:val="22"/>
          <w:lang w:val="es-ES_tradnl"/>
        </w:rPr>
      </w:pPr>
      <w:r w:rsidRPr="00DB1191">
        <w:rPr>
          <w:rFonts w:asciiTheme="majorHAnsi" w:hAnsiTheme="majorHAnsi"/>
          <w:noProof/>
          <w:sz w:val="22"/>
          <w:szCs w:val="22"/>
          <w:lang w:val="es-ES" w:eastAsia="es-ES"/>
        </w:rPr>
        <mc:AlternateContent>
          <mc:Choice Requires="wps">
            <w:drawing>
              <wp:anchor distT="0" distB="0" distL="114300" distR="114300" simplePos="0" relativeHeight="251684864" behindDoc="0" locked="0" layoutInCell="1" allowOverlap="1" wp14:anchorId="3319A4A7" wp14:editId="560DF17E">
                <wp:simplePos x="0" y="0"/>
                <wp:positionH relativeFrom="column">
                  <wp:posOffset>-263525</wp:posOffset>
                </wp:positionH>
                <wp:positionV relativeFrom="paragraph">
                  <wp:posOffset>-377190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130F0" id="Rectangle 1" o:spid="_x0000_s1026" style="position:absolute;margin-left:-20.75pt;margin-top:-29.7pt;width:111pt;height:70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CdLRGt5wAAABEBAAAPAAAAZHJzL2Rvd25yZXYueG1s&#10;TE/LTsNADLwj8Q8rI3FB7aaQoJBmUwEtUkHiQOmh3LaJSSKy3ii7efTvcU9wscb2eDyTribTiAE7&#10;V1tSsJgHIJByW9RUKth/vsxiEM5rKnRjCRWc0MEqu7xIdVLYkT5w2PlSsAi5RCuovG8TKV1eodFu&#10;blsk3n3bzmjPbVfKotMji5tG3gbBvTS6Jv5Q6RafK8x/dr1REI9vT6/D6T32283Nfr2ZDl/9wSp1&#10;fTWtl1welyA8Tv7vAs4Z2D9kbOxoeyqcaBTMwkXEVAbRQwjizIgDnhwZ3EVhCDJL5f8k2S8AAAD/&#10;/wMAUEsBAi0AFAAGAAgAAAAhALaDOJL+AAAA4QEAABMAAAAAAAAAAAAAAAAAAAAAAFtDb250ZW50&#10;X1R5cGVzXS54bWxQSwECLQAUAAYACAAAACEAOP0h/9YAAACUAQAACwAAAAAAAAAAAAAAAAAvAQAA&#10;X3JlbHMvLnJlbHNQSwECLQAUAAYACAAAACEAm2IJs5gCAACGBQAADgAAAAAAAAAAAAAAAAAuAgAA&#10;ZHJzL2Uyb0RvYy54bWxQSwECLQAUAAYACAAAACEAnS0RrecAAAARAQAADwAAAAAAAAAAAAAAAADy&#10;BAAAZHJzL2Rvd25yZXYueG1sUEsFBgAAAAAEAAQA8wAAAAYGAAAAAA==&#10;" fillcolor="#67ae3c" stroked="f" strokeweight="2pt"/>
            </w:pict>
          </mc:Fallback>
        </mc:AlternateContent>
      </w:r>
      <w:r w:rsidR="003E6CA1" w:rsidRPr="006D6B01">
        <w:rPr>
          <w:rFonts w:asciiTheme="majorHAnsi" w:hAnsiTheme="majorHAnsi"/>
          <w:noProof/>
          <w:sz w:val="22"/>
          <w:szCs w:val="22"/>
          <w:lang w:val="es-ES" w:eastAsia="es-ES"/>
        </w:rPr>
        <mc:AlternateContent>
          <mc:Choice Requires="wps">
            <w:drawing>
              <wp:anchor distT="0" distB="0" distL="114300" distR="114300" simplePos="0" relativeHeight="251673600" behindDoc="0" locked="0" layoutInCell="1" allowOverlap="1" wp14:anchorId="14D5B06A" wp14:editId="04EDF0E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3E205F" w14:textId="77777777" w:rsidR="003B5615" w:rsidRDefault="003B5615" w:rsidP="00AE5488">
                            <w:r>
                              <w:rPr>
                                <w:noProof/>
                                <w:lang w:val="es-ES" w:eastAsia="es-ES"/>
                              </w:rPr>
                              <w:drawing>
                                <wp:inline distT="0" distB="0" distL="0" distR="0" wp14:anchorId="03AF88C4" wp14:editId="001E7058">
                                  <wp:extent cx="2522763" cy="485775"/>
                                  <wp:effectExtent l="0" t="0" r="0" b="0"/>
                                  <wp:docPr id="6" name="Picture 6"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D5B06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173E205F" w14:textId="77777777" w:rsidR="003B5615" w:rsidRDefault="003B5615" w:rsidP="00AE5488">
                      <w:r>
                        <w:rPr>
                          <w:noProof/>
                          <w:lang w:val="es-ES" w:eastAsia="es-ES"/>
                        </w:rPr>
                        <w:drawing>
                          <wp:inline distT="0" distB="0" distL="0" distR="0" wp14:anchorId="03AF88C4" wp14:editId="001E7058">
                            <wp:extent cx="2522763" cy="485775"/>
                            <wp:effectExtent l="0" t="0" r="0" b="0"/>
                            <wp:docPr id="6" name="Picture 6"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ab/>
                        <w:t xml:space="preserve">                              </w:t>
                      </w:r>
                    </w:p>
                  </w:txbxContent>
                </v:textbox>
              </v:shape>
            </w:pict>
          </mc:Fallback>
        </mc:AlternateContent>
      </w:r>
    </w:p>
    <w:p w14:paraId="14DFEBAA" w14:textId="77777777" w:rsidR="00040C3A" w:rsidRPr="006D6B01" w:rsidRDefault="00040C3A" w:rsidP="00040C3A">
      <w:pPr>
        <w:tabs>
          <w:tab w:val="center" w:pos="5400"/>
        </w:tabs>
        <w:suppressAutoHyphens/>
        <w:jc w:val="both"/>
        <w:rPr>
          <w:rFonts w:asciiTheme="majorHAnsi" w:hAnsiTheme="majorHAnsi"/>
          <w:sz w:val="22"/>
          <w:szCs w:val="22"/>
          <w:lang w:val="es-ES"/>
        </w:rPr>
      </w:pPr>
    </w:p>
    <w:p w14:paraId="6D60A7A8" w14:textId="77777777" w:rsidR="00040C3A" w:rsidRPr="006D6B01" w:rsidRDefault="00040C3A" w:rsidP="00040C3A">
      <w:pPr>
        <w:tabs>
          <w:tab w:val="center" w:pos="5400"/>
        </w:tabs>
        <w:suppressAutoHyphens/>
        <w:jc w:val="both"/>
        <w:rPr>
          <w:rFonts w:asciiTheme="majorHAnsi" w:hAnsiTheme="majorHAnsi"/>
          <w:sz w:val="22"/>
          <w:szCs w:val="22"/>
          <w:lang w:val="es-ES"/>
        </w:rPr>
      </w:pPr>
    </w:p>
    <w:p w14:paraId="300CBC23" w14:textId="77777777" w:rsidR="005128E4" w:rsidRPr="006D6B01" w:rsidRDefault="005128E4" w:rsidP="00040C3A">
      <w:pPr>
        <w:tabs>
          <w:tab w:val="center" w:pos="5400"/>
        </w:tabs>
        <w:suppressAutoHyphens/>
        <w:rPr>
          <w:rFonts w:asciiTheme="majorHAnsi" w:hAnsiTheme="majorHAnsi"/>
          <w:sz w:val="22"/>
          <w:szCs w:val="22"/>
          <w:lang w:val="es-ES_tradnl"/>
        </w:rPr>
      </w:pPr>
    </w:p>
    <w:p w14:paraId="739A57F7" w14:textId="77777777" w:rsidR="005128E4" w:rsidRPr="006D6B01" w:rsidRDefault="005128E4" w:rsidP="00040C3A">
      <w:pPr>
        <w:tabs>
          <w:tab w:val="center" w:pos="5400"/>
        </w:tabs>
        <w:suppressAutoHyphens/>
        <w:rPr>
          <w:rFonts w:asciiTheme="majorHAnsi" w:hAnsiTheme="majorHAnsi"/>
          <w:sz w:val="22"/>
          <w:szCs w:val="22"/>
          <w:lang w:val="es-ES_tradnl"/>
        </w:rPr>
      </w:pPr>
    </w:p>
    <w:p w14:paraId="032D82FD" w14:textId="77777777" w:rsidR="005128E4" w:rsidRPr="006D6B01" w:rsidRDefault="005128E4" w:rsidP="00040C3A">
      <w:pPr>
        <w:tabs>
          <w:tab w:val="center" w:pos="5400"/>
        </w:tabs>
        <w:suppressAutoHyphens/>
        <w:rPr>
          <w:rFonts w:asciiTheme="majorHAnsi" w:hAnsiTheme="majorHAnsi"/>
          <w:sz w:val="22"/>
          <w:szCs w:val="22"/>
          <w:lang w:val="es-ES_tradnl"/>
        </w:rPr>
      </w:pPr>
    </w:p>
    <w:p w14:paraId="0406D8E3" w14:textId="77777777" w:rsidR="00040C3A" w:rsidRPr="006D6B01" w:rsidRDefault="00040C3A" w:rsidP="005128E4">
      <w:pPr>
        <w:tabs>
          <w:tab w:val="center" w:pos="5400"/>
        </w:tabs>
        <w:suppressAutoHyphens/>
        <w:jc w:val="center"/>
        <w:rPr>
          <w:rFonts w:asciiTheme="majorHAnsi" w:hAnsiTheme="majorHAnsi"/>
          <w:sz w:val="22"/>
          <w:szCs w:val="22"/>
          <w:lang w:val="es-ES_tradnl"/>
        </w:rPr>
      </w:pPr>
    </w:p>
    <w:p w14:paraId="15BB400E" w14:textId="77777777" w:rsidR="00040C3A" w:rsidRPr="006D6B01" w:rsidRDefault="00040C3A" w:rsidP="005128E4">
      <w:pPr>
        <w:tabs>
          <w:tab w:val="center" w:pos="5400"/>
        </w:tabs>
        <w:suppressAutoHyphens/>
        <w:jc w:val="center"/>
        <w:rPr>
          <w:rFonts w:asciiTheme="majorHAnsi" w:hAnsiTheme="majorHAnsi"/>
          <w:sz w:val="22"/>
          <w:szCs w:val="22"/>
          <w:lang w:val="es-ES_tradnl"/>
        </w:rPr>
      </w:pPr>
    </w:p>
    <w:p w14:paraId="4B951D69" w14:textId="77777777" w:rsidR="005B52B0" w:rsidRPr="006D6B01" w:rsidRDefault="005B52B0" w:rsidP="005128E4">
      <w:pPr>
        <w:tabs>
          <w:tab w:val="center" w:pos="5400"/>
        </w:tabs>
        <w:suppressAutoHyphens/>
        <w:jc w:val="center"/>
        <w:rPr>
          <w:rFonts w:asciiTheme="majorHAnsi" w:hAnsiTheme="majorHAnsi"/>
          <w:sz w:val="22"/>
          <w:szCs w:val="22"/>
          <w:lang w:val="es-ES_tradnl"/>
        </w:rPr>
      </w:pPr>
    </w:p>
    <w:p w14:paraId="329628EA" w14:textId="77777777" w:rsidR="005B52B0" w:rsidRPr="006D6B01" w:rsidRDefault="005B52B0" w:rsidP="005128E4">
      <w:pPr>
        <w:tabs>
          <w:tab w:val="center" w:pos="5400"/>
        </w:tabs>
        <w:suppressAutoHyphens/>
        <w:jc w:val="center"/>
        <w:rPr>
          <w:rFonts w:asciiTheme="majorHAnsi" w:hAnsiTheme="majorHAnsi"/>
          <w:sz w:val="22"/>
          <w:szCs w:val="22"/>
          <w:lang w:val="es-ES_tradnl"/>
        </w:rPr>
      </w:pPr>
    </w:p>
    <w:p w14:paraId="45AC5A0C" w14:textId="77777777" w:rsidR="005B52B0" w:rsidRPr="006D6B01" w:rsidRDefault="005B52B0" w:rsidP="005128E4">
      <w:pPr>
        <w:tabs>
          <w:tab w:val="center" w:pos="5400"/>
        </w:tabs>
        <w:suppressAutoHyphens/>
        <w:jc w:val="center"/>
        <w:rPr>
          <w:rFonts w:asciiTheme="majorHAnsi" w:hAnsiTheme="majorHAnsi"/>
          <w:sz w:val="22"/>
          <w:szCs w:val="22"/>
          <w:lang w:val="es-ES_tradnl"/>
        </w:rPr>
      </w:pPr>
    </w:p>
    <w:p w14:paraId="00074B51" w14:textId="286F08DB" w:rsidR="00040C3A" w:rsidRPr="006D6B01" w:rsidRDefault="00040C3A" w:rsidP="00040C3A">
      <w:pPr>
        <w:tabs>
          <w:tab w:val="center" w:pos="5400"/>
        </w:tabs>
        <w:suppressAutoHyphens/>
        <w:jc w:val="center"/>
        <w:rPr>
          <w:rFonts w:asciiTheme="majorHAnsi" w:hAnsiTheme="majorHAnsi"/>
          <w:sz w:val="22"/>
          <w:szCs w:val="22"/>
          <w:lang w:val="es-ES_tradnl"/>
        </w:rPr>
      </w:pPr>
    </w:p>
    <w:p w14:paraId="32E10472" w14:textId="60776D76" w:rsidR="00040C3A" w:rsidRPr="006D6B01" w:rsidRDefault="00040C3A" w:rsidP="00040C3A">
      <w:pPr>
        <w:tabs>
          <w:tab w:val="center" w:pos="5400"/>
        </w:tabs>
        <w:suppressAutoHyphens/>
        <w:jc w:val="center"/>
        <w:rPr>
          <w:rFonts w:asciiTheme="majorHAnsi" w:hAnsiTheme="majorHAnsi"/>
          <w:sz w:val="22"/>
          <w:szCs w:val="22"/>
          <w:lang w:val="es-ES_tradnl"/>
        </w:rPr>
      </w:pPr>
    </w:p>
    <w:p w14:paraId="7D744EB8" w14:textId="756ABDB4" w:rsidR="00040C3A" w:rsidRPr="006D6B01" w:rsidRDefault="003D3BC2" w:rsidP="00040C3A">
      <w:pPr>
        <w:tabs>
          <w:tab w:val="center" w:pos="5400"/>
        </w:tabs>
        <w:suppressAutoHyphens/>
        <w:jc w:val="center"/>
        <w:rPr>
          <w:rFonts w:asciiTheme="majorHAnsi" w:hAnsiTheme="majorHAnsi"/>
          <w:sz w:val="22"/>
          <w:szCs w:val="22"/>
          <w:lang w:val="es-ES_tradnl"/>
        </w:rPr>
      </w:pPr>
      <w:r w:rsidRPr="006D6B01">
        <w:rPr>
          <w:rFonts w:asciiTheme="majorHAnsi" w:hAnsiTheme="majorHAnsi"/>
          <w:noProof/>
          <w:sz w:val="22"/>
          <w:szCs w:val="22"/>
          <w:lang w:val="es-ES" w:eastAsia="es-ES"/>
        </w:rPr>
        <mc:AlternateContent>
          <mc:Choice Requires="wps">
            <w:drawing>
              <wp:anchor distT="0" distB="0" distL="114300" distR="114300" simplePos="0" relativeHeight="251669504" behindDoc="0" locked="0" layoutInCell="1" allowOverlap="1" wp14:anchorId="226C9A95" wp14:editId="0DC69BE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018A5E" w14:textId="7057984E" w:rsidR="003B5615" w:rsidRPr="00BD7433" w:rsidRDefault="003B5615" w:rsidP="00997BC5">
                            <w:pPr>
                              <w:spacing w:line="276" w:lineRule="auto"/>
                              <w:rPr>
                                <w:rFonts w:asciiTheme="majorHAnsi" w:hAnsiTheme="majorHAnsi" w:cs="Arial"/>
                                <w:b/>
                                <w:bCs/>
                                <w:color w:val="0D0D0D" w:themeColor="text1" w:themeTint="F2"/>
                                <w:sz w:val="36"/>
                                <w:szCs w:val="22"/>
                              </w:rPr>
                            </w:pPr>
                            <w:r w:rsidRPr="00BD7433">
                              <w:rPr>
                                <w:rFonts w:asciiTheme="majorHAnsi" w:hAnsiTheme="majorHAnsi" w:cs="Arial"/>
                                <w:b/>
                                <w:bCs/>
                                <w:color w:val="0D0D0D" w:themeColor="text1" w:themeTint="F2"/>
                                <w:sz w:val="36"/>
                                <w:szCs w:val="22"/>
                              </w:rPr>
                              <w:t xml:space="preserve">REPORT </w:t>
                            </w:r>
                            <w:r w:rsidRPr="00BD7433">
                              <w:rPr>
                                <w:rFonts w:asciiTheme="majorHAnsi" w:hAnsiTheme="majorHAnsi" w:cs="Arial"/>
                                <w:b/>
                                <w:bCs/>
                                <w:color w:val="0D0D0D" w:themeColor="text1" w:themeTint="F2"/>
                                <w:sz w:val="36"/>
                                <w:szCs w:val="40"/>
                              </w:rPr>
                              <w:t>No.</w:t>
                            </w:r>
                            <w:r>
                              <w:rPr>
                                <w:rFonts w:asciiTheme="majorHAnsi" w:hAnsiTheme="majorHAnsi" w:cs="Arial"/>
                                <w:b/>
                                <w:bCs/>
                                <w:color w:val="0D0D0D" w:themeColor="text1" w:themeTint="F2"/>
                                <w:sz w:val="36"/>
                                <w:szCs w:val="22"/>
                              </w:rPr>
                              <w:t xml:space="preserve"> </w:t>
                            </w:r>
                            <w:r w:rsidR="00136ECB">
                              <w:rPr>
                                <w:rFonts w:asciiTheme="majorHAnsi" w:hAnsiTheme="majorHAnsi" w:cs="Arial"/>
                                <w:b/>
                                <w:bCs/>
                                <w:color w:val="0D0D0D" w:themeColor="text1" w:themeTint="F2"/>
                                <w:sz w:val="36"/>
                                <w:szCs w:val="22"/>
                              </w:rPr>
                              <w:t>459</w:t>
                            </w:r>
                            <w:r w:rsidRPr="00BD7433">
                              <w:rPr>
                                <w:rFonts w:asciiTheme="majorHAnsi" w:hAnsiTheme="majorHAnsi" w:cs="Arial"/>
                                <w:b/>
                                <w:bCs/>
                                <w:color w:val="0D0D0D" w:themeColor="text1" w:themeTint="F2"/>
                                <w:sz w:val="36"/>
                                <w:szCs w:val="22"/>
                              </w:rPr>
                              <w:t>/</w:t>
                            </w:r>
                            <w:r>
                              <w:rPr>
                                <w:rFonts w:asciiTheme="majorHAnsi" w:hAnsiTheme="majorHAnsi" w:cs="Arial"/>
                                <w:b/>
                                <w:bCs/>
                                <w:color w:val="0D0D0D" w:themeColor="text1" w:themeTint="F2"/>
                                <w:sz w:val="36"/>
                                <w:szCs w:val="22"/>
                              </w:rPr>
                              <w:t>21</w:t>
                            </w:r>
                          </w:p>
                          <w:p w14:paraId="7A2634E7" w14:textId="77777777" w:rsidR="003B5615" w:rsidRPr="001E28D1" w:rsidRDefault="003B5615" w:rsidP="00997BC5">
                            <w:pPr>
                              <w:spacing w:line="276" w:lineRule="auto"/>
                              <w:rPr>
                                <w:rFonts w:asciiTheme="majorHAnsi" w:hAnsiTheme="majorHAnsi" w:cs="Arial"/>
                                <w:b/>
                                <w:color w:val="0D0D0D" w:themeColor="text1" w:themeTint="F2"/>
                                <w:sz w:val="36"/>
                                <w:szCs w:val="22"/>
                              </w:rPr>
                            </w:pPr>
                            <w:r w:rsidRPr="001E28D1">
                              <w:rPr>
                                <w:rFonts w:asciiTheme="majorHAnsi" w:hAnsiTheme="majorHAnsi" w:cs="Arial"/>
                                <w:b/>
                                <w:color w:val="0D0D0D" w:themeColor="text1" w:themeTint="F2"/>
                                <w:sz w:val="36"/>
                                <w:szCs w:val="22"/>
                              </w:rPr>
                              <w:t xml:space="preserve">CASE </w:t>
                            </w:r>
                            <w:r>
                              <w:rPr>
                                <w:rFonts w:asciiTheme="majorHAnsi" w:hAnsiTheme="majorHAnsi" w:cs="Arial"/>
                                <w:b/>
                                <w:color w:val="0D0D0D" w:themeColor="text1" w:themeTint="F2"/>
                                <w:sz w:val="36"/>
                                <w:szCs w:val="22"/>
                              </w:rPr>
                              <w:t>12</w:t>
                            </w:r>
                            <w:r w:rsidRPr="001E28D1">
                              <w:rPr>
                                <w:rFonts w:asciiTheme="majorHAnsi" w:hAnsiTheme="majorHAnsi" w:cs="Arial"/>
                                <w:b/>
                                <w:color w:val="0D0D0D" w:themeColor="text1" w:themeTint="F2"/>
                                <w:sz w:val="36"/>
                                <w:szCs w:val="22"/>
                              </w:rPr>
                              <w:t>.</w:t>
                            </w:r>
                            <w:r>
                              <w:rPr>
                                <w:rFonts w:asciiTheme="majorHAnsi" w:hAnsiTheme="majorHAnsi" w:cs="Arial"/>
                                <w:b/>
                                <w:color w:val="0D0D0D" w:themeColor="text1" w:themeTint="F2"/>
                                <w:sz w:val="36"/>
                                <w:szCs w:val="22"/>
                              </w:rPr>
                              <w:t>071</w:t>
                            </w:r>
                          </w:p>
                          <w:p w14:paraId="26C86C65" w14:textId="3769D4AF" w:rsidR="003B5615" w:rsidRPr="001E28D1" w:rsidRDefault="003B5615" w:rsidP="000158FD">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MERITS (</w:t>
                            </w:r>
                            <w:r w:rsidRPr="00136ECB">
                              <w:rPr>
                                <w:rFonts w:asciiTheme="majorHAnsi" w:hAnsiTheme="majorHAnsi" w:cs="Arial"/>
                                <w:color w:val="0D0D0D" w:themeColor="text1" w:themeTint="F2"/>
                                <w:szCs w:val="22"/>
                              </w:rPr>
                              <w:t>PUBLICATION</w:t>
                            </w:r>
                            <w:r>
                              <w:rPr>
                                <w:rFonts w:asciiTheme="majorHAnsi" w:hAnsiTheme="majorHAnsi" w:cs="Arial"/>
                                <w:color w:val="0D0D0D" w:themeColor="text1" w:themeTint="F2"/>
                                <w:szCs w:val="22"/>
                              </w:rPr>
                              <w:t>)</w:t>
                            </w:r>
                          </w:p>
                          <w:p w14:paraId="71F31683" w14:textId="77777777" w:rsidR="003B5615" w:rsidRPr="008B26B4" w:rsidRDefault="003B5615" w:rsidP="00997BC5">
                            <w:pPr>
                              <w:spacing w:line="276" w:lineRule="auto"/>
                              <w:rPr>
                                <w:rFonts w:asciiTheme="majorHAnsi" w:hAnsiTheme="majorHAnsi" w:cs="Arial"/>
                                <w:color w:val="0D0D0D" w:themeColor="text1" w:themeTint="F2"/>
                                <w:szCs w:val="22"/>
                              </w:rPr>
                            </w:pPr>
                            <w:bookmarkStart w:id="0" w:name="_ftnref1"/>
                          </w:p>
                          <w:bookmarkEnd w:id="0"/>
                          <w:p w14:paraId="15B385CC" w14:textId="77777777" w:rsidR="003B5615" w:rsidRDefault="003B5615" w:rsidP="001E28D1">
                            <w:pPr>
                              <w:rPr>
                                <w:rFonts w:asciiTheme="majorHAnsi" w:hAnsiTheme="majorHAnsi" w:cs="Arial"/>
                                <w:color w:val="0D0D0D" w:themeColor="text1" w:themeTint="F2"/>
                                <w:szCs w:val="22"/>
                              </w:rPr>
                            </w:pPr>
                            <w:r w:rsidRPr="0029602A">
                              <w:rPr>
                                <w:rFonts w:asciiTheme="majorHAnsi" w:hAnsiTheme="majorHAnsi" w:cs="Arial"/>
                                <w:color w:val="0D0D0D" w:themeColor="text1" w:themeTint="F2"/>
                                <w:szCs w:val="22"/>
                              </w:rPr>
                              <w:t xml:space="preserve">CUBAN AND HAITIAN NATIONALS DETAINED AT AND DEPORTED FROM THE CARMICHAEL ROAD DETENTION CENTER </w:t>
                            </w:r>
                          </w:p>
                          <w:p w14:paraId="23208D4C" w14:textId="49997B00" w:rsidR="003B5615" w:rsidRPr="008B26B4" w:rsidRDefault="004164D7" w:rsidP="001E28D1">
                            <w:pPr>
                              <w:rPr>
                                <w:color w:val="0D0D0D" w:themeColor="text1" w:themeTint="F2"/>
                              </w:rPr>
                            </w:pPr>
                            <w:r>
                              <w:rPr>
                                <w:rFonts w:asciiTheme="majorHAnsi" w:hAnsiTheme="majorHAnsi" w:cs="Arial"/>
                                <w:color w:val="0D0D0D" w:themeColor="text1" w:themeTint="F2"/>
                                <w:szCs w:val="22"/>
                              </w:rPr>
                              <w:t xml:space="preserve">THE COMMONWEALTH OF </w:t>
                            </w:r>
                            <w:r w:rsidR="003B5615">
                              <w:rPr>
                                <w:rFonts w:asciiTheme="majorHAnsi" w:hAnsiTheme="majorHAnsi" w:cs="Arial"/>
                                <w:color w:val="0D0D0D" w:themeColor="text1" w:themeTint="F2"/>
                                <w:szCs w:val="22"/>
                              </w:rPr>
                              <w:t>THE BAHAMAS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C9A9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4018A5E" w14:textId="7057984E" w:rsidR="003B5615" w:rsidRPr="00BD7433" w:rsidRDefault="003B5615" w:rsidP="00997BC5">
                      <w:pPr>
                        <w:spacing w:line="276" w:lineRule="auto"/>
                        <w:rPr>
                          <w:rFonts w:asciiTheme="majorHAnsi" w:hAnsiTheme="majorHAnsi" w:cs="Arial"/>
                          <w:b/>
                          <w:bCs/>
                          <w:color w:val="0D0D0D" w:themeColor="text1" w:themeTint="F2"/>
                          <w:sz w:val="36"/>
                          <w:szCs w:val="22"/>
                        </w:rPr>
                      </w:pPr>
                      <w:r w:rsidRPr="00BD7433">
                        <w:rPr>
                          <w:rFonts w:asciiTheme="majorHAnsi" w:hAnsiTheme="majorHAnsi" w:cs="Arial"/>
                          <w:b/>
                          <w:bCs/>
                          <w:color w:val="0D0D0D" w:themeColor="text1" w:themeTint="F2"/>
                          <w:sz w:val="36"/>
                          <w:szCs w:val="22"/>
                        </w:rPr>
                        <w:t xml:space="preserve">REPORT </w:t>
                      </w:r>
                      <w:r w:rsidRPr="00BD7433">
                        <w:rPr>
                          <w:rFonts w:asciiTheme="majorHAnsi" w:hAnsiTheme="majorHAnsi" w:cs="Arial"/>
                          <w:b/>
                          <w:bCs/>
                          <w:color w:val="0D0D0D" w:themeColor="text1" w:themeTint="F2"/>
                          <w:sz w:val="36"/>
                          <w:szCs w:val="40"/>
                        </w:rPr>
                        <w:t>No.</w:t>
                      </w:r>
                      <w:r>
                        <w:rPr>
                          <w:rFonts w:asciiTheme="majorHAnsi" w:hAnsiTheme="majorHAnsi" w:cs="Arial"/>
                          <w:b/>
                          <w:bCs/>
                          <w:color w:val="0D0D0D" w:themeColor="text1" w:themeTint="F2"/>
                          <w:sz w:val="36"/>
                          <w:szCs w:val="22"/>
                        </w:rPr>
                        <w:t xml:space="preserve"> </w:t>
                      </w:r>
                      <w:r w:rsidR="00136ECB">
                        <w:rPr>
                          <w:rFonts w:asciiTheme="majorHAnsi" w:hAnsiTheme="majorHAnsi" w:cs="Arial"/>
                          <w:b/>
                          <w:bCs/>
                          <w:color w:val="0D0D0D" w:themeColor="text1" w:themeTint="F2"/>
                          <w:sz w:val="36"/>
                          <w:szCs w:val="22"/>
                        </w:rPr>
                        <w:t>459</w:t>
                      </w:r>
                      <w:r w:rsidRPr="00BD7433">
                        <w:rPr>
                          <w:rFonts w:asciiTheme="majorHAnsi" w:hAnsiTheme="majorHAnsi" w:cs="Arial"/>
                          <w:b/>
                          <w:bCs/>
                          <w:color w:val="0D0D0D" w:themeColor="text1" w:themeTint="F2"/>
                          <w:sz w:val="36"/>
                          <w:szCs w:val="22"/>
                        </w:rPr>
                        <w:t>/</w:t>
                      </w:r>
                      <w:r>
                        <w:rPr>
                          <w:rFonts w:asciiTheme="majorHAnsi" w:hAnsiTheme="majorHAnsi" w:cs="Arial"/>
                          <w:b/>
                          <w:bCs/>
                          <w:color w:val="0D0D0D" w:themeColor="text1" w:themeTint="F2"/>
                          <w:sz w:val="36"/>
                          <w:szCs w:val="22"/>
                        </w:rPr>
                        <w:t>21</w:t>
                      </w:r>
                    </w:p>
                    <w:p w14:paraId="7A2634E7" w14:textId="77777777" w:rsidR="003B5615" w:rsidRPr="001E28D1" w:rsidRDefault="003B5615" w:rsidP="00997BC5">
                      <w:pPr>
                        <w:spacing w:line="276" w:lineRule="auto"/>
                        <w:rPr>
                          <w:rFonts w:asciiTheme="majorHAnsi" w:hAnsiTheme="majorHAnsi" w:cs="Arial"/>
                          <w:b/>
                          <w:color w:val="0D0D0D" w:themeColor="text1" w:themeTint="F2"/>
                          <w:sz w:val="36"/>
                          <w:szCs w:val="22"/>
                        </w:rPr>
                      </w:pPr>
                      <w:r w:rsidRPr="001E28D1">
                        <w:rPr>
                          <w:rFonts w:asciiTheme="majorHAnsi" w:hAnsiTheme="majorHAnsi" w:cs="Arial"/>
                          <w:b/>
                          <w:color w:val="0D0D0D" w:themeColor="text1" w:themeTint="F2"/>
                          <w:sz w:val="36"/>
                          <w:szCs w:val="22"/>
                        </w:rPr>
                        <w:t xml:space="preserve">CASE </w:t>
                      </w:r>
                      <w:r>
                        <w:rPr>
                          <w:rFonts w:asciiTheme="majorHAnsi" w:hAnsiTheme="majorHAnsi" w:cs="Arial"/>
                          <w:b/>
                          <w:color w:val="0D0D0D" w:themeColor="text1" w:themeTint="F2"/>
                          <w:sz w:val="36"/>
                          <w:szCs w:val="22"/>
                        </w:rPr>
                        <w:t>12</w:t>
                      </w:r>
                      <w:r w:rsidRPr="001E28D1">
                        <w:rPr>
                          <w:rFonts w:asciiTheme="majorHAnsi" w:hAnsiTheme="majorHAnsi" w:cs="Arial"/>
                          <w:b/>
                          <w:color w:val="0D0D0D" w:themeColor="text1" w:themeTint="F2"/>
                          <w:sz w:val="36"/>
                          <w:szCs w:val="22"/>
                        </w:rPr>
                        <w:t>.</w:t>
                      </w:r>
                      <w:r>
                        <w:rPr>
                          <w:rFonts w:asciiTheme="majorHAnsi" w:hAnsiTheme="majorHAnsi" w:cs="Arial"/>
                          <w:b/>
                          <w:color w:val="0D0D0D" w:themeColor="text1" w:themeTint="F2"/>
                          <w:sz w:val="36"/>
                          <w:szCs w:val="22"/>
                        </w:rPr>
                        <w:t>071</w:t>
                      </w:r>
                    </w:p>
                    <w:p w14:paraId="26C86C65" w14:textId="3769D4AF" w:rsidR="003B5615" w:rsidRPr="001E28D1" w:rsidRDefault="003B5615" w:rsidP="000158FD">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MERITS (</w:t>
                      </w:r>
                      <w:r w:rsidRPr="00136ECB">
                        <w:rPr>
                          <w:rFonts w:asciiTheme="majorHAnsi" w:hAnsiTheme="majorHAnsi" w:cs="Arial"/>
                          <w:color w:val="0D0D0D" w:themeColor="text1" w:themeTint="F2"/>
                          <w:szCs w:val="22"/>
                        </w:rPr>
                        <w:t>PUBLICATION</w:t>
                      </w:r>
                      <w:r>
                        <w:rPr>
                          <w:rFonts w:asciiTheme="majorHAnsi" w:hAnsiTheme="majorHAnsi" w:cs="Arial"/>
                          <w:color w:val="0D0D0D" w:themeColor="text1" w:themeTint="F2"/>
                          <w:szCs w:val="22"/>
                        </w:rPr>
                        <w:t>)</w:t>
                      </w:r>
                    </w:p>
                    <w:p w14:paraId="71F31683" w14:textId="77777777" w:rsidR="003B5615" w:rsidRPr="008B26B4" w:rsidRDefault="003B5615" w:rsidP="00997BC5">
                      <w:pPr>
                        <w:spacing w:line="276" w:lineRule="auto"/>
                        <w:rPr>
                          <w:rFonts w:asciiTheme="majorHAnsi" w:hAnsiTheme="majorHAnsi" w:cs="Arial"/>
                          <w:color w:val="0D0D0D" w:themeColor="text1" w:themeTint="F2"/>
                          <w:szCs w:val="22"/>
                        </w:rPr>
                      </w:pPr>
                      <w:bookmarkStart w:id="1" w:name="_ftnref1"/>
                    </w:p>
                    <w:bookmarkEnd w:id="1"/>
                    <w:p w14:paraId="15B385CC" w14:textId="77777777" w:rsidR="003B5615" w:rsidRDefault="003B5615" w:rsidP="001E28D1">
                      <w:pPr>
                        <w:rPr>
                          <w:rFonts w:asciiTheme="majorHAnsi" w:hAnsiTheme="majorHAnsi" w:cs="Arial"/>
                          <w:color w:val="0D0D0D" w:themeColor="text1" w:themeTint="F2"/>
                          <w:szCs w:val="22"/>
                        </w:rPr>
                      </w:pPr>
                      <w:r w:rsidRPr="0029602A">
                        <w:rPr>
                          <w:rFonts w:asciiTheme="majorHAnsi" w:hAnsiTheme="majorHAnsi" w:cs="Arial"/>
                          <w:color w:val="0D0D0D" w:themeColor="text1" w:themeTint="F2"/>
                          <w:szCs w:val="22"/>
                        </w:rPr>
                        <w:t xml:space="preserve">CUBAN AND HAITIAN NATIONALS DETAINED AT AND DEPORTED FROM THE CARMICHAEL ROAD DETENTION CENTER </w:t>
                      </w:r>
                    </w:p>
                    <w:p w14:paraId="23208D4C" w14:textId="49997B00" w:rsidR="003B5615" w:rsidRPr="008B26B4" w:rsidRDefault="004164D7" w:rsidP="001E28D1">
                      <w:pPr>
                        <w:rPr>
                          <w:color w:val="0D0D0D" w:themeColor="text1" w:themeTint="F2"/>
                        </w:rPr>
                      </w:pPr>
                      <w:r>
                        <w:rPr>
                          <w:rFonts w:asciiTheme="majorHAnsi" w:hAnsiTheme="majorHAnsi" w:cs="Arial"/>
                          <w:color w:val="0D0D0D" w:themeColor="text1" w:themeTint="F2"/>
                          <w:szCs w:val="22"/>
                        </w:rPr>
                        <w:t xml:space="preserve">THE COMMONWEALTH OF </w:t>
                      </w:r>
                      <w:r w:rsidR="003B5615">
                        <w:rPr>
                          <w:rFonts w:asciiTheme="majorHAnsi" w:hAnsiTheme="majorHAnsi" w:cs="Arial"/>
                          <w:color w:val="0D0D0D" w:themeColor="text1" w:themeTint="F2"/>
                          <w:szCs w:val="22"/>
                        </w:rPr>
                        <w:t>THE BAHAMAS</w:t>
                      </w:r>
                    </w:p>
                  </w:txbxContent>
                </v:textbox>
              </v:shape>
            </w:pict>
          </mc:Fallback>
        </mc:AlternateContent>
      </w:r>
      <w:r w:rsidR="00DB1191" w:rsidRPr="00DB1191">
        <w:rPr>
          <w:rFonts w:asciiTheme="majorHAnsi" w:hAnsiTheme="majorHAnsi"/>
          <w:noProof/>
          <w:sz w:val="22"/>
          <w:szCs w:val="22"/>
          <w:lang w:val="es-ES" w:eastAsia="es-ES"/>
        </w:rPr>
        <mc:AlternateContent>
          <mc:Choice Requires="wps">
            <w:drawing>
              <wp:anchor distT="0" distB="0" distL="114300" distR="114300" simplePos="0" relativeHeight="251685888" behindDoc="0" locked="0" layoutInCell="1" allowOverlap="1" wp14:anchorId="7EDD01F7" wp14:editId="677B0409">
                <wp:simplePos x="0" y="0"/>
                <wp:positionH relativeFrom="column">
                  <wp:posOffset>-219075</wp:posOffset>
                </wp:positionH>
                <wp:positionV relativeFrom="paragraph">
                  <wp:posOffset>443230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486F98" w14:textId="516396FA" w:rsidR="003B5615" w:rsidRPr="001A69A6" w:rsidRDefault="003B5615" w:rsidP="00DB1191">
                            <w:pPr>
                              <w:jc w:val="right"/>
                              <w:rPr>
                                <w:rFonts w:asciiTheme="minorHAnsi" w:hAnsiTheme="minorHAnsi"/>
                                <w:color w:val="FFFFFF" w:themeColor="background1"/>
                                <w:sz w:val="22"/>
                                <w:lang w:val="pt-BR"/>
                              </w:rPr>
                            </w:pPr>
                            <w:r w:rsidRPr="001A69A6">
                              <w:rPr>
                                <w:rFonts w:asciiTheme="minorHAnsi" w:hAnsiTheme="minorHAnsi"/>
                                <w:color w:val="FFFFFF" w:themeColor="background1"/>
                                <w:sz w:val="22"/>
                                <w:lang w:val="pt-BR"/>
                              </w:rPr>
                              <w:t>OEA/Ser.L/V/II</w:t>
                            </w:r>
                          </w:p>
                          <w:p w14:paraId="07EDFDF4" w14:textId="40152268" w:rsidR="003B5615" w:rsidRPr="004311FE" w:rsidRDefault="003B5615" w:rsidP="00DB1191">
                            <w:pPr>
                              <w:jc w:val="right"/>
                              <w:rPr>
                                <w:rFonts w:asciiTheme="minorHAnsi" w:hAnsiTheme="minorHAnsi"/>
                                <w:color w:val="FFFFFF" w:themeColor="background1"/>
                                <w:sz w:val="22"/>
                                <w:lang w:val="es-US"/>
                              </w:rPr>
                            </w:pPr>
                            <w:r w:rsidRPr="004311FE">
                              <w:rPr>
                                <w:rFonts w:asciiTheme="minorHAnsi" w:hAnsiTheme="minorHAnsi"/>
                                <w:color w:val="FFFFFF" w:themeColor="background1"/>
                                <w:sz w:val="22"/>
                                <w:lang w:val="es-US"/>
                              </w:rPr>
                              <w:t xml:space="preserve">Doc. </w:t>
                            </w:r>
                            <w:r w:rsidR="00136ECB" w:rsidRPr="004311FE">
                              <w:rPr>
                                <w:rFonts w:asciiTheme="minorHAnsi" w:hAnsiTheme="minorHAnsi"/>
                                <w:color w:val="FFFFFF" w:themeColor="background1"/>
                                <w:sz w:val="22"/>
                                <w:lang w:val="es-US"/>
                              </w:rPr>
                              <w:t>473</w:t>
                            </w:r>
                          </w:p>
                          <w:p w14:paraId="5034240D" w14:textId="13C0412D" w:rsidR="003B5615" w:rsidRPr="000B71FC" w:rsidRDefault="00136ECB" w:rsidP="00136ECB">
                            <w:pPr>
                              <w:jc w:val="right"/>
                              <w:rPr>
                                <w:rFonts w:asciiTheme="minorHAnsi" w:hAnsiTheme="minorHAnsi"/>
                                <w:color w:val="FFFFFF" w:themeColor="background1"/>
                                <w:sz w:val="22"/>
                              </w:rPr>
                            </w:pPr>
                            <w:r>
                              <w:rPr>
                                <w:rFonts w:asciiTheme="minorHAnsi" w:hAnsiTheme="minorHAnsi"/>
                                <w:color w:val="FFFFFF" w:themeColor="background1"/>
                                <w:sz w:val="22"/>
                              </w:rPr>
                              <w:t>31</w:t>
                            </w:r>
                            <w:r w:rsidR="003B5615" w:rsidRPr="000B71FC">
                              <w:rPr>
                                <w:rFonts w:asciiTheme="minorHAnsi" w:hAnsiTheme="minorHAnsi"/>
                                <w:color w:val="FFFFFF" w:themeColor="background1"/>
                                <w:sz w:val="22"/>
                              </w:rPr>
                              <w:t xml:space="preserve"> </w:t>
                            </w:r>
                            <w:r w:rsidR="003B5615">
                              <w:rPr>
                                <w:rFonts w:asciiTheme="minorHAnsi" w:hAnsiTheme="minorHAnsi"/>
                                <w:color w:val="FFFFFF" w:themeColor="background1"/>
                                <w:sz w:val="22"/>
                              </w:rPr>
                              <w:t>December</w:t>
                            </w:r>
                            <w:r w:rsidR="003B5615" w:rsidRPr="000B71FC">
                              <w:rPr>
                                <w:rFonts w:asciiTheme="minorHAnsi" w:hAnsiTheme="minorHAnsi"/>
                                <w:color w:val="FFFFFF" w:themeColor="background1"/>
                                <w:sz w:val="22"/>
                              </w:rPr>
                              <w:t xml:space="preserve"> 20</w:t>
                            </w:r>
                            <w:r w:rsidR="003B5615">
                              <w:rPr>
                                <w:rFonts w:asciiTheme="minorHAnsi" w:hAnsiTheme="minorHAnsi"/>
                                <w:color w:val="FFFFFF" w:themeColor="background1"/>
                                <w:sz w:val="22"/>
                              </w:rPr>
                              <w:t>21</w:t>
                            </w:r>
                          </w:p>
                          <w:p w14:paraId="7B57D937" w14:textId="15545AB9" w:rsidR="003B5615" w:rsidRPr="000B71FC" w:rsidRDefault="003B5615" w:rsidP="00DB1191">
                            <w:pPr>
                              <w:jc w:val="right"/>
                              <w:rPr>
                                <w:rFonts w:asciiTheme="minorHAnsi" w:hAnsiTheme="minorHAnsi"/>
                                <w:color w:val="FFFFFF" w:themeColor="background1"/>
                                <w:sz w:val="22"/>
                              </w:rPr>
                            </w:pPr>
                            <w:r w:rsidRPr="000B71FC">
                              <w:rPr>
                                <w:rFonts w:asciiTheme="minorHAnsi" w:hAnsiTheme="minorHAnsi"/>
                                <w:color w:val="FFFFFF" w:themeColor="background1"/>
                                <w:sz w:val="22"/>
                              </w:rPr>
                              <w:t>Original: E</w:t>
                            </w:r>
                            <w:r w:rsidR="004311FE">
                              <w:rPr>
                                <w:rFonts w:asciiTheme="minorHAnsi" w:hAnsiTheme="minorHAnsi"/>
                                <w:color w:val="FFFFFF" w:themeColor="background1"/>
                                <w:sz w:val="22"/>
                              </w:rPr>
                              <w:t>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D01F7" id="Text Box 8" o:spid="_x0000_s1028" type="#_x0000_t202" style="position:absolute;left:0;text-align:left;margin-left:-17.25pt;margin-top:34.9pt;width:105.05pt;height:108.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yVE8V4gAAAAoBAAAPAAAA&#10;ZHJzL2Rvd25yZXYueG1sTI9NT4NAFEX3Jv6HyTNx1w6iUEQeTUPSmBhdtHbjbmBegTgfyExb7K/v&#10;dKXLl3dy77nFctKKHWl0vTUID/MIGJnGyt60CLvP9SwD5rwwUihrCOGXHCzL25tC5NKezIaOW9+y&#10;EGJcLhA674ecc9d0pIWb24FM+O3tqIUP59hyOYpTCNeKx1GUci16Exo6MVDVUfO9PWiEt2r9ITZ1&#10;rLOzql7f96vhZ/eVIN7fTasXYJ4m/wfDVT+oQxmcansw0jGFMHt8SgKKkD6HCVdgkaTAaoQ4SxfA&#10;y4L/n1BeAAAA//8DAFBLAQItABQABgAIAAAAIQC2gziS/gAAAOEBAAATAAAAAAAAAAAAAAAAAAAA&#10;AABbQ29udGVudF9UeXBlc10ueG1sUEsBAi0AFAAGAAgAAAAhADj9If/WAAAAlAEAAAsAAAAAAAAA&#10;AAAAAAAALwEAAF9yZWxzLy5yZWxzUEsBAi0AFAAGAAgAAAAhACS8/R1uAgAARQUAAA4AAAAAAAAA&#10;AAAAAAAALgIAAGRycy9lMm9Eb2MueG1sUEsBAi0AFAAGAAgAAAAhADJUTxXiAAAACgEAAA8AAAAA&#10;AAAAAAAAAAAAyAQAAGRycy9kb3ducmV2LnhtbFBLBQYAAAAABAAEAPMAAADXBQAAAAA=&#10;" filled="f" stroked="f" strokeweight=".5pt">
                <v:textbox>
                  <w:txbxContent>
                    <w:p w14:paraId="3A486F98" w14:textId="516396FA" w:rsidR="003B5615" w:rsidRPr="001A69A6" w:rsidRDefault="003B5615" w:rsidP="00DB1191">
                      <w:pPr>
                        <w:jc w:val="right"/>
                        <w:rPr>
                          <w:rFonts w:asciiTheme="minorHAnsi" w:hAnsiTheme="minorHAnsi"/>
                          <w:color w:val="FFFFFF" w:themeColor="background1"/>
                          <w:sz w:val="22"/>
                          <w:lang w:val="pt-BR"/>
                        </w:rPr>
                      </w:pPr>
                      <w:r w:rsidRPr="001A69A6">
                        <w:rPr>
                          <w:rFonts w:asciiTheme="minorHAnsi" w:hAnsiTheme="minorHAnsi"/>
                          <w:color w:val="FFFFFF" w:themeColor="background1"/>
                          <w:sz w:val="22"/>
                          <w:lang w:val="pt-BR"/>
                        </w:rPr>
                        <w:t>OEA/Ser.L/V/II</w:t>
                      </w:r>
                    </w:p>
                    <w:p w14:paraId="07EDFDF4" w14:textId="40152268" w:rsidR="003B5615" w:rsidRPr="004311FE" w:rsidRDefault="003B5615" w:rsidP="00DB1191">
                      <w:pPr>
                        <w:jc w:val="right"/>
                        <w:rPr>
                          <w:rFonts w:asciiTheme="minorHAnsi" w:hAnsiTheme="minorHAnsi"/>
                          <w:color w:val="FFFFFF" w:themeColor="background1"/>
                          <w:sz w:val="22"/>
                          <w:lang w:val="es-US"/>
                        </w:rPr>
                      </w:pPr>
                      <w:r w:rsidRPr="004311FE">
                        <w:rPr>
                          <w:rFonts w:asciiTheme="minorHAnsi" w:hAnsiTheme="minorHAnsi"/>
                          <w:color w:val="FFFFFF" w:themeColor="background1"/>
                          <w:sz w:val="22"/>
                          <w:lang w:val="es-US"/>
                        </w:rPr>
                        <w:t xml:space="preserve">Doc. </w:t>
                      </w:r>
                      <w:r w:rsidR="00136ECB" w:rsidRPr="004311FE">
                        <w:rPr>
                          <w:rFonts w:asciiTheme="minorHAnsi" w:hAnsiTheme="minorHAnsi"/>
                          <w:color w:val="FFFFFF" w:themeColor="background1"/>
                          <w:sz w:val="22"/>
                          <w:lang w:val="es-US"/>
                        </w:rPr>
                        <w:t>473</w:t>
                      </w:r>
                    </w:p>
                    <w:p w14:paraId="5034240D" w14:textId="13C0412D" w:rsidR="003B5615" w:rsidRPr="000B71FC" w:rsidRDefault="00136ECB" w:rsidP="00136ECB">
                      <w:pPr>
                        <w:jc w:val="right"/>
                        <w:rPr>
                          <w:rFonts w:asciiTheme="minorHAnsi" w:hAnsiTheme="minorHAnsi"/>
                          <w:color w:val="FFFFFF" w:themeColor="background1"/>
                          <w:sz w:val="22"/>
                        </w:rPr>
                      </w:pPr>
                      <w:r>
                        <w:rPr>
                          <w:rFonts w:asciiTheme="minorHAnsi" w:hAnsiTheme="minorHAnsi"/>
                          <w:color w:val="FFFFFF" w:themeColor="background1"/>
                          <w:sz w:val="22"/>
                        </w:rPr>
                        <w:t>31</w:t>
                      </w:r>
                      <w:r w:rsidR="003B5615" w:rsidRPr="000B71FC">
                        <w:rPr>
                          <w:rFonts w:asciiTheme="minorHAnsi" w:hAnsiTheme="minorHAnsi"/>
                          <w:color w:val="FFFFFF" w:themeColor="background1"/>
                          <w:sz w:val="22"/>
                        </w:rPr>
                        <w:t xml:space="preserve"> </w:t>
                      </w:r>
                      <w:r w:rsidR="003B5615">
                        <w:rPr>
                          <w:rFonts w:asciiTheme="minorHAnsi" w:hAnsiTheme="minorHAnsi"/>
                          <w:color w:val="FFFFFF" w:themeColor="background1"/>
                          <w:sz w:val="22"/>
                        </w:rPr>
                        <w:t>December</w:t>
                      </w:r>
                      <w:r w:rsidR="003B5615" w:rsidRPr="000B71FC">
                        <w:rPr>
                          <w:rFonts w:asciiTheme="minorHAnsi" w:hAnsiTheme="minorHAnsi"/>
                          <w:color w:val="FFFFFF" w:themeColor="background1"/>
                          <w:sz w:val="22"/>
                        </w:rPr>
                        <w:t xml:space="preserve"> 20</w:t>
                      </w:r>
                      <w:r w:rsidR="003B5615">
                        <w:rPr>
                          <w:rFonts w:asciiTheme="minorHAnsi" w:hAnsiTheme="minorHAnsi"/>
                          <w:color w:val="FFFFFF" w:themeColor="background1"/>
                          <w:sz w:val="22"/>
                        </w:rPr>
                        <w:t>21</w:t>
                      </w:r>
                    </w:p>
                    <w:p w14:paraId="7B57D937" w14:textId="15545AB9" w:rsidR="003B5615" w:rsidRPr="000B71FC" w:rsidRDefault="003B5615" w:rsidP="00DB1191">
                      <w:pPr>
                        <w:jc w:val="right"/>
                        <w:rPr>
                          <w:rFonts w:asciiTheme="minorHAnsi" w:hAnsiTheme="minorHAnsi"/>
                          <w:color w:val="FFFFFF" w:themeColor="background1"/>
                          <w:sz w:val="22"/>
                        </w:rPr>
                      </w:pPr>
                      <w:r w:rsidRPr="000B71FC">
                        <w:rPr>
                          <w:rFonts w:asciiTheme="minorHAnsi" w:hAnsiTheme="minorHAnsi"/>
                          <w:color w:val="FFFFFF" w:themeColor="background1"/>
                          <w:sz w:val="22"/>
                        </w:rPr>
                        <w:t>Original: E</w:t>
                      </w:r>
                      <w:r w:rsidR="004311FE">
                        <w:rPr>
                          <w:rFonts w:asciiTheme="minorHAnsi" w:hAnsiTheme="minorHAnsi"/>
                          <w:color w:val="FFFFFF" w:themeColor="background1"/>
                          <w:sz w:val="22"/>
                        </w:rPr>
                        <w:t>nglish</w:t>
                      </w:r>
                    </w:p>
                  </w:txbxContent>
                </v:textbox>
              </v:shape>
            </w:pict>
          </mc:Fallback>
        </mc:AlternateContent>
      </w:r>
    </w:p>
    <w:p w14:paraId="71FCF75B" w14:textId="77777777" w:rsidR="00040C3A" w:rsidRPr="006D6B01" w:rsidRDefault="00040C3A" w:rsidP="00040C3A">
      <w:pPr>
        <w:tabs>
          <w:tab w:val="center" w:pos="5400"/>
        </w:tabs>
        <w:suppressAutoHyphens/>
        <w:jc w:val="center"/>
        <w:rPr>
          <w:rFonts w:asciiTheme="majorHAnsi" w:hAnsiTheme="majorHAnsi"/>
          <w:sz w:val="22"/>
          <w:szCs w:val="22"/>
          <w:lang w:val="es-ES_tradnl"/>
        </w:rPr>
      </w:pPr>
    </w:p>
    <w:p w14:paraId="10AA4A7C" w14:textId="20EB13FE" w:rsidR="00040C3A" w:rsidRPr="006D6B01" w:rsidRDefault="00040C3A" w:rsidP="00040C3A">
      <w:pPr>
        <w:tabs>
          <w:tab w:val="center" w:pos="5400"/>
        </w:tabs>
        <w:suppressAutoHyphens/>
        <w:jc w:val="center"/>
        <w:rPr>
          <w:rFonts w:asciiTheme="majorHAnsi" w:hAnsiTheme="majorHAnsi"/>
          <w:sz w:val="22"/>
          <w:szCs w:val="22"/>
          <w:lang w:val="es-ES_tradnl"/>
        </w:rPr>
      </w:pPr>
    </w:p>
    <w:p w14:paraId="6FF8243A" w14:textId="77777777" w:rsidR="00040C3A" w:rsidRPr="006D6B01" w:rsidRDefault="00040C3A" w:rsidP="00040C3A">
      <w:pPr>
        <w:tabs>
          <w:tab w:val="center" w:pos="5400"/>
        </w:tabs>
        <w:suppressAutoHyphens/>
        <w:jc w:val="center"/>
        <w:rPr>
          <w:rFonts w:asciiTheme="majorHAnsi" w:hAnsiTheme="majorHAnsi" w:cs="Arial"/>
          <w:sz w:val="22"/>
          <w:szCs w:val="22"/>
          <w:lang w:val="es-ES_tradnl"/>
        </w:rPr>
      </w:pPr>
    </w:p>
    <w:p w14:paraId="1D92B338" w14:textId="77777777" w:rsidR="00040C3A" w:rsidRPr="006D6B01" w:rsidRDefault="00040C3A" w:rsidP="00040C3A">
      <w:pPr>
        <w:tabs>
          <w:tab w:val="center" w:pos="5400"/>
        </w:tabs>
        <w:suppressAutoHyphens/>
        <w:jc w:val="center"/>
        <w:rPr>
          <w:rFonts w:asciiTheme="majorHAnsi" w:hAnsiTheme="majorHAnsi"/>
          <w:sz w:val="22"/>
          <w:szCs w:val="22"/>
          <w:lang w:val="es-ES_tradnl"/>
        </w:rPr>
      </w:pPr>
    </w:p>
    <w:p w14:paraId="1FF21F6C" w14:textId="77777777" w:rsidR="00040C3A" w:rsidRPr="006D6B01" w:rsidRDefault="00040C3A" w:rsidP="00040C3A">
      <w:pPr>
        <w:tabs>
          <w:tab w:val="center" w:pos="5400"/>
        </w:tabs>
        <w:suppressAutoHyphens/>
        <w:jc w:val="center"/>
        <w:rPr>
          <w:rFonts w:asciiTheme="majorHAnsi" w:hAnsiTheme="majorHAnsi"/>
          <w:sz w:val="22"/>
          <w:szCs w:val="22"/>
          <w:lang w:val="es-ES_tradnl"/>
        </w:rPr>
      </w:pPr>
    </w:p>
    <w:p w14:paraId="26AC2EEE" w14:textId="77777777" w:rsidR="00040C3A" w:rsidRPr="006D6B01" w:rsidRDefault="00040C3A" w:rsidP="00040C3A">
      <w:pPr>
        <w:tabs>
          <w:tab w:val="center" w:pos="5400"/>
        </w:tabs>
        <w:suppressAutoHyphens/>
        <w:jc w:val="center"/>
        <w:rPr>
          <w:rFonts w:asciiTheme="majorHAnsi" w:hAnsiTheme="majorHAnsi"/>
          <w:sz w:val="22"/>
          <w:szCs w:val="22"/>
          <w:lang w:val="es-ES_tradnl"/>
        </w:rPr>
      </w:pPr>
    </w:p>
    <w:p w14:paraId="369118E2" w14:textId="77777777" w:rsidR="00040C3A" w:rsidRPr="006D6B01" w:rsidRDefault="00040C3A" w:rsidP="00040C3A">
      <w:pPr>
        <w:tabs>
          <w:tab w:val="center" w:pos="5400"/>
        </w:tabs>
        <w:suppressAutoHyphens/>
        <w:jc w:val="center"/>
        <w:rPr>
          <w:rFonts w:asciiTheme="majorHAnsi" w:hAnsiTheme="majorHAnsi"/>
          <w:sz w:val="22"/>
          <w:szCs w:val="22"/>
          <w:lang w:val="es-ES_tradnl"/>
        </w:rPr>
      </w:pPr>
    </w:p>
    <w:p w14:paraId="77746752" w14:textId="77777777" w:rsidR="005128E4" w:rsidRPr="006D6B01" w:rsidRDefault="005128E4" w:rsidP="00040C3A">
      <w:pPr>
        <w:tabs>
          <w:tab w:val="center" w:pos="5400"/>
        </w:tabs>
        <w:suppressAutoHyphens/>
        <w:jc w:val="center"/>
        <w:rPr>
          <w:rFonts w:asciiTheme="majorHAnsi" w:hAnsiTheme="majorHAnsi"/>
          <w:sz w:val="22"/>
          <w:szCs w:val="22"/>
          <w:lang w:val="es-ES_tradnl"/>
        </w:rPr>
      </w:pPr>
    </w:p>
    <w:p w14:paraId="47ACB118" w14:textId="77777777" w:rsidR="00040C3A" w:rsidRPr="006D6B01" w:rsidRDefault="00040C3A" w:rsidP="00040C3A">
      <w:pPr>
        <w:tabs>
          <w:tab w:val="center" w:pos="5400"/>
        </w:tabs>
        <w:suppressAutoHyphens/>
        <w:jc w:val="center"/>
        <w:rPr>
          <w:rFonts w:asciiTheme="majorHAnsi" w:hAnsiTheme="majorHAnsi"/>
          <w:sz w:val="22"/>
          <w:szCs w:val="22"/>
          <w:lang w:val="es-ES_tradnl"/>
        </w:rPr>
      </w:pPr>
    </w:p>
    <w:p w14:paraId="4712CCBF" w14:textId="77777777" w:rsidR="005128E4" w:rsidRPr="006D6B01" w:rsidRDefault="005128E4" w:rsidP="00040C3A">
      <w:pPr>
        <w:tabs>
          <w:tab w:val="center" w:pos="5400"/>
        </w:tabs>
        <w:suppressAutoHyphens/>
        <w:jc w:val="center"/>
        <w:rPr>
          <w:rFonts w:asciiTheme="majorHAnsi" w:hAnsiTheme="majorHAnsi"/>
          <w:sz w:val="22"/>
          <w:szCs w:val="22"/>
          <w:lang w:val="es-ES_tradnl"/>
        </w:rPr>
      </w:pPr>
    </w:p>
    <w:p w14:paraId="37458BDC" w14:textId="77777777" w:rsidR="005128E4" w:rsidRPr="006D6B01" w:rsidRDefault="005128E4" w:rsidP="00040C3A">
      <w:pPr>
        <w:tabs>
          <w:tab w:val="center" w:pos="5400"/>
        </w:tabs>
        <w:suppressAutoHyphens/>
        <w:jc w:val="center"/>
        <w:rPr>
          <w:rFonts w:asciiTheme="majorHAnsi" w:hAnsiTheme="majorHAnsi"/>
          <w:sz w:val="22"/>
          <w:szCs w:val="22"/>
          <w:lang w:val="es-ES_tradnl"/>
        </w:rPr>
      </w:pPr>
    </w:p>
    <w:p w14:paraId="021353E9" w14:textId="77777777" w:rsidR="005128E4" w:rsidRPr="006D6B01" w:rsidRDefault="005128E4" w:rsidP="00040C3A">
      <w:pPr>
        <w:tabs>
          <w:tab w:val="center" w:pos="5400"/>
        </w:tabs>
        <w:suppressAutoHyphens/>
        <w:jc w:val="center"/>
        <w:rPr>
          <w:rFonts w:asciiTheme="majorHAnsi" w:hAnsiTheme="majorHAnsi"/>
          <w:sz w:val="22"/>
          <w:szCs w:val="22"/>
          <w:lang w:val="es-ES_tradnl"/>
        </w:rPr>
      </w:pPr>
    </w:p>
    <w:p w14:paraId="3A86D515" w14:textId="77777777" w:rsidR="00040C3A" w:rsidRPr="006D6B01" w:rsidRDefault="00040C3A" w:rsidP="00040C3A">
      <w:pPr>
        <w:tabs>
          <w:tab w:val="center" w:pos="5400"/>
        </w:tabs>
        <w:suppressAutoHyphens/>
        <w:jc w:val="center"/>
        <w:rPr>
          <w:rFonts w:asciiTheme="majorHAnsi" w:hAnsiTheme="majorHAnsi"/>
          <w:sz w:val="22"/>
          <w:szCs w:val="22"/>
          <w:lang w:val="es-ES_tradnl"/>
        </w:rPr>
      </w:pPr>
    </w:p>
    <w:p w14:paraId="61A94C63" w14:textId="77777777" w:rsidR="00040C3A" w:rsidRPr="006D6B01" w:rsidRDefault="00040C3A" w:rsidP="00040C3A">
      <w:pPr>
        <w:tabs>
          <w:tab w:val="center" w:pos="5400"/>
        </w:tabs>
        <w:suppressAutoHyphens/>
        <w:jc w:val="center"/>
        <w:rPr>
          <w:rFonts w:asciiTheme="majorHAnsi" w:hAnsiTheme="majorHAnsi"/>
          <w:sz w:val="22"/>
          <w:szCs w:val="22"/>
          <w:lang w:val="es-ES_tradnl"/>
        </w:rPr>
      </w:pPr>
    </w:p>
    <w:p w14:paraId="36E466EE" w14:textId="77777777" w:rsidR="00A50FCF" w:rsidRPr="006D6B01" w:rsidRDefault="00A50FCF" w:rsidP="00040C3A">
      <w:pPr>
        <w:tabs>
          <w:tab w:val="center" w:pos="5400"/>
        </w:tabs>
        <w:suppressAutoHyphens/>
        <w:jc w:val="center"/>
        <w:rPr>
          <w:rFonts w:asciiTheme="majorHAnsi" w:hAnsiTheme="majorHAnsi"/>
          <w:sz w:val="18"/>
          <w:szCs w:val="22"/>
          <w:lang w:val="es-ES_tradnl"/>
        </w:rPr>
      </w:pPr>
    </w:p>
    <w:p w14:paraId="734D80B0" w14:textId="77777777" w:rsidR="00A50FCF" w:rsidRPr="006D6B01" w:rsidRDefault="00A50FCF" w:rsidP="00040C3A">
      <w:pPr>
        <w:tabs>
          <w:tab w:val="center" w:pos="5400"/>
        </w:tabs>
        <w:suppressAutoHyphens/>
        <w:jc w:val="center"/>
        <w:rPr>
          <w:rFonts w:asciiTheme="majorHAnsi" w:hAnsiTheme="majorHAnsi"/>
          <w:sz w:val="18"/>
          <w:szCs w:val="22"/>
          <w:lang w:val="es-ES_tradnl"/>
        </w:rPr>
      </w:pPr>
    </w:p>
    <w:p w14:paraId="7F4EE408" w14:textId="77777777" w:rsidR="00A50FCF" w:rsidRPr="006D6B01" w:rsidRDefault="00A50FCF" w:rsidP="00040C3A">
      <w:pPr>
        <w:tabs>
          <w:tab w:val="center" w:pos="5400"/>
        </w:tabs>
        <w:suppressAutoHyphens/>
        <w:jc w:val="center"/>
        <w:rPr>
          <w:rFonts w:asciiTheme="majorHAnsi" w:hAnsiTheme="majorHAnsi"/>
          <w:sz w:val="18"/>
          <w:szCs w:val="22"/>
          <w:lang w:val="es-ES_tradnl"/>
        </w:rPr>
      </w:pPr>
    </w:p>
    <w:p w14:paraId="108F101A" w14:textId="77777777" w:rsidR="00A50FCF" w:rsidRPr="006D6B01" w:rsidRDefault="00A50FCF" w:rsidP="00040C3A">
      <w:pPr>
        <w:tabs>
          <w:tab w:val="center" w:pos="5400"/>
        </w:tabs>
        <w:suppressAutoHyphens/>
        <w:jc w:val="center"/>
        <w:rPr>
          <w:rFonts w:asciiTheme="majorHAnsi" w:hAnsiTheme="majorHAnsi"/>
          <w:sz w:val="18"/>
          <w:szCs w:val="22"/>
          <w:lang w:val="es-ES_tradnl"/>
        </w:rPr>
      </w:pPr>
    </w:p>
    <w:p w14:paraId="5B697F66" w14:textId="77777777" w:rsidR="00A50FCF" w:rsidRPr="006D6B01" w:rsidRDefault="00A50FCF" w:rsidP="00040C3A">
      <w:pPr>
        <w:tabs>
          <w:tab w:val="center" w:pos="5400"/>
        </w:tabs>
        <w:suppressAutoHyphens/>
        <w:jc w:val="center"/>
        <w:rPr>
          <w:rFonts w:asciiTheme="majorHAnsi" w:hAnsiTheme="majorHAnsi"/>
          <w:sz w:val="18"/>
          <w:szCs w:val="22"/>
          <w:lang w:val="es-ES_tradnl"/>
        </w:rPr>
      </w:pPr>
    </w:p>
    <w:p w14:paraId="7949509B" w14:textId="77777777" w:rsidR="00A50FCF" w:rsidRPr="006D6B01" w:rsidRDefault="00A50FCF" w:rsidP="00040C3A">
      <w:pPr>
        <w:tabs>
          <w:tab w:val="center" w:pos="5400"/>
        </w:tabs>
        <w:suppressAutoHyphens/>
        <w:jc w:val="center"/>
        <w:rPr>
          <w:rFonts w:asciiTheme="majorHAnsi" w:hAnsiTheme="majorHAnsi"/>
          <w:sz w:val="18"/>
          <w:szCs w:val="22"/>
          <w:lang w:val="es-ES_tradnl"/>
        </w:rPr>
      </w:pPr>
    </w:p>
    <w:p w14:paraId="0CA64160" w14:textId="77777777" w:rsidR="00A50FCF" w:rsidRPr="006D6B01" w:rsidRDefault="00A50FCF" w:rsidP="00040C3A">
      <w:pPr>
        <w:tabs>
          <w:tab w:val="center" w:pos="5400"/>
        </w:tabs>
        <w:suppressAutoHyphens/>
        <w:jc w:val="center"/>
        <w:rPr>
          <w:rFonts w:asciiTheme="majorHAnsi" w:hAnsiTheme="majorHAnsi"/>
          <w:sz w:val="18"/>
          <w:szCs w:val="22"/>
          <w:lang w:val="es-ES_tradnl"/>
        </w:rPr>
      </w:pPr>
    </w:p>
    <w:p w14:paraId="6126A51D" w14:textId="77777777" w:rsidR="00A50FCF" w:rsidRPr="006D6B01" w:rsidRDefault="00A50FCF" w:rsidP="00040C3A">
      <w:pPr>
        <w:tabs>
          <w:tab w:val="center" w:pos="5400"/>
        </w:tabs>
        <w:suppressAutoHyphens/>
        <w:jc w:val="center"/>
        <w:rPr>
          <w:rFonts w:asciiTheme="majorHAnsi" w:hAnsiTheme="majorHAnsi"/>
          <w:sz w:val="18"/>
          <w:szCs w:val="22"/>
          <w:lang w:val="es-ES_tradnl"/>
        </w:rPr>
      </w:pPr>
    </w:p>
    <w:p w14:paraId="22992DF1" w14:textId="77777777" w:rsidR="00A50FCF" w:rsidRPr="006D6B01" w:rsidRDefault="00A50FCF" w:rsidP="00040C3A">
      <w:pPr>
        <w:tabs>
          <w:tab w:val="center" w:pos="5400"/>
        </w:tabs>
        <w:suppressAutoHyphens/>
        <w:jc w:val="center"/>
        <w:rPr>
          <w:rFonts w:asciiTheme="majorHAnsi" w:hAnsiTheme="majorHAnsi"/>
          <w:sz w:val="18"/>
          <w:szCs w:val="22"/>
          <w:lang w:val="es-ES_tradnl"/>
        </w:rPr>
      </w:pPr>
    </w:p>
    <w:p w14:paraId="6984394F" w14:textId="77777777" w:rsidR="00A50FCF" w:rsidRPr="006D6B01" w:rsidRDefault="00A50FCF" w:rsidP="00040C3A">
      <w:pPr>
        <w:tabs>
          <w:tab w:val="center" w:pos="5400"/>
        </w:tabs>
        <w:suppressAutoHyphens/>
        <w:jc w:val="center"/>
        <w:rPr>
          <w:rFonts w:asciiTheme="majorHAnsi" w:hAnsiTheme="majorHAnsi"/>
          <w:sz w:val="18"/>
          <w:szCs w:val="22"/>
          <w:lang w:val="es-ES_tradnl"/>
        </w:rPr>
      </w:pPr>
    </w:p>
    <w:p w14:paraId="109785D6" w14:textId="77777777" w:rsidR="00A50FCF" w:rsidRPr="006D6B01" w:rsidRDefault="00A50FCF" w:rsidP="00040C3A">
      <w:pPr>
        <w:tabs>
          <w:tab w:val="center" w:pos="5400"/>
        </w:tabs>
        <w:suppressAutoHyphens/>
        <w:jc w:val="center"/>
        <w:rPr>
          <w:rFonts w:asciiTheme="majorHAnsi" w:hAnsiTheme="majorHAnsi"/>
          <w:sz w:val="18"/>
          <w:szCs w:val="22"/>
          <w:lang w:val="es-ES_tradnl"/>
        </w:rPr>
      </w:pPr>
    </w:p>
    <w:p w14:paraId="1FF61911" w14:textId="77777777" w:rsidR="00A50FCF" w:rsidRPr="006D6B01" w:rsidRDefault="00A50FCF" w:rsidP="00040C3A">
      <w:pPr>
        <w:tabs>
          <w:tab w:val="center" w:pos="5400"/>
        </w:tabs>
        <w:suppressAutoHyphens/>
        <w:jc w:val="center"/>
        <w:rPr>
          <w:rFonts w:asciiTheme="majorHAnsi" w:hAnsiTheme="majorHAnsi"/>
          <w:sz w:val="18"/>
          <w:szCs w:val="22"/>
          <w:lang w:val="es-ES_tradnl"/>
        </w:rPr>
      </w:pPr>
    </w:p>
    <w:p w14:paraId="3F2C6F1A" w14:textId="77777777" w:rsidR="00A50FCF" w:rsidRPr="006D6B01" w:rsidRDefault="00A50FCF" w:rsidP="00040C3A">
      <w:pPr>
        <w:tabs>
          <w:tab w:val="center" w:pos="5400"/>
        </w:tabs>
        <w:suppressAutoHyphens/>
        <w:jc w:val="center"/>
        <w:rPr>
          <w:rFonts w:asciiTheme="majorHAnsi" w:hAnsiTheme="majorHAnsi"/>
          <w:sz w:val="18"/>
          <w:szCs w:val="22"/>
          <w:lang w:val="es-ES_tradnl"/>
        </w:rPr>
      </w:pPr>
    </w:p>
    <w:p w14:paraId="26AF0EB1" w14:textId="77777777" w:rsidR="00A50FCF" w:rsidRPr="006D6B01" w:rsidRDefault="00A50FCF" w:rsidP="00040C3A">
      <w:pPr>
        <w:tabs>
          <w:tab w:val="center" w:pos="5400"/>
        </w:tabs>
        <w:suppressAutoHyphens/>
        <w:jc w:val="center"/>
        <w:rPr>
          <w:rFonts w:asciiTheme="majorHAnsi" w:hAnsiTheme="majorHAnsi"/>
          <w:sz w:val="18"/>
          <w:szCs w:val="22"/>
          <w:lang w:val="es-ES_tradnl"/>
        </w:rPr>
      </w:pPr>
    </w:p>
    <w:p w14:paraId="24D35267" w14:textId="77777777" w:rsidR="00A50FCF" w:rsidRPr="006D6B01" w:rsidRDefault="0090270B" w:rsidP="00040C3A">
      <w:pPr>
        <w:tabs>
          <w:tab w:val="center" w:pos="5400"/>
        </w:tabs>
        <w:suppressAutoHyphens/>
        <w:jc w:val="center"/>
        <w:rPr>
          <w:rFonts w:asciiTheme="majorHAnsi" w:hAnsiTheme="majorHAnsi"/>
          <w:sz w:val="18"/>
          <w:szCs w:val="22"/>
          <w:lang w:val="es-ES_tradnl"/>
        </w:rPr>
      </w:pPr>
      <w:r w:rsidRPr="006D6B01">
        <w:rPr>
          <w:rFonts w:asciiTheme="majorHAnsi" w:hAnsiTheme="majorHAnsi"/>
          <w:noProof/>
          <w:sz w:val="22"/>
          <w:szCs w:val="22"/>
          <w:lang w:val="es-ES" w:eastAsia="es-ES"/>
        </w:rPr>
        <mc:AlternateContent>
          <mc:Choice Requires="wps">
            <w:drawing>
              <wp:anchor distT="0" distB="0" distL="114300" distR="114300" simplePos="0" relativeHeight="251670528" behindDoc="0" locked="0" layoutInCell="1" allowOverlap="1" wp14:anchorId="6E1194E1" wp14:editId="33896BC2">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07E413" w14:textId="3B8CBCD9" w:rsidR="003B5615" w:rsidRDefault="003B5615" w:rsidP="00247403">
                            <w:pPr>
                              <w:tabs>
                                <w:tab w:val="center" w:pos="5400"/>
                              </w:tabs>
                              <w:suppressAutoHyphens/>
                              <w:spacing w:before="60"/>
                              <w:rPr>
                                <w:rFonts w:asciiTheme="majorHAnsi" w:hAnsiTheme="majorHAnsi"/>
                                <w:color w:val="0D0D0D" w:themeColor="text1" w:themeTint="F2"/>
                                <w:sz w:val="18"/>
                                <w:szCs w:val="20"/>
                              </w:rPr>
                            </w:pPr>
                            <w:r w:rsidRPr="001A69A6">
                              <w:rPr>
                                <w:rFonts w:asciiTheme="majorHAnsi" w:hAnsiTheme="majorHAnsi"/>
                                <w:color w:val="0D0D0D" w:themeColor="text1" w:themeTint="F2"/>
                                <w:sz w:val="18"/>
                                <w:szCs w:val="20"/>
                              </w:rPr>
                              <w:t xml:space="preserve">Approved electronically by the Commission on </w:t>
                            </w:r>
                            <w:r>
                              <w:rPr>
                                <w:rFonts w:asciiTheme="majorHAnsi" w:hAnsiTheme="majorHAnsi"/>
                                <w:color w:val="0D0D0D" w:themeColor="text1" w:themeTint="F2"/>
                                <w:sz w:val="18"/>
                                <w:szCs w:val="20"/>
                              </w:rPr>
                              <w:t>December</w:t>
                            </w:r>
                            <w:r w:rsidRPr="001A69A6">
                              <w:rPr>
                                <w:rFonts w:asciiTheme="majorHAnsi" w:hAnsiTheme="majorHAnsi"/>
                                <w:color w:val="0D0D0D" w:themeColor="text1" w:themeTint="F2"/>
                                <w:sz w:val="18"/>
                                <w:szCs w:val="20"/>
                              </w:rPr>
                              <w:t xml:space="preserve"> </w:t>
                            </w:r>
                            <w:r w:rsidR="00136ECB">
                              <w:rPr>
                                <w:rFonts w:asciiTheme="majorHAnsi" w:hAnsiTheme="majorHAnsi"/>
                                <w:color w:val="0D0D0D" w:themeColor="text1" w:themeTint="F2"/>
                                <w:sz w:val="18"/>
                                <w:szCs w:val="20"/>
                              </w:rPr>
                              <w:t>31</w:t>
                            </w:r>
                            <w:r w:rsidRPr="001A69A6">
                              <w:rPr>
                                <w:rFonts w:asciiTheme="majorHAnsi" w:hAnsiTheme="majorHAnsi"/>
                                <w:color w:val="0D0D0D" w:themeColor="text1" w:themeTint="F2"/>
                                <w:sz w:val="18"/>
                                <w:szCs w:val="20"/>
                              </w:rPr>
                              <w:t>, 20</w:t>
                            </w:r>
                            <w:r>
                              <w:rPr>
                                <w:rFonts w:asciiTheme="majorHAnsi" w:hAnsiTheme="majorHAnsi"/>
                                <w:color w:val="0D0D0D" w:themeColor="text1" w:themeTint="F2"/>
                                <w:sz w:val="18"/>
                                <w:szCs w:val="20"/>
                              </w:rPr>
                              <w:t>21</w:t>
                            </w:r>
                            <w:r w:rsidR="004311FE">
                              <w:rPr>
                                <w:rFonts w:asciiTheme="majorHAnsi" w:hAnsiTheme="majorHAnsi"/>
                                <w:color w:val="0D0D0D" w:themeColor="text1" w:themeTint="F2"/>
                                <w:sz w:val="18"/>
                                <w:szCs w:val="20"/>
                              </w:rPr>
                              <w:t>.</w:t>
                            </w:r>
                          </w:p>
                          <w:p w14:paraId="1EEBE0F8" w14:textId="77777777" w:rsidR="003B5615" w:rsidRPr="001E28D1" w:rsidRDefault="003B5615" w:rsidP="00247403">
                            <w:pPr>
                              <w:tabs>
                                <w:tab w:val="center" w:pos="5400"/>
                              </w:tabs>
                              <w:suppressAutoHyphens/>
                              <w:spacing w:before="60"/>
                              <w:rPr>
                                <w:rFonts w:asciiTheme="minorHAnsi" w:hAnsiTheme="minorHAnsi" w:cs="Univers"/>
                                <w:color w:val="0D0D0D" w:themeColor="text1" w:themeTint="F2"/>
                                <w:sz w:val="20"/>
                                <w:szCs w:val="20"/>
                              </w:rPr>
                            </w:pPr>
                          </w:p>
                          <w:p w14:paraId="5A225399" w14:textId="77777777" w:rsidR="003B5615" w:rsidRPr="001E28D1" w:rsidRDefault="003B5615"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194E1"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5607E413" w14:textId="3B8CBCD9" w:rsidR="003B5615" w:rsidRDefault="003B5615" w:rsidP="00247403">
                      <w:pPr>
                        <w:tabs>
                          <w:tab w:val="center" w:pos="5400"/>
                        </w:tabs>
                        <w:suppressAutoHyphens/>
                        <w:spacing w:before="60"/>
                        <w:rPr>
                          <w:rFonts w:asciiTheme="majorHAnsi" w:hAnsiTheme="majorHAnsi"/>
                          <w:color w:val="0D0D0D" w:themeColor="text1" w:themeTint="F2"/>
                          <w:sz w:val="18"/>
                          <w:szCs w:val="20"/>
                        </w:rPr>
                      </w:pPr>
                      <w:r w:rsidRPr="001A69A6">
                        <w:rPr>
                          <w:rFonts w:asciiTheme="majorHAnsi" w:hAnsiTheme="majorHAnsi"/>
                          <w:color w:val="0D0D0D" w:themeColor="text1" w:themeTint="F2"/>
                          <w:sz w:val="18"/>
                          <w:szCs w:val="20"/>
                        </w:rPr>
                        <w:t xml:space="preserve">Approved electronically by the Commission on </w:t>
                      </w:r>
                      <w:r>
                        <w:rPr>
                          <w:rFonts w:asciiTheme="majorHAnsi" w:hAnsiTheme="majorHAnsi"/>
                          <w:color w:val="0D0D0D" w:themeColor="text1" w:themeTint="F2"/>
                          <w:sz w:val="18"/>
                          <w:szCs w:val="20"/>
                        </w:rPr>
                        <w:t>December</w:t>
                      </w:r>
                      <w:r w:rsidRPr="001A69A6">
                        <w:rPr>
                          <w:rFonts w:asciiTheme="majorHAnsi" w:hAnsiTheme="majorHAnsi"/>
                          <w:color w:val="0D0D0D" w:themeColor="text1" w:themeTint="F2"/>
                          <w:sz w:val="18"/>
                          <w:szCs w:val="20"/>
                        </w:rPr>
                        <w:t xml:space="preserve"> </w:t>
                      </w:r>
                      <w:r w:rsidR="00136ECB">
                        <w:rPr>
                          <w:rFonts w:asciiTheme="majorHAnsi" w:hAnsiTheme="majorHAnsi"/>
                          <w:color w:val="0D0D0D" w:themeColor="text1" w:themeTint="F2"/>
                          <w:sz w:val="18"/>
                          <w:szCs w:val="20"/>
                        </w:rPr>
                        <w:t>31</w:t>
                      </w:r>
                      <w:r w:rsidRPr="001A69A6">
                        <w:rPr>
                          <w:rFonts w:asciiTheme="majorHAnsi" w:hAnsiTheme="majorHAnsi"/>
                          <w:color w:val="0D0D0D" w:themeColor="text1" w:themeTint="F2"/>
                          <w:sz w:val="18"/>
                          <w:szCs w:val="20"/>
                        </w:rPr>
                        <w:t>, 20</w:t>
                      </w:r>
                      <w:r>
                        <w:rPr>
                          <w:rFonts w:asciiTheme="majorHAnsi" w:hAnsiTheme="majorHAnsi"/>
                          <w:color w:val="0D0D0D" w:themeColor="text1" w:themeTint="F2"/>
                          <w:sz w:val="18"/>
                          <w:szCs w:val="20"/>
                        </w:rPr>
                        <w:t>21</w:t>
                      </w:r>
                      <w:r w:rsidR="004311FE">
                        <w:rPr>
                          <w:rFonts w:asciiTheme="majorHAnsi" w:hAnsiTheme="majorHAnsi"/>
                          <w:color w:val="0D0D0D" w:themeColor="text1" w:themeTint="F2"/>
                          <w:sz w:val="18"/>
                          <w:szCs w:val="20"/>
                        </w:rPr>
                        <w:t>.</w:t>
                      </w:r>
                    </w:p>
                    <w:p w14:paraId="1EEBE0F8" w14:textId="77777777" w:rsidR="003B5615" w:rsidRPr="001E28D1" w:rsidRDefault="003B5615" w:rsidP="00247403">
                      <w:pPr>
                        <w:tabs>
                          <w:tab w:val="center" w:pos="5400"/>
                        </w:tabs>
                        <w:suppressAutoHyphens/>
                        <w:spacing w:before="60"/>
                        <w:rPr>
                          <w:rFonts w:asciiTheme="minorHAnsi" w:hAnsiTheme="minorHAnsi" w:cs="Univers"/>
                          <w:color w:val="0D0D0D" w:themeColor="text1" w:themeTint="F2"/>
                          <w:sz w:val="20"/>
                          <w:szCs w:val="20"/>
                        </w:rPr>
                      </w:pPr>
                    </w:p>
                    <w:p w14:paraId="5A225399" w14:textId="77777777" w:rsidR="003B5615" w:rsidRPr="001E28D1" w:rsidRDefault="003B5615"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5A0CF270" w14:textId="77777777" w:rsidR="00A50FCF" w:rsidRPr="006D6B01" w:rsidRDefault="00A50FCF" w:rsidP="00040C3A">
      <w:pPr>
        <w:tabs>
          <w:tab w:val="center" w:pos="5400"/>
        </w:tabs>
        <w:suppressAutoHyphens/>
        <w:jc w:val="center"/>
        <w:rPr>
          <w:rFonts w:asciiTheme="majorHAnsi" w:hAnsiTheme="majorHAnsi"/>
          <w:sz w:val="18"/>
          <w:szCs w:val="22"/>
          <w:lang w:val="es-ES_tradnl"/>
        </w:rPr>
      </w:pPr>
    </w:p>
    <w:p w14:paraId="3DBD954B" w14:textId="77777777" w:rsidR="00A50FCF" w:rsidRPr="006D6B01" w:rsidRDefault="00A50FCF" w:rsidP="00040C3A">
      <w:pPr>
        <w:tabs>
          <w:tab w:val="center" w:pos="5400"/>
        </w:tabs>
        <w:suppressAutoHyphens/>
        <w:jc w:val="center"/>
        <w:rPr>
          <w:rFonts w:asciiTheme="majorHAnsi" w:hAnsiTheme="majorHAnsi"/>
          <w:sz w:val="18"/>
          <w:szCs w:val="22"/>
          <w:lang w:val="es-ES_tradnl"/>
        </w:rPr>
      </w:pPr>
    </w:p>
    <w:p w14:paraId="2D153996" w14:textId="77777777" w:rsidR="00A50FCF" w:rsidRPr="006D6B01" w:rsidRDefault="00A50FCF" w:rsidP="00040C3A">
      <w:pPr>
        <w:tabs>
          <w:tab w:val="center" w:pos="5400"/>
        </w:tabs>
        <w:suppressAutoHyphens/>
        <w:jc w:val="center"/>
        <w:rPr>
          <w:rFonts w:asciiTheme="majorHAnsi" w:hAnsiTheme="majorHAnsi"/>
          <w:sz w:val="18"/>
          <w:szCs w:val="22"/>
          <w:lang w:val="es-ES_tradnl"/>
        </w:rPr>
      </w:pPr>
    </w:p>
    <w:p w14:paraId="224EF314" w14:textId="77777777" w:rsidR="00A50FCF" w:rsidRPr="006D6B01" w:rsidRDefault="00A50FCF" w:rsidP="00040C3A">
      <w:pPr>
        <w:tabs>
          <w:tab w:val="center" w:pos="5400"/>
        </w:tabs>
        <w:suppressAutoHyphens/>
        <w:jc w:val="center"/>
        <w:rPr>
          <w:rFonts w:asciiTheme="majorHAnsi" w:hAnsiTheme="majorHAnsi"/>
          <w:sz w:val="18"/>
          <w:szCs w:val="22"/>
          <w:lang w:val="es-ES_tradnl"/>
        </w:rPr>
      </w:pPr>
    </w:p>
    <w:p w14:paraId="49D019F6" w14:textId="77777777" w:rsidR="00A50FCF" w:rsidRPr="006D6B01" w:rsidRDefault="0090270B" w:rsidP="00040C3A">
      <w:pPr>
        <w:tabs>
          <w:tab w:val="center" w:pos="5400"/>
        </w:tabs>
        <w:suppressAutoHyphens/>
        <w:jc w:val="center"/>
        <w:rPr>
          <w:rFonts w:asciiTheme="majorHAnsi" w:hAnsiTheme="majorHAnsi"/>
          <w:sz w:val="18"/>
          <w:szCs w:val="22"/>
          <w:lang w:val="es-ES_tradnl"/>
        </w:rPr>
      </w:pPr>
      <w:r w:rsidRPr="006D6B01">
        <w:rPr>
          <w:rFonts w:asciiTheme="majorHAnsi" w:hAnsiTheme="majorHAnsi"/>
          <w:noProof/>
          <w:sz w:val="18"/>
          <w:szCs w:val="22"/>
          <w:lang w:val="es-ES" w:eastAsia="es-ES"/>
        </w:rPr>
        <mc:AlternateContent>
          <mc:Choice Requires="wps">
            <w:drawing>
              <wp:anchor distT="0" distB="0" distL="114300" distR="114300" simplePos="0" relativeHeight="251678720" behindDoc="0" locked="0" layoutInCell="1" allowOverlap="1" wp14:anchorId="39F7BA3C" wp14:editId="6FB0519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F74A5C" w14:textId="47F08D2E" w:rsidR="003B5615" w:rsidRPr="00BD7433" w:rsidRDefault="003B5615" w:rsidP="00113F73">
                            <w:pPr>
                              <w:spacing w:line="276" w:lineRule="auto"/>
                              <w:rPr>
                                <w:rFonts w:asciiTheme="majorHAnsi" w:hAnsiTheme="majorHAnsi"/>
                                <w:color w:val="595959" w:themeColor="text1" w:themeTint="A6"/>
                                <w:sz w:val="18"/>
                                <w:szCs w:val="18"/>
                              </w:rPr>
                            </w:pPr>
                            <w:r w:rsidRPr="001E28D1">
                              <w:rPr>
                                <w:rFonts w:asciiTheme="majorHAnsi" w:hAnsiTheme="majorHAnsi"/>
                                <w:b/>
                                <w:color w:val="595959" w:themeColor="text1" w:themeTint="A6"/>
                                <w:sz w:val="18"/>
                                <w:szCs w:val="18"/>
                              </w:rPr>
                              <w:t>Cite as:</w:t>
                            </w:r>
                            <w:r>
                              <w:rPr>
                                <w:rFonts w:asciiTheme="majorHAnsi" w:hAnsiTheme="majorHAnsi"/>
                                <w:color w:val="595959" w:themeColor="text1" w:themeTint="A6"/>
                                <w:sz w:val="18"/>
                                <w:szCs w:val="18"/>
                              </w:rPr>
                              <w:t xml:space="preserve"> </w:t>
                            </w:r>
                            <w:r w:rsidRPr="001A69A6">
                              <w:rPr>
                                <w:rFonts w:asciiTheme="majorHAnsi" w:hAnsiTheme="majorHAnsi"/>
                                <w:color w:val="595959" w:themeColor="text1" w:themeTint="A6"/>
                                <w:sz w:val="18"/>
                                <w:szCs w:val="18"/>
                              </w:rPr>
                              <w:t xml:space="preserve">IACHR. Report No. </w:t>
                            </w:r>
                            <w:r w:rsidR="00136ECB">
                              <w:rPr>
                                <w:rFonts w:asciiTheme="majorHAnsi" w:hAnsiTheme="majorHAnsi"/>
                                <w:color w:val="595959" w:themeColor="text1" w:themeTint="A6"/>
                                <w:sz w:val="18"/>
                                <w:szCs w:val="18"/>
                              </w:rPr>
                              <w:t>459</w:t>
                            </w:r>
                            <w:r w:rsidRPr="001A69A6">
                              <w:rPr>
                                <w:rFonts w:asciiTheme="majorHAnsi" w:hAnsiTheme="majorHAnsi"/>
                                <w:color w:val="595959" w:themeColor="text1" w:themeTint="A6"/>
                                <w:sz w:val="18"/>
                                <w:szCs w:val="18"/>
                              </w:rPr>
                              <w:t>/</w:t>
                            </w:r>
                            <w:r>
                              <w:rPr>
                                <w:rFonts w:asciiTheme="majorHAnsi" w:hAnsiTheme="majorHAnsi"/>
                                <w:color w:val="595959" w:themeColor="text1" w:themeTint="A6"/>
                                <w:sz w:val="18"/>
                                <w:szCs w:val="18"/>
                              </w:rPr>
                              <w:t>21</w:t>
                            </w:r>
                            <w:r w:rsidRPr="001A69A6">
                              <w:rPr>
                                <w:rFonts w:asciiTheme="majorHAnsi" w:hAnsiTheme="majorHAnsi"/>
                                <w:color w:val="595959" w:themeColor="text1" w:themeTint="A6"/>
                                <w:sz w:val="18"/>
                                <w:szCs w:val="18"/>
                              </w:rPr>
                              <w:t xml:space="preserve">. Case 12.071. </w:t>
                            </w:r>
                            <w:r w:rsidRPr="00136ECB">
                              <w:rPr>
                                <w:rFonts w:asciiTheme="majorHAnsi" w:hAnsiTheme="majorHAnsi"/>
                                <w:color w:val="595959" w:themeColor="text1" w:themeTint="A6"/>
                                <w:sz w:val="18"/>
                                <w:szCs w:val="18"/>
                              </w:rPr>
                              <w:t>Merits (Publication</w:t>
                            </w:r>
                            <w:r w:rsidRPr="001A69A6">
                              <w:rPr>
                                <w:rFonts w:asciiTheme="majorHAnsi" w:hAnsiTheme="majorHAnsi"/>
                                <w:color w:val="595959" w:themeColor="text1" w:themeTint="A6"/>
                                <w:sz w:val="18"/>
                                <w:szCs w:val="18"/>
                              </w:rPr>
                              <w:t>). Cuban and Haitian Nationals Detained at and Deported From the Carmichael Road Detention Cent</w:t>
                            </w:r>
                            <w:r>
                              <w:rPr>
                                <w:rFonts w:asciiTheme="majorHAnsi" w:hAnsiTheme="majorHAnsi"/>
                                <w:color w:val="595959" w:themeColor="text1" w:themeTint="A6"/>
                                <w:sz w:val="18"/>
                                <w:szCs w:val="18"/>
                              </w:rPr>
                              <w:t xml:space="preserve">er. Commonwealth of the Bahamas. December </w:t>
                            </w:r>
                            <w:r w:rsidR="00136ECB">
                              <w:rPr>
                                <w:rFonts w:asciiTheme="majorHAnsi" w:hAnsiTheme="majorHAnsi"/>
                                <w:color w:val="595959" w:themeColor="text1" w:themeTint="A6"/>
                                <w:sz w:val="18"/>
                                <w:szCs w:val="18"/>
                              </w:rPr>
                              <w:t>31</w:t>
                            </w:r>
                            <w:r>
                              <w:rPr>
                                <w:rFonts w:asciiTheme="majorHAnsi" w:hAnsiTheme="majorHAnsi"/>
                                <w:color w:val="595959" w:themeColor="text1" w:themeTint="A6"/>
                                <w:sz w:val="18"/>
                                <w:szCs w:val="18"/>
                              </w:rPr>
                              <w:t>,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7BA3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50F74A5C" w14:textId="47F08D2E" w:rsidR="003B5615" w:rsidRPr="00BD7433" w:rsidRDefault="003B5615" w:rsidP="00113F73">
                      <w:pPr>
                        <w:spacing w:line="276" w:lineRule="auto"/>
                        <w:rPr>
                          <w:rFonts w:asciiTheme="majorHAnsi" w:hAnsiTheme="majorHAnsi"/>
                          <w:color w:val="595959" w:themeColor="text1" w:themeTint="A6"/>
                          <w:sz w:val="18"/>
                          <w:szCs w:val="18"/>
                        </w:rPr>
                      </w:pPr>
                      <w:r w:rsidRPr="001E28D1">
                        <w:rPr>
                          <w:rFonts w:asciiTheme="majorHAnsi" w:hAnsiTheme="majorHAnsi"/>
                          <w:b/>
                          <w:color w:val="595959" w:themeColor="text1" w:themeTint="A6"/>
                          <w:sz w:val="18"/>
                          <w:szCs w:val="18"/>
                        </w:rPr>
                        <w:t>Cite as:</w:t>
                      </w:r>
                      <w:r>
                        <w:rPr>
                          <w:rFonts w:asciiTheme="majorHAnsi" w:hAnsiTheme="majorHAnsi"/>
                          <w:color w:val="595959" w:themeColor="text1" w:themeTint="A6"/>
                          <w:sz w:val="18"/>
                          <w:szCs w:val="18"/>
                        </w:rPr>
                        <w:t xml:space="preserve"> </w:t>
                      </w:r>
                      <w:r w:rsidRPr="001A69A6">
                        <w:rPr>
                          <w:rFonts w:asciiTheme="majorHAnsi" w:hAnsiTheme="majorHAnsi"/>
                          <w:color w:val="595959" w:themeColor="text1" w:themeTint="A6"/>
                          <w:sz w:val="18"/>
                          <w:szCs w:val="18"/>
                        </w:rPr>
                        <w:t xml:space="preserve">IACHR. Report No. </w:t>
                      </w:r>
                      <w:r w:rsidR="00136ECB">
                        <w:rPr>
                          <w:rFonts w:asciiTheme="majorHAnsi" w:hAnsiTheme="majorHAnsi"/>
                          <w:color w:val="595959" w:themeColor="text1" w:themeTint="A6"/>
                          <w:sz w:val="18"/>
                          <w:szCs w:val="18"/>
                        </w:rPr>
                        <w:t>459</w:t>
                      </w:r>
                      <w:r w:rsidRPr="001A69A6">
                        <w:rPr>
                          <w:rFonts w:asciiTheme="majorHAnsi" w:hAnsiTheme="majorHAnsi"/>
                          <w:color w:val="595959" w:themeColor="text1" w:themeTint="A6"/>
                          <w:sz w:val="18"/>
                          <w:szCs w:val="18"/>
                        </w:rPr>
                        <w:t>/</w:t>
                      </w:r>
                      <w:r>
                        <w:rPr>
                          <w:rFonts w:asciiTheme="majorHAnsi" w:hAnsiTheme="majorHAnsi"/>
                          <w:color w:val="595959" w:themeColor="text1" w:themeTint="A6"/>
                          <w:sz w:val="18"/>
                          <w:szCs w:val="18"/>
                        </w:rPr>
                        <w:t>21</w:t>
                      </w:r>
                      <w:r w:rsidRPr="001A69A6">
                        <w:rPr>
                          <w:rFonts w:asciiTheme="majorHAnsi" w:hAnsiTheme="majorHAnsi"/>
                          <w:color w:val="595959" w:themeColor="text1" w:themeTint="A6"/>
                          <w:sz w:val="18"/>
                          <w:szCs w:val="18"/>
                        </w:rPr>
                        <w:t xml:space="preserve">. Case 12.071. </w:t>
                      </w:r>
                      <w:r w:rsidRPr="00136ECB">
                        <w:rPr>
                          <w:rFonts w:asciiTheme="majorHAnsi" w:hAnsiTheme="majorHAnsi"/>
                          <w:color w:val="595959" w:themeColor="text1" w:themeTint="A6"/>
                          <w:sz w:val="18"/>
                          <w:szCs w:val="18"/>
                        </w:rPr>
                        <w:t>Merits (Publication</w:t>
                      </w:r>
                      <w:r w:rsidRPr="001A69A6">
                        <w:rPr>
                          <w:rFonts w:asciiTheme="majorHAnsi" w:hAnsiTheme="majorHAnsi"/>
                          <w:color w:val="595959" w:themeColor="text1" w:themeTint="A6"/>
                          <w:sz w:val="18"/>
                          <w:szCs w:val="18"/>
                        </w:rPr>
                        <w:t>). Cuban and Haitian Nationals Detained at and Deported From the Carmichael Road Detention Cent</w:t>
                      </w:r>
                      <w:r>
                        <w:rPr>
                          <w:rFonts w:asciiTheme="majorHAnsi" w:hAnsiTheme="majorHAnsi"/>
                          <w:color w:val="595959" w:themeColor="text1" w:themeTint="A6"/>
                          <w:sz w:val="18"/>
                          <w:szCs w:val="18"/>
                        </w:rPr>
                        <w:t xml:space="preserve">er. Commonwealth of the Bahamas. December </w:t>
                      </w:r>
                      <w:r w:rsidR="00136ECB">
                        <w:rPr>
                          <w:rFonts w:asciiTheme="majorHAnsi" w:hAnsiTheme="majorHAnsi"/>
                          <w:color w:val="595959" w:themeColor="text1" w:themeTint="A6"/>
                          <w:sz w:val="18"/>
                          <w:szCs w:val="18"/>
                        </w:rPr>
                        <w:t>31</w:t>
                      </w:r>
                      <w:r>
                        <w:rPr>
                          <w:rFonts w:asciiTheme="majorHAnsi" w:hAnsiTheme="majorHAnsi"/>
                          <w:color w:val="595959" w:themeColor="text1" w:themeTint="A6"/>
                          <w:sz w:val="18"/>
                          <w:szCs w:val="18"/>
                        </w:rPr>
                        <w:t>, 2021.</w:t>
                      </w:r>
                    </w:p>
                  </w:txbxContent>
                </v:textbox>
              </v:shape>
            </w:pict>
          </mc:Fallback>
        </mc:AlternateContent>
      </w:r>
    </w:p>
    <w:p w14:paraId="4F80C816" w14:textId="77777777" w:rsidR="00A50FCF" w:rsidRPr="006D6B01" w:rsidRDefault="00A50FCF" w:rsidP="00040C3A">
      <w:pPr>
        <w:tabs>
          <w:tab w:val="center" w:pos="5400"/>
        </w:tabs>
        <w:suppressAutoHyphens/>
        <w:jc w:val="center"/>
        <w:rPr>
          <w:rFonts w:asciiTheme="majorHAnsi" w:hAnsiTheme="majorHAnsi"/>
          <w:sz w:val="18"/>
          <w:szCs w:val="22"/>
          <w:lang w:val="es-ES_tradnl"/>
        </w:rPr>
      </w:pPr>
    </w:p>
    <w:p w14:paraId="1A88C60B" w14:textId="77777777" w:rsidR="0090270B" w:rsidRPr="006D6B01" w:rsidRDefault="00D306D1" w:rsidP="005516A1">
      <w:pPr>
        <w:tabs>
          <w:tab w:val="center" w:pos="5400"/>
        </w:tabs>
        <w:suppressAutoHyphens/>
        <w:jc w:val="center"/>
        <w:rPr>
          <w:rFonts w:asciiTheme="majorHAnsi" w:hAnsiTheme="majorHAnsi"/>
          <w:b/>
          <w:sz w:val="20"/>
          <w:lang w:val="es-ES_tradnl"/>
        </w:rPr>
      </w:pPr>
      <w:r w:rsidRPr="006D6B01">
        <w:rPr>
          <w:rFonts w:asciiTheme="majorHAnsi" w:hAnsiTheme="majorHAnsi"/>
          <w:noProof/>
          <w:sz w:val="18"/>
          <w:szCs w:val="22"/>
          <w:lang w:val="es-ES" w:eastAsia="es-ES"/>
        </w:rPr>
        <mc:AlternateContent>
          <mc:Choice Requires="wps">
            <w:drawing>
              <wp:anchor distT="0" distB="0" distL="114300" distR="114300" simplePos="0" relativeHeight="251680768" behindDoc="0" locked="0" layoutInCell="1" allowOverlap="1" wp14:anchorId="5A36AD66" wp14:editId="29F24709">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088740" w14:textId="32B4D17A" w:rsidR="003B5615" w:rsidRPr="00D72DC6" w:rsidRDefault="004311FE" w:rsidP="00F02AD1">
                            <w:pPr>
                              <w:rPr>
                                <w:color w:val="FFFFFF" w:themeColor="background1"/>
                                <w14:textFill>
                                  <w14:noFill/>
                                </w14:textFill>
                              </w:rPr>
                            </w:pPr>
                            <w:r>
                              <w:rPr>
                                <w:noProof/>
                                <w:color w:val="FFFFFF" w:themeColor="background1"/>
                              </w:rPr>
                              <w:drawing>
                                <wp:inline distT="0" distB="0" distL="0" distR="0" wp14:anchorId="5DD50DCF" wp14:editId="2A7DEA28">
                                  <wp:extent cx="1837690" cy="469265"/>
                                  <wp:effectExtent l="0" t="0" r="0" b="6985"/>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9"/>
                                          <a:stretch>
                                            <a:fillRect/>
                                          </a:stretch>
                                        </pic:blipFill>
                                        <pic:spPr>
                                          <a:xfrm>
                                            <a:off x="0" y="0"/>
                                            <a:ext cx="1837690"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6AD66"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45088740" w14:textId="32B4D17A" w:rsidR="003B5615" w:rsidRPr="00D72DC6" w:rsidRDefault="004311FE" w:rsidP="00F02AD1">
                      <w:pPr>
                        <w:rPr>
                          <w:color w:val="FFFFFF" w:themeColor="background1"/>
                          <w14:textFill>
                            <w14:noFill/>
                          </w14:textFill>
                        </w:rPr>
                      </w:pPr>
                      <w:r>
                        <w:rPr>
                          <w:noProof/>
                          <w:color w:val="FFFFFF" w:themeColor="background1"/>
                        </w:rPr>
                        <w:drawing>
                          <wp:inline distT="0" distB="0" distL="0" distR="0" wp14:anchorId="5DD50DCF" wp14:editId="2A7DEA28">
                            <wp:extent cx="1837690" cy="469265"/>
                            <wp:effectExtent l="0" t="0" r="0" b="6985"/>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9"/>
                                    <a:stretch>
                                      <a:fillRect/>
                                    </a:stretch>
                                  </pic:blipFill>
                                  <pic:spPr>
                                    <a:xfrm>
                                      <a:off x="0" y="0"/>
                                      <a:ext cx="1837690" cy="469265"/>
                                    </a:xfrm>
                                    <a:prstGeom prst="rect">
                                      <a:avLst/>
                                    </a:prstGeom>
                                  </pic:spPr>
                                </pic:pic>
                              </a:graphicData>
                            </a:graphic>
                          </wp:inline>
                        </w:drawing>
                      </w:r>
                    </w:p>
                  </w:txbxContent>
                </v:textbox>
              </v:shape>
            </w:pict>
          </mc:Fallback>
        </mc:AlternateContent>
      </w:r>
      <w:r w:rsidRPr="006D6B01">
        <w:rPr>
          <w:rFonts w:asciiTheme="majorHAnsi" w:hAnsiTheme="majorHAnsi"/>
          <w:noProof/>
          <w:sz w:val="22"/>
          <w:szCs w:val="22"/>
          <w:lang w:val="es-ES" w:eastAsia="es-ES"/>
        </w:rPr>
        <mc:AlternateContent>
          <mc:Choice Requires="wps">
            <w:drawing>
              <wp:anchor distT="0" distB="0" distL="114300" distR="114300" simplePos="0" relativeHeight="251682816" behindDoc="0" locked="0" layoutInCell="1" allowOverlap="1" wp14:anchorId="69D1F290" wp14:editId="36537E3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2CA91D" w14:textId="77777777" w:rsidR="003B5615" w:rsidRPr="004B7EB6" w:rsidRDefault="003B5615"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1F290"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D2CA91D" w14:textId="77777777" w:rsidR="003B5615" w:rsidRPr="004B7EB6" w:rsidRDefault="003B5615"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0C224381" w14:textId="77777777" w:rsidR="0070697F" w:rsidRPr="006D6B01" w:rsidRDefault="0070697F" w:rsidP="005516A1">
      <w:pPr>
        <w:tabs>
          <w:tab w:val="center" w:pos="5400"/>
        </w:tabs>
        <w:suppressAutoHyphens/>
        <w:jc w:val="center"/>
        <w:rPr>
          <w:rFonts w:asciiTheme="majorHAnsi" w:hAnsiTheme="majorHAnsi"/>
          <w:b/>
          <w:sz w:val="20"/>
          <w:lang w:val="es-ES_tradnl"/>
        </w:rPr>
        <w:sectPr w:rsidR="0070697F" w:rsidRPr="006D6B01"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00127448" w14:textId="77777777" w:rsidR="00722C9F" w:rsidRPr="006D6B01" w:rsidRDefault="00722C9F" w:rsidP="00722C9F">
      <w:pPr>
        <w:tabs>
          <w:tab w:val="center" w:pos="5400"/>
        </w:tabs>
        <w:suppressAutoHyphens/>
        <w:spacing w:line="276" w:lineRule="auto"/>
        <w:jc w:val="center"/>
        <w:rPr>
          <w:rFonts w:asciiTheme="majorHAnsi" w:hAnsiTheme="majorHAnsi"/>
          <w:sz w:val="18"/>
          <w:szCs w:val="20"/>
        </w:rPr>
      </w:pPr>
    </w:p>
    <w:p w14:paraId="5F03A620" w14:textId="77777777" w:rsidR="00722C9F" w:rsidRPr="006D6B01" w:rsidRDefault="001E28D1" w:rsidP="00722C9F">
      <w:pPr>
        <w:tabs>
          <w:tab w:val="center" w:pos="5400"/>
        </w:tabs>
        <w:suppressAutoHyphens/>
        <w:spacing w:line="276" w:lineRule="auto"/>
        <w:jc w:val="center"/>
        <w:rPr>
          <w:rFonts w:asciiTheme="majorHAnsi" w:hAnsiTheme="majorHAnsi"/>
          <w:b/>
          <w:sz w:val="28"/>
          <w:szCs w:val="20"/>
        </w:rPr>
      </w:pPr>
      <w:r w:rsidRPr="006D6B01">
        <w:rPr>
          <w:rFonts w:asciiTheme="majorHAnsi" w:hAnsiTheme="majorHAnsi"/>
          <w:b/>
          <w:szCs w:val="20"/>
        </w:rPr>
        <w:t>INDEX</w:t>
      </w:r>
    </w:p>
    <w:p w14:paraId="3861EE26" w14:textId="77777777" w:rsidR="00E909AA" w:rsidRPr="00D66F4D" w:rsidRDefault="00E909AA" w:rsidP="003B6901">
      <w:pPr>
        <w:suppressAutoHyphens/>
        <w:rPr>
          <w:rFonts w:asciiTheme="majorHAnsi" w:hAnsiTheme="majorHAnsi"/>
          <w:b/>
          <w:sz w:val="20"/>
          <w:szCs w:val="20"/>
        </w:rPr>
      </w:pPr>
    </w:p>
    <w:p w14:paraId="51B1989C" w14:textId="701A1520" w:rsidR="00D66F4D" w:rsidRPr="009D1882" w:rsidRDefault="003B6901" w:rsidP="009D1882">
      <w:pPr>
        <w:pStyle w:val="TOC1"/>
        <w:rPr>
          <w:rFonts w:eastAsiaTheme="minorEastAsia" w:cstheme="minorBidi"/>
          <w:bdr w:val="none" w:sz="0" w:space="0" w:color="auto"/>
          <w:lang w:val="es-US" w:eastAsia="zh-CN"/>
        </w:rPr>
      </w:pPr>
      <w:r w:rsidRPr="00136ECB">
        <w:rPr>
          <w:lang w:val="es-ES_tradnl"/>
        </w:rPr>
        <w:fldChar w:fldCharType="begin"/>
      </w:r>
      <w:r w:rsidRPr="00136ECB">
        <w:instrText xml:space="preserve"> TOC \o "1-4" \h \z \u </w:instrText>
      </w:r>
      <w:r w:rsidRPr="00136ECB">
        <w:rPr>
          <w:lang w:val="es-ES_tradnl"/>
        </w:rPr>
        <w:fldChar w:fldCharType="separate"/>
      </w:r>
      <w:hyperlink w:anchor="_Toc90557397" w:history="1">
        <w:r w:rsidR="00D66F4D" w:rsidRPr="009D1882">
          <w:rPr>
            <w:rStyle w:val="Hyperlink"/>
            <w:b w:val="0"/>
            <w:bCs w:val="0"/>
          </w:rPr>
          <w:t>I.</w:t>
        </w:r>
        <w:r w:rsidR="00D66F4D" w:rsidRPr="009D1882">
          <w:rPr>
            <w:rFonts w:eastAsiaTheme="minorEastAsia" w:cstheme="minorBidi"/>
            <w:bdr w:val="none" w:sz="0" w:space="0" w:color="auto"/>
            <w:lang w:val="es-US" w:eastAsia="zh-CN"/>
          </w:rPr>
          <w:tab/>
        </w:r>
        <w:r w:rsidR="00D66F4D" w:rsidRPr="009D1882">
          <w:rPr>
            <w:rStyle w:val="Hyperlink"/>
            <w:b w:val="0"/>
            <w:bCs w:val="0"/>
          </w:rPr>
          <w:t>SUMMARY</w:t>
        </w:r>
        <w:r w:rsidR="00D66F4D" w:rsidRPr="009D1882">
          <w:rPr>
            <w:webHidden/>
          </w:rPr>
          <w:tab/>
        </w:r>
        <w:r w:rsidR="00D66F4D" w:rsidRPr="009D1882">
          <w:rPr>
            <w:webHidden/>
          </w:rPr>
          <w:fldChar w:fldCharType="begin"/>
        </w:r>
        <w:r w:rsidR="00D66F4D" w:rsidRPr="009D1882">
          <w:rPr>
            <w:webHidden/>
          </w:rPr>
          <w:instrText xml:space="preserve"> PAGEREF _Toc90557397 \h </w:instrText>
        </w:r>
        <w:r w:rsidR="00D66F4D" w:rsidRPr="009D1882">
          <w:rPr>
            <w:webHidden/>
          </w:rPr>
        </w:r>
        <w:r w:rsidR="00D66F4D" w:rsidRPr="009D1882">
          <w:rPr>
            <w:webHidden/>
          </w:rPr>
          <w:fldChar w:fldCharType="separate"/>
        </w:r>
        <w:r w:rsidR="00167B5D" w:rsidRPr="009D1882">
          <w:rPr>
            <w:webHidden/>
          </w:rPr>
          <w:t>2</w:t>
        </w:r>
        <w:r w:rsidR="00D66F4D" w:rsidRPr="009D1882">
          <w:rPr>
            <w:webHidden/>
          </w:rPr>
          <w:fldChar w:fldCharType="end"/>
        </w:r>
      </w:hyperlink>
    </w:p>
    <w:p w14:paraId="25387AC1" w14:textId="656034B1" w:rsidR="00D66F4D" w:rsidRPr="00136ECB" w:rsidRDefault="009C7672" w:rsidP="009D1882">
      <w:pPr>
        <w:pStyle w:val="TOC1"/>
        <w:rPr>
          <w:rFonts w:eastAsiaTheme="minorEastAsia" w:cstheme="minorBidi"/>
          <w:bdr w:val="none" w:sz="0" w:space="0" w:color="auto"/>
          <w:lang w:val="es-US" w:eastAsia="zh-CN"/>
        </w:rPr>
      </w:pPr>
      <w:hyperlink w:anchor="_Toc90557398" w:history="1">
        <w:r w:rsidR="00D66F4D" w:rsidRPr="00136ECB">
          <w:rPr>
            <w:rStyle w:val="Hyperlink"/>
          </w:rPr>
          <w:t>II.</w:t>
        </w:r>
        <w:r w:rsidR="00D66F4D" w:rsidRPr="00136ECB">
          <w:rPr>
            <w:rFonts w:eastAsiaTheme="minorEastAsia" w:cstheme="minorBidi"/>
            <w:bdr w:val="none" w:sz="0" w:space="0" w:color="auto"/>
            <w:lang w:val="es-US" w:eastAsia="zh-CN"/>
          </w:rPr>
          <w:tab/>
        </w:r>
        <w:r w:rsidR="00D66F4D" w:rsidRPr="00136ECB">
          <w:rPr>
            <w:rStyle w:val="Hyperlink"/>
          </w:rPr>
          <w:t>POSITIONS OF THE PARTIES</w:t>
        </w:r>
        <w:r w:rsidR="00D66F4D" w:rsidRPr="00136ECB">
          <w:rPr>
            <w:webHidden/>
          </w:rPr>
          <w:tab/>
        </w:r>
        <w:r w:rsidR="00D66F4D" w:rsidRPr="00136ECB">
          <w:rPr>
            <w:webHidden/>
          </w:rPr>
          <w:fldChar w:fldCharType="begin"/>
        </w:r>
        <w:r w:rsidR="00D66F4D" w:rsidRPr="00136ECB">
          <w:rPr>
            <w:webHidden/>
          </w:rPr>
          <w:instrText xml:space="preserve"> PAGEREF _Toc90557398 \h </w:instrText>
        </w:r>
        <w:r w:rsidR="00D66F4D" w:rsidRPr="00136ECB">
          <w:rPr>
            <w:webHidden/>
          </w:rPr>
        </w:r>
        <w:r w:rsidR="00D66F4D" w:rsidRPr="00136ECB">
          <w:rPr>
            <w:webHidden/>
          </w:rPr>
          <w:fldChar w:fldCharType="separate"/>
        </w:r>
        <w:r w:rsidR="00167B5D">
          <w:rPr>
            <w:webHidden/>
          </w:rPr>
          <w:t>2</w:t>
        </w:r>
        <w:r w:rsidR="00D66F4D" w:rsidRPr="00136ECB">
          <w:rPr>
            <w:webHidden/>
          </w:rPr>
          <w:fldChar w:fldCharType="end"/>
        </w:r>
      </w:hyperlink>
    </w:p>
    <w:p w14:paraId="02CA0F0A" w14:textId="2FF06B9C" w:rsidR="00D66F4D" w:rsidRPr="00136ECB" w:rsidRDefault="009C7672">
      <w:pPr>
        <w:pStyle w:val="TOC2"/>
        <w:rPr>
          <w:rFonts w:asciiTheme="majorHAnsi" w:eastAsiaTheme="minorEastAsia" w:hAnsiTheme="majorHAnsi" w:cstheme="minorBidi"/>
          <w:noProof/>
          <w:sz w:val="20"/>
          <w:szCs w:val="20"/>
          <w:bdr w:val="none" w:sz="0" w:space="0" w:color="auto"/>
          <w:lang w:val="es-US" w:eastAsia="zh-CN"/>
        </w:rPr>
      </w:pPr>
      <w:hyperlink w:anchor="_Toc90557399" w:history="1">
        <w:r w:rsidR="00D66F4D" w:rsidRPr="00136ECB">
          <w:rPr>
            <w:rStyle w:val="Hyperlink"/>
            <w:rFonts w:asciiTheme="majorHAnsi" w:hAnsiTheme="majorHAnsi"/>
            <w:noProof/>
            <w:sz w:val="20"/>
            <w:szCs w:val="20"/>
          </w:rPr>
          <w:t>A.</w:t>
        </w:r>
        <w:r w:rsidR="00D66F4D" w:rsidRPr="00136ECB">
          <w:rPr>
            <w:rFonts w:asciiTheme="majorHAnsi" w:eastAsiaTheme="minorEastAsia" w:hAnsiTheme="majorHAnsi" w:cstheme="minorBidi"/>
            <w:noProof/>
            <w:sz w:val="20"/>
            <w:szCs w:val="20"/>
            <w:bdr w:val="none" w:sz="0" w:space="0" w:color="auto"/>
            <w:lang w:val="es-US" w:eastAsia="zh-CN"/>
          </w:rPr>
          <w:tab/>
        </w:r>
        <w:r w:rsidR="00D66F4D" w:rsidRPr="00136ECB">
          <w:rPr>
            <w:rStyle w:val="Hyperlink"/>
            <w:rFonts w:asciiTheme="majorHAnsi" w:hAnsiTheme="majorHAnsi"/>
            <w:noProof/>
            <w:sz w:val="20"/>
            <w:szCs w:val="20"/>
          </w:rPr>
          <w:t>Petitioners</w:t>
        </w:r>
        <w:r w:rsidR="00D66F4D" w:rsidRPr="00136ECB">
          <w:rPr>
            <w:rFonts w:asciiTheme="majorHAnsi" w:hAnsiTheme="majorHAnsi"/>
            <w:noProof/>
            <w:webHidden/>
            <w:sz w:val="20"/>
            <w:szCs w:val="20"/>
          </w:rPr>
          <w:tab/>
        </w:r>
        <w:r w:rsidR="00D66F4D" w:rsidRPr="00136ECB">
          <w:rPr>
            <w:rFonts w:asciiTheme="majorHAnsi" w:hAnsiTheme="majorHAnsi"/>
            <w:noProof/>
            <w:webHidden/>
            <w:sz w:val="20"/>
            <w:szCs w:val="20"/>
          </w:rPr>
          <w:fldChar w:fldCharType="begin"/>
        </w:r>
        <w:r w:rsidR="00D66F4D" w:rsidRPr="00136ECB">
          <w:rPr>
            <w:rFonts w:asciiTheme="majorHAnsi" w:hAnsiTheme="majorHAnsi"/>
            <w:noProof/>
            <w:webHidden/>
            <w:sz w:val="20"/>
            <w:szCs w:val="20"/>
          </w:rPr>
          <w:instrText xml:space="preserve"> PAGEREF _Toc90557399 \h </w:instrText>
        </w:r>
        <w:r w:rsidR="00D66F4D" w:rsidRPr="00136ECB">
          <w:rPr>
            <w:rFonts w:asciiTheme="majorHAnsi" w:hAnsiTheme="majorHAnsi"/>
            <w:noProof/>
            <w:webHidden/>
            <w:sz w:val="20"/>
            <w:szCs w:val="20"/>
          </w:rPr>
        </w:r>
        <w:r w:rsidR="00D66F4D" w:rsidRPr="00136ECB">
          <w:rPr>
            <w:rFonts w:asciiTheme="majorHAnsi" w:hAnsiTheme="majorHAnsi"/>
            <w:noProof/>
            <w:webHidden/>
            <w:sz w:val="20"/>
            <w:szCs w:val="20"/>
          </w:rPr>
          <w:fldChar w:fldCharType="separate"/>
        </w:r>
        <w:r w:rsidR="00167B5D">
          <w:rPr>
            <w:rFonts w:asciiTheme="majorHAnsi" w:hAnsiTheme="majorHAnsi"/>
            <w:noProof/>
            <w:webHidden/>
            <w:sz w:val="20"/>
            <w:szCs w:val="20"/>
          </w:rPr>
          <w:t>2</w:t>
        </w:r>
        <w:r w:rsidR="00D66F4D" w:rsidRPr="00136ECB">
          <w:rPr>
            <w:rFonts w:asciiTheme="majorHAnsi" w:hAnsiTheme="majorHAnsi"/>
            <w:noProof/>
            <w:webHidden/>
            <w:sz w:val="20"/>
            <w:szCs w:val="20"/>
          </w:rPr>
          <w:fldChar w:fldCharType="end"/>
        </w:r>
      </w:hyperlink>
    </w:p>
    <w:p w14:paraId="1CAFACB4" w14:textId="721F2305" w:rsidR="00D66F4D" w:rsidRPr="00136ECB" w:rsidRDefault="009C7672">
      <w:pPr>
        <w:pStyle w:val="TOC2"/>
        <w:rPr>
          <w:rFonts w:asciiTheme="majorHAnsi" w:eastAsiaTheme="minorEastAsia" w:hAnsiTheme="majorHAnsi" w:cstheme="minorBidi"/>
          <w:noProof/>
          <w:sz w:val="20"/>
          <w:szCs w:val="20"/>
          <w:bdr w:val="none" w:sz="0" w:space="0" w:color="auto"/>
          <w:lang w:val="es-US" w:eastAsia="zh-CN"/>
        </w:rPr>
      </w:pPr>
      <w:hyperlink w:anchor="_Toc90557400" w:history="1">
        <w:r w:rsidR="00D66F4D" w:rsidRPr="00136ECB">
          <w:rPr>
            <w:rStyle w:val="Hyperlink"/>
            <w:rFonts w:asciiTheme="majorHAnsi" w:hAnsiTheme="majorHAnsi"/>
            <w:noProof/>
            <w:sz w:val="20"/>
            <w:szCs w:val="20"/>
          </w:rPr>
          <w:t>B.</w:t>
        </w:r>
        <w:r w:rsidR="00D66F4D" w:rsidRPr="00136ECB">
          <w:rPr>
            <w:rFonts w:asciiTheme="majorHAnsi" w:eastAsiaTheme="minorEastAsia" w:hAnsiTheme="majorHAnsi" w:cstheme="minorBidi"/>
            <w:noProof/>
            <w:sz w:val="20"/>
            <w:szCs w:val="20"/>
            <w:bdr w:val="none" w:sz="0" w:space="0" w:color="auto"/>
            <w:lang w:val="es-US" w:eastAsia="zh-CN"/>
          </w:rPr>
          <w:tab/>
        </w:r>
        <w:r w:rsidR="00D66F4D" w:rsidRPr="00136ECB">
          <w:rPr>
            <w:rStyle w:val="Hyperlink"/>
            <w:rFonts w:asciiTheme="majorHAnsi" w:hAnsiTheme="majorHAnsi"/>
            <w:noProof/>
            <w:sz w:val="20"/>
            <w:szCs w:val="20"/>
          </w:rPr>
          <w:t>State</w:t>
        </w:r>
        <w:r w:rsidR="00D66F4D" w:rsidRPr="00136ECB">
          <w:rPr>
            <w:rFonts w:asciiTheme="majorHAnsi" w:hAnsiTheme="majorHAnsi"/>
            <w:noProof/>
            <w:webHidden/>
            <w:sz w:val="20"/>
            <w:szCs w:val="20"/>
          </w:rPr>
          <w:tab/>
        </w:r>
        <w:r w:rsidR="00D66F4D" w:rsidRPr="00136ECB">
          <w:rPr>
            <w:rFonts w:asciiTheme="majorHAnsi" w:hAnsiTheme="majorHAnsi"/>
            <w:noProof/>
            <w:webHidden/>
            <w:sz w:val="20"/>
            <w:szCs w:val="20"/>
          </w:rPr>
          <w:fldChar w:fldCharType="begin"/>
        </w:r>
        <w:r w:rsidR="00D66F4D" w:rsidRPr="00136ECB">
          <w:rPr>
            <w:rFonts w:asciiTheme="majorHAnsi" w:hAnsiTheme="majorHAnsi"/>
            <w:noProof/>
            <w:webHidden/>
            <w:sz w:val="20"/>
            <w:szCs w:val="20"/>
          </w:rPr>
          <w:instrText xml:space="preserve"> PAGEREF _Toc90557400 \h </w:instrText>
        </w:r>
        <w:r w:rsidR="00D66F4D" w:rsidRPr="00136ECB">
          <w:rPr>
            <w:rFonts w:asciiTheme="majorHAnsi" w:hAnsiTheme="majorHAnsi"/>
            <w:noProof/>
            <w:webHidden/>
            <w:sz w:val="20"/>
            <w:szCs w:val="20"/>
          </w:rPr>
        </w:r>
        <w:r w:rsidR="00D66F4D" w:rsidRPr="00136ECB">
          <w:rPr>
            <w:rFonts w:asciiTheme="majorHAnsi" w:hAnsiTheme="majorHAnsi"/>
            <w:noProof/>
            <w:webHidden/>
            <w:sz w:val="20"/>
            <w:szCs w:val="20"/>
          </w:rPr>
          <w:fldChar w:fldCharType="separate"/>
        </w:r>
        <w:r w:rsidR="00167B5D">
          <w:rPr>
            <w:rFonts w:asciiTheme="majorHAnsi" w:hAnsiTheme="majorHAnsi"/>
            <w:noProof/>
            <w:webHidden/>
            <w:sz w:val="20"/>
            <w:szCs w:val="20"/>
          </w:rPr>
          <w:t>3</w:t>
        </w:r>
        <w:r w:rsidR="00D66F4D" w:rsidRPr="00136ECB">
          <w:rPr>
            <w:rFonts w:asciiTheme="majorHAnsi" w:hAnsiTheme="majorHAnsi"/>
            <w:noProof/>
            <w:webHidden/>
            <w:sz w:val="20"/>
            <w:szCs w:val="20"/>
          </w:rPr>
          <w:fldChar w:fldCharType="end"/>
        </w:r>
      </w:hyperlink>
    </w:p>
    <w:p w14:paraId="1A814678" w14:textId="3361701B" w:rsidR="00D66F4D" w:rsidRPr="00136ECB" w:rsidRDefault="009C7672" w:rsidP="009D1882">
      <w:pPr>
        <w:pStyle w:val="TOC1"/>
        <w:rPr>
          <w:rFonts w:eastAsiaTheme="minorEastAsia" w:cstheme="minorBidi"/>
          <w:bdr w:val="none" w:sz="0" w:space="0" w:color="auto"/>
          <w:lang w:val="es-US" w:eastAsia="zh-CN"/>
        </w:rPr>
      </w:pPr>
      <w:hyperlink w:anchor="_Toc90557401" w:history="1">
        <w:r w:rsidR="00D66F4D" w:rsidRPr="00136ECB">
          <w:rPr>
            <w:rStyle w:val="Hyperlink"/>
          </w:rPr>
          <w:t>III.</w:t>
        </w:r>
        <w:r w:rsidR="00D66F4D" w:rsidRPr="00136ECB">
          <w:rPr>
            <w:rFonts w:eastAsiaTheme="minorEastAsia" w:cstheme="minorBidi"/>
            <w:bdr w:val="none" w:sz="0" w:space="0" w:color="auto"/>
            <w:lang w:val="es-US" w:eastAsia="zh-CN"/>
          </w:rPr>
          <w:tab/>
        </w:r>
        <w:r w:rsidR="00D66F4D" w:rsidRPr="00136ECB">
          <w:rPr>
            <w:rStyle w:val="Hyperlink"/>
          </w:rPr>
          <w:t>ADMISSIBILITY ANALYSIS</w:t>
        </w:r>
        <w:r w:rsidR="00D66F4D" w:rsidRPr="00136ECB">
          <w:rPr>
            <w:webHidden/>
          </w:rPr>
          <w:tab/>
        </w:r>
        <w:r w:rsidR="00D66F4D" w:rsidRPr="00136ECB">
          <w:rPr>
            <w:webHidden/>
          </w:rPr>
          <w:fldChar w:fldCharType="begin"/>
        </w:r>
        <w:r w:rsidR="00D66F4D" w:rsidRPr="00136ECB">
          <w:rPr>
            <w:webHidden/>
          </w:rPr>
          <w:instrText xml:space="preserve"> PAGEREF _Toc90557401 \h </w:instrText>
        </w:r>
        <w:r w:rsidR="00D66F4D" w:rsidRPr="00136ECB">
          <w:rPr>
            <w:webHidden/>
          </w:rPr>
        </w:r>
        <w:r w:rsidR="00D66F4D" w:rsidRPr="00136ECB">
          <w:rPr>
            <w:webHidden/>
          </w:rPr>
          <w:fldChar w:fldCharType="separate"/>
        </w:r>
        <w:r w:rsidR="00167B5D">
          <w:rPr>
            <w:webHidden/>
          </w:rPr>
          <w:t>4</w:t>
        </w:r>
        <w:r w:rsidR="00D66F4D" w:rsidRPr="00136ECB">
          <w:rPr>
            <w:webHidden/>
          </w:rPr>
          <w:fldChar w:fldCharType="end"/>
        </w:r>
      </w:hyperlink>
    </w:p>
    <w:p w14:paraId="6C79223D" w14:textId="3671E25E" w:rsidR="00D66F4D" w:rsidRPr="00136ECB" w:rsidRDefault="009C7672" w:rsidP="009D1882">
      <w:pPr>
        <w:pStyle w:val="TOC1"/>
        <w:rPr>
          <w:rFonts w:eastAsiaTheme="minorEastAsia" w:cstheme="minorBidi"/>
          <w:bdr w:val="none" w:sz="0" w:space="0" w:color="auto"/>
          <w:lang w:val="es-US" w:eastAsia="zh-CN"/>
        </w:rPr>
      </w:pPr>
      <w:hyperlink w:anchor="_Toc90557402" w:history="1">
        <w:r w:rsidR="00D66F4D" w:rsidRPr="00136ECB">
          <w:rPr>
            <w:rStyle w:val="Hyperlink"/>
          </w:rPr>
          <w:t>IV.</w:t>
        </w:r>
        <w:r w:rsidR="00D66F4D" w:rsidRPr="00136ECB">
          <w:rPr>
            <w:rFonts w:eastAsiaTheme="minorEastAsia" w:cstheme="minorBidi"/>
            <w:bdr w:val="none" w:sz="0" w:space="0" w:color="auto"/>
            <w:lang w:val="es-US" w:eastAsia="zh-CN"/>
          </w:rPr>
          <w:tab/>
        </w:r>
        <w:r w:rsidR="00D66F4D" w:rsidRPr="00136ECB">
          <w:rPr>
            <w:rStyle w:val="Hyperlink"/>
          </w:rPr>
          <w:t>FINDINGS OF FACT</w:t>
        </w:r>
        <w:r w:rsidR="00D66F4D" w:rsidRPr="00136ECB">
          <w:rPr>
            <w:webHidden/>
          </w:rPr>
          <w:tab/>
        </w:r>
        <w:r w:rsidR="00D66F4D" w:rsidRPr="00136ECB">
          <w:rPr>
            <w:webHidden/>
          </w:rPr>
          <w:fldChar w:fldCharType="begin"/>
        </w:r>
        <w:r w:rsidR="00D66F4D" w:rsidRPr="00136ECB">
          <w:rPr>
            <w:webHidden/>
          </w:rPr>
          <w:instrText xml:space="preserve"> PAGEREF _Toc90557402 \h </w:instrText>
        </w:r>
        <w:r w:rsidR="00D66F4D" w:rsidRPr="00136ECB">
          <w:rPr>
            <w:webHidden/>
          </w:rPr>
        </w:r>
        <w:r w:rsidR="00D66F4D" w:rsidRPr="00136ECB">
          <w:rPr>
            <w:webHidden/>
          </w:rPr>
          <w:fldChar w:fldCharType="separate"/>
        </w:r>
        <w:r w:rsidR="00167B5D">
          <w:rPr>
            <w:webHidden/>
          </w:rPr>
          <w:t>4</w:t>
        </w:r>
        <w:r w:rsidR="00D66F4D" w:rsidRPr="00136ECB">
          <w:rPr>
            <w:webHidden/>
          </w:rPr>
          <w:fldChar w:fldCharType="end"/>
        </w:r>
      </w:hyperlink>
    </w:p>
    <w:p w14:paraId="7E236449" w14:textId="31D0793E" w:rsidR="00D66F4D" w:rsidRPr="00136ECB" w:rsidRDefault="009C7672">
      <w:pPr>
        <w:pStyle w:val="TOC2"/>
        <w:rPr>
          <w:rFonts w:asciiTheme="majorHAnsi" w:eastAsiaTheme="minorEastAsia" w:hAnsiTheme="majorHAnsi" w:cstheme="minorBidi"/>
          <w:noProof/>
          <w:sz w:val="20"/>
          <w:szCs w:val="20"/>
          <w:bdr w:val="none" w:sz="0" w:space="0" w:color="auto"/>
          <w:lang w:val="es-US" w:eastAsia="zh-CN"/>
        </w:rPr>
      </w:pPr>
      <w:hyperlink w:anchor="_Toc90557403" w:history="1">
        <w:r w:rsidR="00D66F4D" w:rsidRPr="00136ECB">
          <w:rPr>
            <w:rStyle w:val="Hyperlink"/>
            <w:rFonts w:asciiTheme="majorHAnsi" w:hAnsiTheme="majorHAnsi"/>
            <w:noProof/>
            <w:sz w:val="20"/>
            <w:szCs w:val="20"/>
          </w:rPr>
          <w:t>A.</w:t>
        </w:r>
        <w:r w:rsidR="00D66F4D" w:rsidRPr="00136ECB">
          <w:rPr>
            <w:rFonts w:asciiTheme="majorHAnsi" w:eastAsiaTheme="minorEastAsia" w:hAnsiTheme="majorHAnsi" w:cstheme="minorBidi"/>
            <w:noProof/>
            <w:sz w:val="20"/>
            <w:szCs w:val="20"/>
            <w:bdr w:val="none" w:sz="0" w:space="0" w:color="auto"/>
            <w:lang w:val="es-US" w:eastAsia="zh-CN"/>
          </w:rPr>
          <w:tab/>
        </w:r>
        <w:r w:rsidR="00D66F4D" w:rsidRPr="00136ECB">
          <w:rPr>
            <w:rStyle w:val="Hyperlink"/>
            <w:rFonts w:asciiTheme="majorHAnsi" w:hAnsiTheme="majorHAnsi"/>
            <w:noProof/>
            <w:sz w:val="20"/>
            <w:szCs w:val="20"/>
          </w:rPr>
          <w:t>Context</w:t>
        </w:r>
        <w:r w:rsidR="00D66F4D" w:rsidRPr="00136ECB">
          <w:rPr>
            <w:rFonts w:asciiTheme="majorHAnsi" w:hAnsiTheme="majorHAnsi"/>
            <w:noProof/>
            <w:webHidden/>
            <w:sz w:val="20"/>
            <w:szCs w:val="20"/>
          </w:rPr>
          <w:tab/>
        </w:r>
        <w:r w:rsidR="00D66F4D" w:rsidRPr="00136ECB">
          <w:rPr>
            <w:rFonts w:asciiTheme="majorHAnsi" w:hAnsiTheme="majorHAnsi"/>
            <w:noProof/>
            <w:webHidden/>
            <w:sz w:val="20"/>
            <w:szCs w:val="20"/>
          </w:rPr>
          <w:fldChar w:fldCharType="begin"/>
        </w:r>
        <w:r w:rsidR="00D66F4D" w:rsidRPr="00136ECB">
          <w:rPr>
            <w:rFonts w:asciiTheme="majorHAnsi" w:hAnsiTheme="majorHAnsi"/>
            <w:noProof/>
            <w:webHidden/>
            <w:sz w:val="20"/>
            <w:szCs w:val="20"/>
          </w:rPr>
          <w:instrText xml:space="preserve"> PAGEREF _Toc90557403 \h </w:instrText>
        </w:r>
        <w:r w:rsidR="00D66F4D" w:rsidRPr="00136ECB">
          <w:rPr>
            <w:rFonts w:asciiTheme="majorHAnsi" w:hAnsiTheme="majorHAnsi"/>
            <w:noProof/>
            <w:webHidden/>
            <w:sz w:val="20"/>
            <w:szCs w:val="20"/>
          </w:rPr>
        </w:r>
        <w:r w:rsidR="00D66F4D" w:rsidRPr="00136ECB">
          <w:rPr>
            <w:rFonts w:asciiTheme="majorHAnsi" w:hAnsiTheme="majorHAnsi"/>
            <w:noProof/>
            <w:webHidden/>
            <w:sz w:val="20"/>
            <w:szCs w:val="20"/>
          </w:rPr>
          <w:fldChar w:fldCharType="separate"/>
        </w:r>
        <w:r w:rsidR="00167B5D">
          <w:rPr>
            <w:rFonts w:asciiTheme="majorHAnsi" w:hAnsiTheme="majorHAnsi"/>
            <w:noProof/>
            <w:webHidden/>
            <w:sz w:val="20"/>
            <w:szCs w:val="20"/>
          </w:rPr>
          <w:t>4</w:t>
        </w:r>
        <w:r w:rsidR="00D66F4D" w:rsidRPr="00136ECB">
          <w:rPr>
            <w:rFonts w:asciiTheme="majorHAnsi" w:hAnsiTheme="majorHAnsi"/>
            <w:noProof/>
            <w:webHidden/>
            <w:sz w:val="20"/>
            <w:szCs w:val="20"/>
          </w:rPr>
          <w:fldChar w:fldCharType="end"/>
        </w:r>
      </w:hyperlink>
    </w:p>
    <w:p w14:paraId="2ECB348A" w14:textId="496ED581" w:rsidR="00D66F4D" w:rsidRPr="00136ECB" w:rsidRDefault="009C7672">
      <w:pPr>
        <w:pStyle w:val="TOC2"/>
        <w:rPr>
          <w:rFonts w:asciiTheme="majorHAnsi" w:eastAsiaTheme="minorEastAsia" w:hAnsiTheme="majorHAnsi" w:cstheme="minorBidi"/>
          <w:noProof/>
          <w:sz w:val="20"/>
          <w:szCs w:val="20"/>
          <w:bdr w:val="none" w:sz="0" w:space="0" w:color="auto"/>
          <w:lang w:val="es-US" w:eastAsia="zh-CN"/>
        </w:rPr>
      </w:pPr>
      <w:hyperlink w:anchor="_Toc90557404" w:history="1">
        <w:r w:rsidR="00D66F4D" w:rsidRPr="00136ECB">
          <w:rPr>
            <w:rStyle w:val="Hyperlink"/>
            <w:rFonts w:asciiTheme="majorHAnsi" w:hAnsiTheme="majorHAnsi"/>
            <w:noProof/>
            <w:sz w:val="20"/>
            <w:szCs w:val="20"/>
          </w:rPr>
          <w:t>B.</w:t>
        </w:r>
        <w:r w:rsidR="00D66F4D" w:rsidRPr="00136ECB">
          <w:rPr>
            <w:rFonts w:asciiTheme="majorHAnsi" w:eastAsiaTheme="minorEastAsia" w:hAnsiTheme="majorHAnsi" w:cstheme="minorBidi"/>
            <w:noProof/>
            <w:sz w:val="20"/>
            <w:szCs w:val="20"/>
            <w:bdr w:val="none" w:sz="0" w:space="0" w:color="auto"/>
            <w:lang w:val="es-US" w:eastAsia="zh-CN"/>
          </w:rPr>
          <w:tab/>
        </w:r>
        <w:r w:rsidR="00D66F4D" w:rsidRPr="00136ECB">
          <w:rPr>
            <w:rStyle w:val="Hyperlink"/>
            <w:rFonts w:asciiTheme="majorHAnsi" w:hAnsiTheme="majorHAnsi"/>
            <w:noProof/>
            <w:sz w:val="20"/>
            <w:szCs w:val="20"/>
          </w:rPr>
          <w:t>Facts of the case</w:t>
        </w:r>
        <w:r w:rsidR="00D66F4D" w:rsidRPr="00136ECB">
          <w:rPr>
            <w:rFonts w:asciiTheme="majorHAnsi" w:hAnsiTheme="majorHAnsi"/>
            <w:noProof/>
            <w:webHidden/>
            <w:sz w:val="20"/>
            <w:szCs w:val="20"/>
          </w:rPr>
          <w:tab/>
        </w:r>
        <w:r w:rsidR="00D66F4D" w:rsidRPr="00136ECB">
          <w:rPr>
            <w:rFonts w:asciiTheme="majorHAnsi" w:hAnsiTheme="majorHAnsi"/>
            <w:noProof/>
            <w:webHidden/>
            <w:sz w:val="20"/>
            <w:szCs w:val="20"/>
          </w:rPr>
          <w:fldChar w:fldCharType="begin"/>
        </w:r>
        <w:r w:rsidR="00D66F4D" w:rsidRPr="00136ECB">
          <w:rPr>
            <w:rFonts w:asciiTheme="majorHAnsi" w:hAnsiTheme="majorHAnsi"/>
            <w:noProof/>
            <w:webHidden/>
            <w:sz w:val="20"/>
            <w:szCs w:val="20"/>
          </w:rPr>
          <w:instrText xml:space="preserve"> PAGEREF _Toc90557404 \h </w:instrText>
        </w:r>
        <w:r w:rsidR="00D66F4D" w:rsidRPr="00136ECB">
          <w:rPr>
            <w:rFonts w:asciiTheme="majorHAnsi" w:hAnsiTheme="majorHAnsi"/>
            <w:noProof/>
            <w:webHidden/>
            <w:sz w:val="20"/>
            <w:szCs w:val="20"/>
          </w:rPr>
        </w:r>
        <w:r w:rsidR="00D66F4D" w:rsidRPr="00136ECB">
          <w:rPr>
            <w:rFonts w:asciiTheme="majorHAnsi" w:hAnsiTheme="majorHAnsi"/>
            <w:noProof/>
            <w:webHidden/>
            <w:sz w:val="20"/>
            <w:szCs w:val="20"/>
          </w:rPr>
          <w:fldChar w:fldCharType="separate"/>
        </w:r>
        <w:r w:rsidR="00167B5D">
          <w:rPr>
            <w:rFonts w:asciiTheme="majorHAnsi" w:hAnsiTheme="majorHAnsi"/>
            <w:noProof/>
            <w:webHidden/>
            <w:sz w:val="20"/>
            <w:szCs w:val="20"/>
          </w:rPr>
          <w:t>7</w:t>
        </w:r>
        <w:r w:rsidR="00D66F4D" w:rsidRPr="00136ECB">
          <w:rPr>
            <w:rFonts w:asciiTheme="majorHAnsi" w:hAnsiTheme="majorHAnsi"/>
            <w:noProof/>
            <w:webHidden/>
            <w:sz w:val="20"/>
            <w:szCs w:val="20"/>
          </w:rPr>
          <w:fldChar w:fldCharType="end"/>
        </w:r>
      </w:hyperlink>
    </w:p>
    <w:p w14:paraId="44AB5AE3" w14:textId="5B07D449" w:rsidR="00D66F4D" w:rsidRPr="00136ECB" w:rsidRDefault="009C7672">
      <w:pPr>
        <w:pStyle w:val="TOC3"/>
        <w:rPr>
          <w:rFonts w:asciiTheme="majorHAnsi" w:eastAsiaTheme="minorEastAsia" w:hAnsiTheme="majorHAnsi" w:cstheme="minorBidi"/>
          <w:noProof/>
          <w:sz w:val="20"/>
          <w:szCs w:val="20"/>
          <w:bdr w:val="none" w:sz="0" w:space="0" w:color="auto"/>
          <w:lang w:val="es-US" w:eastAsia="zh-CN"/>
        </w:rPr>
      </w:pPr>
      <w:hyperlink w:anchor="_Toc90557405" w:history="1">
        <w:r w:rsidR="00D66F4D" w:rsidRPr="00136ECB">
          <w:rPr>
            <w:rStyle w:val="Hyperlink"/>
            <w:rFonts w:asciiTheme="majorHAnsi" w:hAnsiTheme="majorHAnsi"/>
            <w:noProof/>
            <w:sz w:val="20"/>
            <w:szCs w:val="20"/>
          </w:rPr>
          <w:t>1.</w:t>
        </w:r>
        <w:r w:rsidR="00D66F4D" w:rsidRPr="00136ECB">
          <w:rPr>
            <w:rFonts w:asciiTheme="majorHAnsi" w:eastAsiaTheme="minorEastAsia" w:hAnsiTheme="majorHAnsi" w:cstheme="minorBidi"/>
            <w:noProof/>
            <w:sz w:val="20"/>
            <w:szCs w:val="20"/>
            <w:bdr w:val="none" w:sz="0" w:space="0" w:color="auto"/>
            <w:lang w:val="es-US" w:eastAsia="zh-CN"/>
          </w:rPr>
          <w:tab/>
        </w:r>
        <w:r w:rsidR="00D66F4D" w:rsidRPr="00136ECB">
          <w:rPr>
            <w:rStyle w:val="Hyperlink"/>
            <w:rFonts w:asciiTheme="majorHAnsi" w:hAnsiTheme="majorHAnsi"/>
            <w:noProof/>
            <w:sz w:val="20"/>
            <w:szCs w:val="20"/>
          </w:rPr>
          <w:t>The detention and repatriation of Cuban nationals and Haitian nationals</w:t>
        </w:r>
        <w:r w:rsidR="00D66F4D" w:rsidRPr="00136ECB">
          <w:rPr>
            <w:rFonts w:asciiTheme="majorHAnsi" w:hAnsiTheme="majorHAnsi"/>
            <w:noProof/>
            <w:webHidden/>
            <w:sz w:val="20"/>
            <w:szCs w:val="20"/>
          </w:rPr>
          <w:tab/>
        </w:r>
        <w:r w:rsidR="00D66F4D" w:rsidRPr="00136ECB">
          <w:rPr>
            <w:rFonts w:asciiTheme="majorHAnsi" w:hAnsiTheme="majorHAnsi"/>
            <w:noProof/>
            <w:webHidden/>
            <w:sz w:val="20"/>
            <w:szCs w:val="20"/>
          </w:rPr>
          <w:fldChar w:fldCharType="begin"/>
        </w:r>
        <w:r w:rsidR="00D66F4D" w:rsidRPr="00136ECB">
          <w:rPr>
            <w:rFonts w:asciiTheme="majorHAnsi" w:hAnsiTheme="majorHAnsi"/>
            <w:noProof/>
            <w:webHidden/>
            <w:sz w:val="20"/>
            <w:szCs w:val="20"/>
          </w:rPr>
          <w:instrText xml:space="preserve"> PAGEREF _Toc90557405 \h </w:instrText>
        </w:r>
        <w:r w:rsidR="00D66F4D" w:rsidRPr="00136ECB">
          <w:rPr>
            <w:rFonts w:asciiTheme="majorHAnsi" w:hAnsiTheme="majorHAnsi"/>
            <w:noProof/>
            <w:webHidden/>
            <w:sz w:val="20"/>
            <w:szCs w:val="20"/>
          </w:rPr>
        </w:r>
        <w:r w:rsidR="00D66F4D" w:rsidRPr="00136ECB">
          <w:rPr>
            <w:rFonts w:asciiTheme="majorHAnsi" w:hAnsiTheme="majorHAnsi"/>
            <w:noProof/>
            <w:webHidden/>
            <w:sz w:val="20"/>
            <w:szCs w:val="20"/>
          </w:rPr>
          <w:fldChar w:fldCharType="separate"/>
        </w:r>
        <w:r w:rsidR="00167B5D">
          <w:rPr>
            <w:rFonts w:asciiTheme="majorHAnsi" w:hAnsiTheme="majorHAnsi"/>
            <w:noProof/>
            <w:webHidden/>
            <w:sz w:val="20"/>
            <w:szCs w:val="20"/>
          </w:rPr>
          <w:t>7</w:t>
        </w:r>
        <w:r w:rsidR="00D66F4D" w:rsidRPr="00136ECB">
          <w:rPr>
            <w:rFonts w:asciiTheme="majorHAnsi" w:hAnsiTheme="majorHAnsi"/>
            <w:noProof/>
            <w:webHidden/>
            <w:sz w:val="20"/>
            <w:szCs w:val="20"/>
          </w:rPr>
          <w:fldChar w:fldCharType="end"/>
        </w:r>
      </w:hyperlink>
    </w:p>
    <w:p w14:paraId="7CCA9E9D" w14:textId="5DC96575" w:rsidR="00D66F4D" w:rsidRPr="00136ECB" w:rsidRDefault="009C7672">
      <w:pPr>
        <w:pStyle w:val="TOC3"/>
        <w:rPr>
          <w:rFonts w:asciiTheme="majorHAnsi" w:eastAsiaTheme="minorEastAsia" w:hAnsiTheme="majorHAnsi" w:cstheme="minorBidi"/>
          <w:noProof/>
          <w:sz w:val="20"/>
          <w:szCs w:val="20"/>
          <w:bdr w:val="none" w:sz="0" w:space="0" w:color="auto"/>
          <w:lang w:val="es-US" w:eastAsia="zh-CN"/>
        </w:rPr>
      </w:pPr>
      <w:hyperlink w:anchor="_Toc90557406" w:history="1">
        <w:r w:rsidR="00D66F4D" w:rsidRPr="00136ECB">
          <w:rPr>
            <w:rStyle w:val="Hyperlink"/>
            <w:rFonts w:asciiTheme="majorHAnsi" w:hAnsiTheme="majorHAnsi"/>
            <w:noProof/>
            <w:sz w:val="20"/>
            <w:szCs w:val="20"/>
          </w:rPr>
          <w:t>2.</w:t>
        </w:r>
        <w:r w:rsidR="00D66F4D" w:rsidRPr="00136ECB">
          <w:rPr>
            <w:rFonts w:asciiTheme="majorHAnsi" w:eastAsiaTheme="minorEastAsia" w:hAnsiTheme="majorHAnsi" w:cstheme="minorBidi"/>
            <w:noProof/>
            <w:sz w:val="20"/>
            <w:szCs w:val="20"/>
            <w:bdr w:val="none" w:sz="0" w:space="0" w:color="auto"/>
            <w:lang w:val="es-US" w:eastAsia="zh-CN"/>
          </w:rPr>
          <w:tab/>
        </w:r>
        <w:r w:rsidR="00D66F4D" w:rsidRPr="00136ECB">
          <w:rPr>
            <w:rStyle w:val="Hyperlink"/>
            <w:rFonts w:asciiTheme="majorHAnsi" w:hAnsiTheme="majorHAnsi"/>
            <w:noProof/>
            <w:sz w:val="20"/>
            <w:szCs w:val="20"/>
          </w:rPr>
          <w:t>Specific information regarding Nieves Escuela and her family</w:t>
        </w:r>
        <w:r w:rsidR="00D66F4D" w:rsidRPr="00136ECB">
          <w:rPr>
            <w:rFonts w:asciiTheme="majorHAnsi" w:hAnsiTheme="majorHAnsi"/>
            <w:noProof/>
            <w:webHidden/>
            <w:sz w:val="20"/>
            <w:szCs w:val="20"/>
          </w:rPr>
          <w:tab/>
        </w:r>
        <w:r w:rsidR="00D66F4D" w:rsidRPr="00136ECB">
          <w:rPr>
            <w:rFonts w:asciiTheme="majorHAnsi" w:hAnsiTheme="majorHAnsi"/>
            <w:noProof/>
            <w:webHidden/>
            <w:sz w:val="20"/>
            <w:szCs w:val="20"/>
          </w:rPr>
          <w:fldChar w:fldCharType="begin"/>
        </w:r>
        <w:r w:rsidR="00D66F4D" w:rsidRPr="00136ECB">
          <w:rPr>
            <w:rFonts w:asciiTheme="majorHAnsi" w:hAnsiTheme="majorHAnsi"/>
            <w:noProof/>
            <w:webHidden/>
            <w:sz w:val="20"/>
            <w:szCs w:val="20"/>
          </w:rPr>
          <w:instrText xml:space="preserve"> PAGEREF _Toc90557406 \h </w:instrText>
        </w:r>
        <w:r w:rsidR="00D66F4D" w:rsidRPr="00136ECB">
          <w:rPr>
            <w:rFonts w:asciiTheme="majorHAnsi" w:hAnsiTheme="majorHAnsi"/>
            <w:noProof/>
            <w:webHidden/>
            <w:sz w:val="20"/>
            <w:szCs w:val="20"/>
          </w:rPr>
        </w:r>
        <w:r w:rsidR="00D66F4D" w:rsidRPr="00136ECB">
          <w:rPr>
            <w:rFonts w:asciiTheme="majorHAnsi" w:hAnsiTheme="majorHAnsi"/>
            <w:noProof/>
            <w:webHidden/>
            <w:sz w:val="20"/>
            <w:szCs w:val="20"/>
          </w:rPr>
          <w:fldChar w:fldCharType="separate"/>
        </w:r>
        <w:r w:rsidR="00167B5D">
          <w:rPr>
            <w:rFonts w:asciiTheme="majorHAnsi" w:hAnsiTheme="majorHAnsi"/>
            <w:noProof/>
            <w:webHidden/>
            <w:sz w:val="20"/>
            <w:szCs w:val="20"/>
          </w:rPr>
          <w:t>8</w:t>
        </w:r>
        <w:r w:rsidR="00D66F4D" w:rsidRPr="00136ECB">
          <w:rPr>
            <w:rFonts w:asciiTheme="majorHAnsi" w:hAnsiTheme="majorHAnsi"/>
            <w:noProof/>
            <w:webHidden/>
            <w:sz w:val="20"/>
            <w:szCs w:val="20"/>
          </w:rPr>
          <w:fldChar w:fldCharType="end"/>
        </w:r>
      </w:hyperlink>
    </w:p>
    <w:p w14:paraId="0433D94F" w14:textId="34A14FA7" w:rsidR="00D66F4D" w:rsidRPr="00136ECB" w:rsidRDefault="009C7672">
      <w:pPr>
        <w:pStyle w:val="TOC3"/>
        <w:rPr>
          <w:rFonts w:asciiTheme="majorHAnsi" w:eastAsiaTheme="minorEastAsia" w:hAnsiTheme="majorHAnsi" w:cstheme="minorBidi"/>
          <w:noProof/>
          <w:sz w:val="20"/>
          <w:szCs w:val="20"/>
          <w:bdr w:val="none" w:sz="0" w:space="0" w:color="auto"/>
          <w:lang w:val="es-US" w:eastAsia="zh-CN"/>
        </w:rPr>
      </w:pPr>
      <w:hyperlink w:anchor="_Toc90557407" w:history="1">
        <w:r w:rsidR="00D66F4D" w:rsidRPr="00136ECB">
          <w:rPr>
            <w:rStyle w:val="Hyperlink"/>
            <w:rFonts w:asciiTheme="majorHAnsi" w:hAnsiTheme="majorHAnsi"/>
            <w:noProof/>
            <w:sz w:val="20"/>
            <w:szCs w:val="20"/>
          </w:rPr>
          <w:t>3.</w:t>
        </w:r>
        <w:r w:rsidR="00D66F4D" w:rsidRPr="00136ECB">
          <w:rPr>
            <w:rFonts w:asciiTheme="majorHAnsi" w:eastAsiaTheme="minorEastAsia" w:hAnsiTheme="majorHAnsi" w:cstheme="minorBidi"/>
            <w:noProof/>
            <w:sz w:val="20"/>
            <w:szCs w:val="20"/>
            <w:bdr w:val="none" w:sz="0" w:space="0" w:color="auto"/>
            <w:lang w:val="es-US" w:eastAsia="zh-CN"/>
          </w:rPr>
          <w:tab/>
        </w:r>
        <w:r w:rsidR="00D66F4D" w:rsidRPr="00136ECB">
          <w:rPr>
            <w:rStyle w:val="Hyperlink"/>
            <w:rFonts w:asciiTheme="majorHAnsi" w:hAnsiTheme="majorHAnsi"/>
            <w:noProof/>
            <w:sz w:val="20"/>
            <w:szCs w:val="20"/>
          </w:rPr>
          <w:t>Specific information regarding Pastor Jose Aguiar Perez and Damian Rigoberto Cabrera Perez</w:t>
        </w:r>
        <w:r w:rsidR="00D66F4D" w:rsidRPr="00136ECB">
          <w:rPr>
            <w:rFonts w:asciiTheme="majorHAnsi" w:hAnsiTheme="majorHAnsi"/>
            <w:noProof/>
            <w:webHidden/>
            <w:sz w:val="20"/>
            <w:szCs w:val="20"/>
          </w:rPr>
          <w:tab/>
        </w:r>
        <w:r w:rsidR="00D66F4D" w:rsidRPr="00136ECB">
          <w:rPr>
            <w:rFonts w:asciiTheme="majorHAnsi" w:hAnsiTheme="majorHAnsi"/>
            <w:noProof/>
            <w:webHidden/>
            <w:sz w:val="20"/>
            <w:szCs w:val="20"/>
          </w:rPr>
          <w:fldChar w:fldCharType="begin"/>
        </w:r>
        <w:r w:rsidR="00D66F4D" w:rsidRPr="00136ECB">
          <w:rPr>
            <w:rFonts w:asciiTheme="majorHAnsi" w:hAnsiTheme="majorHAnsi"/>
            <w:noProof/>
            <w:webHidden/>
            <w:sz w:val="20"/>
            <w:szCs w:val="20"/>
          </w:rPr>
          <w:instrText xml:space="preserve"> PAGEREF _Toc90557407 \h </w:instrText>
        </w:r>
        <w:r w:rsidR="00D66F4D" w:rsidRPr="00136ECB">
          <w:rPr>
            <w:rFonts w:asciiTheme="majorHAnsi" w:hAnsiTheme="majorHAnsi"/>
            <w:noProof/>
            <w:webHidden/>
            <w:sz w:val="20"/>
            <w:szCs w:val="20"/>
          </w:rPr>
        </w:r>
        <w:r w:rsidR="00D66F4D" w:rsidRPr="00136ECB">
          <w:rPr>
            <w:rFonts w:asciiTheme="majorHAnsi" w:hAnsiTheme="majorHAnsi"/>
            <w:noProof/>
            <w:webHidden/>
            <w:sz w:val="20"/>
            <w:szCs w:val="20"/>
          </w:rPr>
          <w:fldChar w:fldCharType="separate"/>
        </w:r>
        <w:r w:rsidR="00167B5D">
          <w:rPr>
            <w:rFonts w:asciiTheme="majorHAnsi" w:hAnsiTheme="majorHAnsi"/>
            <w:noProof/>
            <w:webHidden/>
            <w:sz w:val="20"/>
            <w:szCs w:val="20"/>
          </w:rPr>
          <w:t>9</w:t>
        </w:r>
        <w:r w:rsidR="00D66F4D" w:rsidRPr="00136ECB">
          <w:rPr>
            <w:rFonts w:asciiTheme="majorHAnsi" w:hAnsiTheme="majorHAnsi"/>
            <w:noProof/>
            <w:webHidden/>
            <w:sz w:val="20"/>
            <w:szCs w:val="20"/>
          </w:rPr>
          <w:fldChar w:fldCharType="end"/>
        </w:r>
      </w:hyperlink>
    </w:p>
    <w:p w14:paraId="5424714F" w14:textId="1546E842" w:rsidR="00D66F4D" w:rsidRPr="00136ECB" w:rsidRDefault="009C7672">
      <w:pPr>
        <w:pStyle w:val="TOC3"/>
        <w:rPr>
          <w:rFonts w:asciiTheme="majorHAnsi" w:eastAsiaTheme="minorEastAsia" w:hAnsiTheme="majorHAnsi" w:cstheme="minorBidi"/>
          <w:noProof/>
          <w:sz w:val="20"/>
          <w:szCs w:val="20"/>
          <w:bdr w:val="none" w:sz="0" w:space="0" w:color="auto"/>
          <w:lang w:val="es-US" w:eastAsia="zh-CN"/>
        </w:rPr>
      </w:pPr>
      <w:hyperlink w:anchor="_Toc90557408" w:history="1">
        <w:r w:rsidR="00D66F4D" w:rsidRPr="00136ECB">
          <w:rPr>
            <w:rStyle w:val="Hyperlink"/>
            <w:rFonts w:asciiTheme="majorHAnsi" w:hAnsiTheme="majorHAnsi"/>
            <w:noProof/>
            <w:sz w:val="20"/>
            <w:szCs w:val="20"/>
          </w:rPr>
          <w:t>4.</w:t>
        </w:r>
        <w:r w:rsidR="00D66F4D" w:rsidRPr="00136ECB">
          <w:rPr>
            <w:rFonts w:asciiTheme="majorHAnsi" w:eastAsiaTheme="minorEastAsia" w:hAnsiTheme="majorHAnsi" w:cstheme="minorBidi"/>
            <w:noProof/>
            <w:sz w:val="20"/>
            <w:szCs w:val="20"/>
            <w:bdr w:val="none" w:sz="0" w:space="0" w:color="auto"/>
            <w:lang w:val="es-US" w:eastAsia="zh-CN"/>
          </w:rPr>
          <w:tab/>
        </w:r>
        <w:r w:rsidR="00D66F4D" w:rsidRPr="00136ECB">
          <w:rPr>
            <w:rStyle w:val="Hyperlink"/>
            <w:rFonts w:asciiTheme="majorHAnsi" w:hAnsiTheme="majorHAnsi"/>
            <w:noProof/>
            <w:sz w:val="20"/>
            <w:szCs w:val="20"/>
          </w:rPr>
          <w:t>Conditions of detention at the Carmichael Road Detention Center</w:t>
        </w:r>
        <w:r w:rsidR="00D66F4D" w:rsidRPr="00136ECB">
          <w:rPr>
            <w:rFonts w:asciiTheme="majorHAnsi" w:hAnsiTheme="majorHAnsi"/>
            <w:noProof/>
            <w:webHidden/>
            <w:sz w:val="20"/>
            <w:szCs w:val="20"/>
          </w:rPr>
          <w:tab/>
        </w:r>
        <w:r w:rsidR="00D66F4D" w:rsidRPr="00136ECB">
          <w:rPr>
            <w:rFonts w:asciiTheme="majorHAnsi" w:hAnsiTheme="majorHAnsi"/>
            <w:noProof/>
            <w:webHidden/>
            <w:sz w:val="20"/>
            <w:szCs w:val="20"/>
          </w:rPr>
          <w:fldChar w:fldCharType="begin"/>
        </w:r>
        <w:r w:rsidR="00D66F4D" w:rsidRPr="00136ECB">
          <w:rPr>
            <w:rFonts w:asciiTheme="majorHAnsi" w:hAnsiTheme="majorHAnsi"/>
            <w:noProof/>
            <w:webHidden/>
            <w:sz w:val="20"/>
            <w:szCs w:val="20"/>
          </w:rPr>
          <w:instrText xml:space="preserve"> PAGEREF _Toc90557408 \h </w:instrText>
        </w:r>
        <w:r w:rsidR="00D66F4D" w:rsidRPr="00136ECB">
          <w:rPr>
            <w:rFonts w:asciiTheme="majorHAnsi" w:hAnsiTheme="majorHAnsi"/>
            <w:noProof/>
            <w:webHidden/>
            <w:sz w:val="20"/>
            <w:szCs w:val="20"/>
          </w:rPr>
        </w:r>
        <w:r w:rsidR="00D66F4D" w:rsidRPr="00136ECB">
          <w:rPr>
            <w:rFonts w:asciiTheme="majorHAnsi" w:hAnsiTheme="majorHAnsi"/>
            <w:noProof/>
            <w:webHidden/>
            <w:sz w:val="20"/>
            <w:szCs w:val="20"/>
          </w:rPr>
          <w:fldChar w:fldCharType="separate"/>
        </w:r>
        <w:r w:rsidR="00167B5D">
          <w:rPr>
            <w:rFonts w:asciiTheme="majorHAnsi" w:hAnsiTheme="majorHAnsi"/>
            <w:noProof/>
            <w:webHidden/>
            <w:sz w:val="20"/>
            <w:szCs w:val="20"/>
          </w:rPr>
          <w:t>9</w:t>
        </w:r>
        <w:r w:rsidR="00D66F4D" w:rsidRPr="00136ECB">
          <w:rPr>
            <w:rFonts w:asciiTheme="majorHAnsi" w:hAnsiTheme="majorHAnsi"/>
            <w:noProof/>
            <w:webHidden/>
            <w:sz w:val="20"/>
            <w:szCs w:val="20"/>
          </w:rPr>
          <w:fldChar w:fldCharType="end"/>
        </w:r>
      </w:hyperlink>
    </w:p>
    <w:p w14:paraId="151BB3BA" w14:textId="1983895C" w:rsidR="00D66F4D" w:rsidRPr="00136ECB" w:rsidRDefault="009C7672">
      <w:pPr>
        <w:pStyle w:val="TOC3"/>
        <w:rPr>
          <w:rFonts w:asciiTheme="majorHAnsi" w:eastAsiaTheme="minorEastAsia" w:hAnsiTheme="majorHAnsi" w:cstheme="minorBidi"/>
          <w:noProof/>
          <w:sz w:val="20"/>
          <w:szCs w:val="20"/>
          <w:bdr w:val="none" w:sz="0" w:space="0" w:color="auto"/>
          <w:lang w:val="es-US" w:eastAsia="zh-CN"/>
        </w:rPr>
      </w:pPr>
      <w:hyperlink w:anchor="_Toc90557409" w:history="1">
        <w:r w:rsidR="00D66F4D" w:rsidRPr="00136ECB">
          <w:rPr>
            <w:rStyle w:val="Hyperlink"/>
            <w:rFonts w:asciiTheme="majorHAnsi" w:hAnsiTheme="majorHAnsi"/>
            <w:noProof/>
            <w:sz w:val="20"/>
            <w:szCs w:val="20"/>
          </w:rPr>
          <w:t>5.</w:t>
        </w:r>
        <w:r w:rsidR="00D66F4D" w:rsidRPr="00136ECB">
          <w:rPr>
            <w:rFonts w:asciiTheme="majorHAnsi" w:eastAsiaTheme="minorEastAsia" w:hAnsiTheme="majorHAnsi" w:cstheme="minorBidi"/>
            <w:noProof/>
            <w:sz w:val="20"/>
            <w:szCs w:val="20"/>
            <w:bdr w:val="none" w:sz="0" w:space="0" w:color="auto"/>
            <w:lang w:val="es-US" w:eastAsia="zh-CN"/>
          </w:rPr>
          <w:tab/>
        </w:r>
        <w:r w:rsidR="00D66F4D" w:rsidRPr="00136ECB">
          <w:rPr>
            <w:rStyle w:val="Hyperlink"/>
            <w:rFonts w:asciiTheme="majorHAnsi" w:hAnsiTheme="majorHAnsi"/>
            <w:noProof/>
            <w:sz w:val="20"/>
            <w:szCs w:val="20"/>
          </w:rPr>
          <w:t>Information regarding procedures for accessing asylum in The Bahamas</w:t>
        </w:r>
        <w:r w:rsidR="00D66F4D" w:rsidRPr="00136ECB">
          <w:rPr>
            <w:rFonts w:asciiTheme="majorHAnsi" w:hAnsiTheme="majorHAnsi"/>
            <w:noProof/>
            <w:webHidden/>
            <w:sz w:val="20"/>
            <w:szCs w:val="20"/>
          </w:rPr>
          <w:tab/>
        </w:r>
        <w:r w:rsidR="00D66F4D" w:rsidRPr="00136ECB">
          <w:rPr>
            <w:rFonts w:asciiTheme="majorHAnsi" w:hAnsiTheme="majorHAnsi"/>
            <w:noProof/>
            <w:webHidden/>
            <w:sz w:val="20"/>
            <w:szCs w:val="20"/>
          </w:rPr>
          <w:fldChar w:fldCharType="begin"/>
        </w:r>
        <w:r w:rsidR="00D66F4D" w:rsidRPr="00136ECB">
          <w:rPr>
            <w:rFonts w:asciiTheme="majorHAnsi" w:hAnsiTheme="majorHAnsi"/>
            <w:noProof/>
            <w:webHidden/>
            <w:sz w:val="20"/>
            <w:szCs w:val="20"/>
          </w:rPr>
          <w:instrText xml:space="preserve"> PAGEREF _Toc90557409 \h </w:instrText>
        </w:r>
        <w:r w:rsidR="00D66F4D" w:rsidRPr="00136ECB">
          <w:rPr>
            <w:rFonts w:asciiTheme="majorHAnsi" w:hAnsiTheme="majorHAnsi"/>
            <w:noProof/>
            <w:webHidden/>
            <w:sz w:val="20"/>
            <w:szCs w:val="20"/>
          </w:rPr>
        </w:r>
        <w:r w:rsidR="00D66F4D" w:rsidRPr="00136ECB">
          <w:rPr>
            <w:rFonts w:asciiTheme="majorHAnsi" w:hAnsiTheme="majorHAnsi"/>
            <w:noProof/>
            <w:webHidden/>
            <w:sz w:val="20"/>
            <w:szCs w:val="20"/>
          </w:rPr>
          <w:fldChar w:fldCharType="separate"/>
        </w:r>
        <w:r w:rsidR="00167B5D">
          <w:rPr>
            <w:rFonts w:asciiTheme="majorHAnsi" w:hAnsiTheme="majorHAnsi"/>
            <w:noProof/>
            <w:webHidden/>
            <w:sz w:val="20"/>
            <w:szCs w:val="20"/>
          </w:rPr>
          <w:t>10</w:t>
        </w:r>
        <w:r w:rsidR="00D66F4D" w:rsidRPr="00136ECB">
          <w:rPr>
            <w:rFonts w:asciiTheme="majorHAnsi" w:hAnsiTheme="majorHAnsi"/>
            <w:noProof/>
            <w:webHidden/>
            <w:sz w:val="20"/>
            <w:szCs w:val="20"/>
          </w:rPr>
          <w:fldChar w:fldCharType="end"/>
        </w:r>
      </w:hyperlink>
    </w:p>
    <w:p w14:paraId="62CA99BF" w14:textId="5B40AD58" w:rsidR="00D66F4D" w:rsidRPr="00136ECB" w:rsidRDefault="009C7672" w:rsidP="009D1882">
      <w:pPr>
        <w:pStyle w:val="TOC1"/>
        <w:rPr>
          <w:rFonts w:eastAsiaTheme="minorEastAsia" w:cstheme="minorBidi"/>
          <w:bdr w:val="none" w:sz="0" w:space="0" w:color="auto"/>
          <w:lang w:val="es-US" w:eastAsia="zh-CN"/>
        </w:rPr>
      </w:pPr>
      <w:hyperlink w:anchor="_Toc90557410" w:history="1">
        <w:r w:rsidR="00D66F4D" w:rsidRPr="00136ECB">
          <w:rPr>
            <w:rStyle w:val="Hyperlink"/>
          </w:rPr>
          <w:t>V.</w:t>
        </w:r>
        <w:r w:rsidR="00D66F4D" w:rsidRPr="00136ECB">
          <w:rPr>
            <w:rFonts w:eastAsiaTheme="minorEastAsia" w:cstheme="minorBidi"/>
            <w:bdr w:val="none" w:sz="0" w:space="0" w:color="auto"/>
            <w:lang w:val="es-US" w:eastAsia="zh-CN"/>
          </w:rPr>
          <w:tab/>
        </w:r>
        <w:r w:rsidR="00D66F4D" w:rsidRPr="00136ECB">
          <w:rPr>
            <w:rStyle w:val="Hyperlink"/>
          </w:rPr>
          <w:t>ANALYSIS OF LAW</w:t>
        </w:r>
        <w:r w:rsidR="00D66F4D" w:rsidRPr="00136ECB">
          <w:rPr>
            <w:webHidden/>
          </w:rPr>
          <w:tab/>
        </w:r>
        <w:r w:rsidR="00D66F4D" w:rsidRPr="00136ECB">
          <w:rPr>
            <w:webHidden/>
          </w:rPr>
          <w:fldChar w:fldCharType="begin"/>
        </w:r>
        <w:r w:rsidR="00D66F4D" w:rsidRPr="00136ECB">
          <w:rPr>
            <w:webHidden/>
          </w:rPr>
          <w:instrText xml:space="preserve"> PAGEREF _Toc90557410 \h </w:instrText>
        </w:r>
        <w:r w:rsidR="00D66F4D" w:rsidRPr="00136ECB">
          <w:rPr>
            <w:webHidden/>
          </w:rPr>
        </w:r>
        <w:r w:rsidR="00D66F4D" w:rsidRPr="00136ECB">
          <w:rPr>
            <w:webHidden/>
          </w:rPr>
          <w:fldChar w:fldCharType="separate"/>
        </w:r>
        <w:r w:rsidR="00167B5D">
          <w:rPr>
            <w:webHidden/>
          </w:rPr>
          <w:t>11</w:t>
        </w:r>
        <w:r w:rsidR="00D66F4D" w:rsidRPr="00136ECB">
          <w:rPr>
            <w:webHidden/>
          </w:rPr>
          <w:fldChar w:fldCharType="end"/>
        </w:r>
      </w:hyperlink>
    </w:p>
    <w:p w14:paraId="1179108D" w14:textId="6027AFBB" w:rsidR="00D66F4D" w:rsidRPr="00136ECB" w:rsidRDefault="009C7672">
      <w:pPr>
        <w:pStyle w:val="TOC2"/>
        <w:rPr>
          <w:rFonts w:asciiTheme="majorHAnsi" w:eastAsiaTheme="minorEastAsia" w:hAnsiTheme="majorHAnsi" w:cstheme="minorBidi"/>
          <w:noProof/>
          <w:sz w:val="20"/>
          <w:szCs w:val="20"/>
          <w:bdr w:val="none" w:sz="0" w:space="0" w:color="auto"/>
          <w:lang w:val="es-US" w:eastAsia="zh-CN"/>
        </w:rPr>
      </w:pPr>
      <w:hyperlink w:anchor="_Toc90557411" w:history="1">
        <w:r w:rsidR="00D66F4D" w:rsidRPr="00136ECB">
          <w:rPr>
            <w:rStyle w:val="Hyperlink"/>
            <w:rFonts w:asciiTheme="majorHAnsi" w:hAnsiTheme="majorHAnsi"/>
            <w:noProof/>
            <w:sz w:val="20"/>
            <w:szCs w:val="20"/>
          </w:rPr>
          <w:t>A.</w:t>
        </w:r>
        <w:r w:rsidR="00D66F4D" w:rsidRPr="00136ECB">
          <w:rPr>
            <w:rFonts w:asciiTheme="majorHAnsi" w:eastAsiaTheme="minorEastAsia" w:hAnsiTheme="majorHAnsi" w:cstheme="minorBidi"/>
            <w:noProof/>
            <w:sz w:val="20"/>
            <w:szCs w:val="20"/>
            <w:bdr w:val="none" w:sz="0" w:space="0" w:color="auto"/>
            <w:lang w:val="es-US" w:eastAsia="zh-CN"/>
          </w:rPr>
          <w:tab/>
        </w:r>
        <w:r w:rsidR="00D66F4D" w:rsidRPr="00136ECB">
          <w:rPr>
            <w:rStyle w:val="Hyperlink"/>
            <w:rFonts w:asciiTheme="majorHAnsi" w:hAnsiTheme="majorHAnsi"/>
            <w:noProof/>
            <w:sz w:val="20"/>
            <w:szCs w:val="20"/>
          </w:rPr>
          <w:t>Preliminary considerations regarding the individualization of victims and the application of the American Declaration and other relevant international legal instruments</w:t>
        </w:r>
        <w:r w:rsidR="00D66F4D" w:rsidRPr="00136ECB">
          <w:rPr>
            <w:rFonts w:asciiTheme="majorHAnsi" w:hAnsiTheme="majorHAnsi"/>
            <w:noProof/>
            <w:webHidden/>
            <w:sz w:val="20"/>
            <w:szCs w:val="20"/>
          </w:rPr>
          <w:tab/>
        </w:r>
        <w:r w:rsidR="00D66F4D" w:rsidRPr="00136ECB">
          <w:rPr>
            <w:rFonts w:asciiTheme="majorHAnsi" w:hAnsiTheme="majorHAnsi"/>
            <w:noProof/>
            <w:webHidden/>
            <w:sz w:val="20"/>
            <w:szCs w:val="20"/>
          </w:rPr>
          <w:fldChar w:fldCharType="begin"/>
        </w:r>
        <w:r w:rsidR="00D66F4D" w:rsidRPr="00136ECB">
          <w:rPr>
            <w:rFonts w:asciiTheme="majorHAnsi" w:hAnsiTheme="majorHAnsi"/>
            <w:noProof/>
            <w:webHidden/>
            <w:sz w:val="20"/>
            <w:szCs w:val="20"/>
          </w:rPr>
          <w:instrText xml:space="preserve"> PAGEREF _Toc90557411 \h </w:instrText>
        </w:r>
        <w:r w:rsidR="00D66F4D" w:rsidRPr="00136ECB">
          <w:rPr>
            <w:rFonts w:asciiTheme="majorHAnsi" w:hAnsiTheme="majorHAnsi"/>
            <w:noProof/>
            <w:webHidden/>
            <w:sz w:val="20"/>
            <w:szCs w:val="20"/>
          </w:rPr>
        </w:r>
        <w:r w:rsidR="00D66F4D" w:rsidRPr="00136ECB">
          <w:rPr>
            <w:rFonts w:asciiTheme="majorHAnsi" w:hAnsiTheme="majorHAnsi"/>
            <w:noProof/>
            <w:webHidden/>
            <w:sz w:val="20"/>
            <w:szCs w:val="20"/>
          </w:rPr>
          <w:fldChar w:fldCharType="separate"/>
        </w:r>
        <w:r w:rsidR="00167B5D">
          <w:rPr>
            <w:rFonts w:asciiTheme="majorHAnsi" w:hAnsiTheme="majorHAnsi"/>
            <w:noProof/>
            <w:webHidden/>
            <w:sz w:val="20"/>
            <w:szCs w:val="20"/>
          </w:rPr>
          <w:t>11</w:t>
        </w:r>
        <w:r w:rsidR="00D66F4D" w:rsidRPr="00136ECB">
          <w:rPr>
            <w:rFonts w:asciiTheme="majorHAnsi" w:hAnsiTheme="majorHAnsi"/>
            <w:noProof/>
            <w:webHidden/>
            <w:sz w:val="20"/>
            <w:szCs w:val="20"/>
          </w:rPr>
          <w:fldChar w:fldCharType="end"/>
        </w:r>
      </w:hyperlink>
    </w:p>
    <w:p w14:paraId="6C7CB4BB" w14:textId="649BE3EF" w:rsidR="00D66F4D" w:rsidRPr="00136ECB" w:rsidRDefault="009C7672">
      <w:pPr>
        <w:pStyle w:val="TOC2"/>
        <w:rPr>
          <w:rFonts w:asciiTheme="majorHAnsi" w:eastAsiaTheme="minorEastAsia" w:hAnsiTheme="majorHAnsi" w:cstheme="minorBidi"/>
          <w:noProof/>
          <w:sz w:val="20"/>
          <w:szCs w:val="20"/>
          <w:bdr w:val="none" w:sz="0" w:space="0" w:color="auto"/>
          <w:lang w:val="es-US" w:eastAsia="zh-CN"/>
        </w:rPr>
      </w:pPr>
      <w:hyperlink w:anchor="_Toc90557412" w:history="1">
        <w:r w:rsidR="00D66F4D" w:rsidRPr="00136ECB">
          <w:rPr>
            <w:rStyle w:val="Hyperlink"/>
            <w:rFonts w:asciiTheme="majorHAnsi" w:hAnsiTheme="majorHAnsi"/>
            <w:noProof/>
            <w:sz w:val="20"/>
            <w:szCs w:val="20"/>
          </w:rPr>
          <w:t>B.</w:t>
        </w:r>
        <w:r w:rsidR="00D66F4D" w:rsidRPr="00136ECB">
          <w:rPr>
            <w:rFonts w:asciiTheme="majorHAnsi" w:eastAsiaTheme="minorEastAsia" w:hAnsiTheme="majorHAnsi" w:cstheme="minorBidi"/>
            <w:noProof/>
            <w:sz w:val="20"/>
            <w:szCs w:val="20"/>
            <w:bdr w:val="none" w:sz="0" w:space="0" w:color="auto"/>
            <w:lang w:val="es-US" w:eastAsia="zh-CN"/>
          </w:rPr>
          <w:tab/>
        </w:r>
        <w:r w:rsidR="00D66F4D" w:rsidRPr="00136ECB">
          <w:rPr>
            <w:rStyle w:val="Hyperlink"/>
            <w:rFonts w:asciiTheme="majorHAnsi" w:hAnsiTheme="majorHAnsi"/>
            <w:noProof/>
            <w:sz w:val="20"/>
            <w:szCs w:val="20"/>
          </w:rPr>
          <w:t>Right to protection from arbitrary detention and the right to humane treatment in detention (Articles I and XXV of the American Declaration)</w:t>
        </w:r>
        <w:r w:rsidR="00D66F4D" w:rsidRPr="00136ECB">
          <w:rPr>
            <w:rFonts w:asciiTheme="majorHAnsi" w:hAnsiTheme="majorHAnsi"/>
            <w:noProof/>
            <w:webHidden/>
            <w:sz w:val="20"/>
            <w:szCs w:val="20"/>
          </w:rPr>
          <w:tab/>
        </w:r>
        <w:r w:rsidR="00D66F4D" w:rsidRPr="00136ECB">
          <w:rPr>
            <w:rFonts w:asciiTheme="majorHAnsi" w:hAnsiTheme="majorHAnsi"/>
            <w:noProof/>
            <w:webHidden/>
            <w:sz w:val="20"/>
            <w:szCs w:val="20"/>
          </w:rPr>
          <w:fldChar w:fldCharType="begin"/>
        </w:r>
        <w:r w:rsidR="00D66F4D" w:rsidRPr="00136ECB">
          <w:rPr>
            <w:rFonts w:asciiTheme="majorHAnsi" w:hAnsiTheme="majorHAnsi"/>
            <w:noProof/>
            <w:webHidden/>
            <w:sz w:val="20"/>
            <w:szCs w:val="20"/>
          </w:rPr>
          <w:instrText xml:space="preserve"> PAGEREF _Toc90557412 \h </w:instrText>
        </w:r>
        <w:r w:rsidR="00D66F4D" w:rsidRPr="00136ECB">
          <w:rPr>
            <w:rFonts w:asciiTheme="majorHAnsi" w:hAnsiTheme="majorHAnsi"/>
            <w:noProof/>
            <w:webHidden/>
            <w:sz w:val="20"/>
            <w:szCs w:val="20"/>
          </w:rPr>
        </w:r>
        <w:r w:rsidR="00D66F4D" w:rsidRPr="00136ECB">
          <w:rPr>
            <w:rFonts w:asciiTheme="majorHAnsi" w:hAnsiTheme="majorHAnsi"/>
            <w:noProof/>
            <w:webHidden/>
            <w:sz w:val="20"/>
            <w:szCs w:val="20"/>
          </w:rPr>
          <w:fldChar w:fldCharType="separate"/>
        </w:r>
        <w:r w:rsidR="00167B5D">
          <w:rPr>
            <w:rFonts w:asciiTheme="majorHAnsi" w:hAnsiTheme="majorHAnsi"/>
            <w:noProof/>
            <w:webHidden/>
            <w:sz w:val="20"/>
            <w:szCs w:val="20"/>
          </w:rPr>
          <w:t>13</w:t>
        </w:r>
        <w:r w:rsidR="00D66F4D" w:rsidRPr="00136ECB">
          <w:rPr>
            <w:rFonts w:asciiTheme="majorHAnsi" w:hAnsiTheme="majorHAnsi"/>
            <w:noProof/>
            <w:webHidden/>
            <w:sz w:val="20"/>
            <w:szCs w:val="20"/>
          </w:rPr>
          <w:fldChar w:fldCharType="end"/>
        </w:r>
      </w:hyperlink>
    </w:p>
    <w:p w14:paraId="072E5D07" w14:textId="5E17D246" w:rsidR="00D66F4D" w:rsidRPr="00136ECB" w:rsidRDefault="009C7672">
      <w:pPr>
        <w:pStyle w:val="TOC3"/>
        <w:rPr>
          <w:rFonts w:asciiTheme="majorHAnsi" w:eastAsiaTheme="minorEastAsia" w:hAnsiTheme="majorHAnsi" w:cstheme="minorBidi"/>
          <w:noProof/>
          <w:sz w:val="20"/>
          <w:szCs w:val="20"/>
          <w:bdr w:val="none" w:sz="0" w:space="0" w:color="auto"/>
          <w:lang w:val="es-US" w:eastAsia="zh-CN"/>
        </w:rPr>
      </w:pPr>
      <w:hyperlink w:anchor="_Toc90557413" w:history="1">
        <w:r w:rsidR="00D66F4D" w:rsidRPr="00136ECB">
          <w:rPr>
            <w:rStyle w:val="Hyperlink"/>
            <w:rFonts w:asciiTheme="majorHAnsi" w:hAnsiTheme="majorHAnsi"/>
            <w:noProof/>
            <w:sz w:val="20"/>
            <w:szCs w:val="20"/>
          </w:rPr>
          <w:t>1.</w:t>
        </w:r>
        <w:r w:rsidR="00D66F4D" w:rsidRPr="00136ECB">
          <w:rPr>
            <w:rFonts w:asciiTheme="majorHAnsi" w:eastAsiaTheme="minorEastAsia" w:hAnsiTheme="majorHAnsi" w:cstheme="minorBidi"/>
            <w:noProof/>
            <w:sz w:val="20"/>
            <w:szCs w:val="20"/>
            <w:bdr w:val="none" w:sz="0" w:space="0" w:color="auto"/>
            <w:lang w:val="es-US" w:eastAsia="zh-CN"/>
          </w:rPr>
          <w:tab/>
        </w:r>
        <w:r w:rsidR="00D66F4D" w:rsidRPr="00136ECB">
          <w:rPr>
            <w:rStyle w:val="Hyperlink"/>
            <w:rFonts w:asciiTheme="majorHAnsi" w:hAnsiTheme="majorHAnsi"/>
            <w:noProof/>
            <w:sz w:val="20"/>
            <w:szCs w:val="20"/>
          </w:rPr>
          <w:t>Inter-American standards regarding migrants in detention</w:t>
        </w:r>
        <w:r w:rsidR="00D66F4D" w:rsidRPr="00136ECB">
          <w:rPr>
            <w:rFonts w:asciiTheme="majorHAnsi" w:hAnsiTheme="majorHAnsi"/>
            <w:noProof/>
            <w:webHidden/>
            <w:sz w:val="20"/>
            <w:szCs w:val="20"/>
          </w:rPr>
          <w:tab/>
        </w:r>
        <w:r w:rsidR="00D66F4D" w:rsidRPr="00136ECB">
          <w:rPr>
            <w:rFonts w:asciiTheme="majorHAnsi" w:hAnsiTheme="majorHAnsi"/>
            <w:noProof/>
            <w:webHidden/>
            <w:sz w:val="20"/>
            <w:szCs w:val="20"/>
          </w:rPr>
          <w:fldChar w:fldCharType="begin"/>
        </w:r>
        <w:r w:rsidR="00D66F4D" w:rsidRPr="00136ECB">
          <w:rPr>
            <w:rFonts w:asciiTheme="majorHAnsi" w:hAnsiTheme="majorHAnsi"/>
            <w:noProof/>
            <w:webHidden/>
            <w:sz w:val="20"/>
            <w:szCs w:val="20"/>
          </w:rPr>
          <w:instrText xml:space="preserve"> PAGEREF _Toc90557413 \h </w:instrText>
        </w:r>
        <w:r w:rsidR="00D66F4D" w:rsidRPr="00136ECB">
          <w:rPr>
            <w:rFonts w:asciiTheme="majorHAnsi" w:hAnsiTheme="majorHAnsi"/>
            <w:noProof/>
            <w:webHidden/>
            <w:sz w:val="20"/>
            <w:szCs w:val="20"/>
          </w:rPr>
        </w:r>
        <w:r w:rsidR="00D66F4D" w:rsidRPr="00136ECB">
          <w:rPr>
            <w:rFonts w:asciiTheme="majorHAnsi" w:hAnsiTheme="majorHAnsi"/>
            <w:noProof/>
            <w:webHidden/>
            <w:sz w:val="20"/>
            <w:szCs w:val="20"/>
          </w:rPr>
          <w:fldChar w:fldCharType="separate"/>
        </w:r>
        <w:r w:rsidR="00167B5D">
          <w:rPr>
            <w:rFonts w:asciiTheme="majorHAnsi" w:hAnsiTheme="majorHAnsi"/>
            <w:noProof/>
            <w:webHidden/>
            <w:sz w:val="20"/>
            <w:szCs w:val="20"/>
          </w:rPr>
          <w:t>13</w:t>
        </w:r>
        <w:r w:rsidR="00D66F4D" w:rsidRPr="00136ECB">
          <w:rPr>
            <w:rFonts w:asciiTheme="majorHAnsi" w:hAnsiTheme="majorHAnsi"/>
            <w:noProof/>
            <w:webHidden/>
            <w:sz w:val="20"/>
            <w:szCs w:val="20"/>
          </w:rPr>
          <w:fldChar w:fldCharType="end"/>
        </w:r>
      </w:hyperlink>
    </w:p>
    <w:p w14:paraId="18B38905" w14:textId="541BA89F" w:rsidR="00D66F4D" w:rsidRPr="00136ECB" w:rsidRDefault="009C7672">
      <w:pPr>
        <w:pStyle w:val="TOC3"/>
        <w:rPr>
          <w:rFonts w:asciiTheme="majorHAnsi" w:eastAsiaTheme="minorEastAsia" w:hAnsiTheme="majorHAnsi" w:cstheme="minorBidi"/>
          <w:noProof/>
          <w:sz w:val="20"/>
          <w:szCs w:val="20"/>
          <w:bdr w:val="none" w:sz="0" w:space="0" w:color="auto"/>
          <w:lang w:val="es-US" w:eastAsia="zh-CN"/>
        </w:rPr>
      </w:pPr>
      <w:hyperlink w:anchor="_Toc90557414" w:history="1">
        <w:r w:rsidR="00D66F4D" w:rsidRPr="00136ECB">
          <w:rPr>
            <w:rStyle w:val="Hyperlink"/>
            <w:rFonts w:asciiTheme="majorHAnsi" w:hAnsiTheme="majorHAnsi"/>
            <w:noProof/>
            <w:sz w:val="20"/>
            <w:szCs w:val="20"/>
          </w:rPr>
          <w:t>2.</w:t>
        </w:r>
        <w:r w:rsidR="00D66F4D" w:rsidRPr="00136ECB">
          <w:rPr>
            <w:rFonts w:asciiTheme="majorHAnsi" w:eastAsiaTheme="minorEastAsia" w:hAnsiTheme="majorHAnsi" w:cstheme="minorBidi"/>
            <w:noProof/>
            <w:sz w:val="20"/>
            <w:szCs w:val="20"/>
            <w:bdr w:val="none" w:sz="0" w:space="0" w:color="auto"/>
            <w:lang w:val="es-US" w:eastAsia="zh-CN"/>
          </w:rPr>
          <w:tab/>
        </w:r>
        <w:r w:rsidR="00D66F4D" w:rsidRPr="00136ECB">
          <w:rPr>
            <w:rStyle w:val="Hyperlink"/>
            <w:rFonts w:asciiTheme="majorHAnsi" w:hAnsiTheme="majorHAnsi"/>
            <w:noProof/>
            <w:sz w:val="20"/>
            <w:szCs w:val="20"/>
          </w:rPr>
          <w:t>Arbitrary detention of the alleged victims at the Carmichael Road Detention Center</w:t>
        </w:r>
        <w:r w:rsidR="00D66F4D" w:rsidRPr="00136ECB">
          <w:rPr>
            <w:rFonts w:asciiTheme="majorHAnsi" w:hAnsiTheme="majorHAnsi"/>
            <w:noProof/>
            <w:webHidden/>
            <w:sz w:val="20"/>
            <w:szCs w:val="20"/>
          </w:rPr>
          <w:tab/>
        </w:r>
        <w:r w:rsidR="00D66F4D" w:rsidRPr="00136ECB">
          <w:rPr>
            <w:rFonts w:asciiTheme="majorHAnsi" w:hAnsiTheme="majorHAnsi"/>
            <w:noProof/>
            <w:webHidden/>
            <w:sz w:val="20"/>
            <w:szCs w:val="20"/>
          </w:rPr>
          <w:fldChar w:fldCharType="begin"/>
        </w:r>
        <w:r w:rsidR="00D66F4D" w:rsidRPr="00136ECB">
          <w:rPr>
            <w:rFonts w:asciiTheme="majorHAnsi" w:hAnsiTheme="majorHAnsi"/>
            <w:noProof/>
            <w:webHidden/>
            <w:sz w:val="20"/>
            <w:szCs w:val="20"/>
          </w:rPr>
          <w:instrText xml:space="preserve"> PAGEREF _Toc90557414 \h </w:instrText>
        </w:r>
        <w:r w:rsidR="00D66F4D" w:rsidRPr="00136ECB">
          <w:rPr>
            <w:rFonts w:asciiTheme="majorHAnsi" w:hAnsiTheme="majorHAnsi"/>
            <w:noProof/>
            <w:webHidden/>
            <w:sz w:val="20"/>
            <w:szCs w:val="20"/>
          </w:rPr>
        </w:r>
        <w:r w:rsidR="00D66F4D" w:rsidRPr="00136ECB">
          <w:rPr>
            <w:rFonts w:asciiTheme="majorHAnsi" w:hAnsiTheme="majorHAnsi"/>
            <w:noProof/>
            <w:webHidden/>
            <w:sz w:val="20"/>
            <w:szCs w:val="20"/>
          </w:rPr>
          <w:fldChar w:fldCharType="separate"/>
        </w:r>
        <w:r w:rsidR="00167B5D">
          <w:rPr>
            <w:rFonts w:asciiTheme="majorHAnsi" w:hAnsiTheme="majorHAnsi"/>
            <w:noProof/>
            <w:webHidden/>
            <w:sz w:val="20"/>
            <w:szCs w:val="20"/>
          </w:rPr>
          <w:t>15</w:t>
        </w:r>
        <w:r w:rsidR="00D66F4D" w:rsidRPr="00136ECB">
          <w:rPr>
            <w:rFonts w:asciiTheme="majorHAnsi" w:hAnsiTheme="majorHAnsi"/>
            <w:noProof/>
            <w:webHidden/>
            <w:sz w:val="20"/>
            <w:szCs w:val="20"/>
          </w:rPr>
          <w:fldChar w:fldCharType="end"/>
        </w:r>
      </w:hyperlink>
    </w:p>
    <w:p w14:paraId="3A9C567D" w14:textId="18C3E190" w:rsidR="00D66F4D" w:rsidRPr="00136ECB" w:rsidRDefault="009C7672">
      <w:pPr>
        <w:pStyle w:val="TOC3"/>
        <w:rPr>
          <w:rFonts w:asciiTheme="majorHAnsi" w:eastAsiaTheme="minorEastAsia" w:hAnsiTheme="majorHAnsi" w:cstheme="minorBidi"/>
          <w:noProof/>
          <w:sz w:val="20"/>
          <w:szCs w:val="20"/>
          <w:bdr w:val="none" w:sz="0" w:space="0" w:color="auto"/>
          <w:lang w:val="es-US" w:eastAsia="zh-CN"/>
        </w:rPr>
      </w:pPr>
      <w:hyperlink w:anchor="_Toc90557415" w:history="1">
        <w:r w:rsidR="00D66F4D" w:rsidRPr="00136ECB">
          <w:rPr>
            <w:rStyle w:val="Hyperlink"/>
            <w:rFonts w:asciiTheme="majorHAnsi" w:hAnsiTheme="majorHAnsi"/>
            <w:noProof/>
            <w:sz w:val="20"/>
            <w:szCs w:val="20"/>
          </w:rPr>
          <w:t>3.</w:t>
        </w:r>
        <w:r w:rsidR="00D66F4D" w:rsidRPr="00136ECB">
          <w:rPr>
            <w:rFonts w:asciiTheme="majorHAnsi" w:eastAsiaTheme="minorEastAsia" w:hAnsiTheme="majorHAnsi" w:cstheme="minorBidi"/>
            <w:noProof/>
            <w:sz w:val="20"/>
            <w:szCs w:val="20"/>
            <w:bdr w:val="none" w:sz="0" w:space="0" w:color="auto"/>
            <w:lang w:val="es-US" w:eastAsia="zh-CN"/>
          </w:rPr>
          <w:tab/>
        </w:r>
        <w:r w:rsidR="00D66F4D" w:rsidRPr="00136ECB">
          <w:rPr>
            <w:rStyle w:val="Hyperlink"/>
            <w:rFonts w:asciiTheme="majorHAnsi" w:hAnsiTheme="majorHAnsi"/>
            <w:noProof/>
            <w:sz w:val="20"/>
            <w:szCs w:val="20"/>
          </w:rPr>
          <w:t>Inhumane treatment of detainees at the Carmichael Road Detention Center</w:t>
        </w:r>
        <w:r w:rsidR="00D66F4D" w:rsidRPr="00136ECB">
          <w:rPr>
            <w:rFonts w:asciiTheme="majorHAnsi" w:hAnsiTheme="majorHAnsi"/>
            <w:noProof/>
            <w:webHidden/>
            <w:sz w:val="20"/>
            <w:szCs w:val="20"/>
          </w:rPr>
          <w:tab/>
        </w:r>
        <w:r w:rsidR="00D66F4D" w:rsidRPr="00136ECB">
          <w:rPr>
            <w:rFonts w:asciiTheme="majorHAnsi" w:hAnsiTheme="majorHAnsi"/>
            <w:noProof/>
            <w:webHidden/>
            <w:sz w:val="20"/>
            <w:szCs w:val="20"/>
          </w:rPr>
          <w:fldChar w:fldCharType="begin"/>
        </w:r>
        <w:r w:rsidR="00D66F4D" w:rsidRPr="00136ECB">
          <w:rPr>
            <w:rFonts w:asciiTheme="majorHAnsi" w:hAnsiTheme="majorHAnsi"/>
            <w:noProof/>
            <w:webHidden/>
            <w:sz w:val="20"/>
            <w:szCs w:val="20"/>
          </w:rPr>
          <w:instrText xml:space="preserve"> PAGEREF _Toc90557415 \h </w:instrText>
        </w:r>
        <w:r w:rsidR="00D66F4D" w:rsidRPr="00136ECB">
          <w:rPr>
            <w:rFonts w:asciiTheme="majorHAnsi" w:hAnsiTheme="majorHAnsi"/>
            <w:noProof/>
            <w:webHidden/>
            <w:sz w:val="20"/>
            <w:szCs w:val="20"/>
          </w:rPr>
        </w:r>
        <w:r w:rsidR="00D66F4D" w:rsidRPr="00136ECB">
          <w:rPr>
            <w:rFonts w:asciiTheme="majorHAnsi" w:hAnsiTheme="majorHAnsi"/>
            <w:noProof/>
            <w:webHidden/>
            <w:sz w:val="20"/>
            <w:szCs w:val="20"/>
          </w:rPr>
          <w:fldChar w:fldCharType="separate"/>
        </w:r>
        <w:r w:rsidR="00167B5D">
          <w:rPr>
            <w:rFonts w:asciiTheme="majorHAnsi" w:hAnsiTheme="majorHAnsi"/>
            <w:noProof/>
            <w:webHidden/>
            <w:sz w:val="20"/>
            <w:szCs w:val="20"/>
          </w:rPr>
          <w:t>16</w:t>
        </w:r>
        <w:r w:rsidR="00D66F4D" w:rsidRPr="00136ECB">
          <w:rPr>
            <w:rFonts w:asciiTheme="majorHAnsi" w:hAnsiTheme="majorHAnsi"/>
            <w:noProof/>
            <w:webHidden/>
            <w:sz w:val="20"/>
            <w:szCs w:val="20"/>
          </w:rPr>
          <w:fldChar w:fldCharType="end"/>
        </w:r>
      </w:hyperlink>
    </w:p>
    <w:p w14:paraId="1AAED2CD" w14:textId="3602CC41" w:rsidR="00D66F4D" w:rsidRPr="00136ECB" w:rsidRDefault="009C7672">
      <w:pPr>
        <w:pStyle w:val="TOC3"/>
        <w:rPr>
          <w:rFonts w:asciiTheme="majorHAnsi" w:eastAsiaTheme="minorEastAsia" w:hAnsiTheme="majorHAnsi" w:cstheme="minorBidi"/>
          <w:noProof/>
          <w:sz w:val="20"/>
          <w:szCs w:val="20"/>
          <w:bdr w:val="none" w:sz="0" w:space="0" w:color="auto"/>
          <w:lang w:val="es-US" w:eastAsia="zh-CN"/>
        </w:rPr>
      </w:pPr>
      <w:hyperlink w:anchor="_Toc90557416" w:history="1">
        <w:r w:rsidR="00D66F4D" w:rsidRPr="00136ECB">
          <w:rPr>
            <w:rStyle w:val="Hyperlink"/>
            <w:rFonts w:asciiTheme="majorHAnsi" w:hAnsiTheme="majorHAnsi"/>
            <w:noProof/>
            <w:sz w:val="20"/>
            <w:szCs w:val="20"/>
          </w:rPr>
          <w:t>4.</w:t>
        </w:r>
        <w:r w:rsidR="00D66F4D" w:rsidRPr="00136ECB">
          <w:rPr>
            <w:rFonts w:asciiTheme="majorHAnsi" w:eastAsiaTheme="minorEastAsia" w:hAnsiTheme="majorHAnsi" w:cstheme="minorBidi"/>
            <w:noProof/>
            <w:sz w:val="20"/>
            <w:szCs w:val="20"/>
            <w:bdr w:val="none" w:sz="0" w:space="0" w:color="auto"/>
            <w:lang w:val="es-US" w:eastAsia="zh-CN"/>
          </w:rPr>
          <w:tab/>
        </w:r>
        <w:r w:rsidR="00D66F4D" w:rsidRPr="00136ECB">
          <w:rPr>
            <w:rStyle w:val="Hyperlink"/>
            <w:rFonts w:asciiTheme="majorHAnsi" w:hAnsiTheme="majorHAnsi"/>
            <w:noProof/>
            <w:sz w:val="20"/>
            <w:szCs w:val="20"/>
          </w:rPr>
          <w:t>Conclusion</w:t>
        </w:r>
        <w:r w:rsidR="00D66F4D" w:rsidRPr="00136ECB">
          <w:rPr>
            <w:rFonts w:asciiTheme="majorHAnsi" w:hAnsiTheme="majorHAnsi"/>
            <w:noProof/>
            <w:webHidden/>
            <w:sz w:val="20"/>
            <w:szCs w:val="20"/>
          </w:rPr>
          <w:tab/>
        </w:r>
        <w:r w:rsidR="00D66F4D" w:rsidRPr="00136ECB">
          <w:rPr>
            <w:rFonts w:asciiTheme="majorHAnsi" w:hAnsiTheme="majorHAnsi"/>
            <w:noProof/>
            <w:webHidden/>
            <w:sz w:val="20"/>
            <w:szCs w:val="20"/>
          </w:rPr>
          <w:fldChar w:fldCharType="begin"/>
        </w:r>
        <w:r w:rsidR="00D66F4D" w:rsidRPr="00136ECB">
          <w:rPr>
            <w:rFonts w:asciiTheme="majorHAnsi" w:hAnsiTheme="majorHAnsi"/>
            <w:noProof/>
            <w:webHidden/>
            <w:sz w:val="20"/>
            <w:szCs w:val="20"/>
          </w:rPr>
          <w:instrText xml:space="preserve"> PAGEREF _Toc90557416 \h </w:instrText>
        </w:r>
        <w:r w:rsidR="00D66F4D" w:rsidRPr="00136ECB">
          <w:rPr>
            <w:rFonts w:asciiTheme="majorHAnsi" w:hAnsiTheme="majorHAnsi"/>
            <w:noProof/>
            <w:webHidden/>
            <w:sz w:val="20"/>
            <w:szCs w:val="20"/>
          </w:rPr>
        </w:r>
        <w:r w:rsidR="00D66F4D" w:rsidRPr="00136ECB">
          <w:rPr>
            <w:rFonts w:asciiTheme="majorHAnsi" w:hAnsiTheme="majorHAnsi"/>
            <w:noProof/>
            <w:webHidden/>
            <w:sz w:val="20"/>
            <w:szCs w:val="20"/>
          </w:rPr>
          <w:fldChar w:fldCharType="separate"/>
        </w:r>
        <w:r w:rsidR="00167B5D">
          <w:rPr>
            <w:rFonts w:asciiTheme="majorHAnsi" w:hAnsiTheme="majorHAnsi"/>
            <w:noProof/>
            <w:webHidden/>
            <w:sz w:val="20"/>
            <w:szCs w:val="20"/>
          </w:rPr>
          <w:t>17</w:t>
        </w:r>
        <w:r w:rsidR="00D66F4D" w:rsidRPr="00136ECB">
          <w:rPr>
            <w:rFonts w:asciiTheme="majorHAnsi" w:hAnsiTheme="majorHAnsi"/>
            <w:noProof/>
            <w:webHidden/>
            <w:sz w:val="20"/>
            <w:szCs w:val="20"/>
          </w:rPr>
          <w:fldChar w:fldCharType="end"/>
        </w:r>
      </w:hyperlink>
    </w:p>
    <w:p w14:paraId="3FD9D0B3" w14:textId="1A8FF1B5" w:rsidR="00D66F4D" w:rsidRPr="00136ECB" w:rsidRDefault="009C7672">
      <w:pPr>
        <w:pStyle w:val="TOC2"/>
        <w:rPr>
          <w:rFonts w:asciiTheme="majorHAnsi" w:eastAsiaTheme="minorEastAsia" w:hAnsiTheme="majorHAnsi" w:cstheme="minorBidi"/>
          <w:noProof/>
          <w:sz w:val="20"/>
          <w:szCs w:val="20"/>
          <w:bdr w:val="none" w:sz="0" w:space="0" w:color="auto"/>
          <w:lang w:val="es-US" w:eastAsia="zh-CN"/>
        </w:rPr>
      </w:pPr>
      <w:hyperlink w:anchor="_Toc90557417" w:history="1">
        <w:r w:rsidR="00D66F4D" w:rsidRPr="00136ECB">
          <w:rPr>
            <w:rStyle w:val="Hyperlink"/>
            <w:rFonts w:asciiTheme="majorHAnsi" w:hAnsiTheme="majorHAnsi"/>
            <w:noProof/>
            <w:sz w:val="20"/>
            <w:szCs w:val="20"/>
          </w:rPr>
          <w:t>C.</w:t>
        </w:r>
        <w:r w:rsidR="00D66F4D" w:rsidRPr="00136ECB">
          <w:rPr>
            <w:rFonts w:asciiTheme="majorHAnsi" w:eastAsiaTheme="minorEastAsia" w:hAnsiTheme="majorHAnsi" w:cstheme="minorBidi"/>
            <w:noProof/>
            <w:sz w:val="20"/>
            <w:szCs w:val="20"/>
            <w:bdr w:val="none" w:sz="0" w:space="0" w:color="auto"/>
            <w:lang w:val="es-US" w:eastAsia="zh-CN"/>
          </w:rPr>
          <w:tab/>
        </w:r>
        <w:r w:rsidR="00D66F4D" w:rsidRPr="00136ECB">
          <w:rPr>
            <w:rStyle w:val="Hyperlink"/>
            <w:rFonts w:asciiTheme="majorHAnsi" w:hAnsiTheme="majorHAnsi"/>
            <w:noProof/>
            <w:sz w:val="20"/>
            <w:szCs w:val="20"/>
          </w:rPr>
          <w:t xml:space="preserve">The right to seek and receive asylum, in connection with the rights of due process, and to equality under the law, and the obligation of </w:t>
        </w:r>
        <w:r w:rsidR="00D66F4D" w:rsidRPr="00136ECB">
          <w:rPr>
            <w:rStyle w:val="Hyperlink"/>
            <w:rFonts w:asciiTheme="majorHAnsi" w:hAnsiTheme="majorHAnsi"/>
            <w:i/>
            <w:noProof/>
            <w:sz w:val="20"/>
            <w:szCs w:val="20"/>
          </w:rPr>
          <w:t xml:space="preserve">non-refoulement </w:t>
        </w:r>
        <w:r w:rsidR="00D66F4D" w:rsidRPr="00136ECB">
          <w:rPr>
            <w:rStyle w:val="Hyperlink"/>
            <w:rFonts w:asciiTheme="majorHAnsi" w:hAnsiTheme="majorHAnsi"/>
            <w:noProof/>
            <w:sz w:val="20"/>
            <w:szCs w:val="20"/>
          </w:rPr>
          <w:t>, of the American Declaration</w:t>
        </w:r>
        <w:r w:rsidR="00D66F4D" w:rsidRPr="00136ECB">
          <w:rPr>
            <w:rFonts w:asciiTheme="majorHAnsi" w:hAnsiTheme="majorHAnsi"/>
            <w:noProof/>
            <w:webHidden/>
            <w:sz w:val="20"/>
            <w:szCs w:val="20"/>
          </w:rPr>
          <w:tab/>
        </w:r>
        <w:r w:rsidR="00D66F4D" w:rsidRPr="00136ECB">
          <w:rPr>
            <w:rFonts w:asciiTheme="majorHAnsi" w:hAnsiTheme="majorHAnsi"/>
            <w:noProof/>
            <w:webHidden/>
            <w:sz w:val="20"/>
            <w:szCs w:val="20"/>
          </w:rPr>
          <w:fldChar w:fldCharType="begin"/>
        </w:r>
        <w:r w:rsidR="00D66F4D" w:rsidRPr="00136ECB">
          <w:rPr>
            <w:rFonts w:asciiTheme="majorHAnsi" w:hAnsiTheme="majorHAnsi"/>
            <w:noProof/>
            <w:webHidden/>
            <w:sz w:val="20"/>
            <w:szCs w:val="20"/>
          </w:rPr>
          <w:instrText xml:space="preserve"> PAGEREF _Toc90557417 \h </w:instrText>
        </w:r>
        <w:r w:rsidR="00D66F4D" w:rsidRPr="00136ECB">
          <w:rPr>
            <w:rFonts w:asciiTheme="majorHAnsi" w:hAnsiTheme="majorHAnsi"/>
            <w:noProof/>
            <w:webHidden/>
            <w:sz w:val="20"/>
            <w:szCs w:val="20"/>
          </w:rPr>
        </w:r>
        <w:r w:rsidR="00D66F4D" w:rsidRPr="00136ECB">
          <w:rPr>
            <w:rFonts w:asciiTheme="majorHAnsi" w:hAnsiTheme="majorHAnsi"/>
            <w:noProof/>
            <w:webHidden/>
            <w:sz w:val="20"/>
            <w:szCs w:val="20"/>
          </w:rPr>
          <w:fldChar w:fldCharType="separate"/>
        </w:r>
        <w:r w:rsidR="00167B5D">
          <w:rPr>
            <w:rFonts w:asciiTheme="majorHAnsi" w:hAnsiTheme="majorHAnsi"/>
            <w:noProof/>
            <w:webHidden/>
            <w:sz w:val="20"/>
            <w:szCs w:val="20"/>
          </w:rPr>
          <w:t>17</w:t>
        </w:r>
        <w:r w:rsidR="00D66F4D" w:rsidRPr="00136ECB">
          <w:rPr>
            <w:rFonts w:asciiTheme="majorHAnsi" w:hAnsiTheme="majorHAnsi"/>
            <w:noProof/>
            <w:webHidden/>
            <w:sz w:val="20"/>
            <w:szCs w:val="20"/>
          </w:rPr>
          <w:fldChar w:fldCharType="end"/>
        </w:r>
      </w:hyperlink>
    </w:p>
    <w:p w14:paraId="22282EC8" w14:textId="76D03CCB" w:rsidR="00D66F4D" w:rsidRPr="00136ECB" w:rsidRDefault="009C7672">
      <w:pPr>
        <w:pStyle w:val="TOC3"/>
        <w:rPr>
          <w:rFonts w:asciiTheme="majorHAnsi" w:eastAsiaTheme="minorEastAsia" w:hAnsiTheme="majorHAnsi" w:cstheme="minorBidi"/>
          <w:noProof/>
          <w:sz w:val="20"/>
          <w:szCs w:val="20"/>
          <w:bdr w:val="none" w:sz="0" w:space="0" w:color="auto"/>
          <w:lang w:val="es-US" w:eastAsia="zh-CN"/>
        </w:rPr>
      </w:pPr>
      <w:hyperlink w:anchor="_Toc90557418" w:history="1">
        <w:r w:rsidR="00D66F4D" w:rsidRPr="00136ECB">
          <w:rPr>
            <w:rStyle w:val="Hyperlink"/>
            <w:rFonts w:asciiTheme="majorHAnsi" w:hAnsiTheme="majorHAnsi"/>
            <w:noProof/>
            <w:sz w:val="20"/>
            <w:szCs w:val="20"/>
          </w:rPr>
          <w:t>1.</w:t>
        </w:r>
        <w:r w:rsidR="00D66F4D" w:rsidRPr="00136ECB">
          <w:rPr>
            <w:rFonts w:asciiTheme="majorHAnsi" w:eastAsiaTheme="minorEastAsia" w:hAnsiTheme="majorHAnsi" w:cstheme="minorBidi"/>
            <w:noProof/>
            <w:sz w:val="20"/>
            <w:szCs w:val="20"/>
            <w:bdr w:val="none" w:sz="0" w:space="0" w:color="auto"/>
            <w:lang w:val="es-US" w:eastAsia="zh-CN"/>
          </w:rPr>
          <w:tab/>
        </w:r>
        <w:r w:rsidR="00D66F4D" w:rsidRPr="00136ECB">
          <w:rPr>
            <w:rStyle w:val="Hyperlink"/>
            <w:rFonts w:asciiTheme="majorHAnsi" w:hAnsiTheme="majorHAnsi"/>
            <w:noProof/>
            <w:sz w:val="20"/>
            <w:szCs w:val="20"/>
          </w:rPr>
          <w:t>The Inter-American standards regarding human mobility, and equality under the law</w:t>
        </w:r>
        <w:r w:rsidR="00D66F4D" w:rsidRPr="00136ECB">
          <w:rPr>
            <w:rFonts w:asciiTheme="majorHAnsi" w:hAnsiTheme="majorHAnsi"/>
            <w:noProof/>
            <w:webHidden/>
            <w:sz w:val="20"/>
            <w:szCs w:val="20"/>
          </w:rPr>
          <w:tab/>
        </w:r>
        <w:r w:rsidR="00D66F4D" w:rsidRPr="00136ECB">
          <w:rPr>
            <w:rFonts w:asciiTheme="majorHAnsi" w:hAnsiTheme="majorHAnsi"/>
            <w:noProof/>
            <w:webHidden/>
            <w:sz w:val="20"/>
            <w:szCs w:val="20"/>
          </w:rPr>
          <w:fldChar w:fldCharType="begin"/>
        </w:r>
        <w:r w:rsidR="00D66F4D" w:rsidRPr="00136ECB">
          <w:rPr>
            <w:rFonts w:asciiTheme="majorHAnsi" w:hAnsiTheme="majorHAnsi"/>
            <w:noProof/>
            <w:webHidden/>
            <w:sz w:val="20"/>
            <w:szCs w:val="20"/>
          </w:rPr>
          <w:instrText xml:space="preserve"> PAGEREF _Toc90557418 \h </w:instrText>
        </w:r>
        <w:r w:rsidR="00D66F4D" w:rsidRPr="00136ECB">
          <w:rPr>
            <w:rFonts w:asciiTheme="majorHAnsi" w:hAnsiTheme="majorHAnsi"/>
            <w:noProof/>
            <w:webHidden/>
            <w:sz w:val="20"/>
            <w:szCs w:val="20"/>
          </w:rPr>
        </w:r>
        <w:r w:rsidR="00D66F4D" w:rsidRPr="00136ECB">
          <w:rPr>
            <w:rFonts w:asciiTheme="majorHAnsi" w:hAnsiTheme="majorHAnsi"/>
            <w:noProof/>
            <w:webHidden/>
            <w:sz w:val="20"/>
            <w:szCs w:val="20"/>
          </w:rPr>
          <w:fldChar w:fldCharType="separate"/>
        </w:r>
        <w:r w:rsidR="00167B5D">
          <w:rPr>
            <w:rFonts w:asciiTheme="majorHAnsi" w:hAnsiTheme="majorHAnsi"/>
            <w:noProof/>
            <w:webHidden/>
            <w:sz w:val="20"/>
            <w:szCs w:val="20"/>
          </w:rPr>
          <w:t>17</w:t>
        </w:r>
        <w:r w:rsidR="00D66F4D" w:rsidRPr="00136ECB">
          <w:rPr>
            <w:rFonts w:asciiTheme="majorHAnsi" w:hAnsiTheme="majorHAnsi"/>
            <w:noProof/>
            <w:webHidden/>
            <w:sz w:val="20"/>
            <w:szCs w:val="20"/>
          </w:rPr>
          <w:fldChar w:fldCharType="end"/>
        </w:r>
      </w:hyperlink>
    </w:p>
    <w:p w14:paraId="7A977AA1" w14:textId="60B29952" w:rsidR="00D66F4D" w:rsidRPr="00136ECB" w:rsidRDefault="009C7672">
      <w:pPr>
        <w:pStyle w:val="TOC3"/>
        <w:rPr>
          <w:rFonts w:asciiTheme="majorHAnsi" w:eastAsiaTheme="minorEastAsia" w:hAnsiTheme="majorHAnsi" w:cstheme="minorBidi"/>
          <w:noProof/>
          <w:sz w:val="20"/>
          <w:szCs w:val="20"/>
          <w:bdr w:val="none" w:sz="0" w:space="0" w:color="auto"/>
          <w:lang w:val="es-US" w:eastAsia="zh-CN"/>
        </w:rPr>
      </w:pPr>
      <w:hyperlink w:anchor="_Toc90557419" w:history="1">
        <w:r w:rsidR="00D66F4D" w:rsidRPr="00136ECB">
          <w:rPr>
            <w:rStyle w:val="Hyperlink"/>
            <w:rFonts w:asciiTheme="majorHAnsi" w:hAnsiTheme="majorHAnsi"/>
            <w:noProof/>
            <w:sz w:val="20"/>
            <w:szCs w:val="20"/>
          </w:rPr>
          <w:t>2.</w:t>
        </w:r>
        <w:r w:rsidR="00D66F4D" w:rsidRPr="00136ECB">
          <w:rPr>
            <w:rFonts w:asciiTheme="majorHAnsi" w:eastAsiaTheme="minorEastAsia" w:hAnsiTheme="majorHAnsi" w:cstheme="minorBidi"/>
            <w:noProof/>
            <w:sz w:val="20"/>
            <w:szCs w:val="20"/>
            <w:bdr w:val="none" w:sz="0" w:space="0" w:color="auto"/>
            <w:lang w:val="es-US" w:eastAsia="zh-CN"/>
          </w:rPr>
          <w:tab/>
        </w:r>
        <w:r w:rsidR="00D66F4D" w:rsidRPr="00136ECB">
          <w:rPr>
            <w:rStyle w:val="Hyperlink"/>
            <w:rFonts w:asciiTheme="majorHAnsi" w:hAnsiTheme="majorHAnsi"/>
            <w:noProof/>
            <w:sz w:val="20"/>
            <w:szCs w:val="20"/>
          </w:rPr>
          <w:t>Analysis of the case</w:t>
        </w:r>
        <w:r w:rsidR="00D66F4D" w:rsidRPr="00136ECB">
          <w:rPr>
            <w:rFonts w:asciiTheme="majorHAnsi" w:hAnsiTheme="majorHAnsi"/>
            <w:noProof/>
            <w:webHidden/>
            <w:sz w:val="20"/>
            <w:szCs w:val="20"/>
          </w:rPr>
          <w:tab/>
        </w:r>
        <w:r w:rsidR="00D66F4D" w:rsidRPr="00136ECB">
          <w:rPr>
            <w:rFonts w:asciiTheme="majorHAnsi" w:hAnsiTheme="majorHAnsi"/>
            <w:noProof/>
            <w:webHidden/>
            <w:sz w:val="20"/>
            <w:szCs w:val="20"/>
          </w:rPr>
          <w:fldChar w:fldCharType="begin"/>
        </w:r>
        <w:r w:rsidR="00D66F4D" w:rsidRPr="00136ECB">
          <w:rPr>
            <w:rFonts w:asciiTheme="majorHAnsi" w:hAnsiTheme="majorHAnsi"/>
            <w:noProof/>
            <w:webHidden/>
            <w:sz w:val="20"/>
            <w:szCs w:val="20"/>
          </w:rPr>
          <w:instrText xml:space="preserve"> PAGEREF _Toc90557419 \h </w:instrText>
        </w:r>
        <w:r w:rsidR="00D66F4D" w:rsidRPr="00136ECB">
          <w:rPr>
            <w:rFonts w:asciiTheme="majorHAnsi" w:hAnsiTheme="majorHAnsi"/>
            <w:noProof/>
            <w:webHidden/>
            <w:sz w:val="20"/>
            <w:szCs w:val="20"/>
          </w:rPr>
        </w:r>
        <w:r w:rsidR="00D66F4D" w:rsidRPr="00136ECB">
          <w:rPr>
            <w:rFonts w:asciiTheme="majorHAnsi" w:hAnsiTheme="majorHAnsi"/>
            <w:noProof/>
            <w:webHidden/>
            <w:sz w:val="20"/>
            <w:szCs w:val="20"/>
          </w:rPr>
          <w:fldChar w:fldCharType="separate"/>
        </w:r>
        <w:r w:rsidR="00167B5D">
          <w:rPr>
            <w:rFonts w:asciiTheme="majorHAnsi" w:hAnsiTheme="majorHAnsi"/>
            <w:noProof/>
            <w:webHidden/>
            <w:sz w:val="20"/>
            <w:szCs w:val="20"/>
          </w:rPr>
          <w:t>20</w:t>
        </w:r>
        <w:r w:rsidR="00D66F4D" w:rsidRPr="00136ECB">
          <w:rPr>
            <w:rFonts w:asciiTheme="majorHAnsi" w:hAnsiTheme="majorHAnsi"/>
            <w:noProof/>
            <w:webHidden/>
            <w:sz w:val="20"/>
            <w:szCs w:val="20"/>
          </w:rPr>
          <w:fldChar w:fldCharType="end"/>
        </w:r>
      </w:hyperlink>
    </w:p>
    <w:p w14:paraId="204879BC" w14:textId="77AAF2E1" w:rsidR="00D66F4D" w:rsidRPr="00136ECB" w:rsidRDefault="009C7672">
      <w:pPr>
        <w:pStyle w:val="TOC2"/>
        <w:rPr>
          <w:rFonts w:asciiTheme="majorHAnsi" w:eastAsiaTheme="minorEastAsia" w:hAnsiTheme="majorHAnsi" w:cstheme="minorBidi"/>
          <w:noProof/>
          <w:sz w:val="20"/>
          <w:szCs w:val="20"/>
          <w:bdr w:val="none" w:sz="0" w:space="0" w:color="auto"/>
          <w:lang w:val="es-US" w:eastAsia="zh-CN"/>
        </w:rPr>
      </w:pPr>
      <w:hyperlink w:anchor="_Toc90557420" w:history="1">
        <w:r w:rsidR="00D66F4D" w:rsidRPr="00136ECB">
          <w:rPr>
            <w:rStyle w:val="Hyperlink"/>
            <w:rFonts w:asciiTheme="majorHAnsi" w:hAnsiTheme="majorHAnsi"/>
            <w:noProof/>
            <w:sz w:val="20"/>
            <w:szCs w:val="20"/>
          </w:rPr>
          <w:t>D.</w:t>
        </w:r>
        <w:r w:rsidR="00D66F4D" w:rsidRPr="00136ECB">
          <w:rPr>
            <w:rFonts w:asciiTheme="majorHAnsi" w:eastAsiaTheme="minorEastAsia" w:hAnsiTheme="majorHAnsi" w:cstheme="minorBidi"/>
            <w:noProof/>
            <w:sz w:val="20"/>
            <w:szCs w:val="20"/>
            <w:bdr w:val="none" w:sz="0" w:space="0" w:color="auto"/>
            <w:lang w:val="es-US" w:eastAsia="zh-CN"/>
          </w:rPr>
          <w:tab/>
        </w:r>
        <w:r w:rsidR="00D66F4D" w:rsidRPr="00136ECB">
          <w:rPr>
            <w:rStyle w:val="Hyperlink"/>
            <w:rFonts w:asciiTheme="majorHAnsi" w:hAnsiTheme="majorHAnsi"/>
            <w:noProof/>
            <w:sz w:val="20"/>
            <w:szCs w:val="20"/>
          </w:rPr>
          <w:t xml:space="preserve">Right to protection of honor, personal reputation, and private and family life, to a family and to protection thereof and to protection for mothers and children of the American Declaration in connection with the obligation of </w:t>
        </w:r>
        <w:r w:rsidR="00D66F4D" w:rsidRPr="00136ECB">
          <w:rPr>
            <w:rStyle w:val="Hyperlink"/>
            <w:rFonts w:asciiTheme="majorHAnsi" w:hAnsiTheme="majorHAnsi"/>
            <w:i/>
            <w:noProof/>
            <w:sz w:val="20"/>
            <w:szCs w:val="20"/>
          </w:rPr>
          <w:t xml:space="preserve">non-refoulement </w:t>
        </w:r>
        <w:r w:rsidR="00D66F4D" w:rsidRPr="00136ECB">
          <w:rPr>
            <w:rStyle w:val="Hyperlink"/>
            <w:rFonts w:asciiTheme="majorHAnsi" w:hAnsiTheme="majorHAnsi"/>
            <w:noProof/>
            <w:sz w:val="20"/>
            <w:szCs w:val="20"/>
          </w:rPr>
          <w:t>regarding the Escuela Family</w:t>
        </w:r>
        <w:r w:rsidR="00D66F4D" w:rsidRPr="00136ECB">
          <w:rPr>
            <w:rFonts w:asciiTheme="majorHAnsi" w:hAnsiTheme="majorHAnsi"/>
            <w:noProof/>
            <w:webHidden/>
            <w:sz w:val="20"/>
            <w:szCs w:val="20"/>
          </w:rPr>
          <w:tab/>
        </w:r>
        <w:r w:rsidR="00D66F4D" w:rsidRPr="00136ECB">
          <w:rPr>
            <w:rFonts w:asciiTheme="majorHAnsi" w:hAnsiTheme="majorHAnsi"/>
            <w:noProof/>
            <w:webHidden/>
            <w:sz w:val="20"/>
            <w:szCs w:val="20"/>
          </w:rPr>
          <w:fldChar w:fldCharType="begin"/>
        </w:r>
        <w:r w:rsidR="00D66F4D" w:rsidRPr="00136ECB">
          <w:rPr>
            <w:rFonts w:asciiTheme="majorHAnsi" w:hAnsiTheme="majorHAnsi"/>
            <w:noProof/>
            <w:webHidden/>
            <w:sz w:val="20"/>
            <w:szCs w:val="20"/>
          </w:rPr>
          <w:instrText xml:space="preserve"> PAGEREF _Toc90557420 \h </w:instrText>
        </w:r>
        <w:r w:rsidR="00D66F4D" w:rsidRPr="00136ECB">
          <w:rPr>
            <w:rFonts w:asciiTheme="majorHAnsi" w:hAnsiTheme="majorHAnsi"/>
            <w:noProof/>
            <w:webHidden/>
            <w:sz w:val="20"/>
            <w:szCs w:val="20"/>
          </w:rPr>
        </w:r>
        <w:r w:rsidR="00D66F4D" w:rsidRPr="00136ECB">
          <w:rPr>
            <w:rFonts w:asciiTheme="majorHAnsi" w:hAnsiTheme="majorHAnsi"/>
            <w:noProof/>
            <w:webHidden/>
            <w:sz w:val="20"/>
            <w:szCs w:val="20"/>
          </w:rPr>
          <w:fldChar w:fldCharType="separate"/>
        </w:r>
        <w:r w:rsidR="00167B5D">
          <w:rPr>
            <w:rFonts w:asciiTheme="majorHAnsi" w:hAnsiTheme="majorHAnsi"/>
            <w:noProof/>
            <w:webHidden/>
            <w:sz w:val="20"/>
            <w:szCs w:val="20"/>
          </w:rPr>
          <w:t>21</w:t>
        </w:r>
        <w:r w:rsidR="00D66F4D" w:rsidRPr="00136ECB">
          <w:rPr>
            <w:rFonts w:asciiTheme="majorHAnsi" w:hAnsiTheme="majorHAnsi"/>
            <w:noProof/>
            <w:webHidden/>
            <w:sz w:val="20"/>
            <w:szCs w:val="20"/>
          </w:rPr>
          <w:fldChar w:fldCharType="end"/>
        </w:r>
      </w:hyperlink>
    </w:p>
    <w:p w14:paraId="1772F5E5" w14:textId="5F5B57D3" w:rsidR="00D66F4D" w:rsidRPr="00136ECB" w:rsidRDefault="009C7672" w:rsidP="009D1882">
      <w:pPr>
        <w:pStyle w:val="TOC1"/>
        <w:rPr>
          <w:rFonts w:eastAsiaTheme="minorEastAsia" w:cstheme="minorBidi"/>
          <w:bdr w:val="none" w:sz="0" w:space="0" w:color="auto"/>
          <w:lang w:val="es-US" w:eastAsia="zh-CN"/>
        </w:rPr>
      </w:pPr>
      <w:hyperlink w:anchor="_Toc90557421" w:history="1">
        <w:r w:rsidR="00D66F4D" w:rsidRPr="00136ECB">
          <w:rPr>
            <w:rStyle w:val="Hyperlink"/>
          </w:rPr>
          <w:t>VI.</w:t>
        </w:r>
        <w:r w:rsidR="00D66F4D" w:rsidRPr="00136ECB">
          <w:rPr>
            <w:rFonts w:eastAsiaTheme="minorEastAsia" w:cstheme="minorBidi"/>
            <w:bdr w:val="none" w:sz="0" w:space="0" w:color="auto"/>
            <w:lang w:val="es-US" w:eastAsia="zh-CN"/>
          </w:rPr>
          <w:tab/>
        </w:r>
        <w:r w:rsidR="00D66F4D" w:rsidRPr="00136ECB">
          <w:rPr>
            <w:rStyle w:val="Hyperlink"/>
          </w:rPr>
          <w:t>ACTIONS SUBSEQUENT TO REPORT No. 9/19</w:t>
        </w:r>
        <w:r w:rsidR="00D66F4D" w:rsidRPr="00136ECB">
          <w:rPr>
            <w:webHidden/>
          </w:rPr>
          <w:tab/>
        </w:r>
        <w:r w:rsidR="00D66F4D" w:rsidRPr="00136ECB">
          <w:rPr>
            <w:webHidden/>
          </w:rPr>
          <w:fldChar w:fldCharType="begin"/>
        </w:r>
        <w:r w:rsidR="00D66F4D" w:rsidRPr="00136ECB">
          <w:rPr>
            <w:webHidden/>
          </w:rPr>
          <w:instrText xml:space="preserve"> PAGEREF _Toc90557421 \h </w:instrText>
        </w:r>
        <w:r w:rsidR="00D66F4D" w:rsidRPr="00136ECB">
          <w:rPr>
            <w:webHidden/>
          </w:rPr>
        </w:r>
        <w:r w:rsidR="00D66F4D" w:rsidRPr="00136ECB">
          <w:rPr>
            <w:webHidden/>
          </w:rPr>
          <w:fldChar w:fldCharType="separate"/>
        </w:r>
        <w:r w:rsidR="00167B5D">
          <w:rPr>
            <w:webHidden/>
          </w:rPr>
          <w:t>22</w:t>
        </w:r>
        <w:r w:rsidR="00D66F4D" w:rsidRPr="00136ECB">
          <w:rPr>
            <w:webHidden/>
          </w:rPr>
          <w:fldChar w:fldCharType="end"/>
        </w:r>
      </w:hyperlink>
    </w:p>
    <w:p w14:paraId="30500871" w14:textId="65B2EB3B" w:rsidR="00D66F4D" w:rsidRPr="00136ECB" w:rsidRDefault="009C7672" w:rsidP="009D1882">
      <w:pPr>
        <w:pStyle w:val="TOC1"/>
        <w:rPr>
          <w:rFonts w:eastAsiaTheme="minorEastAsia" w:cstheme="minorBidi"/>
          <w:bdr w:val="none" w:sz="0" w:space="0" w:color="auto"/>
          <w:lang w:val="es-US" w:eastAsia="zh-CN"/>
        </w:rPr>
      </w:pPr>
      <w:hyperlink w:anchor="_Toc90557422" w:history="1">
        <w:r w:rsidR="00D66F4D" w:rsidRPr="00136ECB">
          <w:rPr>
            <w:rStyle w:val="Hyperlink"/>
          </w:rPr>
          <w:t>VII.</w:t>
        </w:r>
        <w:r w:rsidR="00D66F4D" w:rsidRPr="00136ECB">
          <w:rPr>
            <w:rFonts w:eastAsiaTheme="minorEastAsia" w:cstheme="minorBidi"/>
            <w:bdr w:val="none" w:sz="0" w:space="0" w:color="auto"/>
            <w:lang w:val="es-US" w:eastAsia="zh-CN"/>
          </w:rPr>
          <w:tab/>
        </w:r>
        <w:r w:rsidR="00D66F4D" w:rsidRPr="00136ECB">
          <w:rPr>
            <w:rStyle w:val="Hyperlink"/>
          </w:rPr>
          <w:t>ACTIONS SUBSEQUENT TO REPORT No. 124/19</w:t>
        </w:r>
        <w:r w:rsidR="00D66F4D" w:rsidRPr="00136ECB">
          <w:rPr>
            <w:webHidden/>
          </w:rPr>
          <w:tab/>
        </w:r>
        <w:r w:rsidR="00D66F4D" w:rsidRPr="00136ECB">
          <w:rPr>
            <w:webHidden/>
          </w:rPr>
          <w:fldChar w:fldCharType="begin"/>
        </w:r>
        <w:r w:rsidR="00D66F4D" w:rsidRPr="00136ECB">
          <w:rPr>
            <w:webHidden/>
          </w:rPr>
          <w:instrText xml:space="preserve"> PAGEREF _Toc90557422 \h </w:instrText>
        </w:r>
        <w:r w:rsidR="00D66F4D" w:rsidRPr="00136ECB">
          <w:rPr>
            <w:webHidden/>
          </w:rPr>
        </w:r>
        <w:r w:rsidR="00D66F4D" w:rsidRPr="00136ECB">
          <w:rPr>
            <w:webHidden/>
          </w:rPr>
          <w:fldChar w:fldCharType="separate"/>
        </w:r>
        <w:r w:rsidR="00167B5D">
          <w:rPr>
            <w:webHidden/>
          </w:rPr>
          <w:t>24</w:t>
        </w:r>
        <w:r w:rsidR="00D66F4D" w:rsidRPr="00136ECB">
          <w:rPr>
            <w:webHidden/>
          </w:rPr>
          <w:fldChar w:fldCharType="end"/>
        </w:r>
      </w:hyperlink>
    </w:p>
    <w:p w14:paraId="09609E03" w14:textId="6AC450E7" w:rsidR="00D66F4D" w:rsidRPr="00136ECB" w:rsidRDefault="009C7672" w:rsidP="009D1882">
      <w:pPr>
        <w:pStyle w:val="TOC1"/>
        <w:rPr>
          <w:rFonts w:eastAsiaTheme="minorEastAsia" w:cstheme="minorBidi"/>
          <w:bdr w:val="none" w:sz="0" w:space="0" w:color="auto"/>
          <w:lang w:val="es-US" w:eastAsia="zh-CN"/>
        </w:rPr>
      </w:pPr>
      <w:hyperlink w:anchor="_Toc90557423" w:history="1">
        <w:r w:rsidR="00D66F4D" w:rsidRPr="00136ECB">
          <w:rPr>
            <w:rStyle w:val="Hyperlink"/>
          </w:rPr>
          <w:t>VIII.</w:t>
        </w:r>
        <w:r w:rsidR="00D66F4D" w:rsidRPr="00136ECB">
          <w:rPr>
            <w:rFonts w:eastAsiaTheme="minorEastAsia" w:cstheme="minorBidi"/>
            <w:bdr w:val="none" w:sz="0" w:space="0" w:color="auto"/>
            <w:lang w:val="es-US" w:eastAsia="zh-CN"/>
          </w:rPr>
          <w:tab/>
        </w:r>
        <w:r w:rsidR="00D66F4D" w:rsidRPr="00136ECB">
          <w:rPr>
            <w:rStyle w:val="Hyperlink"/>
          </w:rPr>
          <w:t>FINAL CONCLUSIONS AND RECOMMENDATIONS</w:t>
        </w:r>
        <w:r w:rsidR="00D66F4D" w:rsidRPr="00136ECB">
          <w:rPr>
            <w:webHidden/>
          </w:rPr>
          <w:tab/>
        </w:r>
        <w:r w:rsidR="00D66F4D" w:rsidRPr="00136ECB">
          <w:rPr>
            <w:webHidden/>
          </w:rPr>
          <w:fldChar w:fldCharType="begin"/>
        </w:r>
        <w:r w:rsidR="00D66F4D" w:rsidRPr="00136ECB">
          <w:rPr>
            <w:webHidden/>
          </w:rPr>
          <w:instrText xml:space="preserve"> PAGEREF _Toc90557423 \h </w:instrText>
        </w:r>
        <w:r w:rsidR="00D66F4D" w:rsidRPr="00136ECB">
          <w:rPr>
            <w:webHidden/>
          </w:rPr>
        </w:r>
        <w:r w:rsidR="00D66F4D" w:rsidRPr="00136ECB">
          <w:rPr>
            <w:webHidden/>
          </w:rPr>
          <w:fldChar w:fldCharType="separate"/>
        </w:r>
        <w:r w:rsidR="00167B5D">
          <w:rPr>
            <w:webHidden/>
          </w:rPr>
          <w:t>26</w:t>
        </w:r>
        <w:r w:rsidR="00D66F4D" w:rsidRPr="00136ECB">
          <w:rPr>
            <w:webHidden/>
          </w:rPr>
          <w:fldChar w:fldCharType="end"/>
        </w:r>
      </w:hyperlink>
    </w:p>
    <w:p w14:paraId="5A9A8D17" w14:textId="6FFA4E3D" w:rsidR="00D66F4D" w:rsidRPr="00136ECB" w:rsidRDefault="009C7672" w:rsidP="009D1882">
      <w:pPr>
        <w:pStyle w:val="TOC1"/>
        <w:rPr>
          <w:rFonts w:eastAsiaTheme="minorEastAsia" w:cstheme="minorBidi"/>
          <w:bdr w:val="none" w:sz="0" w:space="0" w:color="auto"/>
          <w:lang w:val="es-US" w:eastAsia="zh-CN"/>
        </w:rPr>
      </w:pPr>
      <w:hyperlink w:anchor="_Toc90557424" w:history="1">
        <w:r w:rsidR="00D66F4D" w:rsidRPr="00136ECB">
          <w:rPr>
            <w:rStyle w:val="Hyperlink"/>
          </w:rPr>
          <w:t>IX.</w:t>
        </w:r>
        <w:r w:rsidR="00D66F4D" w:rsidRPr="00136ECB">
          <w:rPr>
            <w:rFonts w:eastAsiaTheme="minorEastAsia" w:cstheme="minorBidi"/>
            <w:bdr w:val="none" w:sz="0" w:space="0" w:color="auto"/>
            <w:lang w:val="es-US" w:eastAsia="zh-CN"/>
          </w:rPr>
          <w:tab/>
        </w:r>
        <w:r w:rsidR="00D66F4D" w:rsidRPr="00136ECB">
          <w:rPr>
            <w:rStyle w:val="Hyperlink"/>
          </w:rPr>
          <w:t>PUBLICATION</w:t>
        </w:r>
        <w:r w:rsidR="00D66F4D" w:rsidRPr="00136ECB">
          <w:rPr>
            <w:webHidden/>
          </w:rPr>
          <w:tab/>
        </w:r>
        <w:r w:rsidR="00D66F4D" w:rsidRPr="00136ECB">
          <w:rPr>
            <w:webHidden/>
          </w:rPr>
          <w:fldChar w:fldCharType="begin"/>
        </w:r>
        <w:r w:rsidR="00D66F4D" w:rsidRPr="00136ECB">
          <w:rPr>
            <w:webHidden/>
          </w:rPr>
          <w:instrText xml:space="preserve"> PAGEREF _Toc90557424 \h </w:instrText>
        </w:r>
        <w:r w:rsidR="00D66F4D" w:rsidRPr="00136ECB">
          <w:rPr>
            <w:webHidden/>
          </w:rPr>
        </w:r>
        <w:r w:rsidR="00D66F4D" w:rsidRPr="00136ECB">
          <w:rPr>
            <w:webHidden/>
          </w:rPr>
          <w:fldChar w:fldCharType="separate"/>
        </w:r>
        <w:r w:rsidR="00167B5D">
          <w:rPr>
            <w:webHidden/>
          </w:rPr>
          <w:t>27</w:t>
        </w:r>
        <w:r w:rsidR="00D66F4D" w:rsidRPr="00136ECB">
          <w:rPr>
            <w:webHidden/>
          </w:rPr>
          <w:fldChar w:fldCharType="end"/>
        </w:r>
      </w:hyperlink>
    </w:p>
    <w:p w14:paraId="1C1D6B85" w14:textId="76238770" w:rsidR="005937F1" w:rsidRPr="00C21402" w:rsidRDefault="003B6901" w:rsidP="009D1882">
      <w:pPr>
        <w:pStyle w:val="TOC1"/>
      </w:pPr>
      <w:r w:rsidRPr="00136ECB">
        <w:rPr>
          <w:lang w:val="es-ES_tradnl"/>
        </w:rPr>
        <w:fldChar w:fldCharType="end"/>
      </w:r>
      <w:r w:rsidR="00722C9F" w:rsidRPr="00C21402">
        <w:br w:type="page"/>
      </w:r>
    </w:p>
    <w:p w14:paraId="2FB29327" w14:textId="77777777" w:rsidR="00D12193" w:rsidRPr="001F2F25" w:rsidRDefault="001E28D1" w:rsidP="004311FE">
      <w:pPr>
        <w:pStyle w:val="Heading1"/>
        <w:tabs>
          <w:tab w:val="left" w:pos="360"/>
        </w:tabs>
        <w:ind w:left="0" w:firstLine="0"/>
      </w:pPr>
      <w:bookmarkStart w:id="2" w:name="_Toc90557397"/>
      <w:r w:rsidRPr="001F2F25">
        <w:lastRenderedPageBreak/>
        <w:t>SUMMARY</w:t>
      </w:r>
      <w:bookmarkEnd w:id="2"/>
    </w:p>
    <w:p w14:paraId="70C3FDBB" w14:textId="77777777" w:rsidR="005C4CA5" w:rsidRPr="006D6B01" w:rsidRDefault="005C4CA5" w:rsidP="004311FE">
      <w:pPr>
        <w:tabs>
          <w:tab w:val="left" w:pos="360"/>
        </w:tabs>
        <w:suppressAutoHyphens/>
        <w:rPr>
          <w:rFonts w:asciiTheme="majorHAnsi" w:hAnsiTheme="majorHAnsi"/>
          <w:b/>
          <w:sz w:val="20"/>
          <w:szCs w:val="20"/>
          <w:lang w:val="es-ES_tradnl"/>
        </w:rPr>
      </w:pPr>
    </w:p>
    <w:p w14:paraId="29E9E27A" w14:textId="77777777" w:rsidR="00BD7433" w:rsidRPr="006D6B01" w:rsidRDefault="00BD7433"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90"/>
          <w:tab w:val="left" w:pos="360"/>
          <w:tab w:val="left" w:pos="1440"/>
        </w:tabs>
        <w:ind w:left="0" w:firstLine="0"/>
        <w:jc w:val="both"/>
        <w:rPr>
          <w:rFonts w:asciiTheme="majorHAnsi" w:hAnsiTheme="majorHAnsi"/>
          <w:color w:val="000000" w:themeColor="text1"/>
          <w:sz w:val="20"/>
          <w:szCs w:val="20"/>
        </w:rPr>
      </w:pPr>
      <w:r w:rsidRPr="006D6B01">
        <w:rPr>
          <w:rFonts w:asciiTheme="majorHAnsi" w:hAnsiTheme="majorHAnsi"/>
          <w:color w:val="000000" w:themeColor="text1"/>
          <w:sz w:val="20"/>
          <w:szCs w:val="20"/>
        </w:rPr>
        <w:t xml:space="preserve">On </w:t>
      </w:r>
      <w:r w:rsidR="00A54E6E" w:rsidRPr="006D6B01">
        <w:rPr>
          <w:rFonts w:asciiTheme="majorHAnsi" w:hAnsiTheme="majorHAnsi"/>
          <w:color w:val="000000" w:themeColor="text1"/>
          <w:sz w:val="20"/>
          <w:szCs w:val="20"/>
        </w:rPr>
        <w:t>August 13, 1998</w:t>
      </w:r>
      <w:r w:rsidRPr="006D6B01">
        <w:rPr>
          <w:rFonts w:asciiTheme="majorHAnsi" w:hAnsiTheme="majorHAnsi"/>
          <w:color w:val="000000" w:themeColor="text1"/>
          <w:sz w:val="20"/>
          <w:szCs w:val="20"/>
        </w:rPr>
        <w:t>, the Inter-American Commission on Human Rights (the “Inter-American Commission” or “IACHR”) received a petition</w:t>
      </w:r>
      <w:r w:rsidRPr="006D6B01">
        <w:rPr>
          <w:rFonts w:asciiTheme="majorHAnsi" w:hAnsiTheme="majorHAnsi"/>
          <w:color w:val="FF0000"/>
          <w:sz w:val="20"/>
          <w:szCs w:val="20"/>
        </w:rPr>
        <w:t xml:space="preserve"> </w:t>
      </w:r>
      <w:r w:rsidRPr="006D6B01">
        <w:rPr>
          <w:rFonts w:asciiTheme="majorHAnsi" w:hAnsiTheme="majorHAnsi"/>
          <w:color w:val="000000" w:themeColor="text1"/>
          <w:sz w:val="20"/>
          <w:szCs w:val="20"/>
        </w:rPr>
        <w:t xml:space="preserve">presented by </w:t>
      </w:r>
      <w:r w:rsidR="009C5174" w:rsidRPr="006D6B01">
        <w:rPr>
          <w:rFonts w:asciiTheme="majorHAnsi" w:hAnsiTheme="majorHAnsi"/>
          <w:color w:val="000000" w:themeColor="text1"/>
          <w:sz w:val="20"/>
          <w:szCs w:val="20"/>
        </w:rPr>
        <w:t xml:space="preserve">the Center for Justice and International Law (CEJIL) and the Open Society Institute </w:t>
      </w:r>
      <w:r w:rsidRPr="006D6B01">
        <w:rPr>
          <w:rFonts w:asciiTheme="majorHAnsi" w:hAnsiTheme="majorHAnsi"/>
          <w:color w:val="000000" w:themeColor="text1"/>
          <w:sz w:val="20"/>
          <w:szCs w:val="20"/>
        </w:rPr>
        <w:t xml:space="preserve">(the “petitioners”) that alleges the international responsibility of </w:t>
      </w:r>
      <w:r w:rsidR="009C5174" w:rsidRPr="006D6B01">
        <w:rPr>
          <w:rFonts w:asciiTheme="majorHAnsi" w:hAnsiTheme="majorHAnsi"/>
          <w:color w:val="000000" w:themeColor="text1"/>
          <w:sz w:val="20"/>
          <w:szCs w:val="20"/>
        </w:rPr>
        <w:t>the Commonwealth of The Bahamas</w:t>
      </w:r>
      <w:r w:rsidRPr="006D6B01">
        <w:rPr>
          <w:rFonts w:asciiTheme="majorHAnsi" w:hAnsiTheme="majorHAnsi"/>
          <w:color w:val="000000" w:themeColor="text1"/>
          <w:sz w:val="20"/>
          <w:szCs w:val="20"/>
        </w:rPr>
        <w:t xml:space="preserve"> (the “State” </w:t>
      </w:r>
      <w:r w:rsidRPr="006D6B01">
        <w:rPr>
          <w:rFonts w:asciiTheme="majorHAnsi" w:hAnsiTheme="majorHAnsi"/>
          <w:sz w:val="20"/>
          <w:szCs w:val="20"/>
        </w:rPr>
        <w:t>or “</w:t>
      </w:r>
      <w:r w:rsidR="00C306A2" w:rsidRPr="006D6B01">
        <w:rPr>
          <w:rFonts w:asciiTheme="majorHAnsi" w:hAnsiTheme="majorHAnsi"/>
          <w:sz w:val="20"/>
          <w:szCs w:val="20"/>
        </w:rPr>
        <w:t>The Bahamas</w:t>
      </w:r>
      <w:r w:rsidRPr="006D6B01">
        <w:rPr>
          <w:rFonts w:asciiTheme="majorHAnsi" w:hAnsiTheme="majorHAnsi"/>
          <w:sz w:val="20"/>
          <w:szCs w:val="20"/>
        </w:rPr>
        <w:t xml:space="preserve">”) </w:t>
      </w:r>
      <w:r w:rsidRPr="006D6B01">
        <w:rPr>
          <w:rFonts w:asciiTheme="majorHAnsi" w:hAnsiTheme="majorHAnsi"/>
          <w:color w:val="000000" w:themeColor="text1"/>
          <w:sz w:val="20"/>
          <w:szCs w:val="20"/>
        </w:rPr>
        <w:t xml:space="preserve">for violations of the rights of </w:t>
      </w:r>
      <w:r w:rsidR="00C306A2" w:rsidRPr="006D6B01">
        <w:rPr>
          <w:rFonts w:asciiTheme="majorHAnsi" w:hAnsiTheme="majorHAnsi"/>
          <w:color w:val="000000" w:themeColor="text1"/>
          <w:sz w:val="20"/>
          <w:szCs w:val="20"/>
        </w:rPr>
        <w:t xml:space="preserve">120 Cuban nationals and </w:t>
      </w:r>
      <w:r w:rsidR="00C306A2" w:rsidRPr="006D6B01">
        <w:rPr>
          <w:rFonts w:asciiTheme="majorHAnsi" w:hAnsiTheme="majorHAnsi"/>
          <w:sz w:val="20"/>
          <w:szCs w:val="20"/>
        </w:rPr>
        <w:t xml:space="preserve">8 Haitian nationals detained </w:t>
      </w:r>
      <w:r w:rsidR="00C306A2" w:rsidRPr="006D6B01">
        <w:rPr>
          <w:rFonts w:asciiTheme="majorHAnsi" w:hAnsiTheme="majorHAnsi"/>
          <w:color w:val="000000" w:themeColor="text1"/>
          <w:sz w:val="20"/>
          <w:szCs w:val="20"/>
        </w:rPr>
        <w:t xml:space="preserve">at the Carmichael </w:t>
      </w:r>
      <w:r w:rsidR="00096185" w:rsidRPr="006D6B01">
        <w:rPr>
          <w:rFonts w:asciiTheme="majorHAnsi" w:hAnsiTheme="majorHAnsi"/>
          <w:color w:val="000000" w:themeColor="text1"/>
          <w:sz w:val="20"/>
          <w:szCs w:val="20"/>
        </w:rPr>
        <w:t xml:space="preserve">Road </w:t>
      </w:r>
      <w:r w:rsidR="00C306A2" w:rsidRPr="006D6B01">
        <w:rPr>
          <w:rFonts w:asciiTheme="majorHAnsi" w:hAnsiTheme="majorHAnsi"/>
          <w:color w:val="000000" w:themeColor="text1"/>
          <w:sz w:val="20"/>
          <w:szCs w:val="20"/>
        </w:rPr>
        <w:t xml:space="preserve">Detention </w:t>
      </w:r>
      <w:r w:rsidR="000E65D6" w:rsidRPr="006D6B01">
        <w:rPr>
          <w:rFonts w:asciiTheme="majorHAnsi" w:hAnsiTheme="majorHAnsi"/>
          <w:color w:val="000000" w:themeColor="text1"/>
          <w:sz w:val="20"/>
          <w:szCs w:val="20"/>
        </w:rPr>
        <w:t>C</w:t>
      </w:r>
      <w:r w:rsidR="00C306A2" w:rsidRPr="006D6B01">
        <w:rPr>
          <w:rFonts w:asciiTheme="majorHAnsi" w:hAnsiTheme="majorHAnsi"/>
          <w:color w:val="000000" w:themeColor="text1"/>
          <w:sz w:val="20"/>
          <w:szCs w:val="20"/>
        </w:rPr>
        <w:t>enter</w:t>
      </w:r>
      <w:r w:rsidR="00BB4FCD" w:rsidRPr="006D6B01">
        <w:rPr>
          <w:rFonts w:asciiTheme="majorHAnsi" w:hAnsiTheme="majorHAnsi"/>
          <w:color w:val="000000" w:themeColor="text1"/>
          <w:sz w:val="20"/>
          <w:szCs w:val="20"/>
        </w:rPr>
        <w:t xml:space="preserve"> (“Carmichael Center”)</w:t>
      </w:r>
      <w:r w:rsidRPr="006D6B01">
        <w:rPr>
          <w:rFonts w:asciiTheme="majorHAnsi" w:hAnsiTheme="majorHAnsi"/>
          <w:color w:val="000000" w:themeColor="text1"/>
          <w:sz w:val="20"/>
          <w:szCs w:val="20"/>
        </w:rPr>
        <w:t>.</w:t>
      </w:r>
      <w:r w:rsidR="00F01736" w:rsidRPr="006D6B01">
        <w:rPr>
          <w:rFonts w:asciiTheme="majorHAnsi" w:hAnsiTheme="majorHAnsi"/>
          <w:color w:val="000000" w:themeColor="text1"/>
          <w:sz w:val="20"/>
          <w:szCs w:val="20"/>
        </w:rPr>
        <w:t xml:space="preserve"> </w:t>
      </w:r>
    </w:p>
    <w:p w14:paraId="0CA21965" w14:textId="77777777" w:rsidR="00BD7433" w:rsidRPr="006D6B01" w:rsidRDefault="00BD7433" w:rsidP="004311F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rPr>
          <w:rFonts w:asciiTheme="majorHAnsi" w:hAnsiTheme="majorHAnsi"/>
          <w:color w:val="000000" w:themeColor="text1"/>
          <w:sz w:val="20"/>
          <w:szCs w:val="20"/>
        </w:rPr>
      </w:pPr>
    </w:p>
    <w:p w14:paraId="41B4FE93" w14:textId="01B3629F" w:rsidR="00BD7433" w:rsidRPr="006D6B01" w:rsidRDefault="00BD7433"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color w:val="000000" w:themeColor="text1"/>
          <w:sz w:val="20"/>
          <w:szCs w:val="20"/>
        </w:rPr>
      </w:pPr>
      <w:r w:rsidRPr="006D6B01">
        <w:rPr>
          <w:rFonts w:asciiTheme="majorHAnsi" w:hAnsiTheme="majorHAnsi"/>
          <w:sz w:val="20"/>
          <w:szCs w:val="20"/>
        </w:rPr>
        <w:t xml:space="preserve">The Commission held </w:t>
      </w:r>
      <w:r w:rsidR="006F7D1D" w:rsidRPr="006D6B01">
        <w:rPr>
          <w:rFonts w:asciiTheme="majorHAnsi" w:hAnsiTheme="majorHAnsi"/>
          <w:sz w:val="20"/>
          <w:szCs w:val="20"/>
        </w:rPr>
        <w:t>a</w:t>
      </w:r>
      <w:r w:rsidR="00AA7A6C" w:rsidRPr="006D6B01">
        <w:rPr>
          <w:rFonts w:asciiTheme="majorHAnsi" w:hAnsiTheme="majorHAnsi"/>
          <w:sz w:val="20"/>
          <w:szCs w:val="20"/>
        </w:rPr>
        <w:t>n admissibility</w:t>
      </w:r>
      <w:r w:rsidR="006F7D1D" w:rsidRPr="006D6B01">
        <w:rPr>
          <w:rFonts w:asciiTheme="majorHAnsi" w:hAnsiTheme="majorHAnsi"/>
          <w:sz w:val="20"/>
          <w:szCs w:val="20"/>
        </w:rPr>
        <w:t xml:space="preserve"> </w:t>
      </w:r>
      <w:r w:rsidRPr="006D6B01">
        <w:rPr>
          <w:rFonts w:asciiTheme="majorHAnsi" w:hAnsiTheme="majorHAnsi"/>
          <w:sz w:val="20"/>
          <w:szCs w:val="20"/>
        </w:rPr>
        <w:t xml:space="preserve">hearing on </w:t>
      </w:r>
      <w:r w:rsidR="00A33282" w:rsidRPr="006D6B01">
        <w:rPr>
          <w:rFonts w:asciiTheme="majorHAnsi" w:hAnsiTheme="majorHAnsi"/>
          <w:sz w:val="20"/>
          <w:szCs w:val="20"/>
        </w:rPr>
        <w:t xml:space="preserve">the case on </w:t>
      </w:r>
      <w:r w:rsidR="004A2EEB" w:rsidRPr="006D6B01">
        <w:rPr>
          <w:rFonts w:asciiTheme="majorHAnsi" w:hAnsiTheme="majorHAnsi"/>
          <w:sz w:val="20"/>
          <w:szCs w:val="20"/>
        </w:rPr>
        <w:t>October 1, 1999</w:t>
      </w:r>
      <w:r w:rsidR="006F7D1D" w:rsidRPr="006D6B01">
        <w:rPr>
          <w:rFonts w:asciiTheme="majorHAnsi" w:hAnsiTheme="majorHAnsi"/>
          <w:sz w:val="20"/>
          <w:szCs w:val="20"/>
        </w:rPr>
        <w:t>.</w:t>
      </w:r>
      <w:r w:rsidR="004A2EEB" w:rsidRPr="006D6B01">
        <w:rPr>
          <w:rFonts w:asciiTheme="majorHAnsi" w:hAnsiTheme="majorHAnsi"/>
          <w:sz w:val="20"/>
          <w:szCs w:val="20"/>
        </w:rPr>
        <w:t xml:space="preserve"> </w:t>
      </w:r>
      <w:r w:rsidR="0029602A" w:rsidRPr="006D6B01">
        <w:rPr>
          <w:rFonts w:asciiTheme="majorHAnsi" w:hAnsiTheme="majorHAnsi"/>
          <w:sz w:val="20"/>
          <w:szCs w:val="20"/>
        </w:rPr>
        <w:t>Following the hearing</w:t>
      </w:r>
      <w:r w:rsidR="00DA4CCF" w:rsidRPr="006D6B01">
        <w:rPr>
          <w:rFonts w:asciiTheme="majorHAnsi" w:hAnsiTheme="majorHAnsi"/>
          <w:color w:val="000000" w:themeColor="text1"/>
          <w:sz w:val="20"/>
          <w:szCs w:val="20"/>
        </w:rPr>
        <w:t xml:space="preserve">, the petitioners </w:t>
      </w:r>
      <w:r w:rsidR="006F7D1D" w:rsidRPr="006D6B01">
        <w:rPr>
          <w:rFonts w:asciiTheme="majorHAnsi" w:hAnsiTheme="majorHAnsi"/>
          <w:color w:val="000000" w:themeColor="text1"/>
          <w:sz w:val="20"/>
          <w:szCs w:val="20"/>
        </w:rPr>
        <w:t>filed a second petition</w:t>
      </w:r>
      <w:r w:rsidR="00DA4CCF" w:rsidRPr="006D6B01">
        <w:rPr>
          <w:rFonts w:asciiTheme="majorHAnsi" w:hAnsiTheme="majorHAnsi"/>
          <w:color w:val="000000" w:themeColor="text1"/>
          <w:sz w:val="20"/>
          <w:szCs w:val="20"/>
        </w:rPr>
        <w:t xml:space="preserve"> </w:t>
      </w:r>
      <w:r w:rsidR="0029602A" w:rsidRPr="006D6B01">
        <w:rPr>
          <w:rFonts w:asciiTheme="majorHAnsi" w:hAnsiTheme="majorHAnsi"/>
          <w:color w:val="000000" w:themeColor="text1"/>
          <w:sz w:val="20"/>
          <w:szCs w:val="20"/>
        </w:rPr>
        <w:t xml:space="preserve">on May 15, 2000 based on similar facts </w:t>
      </w:r>
      <w:r w:rsidR="009B22E9" w:rsidRPr="006D6B01">
        <w:rPr>
          <w:rFonts w:asciiTheme="majorHAnsi" w:hAnsiTheme="majorHAnsi"/>
          <w:color w:val="000000" w:themeColor="text1"/>
          <w:sz w:val="20"/>
          <w:szCs w:val="20"/>
        </w:rPr>
        <w:t>regarding additional</w:t>
      </w:r>
      <w:r w:rsidR="00DA4CCF" w:rsidRPr="006D6B01">
        <w:rPr>
          <w:rFonts w:asciiTheme="majorHAnsi" w:hAnsiTheme="majorHAnsi"/>
          <w:color w:val="000000" w:themeColor="text1"/>
          <w:sz w:val="20"/>
          <w:szCs w:val="20"/>
        </w:rPr>
        <w:t xml:space="preserve"> </w:t>
      </w:r>
      <w:r w:rsidR="0029602A" w:rsidRPr="006D6B01">
        <w:rPr>
          <w:rFonts w:asciiTheme="majorHAnsi" w:hAnsiTheme="majorHAnsi"/>
          <w:color w:val="000000" w:themeColor="text1"/>
          <w:sz w:val="20"/>
          <w:szCs w:val="20"/>
        </w:rPr>
        <w:t xml:space="preserve">alleged </w:t>
      </w:r>
      <w:r w:rsidR="00DA4CCF" w:rsidRPr="006D6B01">
        <w:rPr>
          <w:rFonts w:asciiTheme="majorHAnsi" w:hAnsiTheme="majorHAnsi"/>
          <w:color w:val="000000" w:themeColor="text1"/>
          <w:sz w:val="20"/>
          <w:szCs w:val="20"/>
        </w:rPr>
        <w:t xml:space="preserve">victims, consisting </w:t>
      </w:r>
      <w:r w:rsidR="009B22E9" w:rsidRPr="006D6B01">
        <w:rPr>
          <w:rFonts w:asciiTheme="majorHAnsi" w:hAnsiTheme="majorHAnsi"/>
          <w:color w:val="000000" w:themeColor="text1"/>
          <w:sz w:val="20"/>
          <w:szCs w:val="20"/>
        </w:rPr>
        <w:t xml:space="preserve">of 76 </w:t>
      </w:r>
      <w:r w:rsidR="00DA4CCF" w:rsidRPr="006D6B01">
        <w:rPr>
          <w:rFonts w:asciiTheme="majorHAnsi" w:hAnsiTheme="majorHAnsi"/>
          <w:color w:val="000000" w:themeColor="text1"/>
          <w:sz w:val="20"/>
          <w:szCs w:val="20"/>
        </w:rPr>
        <w:t>Cuban</w:t>
      </w:r>
      <w:r w:rsidR="009B22E9" w:rsidRPr="006D6B01">
        <w:rPr>
          <w:rFonts w:asciiTheme="majorHAnsi" w:hAnsiTheme="majorHAnsi"/>
          <w:color w:val="000000" w:themeColor="text1"/>
          <w:sz w:val="20"/>
          <w:szCs w:val="20"/>
        </w:rPr>
        <w:t xml:space="preserve"> nationals and 119 </w:t>
      </w:r>
      <w:r w:rsidR="00DA4CCF" w:rsidRPr="006D6B01">
        <w:rPr>
          <w:rFonts w:asciiTheme="majorHAnsi" w:hAnsiTheme="majorHAnsi"/>
          <w:color w:val="000000" w:themeColor="text1"/>
          <w:sz w:val="20"/>
          <w:szCs w:val="20"/>
        </w:rPr>
        <w:t>Haitian national</w:t>
      </w:r>
      <w:r w:rsidR="009B22E9" w:rsidRPr="006D6B01">
        <w:rPr>
          <w:rFonts w:asciiTheme="majorHAnsi" w:hAnsiTheme="majorHAnsi"/>
          <w:color w:val="000000" w:themeColor="text1"/>
          <w:sz w:val="20"/>
          <w:szCs w:val="20"/>
        </w:rPr>
        <w:t>s</w:t>
      </w:r>
      <w:r w:rsidR="0029602A" w:rsidRPr="006D6B01">
        <w:rPr>
          <w:rFonts w:asciiTheme="majorHAnsi" w:hAnsiTheme="majorHAnsi"/>
          <w:color w:val="000000" w:themeColor="text1"/>
          <w:sz w:val="20"/>
          <w:szCs w:val="20"/>
        </w:rPr>
        <w:t>.</w:t>
      </w:r>
      <w:r w:rsidR="00DA4CCF" w:rsidRPr="006D6B01">
        <w:rPr>
          <w:rStyle w:val="FootnoteReference"/>
          <w:rFonts w:asciiTheme="majorHAnsi" w:hAnsiTheme="majorHAnsi"/>
          <w:color w:val="000000" w:themeColor="text1"/>
          <w:sz w:val="20"/>
          <w:szCs w:val="20"/>
        </w:rPr>
        <w:footnoteReference w:id="2"/>
      </w:r>
      <w:r w:rsidR="006F7D1D" w:rsidRPr="006D6B01">
        <w:rPr>
          <w:rFonts w:asciiTheme="majorHAnsi" w:hAnsiTheme="majorHAnsi"/>
          <w:color w:val="000000" w:themeColor="text1"/>
          <w:sz w:val="20"/>
          <w:szCs w:val="20"/>
        </w:rPr>
        <w:t xml:space="preserve"> </w:t>
      </w:r>
      <w:r w:rsidR="0029602A" w:rsidRPr="006D6B01">
        <w:rPr>
          <w:rFonts w:asciiTheme="majorHAnsi" w:hAnsiTheme="majorHAnsi"/>
          <w:color w:val="000000" w:themeColor="text1"/>
          <w:sz w:val="20"/>
          <w:szCs w:val="20"/>
        </w:rPr>
        <w:t>A</w:t>
      </w:r>
      <w:r w:rsidR="006F7D1D" w:rsidRPr="006D6B01">
        <w:rPr>
          <w:rFonts w:asciiTheme="majorHAnsi" w:hAnsiTheme="majorHAnsi"/>
          <w:color w:val="000000" w:themeColor="text1"/>
          <w:sz w:val="20"/>
          <w:szCs w:val="20"/>
        </w:rPr>
        <w:t xml:space="preserve">nother hearing was held on </w:t>
      </w:r>
      <w:r w:rsidR="006F7D1D" w:rsidRPr="006D6B01">
        <w:rPr>
          <w:rFonts w:asciiTheme="majorHAnsi" w:hAnsiTheme="majorHAnsi"/>
          <w:sz w:val="20"/>
          <w:szCs w:val="20"/>
        </w:rPr>
        <w:t xml:space="preserve">October 12, 2000 in relation to </w:t>
      </w:r>
      <w:r w:rsidR="008915F0" w:rsidRPr="006D6B01">
        <w:rPr>
          <w:rFonts w:asciiTheme="majorHAnsi" w:hAnsiTheme="majorHAnsi"/>
          <w:sz w:val="20"/>
          <w:szCs w:val="20"/>
        </w:rPr>
        <w:t>both petitions</w:t>
      </w:r>
      <w:r w:rsidR="008D6251" w:rsidRPr="006D6B01">
        <w:rPr>
          <w:rFonts w:asciiTheme="majorHAnsi" w:hAnsiTheme="majorHAnsi"/>
          <w:sz w:val="20"/>
          <w:szCs w:val="20"/>
        </w:rPr>
        <w:t>. The Commission adopted</w:t>
      </w:r>
      <w:r w:rsidR="0029602A" w:rsidRPr="006D6B01">
        <w:rPr>
          <w:rFonts w:asciiTheme="majorHAnsi" w:hAnsiTheme="majorHAnsi"/>
          <w:sz w:val="20"/>
          <w:szCs w:val="20"/>
        </w:rPr>
        <w:t xml:space="preserve"> </w:t>
      </w:r>
      <w:r w:rsidR="00852328" w:rsidRPr="006D6B01">
        <w:rPr>
          <w:rFonts w:asciiTheme="majorHAnsi" w:hAnsiTheme="majorHAnsi"/>
          <w:sz w:val="20"/>
          <w:szCs w:val="20"/>
        </w:rPr>
        <w:t xml:space="preserve">its </w:t>
      </w:r>
      <w:r w:rsidR="0029602A" w:rsidRPr="006D6B01">
        <w:rPr>
          <w:rFonts w:asciiTheme="majorHAnsi" w:hAnsiTheme="majorHAnsi"/>
          <w:sz w:val="20"/>
          <w:szCs w:val="20"/>
        </w:rPr>
        <w:t>Admissibility R</w:t>
      </w:r>
      <w:r w:rsidRPr="006D6B01">
        <w:rPr>
          <w:rFonts w:asciiTheme="majorHAnsi" w:hAnsiTheme="majorHAnsi"/>
          <w:sz w:val="20"/>
          <w:szCs w:val="20"/>
        </w:rPr>
        <w:t xml:space="preserve">eport No. </w:t>
      </w:r>
      <w:r w:rsidR="004A2EEB" w:rsidRPr="006D6B01">
        <w:rPr>
          <w:rFonts w:asciiTheme="majorHAnsi" w:hAnsiTheme="majorHAnsi"/>
          <w:sz w:val="20"/>
          <w:szCs w:val="20"/>
        </w:rPr>
        <w:t>6</w:t>
      </w:r>
      <w:r w:rsidRPr="006D6B01">
        <w:rPr>
          <w:rFonts w:asciiTheme="majorHAnsi" w:hAnsiTheme="majorHAnsi"/>
          <w:sz w:val="20"/>
          <w:szCs w:val="20"/>
        </w:rPr>
        <w:t>/</w:t>
      </w:r>
      <w:r w:rsidR="004A2EEB" w:rsidRPr="006D6B01">
        <w:rPr>
          <w:rFonts w:asciiTheme="majorHAnsi" w:hAnsiTheme="majorHAnsi"/>
          <w:sz w:val="20"/>
          <w:szCs w:val="20"/>
        </w:rPr>
        <w:t>02</w:t>
      </w:r>
      <w:r w:rsidRPr="006D6B01">
        <w:rPr>
          <w:rFonts w:asciiTheme="majorHAnsi" w:hAnsiTheme="majorHAnsi"/>
          <w:sz w:val="20"/>
          <w:szCs w:val="20"/>
        </w:rPr>
        <w:t xml:space="preserve"> on </w:t>
      </w:r>
      <w:r w:rsidR="004A2EEB" w:rsidRPr="006D6B01">
        <w:rPr>
          <w:rFonts w:asciiTheme="majorHAnsi" w:hAnsiTheme="majorHAnsi"/>
          <w:sz w:val="20"/>
          <w:szCs w:val="20"/>
        </w:rPr>
        <w:t>February 27, 2002</w:t>
      </w:r>
      <w:r w:rsidR="0029602A" w:rsidRPr="006D6B01">
        <w:rPr>
          <w:rFonts w:asciiTheme="majorHAnsi" w:hAnsiTheme="majorHAnsi"/>
          <w:sz w:val="20"/>
          <w:szCs w:val="20"/>
        </w:rPr>
        <w:t>,</w:t>
      </w:r>
      <w:r w:rsidRPr="006D6B01">
        <w:rPr>
          <w:rStyle w:val="FootnoteReference"/>
          <w:rFonts w:asciiTheme="majorHAnsi" w:hAnsiTheme="majorHAnsi"/>
          <w:sz w:val="20"/>
          <w:szCs w:val="20"/>
          <w:lang w:val="es-ES_tradnl"/>
        </w:rPr>
        <w:footnoteReference w:id="3"/>
      </w:r>
      <w:r w:rsidR="00DA4CCF" w:rsidRPr="006D6B01">
        <w:rPr>
          <w:rFonts w:asciiTheme="majorHAnsi" w:hAnsiTheme="majorHAnsi"/>
          <w:sz w:val="20"/>
          <w:szCs w:val="20"/>
        </w:rPr>
        <w:t xml:space="preserve"> </w:t>
      </w:r>
      <w:r w:rsidR="0029602A" w:rsidRPr="006D6B01">
        <w:rPr>
          <w:rFonts w:asciiTheme="majorHAnsi" w:hAnsiTheme="majorHAnsi"/>
          <w:sz w:val="20"/>
          <w:szCs w:val="20"/>
        </w:rPr>
        <w:t xml:space="preserve"> and o</w:t>
      </w:r>
      <w:r w:rsidR="006F7D1D" w:rsidRPr="006D6B01">
        <w:rPr>
          <w:rFonts w:asciiTheme="majorHAnsi" w:hAnsiTheme="majorHAnsi"/>
          <w:sz w:val="20"/>
          <w:szCs w:val="20"/>
        </w:rPr>
        <w:t xml:space="preserve">n April 12, 2002, </w:t>
      </w:r>
      <w:r w:rsidR="0029602A" w:rsidRPr="006D6B01">
        <w:rPr>
          <w:rFonts w:asciiTheme="majorHAnsi" w:hAnsiTheme="majorHAnsi"/>
          <w:sz w:val="20"/>
          <w:szCs w:val="20"/>
        </w:rPr>
        <w:t>it</w:t>
      </w:r>
      <w:r w:rsidR="006F7D1D" w:rsidRPr="006D6B01">
        <w:rPr>
          <w:rFonts w:asciiTheme="majorHAnsi" w:hAnsiTheme="majorHAnsi"/>
          <w:sz w:val="20"/>
          <w:szCs w:val="20"/>
        </w:rPr>
        <w:t xml:space="preserve"> notified this report to the parties and placed itself at the</w:t>
      </w:r>
      <w:r w:rsidR="00525BFD" w:rsidRPr="006D6B01">
        <w:rPr>
          <w:rFonts w:asciiTheme="majorHAnsi" w:hAnsiTheme="majorHAnsi"/>
          <w:sz w:val="20"/>
          <w:szCs w:val="20"/>
        </w:rPr>
        <w:t>ir</w:t>
      </w:r>
      <w:r w:rsidR="006F7D1D" w:rsidRPr="006D6B01">
        <w:rPr>
          <w:rFonts w:asciiTheme="majorHAnsi" w:hAnsiTheme="majorHAnsi"/>
          <w:sz w:val="20"/>
          <w:szCs w:val="20"/>
        </w:rPr>
        <w:t xml:space="preserve"> disposition to reach a friendly settlement. </w:t>
      </w:r>
      <w:r w:rsidR="00525BFD" w:rsidRPr="006D6B01">
        <w:rPr>
          <w:rFonts w:asciiTheme="majorHAnsi" w:hAnsiTheme="majorHAnsi"/>
          <w:color w:val="000000" w:themeColor="text1"/>
          <w:sz w:val="20"/>
          <w:szCs w:val="20"/>
        </w:rPr>
        <w:t>O</w:t>
      </w:r>
      <w:r w:rsidR="00860C59" w:rsidRPr="006D6B01">
        <w:rPr>
          <w:rFonts w:asciiTheme="majorHAnsi" w:hAnsiTheme="majorHAnsi"/>
          <w:sz w:val="20"/>
          <w:szCs w:val="20"/>
        </w:rPr>
        <w:t xml:space="preserve">n July 12, 2005 the Commission joined the </w:t>
      </w:r>
      <w:r w:rsidR="0029602A" w:rsidRPr="006D6B01">
        <w:rPr>
          <w:rFonts w:asciiTheme="majorHAnsi" w:hAnsiTheme="majorHAnsi"/>
          <w:sz w:val="20"/>
          <w:szCs w:val="20"/>
        </w:rPr>
        <w:t>two petitions under the</w:t>
      </w:r>
      <w:r w:rsidR="00860C59" w:rsidRPr="006D6B01">
        <w:rPr>
          <w:rFonts w:asciiTheme="majorHAnsi" w:hAnsiTheme="majorHAnsi"/>
          <w:sz w:val="20"/>
          <w:szCs w:val="20"/>
        </w:rPr>
        <w:t xml:space="preserve"> same </w:t>
      </w:r>
      <w:r w:rsidR="008915F0" w:rsidRPr="006D6B01">
        <w:rPr>
          <w:rFonts w:asciiTheme="majorHAnsi" w:hAnsiTheme="majorHAnsi"/>
          <w:sz w:val="20"/>
          <w:szCs w:val="20"/>
        </w:rPr>
        <w:t xml:space="preserve">case </w:t>
      </w:r>
      <w:r w:rsidR="00860C59" w:rsidRPr="006D6B01">
        <w:rPr>
          <w:rFonts w:asciiTheme="majorHAnsi" w:hAnsiTheme="majorHAnsi"/>
          <w:sz w:val="20"/>
          <w:szCs w:val="20"/>
        </w:rPr>
        <w:t xml:space="preserve">and deferred its treatment of the admissibility of the </w:t>
      </w:r>
      <w:r w:rsidR="008915F0" w:rsidRPr="006D6B01">
        <w:rPr>
          <w:rFonts w:asciiTheme="majorHAnsi" w:hAnsiTheme="majorHAnsi"/>
          <w:sz w:val="20"/>
          <w:szCs w:val="20"/>
        </w:rPr>
        <w:t xml:space="preserve">second petition </w:t>
      </w:r>
      <w:r w:rsidR="0029602A" w:rsidRPr="006D6B01">
        <w:rPr>
          <w:rFonts w:asciiTheme="majorHAnsi" w:hAnsiTheme="majorHAnsi"/>
          <w:sz w:val="20"/>
          <w:szCs w:val="20"/>
        </w:rPr>
        <w:t>for the present merits report</w:t>
      </w:r>
      <w:r w:rsidR="003C2050">
        <w:rPr>
          <w:rFonts w:asciiTheme="majorHAnsi" w:hAnsiTheme="majorHAnsi"/>
          <w:sz w:val="20"/>
          <w:szCs w:val="20"/>
        </w:rPr>
        <w:t>,</w:t>
      </w:r>
      <w:r w:rsidR="003C2050" w:rsidRPr="003C2050">
        <w:rPr>
          <w:rStyle w:val="FootnoteReference"/>
          <w:rFonts w:asciiTheme="majorHAnsi" w:hAnsiTheme="majorHAnsi"/>
          <w:sz w:val="20"/>
          <w:szCs w:val="20"/>
        </w:rPr>
        <w:t xml:space="preserve"> </w:t>
      </w:r>
      <w:r w:rsidR="003C2050" w:rsidRPr="006D6B01">
        <w:rPr>
          <w:rStyle w:val="FootnoteReference"/>
          <w:rFonts w:asciiTheme="majorHAnsi" w:hAnsiTheme="majorHAnsi"/>
          <w:sz w:val="20"/>
          <w:szCs w:val="20"/>
        </w:rPr>
        <w:footnoteReference w:id="4"/>
      </w:r>
      <w:r w:rsidR="003C2050">
        <w:rPr>
          <w:rFonts w:asciiTheme="majorHAnsi" w:hAnsiTheme="majorHAnsi"/>
          <w:sz w:val="20"/>
          <w:szCs w:val="20"/>
        </w:rPr>
        <w:t xml:space="preserve"> and informed the State</w:t>
      </w:r>
      <w:r w:rsidR="003C2050" w:rsidRPr="006D6B01">
        <w:rPr>
          <w:rStyle w:val="FootnoteReference"/>
          <w:rFonts w:asciiTheme="majorHAnsi" w:hAnsiTheme="majorHAnsi"/>
          <w:sz w:val="20"/>
          <w:szCs w:val="20"/>
        </w:rPr>
        <w:footnoteReference w:id="5"/>
      </w:r>
      <w:r w:rsidR="0029602A" w:rsidRPr="006D6B01">
        <w:rPr>
          <w:rFonts w:asciiTheme="majorHAnsi" w:hAnsiTheme="majorHAnsi"/>
          <w:sz w:val="20"/>
          <w:szCs w:val="20"/>
        </w:rPr>
        <w:t>.</w:t>
      </w:r>
      <w:r w:rsidR="00860C59" w:rsidRPr="006D6B01">
        <w:rPr>
          <w:rFonts w:asciiTheme="majorHAnsi" w:hAnsiTheme="majorHAnsi"/>
          <w:sz w:val="20"/>
          <w:szCs w:val="20"/>
        </w:rPr>
        <w:t xml:space="preserve"> </w:t>
      </w:r>
      <w:r w:rsidRPr="006D6B01">
        <w:rPr>
          <w:rFonts w:asciiTheme="majorHAnsi" w:hAnsiTheme="majorHAnsi"/>
          <w:sz w:val="20"/>
          <w:szCs w:val="20"/>
        </w:rPr>
        <w:t xml:space="preserve">The parties enjoyed the time periods provided for in the IACHR’s Rules of Procedure to present additional observations on the merits. All the information received by the Commission was duly transmitted </w:t>
      </w:r>
      <w:r w:rsidR="00525BFD" w:rsidRPr="006D6B01">
        <w:rPr>
          <w:rFonts w:asciiTheme="majorHAnsi" w:hAnsiTheme="majorHAnsi"/>
          <w:sz w:val="20"/>
          <w:szCs w:val="20"/>
        </w:rPr>
        <w:t>between</w:t>
      </w:r>
      <w:r w:rsidRPr="006D6B01">
        <w:rPr>
          <w:rFonts w:asciiTheme="majorHAnsi" w:hAnsiTheme="majorHAnsi"/>
          <w:sz w:val="20"/>
          <w:szCs w:val="20"/>
        </w:rPr>
        <w:t xml:space="preserve"> the parties.</w:t>
      </w:r>
      <w:r w:rsidR="00CB3897" w:rsidRPr="006D6B01">
        <w:rPr>
          <w:rStyle w:val="FootnoteReference"/>
          <w:rFonts w:asciiTheme="majorHAnsi" w:hAnsiTheme="majorHAnsi"/>
          <w:sz w:val="20"/>
          <w:szCs w:val="20"/>
        </w:rPr>
        <w:footnoteReference w:id="6"/>
      </w:r>
      <w:r w:rsidRPr="006D6B01">
        <w:rPr>
          <w:rFonts w:asciiTheme="majorHAnsi" w:hAnsiTheme="majorHAnsi"/>
          <w:sz w:val="20"/>
          <w:szCs w:val="20"/>
        </w:rPr>
        <w:t xml:space="preserve"> </w:t>
      </w:r>
    </w:p>
    <w:p w14:paraId="579720CC" w14:textId="77777777" w:rsidR="00BD7433" w:rsidRPr="006D6B01" w:rsidRDefault="00BD7433" w:rsidP="004311F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rPr>
          <w:rFonts w:asciiTheme="majorHAnsi" w:hAnsiTheme="majorHAnsi"/>
          <w:sz w:val="20"/>
          <w:szCs w:val="20"/>
        </w:rPr>
      </w:pPr>
    </w:p>
    <w:p w14:paraId="5BD21251" w14:textId="77777777" w:rsidR="000A0489" w:rsidRPr="006D6B01" w:rsidRDefault="00BD7433"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color w:val="000000" w:themeColor="text1"/>
          <w:sz w:val="20"/>
          <w:szCs w:val="20"/>
        </w:rPr>
      </w:pPr>
      <w:r w:rsidRPr="006E0F80">
        <w:rPr>
          <w:rFonts w:asciiTheme="majorHAnsi" w:hAnsiTheme="majorHAnsi"/>
          <w:color w:val="000000" w:themeColor="text1"/>
          <w:sz w:val="20"/>
          <w:szCs w:val="20"/>
        </w:rPr>
        <w:t xml:space="preserve">The petitioners </w:t>
      </w:r>
      <w:r w:rsidR="000A0489" w:rsidRPr="006E0F80">
        <w:rPr>
          <w:rFonts w:ascii="Cambria" w:hAnsi="Cambria"/>
          <w:sz w:val="20"/>
          <w:szCs w:val="20"/>
        </w:rPr>
        <w:t xml:space="preserve">argued that </w:t>
      </w:r>
      <w:r w:rsidR="002B59A4" w:rsidRPr="006E0F80">
        <w:rPr>
          <w:rFonts w:ascii="Cambria" w:hAnsi="Cambria"/>
          <w:sz w:val="20"/>
          <w:szCs w:val="20"/>
        </w:rPr>
        <w:t xml:space="preserve">the </w:t>
      </w:r>
      <w:r w:rsidR="000A0489" w:rsidRPr="006E0F80">
        <w:rPr>
          <w:rFonts w:ascii="Cambria" w:hAnsi="Cambria"/>
          <w:sz w:val="20"/>
          <w:szCs w:val="20"/>
        </w:rPr>
        <w:t xml:space="preserve">practice of forcibly repatriating Cuban and Haitian </w:t>
      </w:r>
      <w:r w:rsidR="005D7400" w:rsidRPr="006E0F80">
        <w:rPr>
          <w:rFonts w:ascii="Cambria" w:hAnsi="Cambria"/>
          <w:sz w:val="20"/>
          <w:szCs w:val="20"/>
        </w:rPr>
        <w:t>migrants</w:t>
      </w:r>
      <w:r w:rsidR="000A0489" w:rsidRPr="006E0F80">
        <w:rPr>
          <w:rFonts w:ascii="Cambria" w:hAnsi="Cambria"/>
          <w:b/>
          <w:color w:val="548DD4" w:themeColor="text2" w:themeTint="99"/>
          <w:sz w:val="20"/>
          <w:szCs w:val="20"/>
        </w:rPr>
        <w:t xml:space="preserve"> </w:t>
      </w:r>
      <w:r w:rsidR="000A0489" w:rsidRPr="006E0F80">
        <w:rPr>
          <w:rFonts w:ascii="Cambria" w:hAnsi="Cambria"/>
          <w:sz w:val="20"/>
          <w:szCs w:val="20"/>
        </w:rPr>
        <w:t xml:space="preserve">without providing them </w:t>
      </w:r>
      <w:r w:rsidR="002B59A4" w:rsidRPr="006E0F80">
        <w:rPr>
          <w:rFonts w:ascii="Cambria" w:hAnsi="Cambria"/>
          <w:sz w:val="20"/>
          <w:szCs w:val="20"/>
        </w:rPr>
        <w:t xml:space="preserve">with </w:t>
      </w:r>
      <w:r w:rsidR="000A0489" w:rsidRPr="006E0F80">
        <w:rPr>
          <w:rFonts w:ascii="Cambria" w:hAnsi="Cambria"/>
          <w:sz w:val="20"/>
          <w:szCs w:val="20"/>
        </w:rPr>
        <w:t>a meaningful</w:t>
      </w:r>
      <w:r w:rsidR="000A0489" w:rsidRPr="006D6B01">
        <w:rPr>
          <w:rFonts w:ascii="Cambria" w:hAnsi="Cambria"/>
          <w:sz w:val="20"/>
          <w:szCs w:val="20"/>
        </w:rPr>
        <w:t xml:space="preserve"> opportunity to present a claim to refugee status under the State’s ad hoc asylum determination system denies the</w:t>
      </w:r>
      <w:r w:rsidR="002B59A4" w:rsidRPr="006D6B01">
        <w:rPr>
          <w:rFonts w:ascii="Cambria" w:hAnsi="Cambria"/>
          <w:sz w:val="20"/>
          <w:szCs w:val="20"/>
        </w:rPr>
        <w:t>m the</w:t>
      </w:r>
      <w:r w:rsidR="000A0489" w:rsidRPr="006D6B01">
        <w:rPr>
          <w:rFonts w:ascii="Cambria" w:hAnsi="Cambria"/>
          <w:sz w:val="20"/>
          <w:szCs w:val="20"/>
        </w:rPr>
        <w:t xml:space="preserve"> right of asylum, the right to a fair trial</w:t>
      </w:r>
      <w:r w:rsidR="00A16C07" w:rsidRPr="006D6B01">
        <w:rPr>
          <w:rFonts w:ascii="Cambria" w:hAnsi="Cambria"/>
          <w:sz w:val="20"/>
          <w:szCs w:val="20"/>
        </w:rPr>
        <w:t>,</w:t>
      </w:r>
      <w:r w:rsidR="000A0489" w:rsidRPr="006D6B01">
        <w:rPr>
          <w:rFonts w:ascii="Cambria" w:hAnsi="Cambria"/>
          <w:sz w:val="20"/>
          <w:szCs w:val="20"/>
        </w:rPr>
        <w:t xml:space="preserve"> and the </w:t>
      </w:r>
      <w:r w:rsidR="000A0489" w:rsidRPr="006D6B01">
        <w:rPr>
          <w:rFonts w:asciiTheme="majorHAnsi" w:hAnsiTheme="majorHAnsi"/>
          <w:color w:val="000000" w:themeColor="text1"/>
          <w:sz w:val="20"/>
          <w:szCs w:val="20"/>
        </w:rPr>
        <w:t>r</w:t>
      </w:r>
      <w:r w:rsidR="000A0489" w:rsidRPr="006D6B01">
        <w:rPr>
          <w:rFonts w:ascii="Cambria" w:hAnsi="Cambria"/>
          <w:sz w:val="20"/>
          <w:szCs w:val="20"/>
        </w:rPr>
        <w:t xml:space="preserve">ight to life, liberty and personal security. In addition, they claimed that the differential treatment received by Cuban and Haitian </w:t>
      </w:r>
      <w:r w:rsidR="005D7400" w:rsidRPr="006D6B01">
        <w:rPr>
          <w:rFonts w:ascii="Cambria" w:hAnsi="Cambria"/>
          <w:sz w:val="20"/>
          <w:szCs w:val="20"/>
        </w:rPr>
        <w:t>migrants</w:t>
      </w:r>
      <w:r w:rsidR="000A0489" w:rsidRPr="006D6B01">
        <w:rPr>
          <w:rFonts w:ascii="Cambria" w:hAnsi="Cambria"/>
          <w:sz w:val="20"/>
          <w:szCs w:val="20"/>
        </w:rPr>
        <w:t xml:space="preserve"> </w:t>
      </w:r>
      <w:r w:rsidR="00592639" w:rsidRPr="006D6B01">
        <w:rPr>
          <w:rFonts w:ascii="Cambria" w:hAnsi="Cambria"/>
          <w:sz w:val="20"/>
          <w:szCs w:val="20"/>
        </w:rPr>
        <w:t xml:space="preserve">in accessing the system </w:t>
      </w:r>
      <w:r w:rsidR="000A0489" w:rsidRPr="006D6B01">
        <w:rPr>
          <w:rFonts w:ascii="Cambria" w:hAnsi="Cambria"/>
          <w:sz w:val="20"/>
          <w:szCs w:val="20"/>
        </w:rPr>
        <w:t xml:space="preserve">violates the </w:t>
      </w:r>
      <w:r w:rsidR="000A0489" w:rsidRPr="006D6B01">
        <w:rPr>
          <w:rFonts w:asciiTheme="majorHAnsi" w:hAnsiTheme="majorHAnsi"/>
          <w:color w:val="000000" w:themeColor="text1"/>
          <w:sz w:val="20"/>
          <w:szCs w:val="20"/>
        </w:rPr>
        <w:t xml:space="preserve">right to equality before the law. Finally, the petitioners asserted that the State’s </w:t>
      </w:r>
      <w:r w:rsidR="000A0489" w:rsidRPr="006D6B01">
        <w:rPr>
          <w:rFonts w:ascii="Cambria" w:hAnsi="Cambria"/>
          <w:sz w:val="20"/>
          <w:szCs w:val="20"/>
        </w:rPr>
        <w:t xml:space="preserve">immediate and arbitrary detention of </w:t>
      </w:r>
      <w:r w:rsidR="005D7400" w:rsidRPr="006D6B01">
        <w:rPr>
          <w:rFonts w:ascii="Cambria" w:hAnsi="Cambria"/>
          <w:sz w:val="20"/>
          <w:szCs w:val="20"/>
        </w:rPr>
        <w:t>migrants</w:t>
      </w:r>
      <w:r w:rsidR="000A0489" w:rsidRPr="006D6B01">
        <w:rPr>
          <w:rFonts w:ascii="Cambria" w:hAnsi="Cambria"/>
          <w:sz w:val="20"/>
          <w:szCs w:val="20"/>
        </w:rPr>
        <w:t xml:space="preserve"> a</w:t>
      </w:r>
      <w:r w:rsidR="002B59A4" w:rsidRPr="006D6B01">
        <w:rPr>
          <w:rFonts w:ascii="Cambria" w:hAnsi="Cambria"/>
          <w:sz w:val="20"/>
          <w:szCs w:val="20"/>
        </w:rPr>
        <w:t xml:space="preserve">nd the inadequate conditions </w:t>
      </w:r>
      <w:r w:rsidR="000A0489" w:rsidRPr="006D6B01">
        <w:rPr>
          <w:rFonts w:ascii="Cambria" w:hAnsi="Cambria"/>
          <w:sz w:val="20"/>
          <w:szCs w:val="20"/>
        </w:rPr>
        <w:t xml:space="preserve">in which </w:t>
      </w:r>
      <w:r w:rsidR="002B59A4" w:rsidRPr="006D6B01">
        <w:rPr>
          <w:rFonts w:ascii="Cambria" w:hAnsi="Cambria"/>
          <w:sz w:val="20"/>
          <w:szCs w:val="20"/>
        </w:rPr>
        <w:t>they</w:t>
      </w:r>
      <w:r w:rsidR="000A0489" w:rsidRPr="006D6B01">
        <w:rPr>
          <w:rFonts w:ascii="Cambria" w:hAnsi="Cambria"/>
          <w:sz w:val="20"/>
          <w:szCs w:val="20"/>
        </w:rPr>
        <w:t xml:space="preserve"> are detained violates the right of protection from arbitrary arrest</w:t>
      </w:r>
      <w:r w:rsidR="00525BFD" w:rsidRPr="006D6B01">
        <w:rPr>
          <w:rFonts w:ascii="Cambria" w:hAnsi="Cambria"/>
          <w:sz w:val="20"/>
          <w:szCs w:val="20"/>
        </w:rPr>
        <w:t xml:space="preserve"> and to humane treatment during detention</w:t>
      </w:r>
      <w:r w:rsidR="000A0489" w:rsidRPr="006D6B01">
        <w:rPr>
          <w:rFonts w:ascii="Cambria" w:hAnsi="Cambria"/>
          <w:sz w:val="20"/>
          <w:szCs w:val="20"/>
        </w:rPr>
        <w:t>.</w:t>
      </w:r>
    </w:p>
    <w:p w14:paraId="25158FF5" w14:textId="77777777" w:rsidR="00BD7433" w:rsidRPr="006D6B01" w:rsidRDefault="00BD7433" w:rsidP="004311F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rPr>
          <w:rFonts w:asciiTheme="majorHAnsi" w:hAnsiTheme="majorHAnsi"/>
          <w:color w:val="000000" w:themeColor="text1"/>
          <w:sz w:val="20"/>
          <w:szCs w:val="20"/>
        </w:rPr>
      </w:pPr>
    </w:p>
    <w:p w14:paraId="47407E5F" w14:textId="77777777" w:rsidR="00B6073B" w:rsidRPr="006D6B01" w:rsidRDefault="00BD7433"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6D6B01">
        <w:rPr>
          <w:rFonts w:asciiTheme="majorHAnsi" w:hAnsiTheme="majorHAnsi"/>
          <w:color w:val="000000" w:themeColor="text1"/>
          <w:sz w:val="20"/>
          <w:szCs w:val="20"/>
        </w:rPr>
        <w:t xml:space="preserve">The State alleged that </w:t>
      </w:r>
      <w:r w:rsidR="00850106" w:rsidRPr="006D6B01">
        <w:rPr>
          <w:rFonts w:ascii="Cambria" w:hAnsi="Cambria"/>
          <w:sz w:val="20"/>
          <w:szCs w:val="20"/>
        </w:rPr>
        <w:t xml:space="preserve">its refugee determination system </w:t>
      </w:r>
      <w:r w:rsidR="00E07B8A" w:rsidRPr="006D6B01">
        <w:rPr>
          <w:rFonts w:ascii="Cambria" w:hAnsi="Cambria"/>
          <w:sz w:val="20"/>
          <w:szCs w:val="20"/>
        </w:rPr>
        <w:t>is fair, consistent with its international obligations</w:t>
      </w:r>
      <w:r w:rsidR="00987877" w:rsidRPr="006D6B01">
        <w:rPr>
          <w:rFonts w:ascii="Cambria" w:hAnsi="Cambria"/>
          <w:sz w:val="20"/>
          <w:szCs w:val="20"/>
        </w:rPr>
        <w:t>,</w:t>
      </w:r>
      <w:r w:rsidR="00E07B8A" w:rsidRPr="006D6B01">
        <w:rPr>
          <w:rFonts w:ascii="Cambria" w:hAnsi="Cambria"/>
          <w:sz w:val="20"/>
          <w:szCs w:val="20"/>
        </w:rPr>
        <w:t xml:space="preserve"> and </w:t>
      </w:r>
      <w:r w:rsidR="00E07B8A" w:rsidRPr="006D6B01">
        <w:rPr>
          <w:rFonts w:asciiTheme="majorHAnsi" w:hAnsiTheme="majorHAnsi"/>
          <w:sz w:val="20"/>
          <w:szCs w:val="20"/>
        </w:rPr>
        <w:t xml:space="preserve">incorporates </w:t>
      </w:r>
      <w:r w:rsidR="00850106" w:rsidRPr="006D6B01">
        <w:rPr>
          <w:rFonts w:asciiTheme="majorHAnsi" w:hAnsiTheme="majorHAnsi"/>
          <w:sz w:val="20"/>
          <w:szCs w:val="20"/>
        </w:rPr>
        <w:t>due process guarantees</w:t>
      </w:r>
      <w:r w:rsidR="000436F8" w:rsidRPr="006D6B01">
        <w:rPr>
          <w:rFonts w:asciiTheme="majorHAnsi" w:hAnsiTheme="majorHAnsi"/>
          <w:sz w:val="20"/>
          <w:szCs w:val="20"/>
        </w:rPr>
        <w:t>. It claimed that</w:t>
      </w:r>
      <w:r w:rsidR="00C86FC5" w:rsidRPr="006D6B01">
        <w:rPr>
          <w:rFonts w:asciiTheme="majorHAnsi" w:hAnsiTheme="majorHAnsi"/>
          <w:sz w:val="20"/>
          <w:szCs w:val="20"/>
        </w:rPr>
        <w:t xml:space="preserve"> asylum seekers </w:t>
      </w:r>
      <w:r w:rsidR="00D077E0" w:rsidRPr="006D6B01">
        <w:rPr>
          <w:rFonts w:asciiTheme="majorHAnsi" w:hAnsiTheme="majorHAnsi"/>
          <w:sz w:val="20"/>
          <w:szCs w:val="20"/>
        </w:rPr>
        <w:t xml:space="preserve">are </w:t>
      </w:r>
      <w:r w:rsidR="00D077E0" w:rsidRPr="006D6B01">
        <w:rPr>
          <w:rFonts w:ascii="Cambria" w:hAnsi="Cambria"/>
          <w:color w:val="000000" w:themeColor="text1"/>
          <w:sz w:val="20"/>
          <w:szCs w:val="20"/>
        </w:rPr>
        <w:t>given an opportunity to present their case and provide authorities with pertinent documents</w:t>
      </w:r>
      <w:r w:rsidR="000436F8" w:rsidRPr="006D6B01">
        <w:rPr>
          <w:rFonts w:ascii="Cambria" w:hAnsi="Cambria"/>
          <w:color w:val="000000" w:themeColor="text1"/>
          <w:sz w:val="20"/>
          <w:szCs w:val="20"/>
        </w:rPr>
        <w:t>,</w:t>
      </w:r>
      <w:r w:rsidR="00525BFD" w:rsidRPr="006D6B01">
        <w:rPr>
          <w:rFonts w:ascii="Cambria" w:hAnsi="Cambria"/>
          <w:color w:val="000000" w:themeColor="text1"/>
          <w:sz w:val="20"/>
          <w:szCs w:val="20"/>
        </w:rPr>
        <w:t xml:space="preserve"> and that the Cuban and Haitian</w:t>
      </w:r>
      <w:r w:rsidR="000436F8" w:rsidRPr="006D6B01">
        <w:rPr>
          <w:rFonts w:ascii="Cambria" w:hAnsi="Cambria"/>
          <w:color w:val="000000" w:themeColor="text1"/>
          <w:sz w:val="20"/>
          <w:szCs w:val="20"/>
        </w:rPr>
        <w:t xml:space="preserve"> </w:t>
      </w:r>
      <w:r w:rsidR="005D7400" w:rsidRPr="006D6B01">
        <w:rPr>
          <w:rFonts w:ascii="Cambria" w:hAnsi="Cambria"/>
          <w:color w:val="000000" w:themeColor="text1"/>
          <w:sz w:val="20"/>
          <w:szCs w:val="20"/>
        </w:rPr>
        <w:t>migrants</w:t>
      </w:r>
      <w:r w:rsidR="000436F8" w:rsidRPr="006D6B01">
        <w:rPr>
          <w:rFonts w:ascii="Cambria" w:hAnsi="Cambria"/>
          <w:color w:val="000000" w:themeColor="text1"/>
          <w:sz w:val="20"/>
          <w:szCs w:val="20"/>
        </w:rPr>
        <w:t xml:space="preserve"> were given access to this system</w:t>
      </w:r>
      <w:r w:rsidR="006A2434" w:rsidRPr="006D6B01">
        <w:rPr>
          <w:rFonts w:asciiTheme="majorHAnsi" w:hAnsiTheme="majorHAnsi"/>
          <w:sz w:val="20"/>
          <w:szCs w:val="20"/>
        </w:rPr>
        <w:t xml:space="preserve">. Although it recognized that </w:t>
      </w:r>
      <w:r w:rsidR="00850106" w:rsidRPr="006D6B01">
        <w:rPr>
          <w:rFonts w:asciiTheme="majorHAnsi" w:hAnsiTheme="majorHAnsi"/>
          <w:sz w:val="20"/>
          <w:szCs w:val="20"/>
        </w:rPr>
        <w:t xml:space="preserve">the conditions in the </w:t>
      </w:r>
      <w:r w:rsidR="00BB4FCD" w:rsidRPr="006D6B01">
        <w:rPr>
          <w:rFonts w:asciiTheme="majorHAnsi" w:hAnsiTheme="majorHAnsi"/>
          <w:sz w:val="20"/>
          <w:szCs w:val="20"/>
        </w:rPr>
        <w:t>Carmichael Center</w:t>
      </w:r>
      <w:r w:rsidR="00987877" w:rsidRPr="006D6B01">
        <w:rPr>
          <w:rFonts w:asciiTheme="majorHAnsi" w:hAnsiTheme="majorHAnsi"/>
          <w:sz w:val="20"/>
          <w:szCs w:val="20"/>
        </w:rPr>
        <w:t xml:space="preserve"> </w:t>
      </w:r>
      <w:r w:rsidR="00850106" w:rsidRPr="006D6B01">
        <w:rPr>
          <w:rFonts w:asciiTheme="majorHAnsi" w:hAnsiTheme="majorHAnsi"/>
          <w:sz w:val="20"/>
          <w:szCs w:val="20"/>
        </w:rPr>
        <w:t>need improvement</w:t>
      </w:r>
      <w:r w:rsidR="006A2434" w:rsidRPr="006D6B01">
        <w:rPr>
          <w:rFonts w:asciiTheme="majorHAnsi" w:hAnsiTheme="majorHAnsi"/>
          <w:sz w:val="20"/>
          <w:szCs w:val="20"/>
        </w:rPr>
        <w:t>,</w:t>
      </w:r>
      <w:r w:rsidR="00850106" w:rsidRPr="006D6B01">
        <w:rPr>
          <w:rFonts w:asciiTheme="majorHAnsi" w:hAnsiTheme="majorHAnsi"/>
          <w:sz w:val="20"/>
          <w:szCs w:val="20"/>
        </w:rPr>
        <w:t xml:space="preserve"> it</w:t>
      </w:r>
      <w:r w:rsidR="006A2434" w:rsidRPr="006D6B01">
        <w:rPr>
          <w:rFonts w:asciiTheme="majorHAnsi" w:hAnsiTheme="majorHAnsi"/>
          <w:sz w:val="20"/>
          <w:szCs w:val="20"/>
        </w:rPr>
        <w:t xml:space="preserve"> alleged that </w:t>
      </w:r>
      <w:r w:rsidR="00E07B8A" w:rsidRPr="006D6B01">
        <w:rPr>
          <w:rFonts w:asciiTheme="majorHAnsi" w:hAnsiTheme="majorHAnsi"/>
          <w:sz w:val="20"/>
          <w:szCs w:val="20"/>
        </w:rPr>
        <w:t xml:space="preserve">the detainees were treated </w:t>
      </w:r>
      <w:r w:rsidR="00E07B8A" w:rsidRPr="006D6B01">
        <w:rPr>
          <w:rFonts w:ascii="Cambria" w:hAnsi="Cambria"/>
          <w:sz w:val="20"/>
          <w:szCs w:val="20"/>
        </w:rPr>
        <w:t>humanely</w:t>
      </w:r>
      <w:r w:rsidR="006A2434" w:rsidRPr="006D6B01">
        <w:rPr>
          <w:rFonts w:ascii="Cambria" w:hAnsi="Cambria"/>
          <w:sz w:val="20"/>
          <w:szCs w:val="20"/>
        </w:rPr>
        <w:t xml:space="preserve"> </w:t>
      </w:r>
      <w:r w:rsidR="00E07B8A" w:rsidRPr="006D6B01">
        <w:rPr>
          <w:rFonts w:ascii="Cambria" w:hAnsi="Cambria"/>
          <w:sz w:val="20"/>
          <w:szCs w:val="20"/>
        </w:rPr>
        <w:t xml:space="preserve">whilst </w:t>
      </w:r>
      <w:r w:rsidR="006A2434" w:rsidRPr="006D6B01">
        <w:rPr>
          <w:rFonts w:ascii="Cambria" w:hAnsi="Cambria"/>
          <w:sz w:val="20"/>
          <w:szCs w:val="20"/>
        </w:rPr>
        <w:t>in custody</w:t>
      </w:r>
      <w:r w:rsidR="00E07B8A" w:rsidRPr="006D6B01">
        <w:rPr>
          <w:rFonts w:ascii="Cambria" w:hAnsi="Cambria"/>
          <w:sz w:val="20"/>
          <w:szCs w:val="20"/>
        </w:rPr>
        <w:t xml:space="preserve"> through the provision of essential goods and services</w:t>
      </w:r>
      <w:r w:rsidR="00850106" w:rsidRPr="006D6B01">
        <w:rPr>
          <w:rFonts w:ascii="Cambria" w:hAnsi="Cambria"/>
          <w:sz w:val="20"/>
          <w:szCs w:val="20"/>
        </w:rPr>
        <w:t>.</w:t>
      </w:r>
    </w:p>
    <w:p w14:paraId="103CF096" w14:textId="77777777" w:rsidR="00B6073B" w:rsidRPr="006D6B01" w:rsidRDefault="00B6073B" w:rsidP="004311FE">
      <w:pPr>
        <w:pStyle w:val="ListParagraph"/>
        <w:tabs>
          <w:tab w:val="left" w:pos="360"/>
        </w:tabs>
        <w:ind w:left="0"/>
        <w:rPr>
          <w:rFonts w:asciiTheme="majorHAnsi" w:hAnsiTheme="majorHAnsi"/>
          <w:color w:val="000000" w:themeColor="text1"/>
          <w:sz w:val="20"/>
          <w:szCs w:val="20"/>
        </w:rPr>
      </w:pPr>
    </w:p>
    <w:p w14:paraId="0CE65774" w14:textId="08DC6DB6" w:rsidR="00BD7433" w:rsidRPr="006D6B01" w:rsidRDefault="00BD7433"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6D6B01">
        <w:rPr>
          <w:rFonts w:asciiTheme="majorHAnsi" w:hAnsiTheme="majorHAnsi"/>
          <w:color w:val="000000" w:themeColor="text1"/>
          <w:sz w:val="20"/>
          <w:szCs w:val="20"/>
        </w:rPr>
        <w:t xml:space="preserve">On the basis of determinations of fact and law, the Inter-American Commission concluded that the State is responsible for the violation of </w:t>
      </w:r>
      <w:r w:rsidR="00B04058" w:rsidRPr="006D6B01">
        <w:rPr>
          <w:rFonts w:asciiTheme="majorHAnsi" w:hAnsiTheme="majorHAnsi"/>
          <w:color w:val="000000" w:themeColor="text1"/>
          <w:sz w:val="20"/>
          <w:szCs w:val="20"/>
        </w:rPr>
        <w:t xml:space="preserve">articles I (life, liberty, and security), II (equality before the law), </w:t>
      </w:r>
      <w:r w:rsidR="00B04058" w:rsidRPr="00440FB2">
        <w:rPr>
          <w:rFonts w:asciiTheme="majorHAnsi" w:hAnsiTheme="majorHAnsi"/>
          <w:color w:val="000000" w:themeColor="text1"/>
          <w:sz w:val="20"/>
          <w:szCs w:val="20"/>
        </w:rPr>
        <w:t>V (protection of honor, personal reputation, and private and family life)</w:t>
      </w:r>
      <w:r w:rsidR="00B04058" w:rsidRPr="006D6B01">
        <w:rPr>
          <w:rFonts w:asciiTheme="majorHAnsi" w:hAnsiTheme="majorHAnsi"/>
          <w:color w:val="000000" w:themeColor="text1"/>
          <w:sz w:val="20"/>
          <w:szCs w:val="20"/>
        </w:rPr>
        <w:t xml:space="preserve">, </w:t>
      </w:r>
      <w:r w:rsidR="00B04058" w:rsidRPr="00440FB2">
        <w:rPr>
          <w:rFonts w:asciiTheme="majorHAnsi" w:hAnsiTheme="majorHAnsi"/>
          <w:color w:val="000000" w:themeColor="text1"/>
          <w:sz w:val="20"/>
          <w:szCs w:val="20"/>
        </w:rPr>
        <w:t>VI (right to family and protection thereof), VII (right to protection of mothers and children)</w:t>
      </w:r>
      <w:r w:rsidR="00B04058" w:rsidRPr="006D6B01">
        <w:rPr>
          <w:rFonts w:asciiTheme="majorHAnsi" w:hAnsiTheme="majorHAnsi"/>
          <w:color w:val="000000" w:themeColor="text1"/>
          <w:sz w:val="20"/>
          <w:szCs w:val="20"/>
        </w:rPr>
        <w:t xml:space="preserve"> XVIII (fair trial), XXV (protection from arbitrary detention), and XXVIII (right o</w:t>
      </w:r>
      <w:r w:rsidR="00D63BC8">
        <w:rPr>
          <w:rFonts w:asciiTheme="majorHAnsi" w:hAnsiTheme="majorHAnsi"/>
          <w:color w:val="000000" w:themeColor="text1"/>
          <w:sz w:val="20"/>
          <w:szCs w:val="20"/>
        </w:rPr>
        <w:t>f</w:t>
      </w:r>
      <w:r w:rsidR="00B04058" w:rsidRPr="006D6B01">
        <w:rPr>
          <w:rFonts w:asciiTheme="majorHAnsi" w:hAnsiTheme="majorHAnsi"/>
          <w:color w:val="000000" w:themeColor="text1"/>
          <w:sz w:val="20"/>
          <w:szCs w:val="20"/>
        </w:rPr>
        <w:t xml:space="preserve"> asylum) </w:t>
      </w:r>
      <w:r w:rsidRPr="006D6B01">
        <w:rPr>
          <w:rFonts w:asciiTheme="majorHAnsi" w:hAnsiTheme="majorHAnsi"/>
          <w:color w:val="000000" w:themeColor="text1"/>
          <w:sz w:val="20"/>
          <w:szCs w:val="20"/>
        </w:rPr>
        <w:t xml:space="preserve">of the American Declaration on the Rights and Duties of Man </w:t>
      </w:r>
      <w:r w:rsidRPr="006D6B01">
        <w:rPr>
          <w:rFonts w:asciiTheme="majorHAnsi" w:hAnsiTheme="majorHAnsi"/>
          <w:sz w:val="20"/>
          <w:szCs w:val="20"/>
        </w:rPr>
        <w:t xml:space="preserve">(the “American Declaration”). </w:t>
      </w:r>
      <w:r w:rsidRPr="006D6B01">
        <w:rPr>
          <w:rFonts w:asciiTheme="majorHAnsi" w:hAnsiTheme="majorHAnsi"/>
          <w:color w:val="000000" w:themeColor="text1"/>
          <w:sz w:val="20"/>
          <w:szCs w:val="20"/>
        </w:rPr>
        <w:t>The Commission formulated the corresponding recommendations to the State.</w:t>
      </w:r>
    </w:p>
    <w:p w14:paraId="3FB431A9" w14:textId="77777777" w:rsidR="001B7319" w:rsidRPr="006D6B01" w:rsidRDefault="001B7319" w:rsidP="004311FE">
      <w:pPr>
        <w:pStyle w:val="ListParagraph"/>
        <w:tabs>
          <w:tab w:val="left" w:pos="360"/>
        </w:tabs>
        <w:ind w:left="0"/>
        <w:rPr>
          <w:rFonts w:asciiTheme="majorHAnsi" w:hAnsiTheme="majorHAnsi"/>
          <w:sz w:val="20"/>
          <w:szCs w:val="20"/>
        </w:rPr>
      </w:pPr>
    </w:p>
    <w:p w14:paraId="042E701C" w14:textId="77777777" w:rsidR="00D12193" w:rsidRPr="006D6B01" w:rsidRDefault="001E28D1" w:rsidP="004311FE">
      <w:pPr>
        <w:pStyle w:val="Heading1"/>
        <w:tabs>
          <w:tab w:val="left" w:pos="360"/>
        </w:tabs>
        <w:ind w:left="0" w:firstLine="0"/>
      </w:pPr>
      <w:bookmarkStart w:id="3" w:name="_Toc90557398"/>
      <w:r w:rsidRPr="006D6B01">
        <w:t>POSITIONS OF THE PARTIES</w:t>
      </w:r>
      <w:bookmarkEnd w:id="3"/>
    </w:p>
    <w:p w14:paraId="048F8FF5" w14:textId="77777777" w:rsidR="00D83D73" w:rsidRPr="006D6B01" w:rsidRDefault="00D83D73" w:rsidP="004311FE">
      <w:pPr>
        <w:tabs>
          <w:tab w:val="left" w:pos="360"/>
        </w:tabs>
        <w:suppressAutoHyphens/>
        <w:rPr>
          <w:rFonts w:asciiTheme="majorHAnsi" w:hAnsiTheme="majorHAnsi"/>
          <w:b/>
          <w:sz w:val="20"/>
          <w:szCs w:val="20"/>
          <w:lang w:val="es-ES_tradnl"/>
        </w:rPr>
      </w:pPr>
    </w:p>
    <w:p w14:paraId="12925CCF" w14:textId="0012934F" w:rsidR="00D12193" w:rsidRPr="001F2F25" w:rsidRDefault="001F2F25" w:rsidP="004311FE">
      <w:pPr>
        <w:pStyle w:val="Heading2"/>
        <w:tabs>
          <w:tab w:val="left" w:pos="360"/>
        </w:tabs>
        <w:ind w:left="0" w:firstLine="0"/>
      </w:pPr>
      <w:bookmarkStart w:id="4" w:name="_Toc90557399"/>
      <w:proofErr w:type="spellStart"/>
      <w:r w:rsidRPr="001F2F25">
        <w:t>Petitioners</w:t>
      </w:r>
      <w:bookmarkEnd w:id="4"/>
      <w:proofErr w:type="spellEnd"/>
    </w:p>
    <w:p w14:paraId="13FF2A86" w14:textId="77777777" w:rsidR="00361415" w:rsidRPr="006D6B01" w:rsidRDefault="00361415" w:rsidP="004311FE">
      <w:pPr>
        <w:tabs>
          <w:tab w:val="left" w:pos="360"/>
        </w:tabs>
        <w:suppressAutoHyphens/>
        <w:rPr>
          <w:rFonts w:asciiTheme="majorHAnsi" w:hAnsiTheme="majorHAnsi"/>
          <w:sz w:val="20"/>
          <w:szCs w:val="20"/>
          <w:lang w:val="es-ES_tradnl"/>
        </w:rPr>
      </w:pPr>
    </w:p>
    <w:p w14:paraId="3F0F086F" w14:textId="77777777" w:rsidR="00B9279C" w:rsidRPr="006D6B01" w:rsidRDefault="00B6073B"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b/>
          <w:color w:val="548DD4" w:themeColor="text2" w:themeTint="99"/>
          <w:sz w:val="20"/>
          <w:szCs w:val="20"/>
        </w:rPr>
      </w:pPr>
      <w:r w:rsidRPr="006D6B01">
        <w:rPr>
          <w:rFonts w:ascii="Cambria" w:hAnsi="Cambria"/>
          <w:sz w:val="20"/>
          <w:szCs w:val="20"/>
        </w:rPr>
        <w:t xml:space="preserve">The petitioners </w:t>
      </w:r>
      <w:r w:rsidR="0006247A" w:rsidRPr="006D6B01">
        <w:rPr>
          <w:rFonts w:ascii="Cambria" w:hAnsi="Cambria"/>
          <w:sz w:val="20"/>
          <w:szCs w:val="20"/>
        </w:rPr>
        <w:t>alleged</w:t>
      </w:r>
      <w:r w:rsidRPr="006D6B01">
        <w:rPr>
          <w:rFonts w:ascii="Cambria" w:hAnsi="Cambria"/>
          <w:sz w:val="20"/>
          <w:szCs w:val="20"/>
        </w:rPr>
        <w:t xml:space="preserve"> that the State </w:t>
      </w:r>
      <w:r w:rsidR="006B0EEB" w:rsidRPr="006D6B01">
        <w:rPr>
          <w:rFonts w:ascii="Cambria" w:hAnsi="Cambria"/>
          <w:sz w:val="20"/>
          <w:szCs w:val="20"/>
        </w:rPr>
        <w:t xml:space="preserve">forcibly </w:t>
      </w:r>
      <w:r w:rsidR="00A6631D" w:rsidRPr="006D6B01">
        <w:rPr>
          <w:rFonts w:ascii="Cambria" w:hAnsi="Cambria"/>
          <w:sz w:val="20"/>
          <w:szCs w:val="20"/>
        </w:rPr>
        <w:t xml:space="preserve">repatriated </w:t>
      </w:r>
      <w:r w:rsidR="00004960" w:rsidRPr="006D6B01">
        <w:rPr>
          <w:rFonts w:ascii="Cambria" w:hAnsi="Cambria"/>
          <w:sz w:val="20"/>
          <w:szCs w:val="20"/>
        </w:rPr>
        <w:t xml:space="preserve">Cuban and Haitian </w:t>
      </w:r>
      <w:r w:rsidR="00A6631D" w:rsidRPr="006D6B01">
        <w:rPr>
          <w:rFonts w:ascii="Cambria" w:hAnsi="Cambria"/>
          <w:sz w:val="20"/>
          <w:szCs w:val="20"/>
        </w:rPr>
        <w:t>asylum seekers</w:t>
      </w:r>
      <w:r w:rsidR="00A6631D" w:rsidRPr="006D6B01">
        <w:rPr>
          <w:rFonts w:ascii="Cambria" w:hAnsi="Cambria"/>
          <w:b/>
          <w:color w:val="548DD4" w:themeColor="text2" w:themeTint="99"/>
          <w:sz w:val="20"/>
          <w:szCs w:val="20"/>
        </w:rPr>
        <w:t xml:space="preserve"> </w:t>
      </w:r>
      <w:r w:rsidR="006B0EEB" w:rsidRPr="006D6B01">
        <w:rPr>
          <w:rFonts w:ascii="Cambria" w:hAnsi="Cambria"/>
          <w:sz w:val="20"/>
          <w:szCs w:val="20"/>
        </w:rPr>
        <w:t xml:space="preserve">without providing them a meaningful opportunity to </w:t>
      </w:r>
      <w:r w:rsidR="000F78B0" w:rsidRPr="006D6B01">
        <w:rPr>
          <w:rFonts w:ascii="Cambria" w:hAnsi="Cambria"/>
          <w:sz w:val="20"/>
          <w:szCs w:val="20"/>
        </w:rPr>
        <w:t>present</w:t>
      </w:r>
      <w:r w:rsidR="006B0EEB" w:rsidRPr="006D6B01">
        <w:rPr>
          <w:rFonts w:ascii="Cambria" w:hAnsi="Cambria"/>
          <w:sz w:val="20"/>
          <w:szCs w:val="20"/>
        </w:rPr>
        <w:t xml:space="preserve"> a claim to</w:t>
      </w:r>
      <w:r w:rsidR="00A6631D" w:rsidRPr="006D6B01">
        <w:rPr>
          <w:rFonts w:ascii="Cambria" w:hAnsi="Cambria"/>
          <w:sz w:val="20"/>
          <w:szCs w:val="20"/>
        </w:rPr>
        <w:t xml:space="preserve"> </w:t>
      </w:r>
      <w:r w:rsidR="006B0EEB" w:rsidRPr="006D6B01">
        <w:rPr>
          <w:rFonts w:ascii="Cambria" w:hAnsi="Cambria"/>
          <w:sz w:val="20"/>
          <w:szCs w:val="20"/>
        </w:rPr>
        <w:t xml:space="preserve">refugee status </w:t>
      </w:r>
      <w:r w:rsidR="000F78B0" w:rsidRPr="006D6B01">
        <w:rPr>
          <w:rFonts w:ascii="Cambria" w:hAnsi="Cambria"/>
          <w:sz w:val="20"/>
          <w:szCs w:val="20"/>
        </w:rPr>
        <w:t>under its</w:t>
      </w:r>
      <w:r w:rsidR="00A6631D" w:rsidRPr="006D6B01">
        <w:rPr>
          <w:rFonts w:ascii="Cambria" w:hAnsi="Cambria"/>
          <w:sz w:val="20"/>
          <w:szCs w:val="20"/>
        </w:rPr>
        <w:t xml:space="preserve"> </w:t>
      </w:r>
      <w:r w:rsidR="00A6631D" w:rsidRPr="006D6B01">
        <w:rPr>
          <w:rFonts w:ascii="Cambria" w:hAnsi="Cambria"/>
          <w:i/>
          <w:sz w:val="20"/>
          <w:szCs w:val="20"/>
        </w:rPr>
        <w:t>ad hoc</w:t>
      </w:r>
      <w:r w:rsidR="00A6631D" w:rsidRPr="006D6B01">
        <w:rPr>
          <w:rFonts w:ascii="Cambria" w:hAnsi="Cambria"/>
          <w:sz w:val="20"/>
          <w:szCs w:val="20"/>
        </w:rPr>
        <w:t xml:space="preserve"> asylum </w:t>
      </w:r>
      <w:r w:rsidR="00A6631D" w:rsidRPr="006D6B01">
        <w:rPr>
          <w:rFonts w:ascii="Cambria" w:hAnsi="Cambria"/>
          <w:sz w:val="20"/>
          <w:szCs w:val="20"/>
        </w:rPr>
        <w:lastRenderedPageBreak/>
        <w:t>determination system, thereby violating</w:t>
      </w:r>
      <w:r w:rsidR="000946DD" w:rsidRPr="006D6B01">
        <w:rPr>
          <w:rFonts w:ascii="Cambria" w:hAnsi="Cambria"/>
          <w:sz w:val="20"/>
          <w:szCs w:val="20"/>
        </w:rPr>
        <w:t xml:space="preserve"> </w:t>
      </w:r>
      <w:r w:rsidR="000F78B0" w:rsidRPr="006D6B01">
        <w:rPr>
          <w:rFonts w:ascii="Cambria" w:hAnsi="Cambria"/>
          <w:sz w:val="20"/>
          <w:szCs w:val="20"/>
        </w:rPr>
        <w:t xml:space="preserve">their </w:t>
      </w:r>
      <w:r w:rsidRPr="006D6B01">
        <w:rPr>
          <w:rFonts w:ascii="Cambria" w:hAnsi="Cambria"/>
          <w:sz w:val="20"/>
          <w:szCs w:val="20"/>
        </w:rPr>
        <w:t xml:space="preserve">right </w:t>
      </w:r>
      <w:r w:rsidR="00FF6402" w:rsidRPr="006D6B01">
        <w:rPr>
          <w:rFonts w:ascii="Cambria" w:hAnsi="Cambria"/>
          <w:sz w:val="20"/>
          <w:szCs w:val="20"/>
        </w:rPr>
        <w:t xml:space="preserve">to seek and </w:t>
      </w:r>
      <w:r w:rsidR="0009148E" w:rsidRPr="006D6B01">
        <w:rPr>
          <w:rFonts w:ascii="Cambria" w:hAnsi="Cambria"/>
          <w:sz w:val="20"/>
          <w:szCs w:val="20"/>
        </w:rPr>
        <w:t>receive asylum</w:t>
      </w:r>
      <w:r w:rsidR="00506F09" w:rsidRPr="006D6B01">
        <w:rPr>
          <w:rFonts w:ascii="Cambria" w:hAnsi="Cambria"/>
          <w:sz w:val="20"/>
          <w:szCs w:val="20"/>
        </w:rPr>
        <w:t>.</w:t>
      </w:r>
      <w:r w:rsidR="00A246C6" w:rsidRPr="006D6B01">
        <w:rPr>
          <w:rFonts w:ascii="Cambria" w:hAnsi="Cambria"/>
          <w:b/>
          <w:color w:val="548DD4" w:themeColor="text2" w:themeTint="99"/>
          <w:sz w:val="20"/>
          <w:szCs w:val="20"/>
        </w:rPr>
        <w:t xml:space="preserve"> </w:t>
      </w:r>
      <w:r w:rsidR="00480ED4" w:rsidRPr="006D6B01">
        <w:rPr>
          <w:rFonts w:ascii="Cambria" w:hAnsi="Cambria"/>
          <w:sz w:val="20"/>
          <w:szCs w:val="20"/>
        </w:rPr>
        <w:t xml:space="preserve">Furthermore, </w:t>
      </w:r>
      <w:r w:rsidR="006A7DE6" w:rsidRPr="006D6B01">
        <w:rPr>
          <w:rFonts w:ascii="Cambria" w:hAnsi="Cambria"/>
          <w:sz w:val="20"/>
          <w:szCs w:val="20"/>
        </w:rPr>
        <w:t>they</w:t>
      </w:r>
      <w:r w:rsidR="00480ED4" w:rsidRPr="006D6B01">
        <w:rPr>
          <w:rFonts w:ascii="Cambria" w:hAnsi="Cambria"/>
          <w:sz w:val="20"/>
          <w:szCs w:val="20"/>
        </w:rPr>
        <w:t xml:space="preserve"> argued that the system </w:t>
      </w:r>
      <w:r w:rsidR="000F78B0" w:rsidRPr="006D6B01">
        <w:rPr>
          <w:rFonts w:ascii="Cambria" w:hAnsi="Cambria"/>
          <w:sz w:val="20"/>
          <w:szCs w:val="20"/>
        </w:rPr>
        <w:t xml:space="preserve">does not </w:t>
      </w:r>
      <w:r w:rsidR="00571B88" w:rsidRPr="006D6B01">
        <w:rPr>
          <w:rFonts w:ascii="Cambria" w:hAnsi="Cambria"/>
          <w:sz w:val="20"/>
          <w:szCs w:val="20"/>
        </w:rPr>
        <w:t>provide</w:t>
      </w:r>
      <w:r w:rsidR="000F78B0" w:rsidRPr="006D6B01">
        <w:rPr>
          <w:rFonts w:ascii="Cambria" w:hAnsi="Cambria"/>
          <w:sz w:val="20"/>
          <w:szCs w:val="20"/>
        </w:rPr>
        <w:t xml:space="preserve"> the</w:t>
      </w:r>
      <w:r w:rsidR="00480ED4" w:rsidRPr="006D6B01">
        <w:rPr>
          <w:rFonts w:ascii="Cambria" w:hAnsi="Cambria"/>
          <w:sz w:val="20"/>
          <w:szCs w:val="20"/>
        </w:rPr>
        <w:t xml:space="preserve"> due process guarantees </w:t>
      </w:r>
      <w:r w:rsidR="00E26E67" w:rsidRPr="006D6B01">
        <w:rPr>
          <w:rFonts w:ascii="Cambria" w:hAnsi="Cambria"/>
          <w:sz w:val="20"/>
          <w:szCs w:val="20"/>
        </w:rPr>
        <w:t>associated with</w:t>
      </w:r>
      <w:r w:rsidR="00525BFD" w:rsidRPr="006D6B01">
        <w:rPr>
          <w:rFonts w:ascii="Cambria" w:hAnsi="Cambria"/>
          <w:sz w:val="20"/>
          <w:szCs w:val="20"/>
        </w:rPr>
        <w:t xml:space="preserve"> the right to a fair trial</w:t>
      </w:r>
      <w:r w:rsidR="00480ED4" w:rsidRPr="006D6B01">
        <w:rPr>
          <w:rFonts w:ascii="Cambria" w:hAnsi="Cambria"/>
          <w:sz w:val="20"/>
          <w:szCs w:val="20"/>
        </w:rPr>
        <w:t xml:space="preserve">, by denying several procedural guarantees and by virtue of its </w:t>
      </w:r>
      <w:r w:rsidR="00480ED4" w:rsidRPr="006D6B01">
        <w:rPr>
          <w:rFonts w:ascii="Cambria" w:hAnsi="Cambria"/>
          <w:i/>
          <w:sz w:val="20"/>
          <w:szCs w:val="20"/>
        </w:rPr>
        <w:t>ad hoc</w:t>
      </w:r>
      <w:r w:rsidR="00480ED4" w:rsidRPr="006D6B01">
        <w:rPr>
          <w:rFonts w:ascii="Cambria" w:hAnsi="Cambria"/>
          <w:sz w:val="20"/>
          <w:szCs w:val="20"/>
        </w:rPr>
        <w:t xml:space="preserve"> nature. </w:t>
      </w:r>
      <w:r w:rsidR="000C1957" w:rsidRPr="006D6B01">
        <w:rPr>
          <w:rFonts w:ascii="Cambria" w:hAnsi="Cambria"/>
          <w:sz w:val="20"/>
          <w:szCs w:val="20"/>
        </w:rPr>
        <w:t xml:space="preserve">Accordingly, they contended that </w:t>
      </w:r>
      <w:r w:rsidR="00D55B40" w:rsidRPr="006D6B01">
        <w:rPr>
          <w:rFonts w:ascii="Cambria" w:hAnsi="Cambria"/>
          <w:sz w:val="20"/>
          <w:szCs w:val="20"/>
        </w:rPr>
        <w:t>the absence of</w:t>
      </w:r>
      <w:r w:rsidR="000C1957" w:rsidRPr="006D6B01">
        <w:rPr>
          <w:rFonts w:ascii="Cambria" w:hAnsi="Cambria"/>
          <w:sz w:val="20"/>
          <w:szCs w:val="20"/>
        </w:rPr>
        <w:t xml:space="preserve"> laws or regulations regarding the determination of refugee status </w:t>
      </w:r>
      <w:r w:rsidR="00D55B40" w:rsidRPr="006D6B01">
        <w:rPr>
          <w:rFonts w:ascii="Cambria" w:hAnsi="Cambria"/>
          <w:sz w:val="20"/>
          <w:szCs w:val="20"/>
        </w:rPr>
        <w:t xml:space="preserve">under </w:t>
      </w:r>
      <w:r w:rsidR="000946DD" w:rsidRPr="006D6B01">
        <w:rPr>
          <w:rFonts w:ascii="Cambria" w:hAnsi="Cambria"/>
          <w:sz w:val="20"/>
          <w:szCs w:val="20"/>
        </w:rPr>
        <w:t>this</w:t>
      </w:r>
      <w:r w:rsidR="00D55B40" w:rsidRPr="006D6B01">
        <w:rPr>
          <w:rFonts w:ascii="Cambria" w:hAnsi="Cambria"/>
          <w:sz w:val="20"/>
          <w:szCs w:val="20"/>
        </w:rPr>
        <w:t xml:space="preserve"> system </w:t>
      </w:r>
      <w:r w:rsidR="000946DD" w:rsidRPr="006D6B01">
        <w:rPr>
          <w:rFonts w:ascii="Cambria" w:hAnsi="Cambria"/>
          <w:sz w:val="20"/>
          <w:szCs w:val="20"/>
        </w:rPr>
        <w:t>undermines its</w:t>
      </w:r>
      <w:r w:rsidR="000C1957" w:rsidRPr="006D6B01">
        <w:rPr>
          <w:rFonts w:ascii="Cambria" w:hAnsi="Cambria"/>
          <w:sz w:val="20"/>
          <w:szCs w:val="20"/>
        </w:rPr>
        <w:t xml:space="preserve"> transparency</w:t>
      </w:r>
      <w:r w:rsidR="00EE62C4" w:rsidRPr="006D6B01">
        <w:rPr>
          <w:rFonts w:ascii="Cambria" w:hAnsi="Cambria"/>
          <w:sz w:val="20"/>
          <w:szCs w:val="20"/>
        </w:rPr>
        <w:t xml:space="preserve"> and fairness</w:t>
      </w:r>
      <w:r w:rsidR="000C1957" w:rsidRPr="006D6B01">
        <w:rPr>
          <w:rFonts w:ascii="Cambria" w:hAnsi="Cambria"/>
          <w:sz w:val="20"/>
          <w:szCs w:val="20"/>
        </w:rPr>
        <w:t xml:space="preserve">. </w:t>
      </w:r>
    </w:p>
    <w:p w14:paraId="3EC3552E" w14:textId="77777777" w:rsidR="00B9279C" w:rsidRPr="006D6B01" w:rsidRDefault="00B9279C" w:rsidP="004311F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630"/>
        <w:jc w:val="both"/>
        <w:rPr>
          <w:rFonts w:ascii="Cambria" w:hAnsi="Cambria"/>
          <w:b/>
          <w:color w:val="548DD4" w:themeColor="text2" w:themeTint="99"/>
          <w:sz w:val="20"/>
          <w:szCs w:val="20"/>
        </w:rPr>
      </w:pPr>
    </w:p>
    <w:p w14:paraId="66A78ACB" w14:textId="43F5B336" w:rsidR="00CB7E6A" w:rsidRPr="006D6B01" w:rsidRDefault="003B122E"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b/>
          <w:color w:val="548DD4" w:themeColor="text2" w:themeTint="99"/>
          <w:sz w:val="20"/>
          <w:szCs w:val="20"/>
        </w:rPr>
      </w:pPr>
      <w:r w:rsidRPr="006D6B01">
        <w:rPr>
          <w:rFonts w:ascii="Cambria" w:hAnsi="Cambria"/>
          <w:sz w:val="20"/>
          <w:szCs w:val="20"/>
        </w:rPr>
        <w:t>In addition, t</w:t>
      </w:r>
      <w:r w:rsidR="00D55B40" w:rsidRPr="006D6B01">
        <w:rPr>
          <w:rFonts w:ascii="Cambria" w:hAnsi="Cambria"/>
          <w:sz w:val="20"/>
          <w:szCs w:val="20"/>
        </w:rPr>
        <w:t>he</w:t>
      </w:r>
      <w:r w:rsidR="00FF10C4" w:rsidRPr="006D6B01">
        <w:rPr>
          <w:rFonts w:ascii="Cambria" w:hAnsi="Cambria"/>
          <w:sz w:val="20"/>
          <w:szCs w:val="20"/>
        </w:rPr>
        <w:t xml:space="preserve"> petitioners challenged the State’s account of its asylum determination system</w:t>
      </w:r>
      <w:r w:rsidR="00571B88" w:rsidRPr="006D6B01">
        <w:rPr>
          <w:rFonts w:ascii="Cambria" w:hAnsi="Cambria"/>
          <w:sz w:val="20"/>
          <w:szCs w:val="20"/>
        </w:rPr>
        <w:t xml:space="preserve"> </w:t>
      </w:r>
      <w:r w:rsidR="00A128A9" w:rsidRPr="006D6B01">
        <w:rPr>
          <w:rFonts w:ascii="Cambria" w:hAnsi="Cambria"/>
          <w:sz w:val="20"/>
          <w:szCs w:val="20"/>
        </w:rPr>
        <w:t xml:space="preserve">–including </w:t>
      </w:r>
      <w:r w:rsidR="00FF050E" w:rsidRPr="006D6B01">
        <w:rPr>
          <w:rFonts w:ascii="Cambria" w:hAnsi="Cambria"/>
          <w:sz w:val="20"/>
          <w:szCs w:val="20"/>
        </w:rPr>
        <w:t xml:space="preserve">its </w:t>
      </w:r>
      <w:r w:rsidR="00EC0322" w:rsidRPr="006D6B01">
        <w:rPr>
          <w:rFonts w:ascii="Cambria" w:hAnsi="Cambria"/>
          <w:sz w:val="20"/>
          <w:szCs w:val="20"/>
        </w:rPr>
        <w:t>accessibility,</w:t>
      </w:r>
      <w:r w:rsidR="004747C8" w:rsidRPr="006D6B01">
        <w:rPr>
          <w:rFonts w:ascii="Cambria" w:hAnsi="Cambria"/>
          <w:sz w:val="20"/>
          <w:szCs w:val="20"/>
        </w:rPr>
        <w:t xml:space="preserve"> confidentiality,</w:t>
      </w:r>
      <w:r w:rsidR="00EC0322" w:rsidRPr="006D6B01">
        <w:rPr>
          <w:rFonts w:ascii="Cambria" w:hAnsi="Cambria"/>
          <w:sz w:val="20"/>
          <w:szCs w:val="20"/>
        </w:rPr>
        <w:t xml:space="preserve"> </w:t>
      </w:r>
      <w:r w:rsidR="00FF050E" w:rsidRPr="006D6B01">
        <w:rPr>
          <w:rFonts w:ascii="Cambria" w:hAnsi="Cambria"/>
          <w:sz w:val="20"/>
          <w:szCs w:val="20"/>
        </w:rPr>
        <w:t>reliance on questionnaires</w:t>
      </w:r>
      <w:r w:rsidR="00A128A9" w:rsidRPr="006D6B01">
        <w:rPr>
          <w:rFonts w:ascii="Cambria" w:hAnsi="Cambria"/>
          <w:sz w:val="20"/>
          <w:szCs w:val="20"/>
        </w:rPr>
        <w:t xml:space="preserve">, </w:t>
      </w:r>
      <w:r w:rsidR="00EC0322" w:rsidRPr="006D6B01">
        <w:rPr>
          <w:rFonts w:ascii="Cambria" w:hAnsi="Cambria"/>
          <w:sz w:val="20"/>
          <w:szCs w:val="20"/>
        </w:rPr>
        <w:t>provision</w:t>
      </w:r>
      <w:r w:rsidR="00FF050E" w:rsidRPr="006D6B01">
        <w:rPr>
          <w:rFonts w:ascii="Cambria" w:hAnsi="Cambria"/>
          <w:sz w:val="20"/>
          <w:szCs w:val="20"/>
        </w:rPr>
        <w:t xml:space="preserve"> of </w:t>
      </w:r>
      <w:r w:rsidR="00A128A9" w:rsidRPr="006D6B01">
        <w:rPr>
          <w:rFonts w:ascii="Cambria" w:hAnsi="Cambria"/>
          <w:sz w:val="20"/>
          <w:szCs w:val="20"/>
        </w:rPr>
        <w:t xml:space="preserve">interviews, </w:t>
      </w:r>
      <w:r w:rsidR="00EC0322" w:rsidRPr="006D6B01">
        <w:rPr>
          <w:rFonts w:ascii="Cambria" w:hAnsi="Cambria"/>
          <w:sz w:val="20"/>
          <w:szCs w:val="20"/>
        </w:rPr>
        <w:t xml:space="preserve"> transparency</w:t>
      </w:r>
      <w:r w:rsidR="00A128A9" w:rsidRPr="006D6B01">
        <w:rPr>
          <w:rFonts w:ascii="Cambria" w:hAnsi="Cambria"/>
          <w:sz w:val="20"/>
          <w:szCs w:val="20"/>
        </w:rPr>
        <w:t xml:space="preserve">, and </w:t>
      </w:r>
      <w:r w:rsidR="00EC0322" w:rsidRPr="006D6B01">
        <w:rPr>
          <w:rFonts w:ascii="Cambria" w:hAnsi="Cambria"/>
          <w:sz w:val="20"/>
          <w:szCs w:val="20"/>
        </w:rPr>
        <w:t>the quality of its</w:t>
      </w:r>
      <w:r w:rsidR="00FF050E" w:rsidRPr="006D6B01">
        <w:rPr>
          <w:rFonts w:ascii="Cambria" w:hAnsi="Cambria"/>
          <w:sz w:val="20"/>
          <w:szCs w:val="20"/>
        </w:rPr>
        <w:t xml:space="preserve"> determinations</w:t>
      </w:r>
      <w:r w:rsidR="00E07B8A" w:rsidRPr="006D6B01">
        <w:rPr>
          <w:rFonts w:ascii="Cambria" w:hAnsi="Cambria"/>
          <w:sz w:val="20"/>
          <w:szCs w:val="20"/>
        </w:rPr>
        <w:t>–</w:t>
      </w:r>
      <w:r w:rsidR="00A128A9" w:rsidRPr="006D6B01">
        <w:rPr>
          <w:rFonts w:ascii="Cambria" w:hAnsi="Cambria"/>
          <w:sz w:val="20"/>
          <w:szCs w:val="20"/>
        </w:rPr>
        <w:t xml:space="preserve"> </w:t>
      </w:r>
      <w:r w:rsidR="00E07B8A" w:rsidRPr="006D6B01">
        <w:rPr>
          <w:rFonts w:ascii="Cambria" w:hAnsi="Cambria"/>
          <w:sz w:val="20"/>
          <w:szCs w:val="20"/>
        </w:rPr>
        <w:t xml:space="preserve">by asserting that </w:t>
      </w:r>
      <w:r w:rsidR="004022D1" w:rsidRPr="006D6B01">
        <w:rPr>
          <w:rFonts w:ascii="Cambria" w:hAnsi="Cambria"/>
          <w:sz w:val="20"/>
          <w:szCs w:val="20"/>
        </w:rPr>
        <w:t xml:space="preserve">asylum seekers are not informed of their right to apply for asylum and that </w:t>
      </w:r>
      <w:r w:rsidR="00E07B8A" w:rsidRPr="006D6B01">
        <w:rPr>
          <w:rFonts w:ascii="Cambria" w:hAnsi="Cambria"/>
          <w:sz w:val="20"/>
          <w:szCs w:val="20"/>
        </w:rPr>
        <w:t>determinations are made</w:t>
      </w:r>
      <w:r w:rsidR="004A04F5" w:rsidRPr="006D6B01">
        <w:rPr>
          <w:rFonts w:ascii="Cambria" w:hAnsi="Cambria"/>
          <w:sz w:val="20"/>
          <w:szCs w:val="20"/>
        </w:rPr>
        <w:t xml:space="preserve"> using inadequate mechanisms</w:t>
      </w:r>
      <w:r w:rsidR="004022D1" w:rsidRPr="006D6B01">
        <w:rPr>
          <w:rFonts w:ascii="Cambria" w:hAnsi="Cambria"/>
          <w:sz w:val="20"/>
          <w:szCs w:val="20"/>
        </w:rPr>
        <w:t>. Accordingly</w:t>
      </w:r>
      <w:r w:rsidR="004A04F5" w:rsidRPr="006D6B01">
        <w:rPr>
          <w:rFonts w:ascii="Cambria" w:hAnsi="Cambria"/>
          <w:sz w:val="20"/>
          <w:szCs w:val="20"/>
        </w:rPr>
        <w:t>, t</w:t>
      </w:r>
      <w:r w:rsidR="00571B88" w:rsidRPr="006D6B01">
        <w:rPr>
          <w:rFonts w:ascii="Cambria" w:hAnsi="Cambria"/>
          <w:sz w:val="20"/>
          <w:szCs w:val="20"/>
        </w:rPr>
        <w:t xml:space="preserve">hey </w:t>
      </w:r>
      <w:r w:rsidR="00135D8D" w:rsidRPr="006D6B01">
        <w:rPr>
          <w:rFonts w:ascii="Cambria" w:hAnsi="Cambria"/>
          <w:sz w:val="20"/>
          <w:szCs w:val="20"/>
        </w:rPr>
        <w:t>contended that as the Cabinet’s decision is final, the system does not provide for judicial review of the process or the determinations made</w:t>
      </w:r>
      <w:r w:rsidRPr="006D6B01">
        <w:rPr>
          <w:rFonts w:ascii="Cambria" w:hAnsi="Cambria"/>
          <w:sz w:val="20"/>
          <w:szCs w:val="20"/>
        </w:rPr>
        <w:t>,</w:t>
      </w:r>
      <w:r w:rsidR="00135D8D" w:rsidRPr="006D6B01">
        <w:rPr>
          <w:rFonts w:ascii="Cambria" w:hAnsi="Cambria"/>
          <w:sz w:val="20"/>
          <w:szCs w:val="20"/>
        </w:rPr>
        <w:t xml:space="preserve"> or the right to consider new evidence. In addition, the petitioners claimed that asylum seekers are not provided with legal assistance or aid owing to the fact that only Bahamian lawyers can practice in the State, none of which practice immigration law. </w:t>
      </w:r>
      <w:r w:rsidR="00571B88" w:rsidRPr="006D6B01">
        <w:rPr>
          <w:rFonts w:ascii="Cambria" w:hAnsi="Cambria"/>
          <w:sz w:val="20"/>
          <w:szCs w:val="20"/>
        </w:rPr>
        <w:t>In this way</w:t>
      </w:r>
      <w:r w:rsidR="00135D8D" w:rsidRPr="006D6B01">
        <w:rPr>
          <w:rFonts w:ascii="Cambria" w:hAnsi="Cambria"/>
          <w:sz w:val="20"/>
          <w:szCs w:val="20"/>
        </w:rPr>
        <w:t>, t</w:t>
      </w:r>
      <w:r w:rsidR="00E81B83" w:rsidRPr="006D6B01">
        <w:rPr>
          <w:rFonts w:ascii="Cambria" w:hAnsi="Cambria"/>
          <w:sz w:val="20"/>
          <w:szCs w:val="20"/>
        </w:rPr>
        <w:t xml:space="preserve">he petitioners argued </w:t>
      </w:r>
      <w:r w:rsidR="00135D8D" w:rsidRPr="006D6B01">
        <w:rPr>
          <w:rFonts w:ascii="Cambria" w:hAnsi="Cambria"/>
          <w:sz w:val="20"/>
          <w:szCs w:val="20"/>
        </w:rPr>
        <w:t xml:space="preserve">that the system does not provide </w:t>
      </w:r>
      <w:r w:rsidR="00297453" w:rsidRPr="006D6B01">
        <w:rPr>
          <w:rFonts w:ascii="Cambria" w:hAnsi="Cambria"/>
          <w:sz w:val="20"/>
          <w:szCs w:val="20"/>
        </w:rPr>
        <w:t>a</w:t>
      </w:r>
      <w:r w:rsidR="00135D8D" w:rsidRPr="006D6B01">
        <w:rPr>
          <w:rFonts w:ascii="Cambria" w:hAnsi="Cambria"/>
          <w:sz w:val="20"/>
          <w:szCs w:val="20"/>
        </w:rPr>
        <w:t xml:space="preserve"> meaningful</w:t>
      </w:r>
      <w:r w:rsidR="00FF10C4" w:rsidRPr="006D6B01">
        <w:rPr>
          <w:rFonts w:ascii="Cambria" w:hAnsi="Cambria"/>
          <w:sz w:val="20"/>
          <w:szCs w:val="20"/>
        </w:rPr>
        <w:t xml:space="preserve"> opportunity to present a claim to refugee status. </w:t>
      </w:r>
    </w:p>
    <w:p w14:paraId="448479B8" w14:textId="77777777" w:rsidR="00620B27" w:rsidRPr="006D6B01" w:rsidRDefault="00620B27" w:rsidP="004311F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b/>
          <w:color w:val="548DD4" w:themeColor="text2" w:themeTint="99"/>
          <w:sz w:val="20"/>
          <w:szCs w:val="20"/>
        </w:rPr>
      </w:pPr>
    </w:p>
    <w:p w14:paraId="293E57DE" w14:textId="77777777" w:rsidR="00F772A6" w:rsidRPr="006D6B01" w:rsidRDefault="00E9064C"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b/>
          <w:color w:val="548DD4" w:themeColor="text2" w:themeTint="99"/>
          <w:sz w:val="20"/>
          <w:szCs w:val="20"/>
        </w:rPr>
      </w:pPr>
      <w:r w:rsidRPr="006D6B01">
        <w:rPr>
          <w:rFonts w:ascii="Cambria" w:hAnsi="Cambria"/>
          <w:sz w:val="20"/>
          <w:szCs w:val="20"/>
        </w:rPr>
        <w:t>T</w:t>
      </w:r>
      <w:r w:rsidR="00F772A6" w:rsidRPr="006D6B01">
        <w:rPr>
          <w:rFonts w:ascii="Cambria" w:hAnsi="Cambria"/>
          <w:sz w:val="20"/>
          <w:szCs w:val="20"/>
        </w:rPr>
        <w:t>he</w:t>
      </w:r>
      <w:r w:rsidR="00977C16" w:rsidRPr="006D6B01">
        <w:rPr>
          <w:rFonts w:ascii="Cambria" w:hAnsi="Cambria"/>
          <w:sz w:val="20"/>
          <w:szCs w:val="20"/>
        </w:rPr>
        <w:t xml:space="preserve"> petitioners</w:t>
      </w:r>
      <w:r w:rsidR="00F772A6" w:rsidRPr="006D6B01">
        <w:rPr>
          <w:rFonts w:ascii="Cambria" w:hAnsi="Cambria"/>
          <w:sz w:val="20"/>
          <w:szCs w:val="20"/>
        </w:rPr>
        <w:t xml:space="preserve"> claimed that the State violated the right to </w:t>
      </w:r>
      <w:r w:rsidR="00F772A6" w:rsidRPr="006D6B01">
        <w:rPr>
          <w:rFonts w:ascii="Cambria" w:hAnsi="Cambria"/>
          <w:b/>
          <w:sz w:val="20"/>
          <w:szCs w:val="20"/>
        </w:rPr>
        <w:t>equality before the</w:t>
      </w:r>
      <w:r w:rsidR="003B122E" w:rsidRPr="006D6B01">
        <w:rPr>
          <w:rFonts w:ascii="Cambria" w:hAnsi="Cambria"/>
          <w:b/>
          <w:sz w:val="20"/>
          <w:szCs w:val="20"/>
        </w:rPr>
        <w:t xml:space="preserve"> law</w:t>
      </w:r>
      <w:r w:rsidR="003B122E" w:rsidRPr="006D6B01">
        <w:rPr>
          <w:rFonts w:ascii="Cambria" w:hAnsi="Cambria"/>
          <w:sz w:val="20"/>
          <w:szCs w:val="20"/>
        </w:rPr>
        <w:t>. They alleged that Haitian asylum seekers</w:t>
      </w:r>
      <w:r w:rsidR="00F772A6" w:rsidRPr="006D6B01">
        <w:rPr>
          <w:rFonts w:ascii="Cambria" w:hAnsi="Cambria"/>
          <w:sz w:val="20"/>
          <w:szCs w:val="20"/>
        </w:rPr>
        <w:t xml:space="preserve"> are regularly denied access to the </w:t>
      </w:r>
      <w:r w:rsidR="00AC419F" w:rsidRPr="006D6B01">
        <w:rPr>
          <w:rFonts w:ascii="Cambria" w:hAnsi="Cambria"/>
          <w:sz w:val="20"/>
          <w:szCs w:val="20"/>
        </w:rPr>
        <w:t xml:space="preserve">asylum determination system </w:t>
      </w:r>
      <w:r w:rsidR="00F772A6" w:rsidRPr="006D6B01">
        <w:rPr>
          <w:rFonts w:ascii="Cambria" w:hAnsi="Cambria"/>
          <w:sz w:val="20"/>
          <w:szCs w:val="20"/>
        </w:rPr>
        <w:t>because they are pr</w:t>
      </w:r>
      <w:r w:rsidR="00525BFD" w:rsidRPr="006D6B01">
        <w:rPr>
          <w:rFonts w:ascii="Cambria" w:hAnsi="Cambria"/>
          <w:sz w:val="20"/>
          <w:szCs w:val="20"/>
        </w:rPr>
        <w:t xml:space="preserve">esumed to be economic migrants and </w:t>
      </w:r>
      <w:r w:rsidR="00E64784" w:rsidRPr="006D6B01">
        <w:rPr>
          <w:rFonts w:ascii="Cambria" w:hAnsi="Cambria"/>
          <w:sz w:val="20"/>
          <w:szCs w:val="20"/>
        </w:rPr>
        <w:t>that differential standards are applied to</w:t>
      </w:r>
      <w:r w:rsidR="00F772A6" w:rsidRPr="006D6B01">
        <w:rPr>
          <w:rFonts w:ascii="Cambria" w:hAnsi="Cambria"/>
          <w:sz w:val="20"/>
          <w:szCs w:val="20"/>
        </w:rPr>
        <w:t xml:space="preserve"> Haitian </w:t>
      </w:r>
      <w:r w:rsidR="005131DF" w:rsidRPr="006D6B01">
        <w:rPr>
          <w:rFonts w:ascii="Cambria" w:hAnsi="Cambria"/>
          <w:sz w:val="20"/>
          <w:szCs w:val="20"/>
        </w:rPr>
        <w:t xml:space="preserve">and Cuban </w:t>
      </w:r>
      <w:r w:rsidR="00F772A6" w:rsidRPr="006D6B01">
        <w:rPr>
          <w:rFonts w:ascii="Cambria" w:hAnsi="Cambria"/>
          <w:sz w:val="20"/>
          <w:szCs w:val="20"/>
        </w:rPr>
        <w:t>detainee</w:t>
      </w:r>
      <w:r w:rsidR="00E64784" w:rsidRPr="006D6B01">
        <w:rPr>
          <w:rFonts w:ascii="Cambria" w:hAnsi="Cambria"/>
          <w:sz w:val="20"/>
          <w:szCs w:val="20"/>
        </w:rPr>
        <w:t>s.</w:t>
      </w:r>
    </w:p>
    <w:p w14:paraId="57BDB930" w14:textId="77777777" w:rsidR="00F772A6" w:rsidRPr="006D6B01" w:rsidRDefault="00F772A6" w:rsidP="004311FE">
      <w:pPr>
        <w:tabs>
          <w:tab w:val="left" w:pos="360"/>
        </w:tabs>
        <w:rPr>
          <w:sz w:val="20"/>
          <w:szCs w:val="20"/>
        </w:rPr>
      </w:pPr>
    </w:p>
    <w:p w14:paraId="2476429A" w14:textId="77777777" w:rsidR="00945946" w:rsidRPr="006D6B01" w:rsidRDefault="00E64784"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b/>
          <w:color w:val="548DD4" w:themeColor="text2" w:themeTint="99"/>
          <w:sz w:val="20"/>
          <w:szCs w:val="20"/>
        </w:rPr>
      </w:pPr>
      <w:r w:rsidRPr="006D6B01">
        <w:rPr>
          <w:rFonts w:ascii="Cambria" w:hAnsi="Cambria"/>
          <w:sz w:val="20"/>
          <w:szCs w:val="20"/>
        </w:rPr>
        <w:t xml:space="preserve">The petitioners asserted that the State violated the </w:t>
      </w:r>
      <w:r w:rsidR="00571B88" w:rsidRPr="006D6B01">
        <w:rPr>
          <w:rFonts w:ascii="Cambria" w:hAnsi="Cambria"/>
          <w:sz w:val="20"/>
          <w:szCs w:val="20"/>
        </w:rPr>
        <w:t xml:space="preserve">asylum seekers’ </w:t>
      </w:r>
      <w:r w:rsidRPr="006D6B01">
        <w:rPr>
          <w:rFonts w:ascii="Cambria" w:hAnsi="Cambria"/>
          <w:sz w:val="20"/>
          <w:szCs w:val="20"/>
        </w:rPr>
        <w:t xml:space="preserve">right to </w:t>
      </w:r>
      <w:r w:rsidRPr="006D6B01">
        <w:rPr>
          <w:rFonts w:ascii="Cambria" w:hAnsi="Cambria"/>
          <w:b/>
          <w:sz w:val="20"/>
          <w:szCs w:val="20"/>
        </w:rPr>
        <w:t>life, liberty and personal security</w:t>
      </w:r>
      <w:r w:rsidR="00525BFD" w:rsidRPr="006D6B01">
        <w:rPr>
          <w:rFonts w:ascii="Cambria" w:hAnsi="Cambria"/>
          <w:sz w:val="20"/>
          <w:szCs w:val="20"/>
        </w:rPr>
        <w:t xml:space="preserve"> </w:t>
      </w:r>
      <w:r w:rsidR="005A02E7" w:rsidRPr="006D6B01">
        <w:rPr>
          <w:rFonts w:ascii="Cambria" w:hAnsi="Cambria"/>
          <w:sz w:val="20"/>
          <w:szCs w:val="20"/>
        </w:rPr>
        <w:t>in</w:t>
      </w:r>
      <w:r w:rsidRPr="006D6B01">
        <w:rPr>
          <w:rFonts w:ascii="Cambria" w:hAnsi="Cambria"/>
          <w:sz w:val="20"/>
          <w:szCs w:val="20"/>
        </w:rPr>
        <w:t xml:space="preserve"> the absence of a viable refugee determination system coupled with the summary deportation of detainees with strong claims to a well-founded fear of persecution upon return in accordance with </w:t>
      </w:r>
      <w:r w:rsidR="00571B88" w:rsidRPr="006D6B01">
        <w:rPr>
          <w:rFonts w:ascii="Cambria" w:hAnsi="Cambria"/>
          <w:sz w:val="20"/>
          <w:szCs w:val="20"/>
        </w:rPr>
        <w:t xml:space="preserve">the </w:t>
      </w:r>
      <w:r w:rsidRPr="006D6B01">
        <w:rPr>
          <w:rFonts w:ascii="Cambria" w:hAnsi="Cambria"/>
          <w:sz w:val="20"/>
          <w:szCs w:val="20"/>
        </w:rPr>
        <w:t xml:space="preserve">bilateral agreements </w:t>
      </w:r>
      <w:r w:rsidR="00571B88" w:rsidRPr="006D6B01">
        <w:rPr>
          <w:rFonts w:ascii="Cambria" w:hAnsi="Cambria"/>
          <w:sz w:val="20"/>
          <w:szCs w:val="20"/>
        </w:rPr>
        <w:t xml:space="preserve">requiring repatriation </w:t>
      </w:r>
      <w:r w:rsidRPr="006D6B01">
        <w:rPr>
          <w:rFonts w:ascii="Cambria" w:hAnsi="Cambria"/>
          <w:sz w:val="20"/>
          <w:szCs w:val="20"/>
        </w:rPr>
        <w:t xml:space="preserve">signed </w:t>
      </w:r>
      <w:r w:rsidR="004B3D72" w:rsidRPr="006D6B01">
        <w:rPr>
          <w:rFonts w:ascii="Cambria" w:hAnsi="Cambria"/>
          <w:sz w:val="20"/>
          <w:szCs w:val="20"/>
        </w:rPr>
        <w:t xml:space="preserve">between the </w:t>
      </w:r>
      <w:r w:rsidR="00525BFD" w:rsidRPr="006D6B01">
        <w:rPr>
          <w:rFonts w:ascii="Cambria" w:hAnsi="Cambria"/>
          <w:sz w:val="20"/>
          <w:szCs w:val="20"/>
        </w:rPr>
        <w:t>Bahamas,</w:t>
      </w:r>
      <w:r w:rsidR="004B3D72" w:rsidRPr="006D6B01">
        <w:rPr>
          <w:rFonts w:ascii="Cambria" w:hAnsi="Cambria"/>
          <w:sz w:val="20"/>
          <w:szCs w:val="20"/>
        </w:rPr>
        <w:t xml:space="preserve"> </w:t>
      </w:r>
      <w:r w:rsidRPr="006D6B01">
        <w:rPr>
          <w:rFonts w:ascii="Cambria" w:hAnsi="Cambria"/>
          <w:sz w:val="20"/>
          <w:szCs w:val="20"/>
        </w:rPr>
        <w:t>Cuba</w:t>
      </w:r>
      <w:r w:rsidR="004B3D72" w:rsidRPr="006D6B01">
        <w:rPr>
          <w:rFonts w:ascii="Cambria" w:hAnsi="Cambria"/>
          <w:sz w:val="20"/>
          <w:szCs w:val="20"/>
        </w:rPr>
        <w:t>,</w:t>
      </w:r>
      <w:r w:rsidRPr="006D6B01">
        <w:rPr>
          <w:rFonts w:ascii="Cambria" w:hAnsi="Cambria"/>
          <w:sz w:val="20"/>
          <w:szCs w:val="20"/>
        </w:rPr>
        <w:t xml:space="preserve"> and Haiti. </w:t>
      </w:r>
      <w:r w:rsidR="00525BFD" w:rsidRPr="006D6B01">
        <w:rPr>
          <w:rFonts w:ascii="Cambria" w:hAnsi="Cambria"/>
          <w:sz w:val="20"/>
          <w:szCs w:val="20"/>
        </w:rPr>
        <w:t>T</w:t>
      </w:r>
      <w:r w:rsidR="00121354" w:rsidRPr="006D6B01">
        <w:rPr>
          <w:rFonts w:ascii="Cambria" w:hAnsi="Cambria"/>
          <w:sz w:val="20"/>
          <w:szCs w:val="20"/>
        </w:rPr>
        <w:t xml:space="preserve">hey </w:t>
      </w:r>
      <w:r w:rsidR="003C7A90" w:rsidRPr="006D6B01">
        <w:rPr>
          <w:rFonts w:ascii="Cambria" w:hAnsi="Cambria"/>
          <w:sz w:val="20"/>
          <w:szCs w:val="20"/>
        </w:rPr>
        <w:t>highlighted</w:t>
      </w:r>
      <w:r w:rsidR="00121354" w:rsidRPr="006D6B01">
        <w:rPr>
          <w:rFonts w:ascii="Cambria" w:hAnsi="Cambria"/>
          <w:sz w:val="20"/>
          <w:szCs w:val="20"/>
        </w:rPr>
        <w:t xml:space="preserve"> that the forced and arbitrary return of asylum seekers from the </w:t>
      </w:r>
      <w:r w:rsidR="004B3D72" w:rsidRPr="006D6B01">
        <w:rPr>
          <w:rFonts w:ascii="Cambria" w:hAnsi="Cambria"/>
          <w:sz w:val="20"/>
          <w:szCs w:val="20"/>
        </w:rPr>
        <w:t>State</w:t>
      </w:r>
      <w:r w:rsidR="00121354" w:rsidRPr="006D6B01">
        <w:rPr>
          <w:rFonts w:ascii="Cambria" w:hAnsi="Cambria"/>
          <w:sz w:val="20"/>
          <w:szCs w:val="20"/>
        </w:rPr>
        <w:t xml:space="preserve"> </w:t>
      </w:r>
      <w:r w:rsidR="004022D1" w:rsidRPr="006D6B01">
        <w:rPr>
          <w:rFonts w:ascii="Cambria" w:hAnsi="Cambria"/>
          <w:sz w:val="20"/>
          <w:szCs w:val="20"/>
        </w:rPr>
        <w:t>was</w:t>
      </w:r>
      <w:r w:rsidR="00121354" w:rsidRPr="006D6B01">
        <w:rPr>
          <w:rFonts w:ascii="Cambria" w:hAnsi="Cambria"/>
          <w:sz w:val="20"/>
          <w:szCs w:val="20"/>
        </w:rPr>
        <w:t xml:space="preserve"> ongoing despite the existence of precautionary measures</w:t>
      </w:r>
      <w:r w:rsidR="004B3D72" w:rsidRPr="006D6B01">
        <w:rPr>
          <w:rFonts w:ascii="Cambria" w:hAnsi="Cambria"/>
          <w:sz w:val="20"/>
          <w:szCs w:val="20"/>
        </w:rPr>
        <w:t xml:space="preserve"> issued by the Commission </w:t>
      </w:r>
      <w:r w:rsidR="003C7A90" w:rsidRPr="006D6B01">
        <w:rPr>
          <w:rFonts w:ascii="Cambria" w:hAnsi="Cambria"/>
          <w:sz w:val="20"/>
          <w:szCs w:val="20"/>
        </w:rPr>
        <w:t>staying their deportation</w:t>
      </w:r>
      <w:r w:rsidR="00121354" w:rsidRPr="006D6B01">
        <w:rPr>
          <w:rFonts w:ascii="Cambria" w:hAnsi="Cambria"/>
          <w:sz w:val="20"/>
          <w:szCs w:val="20"/>
        </w:rPr>
        <w:t xml:space="preserve">. </w:t>
      </w:r>
    </w:p>
    <w:p w14:paraId="67E5D174" w14:textId="77777777" w:rsidR="00945946" w:rsidRPr="006D6B01" w:rsidRDefault="00945946" w:rsidP="004311FE">
      <w:pPr>
        <w:pStyle w:val="ListParagraph"/>
        <w:tabs>
          <w:tab w:val="left" w:pos="360"/>
        </w:tabs>
        <w:rPr>
          <w:sz w:val="20"/>
          <w:szCs w:val="20"/>
        </w:rPr>
      </w:pPr>
    </w:p>
    <w:p w14:paraId="76A1423A" w14:textId="77777777" w:rsidR="00F831FA" w:rsidRPr="006D6B01" w:rsidRDefault="00013B83"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b/>
          <w:color w:val="548DD4" w:themeColor="text2" w:themeTint="99"/>
          <w:sz w:val="20"/>
          <w:szCs w:val="20"/>
        </w:rPr>
      </w:pPr>
      <w:r w:rsidRPr="006D6B01">
        <w:rPr>
          <w:rFonts w:ascii="Cambria" w:hAnsi="Cambria"/>
          <w:sz w:val="20"/>
          <w:szCs w:val="20"/>
        </w:rPr>
        <w:t xml:space="preserve">The petitioners asserted that the State violated the right of </w:t>
      </w:r>
      <w:r w:rsidRPr="006D6B01">
        <w:rPr>
          <w:rFonts w:ascii="Cambria" w:hAnsi="Cambria"/>
          <w:b/>
          <w:sz w:val="20"/>
          <w:szCs w:val="20"/>
        </w:rPr>
        <w:t>protection from arbitrary arrest</w:t>
      </w:r>
      <w:r w:rsidRPr="006D6B01">
        <w:rPr>
          <w:rFonts w:ascii="Cambria" w:hAnsi="Cambria"/>
          <w:sz w:val="20"/>
          <w:szCs w:val="20"/>
        </w:rPr>
        <w:t xml:space="preserve"> through its mandatory detention of asylum seekers </w:t>
      </w:r>
      <w:r w:rsidR="00565141" w:rsidRPr="006D6B01">
        <w:rPr>
          <w:rFonts w:ascii="Cambria" w:hAnsi="Cambria"/>
          <w:sz w:val="20"/>
          <w:szCs w:val="20"/>
        </w:rPr>
        <w:t>without</w:t>
      </w:r>
      <w:r w:rsidR="00FC7E55" w:rsidRPr="006D6B01">
        <w:rPr>
          <w:rFonts w:ascii="Cambria" w:hAnsi="Cambria"/>
          <w:sz w:val="20"/>
          <w:szCs w:val="20"/>
        </w:rPr>
        <w:t xml:space="preserve"> judicial review because </w:t>
      </w:r>
      <w:r w:rsidRPr="006D6B01">
        <w:rPr>
          <w:rFonts w:ascii="Cambria" w:hAnsi="Cambria"/>
          <w:sz w:val="20"/>
          <w:szCs w:val="20"/>
        </w:rPr>
        <w:t>asylum seekers arriving in The Bahamas are immediate</w:t>
      </w:r>
      <w:r w:rsidR="00565141" w:rsidRPr="006D6B01">
        <w:rPr>
          <w:rFonts w:ascii="Cambria" w:hAnsi="Cambria"/>
          <w:sz w:val="20"/>
          <w:szCs w:val="20"/>
        </w:rPr>
        <w:t xml:space="preserve">ly placed in a detention center and </w:t>
      </w:r>
      <w:r w:rsidR="00FC7E55" w:rsidRPr="006D6B01">
        <w:rPr>
          <w:rFonts w:ascii="Cambria" w:hAnsi="Cambria"/>
          <w:sz w:val="20"/>
          <w:szCs w:val="20"/>
        </w:rPr>
        <w:t>do not have access to</w:t>
      </w:r>
      <w:r w:rsidR="00B916CF" w:rsidRPr="006D6B01">
        <w:rPr>
          <w:rFonts w:ascii="Cambria" w:hAnsi="Cambria"/>
          <w:sz w:val="20"/>
          <w:szCs w:val="20"/>
        </w:rPr>
        <w:t xml:space="preserve"> judicial review of the legality or necessity of their detention</w:t>
      </w:r>
      <w:r w:rsidR="00571B88" w:rsidRPr="006D6B01">
        <w:rPr>
          <w:rFonts w:ascii="Cambria" w:hAnsi="Cambria"/>
          <w:sz w:val="20"/>
          <w:szCs w:val="20"/>
        </w:rPr>
        <w:t>. The petitioners</w:t>
      </w:r>
      <w:r w:rsidR="00B916CF" w:rsidRPr="006D6B01">
        <w:rPr>
          <w:rFonts w:ascii="Cambria" w:hAnsi="Cambria"/>
          <w:sz w:val="20"/>
          <w:szCs w:val="20"/>
        </w:rPr>
        <w:t xml:space="preserve"> </w:t>
      </w:r>
      <w:r w:rsidR="00565141" w:rsidRPr="006D6B01">
        <w:rPr>
          <w:rFonts w:ascii="Cambria" w:hAnsi="Cambria"/>
          <w:sz w:val="20"/>
          <w:szCs w:val="20"/>
        </w:rPr>
        <w:t>asserted</w:t>
      </w:r>
      <w:r w:rsidR="00B916CF" w:rsidRPr="006D6B01">
        <w:rPr>
          <w:rFonts w:ascii="Cambria" w:hAnsi="Cambria"/>
          <w:sz w:val="20"/>
          <w:szCs w:val="20"/>
        </w:rPr>
        <w:t xml:space="preserve"> that even in cases of prolonged detention</w:t>
      </w:r>
      <w:r w:rsidR="00FC7E55" w:rsidRPr="006D6B01">
        <w:rPr>
          <w:rFonts w:ascii="Cambria" w:hAnsi="Cambria"/>
          <w:sz w:val="20"/>
          <w:szCs w:val="20"/>
        </w:rPr>
        <w:t xml:space="preserve"> </w:t>
      </w:r>
      <w:r w:rsidR="00565141" w:rsidRPr="006D6B01">
        <w:rPr>
          <w:rFonts w:ascii="Cambria" w:hAnsi="Cambria"/>
          <w:sz w:val="20"/>
          <w:szCs w:val="20"/>
        </w:rPr>
        <w:t xml:space="preserve">asylum seekers </w:t>
      </w:r>
      <w:r w:rsidR="00945946" w:rsidRPr="006D6B01">
        <w:rPr>
          <w:rFonts w:ascii="Cambria" w:hAnsi="Cambria"/>
          <w:sz w:val="20"/>
          <w:szCs w:val="20"/>
        </w:rPr>
        <w:t>do not have access to periodic review</w:t>
      </w:r>
      <w:r w:rsidR="00571B88" w:rsidRPr="006D6B01">
        <w:rPr>
          <w:rFonts w:ascii="Cambria" w:hAnsi="Cambria"/>
          <w:sz w:val="20"/>
          <w:szCs w:val="20"/>
        </w:rPr>
        <w:t>s</w:t>
      </w:r>
      <w:r w:rsidR="00945946" w:rsidRPr="006D6B01">
        <w:rPr>
          <w:rFonts w:ascii="Cambria" w:hAnsi="Cambria"/>
          <w:sz w:val="20"/>
          <w:szCs w:val="20"/>
        </w:rPr>
        <w:t xml:space="preserve"> at reasonable intervals.</w:t>
      </w:r>
      <w:r w:rsidR="00C54586" w:rsidRPr="006D6B01">
        <w:rPr>
          <w:rFonts w:ascii="Cambria" w:hAnsi="Cambria"/>
          <w:sz w:val="20"/>
          <w:szCs w:val="20"/>
        </w:rPr>
        <w:t xml:space="preserve"> </w:t>
      </w:r>
    </w:p>
    <w:p w14:paraId="2376AB46" w14:textId="77777777" w:rsidR="00F831FA" w:rsidRPr="006D6B01" w:rsidRDefault="00F831FA" w:rsidP="004311FE">
      <w:pPr>
        <w:pStyle w:val="ListParagraph"/>
        <w:tabs>
          <w:tab w:val="left" w:pos="360"/>
        </w:tabs>
        <w:rPr>
          <w:sz w:val="20"/>
          <w:szCs w:val="20"/>
        </w:rPr>
      </w:pPr>
    </w:p>
    <w:p w14:paraId="1A956E2E" w14:textId="77777777" w:rsidR="00361415" w:rsidRPr="006D6B01" w:rsidRDefault="00C54586"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ind w:left="0" w:firstLine="0"/>
        <w:jc w:val="both"/>
        <w:rPr>
          <w:rFonts w:asciiTheme="majorHAnsi" w:hAnsiTheme="majorHAnsi"/>
          <w:color w:val="548DD4" w:themeColor="text2" w:themeTint="99"/>
          <w:sz w:val="20"/>
          <w:szCs w:val="20"/>
        </w:rPr>
      </w:pPr>
      <w:r w:rsidRPr="006D6B01">
        <w:rPr>
          <w:rFonts w:ascii="Cambria" w:hAnsi="Cambria"/>
          <w:sz w:val="20"/>
          <w:szCs w:val="20"/>
        </w:rPr>
        <w:t xml:space="preserve">In addition, the petitioners alleged that the State violated </w:t>
      </w:r>
      <w:r w:rsidR="00E904D3" w:rsidRPr="006D6B01">
        <w:rPr>
          <w:rFonts w:ascii="Cambria" w:hAnsi="Cambria"/>
          <w:sz w:val="20"/>
          <w:szCs w:val="20"/>
        </w:rPr>
        <w:t>the</w:t>
      </w:r>
      <w:r w:rsidR="003A0991" w:rsidRPr="006D6B01">
        <w:rPr>
          <w:rFonts w:ascii="Cambria" w:hAnsi="Cambria"/>
          <w:sz w:val="20"/>
          <w:szCs w:val="20"/>
        </w:rPr>
        <w:t xml:space="preserve"> detainee</w:t>
      </w:r>
      <w:r w:rsidR="00E904D3" w:rsidRPr="006D6B01">
        <w:rPr>
          <w:rFonts w:ascii="Cambria" w:hAnsi="Cambria"/>
          <w:sz w:val="20"/>
          <w:szCs w:val="20"/>
        </w:rPr>
        <w:t>s’</w:t>
      </w:r>
      <w:r w:rsidR="003A0991" w:rsidRPr="006D6B01">
        <w:rPr>
          <w:rFonts w:ascii="Cambria" w:hAnsi="Cambria"/>
          <w:sz w:val="20"/>
          <w:szCs w:val="20"/>
        </w:rPr>
        <w:t xml:space="preserve"> </w:t>
      </w:r>
      <w:r w:rsidRPr="006D6B01">
        <w:rPr>
          <w:rFonts w:ascii="Cambria" w:hAnsi="Cambria"/>
          <w:sz w:val="20"/>
          <w:szCs w:val="20"/>
        </w:rPr>
        <w:t xml:space="preserve">right to </w:t>
      </w:r>
      <w:r w:rsidRPr="006D6B01">
        <w:rPr>
          <w:rFonts w:ascii="Cambria" w:hAnsi="Cambria"/>
          <w:b/>
          <w:sz w:val="20"/>
          <w:szCs w:val="20"/>
        </w:rPr>
        <w:t>humane treatment</w:t>
      </w:r>
      <w:r w:rsidRPr="006D6B01">
        <w:rPr>
          <w:rFonts w:ascii="Cambria" w:hAnsi="Cambria"/>
          <w:sz w:val="20"/>
          <w:szCs w:val="20"/>
        </w:rPr>
        <w:t xml:space="preserve"> during </w:t>
      </w:r>
      <w:r w:rsidR="003A0991" w:rsidRPr="006D6B01">
        <w:rPr>
          <w:rFonts w:ascii="Cambria" w:hAnsi="Cambria"/>
          <w:sz w:val="20"/>
          <w:szCs w:val="20"/>
        </w:rPr>
        <w:t>their</w:t>
      </w:r>
      <w:r w:rsidRPr="006D6B01">
        <w:rPr>
          <w:rFonts w:ascii="Cambria" w:hAnsi="Cambria"/>
          <w:sz w:val="20"/>
          <w:szCs w:val="20"/>
        </w:rPr>
        <w:t xml:space="preserve"> time in custody</w:t>
      </w:r>
      <w:r w:rsidR="00FC7E55" w:rsidRPr="006D6B01">
        <w:rPr>
          <w:rFonts w:ascii="Cambria" w:hAnsi="Cambria"/>
          <w:sz w:val="20"/>
          <w:szCs w:val="20"/>
        </w:rPr>
        <w:t xml:space="preserve"> because </w:t>
      </w:r>
      <w:r w:rsidR="003A0991" w:rsidRPr="006D6B01">
        <w:rPr>
          <w:rFonts w:ascii="Cambria" w:hAnsi="Cambria"/>
          <w:sz w:val="20"/>
          <w:szCs w:val="20"/>
        </w:rPr>
        <w:t xml:space="preserve">asylum seekers in The Bahamas are detained, often for periods of several months, in conditions that fail to meet internationally recognized minimum standards. They claimed that the facilities at the </w:t>
      </w:r>
      <w:r w:rsidR="00BB4FCD" w:rsidRPr="006D6B01">
        <w:rPr>
          <w:rFonts w:ascii="Cambria" w:hAnsi="Cambria"/>
          <w:sz w:val="20"/>
          <w:szCs w:val="20"/>
        </w:rPr>
        <w:t xml:space="preserve">Carmichael Center </w:t>
      </w:r>
      <w:r w:rsidR="00FC7E55" w:rsidRPr="006D6B01">
        <w:rPr>
          <w:rFonts w:ascii="Cambria" w:hAnsi="Cambria"/>
          <w:sz w:val="20"/>
          <w:szCs w:val="20"/>
        </w:rPr>
        <w:t xml:space="preserve">are wholly inadequate and </w:t>
      </w:r>
      <w:r w:rsidR="003A0991" w:rsidRPr="006D6B01">
        <w:rPr>
          <w:rFonts w:ascii="Cambria" w:hAnsi="Cambria"/>
          <w:sz w:val="20"/>
          <w:szCs w:val="20"/>
        </w:rPr>
        <w:t xml:space="preserve">detainees </w:t>
      </w:r>
      <w:r w:rsidR="004B0892" w:rsidRPr="006D6B01">
        <w:rPr>
          <w:rFonts w:ascii="Cambria" w:hAnsi="Cambria"/>
          <w:sz w:val="20"/>
          <w:szCs w:val="20"/>
        </w:rPr>
        <w:t>–including unaccompanied children</w:t>
      </w:r>
      <w:r w:rsidR="004022D1" w:rsidRPr="006D6B01">
        <w:rPr>
          <w:rFonts w:ascii="Cambria" w:hAnsi="Cambria"/>
          <w:sz w:val="20"/>
          <w:szCs w:val="20"/>
        </w:rPr>
        <w:t>–</w:t>
      </w:r>
      <w:r w:rsidR="004B0892" w:rsidRPr="006D6B01">
        <w:rPr>
          <w:rFonts w:ascii="Cambria" w:hAnsi="Cambria"/>
          <w:sz w:val="20"/>
          <w:szCs w:val="20"/>
        </w:rPr>
        <w:t xml:space="preserve"> </w:t>
      </w:r>
      <w:r w:rsidR="003A0991" w:rsidRPr="006D6B01">
        <w:rPr>
          <w:rFonts w:ascii="Cambria" w:hAnsi="Cambria"/>
          <w:sz w:val="20"/>
          <w:szCs w:val="20"/>
        </w:rPr>
        <w:t>are not provided with shaded areas, filtered drinking water, sheets or matt</w:t>
      </w:r>
      <w:r w:rsidR="006C2B06" w:rsidRPr="006D6B01">
        <w:rPr>
          <w:rFonts w:ascii="Cambria" w:hAnsi="Cambria"/>
          <w:sz w:val="20"/>
          <w:szCs w:val="20"/>
        </w:rPr>
        <w:t>resses, soap, toothpaste, lavatory paper or sanitary products</w:t>
      </w:r>
      <w:r w:rsidR="004B0892" w:rsidRPr="006D6B01">
        <w:rPr>
          <w:rFonts w:ascii="Cambria" w:hAnsi="Cambria"/>
          <w:sz w:val="20"/>
          <w:szCs w:val="20"/>
        </w:rPr>
        <w:t xml:space="preserve">, </w:t>
      </w:r>
      <w:r w:rsidR="004022D1" w:rsidRPr="006D6B01">
        <w:rPr>
          <w:rFonts w:ascii="Cambria" w:hAnsi="Cambria"/>
          <w:sz w:val="20"/>
          <w:szCs w:val="20"/>
        </w:rPr>
        <w:t xml:space="preserve">and </w:t>
      </w:r>
      <w:r w:rsidR="004B0892" w:rsidRPr="006D6B01">
        <w:rPr>
          <w:rFonts w:ascii="Cambria" w:hAnsi="Cambria"/>
          <w:sz w:val="20"/>
          <w:szCs w:val="20"/>
        </w:rPr>
        <w:t xml:space="preserve">families </w:t>
      </w:r>
      <w:r w:rsidR="004022D1" w:rsidRPr="006D6B01">
        <w:rPr>
          <w:rFonts w:ascii="Cambria" w:hAnsi="Cambria"/>
          <w:sz w:val="20"/>
          <w:szCs w:val="20"/>
        </w:rPr>
        <w:t>are</w:t>
      </w:r>
      <w:r w:rsidR="004B0892" w:rsidRPr="006D6B01">
        <w:rPr>
          <w:rFonts w:ascii="Cambria" w:hAnsi="Cambria"/>
          <w:sz w:val="20"/>
          <w:szCs w:val="20"/>
        </w:rPr>
        <w:t xml:space="preserve"> frequently separated</w:t>
      </w:r>
      <w:r w:rsidR="009F27D1" w:rsidRPr="006D6B01">
        <w:rPr>
          <w:rFonts w:ascii="Cambria" w:hAnsi="Cambria"/>
          <w:sz w:val="20"/>
          <w:szCs w:val="20"/>
        </w:rPr>
        <w:t xml:space="preserve">. </w:t>
      </w:r>
    </w:p>
    <w:p w14:paraId="12F51A48" w14:textId="77777777" w:rsidR="003C2050" w:rsidRPr="00F564E5" w:rsidRDefault="003C2050" w:rsidP="004311FE">
      <w:pPr>
        <w:tabs>
          <w:tab w:val="left" w:pos="360"/>
        </w:tabs>
        <w:rPr>
          <w:rFonts w:asciiTheme="majorHAnsi" w:hAnsiTheme="majorHAnsi"/>
          <w:color w:val="548DD4" w:themeColor="text2" w:themeTint="99"/>
          <w:sz w:val="20"/>
          <w:szCs w:val="20"/>
        </w:rPr>
      </w:pPr>
    </w:p>
    <w:p w14:paraId="0E37A40D" w14:textId="782FB12A" w:rsidR="00D12193" w:rsidRPr="006D6B01" w:rsidRDefault="001F2F25" w:rsidP="004311FE">
      <w:pPr>
        <w:pStyle w:val="Heading2"/>
        <w:tabs>
          <w:tab w:val="left" w:pos="360"/>
        </w:tabs>
        <w:ind w:left="0" w:firstLine="0"/>
      </w:pPr>
      <w:bookmarkStart w:id="5" w:name="_Toc90557400"/>
      <w:proofErr w:type="spellStart"/>
      <w:r w:rsidRPr="006D6B01">
        <w:t>State</w:t>
      </w:r>
      <w:bookmarkEnd w:id="5"/>
      <w:proofErr w:type="spellEnd"/>
    </w:p>
    <w:p w14:paraId="079D4EE2" w14:textId="77777777" w:rsidR="007C756A" w:rsidRPr="006D6B01" w:rsidRDefault="007C756A" w:rsidP="004311FE">
      <w:pPr>
        <w:tabs>
          <w:tab w:val="left" w:pos="360"/>
        </w:tabs>
        <w:suppressAutoHyphens/>
        <w:rPr>
          <w:rFonts w:asciiTheme="majorHAnsi" w:hAnsiTheme="majorHAnsi"/>
          <w:sz w:val="20"/>
          <w:szCs w:val="20"/>
          <w:lang w:val="es-ES_tradnl"/>
        </w:rPr>
      </w:pPr>
    </w:p>
    <w:p w14:paraId="38E7E482" w14:textId="77777777" w:rsidR="00DB7B18" w:rsidRPr="006D6B01" w:rsidRDefault="00602A29"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ind w:left="0" w:firstLine="0"/>
        <w:jc w:val="both"/>
        <w:rPr>
          <w:rFonts w:ascii="Cambria" w:hAnsi="Cambria"/>
          <w:color w:val="000000" w:themeColor="text1"/>
          <w:sz w:val="20"/>
          <w:szCs w:val="20"/>
        </w:rPr>
      </w:pPr>
      <w:r w:rsidRPr="006D6B01">
        <w:rPr>
          <w:rFonts w:ascii="Cambria" w:hAnsi="Cambria"/>
          <w:sz w:val="20"/>
          <w:szCs w:val="20"/>
        </w:rPr>
        <w:t>The State claimed that</w:t>
      </w:r>
      <w:r w:rsidR="00D85C69" w:rsidRPr="006D6B01">
        <w:rPr>
          <w:rFonts w:ascii="Cambria" w:hAnsi="Cambria"/>
          <w:sz w:val="20"/>
          <w:szCs w:val="20"/>
        </w:rPr>
        <w:t xml:space="preserve"> </w:t>
      </w:r>
      <w:r w:rsidR="00DD1F78" w:rsidRPr="006D6B01">
        <w:rPr>
          <w:rFonts w:ascii="Cambria" w:hAnsi="Cambria"/>
          <w:sz w:val="20"/>
          <w:szCs w:val="20"/>
        </w:rPr>
        <w:t>its refugee determination system</w:t>
      </w:r>
      <w:r w:rsidR="002C632D" w:rsidRPr="006D6B01">
        <w:rPr>
          <w:rFonts w:ascii="Cambria" w:hAnsi="Cambria"/>
          <w:sz w:val="20"/>
          <w:szCs w:val="20"/>
        </w:rPr>
        <w:t xml:space="preserve"> consists</w:t>
      </w:r>
      <w:r w:rsidR="00FC7E55" w:rsidRPr="006D6B01">
        <w:rPr>
          <w:rFonts w:ascii="Cambria" w:hAnsi="Cambria"/>
          <w:sz w:val="20"/>
          <w:szCs w:val="20"/>
        </w:rPr>
        <w:t xml:space="preserve"> of a</w:t>
      </w:r>
      <w:r w:rsidR="00DD1F78" w:rsidRPr="006D6B01">
        <w:rPr>
          <w:rFonts w:ascii="Cambria" w:hAnsi="Cambria"/>
          <w:sz w:val="20"/>
          <w:szCs w:val="20"/>
        </w:rPr>
        <w:t xml:space="preserve"> </w:t>
      </w:r>
      <w:r w:rsidR="0046281B" w:rsidRPr="006D6B01">
        <w:rPr>
          <w:rFonts w:ascii="Cambria" w:hAnsi="Cambria"/>
          <w:sz w:val="20"/>
          <w:szCs w:val="20"/>
        </w:rPr>
        <w:t xml:space="preserve">UNHCR-endorsed </w:t>
      </w:r>
      <w:r w:rsidR="00E06AD2" w:rsidRPr="006D6B01">
        <w:rPr>
          <w:rFonts w:ascii="Cambria" w:hAnsi="Cambria"/>
          <w:sz w:val="20"/>
          <w:szCs w:val="20"/>
        </w:rPr>
        <w:t xml:space="preserve">administrative procedure that </w:t>
      </w:r>
      <w:r w:rsidR="004022D1" w:rsidRPr="006D6B01">
        <w:rPr>
          <w:rFonts w:ascii="Cambria" w:hAnsi="Cambria"/>
          <w:sz w:val="20"/>
          <w:szCs w:val="20"/>
        </w:rPr>
        <w:t xml:space="preserve">is </w:t>
      </w:r>
      <w:r w:rsidR="007522BD" w:rsidRPr="006D6B01">
        <w:rPr>
          <w:rFonts w:ascii="Cambria" w:hAnsi="Cambria"/>
          <w:sz w:val="20"/>
          <w:szCs w:val="20"/>
        </w:rPr>
        <w:t>consistent</w:t>
      </w:r>
      <w:r w:rsidR="004022D1" w:rsidRPr="006D6B01">
        <w:rPr>
          <w:rFonts w:ascii="Cambria" w:hAnsi="Cambria"/>
          <w:sz w:val="20"/>
          <w:szCs w:val="20"/>
        </w:rPr>
        <w:t xml:space="preserve"> with its international obligations</w:t>
      </w:r>
      <w:r w:rsidR="009261B2" w:rsidRPr="006D6B01">
        <w:rPr>
          <w:rFonts w:ascii="Cambria" w:hAnsi="Cambria"/>
          <w:sz w:val="20"/>
          <w:szCs w:val="20"/>
        </w:rPr>
        <w:t xml:space="preserve"> and </w:t>
      </w:r>
      <w:r w:rsidR="00E06AD2" w:rsidRPr="006D6B01">
        <w:rPr>
          <w:rFonts w:ascii="Cambria" w:hAnsi="Cambria"/>
          <w:sz w:val="20"/>
          <w:szCs w:val="20"/>
        </w:rPr>
        <w:t xml:space="preserve">that </w:t>
      </w:r>
      <w:r w:rsidR="009261B2" w:rsidRPr="006D6B01">
        <w:rPr>
          <w:rFonts w:ascii="Cambria" w:hAnsi="Cambria"/>
          <w:sz w:val="20"/>
          <w:szCs w:val="20"/>
        </w:rPr>
        <w:t xml:space="preserve">was </w:t>
      </w:r>
      <w:r w:rsidR="002C632D" w:rsidRPr="006D6B01">
        <w:rPr>
          <w:rFonts w:ascii="Cambria" w:hAnsi="Cambria"/>
          <w:sz w:val="20"/>
          <w:szCs w:val="20"/>
        </w:rPr>
        <w:t>applied</w:t>
      </w:r>
      <w:r w:rsidR="009261B2" w:rsidRPr="006D6B01">
        <w:rPr>
          <w:rFonts w:ascii="Cambria" w:hAnsi="Cambria"/>
          <w:sz w:val="20"/>
          <w:szCs w:val="20"/>
        </w:rPr>
        <w:t xml:space="preserve"> in relation to the alleged victims</w:t>
      </w:r>
      <w:r w:rsidR="0046281B" w:rsidRPr="006D6B01">
        <w:rPr>
          <w:rFonts w:ascii="Cambria" w:hAnsi="Cambria"/>
          <w:color w:val="000000" w:themeColor="text1"/>
          <w:sz w:val="20"/>
          <w:szCs w:val="20"/>
        </w:rPr>
        <w:t>.</w:t>
      </w:r>
      <w:r w:rsidR="009261B2" w:rsidRPr="006D6B01">
        <w:rPr>
          <w:rFonts w:ascii="Cambria" w:hAnsi="Cambria"/>
          <w:color w:val="000000" w:themeColor="text1"/>
          <w:sz w:val="20"/>
          <w:szCs w:val="20"/>
        </w:rPr>
        <w:t xml:space="preserve"> </w:t>
      </w:r>
      <w:r w:rsidR="00393AF4" w:rsidRPr="006D6B01">
        <w:rPr>
          <w:rFonts w:ascii="Cambria" w:hAnsi="Cambria"/>
          <w:color w:val="000000" w:themeColor="text1"/>
          <w:sz w:val="20"/>
          <w:szCs w:val="20"/>
        </w:rPr>
        <w:t>Accordingly, i</w:t>
      </w:r>
      <w:r w:rsidR="00316011" w:rsidRPr="006D6B01">
        <w:rPr>
          <w:rFonts w:ascii="Cambria" w:hAnsi="Cambria"/>
          <w:color w:val="000000" w:themeColor="text1"/>
          <w:sz w:val="20"/>
          <w:szCs w:val="20"/>
        </w:rPr>
        <w:t xml:space="preserve">t </w:t>
      </w:r>
      <w:r w:rsidR="00E06AD2" w:rsidRPr="006D6B01">
        <w:rPr>
          <w:rFonts w:ascii="Cambria" w:hAnsi="Cambria"/>
          <w:color w:val="000000" w:themeColor="text1"/>
          <w:sz w:val="20"/>
          <w:szCs w:val="20"/>
        </w:rPr>
        <w:t xml:space="preserve">recognized that </w:t>
      </w:r>
      <w:r w:rsidR="00316011" w:rsidRPr="006D6B01">
        <w:rPr>
          <w:rFonts w:ascii="Cambria" w:hAnsi="Cambria"/>
          <w:color w:val="000000" w:themeColor="text1"/>
          <w:sz w:val="20"/>
          <w:szCs w:val="20"/>
        </w:rPr>
        <w:t>refugee</w:t>
      </w:r>
      <w:r w:rsidR="00393AF4" w:rsidRPr="006D6B01">
        <w:rPr>
          <w:rFonts w:ascii="Cambria" w:hAnsi="Cambria"/>
          <w:color w:val="000000" w:themeColor="text1"/>
          <w:sz w:val="20"/>
          <w:szCs w:val="20"/>
        </w:rPr>
        <w:t xml:space="preserve"> status</w:t>
      </w:r>
      <w:r w:rsidR="00316011" w:rsidRPr="006D6B01">
        <w:rPr>
          <w:rFonts w:ascii="Cambria" w:hAnsi="Cambria"/>
          <w:color w:val="000000" w:themeColor="text1"/>
          <w:sz w:val="20"/>
          <w:szCs w:val="20"/>
        </w:rPr>
        <w:t xml:space="preserve"> determination laws</w:t>
      </w:r>
      <w:r w:rsidR="0046281B" w:rsidRPr="006D6B01">
        <w:rPr>
          <w:rFonts w:ascii="Cambria" w:hAnsi="Cambria"/>
          <w:sz w:val="20"/>
          <w:szCs w:val="20"/>
        </w:rPr>
        <w:t xml:space="preserve"> </w:t>
      </w:r>
      <w:r w:rsidR="00F67BBB" w:rsidRPr="006D6B01">
        <w:rPr>
          <w:rFonts w:ascii="Cambria" w:hAnsi="Cambria"/>
          <w:sz w:val="20"/>
          <w:szCs w:val="20"/>
        </w:rPr>
        <w:t xml:space="preserve">are </w:t>
      </w:r>
      <w:r w:rsidR="0046281B" w:rsidRPr="006D6B01">
        <w:rPr>
          <w:rFonts w:ascii="Cambria" w:hAnsi="Cambria"/>
          <w:sz w:val="20"/>
          <w:szCs w:val="20"/>
        </w:rPr>
        <w:t>not yet in place</w:t>
      </w:r>
      <w:r w:rsidR="00DD1F78" w:rsidRPr="006D6B01">
        <w:rPr>
          <w:rFonts w:ascii="Cambria" w:hAnsi="Cambria"/>
          <w:color w:val="000000" w:themeColor="text1"/>
          <w:sz w:val="20"/>
          <w:szCs w:val="20"/>
        </w:rPr>
        <w:t xml:space="preserve">. </w:t>
      </w:r>
    </w:p>
    <w:p w14:paraId="33360FBE" w14:textId="77777777" w:rsidR="00DB7B18" w:rsidRPr="006D6B01" w:rsidRDefault="00DB7B18" w:rsidP="004311FE">
      <w:pPr>
        <w:pStyle w:val="ListParagraph"/>
        <w:tabs>
          <w:tab w:val="left" w:pos="0"/>
          <w:tab w:val="left" w:pos="360"/>
        </w:tabs>
        <w:ind w:left="0"/>
        <w:rPr>
          <w:color w:val="000000" w:themeColor="text1"/>
          <w:sz w:val="20"/>
          <w:szCs w:val="20"/>
        </w:rPr>
      </w:pPr>
    </w:p>
    <w:p w14:paraId="3C06AE8F" w14:textId="2F57D17B" w:rsidR="00602A29" w:rsidRPr="006D6B01" w:rsidRDefault="00393AF4"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ind w:left="0" w:firstLine="0"/>
        <w:jc w:val="both"/>
        <w:rPr>
          <w:rFonts w:ascii="Cambria" w:hAnsi="Cambria"/>
          <w:color w:val="000000" w:themeColor="text1"/>
          <w:sz w:val="20"/>
          <w:szCs w:val="20"/>
        </w:rPr>
      </w:pPr>
      <w:r w:rsidRPr="006D6B01">
        <w:rPr>
          <w:rFonts w:ascii="Cambria" w:hAnsi="Cambria"/>
          <w:color w:val="000000" w:themeColor="text1"/>
          <w:sz w:val="20"/>
          <w:szCs w:val="20"/>
        </w:rPr>
        <w:t>T</w:t>
      </w:r>
      <w:r w:rsidR="00C15FFA" w:rsidRPr="006D6B01">
        <w:rPr>
          <w:rFonts w:ascii="Cambria" w:hAnsi="Cambria"/>
          <w:color w:val="000000" w:themeColor="text1"/>
          <w:sz w:val="20"/>
          <w:szCs w:val="20"/>
        </w:rPr>
        <w:t>he State contended</w:t>
      </w:r>
      <w:r w:rsidR="009261B2" w:rsidRPr="006D6B01">
        <w:rPr>
          <w:rFonts w:ascii="Cambria" w:hAnsi="Cambria"/>
          <w:color w:val="000000" w:themeColor="text1"/>
          <w:sz w:val="20"/>
          <w:szCs w:val="20"/>
        </w:rPr>
        <w:t xml:space="preserve"> that </w:t>
      </w:r>
      <w:r w:rsidRPr="006D6B01">
        <w:rPr>
          <w:rFonts w:ascii="Cambria" w:hAnsi="Cambria"/>
          <w:color w:val="000000" w:themeColor="text1"/>
          <w:sz w:val="20"/>
          <w:szCs w:val="20"/>
        </w:rPr>
        <w:t>asylum</w:t>
      </w:r>
      <w:r w:rsidR="009261B2" w:rsidRPr="006D6B01">
        <w:rPr>
          <w:rFonts w:ascii="Cambria" w:hAnsi="Cambria"/>
          <w:color w:val="000000" w:themeColor="text1"/>
          <w:sz w:val="20"/>
          <w:szCs w:val="20"/>
        </w:rPr>
        <w:t xml:space="preserve"> </w:t>
      </w:r>
      <w:r w:rsidR="00FE5B25" w:rsidRPr="006D6B01">
        <w:rPr>
          <w:rFonts w:ascii="Cambria" w:hAnsi="Cambria"/>
          <w:color w:val="000000" w:themeColor="text1"/>
          <w:sz w:val="20"/>
          <w:szCs w:val="20"/>
        </w:rPr>
        <w:t xml:space="preserve">applicants </w:t>
      </w:r>
      <w:r w:rsidR="007D517B" w:rsidRPr="006D6B01">
        <w:rPr>
          <w:rFonts w:ascii="Cambria" w:hAnsi="Cambria"/>
          <w:color w:val="000000" w:themeColor="text1"/>
          <w:sz w:val="20"/>
          <w:szCs w:val="20"/>
        </w:rPr>
        <w:t>are</w:t>
      </w:r>
      <w:r w:rsidR="00CD0349" w:rsidRPr="006D6B01">
        <w:rPr>
          <w:rFonts w:ascii="Cambria" w:hAnsi="Cambria"/>
          <w:color w:val="000000" w:themeColor="text1"/>
          <w:sz w:val="20"/>
          <w:szCs w:val="20"/>
        </w:rPr>
        <w:t xml:space="preserve"> given an opportunity to present their </w:t>
      </w:r>
      <w:r w:rsidRPr="006D6B01">
        <w:rPr>
          <w:rFonts w:ascii="Cambria" w:hAnsi="Cambria"/>
          <w:color w:val="000000" w:themeColor="text1"/>
          <w:sz w:val="20"/>
          <w:szCs w:val="20"/>
        </w:rPr>
        <w:t>individual</w:t>
      </w:r>
      <w:r w:rsidR="00FE5B25" w:rsidRPr="006D6B01">
        <w:rPr>
          <w:rFonts w:ascii="Cambria" w:hAnsi="Cambria"/>
          <w:color w:val="000000" w:themeColor="text1"/>
          <w:sz w:val="20"/>
          <w:szCs w:val="20"/>
        </w:rPr>
        <w:t xml:space="preserve"> </w:t>
      </w:r>
      <w:r w:rsidR="00CD0349" w:rsidRPr="006D6B01">
        <w:rPr>
          <w:rFonts w:ascii="Cambria" w:hAnsi="Cambria"/>
          <w:color w:val="000000" w:themeColor="text1"/>
          <w:sz w:val="20"/>
          <w:szCs w:val="20"/>
        </w:rPr>
        <w:t>c</w:t>
      </w:r>
      <w:r w:rsidR="009261B2" w:rsidRPr="006D6B01">
        <w:rPr>
          <w:rFonts w:ascii="Cambria" w:hAnsi="Cambria"/>
          <w:color w:val="000000" w:themeColor="text1"/>
          <w:sz w:val="20"/>
          <w:szCs w:val="20"/>
        </w:rPr>
        <w:t>ase</w:t>
      </w:r>
      <w:r w:rsidR="00FE5B25" w:rsidRPr="006D6B01">
        <w:rPr>
          <w:rFonts w:ascii="Cambria" w:hAnsi="Cambria"/>
          <w:color w:val="000000" w:themeColor="text1"/>
          <w:sz w:val="20"/>
          <w:szCs w:val="20"/>
        </w:rPr>
        <w:t>s</w:t>
      </w:r>
      <w:r w:rsidR="009261B2" w:rsidRPr="006D6B01">
        <w:rPr>
          <w:rFonts w:ascii="Cambria" w:hAnsi="Cambria"/>
          <w:color w:val="000000" w:themeColor="text1"/>
          <w:sz w:val="20"/>
          <w:szCs w:val="20"/>
        </w:rPr>
        <w:t xml:space="preserve"> and </w:t>
      </w:r>
      <w:r w:rsidR="00A94874" w:rsidRPr="006D6B01">
        <w:rPr>
          <w:rFonts w:ascii="Cambria" w:hAnsi="Cambria"/>
          <w:color w:val="000000" w:themeColor="text1"/>
          <w:sz w:val="20"/>
          <w:szCs w:val="20"/>
        </w:rPr>
        <w:t xml:space="preserve">any </w:t>
      </w:r>
      <w:r w:rsidR="007D517B" w:rsidRPr="006D6B01">
        <w:rPr>
          <w:rFonts w:ascii="Cambria" w:hAnsi="Cambria"/>
          <w:color w:val="000000" w:themeColor="text1"/>
          <w:sz w:val="20"/>
          <w:szCs w:val="20"/>
        </w:rPr>
        <w:t xml:space="preserve">pertinent </w:t>
      </w:r>
      <w:r w:rsidR="00A94874" w:rsidRPr="006D6B01">
        <w:rPr>
          <w:rFonts w:ascii="Cambria" w:hAnsi="Cambria"/>
          <w:color w:val="000000" w:themeColor="text1"/>
          <w:sz w:val="20"/>
          <w:szCs w:val="20"/>
        </w:rPr>
        <w:t>documents.</w:t>
      </w:r>
      <w:r w:rsidR="0056338A" w:rsidRPr="006D6B01">
        <w:rPr>
          <w:rFonts w:ascii="Cambria" w:hAnsi="Cambria"/>
          <w:color w:val="000000" w:themeColor="text1"/>
          <w:sz w:val="20"/>
          <w:szCs w:val="20"/>
        </w:rPr>
        <w:t xml:space="preserve"> </w:t>
      </w:r>
      <w:r w:rsidR="00C15FFA" w:rsidRPr="006D6B01">
        <w:rPr>
          <w:rFonts w:ascii="Cambria" w:hAnsi="Cambria"/>
          <w:color w:val="000000" w:themeColor="text1"/>
          <w:sz w:val="20"/>
          <w:szCs w:val="20"/>
        </w:rPr>
        <w:t xml:space="preserve">It </w:t>
      </w:r>
      <w:r w:rsidR="0056338A" w:rsidRPr="006D6B01">
        <w:rPr>
          <w:rFonts w:ascii="Cambria" w:hAnsi="Cambria"/>
          <w:color w:val="000000" w:themeColor="text1"/>
          <w:sz w:val="20"/>
          <w:szCs w:val="20"/>
        </w:rPr>
        <w:t>asserted that the answers provided</w:t>
      </w:r>
      <w:r w:rsidR="00C15FFA" w:rsidRPr="006D6B01">
        <w:rPr>
          <w:rFonts w:ascii="Cambria" w:hAnsi="Cambria"/>
          <w:color w:val="000000" w:themeColor="text1"/>
          <w:sz w:val="20"/>
          <w:szCs w:val="20"/>
        </w:rPr>
        <w:t xml:space="preserve"> in </w:t>
      </w:r>
      <w:r w:rsidR="003C2050" w:rsidRPr="006D6B01">
        <w:rPr>
          <w:rFonts w:ascii="Cambria" w:hAnsi="Cambria"/>
          <w:color w:val="000000" w:themeColor="text1"/>
          <w:sz w:val="20"/>
          <w:szCs w:val="20"/>
        </w:rPr>
        <w:t xml:space="preserve">questionnaires </w:t>
      </w:r>
      <w:r w:rsidR="003C2050">
        <w:rPr>
          <w:rFonts w:ascii="Cambria" w:hAnsi="Cambria"/>
          <w:color w:val="000000" w:themeColor="text1"/>
          <w:sz w:val="20"/>
          <w:szCs w:val="20"/>
        </w:rPr>
        <w:t>determine</w:t>
      </w:r>
      <w:r w:rsidR="0056338A" w:rsidRPr="006D6B01">
        <w:rPr>
          <w:rFonts w:ascii="Cambria" w:hAnsi="Cambria"/>
          <w:color w:val="000000" w:themeColor="text1"/>
          <w:sz w:val="20"/>
          <w:szCs w:val="20"/>
        </w:rPr>
        <w:t xml:space="preserve"> whether a more thorough investigation and questioning should take place</w:t>
      </w:r>
      <w:r w:rsidR="00FE5B25" w:rsidRPr="006D6B01">
        <w:rPr>
          <w:rFonts w:ascii="Cambria" w:hAnsi="Cambria"/>
          <w:color w:val="000000" w:themeColor="text1"/>
          <w:sz w:val="20"/>
          <w:szCs w:val="20"/>
        </w:rPr>
        <w:t>, leading to a well-founded final decision</w:t>
      </w:r>
      <w:r w:rsidR="0056338A" w:rsidRPr="006D6B01">
        <w:rPr>
          <w:rFonts w:ascii="Cambria" w:hAnsi="Cambria"/>
          <w:color w:val="000000" w:themeColor="text1"/>
          <w:sz w:val="20"/>
          <w:szCs w:val="20"/>
        </w:rPr>
        <w:t>.</w:t>
      </w:r>
      <w:r w:rsidR="004E52E1" w:rsidRPr="006D6B01">
        <w:rPr>
          <w:rFonts w:ascii="Cambria" w:hAnsi="Cambria"/>
          <w:color w:val="000000" w:themeColor="text1"/>
          <w:sz w:val="20"/>
          <w:szCs w:val="20"/>
        </w:rPr>
        <w:t xml:space="preserve"> </w:t>
      </w:r>
      <w:r w:rsidR="00B06A56">
        <w:rPr>
          <w:rFonts w:ascii="Cambria" w:hAnsi="Cambria"/>
          <w:color w:val="000000" w:themeColor="text1"/>
          <w:sz w:val="20"/>
          <w:szCs w:val="20"/>
        </w:rPr>
        <w:t xml:space="preserve">However, the State did not present information regarding the individual situation of the alleged victims. </w:t>
      </w:r>
    </w:p>
    <w:p w14:paraId="6763892D" w14:textId="77777777" w:rsidR="00DB7B18" w:rsidRPr="006D6B01" w:rsidRDefault="00DB7B18" w:rsidP="004311F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Cambria" w:hAnsi="Cambria"/>
          <w:color w:val="000000" w:themeColor="text1"/>
          <w:sz w:val="20"/>
          <w:szCs w:val="20"/>
        </w:rPr>
      </w:pPr>
    </w:p>
    <w:p w14:paraId="70926C65" w14:textId="412BAA23" w:rsidR="00FE5B25" w:rsidRPr="006D6B01" w:rsidRDefault="00393AF4"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color w:val="000000" w:themeColor="text1"/>
          <w:sz w:val="20"/>
          <w:szCs w:val="20"/>
        </w:rPr>
      </w:pPr>
      <w:r w:rsidRPr="006D6B01">
        <w:rPr>
          <w:rFonts w:ascii="Cambria" w:hAnsi="Cambria"/>
          <w:sz w:val="20"/>
          <w:szCs w:val="20"/>
        </w:rPr>
        <w:t>T</w:t>
      </w:r>
      <w:r w:rsidR="00773F65" w:rsidRPr="006D6B01">
        <w:rPr>
          <w:rFonts w:ascii="Cambria" w:hAnsi="Cambria"/>
          <w:sz w:val="20"/>
          <w:szCs w:val="20"/>
        </w:rPr>
        <w:t xml:space="preserve">he State </w:t>
      </w:r>
      <w:r w:rsidR="00DB7B18" w:rsidRPr="006D6B01">
        <w:rPr>
          <w:rFonts w:ascii="Cambria" w:hAnsi="Cambria"/>
          <w:sz w:val="20"/>
          <w:szCs w:val="20"/>
        </w:rPr>
        <w:t xml:space="preserve">recognized </w:t>
      </w:r>
      <w:r w:rsidR="00773F65" w:rsidRPr="006D6B01">
        <w:rPr>
          <w:rFonts w:ascii="Cambria" w:hAnsi="Cambria"/>
          <w:sz w:val="20"/>
          <w:szCs w:val="20"/>
        </w:rPr>
        <w:t>that the conditions at the</w:t>
      </w:r>
      <w:r w:rsidR="00B7136F" w:rsidRPr="006D6B01">
        <w:rPr>
          <w:rFonts w:ascii="Cambria" w:hAnsi="Cambria"/>
          <w:sz w:val="20"/>
          <w:szCs w:val="20"/>
        </w:rPr>
        <w:t xml:space="preserve"> </w:t>
      </w:r>
      <w:r w:rsidR="00BB4FCD" w:rsidRPr="006D6B01">
        <w:rPr>
          <w:rFonts w:ascii="Cambria" w:hAnsi="Cambria"/>
          <w:sz w:val="20"/>
          <w:szCs w:val="20"/>
        </w:rPr>
        <w:t xml:space="preserve">Carmichael Center </w:t>
      </w:r>
      <w:r w:rsidR="00FB2269" w:rsidRPr="006D6B01">
        <w:rPr>
          <w:rFonts w:ascii="Cambria" w:hAnsi="Cambria"/>
          <w:sz w:val="20"/>
          <w:szCs w:val="20"/>
        </w:rPr>
        <w:t>need improvement. I</w:t>
      </w:r>
      <w:r w:rsidR="00773F65" w:rsidRPr="006D6B01">
        <w:rPr>
          <w:rFonts w:ascii="Cambria" w:hAnsi="Cambria"/>
          <w:sz w:val="20"/>
          <w:szCs w:val="20"/>
        </w:rPr>
        <w:t>n 1999</w:t>
      </w:r>
      <w:r w:rsidRPr="006D6B01">
        <w:rPr>
          <w:rFonts w:ascii="Cambria" w:hAnsi="Cambria"/>
          <w:sz w:val="20"/>
          <w:szCs w:val="20"/>
        </w:rPr>
        <w:t>,</w:t>
      </w:r>
      <w:r w:rsidR="00773F65" w:rsidRPr="006D6B01">
        <w:rPr>
          <w:rFonts w:ascii="Cambria" w:hAnsi="Cambria"/>
          <w:sz w:val="20"/>
          <w:szCs w:val="20"/>
        </w:rPr>
        <w:t xml:space="preserve"> it indicated its commitment to</w:t>
      </w:r>
      <w:r w:rsidR="00B7136F" w:rsidRPr="006D6B01">
        <w:rPr>
          <w:rFonts w:ascii="Cambria" w:hAnsi="Cambria"/>
          <w:sz w:val="20"/>
          <w:szCs w:val="20"/>
        </w:rPr>
        <w:t xml:space="preserve"> refurbish and upgrade the Cent</w:t>
      </w:r>
      <w:r w:rsidR="00773F65" w:rsidRPr="006D6B01">
        <w:rPr>
          <w:rFonts w:ascii="Cambria" w:hAnsi="Cambria"/>
          <w:sz w:val="20"/>
          <w:szCs w:val="20"/>
        </w:rPr>
        <w:t>e</w:t>
      </w:r>
      <w:r w:rsidR="00B7136F" w:rsidRPr="006D6B01">
        <w:rPr>
          <w:rFonts w:ascii="Cambria" w:hAnsi="Cambria"/>
          <w:sz w:val="20"/>
          <w:szCs w:val="20"/>
        </w:rPr>
        <w:t>r</w:t>
      </w:r>
      <w:r w:rsidRPr="006D6B01">
        <w:rPr>
          <w:rFonts w:ascii="Cambria" w:hAnsi="Cambria"/>
          <w:sz w:val="20"/>
          <w:szCs w:val="20"/>
        </w:rPr>
        <w:t xml:space="preserve"> and its dedication of</w:t>
      </w:r>
      <w:r w:rsidR="00FE5B25" w:rsidRPr="006D6B01">
        <w:rPr>
          <w:rFonts w:ascii="Cambria" w:hAnsi="Cambria"/>
          <w:sz w:val="20"/>
          <w:szCs w:val="20"/>
        </w:rPr>
        <w:t xml:space="preserve"> economic resources </w:t>
      </w:r>
      <w:r w:rsidR="008B0DF8" w:rsidRPr="006D6B01">
        <w:rPr>
          <w:rFonts w:ascii="Cambria" w:hAnsi="Cambria"/>
          <w:sz w:val="20"/>
          <w:szCs w:val="20"/>
        </w:rPr>
        <w:t>to this end</w:t>
      </w:r>
      <w:r w:rsidR="00773F65" w:rsidRPr="006D6B01">
        <w:rPr>
          <w:rFonts w:ascii="Cambria" w:hAnsi="Cambria"/>
          <w:sz w:val="20"/>
          <w:szCs w:val="20"/>
        </w:rPr>
        <w:t xml:space="preserve">. </w:t>
      </w:r>
      <w:r w:rsidR="00B352E4">
        <w:rPr>
          <w:rFonts w:ascii="Cambria" w:hAnsi="Cambria"/>
          <w:sz w:val="20"/>
          <w:szCs w:val="20"/>
        </w:rPr>
        <w:t>No further and updated information was provided by the State</w:t>
      </w:r>
      <w:r w:rsidR="00440FB2">
        <w:rPr>
          <w:rFonts w:ascii="Cambria" w:hAnsi="Cambria"/>
          <w:sz w:val="20"/>
          <w:szCs w:val="20"/>
        </w:rPr>
        <w:t xml:space="preserve"> on</w:t>
      </w:r>
      <w:r w:rsidR="00B352E4">
        <w:rPr>
          <w:rFonts w:ascii="Cambria" w:hAnsi="Cambria"/>
          <w:sz w:val="20"/>
          <w:szCs w:val="20"/>
        </w:rPr>
        <w:t xml:space="preserve"> this regard. </w:t>
      </w:r>
      <w:r w:rsidR="008B0DF8" w:rsidRPr="006D6B01">
        <w:rPr>
          <w:rFonts w:ascii="Cambria" w:hAnsi="Cambria"/>
          <w:sz w:val="20"/>
          <w:szCs w:val="20"/>
        </w:rPr>
        <w:t xml:space="preserve">Despite </w:t>
      </w:r>
      <w:r w:rsidR="0032054F" w:rsidRPr="006D6B01">
        <w:rPr>
          <w:rFonts w:ascii="Cambria" w:hAnsi="Cambria"/>
          <w:sz w:val="20"/>
          <w:szCs w:val="20"/>
        </w:rPr>
        <w:t xml:space="preserve">the </w:t>
      </w:r>
      <w:r w:rsidR="005F25FA" w:rsidRPr="006D6B01">
        <w:rPr>
          <w:rFonts w:ascii="Cambria" w:hAnsi="Cambria"/>
          <w:sz w:val="20"/>
          <w:szCs w:val="20"/>
        </w:rPr>
        <w:t>need</w:t>
      </w:r>
      <w:r w:rsidR="0032054F" w:rsidRPr="006D6B01">
        <w:rPr>
          <w:rFonts w:ascii="Cambria" w:hAnsi="Cambria"/>
          <w:sz w:val="20"/>
          <w:szCs w:val="20"/>
        </w:rPr>
        <w:t xml:space="preserve"> for improvement</w:t>
      </w:r>
      <w:r w:rsidR="008B0DF8" w:rsidRPr="006D6B01">
        <w:rPr>
          <w:rFonts w:ascii="Cambria" w:hAnsi="Cambria"/>
          <w:sz w:val="20"/>
          <w:szCs w:val="20"/>
        </w:rPr>
        <w:t xml:space="preserve">, </w:t>
      </w:r>
      <w:r w:rsidR="008B0DF8" w:rsidRPr="006D6B01">
        <w:rPr>
          <w:rFonts w:ascii="Cambria" w:hAnsi="Cambria"/>
          <w:sz w:val="20"/>
          <w:szCs w:val="20"/>
        </w:rPr>
        <w:lastRenderedPageBreak/>
        <w:t xml:space="preserve">the State </w:t>
      </w:r>
      <w:r w:rsidR="00374A22" w:rsidRPr="006D6B01">
        <w:rPr>
          <w:rFonts w:ascii="Cambria" w:hAnsi="Cambria"/>
          <w:sz w:val="20"/>
          <w:szCs w:val="20"/>
        </w:rPr>
        <w:t>highlighted the humane treatment received by detainees in custody</w:t>
      </w:r>
      <w:r w:rsidR="00FE5B25" w:rsidRPr="006D6B01">
        <w:rPr>
          <w:rFonts w:ascii="Cambria" w:hAnsi="Cambria"/>
          <w:sz w:val="20"/>
          <w:szCs w:val="20"/>
        </w:rPr>
        <w:t>, which includes access to drink</w:t>
      </w:r>
      <w:r w:rsidR="00DB7B18" w:rsidRPr="006D6B01">
        <w:rPr>
          <w:rFonts w:ascii="Cambria" w:hAnsi="Cambria"/>
          <w:sz w:val="20"/>
          <w:szCs w:val="20"/>
        </w:rPr>
        <w:t>ing</w:t>
      </w:r>
      <w:r w:rsidR="00FE5B25" w:rsidRPr="006D6B01">
        <w:rPr>
          <w:rFonts w:ascii="Cambria" w:hAnsi="Cambria"/>
          <w:sz w:val="20"/>
          <w:szCs w:val="20"/>
        </w:rPr>
        <w:t xml:space="preserve"> water, three meals per day</w:t>
      </w:r>
      <w:r w:rsidRPr="006D6B01">
        <w:rPr>
          <w:rFonts w:ascii="Cambria" w:hAnsi="Cambria"/>
          <w:sz w:val="20"/>
          <w:szCs w:val="20"/>
        </w:rPr>
        <w:t>,</w:t>
      </w:r>
      <w:r w:rsidR="00FE5B25" w:rsidRPr="006D6B01">
        <w:rPr>
          <w:rFonts w:ascii="Cambria" w:hAnsi="Cambria"/>
          <w:sz w:val="20"/>
          <w:szCs w:val="20"/>
        </w:rPr>
        <w:t xml:space="preserve"> and medical </w:t>
      </w:r>
      <w:r w:rsidR="00FB2269" w:rsidRPr="006D6B01">
        <w:rPr>
          <w:rFonts w:ascii="Cambria" w:hAnsi="Cambria"/>
          <w:sz w:val="20"/>
          <w:szCs w:val="20"/>
        </w:rPr>
        <w:t>care</w:t>
      </w:r>
      <w:r w:rsidR="00DB7B18" w:rsidRPr="006D6B01">
        <w:rPr>
          <w:rFonts w:ascii="Cambria" w:hAnsi="Cambria"/>
          <w:sz w:val="20"/>
          <w:szCs w:val="20"/>
        </w:rPr>
        <w:t>, among other</w:t>
      </w:r>
      <w:r w:rsidR="00FB2269" w:rsidRPr="006D6B01">
        <w:rPr>
          <w:rFonts w:ascii="Cambria" w:hAnsi="Cambria"/>
          <w:sz w:val="20"/>
          <w:szCs w:val="20"/>
        </w:rPr>
        <w:t xml:space="preserve"> essential</w:t>
      </w:r>
      <w:r w:rsidR="00DB7B18" w:rsidRPr="006D6B01">
        <w:rPr>
          <w:rFonts w:ascii="Cambria" w:hAnsi="Cambria"/>
          <w:sz w:val="20"/>
          <w:szCs w:val="20"/>
        </w:rPr>
        <w:t xml:space="preserve"> good</w:t>
      </w:r>
      <w:r w:rsidR="00FB2269" w:rsidRPr="006D6B01">
        <w:rPr>
          <w:rFonts w:ascii="Cambria" w:hAnsi="Cambria"/>
          <w:sz w:val="20"/>
          <w:szCs w:val="20"/>
        </w:rPr>
        <w:t>s</w:t>
      </w:r>
      <w:r w:rsidR="00DB7B18" w:rsidRPr="006D6B01">
        <w:rPr>
          <w:rFonts w:ascii="Cambria" w:hAnsi="Cambria"/>
          <w:sz w:val="20"/>
          <w:szCs w:val="20"/>
        </w:rPr>
        <w:t xml:space="preserve"> and services</w:t>
      </w:r>
      <w:r w:rsidR="00FE5B25" w:rsidRPr="006D6B01">
        <w:rPr>
          <w:rFonts w:ascii="Cambria" w:hAnsi="Cambria"/>
          <w:sz w:val="20"/>
          <w:szCs w:val="20"/>
        </w:rPr>
        <w:t xml:space="preserve">. </w:t>
      </w:r>
    </w:p>
    <w:p w14:paraId="3C5551DB" w14:textId="77777777" w:rsidR="00FE5B25" w:rsidRPr="006D6B01" w:rsidRDefault="00FE5B25" w:rsidP="004311FE">
      <w:pPr>
        <w:pStyle w:val="ListParagraph"/>
        <w:tabs>
          <w:tab w:val="left" w:pos="360"/>
        </w:tabs>
        <w:ind w:left="0"/>
        <w:rPr>
          <w:color w:val="000000" w:themeColor="text1"/>
          <w:sz w:val="20"/>
          <w:szCs w:val="20"/>
        </w:rPr>
      </w:pPr>
    </w:p>
    <w:p w14:paraId="30321F71" w14:textId="77777777" w:rsidR="00D86A59" w:rsidRPr="006D6B01" w:rsidRDefault="0032054F"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color w:val="000000" w:themeColor="text1"/>
          <w:sz w:val="20"/>
          <w:szCs w:val="20"/>
        </w:rPr>
      </w:pPr>
      <w:r w:rsidRPr="006D6B01">
        <w:rPr>
          <w:rFonts w:ascii="Cambria" w:hAnsi="Cambria"/>
          <w:color w:val="000000" w:themeColor="text1"/>
          <w:sz w:val="20"/>
          <w:szCs w:val="20"/>
        </w:rPr>
        <w:t xml:space="preserve">In relation to the alleged arbitrary detention of children, the State </w:t>
      </w:r>
      <w:r w:rsidR="00374A22" w:rsidRPr="006D6B01">
        <w:rPr>
          <w:rFonts w:ascii="Cambria" w:hAnsi="Cambria"/>
          <w:color w:val="000000" w:themeColor="text1"/>
          <w:sz w:val="20"/>
          <w:szCs w:val="20"/>
        </w:rPr>
        <w:t>asserted that it</w:t>
      </w:r>
      <w:r w:rsidR="00FF6283" w:rsidRPr="006D6B01">
        <w:rPr>
          <w:rFonts w:ascii="Cambria" w:hAnsi="Cambria"/>
          <w:sz w:val="20"/>
          <w:szCs w:val="20"/>
        </w:rPr>
        <w:t xml:space="preserve"> ensure</w:t>
      </w:r>
      <w:r w:rsidR="00374A22" w:rsidRPr="006D6B01">
        <w:rPr>
          <w:rFonts w:ascii="Cambria" w:hAnsi="Cambria"/>
          <w:sz w:val="20"/>
          <w:szCs w:val="20"/>
        </w:rPr>
        <w:t>s</w:t>
      </w:r>
      <w:r w:rsidR="00FF6283" w:rsidRPr="006D6B01">
        <w:rPr>
          <w:rFonts w:ascii="Cambria" w:hAnsi="Cambria"/>
          <w:sz w:val="20"/>
          <w:szCs w:val="20"/>
        </w:rPr>
        <w:t xml:space="preserve"> that </w:t>
      </w:r>
      <w:r w:rsidR="00374A22" w:rsidRPr="006D6B01">
        <w:rPr>
          <w:rFonts w:ascii="Cambria" w:hAnsi="Cambria"/>
          <w:sz w:val="20"/>
          <w:szCs w:val="20"/>
        </w:rPr>
        <w:t>children</w:t>
      </w:r>
      <w:r w:rsidR="00FF6283" w:rsidRPr="006D6B01">
        <w:rPr>
          <w:rFonts w:ascii="Cambria" w:hAnsi="Cambria"/>
          <w:sz w:val="20"/>
          <w:szCs w:val="20"/>
        </w:rPr>
        <w:t xml:space="preserve"> traveling with </w:t>
      </w:r>
      <w:r w:rsidR="00D86A59" w:rsidRPr="006D6B01">
        <w:rPr>
          <w:rFonts w:ascii="Cambria" w:hAnsi="Cambria"/>
          <w:sz w:val="20"/>
          <w:szCs w:val="20"/>
        </w:rPr>
        <w:t>family</w:t>
      </w:r>
      <w:r w:rsidR="00FF6283" w:rsidRPr="006D6B01">
        <w:rPr>
          <w:rFonts w:ascii="Cambria" w:hAnsi="Cambria"/>
          <w:sz w:val="20"/>
          <w:szCs w:val="20"/>
        </w:rPr>
        <w:t xml:space="preserve"> members </w:t>
      </w:r>
      <w:r w:rsidR="00DA4AB3" w:rsidRPr="006D6B01">
        <w:rPr>
          <w:rFonts w:ascii="Cambria" w:hAnsi="Cambria"/>
          <w:sz w:val="20"/>
          <w:szCs w:val="20"/>
        </w:rPr>
        <w:t xml:space="preserve">are not separated </w:t>
      </w:r>
      <w:r w:rsidR="00FB2269" w:rsidRPr="006D6B01">
        <w:rPr>
          <w:rFonts w:ascii="Cambria" w:hAnsi="Cambria"/>
          <w:sz w:val="20"/>
          <w:szCs w:val="20"/>
        </w:rPr>
        <w:t xml:space="preserve">from them and are provided with recreational </w:t>
      </w:r>
      <w:r w:rsidR="00054DA5" w:rsidRPr="006D6B01">
        <w:rPr>
          <w:rFonts w:ascii="Cambria" w:hAnsi="Cambria"/>
          <w:sz w:val="20"/>
          <w:szCs w:val="20"/>
        </w:rPr>
        <w:t>activities</w:t>
      </w:r>
      <w:r w:rsidR="00FB2269" w:rsidRPr="006D6B01">
        <w:rPr>
          <w:rFonts w:ascii="Cambria" w:hAnsi="Cambria"/>
          <w:sz w:val="20"/>
          <w:szCs w:val="20"/>
        </w:rPr>
        <w:t xml:space="preserve"> </w:t>
      </w:r>
      <w:r w:rsidR="00DA4AB3" w:rsidRPr="006D6B01">
        <w:rPr>
          <w:rFonts w:ascii="Cambria" w:hAnsi="Cambria"/>
          <w:sz w:val="20"/>
          <w:szCs w:val="20"/>
        </w:rPr>
        <w:t>and</w:t>
      </w:r>
      <w:r w:rsidR="00D86A59" w:rsidRPr="006D6B01">
        <w:rPr>
          <w:rFonts w:ascii="Cambria" w:hAnsi="Cambria"/>
          <w:sz w:val="20"/>
          <w:szCs w:val="20"/>
        </w:rPr>
        <w:t xml:space="preserve"> that</w:t>
      </w:r>
      <w:r w:rsidR="00054DA5" w:rsidRPr="006D6B01">
        <w:rPr>
          <w:rFonts w:ascii="Cambria" w:hAnsi="Cambria"/>
          <w:sz w:val="20"/>
          <w:szCs w:val="20"/>
        </w:rPr>
        <w:t xml:space="preserve"> </w:t>
      </w:r>
      <w:r w:rsidR="00DA4AB3" w:rsidRPr="006D6B01">
        <w:rPr>
          <w:rFonts w:ascii="Cambria" w:hAnsi="Cambria"/>
          <w:sz w:val="20"/>
          <w:szCs w:val="20"/>
        </w:rPr>
        <w:t>unaccompanied</w:t>
      </w:r>
      <w:r w:rsidR="00D86A59" w:rsidRPr="006D6B01">
        <w:rPr>
          <w:rFonts w:ascii="Cambria" w:hAnsi="Cambria"/>
          <w:sz w:val="20"/>
          <w:szCs w:val="20"/>
        </w:rPr>
        <w:t xml:space="preserve"> children are placed in Bahamian Care Facilities where they can be properly supervised. </w:t>
      </w:r>
      <w:r w:rsidR="00DA4AB3" w:rsidRPr="006D6B01">
        <w:rPr>
          <w:rFonts w:ascii="Cambria" w:hAnsi="Cambria"/>
          <w:sz w:val="20"/>
          <w:szCs w:val="20"/>
        </w:rPr>
        <w:t>Finally, t</w:t>
      </w:r>
      <w:r w:rsidR="00D86A59" w:rsidRPr="006D6B01">
        <w:rPr>
          <w:rFonts w:ascii="Cambria" w:hAnsi="Cambria"/>
          <w:sz w:val="20"/>
          <w:szCs w:val="20"/>
        </w:rPr>
        <w:t xml:space="preserve">he State recognized that the detention of children among adults is not desirable and </w:t>
      </w:r>
      <w:r w:rsidRPr="006D6B01">
        <w:rPr>
          <w:rFonts w:ascii="Cambria" w:hAnsi="Cambria"/>
          <w:sz w:val="20"/>
          <w:szCs w:val="20"/>
        </w:rPr>
        <w:t xml:space="preserve">asserted </w:t>
      </w:r>
      <w:r w:rsidR="00D86A59" w:rsidRPr="006D6B01">
        <w:rPr>
          <w:rFonts w:ascii="Cambria" w:hAnsi="Cambria"/>
          <w:sz w:val="20"/>
          <w:szCs w:val="20"/>
        </w:rPr>
        <w:t xml:space="preserve">that in an effort to address this concern, the Government decided that in </w:t>
      </w:r>
      <w:r w:rsidR="00393AF4" w:rsidRPr="006D6B01">
        <w:rPr>
          <w:rFonts w:ascii="Cambria" w:hAnsi="Cambria"/>
          <w:sz w:val="20"/>
          <w:szCs w:val="20"/>
        </w:rPr>
        <w:t>new facilities under construction</w:t>
      </w:r>
      <w:r w:rsidR="00D86A59" w:rsidRPr="006D6B01">
        <w:rPr>
          <w:rFonts w:ascii="Cambria" w:hAnsi="Cambria"/>
          <w:sz w:val="20"/>
          <w:szCs w:val="20"/>
        </w:rPr>
        <w:t xml:space="preserve"> a dormitory specifically for children will be constructed.</w:t>
      </w:r>
    </w:p>
    <w:p w14:paraId="0DED0693" w14:textId="77777777" w:rsidR="00773F65" w:rsidRPr="006D6B01" w:rsidRDefault="00773F65" w:rsidP="004311F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Cambria" w:hAnsi="Cambria"/>
          <w:color w:val="000000" w:themeColor="text1"/>
          <w:sz w:val="20"/>
          <w:szCs w:val="20"/>
        </w:rPr>
      </w:pPr>
    </w:p>
    <w:p w14:paraId="5921E4AE" w14:textId="77777777" w:rsidR="00CF079E" w:rsidRPr="006D6B01" w:rsidRDefault="00DF55B4" w:rsidP="004311FE">
      <w:pPr>
        <w:pStyle w:val="Heading1"/>
        <w:tabs>
          <w:tab w:val="left" w:pos="360"/>
        </w:tabs>
        <w:ind w:left="0" w:firstLine="0"/>
      </w:pPr>
      <w:bookmarkStart w:id="6" w:name="_Toc90557401"/>
      <w:r w:rsidRPr="006D6B01">
        <w:t>ADMISSIBILITY ANALYSIS</w:t>
      </w:r>
      <w:bookmarkEnd w:id="6"/>
      <w:r w:rsidRPr="006D6B01">
        <w:t xml:space="preserve"> </w:t>
      </w:r>
    </w:p>
    <w:p w14:paraId="044ED8A8" w14:textId="77777777" w:rsidR="00063C93" w:rsidRPr="006D6B01" w:rsidRDefault="00063C93" w:rsidP="004311F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p>
    <w:p w14:paraId="5FDA58A8" w14:textId="28E4B41B" w:rsidR="00063C93" w:rsidRPr="006D6B01" w:rsidRDefault="00063C93"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6D6B01">
        <w:rPr>
          <w:rFonts w:asciiTheme="majorHAnsi" w:hAnsiTheme="majorHAnsi"/>
          <w:sz w:val="20"/>
          <w:szCs w:val="20"/>
        </w:rPr>
        <w:t xml:space="preserve">The Commission </w:t>
      </w:r>
      <w:r w:rsidR="00393AF4" w:rsidRPr="006D6B01">
        <w:rPr>
          <w:rFonts w:asciiTheme="majorHAnsi" w:hAnsiTheme="majorHAnsi"/>
          <w:sz w:val="20"/>
          <w:szCs w:val="20"/>
        </w:rPr>
        <w:t>considers</w:t>
      </w:r>
      <w:r w:rsidRPr="006D6B01">
        <w:rPr>
          <w:rFonts w:asciiTheme="majorHAnsi" w:hAnsiTheme="majorHAnsi"/>
          <w:sz w:val="20"/>
          <w:szCs w:val="20"/>
        </w:rPr>
        <w:t xml:space="preserve"> that the analysis of its competence expressed in Admissibility Report No. 6/02 in case 12.071 </w:t>
      </w:r>
      <w:r w:rsidR="00CD1541" w:rsidRPr="006D6B01">
        <w:rPr>
          <w:rFonts w:asciiTheme="majorHAnsi" w:hAnsiTheme="majorHAnsi"/>
          <w:sz w:val="20"/>
          <w:szCs w:val="20"/>
        </w:rPr>
        <w:t xml:space="preserve">is fully applicable to the second petition encompassing the new group of </w:t>
      </w:r>
      <w:r w:rsidR="006A09E0" w:rsidRPr="006D6B01">
        <w:rPr>
          <w:rFonts w:asciiTheme="majorHAnsi" w:hAnsiTheme="majorHAnsi"/>
          <w:sz w:val="20"/>
          <w:szCs w:val="20"/>
        </w:rPr>
        <w:t xml:space="preserve">alleged </w:t>
      </w:r>
      <w:r w:rsidR="00CD1541" w:rsidRPr="006D6B01">
        <w:rPr>
          <w:rFonts w:asciiTheme="majorHAnsi" w:hAnsiTheme="majorHAnsi"/>
          <w:sz w:val="20"/>
          <w:szCs w:val="20"/>
        </w:rPr>
        <w:t xml:space="preserve">victims. </w:t>
      </w:r>
      <w:r w:rsidR="00393AF4" w:rsidRPr="006D6B01">
        <w:rPr>
          <w:rFonts w:asciiTheme="majorHAnsi" w:hAnsiTheme="majorHAnsi"/>
          <w:sz w:val="20"/>
          <w:szCs w:val="20"/>
        </w:rPr>
        <w:t>Likewise, the Commission’s</w:t>
      </w:r>
      <w:r w:rsidR="00CD1541" w:rsidRPr="006D6B01">
        <w:rPr>
          <w:rFonts w:asciiTheme="majorHAnsi" w:hAnsiTheme="majorHAnsi"/>
          <w:sz w:val="20"/>
          <w:szCs w:val="20"/>
        </w:rPr>
        <w:t xml:space="preserve"> </w:t>
      </w:r>
      <w:r w:rsidR="004B27BC" w:rsidRPr="006D6B01">
        <w:rPr>
          <w:rFonts w:asciiTheme="majorHAnsi" w:hAnsiTheme="majorHAnsi"/>
          <w:sz w:val="20"/>
          <w:szCs w:val="20"/>
        </w:rPr>
        <w:t xml:space="preserve">assessment of the </w:t>
      </w:r>
      <w:r w:rsidR="00CD1541" w:rsidRPr="006D6B01">
        <w:rPr>
          <w:rFonts w:asciiTheme="majorHAnsi" w:hAnsiTheme="majorHAnsi"/>
          <w:sz w:val="20"/>
          <w:szCs w:val="20"/>
        </w:rPr>
        <w:t>other grounds of admissibility</w:t>
      </w:r>
      <w:r w:rsidR="004B27BC" w:rsidRPr="006D6B01">
        <w:rPr>
          <w:rFonts w:asciiTheme="majorHAnsi" w:hAnsiTheme="majorHAnsi"/>
          <w:sz w:val="20"/>
          <w:szCs w:val="20"/>
        </w:rPr>
        <w:t xml:space="preserve">, namely the duplication of procedures and the existence of a colorable claim, </w:t>
      </w:r>
      <w:r w:rsidR="00B352E4">
        <w:rPr>
          <w:rFonts w:asciiTheme="majorHAnsi" w:hAnsiTheme="majorHAnsi"/>
          <w:sz w:val="20"/>
          <w:szCs w:val="20"/>
        </w:rPr>
        <w:t xml:space="preserve">are also applicable </w:t>
      </w:r>
      <w:r w:rsidR="004B27BC" w:rsidRPr="006D6B01">
        <w:rPr>
          <w:rFonts w:asciiTheme="majorHAnsi" w:hAnsiTheme="majorHAnsi"/>
          <w:sz w:val="20"/>
          <w:szCs w:val="20"/>
        </w:rPr>
        <w:t xml:space="preserve">to </w:t>
      </w:r>
      <w:r w:rsidR="00393AF4" w:rsidRPr="006D6B01">
        <w:rPr>
          <w:rFonts w:asciiTheme="majorHAnsi" w:hAnsiTheme="majorHAnsi"/>
          <w:sz w:val="20"/>
          <w:szCs w:val="20"/>
        </w:rPr>
        <w:t>the second petition</w:t>
      </w:r>
      <w:r w:rsidR="004B27BC" w:rsidRPr="006D6B01">
        <w:rPr>
          <w:rFonts w:asciiTheme="majorHAnsi" w:hAnsiTheme="majorHAnsi"/>
          <w:sz w:val="20"/>
          <w:szCs w:val="20"/>
        </w:rPr>
        <w:t xml:space="preserve">. In this sense, the pending admissibility analysis in relation to the second petition is circumscribed to the exhaustion of domestic remedies and the timeliness of the petition. </w:t>
      </w:r>
    </w:p>
    <w:p w14:paraId="568804A4" w14:textId="77777777" w:rsidR="00063C93" w:rsidRPr="006D6B01" w:rsidRDefault="00063C93" w:rsidP="004311F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p>
    <w:p w14:paraId="3B26D8BA" w14:textId="77777777" w:rsidR="002A5D6D" w:rsidRPr="006D6B01" w:rsidRDefault="0017120B"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6D6B01">
        <w:rPr>
          <w:rFonts w:asciiTheme="majorHAnsi" w:hAnsiTheme="majorHAnsi"/>
          <w:sz w:val="20"/>
          <w:szCs w:val="20"/>
        </w:rPr>
        <w:t>In</w:t>
      </w:r>
      <w:r w:rsidR="004B27BC" w:rsidRPr="006D6B01">
        <w:rPr>
          <w:rFonts w:asciiTheme="majorHAnsi" w:hAnsiTheme="majorHAnsi"/>
          <w:sz w:val="20"/>
          <w:szCs w:val="20"/>
        </w:rPr>
        <w:t xml:space="preserve"> Admissibility Report No. 6/02 the Commission</w:t>
      </w:r>
      <w:r w:rsidR="002A5D6D" w:rsidRPr="006D6B01">
        <w:rPr>
          <w:rFonts w:asciiTheme="majorHAnsi" w:hAnsiTheme="majorHAnsi"/>
          <w:sz w:val="20"/>
          <w:szCs w:val="20"/>
        </w:rPr>
        <w:t xml:space="preserve"> decided to join the issue of exhaustion of domestic remedies and the timeliness of the petition to the merits of the case. The Commission finds that the center of </w:t>
      </w:r>
      <w:r w:rsidR="00852328" w:rsidRPr="006D6B01">
        <w:rPr>
          <w:rFonts w:asciiTheme="majorHAnsi" w:hAnsiTheme="majorHAnsi"/>
          <w:sz w:val="20"/>
          <w:szCs w:val="20"/>
        </w:rPr>
        <w:t xml:space="preserve">the </w:t>
      </w:r>
      <w:r w:rsidR="002A5D6D" w:rsidRPr="006D6B01">
        <w:rPr>
          <w:rFonts w:asciiTheme="majorHAnsi" w:hAnsiTheme="majorHAnsi"/>
          <w:sz w:val="20"/>
          <w:szCs w:val="20"/>
        </w:rPr>
        <w:t xml:space="preserve">controversy </w:t>
      </w:r>
      <w:r w:rsidRPr="006D6B01">
        <w:rPr>
          <w:rFonts w:asciiTheme="majorHAnsi" w:hAnsiTheme="majorHAnsi"/>
          <w:sz w:val="20"/>
          <w:szCs w:val="20"/>
        </w:rPr>
        <w:t>is</w:t>
      </w:r>
      <w:r w:rsidR="002A5D6D" w:rsidRPr="006D6B01">
        <w:rPr>
          <w:rFonts w:asciiTheme="majorHAnsi" w:hAnsiTheme="majorHAnsi"/>
          <w:sz w:val="20"/>
          <w:szCs w:val="20"/>
        </w:rPr>
        <w:t xml:space="preserve"> the </w:t>
      </w:r>
      <w:r w:rsidR="006A09E0" w:rsidRPr="006D6B01">
        <w:rPr>
          <w:rFonts w:asciiTheme="majorHAnsi" w:hAnsiTheme="majorHAnsi"/>
          <w:sz w:val="20"/>
          <w:szCs w:val="20"/>
        </w:rPr>
        <w:t xml:space="preserve">alleged victims’ </w:t>
      </w:r>
      <w:r w:rsidR="002A5D6D" w:rsidRPr="006D6B01">
        <w:rPr>
          <w:rFonts w:asciiTheme="majorHAnsi" w:hAnsiTheme="majorHAnsi"/>
          <w:sz w:val="20"/>
          <w:szCs w:val="20"/>
        </w:rPr>
        <w:t xml:space="preserve">access to </w:t>
      </w:r>
      <w:r w:rsidRPr="006D6B01">
        <w:rPr>
          <w:rFonts w:asciiTheme="majorHAnsi" w:hAnsiTheme="majorHAnsi"/>
          <w:sz w:val="20"/>
          <w:szCs w:val="20"/>
        </w:rPr>
        <w:t xml:space="preserve">refugee status determination </w:t>
      </w:r>
      <w:r w:rsidR="009352EA" w:rsidRPr="006D6B01">
        <w:rPr>
          <w:rFonts w:asciiTheme="majorHAnsi" w:hAnsiTheme="majorHAnsi"/>
          <w:sz w:val="20"/>
          <w:szCs w:val="20"/>
        </w:rPr>
        <w:t>procedures in The Bahamas, which closely relates to the analysis of the exhaustion of domestic remedies</w:t>
      </w:r>
      <w:r w:rsidR="00AC622D" w:rsidRPr="006D6B01">
        <w:rPr>
          <w:rFonts w:asciiTheme="majorHAnsi" w:hAnsiTheme="majorHAnsi"/>
          <w:sz w:val="20"/>
          <w:szCs w:val="20"/>
        </w:rPr>
        <w:t xml:space="preserve"> in both the first and second petitions</w:t>
      </w:r>
      <w:r w:rsidR="009352EA" w:rsidRPr="006D6B01">
        <w:rPr>
          <w:rFonts w:asciiTheme="majorHAnsi" w:hAnsiTheme="majorHAnsi"/>
          <w:sz w:val="20"/>
          <w:szCs w:val="20"/>
        </w:rPr>
        <w:t xml:space="preserve">. Owing to this and the similarity of the </w:t>
      </w:r>
      <w:r w:rsidR="002A5D6D" w:rsidRPr="006D6B01">
        <w:rPr>
          <w:rFonts w:asciiTheme="majorHAnsi" w:hAnsiTheme="majorHAnsi"/>
          <w:sz w:val="20"/>
          <w:szCs w:val="20"/>
        </w:rPr>
        <w:t xml:space="preserve">facts to be considered in </w:t>
      </w:r>
      <w:r w:rsidR="006A09E0" w:rsidRPr="006D6B01">
        <w:rPr>
          <w:rFonts w:asciiTheme="majorHAnsi" w:hAnsiTheme="majorHAnsi"/>
          <w:sz w:val="20"/>
          <w:szCs w:val="20"/>
        </w:rPr>
        <w:t>the</w:t>
      </w:r>
      <w:r w:rsidR="002A5D6D" w:rsidRPr="006D6B01">
        <w:rPr>
          <w:rFonts w:asciiTheme="majorHAnsi" w:hAnsiTheme="majorHAnsi"/>
          <w:sz w:val="20"/>
          <w:szCs w:val="20"/>
        </w:rPr>
        <w:t xml:space="preserve"> second admissibility analysis, the Commission will address this matter in the analysis of law section</w:t>
      </w:r>
      <w:r w:rsidR="009352EA" w:rsidRPr="006D6B01">
        <w:rPr>
          <w:rFonts w:asciiTheme="majorHAnsi" w:hAnsiTheme="majorHAnsi"/>
          <w:sz w:val="20"/>
          <w:szCs w:val="20"/>
        </w:rPr>
        <w:t xml:space="preserve"> following the reasoning in the aforementioned admissibility report</w:t>
      </w:r>
      <w:r w:rsidR="002A5D6D" w:rsidRPr="006D6B01">
        <w:rPr>
          <w:rFonts w:asciiTheme="majorHAnsi" w:hAnsiTheme="majorHAnsi"/>
          <w:sz w:val="20"/>
          <w:szCs w:val="20"/>
        </w:rPr>
        <w:t>.</w:t>
      </w:r>
    </w:p>
    <w:p w14:paraId="5C55268B" w14:textId="77777777" w:rsidR="000367AF" w:rsidRPr="006D6B01" w:rsidRDefault="000367AF" w:rsidP="004311FE">
      <w:pPr>
        <w:tabs>
          <w:tab w:val="left" w:pos="360"/>
        </w:tabs>
        <w:rPr>
          <w:rFonts w:asciiTheme="majorHAnsi" w:hAnsiTheme="majorHAnsi"/>
          <w:sz w:val="20"/>
          <w:szCs w:val="20"/>
        </w:rPr>
      </w:pPr>
    </w:p>
    <w:p w14:paraId="49B48D91" w14:textId="77777777" w:rsidR="00DF55B4" w:rsidRPr="006D6B01" w:rsidRDefault="003D4E2B"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6D6B01">
        <w:rPr>
          <w:rFonts w:asciiTheme="majorHAnsi" w:hAnsiTheme="majorHAnsi"/>
          <w:sz w:val="20"/>
          <w:szCs w:val="20"/>
        </w:rPr>
        <w:t>Accordingly, t</w:t>
      </w:r>
      <w:r w:rsidR="00DF55B4" w:rsidRPr="006D6B01">
        <w:rPr>
          <w:rFonts w:asciiTheme="majorHAnsi" w:hAnsiTheme="majorHAnsi"/>
          <w:sz w:val="20"/>
          <w:szCs w:val="20"/>
        </w:rPr>
        <w:t xml:space="preserve">he Commission </w:t>
      </w:r>
      <w:r w:rsidR="000367AF" w:rsidRPr="006D6B01">
        <w:rPr>
          <w:rFonts w:asciiTheme="majorHAnsi" w:hAnsiTheme="majorHAnsi"/>
          <w:sz w:val="20"/>
          <w:szCs w:val="20"/>
        </w:rPr>
        <w:t>declare</w:t>
      </w:r>
      <w:r w:rsidRPr="006D6B01">
        <w:rPr>
          <w:rFonts w:asciiTheme="majorHAnsi" w:hAnsiTheme="majorHAnsi"/>
          <w:sz w:val="20"/>
          <w:szCs w:val="20"/>
        </w:rPr>
        <w:t>s</w:t>
      </w:r>
      <w:r w:rsidR="000367AF" w:rsidRPr="006D6B01">
        <w:rPr>
          <w:rFonts w:asciiTheme="majorHAnsi" w:hAnsiTheme="majorHAnsi"/>
          <w:sz w:val="20"/>
          <w:szCs w:val="20"/>
        </w:rPr>
        <w:t xml:space="preserve"> that the second petition is admissible with respect to the </w:t>
      </w:r>
      <w:r w:rsidR="0017120B" w:rsidRPr="006D6B01">
        <w:rPr>
          <w:rFonts w:asciiTheme="majorHAnsi" w:hAnsiTheme="majorHAnsi"/>
          <w:sz w:val="20"/>
          <w:szCs w:val="20"/>
        </w:rPr>
        <w:t>alleged</w:t>
      </w:r>
      <w:r w:rsidR="00AC622D" w:rsidRPr="006D6B01">
        <w:rPr>
          <w:rFonts w:asciiTheme="majorHAnsi" w:hAnsiTheme="majorHAnsi"/>
          <w:sz w:val="20"/>
          <w:szCs w:val="20"/>
        </w:rPr>
        <w:t xml:space="preserve"> violations of Articles I, II</w:t>
      </w:r>
      <w:r w:rsidR="000367AF" w:rsidRPr="006D6B01">
        <w:rPr>
          <w:rFonts w:asciiTheme="majorHAnsi" w:hAnsiTheme="majorHAnsi"/>
          <w:sz w:val="20"/>
          <w:szCs w:val="20"/>
        </w:rPr>
        <w:t xml:space="preserve">, V, VI, VII, XVII, XVIII, XXV, and XXVII of the American Declaration, and </w:t>
      </w:r>
      <w:r w:rsidR="00DF55B4" w:rsidRPr="006D6B01">
        <w:rPr>
          <w:rFonts w:asciiTheme="majorHAnsi" w:hAnsiTheme="majorHAnsi"/>
          <w:sz w:val="20"/>
          <w:szCs w:val="20"/>
        </w:rPr>
        <w:t>shall proceed</w:t>
      </w:r>
      <w:r w:rsidR="00AC622D" w:rsidRPr="006D6B01">
        <w:rPr>
          <w:rFonts w:asciiTheme="majorHAnsi" w:hAnsiTheme="majorHAnsi"/>
          <w:sz w:val="20"/>
          <w:szCs w:val="20"/>
        </w:rPr>
        <w:t xml:space="preserve"> to</w:t>
      </w:r>
      <w:r w:rsidR="00DF55B4" w:rsidRPr="006D6B01">
        <w:rPr>
          <w:rFonts w:asciiTheme="majorHAnsi" w:hAnsiTheme="majorHAnsi"/>
          <w:sz w:val="20"/>
          <w:szCs w:val="20"/>
        </w:rPr>
        <w:t xml:space="preserve"> its merits analysis including the 120 Cuban nationals and the 8 Haitian nationals initially identified, </w:t>
      </w:r>
      <w:r w:rsidR="004E6704" w:rsidRPr="006D6B01">
        <w:rPr>
          <w:rFonts w:asciiTheme="majorHAnsi" w:hAnsiTheme="majorHAnsi"/>
          <w:sz w:val="20"/>
          <w:szCs w:val="20"/>
        </w:rPr>
        <w:t xml:space="preserve">and the </w:t>
      </w:r>
      <w:r w:rsidR="00DF55B4" w:rsidRPr="006D6B01">
        <w:rPr>
          <w:rFonts w:asciiTheme="majorHAnsi" w:hAnsiTheme="majorHAnsi"/>
          <w:sz w:val="20"/>
          <w:szCs w:val="20"/>
        </w:rPr>
        <w:t xml:space="preserve">76 Cuban nationals and 119 Haitian nationals incorporated by the petitioners. </w:t>
      </w:r>
    </w:p>
    <w:p w14:paraId="2EA7E32C" w14:textId="77777777" w:rsidR="00DF55B4" w:rsidRPr="006D6B01" w:rsidRDefault="00DF55B4" w:rsidP="004311F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b/>
          <w:sz w:val="20"/>
          <w:szCs w:val="20"/>
        </w:rPr>
      </w:pPr>
    </w:p>
    <w:p w14:paraId="79C2CD3F" w14:textId="77777777" w:rsidR="00D12193" w:rsidRPr="006D6B01" w:rsidRDefault="001E28D1" w:rsidP="004311FE">
      <w:pPr>
        <w:pStyle w:val="Heading1"/>
        <w:tabs>
          <w:tab w:val="left" w:pos="360"/>
        </w:tabs>
        <w:ind w:left="0" w:firstLine="0"/>
      </w:pPr>
      <w:bookmarkStart w:id="7" w:name="_Toc90557402"/>
      <w:r w:rsidRPr="006D6B01">
        <w:t>FINDINGS OF FACT</w:t>
      </w:r>
      <w:bookmarkEnd w:id="7"/>
    </w:p>
    <w:p w14:paraId="4148E7EB" w14:textId="77777777" w:rsidR="004052BE" w:rsidRPr="006D6B01" w:rsidRDefault="004052BE" w:rsidP="004311F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Cambria" w:hAnsi="Cambria"/>
          <w:sz w:val="20"/>
          <w:szCs w:val="20"/>
        </w:rPr>
      </w:pPr>
    </w:p>
    <w:p w14:paraId="24F5E9EE" w14:textId="77777777" w:rsidR="00D33AB9" w:rsidRPr="006D6B01" w:rsidRDefault="00D33AB9" w:rsidP="004311FE">
      <w:pPr>
        <w:pStyle w:val="Heading2"/>
        <w:numPr>
          <w:ilvl w:val="0"/>
          <w:numId w:val="61"/>
        </w:numPr>
        <w:tabs>
          <w:tab w:val="left" w:pos="360"/>
        </w:tabs>
        <w:ind w:left="0" w:firstLine="0"/>
      </w:pPr>
      <w:bookmarkStart w:id="8" w:name="_Toc90557403"/>
      <w:proofErr w:type="spellStart"/>
      <w:r w:rsidRPr="006D6B01">
        <w:t>Context</w:t>
      </w:r>
      <w:bookmarkEnd w:id="8"/>
      <w:proofErr w:type="spellEnd"/>
    </w:p>
    <w:p w14:paraId="091C14D9" w14:textId="77777777" w:rsidR="00D33AB9" w:rsidRPr="006D6B01" w:rsidRDefault="00D33AB9" w:rsidP="004311F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Cambria" w:hAnsi="Cambria"/>
          <w:sz w:val="20"/>
          <w:szCs w:val="20"/>
        </w:rPr>
      </w:pPr>
    </w:p>
    <w:p w14:paraId="155883F4" w14:textId="77777777" w:rsidR="009F1955" w:rsidRPr="006D6B01" w:rsidRDefault="00C6490F"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6D6B01">
        <w:rPr>
          <w:rFonts w:ascii="Cambria" w:hAnsi="Cambria"/>
          <w:sz w:val="20"/>
          <w:szCs w:val="20"/>
        </w:rPr>
        <w:t xml:space="preserve">The Commission </w:t>
      </w:r>
      <w:r w:rsidR="00476C93" w:rsidRPr="006D6B01">
        <w:rPr>
          <w:rFonts w:ascii="Cambria" w:hAnsi="Cambria"/>
          <w:sz w:val="20"/>
          <w:szCs w:val="20"/>
        </w:rPr>
        <w:t>takes note</w:t>
      </w:r>
      <w:r w:rsidRPr="006D6B01">
        <w:rPr>
          <w:rFonts w:ascii="Cambria" w:hAnsi="Cambria"/>
          <w:sz w:val="20"/>
          <w:szCs w:val="20"/>
        </w:rPr>
        <w:t xml:space="preserve"> that</w:t>
      </w:r>
      <w:r w:rsidR="008F7754" w:rsidRPr="006D6B01">
        <w:rPr>
          <w:rFonts w:ascii="Cambria" w:hAnsi="Cambria"/>
          <w:sz w:val="20"/>
          <w:szCs w:val="20"/>
        </w:rPr>
        <w:t xml:space="preserve"> other</w:t>
      </w:r>
      <w:r w:rsidRPr="006D6B01">
        <w:rPr>
          <w:rFonts w:ascii="Cambria" w:hAnsi="Cambria"/>
          <w:sz w:val="20"/>
          <w:szCs w:val="20"/>
        </w:rPr>
        <w:t xml:space="preserve"> human rights </w:t>
      </w:r>
      <w:r w:rsidR="003E5724" w:rsidRPr="006D6B01">
        <w:rPr>
          <w:rFonts w:ascii="Cambria" w:hAnsi="Cambria"/>
          <w:sz w:val="20"/>
          <w:szCs w:val="20"/>
        </w:rPr>
        <w:t xml:space="preserve">treaty </w:t>
      </w:r>
      <w:r w:rsidRPr="006D6B01">
        <w:rPr>
          <w:rFonts w:ascii="Cambria" w:hAnsi="Cambria"/>
          <w:sz w:val="20"/>
          <w:szCs w:val="20"/>
        </w:rPr>
        <w:t xml:space="preserve">bodies have </w:t>
      </w:r>
      <w:r w:rsidR="006A31A6" w:rsidRPr="006D6B01">
        <w:rPr>
          <w:rFonts w:ascii="Cambria" w:hAnsi="Cambria"/>
          <w:sz w:val="20"/>
          <w:szCs w:val="20"/>
        </w:rPr>
        <w:t>addressed</w:t>
      </w:r>
      <w:r w:rsidR="00EB4738" w:rsidRPr="006D6B01">
        <w:rPr>
          <w:rFonts w:ascii="Cambria" w:hAnsi="Cambria"/>
          <w:sz w:val="20"/>
          <w:szCs w:val="20"/>
        </w:rPr>
        <w:t xml:space="preserve"> t</w:t>
      </w:r>
      <w:r w:rsidR="00BA4B3F" w:rsidRPr="006D6B01">
        <w:rPr>
          <w:rFonts w:ascii="Cambria" w:hAnsi="Cambria"/>
          <w:sz w:val="20"/>
          <w:szCs w:val="20"/>
        </w:rPr>
        <w:t xml:space="preserve">he long-standing </w:t>
      </w:r>
      <w:r w:rsidR="008A4C31" w:rsidRPr="006D6B01">
        <w:rPr>
          <w:rFonts w:ascii="Cambria" w:hAnsi="Cambria"/>
          <w:sz w:val="20"/>
          <w:szCs w:val="20"/>
        </w:rPr>
        <w:t xml:space="preserve">and structural problems associated with </w:t>
      </w:r>
      <w:r w:rsidR="00BA4B3F" w:rsidRPr="006D6B01">
        <w:rPr>
          <w:rFonts w:ascii="Cambria" w:hAnsi="Cambria"/>
          <w:sz w:val="20"/>
          <w:szCs w:val="20"/>
        </w:rPr>
        <w:t>T</w:t>
      </w:r>
      <w:r w:rsidR="007E6E94" w:rsidRPr="006D6B01">
        <w:rPr>
          <w:rFonts w:ascii="Cambria" w:hAnsi="Cambria"/>
          <w:sz w:val="20"/>
          <w:szCs w:val="20"/>
        </w:rPr>
        <w:t xml:space="preserve">he </w:t>
      </w:r>
      <w:r w:rsidR="00BA4B3F" w:rsidRPr="006D6B01">
        <w:rPr>
          <w:rFonts w:ascii="Cambria" w:hAnsi="Cambria"/>
          <w:sz w:val="20"/>
          <w:szCs w:val="20"/>
        </w:rPr>
        <w:t>Bahamas</w:t>
      </w:r>
      <w:r w:rsidR="007E6E94" w:rsidRPr="006D6B01">
        <w:rPr>
          <w:rFonts w:ascii="Cambria" w:hAnsi="Cambria"/>
          <w:sz w:val="20"/>
          <w:szCs w:val="20"/>
        </w:rPr>
        <w:t xml:space="preserve">’s approach </w:t>
      </w:r>
      <w:r w:rsidR="00EB4738" w:rsidRPr="006D6B01">
        <w:rPr>
          <w:rFonts w:ascii="Cambria" w:hAnsi="Cambria"/>
          <w:sz w:val="20"/>
          <w:szCs w:val="20"/>
        </w:rPr>
        <w:t xml:space="preserve">to its international obligations </w:t>
      </w:r>
      <w:r w:rsidR="00A04A91" w:rsidRPr="006D6B01">
        <w:rPr>
          <w:rFonts w:ascii="Cambria" w:hAnsi="Cambria"/>
          <w:sz w:val="20"/>
          <w:szCs w:val="20"/>
        </w:rPr>
        <w:t xml:space="preserve">flowing from the right to seek and receive </w:t>
      </w:r>
      <w:r w:rsidR="00EB4738" w:rsidRPr="006D6B01">
        <w:rPr>
          <w:rFonts w:ascii="Cambria" w:hAnsi="Cambria"/>
          <w:sz w:val="20"/>
          <w:szCs w:val="20"/>
        </w:rPr>
        <w:t>asylum</w:t>
      </w:r>
      <w:r w:rsidR="000B145E" w:rsidRPr="006D6B01">
        <w:rPr>
          <w:rFonts w:ascii="Cambria" w:hAnsi="Cambria"/>
          <w:sz w:val="20"/>
          <w:szCs w:val="20"/>
        </w:rPr>
        <w:t xml:space="preserve"> over the past three decades</w:t>
      </w:r>
      <w:r w:rsidR="00EB4738" w:rsidRPr="006D6B01">
        <w:rPr>
          <w:rFonts w:ascii="Cambria" w:hAnsi="Cambria"/>
          <w:sz w:val="20"/>
          <w:szCs w:val="20"/>
        </w:rPr>
        <w:t xml:space="preserve">, </w:t>
      </w:r>
      <w:r w:rsidR="007E6E94" w:rsidRPr="006D6B01">
        <w:rPr>
          <w:rFonts w:ascii="Cambria" w:hAnsi="Cambria"/>
          <w:sz w:val="20"/>
          <w:szCs w:val="20"/>
        </w:rPr>
        <w:t xml:space="preserve">and the </w:t>
      </w:r>
      <w:r w:rsidR="00AC7D5A" w:rsidRPr="006D6B01">
        <w:rPr>
          <w:rFonts w:ascii="Cambria" w:hAnsi="Cambria"/>
          <w:sz w:val="20"/>
          <w:szCs w:val="20"/>
        </w:rPr>
        <w:t xml:space="preserve">consistency of </w:t>
      </w:r>
      <w:r w:rsidR="00476C93" w:rsidRPr="006D6B01">
        <w:rPr>
          <w:rFonts w:ascii="Cambria" w:hAnsi="Cambria"/>
          <w:sz w:val="20"/>
          <w:szCs w:val="20"/>
        </w:rPr>
        <w:t xml:space="preserve">the </w:t>
      </w:r>
      <w:r w:rsidR="007E6E94" w:rsidRPr="006D6B01">
        <w:rPr>
          <w:rFonts w:ascii="Cambria" w:hAnsi="Cambria"/>
          <w:sz w:val="20"/>
          <w:szCs w:val="20"/>
        </w:rPr>
        <w:t>av</w:t>
      </w:r>
      <w:r w:rsidR="00A421DF" w:rsidRPr="006D6B01">
        <w:rPr>
          <w:rFonts w:ascii="Cambria" w:hAnsi="Cambria"/>
          <w:sz w:val="20"/>
          <w:szCs w:val="20"/>
        </w:rPr>
        <w:t xml:space="preserve">ailable legislative tools </w:t>
      </w:r>
      <w:r w:rsidR="008F7754" w:rsidRPr="006D6B01">
        <w:rPr>
          <w:rFonts w:ascii="Cambria" w:hAnsi="Cambria"/>
          <w:sz w:val="20"/>
          <w:szCs w:val="20"/>
        </w:rPr>
        <w:t>govern</w:t>
      </w:r>
      <w:r w:rsidR="005C7722" w:rsidRPr="006D6B01">
        <w:rPr>
          <w:rFonts w:ascii="Cambria" w:hAnsi="Cambria"/>
          <w:sz w:val="20"/>
          <w:szCs w:val="20"/>
        </w:rPr>
        <w:t>ing</w:t>
      </w:r>
      <w:r w:rsidR="008F7754" w:rsidRPr="006D6B01">
        <w:rPr>
          <w:rFonts w:ascii="Cambria" w:hAnsi="Cambria"/>
          <w:sz w:val="20"/>
          <w:szCs w:val="20"/>
        </w:rPr>
        <w:t xml:space="preserve"> </w:t>
      </w:r>
      <w:r w:rsidR="00BA4B3F" w:rsidRPr="006D6B01">
        <w:rPr>
          <w:rFonts w:ascii="Cambria" w:hAnsi="Cambria"/>
          <w:sz w:val="20"/>
          <w:szCs w:val="20"/>
        </w:rPr>
        <w:t xml:space="preserve">asylum-seekers’ </w:t>
      </w:r>
      <w:r w:rsidR="008F7754" w:rsidRPr="006D6B01">
        <w:rPr>
          <w:rFonts w:ascii="Cambria" w:hAnsi="Cambria"/>
          <w:sz w:val="20"/>
          <w:szCs w:val="20"/>
        </w:rPr>
        <w:t xml:space="preserve">access </w:t>
      </w:r>
      <w:r w:rsidR="00BA4B3F" w:rsidRPr="006D6B01">
        <w:rPr>
          <w:rFonts w:ascii="Cambria" w:hAnsi="Cambria"/>
          <w:sz w:val="20"/>
          <w:szCs w:val="20"/>
        </w:rPr>
        <w:t>to</w:t>
      </w:r>
      <w:r w:rsidR="008F7754" w:rsidRPr="006D6B01">
        <w:rPr>
          <w:rFonts w:ascii="Cambria" w:hAnsi="Cambria"/>
          <w:sz w:val="20"/>
          <w:szCs w:val="20"/>
        </w:rPr>
        <w:t xml:space="preserve"> international protection</w:t>
      </w:r>
      <w:r w:rsidR="00BA4B3F" w:rsidRPr="006D6B01">
        <w:rPr>
          <w:rFonts w:ascii="Cambria" w:hAnsi="Cambria"/>
          <w:sz w:val="20"/>
          <w:szCs w:val="20"/>
        </w:rPr>
        <w:t xml:space="preserve"> in The Bahamas</w:t>
      </w:r>
      <w:r w:rsidR="008F7754" w:rsidRPr="006D6B01">
        <w:rPr>
          <w:rFonts w:ascii="Cambria" w:hAnsi="Cambria"/>
          <w:sz w:val="20"/>
          <w:szCs w:val="20"/>
        </w:rPr>
        <w:t xml:space="preserve">. </w:t>
      </w:r>
      <w:r w:rsidR="009F1955" w:rsidRPr="006D6B01">
        <w:rPr>
          <w:rFonts w:asciiTheme="majorHAnsi" w:hAnsiTheme="majorHAnsi"/>
          <w:sz w:val="20"/>
          <w:szCs w:val="20"/>
        </w:rPr>
        <w:t xml:space="preserve">In this sense, the Commission notes the absence of domestic legislation regulating refugee status determination in the State and the existence of bilateral agreements between the State, Cuba, and Haiti facilitating the expedited removal of irregular migrants from these countries since the 1990s. It also recognizes that this situation has raised concerns amongst human rights treaty bodies, which have highlighted the importance of and encouraged the State to adopt national refugee legislation to fill gaps in the identification and protection of refugees and provide a sufficient guarantee against </w:t>
      </w:r>
      <w:r w:rsidR="009F1955" w:rsidRPr="006D6B01">
        <w:rPr>
          <w:rFonts w:asciiTheme="majorHAnsi" w:hAnsiTheme="majorHAnsi"/>
          <w:i/>
          <w:sz w:val="20"/>
          <w:szCs w:val="20"/>
        </w:rPr>
        <w:t>refoulement</w:t>
      </w:r>
      <w:r w:rsidR="009F1955" w:rsidRPr="006D6B01">
        <w:rPr>
          <w:rFonts w:asciiTheme="majorHAnsi" w:hAnsiTheme="majorHAnsi"/>
          <w:sz w:val="20"/>
          <w:szCs w:val="20"/>
        </w:rPr>
        <w:t xml:space="preserve"> as explained bellow.</w:t>
      </w:r>
    </w:p>
    <w:p w14:paraId="7FCAE72D" w14:textId="77777777" w:rsidR="00C54EBB" w:rsidRPr="006D6B01" w:rsidRDefault="00C54EBB" w:rsidP="004311F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p>
    <w:p w14:paraId="2613AAC0" w14:textId="77777777" w:rsidR="00316A66" w:rsidRPr="006D6B01" w:rsidRDefault="00BA4B3F"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6D6B01">
        <w:rPr>
          <w:rFonts w:asciiTheme="majorHAnsi" w:hAnsiTheme="majorHAnsi"/>
          <w:sz w:val="20"/>
          <w:szCs w:val="20"/>
        </w:rPr>
        <w:t>The UNHCR has observed that d</w:t>
      </w:r>
      <w:r w:rsidR="004052BE" w:rsidRPr="006D6B01">
        <w:rPr>
          <w:rFonts w:asciiTheme="majorHAnsi" w:hAnsiTheme="majorHAnsi"/>
          <w:sz w:val="20"/>
          <w:szCs w:val="20"/>
        </w:rPr>
        <w:t xml:space="preserve">espite its accession to the 1951 UN Convention relating to the Status of Refugees and </w:t>
      </w:r>
      <w:r w:rsidR="006A31A6" w:rsidRPr="006D6B01">
        <w:rPr>
          <w:rFonts w:asciiTheme="majorHAnsi" w:hAnsiTheme="majorHAnsi"/>
          <w:sz w:val="20"/>
          <w:szCs w:val="20"/>
        </w:rPr>
        <w:t xml:space="preserve">its </w:t>
      </w:r>
      <w:r w:rsidR="004052BE" w:rsidRPr="006D6B01">
        <w:rPr>
          <w:rFonts w:asciiTheme="majorHAnsi" w:hAnsiTheme="majorHAnsi"/>
          <w:sz w:val="20"/>
          <w:szCs w:val="20"/>
        </w:rPr>
        <w:t xml:space="preserve">1967 Protocol </w:t>
      </w:r>
      <w:r w:rsidR="001864E6" w:rsidRPr="006D6B01">
        <w:rPr>
          <w:rFonts w:asciiTheme="majorHAnsi" w:hAnsiTheme="majorHAnsi"/>
          <w:sz w:val="20"/>
          <w:szCs w:val="20"/>
        </w:rPr>
        <w:t>in 1993, T</w:t>
      </w:r>
      <w:r w:rsidR="004052BE" w:rsidRPr="006D6B01">
        <w:rPr>
          <w:rFonts w:asciiTheme="majorHAnsi" w:hAnsiTheme="majorHAnsi"/>
          <w:sz w:val="20"/>
          <w:szCs w:val="20"/>
        </w:rPr>
        <w:t xml:space="preserve">he Bahamas has </w:t>
      </w:r>
      <w:r w:rsidR="001864E6" w:rsidRPr="006D6B01">
        <w:rPr>
          <w:rFonts w:asciiTheme="majorHAnsi" w:hAnsiTheme="majorHAnsi"/>
          <w:sz w:val="20"/>
          <w:szCs w:val="20"/>
        </w:rPr>
        <w:t xml:space="preserve">“no refugee legislation and no regulatory framework to implement its obligations under </w:t>
      </w:r>
      <w:r w:rsidR="008114FA" w:rsidRPr="006D6B01">
        <w:rPr>
          <w:rFonts w:asciiTheme="majorHAnsi" w:hAnsiTheme="majorHAnsi"/>
          <w:sz w:val="20"/>
          <w:szCs w:val="20"/>
        </w:rPr>
        <w:t>the 1951 Convention</w:t>
      </w:r>
      <w:r w:rsidR="001864E6" w:rsidRPr="006D6B01">
        <w:rPr>
          <w:rFonts w:asciiTheme="majorHAnsi" w:hAnsiTheme="majorHAnsi"/>
          <w:sz w:val="20"/>
          <w:szCs w:val="20"/>
        </w:rPr>
        <w:t>”.</w:t>
      </w:r>
      <w:r w:rsidR="001864E6" w:rsidRPr="006D6B01">
        <w:rPr>
          <w:rStyle w:val="FootnoteReference"/>
          <w:rFonts w:asciiTheme="majorHAnsi" w:hAnsiTheme="majorHAnsi"/>
          <w:sz w:val="20"/>
          <w:szCs w:val="20"/>
        </w:rPr>
        <w:footnoteReference w:id="7"/>
      </w:r>
      <w:r w:rsidR="001864E6" w:rsidRPr="006D6B01">
        <w:rPr>
          <w:rFonts w:asciiTheme="majorHAnsi" w:hAnsiTheme="majorHAnsi"/>
          <w:sz w:val="20"/>
          <w:szCs w:val="20"/>
        </w:rPr>
        <w:t xml:space="preserve"> </w:t>
      </w:r>
      <w:r w:rsidR="006A31A6" w:rsidRPr="006D6B01">
        <w:rPr>
          <w:rFonts w:asciiTheme="majorHAnsi" w:hAnsiTheme="majorHAnsi"/>
          <w:sz w:val="20"/>
          <w:szCs w:val="20"/>
        </w:rPr>
        <w:t>Thus</w:t>
      </w:r>
      <w:r w:rsidR="001864E6" w:rsidRPr="006D6B01">
        <w:rPr>
          <w:rFonts w:asciiTheme="majorHAnsi" w:hAnsiTheme="majorHAnsi"/>
          <w:sz w:val="20"/>
          <w:szCs w:val="20"/>
        </w:rPr>
        <w:t xml:space="preserve">, “the Government treats asylum seekers and refugees on an </w:t>
      </w:r>
      <w:r w:rsidR="001864E6" w:rsidRPr="006D6B01">
        <w:rPr>
          <w:rFonts w:asciiTheme="majorHAnsi" w:hAnsiTheme="majorHAnsi"/>
          <w:i/>
          <w:sz w:val="20"/>
          <w:szCs w:val="20"/>
        </w:rPr>
        <w:t>ad hoc</w:t>
      </w:r>
      <w:r w:rsidR="001864E6" w:rsidRPr="006D6B01">
        <w:rPr>
          <w:rFonts w:asciiTheme="majorHAnsi" w:hAnsiTheme="majorHAnsi"/>
          <w:sz w:val="20"/>
          <w:szCs w:val="20"/>
        </w:rPr>
        <w:t xml:space="preserve"> basis, with</w:t>
      </w:r>
      <w:r w:rsidR="003B7FBD" w:rsidRPr="006D6B01">
        <w:rPr>
          <w:rFonts w:asciiTheme="majorHAnsi" w:hAnsiTheme="majorHAnsi"/>
          <w:sz w:val="20"/>
          <w:szCs w:val="20"/>
        </w:rPr>
        <w:t xml:space="preserve"> no access to judicial remedies</w:t>
      </w:r>
      <w:r w:rsidR="001864E6" w:rsidRPr="006D6B01">
        <w:rPr>
          <w:rFonts w:asciiTheme="majorHAnsi" w:hAnsiTheme="majorHAnsi"/>
          <w:sz w:val="20"/>
          <w:szCs w:val="20"/>
        </w:rPr>
        <w:t>”</w:t>
      </w:r>
      <w:r w:rsidR="003B7FBD" w:rsidRPr="006D6B01">
        <w:rPr>
          <w:rFonts w:asciiTheme="majorHAnsi" w:hAnsiTheme="majorHAnsi"/>
          <w:sz w:val="20"/>
          <w:szCs w:val="20"/>
        </w:rPr>
        <w:t>.</w:t>
      </w:r>
      <w:r w:rsidR="001864E6" w:rsidRPr="006D6B01">
        <w:rPr>
          <w:rStyle w:val="FootnoteReference"/>
          <w:rFonts w:asciiTheme="majorHAnsi" w:hAnsiTheme="majorHAnsi"/>
          <w:sz w:val="20"/>
          <w:szCs w:val="20"/>
        </w:rPr>
        <w:footnoteReference w:id="8"/>
      </w:r>
      <w:r w:rsidR="003B7FBD" w:rsidRPr="006D6B01">
        <w:rPr>
          <w:rFonts w:asciiTheme="majorHAnsi" w:hAnsiTheme="majorHAnsi"/>
          <w:sz w:val="20"/>
          <w:szCs w:val="20"/>
        </w:rPr>
        <w:t xml:space="preserve"> </w:t>
      </w:r>
      <w:r w:rsidR="0073199F" w:rsidRPr="006D6B01">
        <w:rPr>
          <w:rFonts w:asciiTheme="majorHAnsi" w:hAnsiTheme="majorHAnsi"/>
          <w:sz w:val="20"/>
          <w:szCs w:val="20"/>
        </w:rPr>
        <w:t xml:space="preserve">Furthermore, “applications for political </w:t>
      </w:r>
      <w:r w:rsidR="0073199F" w:rsidRPr="006D6B01">
        <w:rPr>
          <w:rFonts w:asciiTheme="majorHAnsi" w:hAnsiTheme="majorHAnsi"/>
          <w:sz w:val="20"/>
          <w:szCs w:val="20"/>
        </w:rPr>
        <w:lastRenderedPageBreak/>
        <w:t>asylum are supposed to be adjudicated on a case-by-case basis at the cabinet level</w:t>
      </w:r>
      <w:r w:rsidR="004E6704" w:rsidRPr="006D6B01">
        <w:rPr>
          <w:rFonts w:asciiTheme="majorHAnsi" w:hAnsiTheme="majorHAnsi"/>
          <w:sz w:val="20"/>
          <w:szCs w:val="20"/>
        </w:rPr>
        <w:t>”</w:t>
      </w:r>
      <w:r w:rsidR="0073199F" w:rsidRPr="006D6B01">
        <w:rPr>
          <w:rStyle w:val="FootnoteReference"/>
          <w:rFonts w:asciiTheme="majorHAnsi" w:hAnsiTheme="majorHAnsi"/>
          <w:sz w:val="20"/>
          <w:szCs w:val="20"/>
        </w:rPr>
        <w:footnoteReference w:id="9"/>
      </w:r>
      <w:r w:rsidR="004E6704" w:rsidRPr="006D6B01">
        <w:rPr>
          <w:rFonts w:asciiTheme="majorHAnsi" w:hAnsiTheme="majorHAnsi"/>
          <w:sz w:val="20"/>
          <w:szCs w:val="20"/>
        </w:rPr>
        <w:t xml:space="preserve"> of government.</w:t>
      </w:r>
      <w:r w:rsidR="0073199F" w:rsidRPr="006D6B01">
        <w:rPr>
          <w:rFonts w:asciiTheme="majorHAnsi" w:hAnsiTheme="majorHAnsi"/>
          <w:sz w:val="20"/>
          <w:szCs w:val="20"/>
        </w:rPr>
        <w:t xml:space="preserve"> </w:t>
      </w:r>
      <w:r w:rsidR="00170340" w:rsidRPr="006D6B01">
        <w:rPr>
          <w:rFonts w:asciiTheme="majorHAnsi" w:hAnsiTheme="majorHAnsi"/>
          <w:sz w:val="20"/>
          <w:szCs w:val="20"/>
        </w:rPr>
        <w:t>Th</w:t>
      </w:r>
      <w:r w:rsidR="0073199F" w:rsidRPr="006D6B01">
        <w:rPr>
          <w:rFonts w:asciiTheme="majorHAnsi" w:hAnsiTheme="majorHAnsi"/>
          <w:sz w:val="20"/>
          <w:szCs w:val="20"/>
        </w:rPr>
        <w:t>e</w:t>
      </w:r>
      <w:r w:rsidR="00170340" w:rsidRPr="006D6B01">
        <w:rPr>
          <w:rFonts w:asciiTheme="majorHAnsi" w:hAnsiTheme="majorHAnsi"/>
          <w:sz w:val="20"/>
          <w:szCs w:val="20"/>
        </w:rPr>
        <w:t xml:space="preserve"> “lack of legislation or regulations gov</w:t>
      </w:r>
      <w:r w:rsidR="00DD0217" w:rsidRPr="006D6B01">
        <w:rPr>
          <w:rFonts w:asciiTheme="majorHAnsi" w:hAnsiTheme="majorHAnsi"/>
          <w:sz w:val="20"/>
          <w:szCs w:val="20"/>
        </w:rPr>
        <w:t>erning asylum</w:t>
      </w:r>
      <w:r w:rsidR="0013515F" w:rsidRPr="006D6B01">
        <w:rPr>
          <w:rFonts w:asciiTheme="majorHAnsi" w:hAnsiTheme="majorHAnsi"/>
          <w:sz w:val="20"/>
          <w:szCs w:val="20"/>
        </w:rPr>
        <w:t xml:space="preserve"> (</w:t>
      </w:r>
      <w:r w:rsidR="00DD0217" w:rsidRPr="006D6B01">
        <w:rPr>
          <w:rFonts w:asciiTheme="majorHAnsi" w:hAnsiTheme="majorHAnsi"/>
          <w:sz w:val="20"/>
          <w:szCs w:val="20"/>
        </w:rPr>
        <w:t>…</w:t>
      </w:r>
      <w:r w:rsidR="0013515F" w:rsidRPr="006D6B01">
        <w:rPr>
          <w:rFonts w:asciiTheme="majorHAnsi" w:hAnsiTheme="majorHAnsi"/>
          <w:sz w:val="20"/>
          <w:szCs w:val="20"/>
        </w:rPr>
        <w:t xml:space="preserve">) </w:t>
      </w:r>
      <w:r w:rsidR="00170340" w:rsidRPr="006D6B01">
        <w:rPr>
          <w:rFonts w:asciiTheme="majorHAnsi" w:hAnsiTheme="majorHAnsi"/>
          <w:sz w:val="20"/>
          <w:szCs w:val="20"/>
        </w:rPr>
        <w:t xml:space="preserve">results in significant gaps in the identification and protection of refugees, and insufficient guarantees against </w:t>
      </w:r>
      <w:r w:rsidR="00170340" w:rsidRPr="006D6B01">
        <w:rPr>
          <w:rFonts w:asciiTheme="majorHAnsi" w:hAnsiTheme="majorHAnsi"/>
          <w:i/>
          <w:sz w:val="20"/>
          <w:szCs w:val="20"/>
        </w:rPr>
        <w:t>refoulement</w:t>
      </w:r>
      <w:r w:rsidR="00170340" w:rsidRPr="006D6B01">
        <w:rPr>
          <w:rFonts w:asciiTheme="majorHAnsi" w:hAnsiTheme="majorHAnsi"/>
          <w:sz w:val="20"/>
          <w:szCs w:val="20"/>
        </w:rPr>
        <w:t>”.</w:t>
      </w:r>
      <w:r w:rsidR="00170340" w:rsidRPr="006D6B01">
        <w:rPr>
          <w:rStyle w:val="FootnoteReference"/>
          <w:rFonts w:asciiTheme="majorHAnsi" w:hAnsiTheme="majorHAnsi"/>
          <w:sz w:val="20"/>
          <w:szCs w:val="20"/>
        </w:rPr>
        <w:footnoteReference w:id="10"/>
      </w:r>
    </w:p>
    <w:p w14:paraId="5B8A55E6" w14:textId="77777777" w:rsidR="00316A66" w:rsidRPr="006D6B01" w:rsidRDefault="00316A66" w:rsidP="004311F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p>
    <w:p w14:paraId="650E43B3" w14:textId="77777777" w:rsidR="008114FA" w:rsidRPr="006D6B01" w:rsidRDefault="00462057"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6D6B01">
        <w:rPr>
          <w:rFonts w:asciiTheme="majorHAnsi" w:hAnsiTheme="majorHAnsi"/>
          <w:sz w:val="20"/>
          <w:szCs w:val="20"/>
        </w:rPr>
        <w:t xml:space="preserve">The </w:t>
      </w:r>
      <w:r w:rsidR="00805F8A" w:rsidRPr="006D6B01">
        <w:rPr>
          <w:rFonts w:asciiTheme="majorHAnsi" w:hAnsiTheme="majorHAnsi"/>
          <w:sz w:val="20"/>
          <w:szCs w:val="20"/>
        </w:rPr>
        <w:t xml:space="preserve">UNHCR </w:t>
      </w:r>
      <w:r w:rsidR="00BA4B3F" w:rsidRPr="006D6B01">
        <w:rPr>
          <w:rFonts w:asciiTheme="majorHAnsi" w:hAnsiTheme="majorHAnsi"/>
          <w:sz w:val="20"/>
          <w:szCs w:val="20"/>
        </w:rPr>
        <w:t xml:space="preserve">has </w:t>
      </w:r>
      <w:r w:rsidRPr="006D6B01">
        <w:rPr>
          <w:rFonts w:asciiTheme="majorHAnsi" w:hAnsiTheme="majorHAnsi"/>
          <w:sz w:val="20"/>
          <w:szCs w:val="20"/>
        </w:rPr>
        <w:t>id</w:t>
      </w:r>
      <w:r w:rsidR="00805F8A" w:rsidRPr="006D6B01">
        <w:rPr>
          <w:rFonts w:asciiTheme="majorHAnsi" w:hAnsiTheme="majorHAnsi"/>
          <w:sz w:val="20"/>
          <w:szCs w:val="20"/>
        </w:rPr>
        <w:t>entified</w:t>
      </w:r>
      <w:r w:rsidR="002F2C58" w:rsidRPr="006D6B01">
        <w:rPr>
          <w:rFonts w:asciiTheme="majorHAnsi" w:hAnsiTheme="majorHAnsi"/>
          <w:sz w:val="20"/>
          <w:szCs w:val="20"/>
        </w:rPr>
        <w:t xml:space="preserve"> the presence of “complex mixed migration flows”</w:t>
      </w:r>
      <w:r w:rsidR="002F2C58" w:rsidRPr="006D6B01">
        <w:rPr>
          <w:rStyle w:val="FootnoteReference"/>
          <w:rFonts w:asciiTheme="majorHAnsi" w:hAnsiTheme="majorHAnsi"/>
          <w:sz w:val="20"/>
          <w:szCs w:val="20"/>
        </w:rPr>
        <w:footnoteReference w:id="11"/>
      </w:r>
      <w:r w:rsidR="002F2C58" w:rsidRPr="006D6B01">
        <w:rPr>
          <w:rFonts w:asciiTheme="majorHAnsi" w:hAnsiTheme="majorHAnsi"/>
          <w:sz w:val="20"/>
          <w:szCs w:val="20"/>
        </w:rPr>
        <w:t xml:space="preserve"> and</w:t>
      </w:r>
      <w:r w:rsidR="00805F8A" w:rsidRPr="006D6B01">
        <w:rPr>
          <w:rFonts w:asciiTheme="majorHAnsi" w:hAnsiTheme="majorHAnsi"/>
          <w:sz w:val="20"/>
          <w:szCs w:val="20"/>
        </w:rPr>
        <w:t xml:space="preserve"> </w:t>
      </w:r>
      <w:r w:rsidR="0011311B" w:rsidRPr="006D6B01">
        <w:rPr>
          <w:rFonts w:asciiTheme="majorHAnsi" w:hAnsiTheme="majorHAnsi"/>
          <w:sz w:val="20"/>
          <w:szCs w:val="20"/>
        </w:rPr>
        <w:t xml:space="preserve">“the sheer volume of irregular migration through the extensive maritime territory of The Bahamas, </w:t>
      </w:r>
      <w:r w:rsidR="00A1577A" w:rsidRPr="006D6B01">
        <w:rPr>
          <w:rFonts w:asciiTheme="majorHAnsi" w:hAnsiTheme="majorHAnsi"/>
          <w:sz w:val="20"/>
          <w:szCs w:val="20"/>
        </w:rPr>
        <w:t>[</w:t>
      </w:r>
      <w:r w:rsidR="00805F8A" w:rsidRPr="006D6B01">
        <w:rPr>
          <w:rFonts w:asciiTheme="majorHAnsi" w:hAnsiTheme="majorHAnsi"/>
          <w:sz w:val="20"/>
          <w:szCs w:val="20"/>
        </w:rPr>
        <w:t>as making</w:t>
      </w:r>
      <w:r w:rsidR="00A1577A" w:rsidRPr="006D6B01">
        <w:rPr>
          <w:rFonts w:asciiTheme="majorHAnsi" w:hAnsiTheme="majorHAnsi"/>
          <w:sz w:val="20"/>
          <w:szCs w:val="20"/>
        </w:rPr>
        <w:t xml:space="preserve">] </w:t>
      </w:r>
      <w:r w:rsidR="0011311B" w:rsidRPr="006D6B01">
        <w:rPr>
          <w:rFonts w:asciiTheme="majorHAnsi" w:hAnsiTheme="majorHAnsi"/>
          <w:sz w:val="20"/>
          <w:szCs w:val="20"/>
        </w:rPr>
        <w:t>protection-sensitive sc</w:t>
      </w:r>
      <w:r w:rsidR="00805F8A" w:rsidRPr="006D6B01">
        <w:rPr>
          <w:rFonts w:asciiTheme="majorHAnsi" w:hAnsiTheme="majorHAnsi"/>
          <w:sz w:val="20"/>
          <w:szCs w:val="20"/>
        </w:rPr>
        <w:t>reening and referral mechanisms…</w:t>
      </w:r>
      <w:r w:rsidR="0011311B" w:rsidRPr="006D6B01">
        <w:rPr>
          <w:rFonts w:asciiTheme="majorHAnsi" w:hAnsiTheme="majorHAnsi"/>
          <w:sz w:val="20"/>
          <w:szCs w:val="20"/>
        </w:rPr>
        <w:t xml:space="preserve">crucial to systematically identify persons in need of international protection and protect these against </w:t>
      </w:r>
      <w:r w:rsidR="0011311B" w:rsidRPr="006D6B01">
        <w:rPr>
          <w:rFonts w:asciiTheme="majorHAnsi" w:hAnsiTheme="majorHAnsi"/>
          <w:i/>
          <w:sz w:val="20"/>
          <w:szCs w:val="20"/>
        </w:rPr>
        <w:t>refoulement</w:t>
      </w:r>
      <w:r w:rsidR="0011311B" w:rsidRPr="006D6B01">
        <w:rPr>
          <w:rFonts w:asciiTheme="majorHAnsi" w:hAnsiTheme="majorHAnsi"/>
          <w:sz w:val="20"/>
          <w:szCs w:val="20"/>
        </w:rPr>
        <w:t xml:space="preserve"> in the routine course of repatriating individuals intercepted at sea”.</w:t>
      </w:r>
      <w:r w:rsidR="0011311B" w:rsidRPr="006D6B01">
        <w:rPr>
          <w:rStyle w:val="FootnoteReference"/>
          <w:rFonts w:asciiTheme="majorHAnsi" w:hAnsiTheme="majorHAnsi"/>
          <w:sz w:val="20"/>
          <w:szCs w:val="20"/>
        </w:rPr>
        <w:footnoteReference w:id="12"/>
      </w:r>
      <w:r w:rsidR="0011311B" w:rsidRPr="006D6B01">
        <w:rPr>
          <w:rFonts w:asciiTheme="majorHAnsi" w:hAnsiTheme="majorHAnsi"/>
          <w:sz w:val="20"/>
          <w:szCs w:val="20"/>
        </w:rPr>
        <w:t xml:space="preserve"> Accordingly, </w:t>
      </w:r>
      <w:r w:rsidR="009944BD" w:rsidRPr="006D6B01">
        <w:rPr>
          <w:rFonts w:asciiTheme="majorHAnsi" w:hAnsiTheme="majorHAnsi"/>
          <w:sz w:val="20"/>
          <w:szCs w:val="20"/>
        </w:rPr>
        <w:t>the Committee on the Elimination of Racial Discrimination (</w:t>
      </w:r>
      <w:r w:rsidR="006B4808" w:rsidRPr="006D6B01">
        <w:rPr>
          <w:rFonts w:asciiTheme="majorHAnsi" w:hAnsiTheme="majorHAnsi"/>
          <w:sz w:val="20"/>
          <w:szCs w:val="20"/>
        </w:rPr>
        <w:t>“</w:t>
      </w:r>
      <w:r w:rsidR="0011311B" w:rsidRPr="006D6B01">
        <w:rPr>
          <w:rFonts w:asciiTheme="majorHAnsi" w:hAnsiTheme="majorHAnsi"/>
          <w:sz w:val="20"/>
          <w:szCs w:val="20"/>
        </w:rPr>
        <w:t>CERD</w:t>
      </w:r>
      <w:r w:rsidR="006B4808" w:rsidRPr="006D6B01">
        <w:rPr>
          <w:rFonts w:asciiTheme="majorHAnsi" w:hAnsiTheme="majorHAnsi"/>
          <w:sz w:val="20"/>
          <w:szCs w:val="20"/>
        </w:rPr>
        <w:t>”</w:t>
      </w:r>
      <w:r w:rsidR="009944BD" w:rsidRPr="006D6B01">
        <w:rPr>
          <w:rFonts w:asciiTheme="majorHAnsi" w:hAnsiTheme="majorHAnsi"/>
          <w:sz w:val="20"/>
          <w:szCs w:val="20"/>
        </w:rPr>
        <w:t>)</w:t>
      </w:r>
      <w:r w:rsidR="00316A66" w:rsidRPr="006D6B01">
        <w:rPr>
          <w:rFonts w:asciiTheme="majorHAnsi" w:hAnsiTheme="majorHAnsi"/>
          <w:sz w:val="20"/>
          <w:szCs w:val="20"/>
        </w:rPr>
        <w:t xml:space="preserve"> has</w:t>
      </w:r>
      <w:r w:rsidR="0011311B" w:rsidRPr="006D6B01">
        <w:rPr>
          <w:rFonts w:asciiTheme="majorHAnsi" w:hAnsiTheme="majorHAnsi"/>
          <w:sz w:val="20"/>
          <w:szCs w:val="20"/>
        </w:rPr>
        <w:t xml:space="preserve"> “encourage[d] the State party to adopt the necessary measures to implement the Convention and Protocol into domestic law, in particular as regards the </w:t>
      </w:r>
      <w:r w:rsidR="0011311B" w:rsidRPr="006D6B01">
        <w:rPr>
          <w:rFonts w:asciiTheme="majorHAnsi" w:hAnsiTheme="majorHAnsi"/>
          <w:i/>
          <w:sz w:val="20"/>
          <w:szCs w:val="20"/>
        </w:rPr>
        <w:t>non-refoulement</w:t>
      </w:r>
      <w:r w:rsidR="0011311B" w:rsidRPr="006D6B01">
        <w:rPr>
          <w:rFonts w:asciiTheme="majorHAnsi" w:hAnsiTheme="majorHAnsi"/>
          <w:sz w:val="20"/>
          <w:szCs w:val="20"/>
        </w:rPr>
        <w:t xml:space="preserve"> clause”</w:t>
      </w:r>
      <w:r w:rsidR="0011311B" w:rsidRPr="006D6B01">
        <w:rPr>
          <w:rStyle w:val="FootnoteReference"/>
          <w:rFonts w:asciiTheme="majorHAnsi" w:hAnsiTheme="majorHAnsi"/>
          <w:sz w:val="20"/>
          <w:szCs w:val="20"/>
        </w:rPr>
        <w:footnoteReference w:id="13"/>
      </w:r>
      <w:r w:rsidR="0011311B" w:rsidRPr="006D6B01">
        <w:rPr>
          <w:rFonts w:asciiTheme="majorHAnsi" w:hAnsiTheme="majorHAnsi"/>
          <w:sz w:val="20"/>
          <w:szCs w:val="20"/>
        </w:rPr>
        <w:t xml:space="preserve"> and UNHCR </w:t>
      </w:r>
      <w:r w:rsidR="00316A66" w:rsidRPr="006D6B01">
        <w:rPr>
          <w:rFonts w:asciiTheme="majorHAnsi" w:hAnsiTheme="majorHAnsi"/>
          <w:sz w:val="20"/>
          <w:szCs w:val="20"/>
        </w:rPr>
        <w:t xml:space="preserve">has </w:t>
      </w:r>
      <w:r w:rsidR="0011311B" w:rsidRPr="006D6B01">
        <w:rPr>
          <w:rFonts w:asciiTheme="majorHAnsi" w:hAnsiTheme="majorHAnsi"/>
          <w:sz w:val="20"/>
          <w:szCs w:val="20"/>
        </w:rPr>
        <w:t>“encourage[d] the Bahamas to adopt national refugee legislation”.</w:t>
      </w:r>
      <w:r w:rsidR="0011311B" w:rsidRPr="006D6B01">
        <w:rPr>
          <w:rStyle w:val="FootnoteReference"/>
          <w:rFonts w:asciiTheme="majorHAnsi" w:hAnsiTheme="majorHAnsi"/>
          <w:sz w:val="20"/>
          <w:szCs w:val="20"/>
        </w:rPr>
        <w:footnoteReference w:id="14"/>
      </w:r>
      <w:r w:rsidR="009944BD" w:rsidRPr="006D6B01">
        <w:rPr>
          <w:rFonts w:asciiTheme="majorHAnsi" w:hAnsiTheme="majorHAnsi"/>
          <w:sz w:val="20"/>
          <w:szCs w:val="20"/>
        </w:rPr>
        <w:t xml:space="preserve"> </w:t>
      </w:r>
    </w:p>
    <w:p w14:paraId="6F48207D" w14:textId="77777777" w:rsidR="009944BD" w:rsidRPr="006D6B01" w:rsidRDefault="009944BD" w:rsidP="004311F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p>
    <w:p w14:paraId="3D133BEB" w14:textId="0459EC51" w:rsidR="00B202A5" w:rsidRPr="006D6B01" w:rsidRDefault="006B4808"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6D6B01">
        <w:rPr>
          <w:rFonts w:asciiTheme="majorHAnsi" w:hAnsiTheme="majorHAnsi"/>
          <w:sz w:val="20"/>
          <w:szCs w:val="20"/>
        </w:rPr>
        <w:t>D</w:t>
      </w:r>
      <w:r w:rsidR="00DD0217" w:rsidRPr="006D6B01">
        <w:rPr>
          <w:rFonts w:asciiTheme="majorHAnsi" w:hAnsiTheme="majorHAnsi"/>
          <w:sz w:val="20"/>
          <w:szCs w:val="20"/>
        </w:rPr>
        <w:t>espite</w:t>
      </w:r>
      <w:r w:rsidR="00952F38" w:rsidRPr="006D6B01">
        <w:rPr>
          <w:rFonts w:asciiTheme="majorHAnsi" w:hAnsiTheme="majorHAnsi"/>
          <w:sz w:val="20"/>
          <w:szCs w:val="20"/>
        </w:rPr>
        <w:t xml:space="preserve"> the </w:t>
      </w:r>
      <w:r w:rsidR="00FB1151" w:rsidRPr="006D6B01">
        <w:rPr>
          <w:rFonts w:asciiTheme="majorHAnsi" w:hAnsiTheme="majorHAnsi"/>
          <w:sz w:val="20"/>
          <w:szCs w:val="20"/>
        </w:rPr>
        <w:t>limited</w:t>
      </w:r>
      <w:r w:rsidR="00952F38" w:rsidRPr="006D6B01">
        <w:rPr>
          <w:rFonts w:asciiTheme="majorHAnsi" w:hAnsiTheme="majorHAnsi"/>
          <w:sz w:val="20"/>
          <w:szCs w:val="20"/>
        </w:rPr>
        <w:t xml:space="preserve"> rules </w:t>
      </w:r>
      <w:r w:rsidR="00DD0217" w:rsidRPr="006D6B01">
        <w:rPr>
          <w:rFonts w:asciiTheme="majorHAnsi" w:hAnsiTheme="majorHAnsi"/>
          <w:sz w:val="20"/>
          <w:szCs w:val="20"/>
        </w:rPr>
        <w:t>regulating</w:t>
      </w:r>
      <w:r w:rsidR="00952F38" w:rsidRPr="006D6B01">
        <w:rPr>
          <w:rFonts w:asciiTheme="majorHAnsi" w:hAnsiTheme="majorHAnsi"/>
          <w:sz w:val="20"/>
          <w:szCs w:val="20"/>
        </w:rPr>
        <w:t xml:space="preserve"> human </w:t>
      </w:r>
      <w:r w:rsidR="001B6CEE" w:rsidRPr="006D6B01">
        <w:rPr>
          <w:rFonts w:asciiTheme="majorHAnsi" w:hAnsiTheme="majorHAnsi"/>
          <w:sz w:val="20"/>
          <w:szCs w:val="20"/>
        </w:rPr>
        <w:t>mobility</w:t>
      </w:r>
      <w:r w:rsidR="00DD0217" w:rsidRPr="006D6B01">
        <w:rPr>
          <w:rFonts w:asciiTheme="majorHAnsi" w:hAnsiTheme="majorHAnsi"/>
          <w:sz w:val="20"/>
          <w:szCs w:val="20"/>
        </w:rPr>
        <w:t xml:space="preserve"> in T</w:t>
      </w:r>
      <w:r w:rsidR="00952F38" w:rsidRPr="006D6B01">
        <w:rPr>
          <w:rFonts w:asciiTheme="majorHAnsi" w:hAnsiTheme="majorHAnsi"/>
          <w:sz w:val="20"/>
          <w:szCs w:val="20"/>
        </w:rPr>
        <w:t xml:space="preserve">he Bahamas, the UNHCR has </w:t>
      </w:r>
      <w:r w:rsidR="00DD0217" w:rsidRPr="006D6B01">
        <w:rPr>
          <w:rFonts w:asciiTheme="majorHAnsi" w:hAnsiTheme="majorHAnsi"/>
          <w:sz w:val="20"/>
          <w:szCs w:val="20"/>
        </w:rPr>
        <w:t xml:space="preserve">identified </w:t>
      </w:r>
      <w:r w:rsidR="001A136F" w:rsidRPr="006D6B01">
        <w:rPr>
          <w:rFonts w:asciiTheme="majorHAnsi" w:hAnsiTheme="majorHAnsi"/>
          <w:sz w:val="20"/>
          <w:szCs w:val="20"/>
        </w:rPr>
        <w:t xml:space="preserve">that </w:t>
      </w:r>
      <w:r w:rsidR="008114FA" w:rsidRPr="006D6B01">
        <w:rPr>
          <w:rFonts w:asciiTheme="majorHAnsi" w:hAnsiTheme="majorHAnsi"/>
          <w:sz w:val="20"/>
          <w:szCs w:val="20"/>
        </w:rPr>
        <w:t>“</w:t>
      </w:r>
      <w:r w:rsidR="00952F38" w:rsidRPr="006D6B01">
        <w:rPr>
          <w:rFonts w:asciiTheme="majorHAnsi" w:hAnsiTheme="majorHAnsi"/>
          <w:sz w:val="20"/>
          <w:szCs w:val="20"/>
        </w:rPr>
        <w:t>w</w:t>
      </w:r>
      <w:r w:rsidR="008114FA" w:rsidRPr="006D6B01">
        <w:rPr>
          <w:rFonts w:asciiTheme="majorHAnsi" w:hAnsiTheme="majorHAnsi"/>
          <w:sz w:val="20"/>
          <w:szCs w:val="20"/>
        </w:rPr>
        <w:t xml:space="preserve">hile there is currently no written framework governing asylum in The Bahamas, there are written agreements for the expedited removal of </w:t>
      </w:r>
      <w:r w:rsidR="008E6B02">
        <w:rPr>
          <w:rFonts w:asciiTheme="majorHAnsi" w:hAnsiTheme="majorHAnsi"/>
          <w:sz w:val="20"/>
          <w:szCs w:val="20"/>
        </w:rPr>
        <w:t>irregular</w:t>
      </w:r>
      <w:r w:rsidR="008114FA" w:rsidRPr="006D6B01">
        <w:rPr>
          <w:rFonts w:asciiTheme="majorHAnsi" w:hAnsiTheme="majorHAnsi"/>
          <w:sz w:val="20"/>
          <w:szCs w:val="20"/>
        </w:rPr>
        <w:t xml:space="preserve"> migrants from Cuba and Haiti, respectively”.</w:t>
      </w:r>
      <w:r w:rsidR="008114FA" w:rsidRPr="006D6B01">
        <w:rPr>
          <w:rStyle w:val="FootnoteReference"/>
          <w:rFonts w:asciiTheme="majorHAnsi" w:hAnsiTheme="majorHAnsi"/>
          <w:sz w:val="20"/>
          <w:szCs w:val="20"/>
        </w:rPr>
        <w:footnoteReference w:id="15"/>
      </w:r>
      <w:r w:rsidR="003B7FBD" w:rsidRPr="006D6B01">
        <w:rPr>
          <w:rFonts w:asciiTheme="majorHAnsi" w:hAnsiTheme="majorHAnsi"/>
          <w:sz w:val="20"/>
          <w:szCs w:val="20"/>
        </w:rPr>
        <w:t xml:space="preserve"> The </w:t>
      </w:r>
      <w:r w:rsidR="005710F7" w:rsidRPr="006D6B01">
        <w:rPr>
          <w:rFonts w:asciiTheme="majorHAnsi" w:hAnsiTheme="majorHAnsi"/>
          <w:sz w:val="20"/>
          <w:szCs w:val="20"/>
        </w:rPr>
        <w:t xml:space="preserve">State signed </w:t>
      </w:r>
      <w:r w:rsidR="003B7FBD" w:rsidRPr="006D6B01">
        <w:rPr>
          <w:rFonts w:asciiTheme="majorHAnsi" w:hAnsiTheme="majorHAnsi"/>
          <w:sz w:val="20"/>
          <w:szCs w:val="20"/>
        </w:rPr>
        <w:t>the</w:t>
      </w:r>
      <w:r w:rsidR="008114FA" w:rsidRPr="006D6B01">
        <w:rPr>
          <w:rFonts w:asciiTheme="majorHAnsi" w:hAnsiTheme="majorHAnsi"/>
          <w:sz w:val="20"/>
          <w:szCs w:val="20"/>
        </w:rPr>
        <w:t xml:space="preserve"> </w:t>
      </w:r>
      <w:r w:rsidR="003B7FBD" w:rsidRPr="006D6B01">
        <w:rPr>
          <w:rFonts w:asciiTheme="majorHAnsi" w:hAnsiTheme="majorHAnsi"/>
          <w:sz w:val="20"/>
          <w:szCs w:val="20"/>
        </w:rPr>
        <w:t>Memorandum of Understanding Between the Government of the Commonwealth of the Bahamas and the Government of the Republic of Cuba of January 12, 1996 and its Protocol</w:t>
      </w:r>
      <w:r w:rsidR="005710F7" w:rsidRPr="006D6B01">
        <w:rPr>
          <w:rFonts w:asciiTheme="majorHAnsi" w:hAnsiTheme="majorHAnsi"/>
          <w:sz w:val="20"/>
          <w:szCs w:val="20"/>
        </w:rPr>
        <w:t xml:space="preserve">, </w:t>
      </w:r>
      <w:r w:rsidR="00645823" w:rsidRPr="006D6B01">
        <w:rPr>
          <w:rFonts w:asciiTheme="majorHAnsi" w:hAnsiTheme="majorHAnsi"/>
          <w:sz w:val="20"/>
          <w:szCs w:val="20"/>
        </w:rPr>
        <w:t>in 1996 and 1998</w:t>
      </w:r>
      <w:r w:rsidR="003D6B96" w:rsidRPr="006D6B01">
        <w:rPr>
          <w:rFonts w:asciiTheme="majorHAnsi" w:hAnsiTheme="majorHAnsi"/>
          <w:sz w:val="20"/>
          <w:szCs w:val="20"/>
        </w:rPr>
        <w:t>, respectively</w:t>
      </w:r>
      <w:r w:rsidR="00DD0217" w:rsidRPr="006D6B01">
        <w:rPr>
          <w:rFonts w:asciiTheme="majorHAnsi" w:hAnsiTheme="majorHAnsi"/>
          <w:sz w:val="20"/>
          <w:szCs w:val="20"/>
        </w:rPr>
        <w:t>.</w:t>
      </w:r>
      <w:r w:rsidR="003B7FBD" w:rsidRPr="006D6B01">
        <w:rPr>
          <w:rStyle w:val="FootnoteReference"/>
          <w:rFonts w:asciiTheme="majorHAnsi" w:hAnsiTheme="majorHAnsi"/>
          <w:sz w:val="20"/>
          <w:szCs w:val="20"/>
        </w:rPr>
        <w:footnoteReference w:id="16"/>
      </w:r>
      <w:r w:rsidR="001B6CEE" w:rsidRPr="006D6B01">
        <w:rPr>
          <w:rFonts w:asciiTheme="majorHAnsi" w:hAnsiTheme="majorHAnsi"/>
          <w:sz w:val="20"/>
          <w:szCs w:val="20"/>
        </w:rPr>
        <w:t xml:space="preserve"> In the case of Haiti, the </w:t>
      </w:r>
      <w:r w:rsidR="00DD0217" w:rsidRPr="006D6B01">
        <w:rPr>
          <w:rFonts w:asciiTheme="majorHAnsi" w:hAnsiTheme="majorHAnsi"/>
          <w:sz w:val="20"/>
          <w:szCs w:val="20"/>
        </w:rPr>
        <w:t>IACHR</w:t>
      </w:r>
      <w:r w:rsidR="001B6CEE" w:rsidRPr="006D6B01">
        <w:rPr>
          <w:rFonts w:asciiTheme="majorHAnsi" w:hAnsiTheme="majorHAnsi"/>
          <w:sz w:val="20"/>
          <w:szCs w:val="20"/>
        </w:rPr>
        <w:t xml:space="preserve"> understands </w:t>
      </w:r>
      <w:r w:rsidR="008901A6" w:rsidRPr="006D6B01">
        <w:rPr>
          <w:rFonts w:asciiTheme="majorHAnsi" w:hAnsiTheme="majorHAnsi"/>
          <w:sz w:val="20"/>
          <w:szCs w:val="20"/>
        </w:rPr>
        <w:t>that “although</w:t>
      </w:r>
      <w:r w:rsidR="00714BE9" w:rsidRPr="006D6B01">
        <w:rPr>
          <w:rFonts w:asciiTheme="majorHAnsi" w:hAnsiTheme="majorHAnsi"/>
          <w:sz w:val="20"/>
          <w:szCs w:val="20"/>
        </w:rPr>
        <w:t xml:space="preserve"> the repatriation agreement between the Bahamas and Haiti expired at the end of 1995, the Gov</w:t>
      </w:r>
      <w:r w:rsidR="00DD0217" w:rsidRPr="006D6B01">
        <w:rPr>
          <w:rFonts w:asciiTheme="majorHAnsi" w:hAnsiTheme="majorHAnsi"/>
          <w:sz w:val="20"/>
          <w:szCs w:val="20"/>
        </w:rPr>
        <w:t>ernment continued to repatriate …</w:t>
      </w:r>
      <w:r w:rsidR="001B6CEE" w:rsidRPr="006D6B01">
        <w:rPr>
          <w:rFonts w:asciiTheme="majorHAnsi" w:hAnsiTheme="majorHAnsi"/>
          <w:sz w:val="20"/>
          <w:szCs w:val="20"/>
        </w:rPr>
        <w:t xml:space="preserve"> </w:t>
      </w:r>
      <w:r w:rsidR="00714BE9" w:rsidRPr="006D6B01">
        <w:rPr>
          <w:rFonts w:asciiTheme="majorHAnsi" w:hAnsiTheme="majorHAnsi"/>
          <w:sz w:val="20"/>
          <w:szCs w:val="20"/>
        </w:rPr>
        <w:t>Haitian immigrants based on the terms of that agreement”.</w:t>
      </w:r>
      <w:r w:rsidR="00714BE9" w:rsidRPr="006D6B01">
        <w:rPr>
          <w:rStyle w:val="FootnoteReference"/>
          <w:rFonts w:asciiTheme="majorHAnsi" w:hAnsiTheme="majorHAnsi"/>
          <w:sz w:val="20"/>
          <w:szCs w:val="20"/>
        </w:rPr>
        <w:footnoteReference w:id="17"/>
      </w:r>
    </w:p>
    <w:p w14:paraId="25EE7E6A" w14:textId="77777777" w:rsidR="00B202A5" w:rsidRPr="006D6B01" w:rsidRDefault="00B202A5" w:rsidP="004311FE">
      <w:pPr>
        <w:pStyle w:val="ListParagraph"/>
        <w:tabs>
          <w:tab w:val="left" w:pos="360"/>
        </w:tabs>
        <w:ind w:left="0"/>
        <w:rPr>
          <w:rFonts w:asciiTheme="majorHAnsi" w:hAnsiTheme="majorHAnsi"/>
          <w:sz w:val="20"/>
          <w:szCs w:val="20"/>
        </w:rPr>
      </w:pPr>
    </w:p>
    <w:p w14:paraId="49746C65" w14:textId="77777777" w:rsidR="009F1955" w:rsidRPr="006D6B01" w:rsidRDefault="00645823"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6D6B01">
        <w:rPr>
          <w:rFonts w:asciiTheme="majorHAnsi" w:hAnsiTheme="majorHAnsi"/>
          <w:sz w:val="20"/>
          <w:szCs w:val="20"/>
        </w:rPr>
        <w:t>Accordingly,</w:t>
      </w:r>
      <w:r w:rsidR="00714BE9" w:rsidRPr="006D6B01">
        <w:rPr>
          <w:rFonts w:asciiTheme="majorHAnsi" w:hAnsiTheme="majorHAnsi"/>
          <w:sz w:val="20"/>
          <w:szCs w:val="20"/>
        </w:rPr>
        <w:t xml:space="preserve"> </w:t>
      </w:r>
      <w:r w:rsidR="008901A6" w:rsidRPr="006D6B01">
        <w:rPr>
          <w:rFonts w:asciiTheme="majorHAnsi" w:hAnsiTheme="majorHAnsi"/>
          <w:sz w:val="20"/>
          <w:szCs w:val="20"/>
        </w:rPr>
        <w:t xml:space="preserve">the UNHCR </w:t>
      </w:r>
      <w:r w:rsidR="006B4808" w:rsidRPr="006D6B01">
        <w:rPr>
          <w:rFonts w:asciiTheme="majorHAnsi" w:hAnsiTheme="majorHAnsi"/>
          <w:sz w:val="20"/>
          <w:szCs w:val="20"/>
        </w:rPr>
        <w:t>stated</w:t>
      </w:r>
      <w:r w:rsidR="008901A6" w:rsidRPr="006D6B01">
        <w:rPr>
          <w:rFonts w:asciiTheme="majorHAnsi" w:hAnsiTheme="majorHAnsi"/>
          <w:sz w:val="20"/>
          <w:szCs w:val="20"/>
        </w:rPr>
        <w:t xml:space="preserve"> </w:t>
      </w:r>
      <w:r w:rsidR="00DD0217" w:rsidRPr="006D6B01">
        <w:rPr>
          <w:rFonts w:asciiTheme="majorHAnsi" w:hAnsiTheme="majorHAnsi"/>
          <w:sz w:val="20"/>
          <w:szCs w:val="20"/>
        </w:rPr>
        <w:t>in</w:t>
      </w:r>
      <w:r w:rsidR="008901A6" w:rsidRPr="006D6B01">
        <w:rPr>
          <w:rFonts w:asciiTheme="majorHAnsi" w:hAnsiTheme="majorHAnsi"/>
          <w:sz w:val="20"/>
          <w:szCs w:val="20"/>
        </w:rPr>
        <w:t xml:space="preserve"> 2012</w:t>
      </w:r>
      <w:r w:rsidR="00DD0217" w:rsidRPr="006D6B01">
        <w:rPr>
          <w:rFonts w:asciiTheme="majorHAnsi" w:hAnsiTheme="majorHAnsi"/>
          <w:sz w:val="20"/>
          <w:szCs w:val="20"/>
        </w:rPr>
        <w:t xml:space="preserve"> that</w:t>
      </w:r>
      <w:r w:rsidR="008901A6" w:rsidRPr="006D6B01">
        <w:rPr>
          <w:rFonts w:asciiTheme="majorHAnsi" w:hAnsiTheme="majorHAnsi"/>
          <w:sz w:val="20"/>
          <w:szCs w:val="20"/>
        </w:rPr>
        <w:t xml:space="preserve"> </w:t>
      </w:r>
      <w:r w:rsidR="005710F7" w:rsidRPr="006D6B01">
        <w:rPr>
          <w:rFonts w:asciiTheme="majorHAnsi" w:hAnsiTheme="majorHAnsi"/>
          <w:sz w:val="20"/>
          <w:szCs w:val="20"/>
        </w:rPr>
        <w:t>“</w:t>
      </w:r>
      <w:r w:rsidRPr="006D6B01">
        <w:rPr>
          <w:rFonts w:asciiTheme="majorHAnsi" w:hAnsiTheme="majorHAnsi"/>
          <w:sz w:val="20"/>
          <w:szCs w:val="20"/>
        </w:rPr>
        <w:t>s</w:t>
      </w:r>
      <w:r w:rsidR="005710F7" w:rsidRPr="006D6B01">
        <w:rPr>
          <w:rFonts w:asciiTheme="majorHAnsi" w:hAnsiTheme="majorHAnsi"/>
          <w:sz w:val="20"/>
          <w:szCs w:val="20"/>
        </w:rPr>
        <w:t>ystematic deportations from Carmichael are conducted under [these] bilateral [agreements]”.</w:t>
      </w:r>
      <w:r w:rsidR="005710F7" w:rsidRPr="006D6B01">
        <w:rPr>
          <w:rStyle w:val="FootnoteReference"/>
          <w:rFonts w:asciiTheme="majorHAnsi" w:hAnsiTheme="majorHAnsi"/>
          <w:sz w:val="20"/>
          <w:szCs w:val="20"/>
        </w:rPr>
        <w:footnoteReference w:id="18"/>
      </w:r>
      <w:r w:rsidR="005710F7" w:rsidRPr="006D6B01">
        <w:rPr>
          <w:rFonts w:asciiTheme="majorHAnsi" w:hAnsiTheme="majorHAnsi"/>
          <w:sz w:val="20"/>
          <w:szCs w:val="20"/>
        </w:rPr>
        <w:t xml:space="preserve"> In addition, </w:t>
      </w:r>
      <w:r w:rsidR="008114FA" w:rsidRPr="006D6B01">
        <w:rPr>
          <w:rFonts w:asciiTheme="majorHAnsi" w:hAnsiTheme="majorHAnsi"/>
          <w:sz w:val="20"/>
          <w:szCs w:val="20"/>
        </w:rPr>
        <w:t>“</w:t>
      </w:r>
      <w:r w:rsidR="005710F7" w:rsidRPr="006D6B01">
        <w:rPr>
          <w:rFonts w:asciiTheme="majorHAnsi" w:hAnsiTheme="majorHAnsi"/>
          <w:sz w:val="20"/>
          <w:szCs w:val="20"/>
        </w:rPr>
        <w:t>p</w:t>
      </w:r>
      <w:r w:rsidR="008114FA" w:rsidRPr="006D6B01">
        <w:rPr>
          <w:rFonts w:asciiTheme="majorHAnsi" w:hAnsiTheme="majorHAnsi"/>
          <w:sz w:val="20"/>
          <w:szCs w:val="20"/>
        </w:rPr>
        <w:t>rovisions of the bilateral agreements signed with each of those countries call for information-sharing about the individuals to be repatriated with their countries of origin, sometimes within 72 hours of their identification in The Bahamas, as a pre-condition for their accelerated removal and return”.</w:t>
      </w:r>
      <w:r w:rsidR="008114FA" w:rsidRPr="006D6B01">
        <w:rPr>
          <w:rStyle w:val="FootnoteReference"/>
          <w:rFonts w:asciiTheme="majorHAnsi" w:hAnsiTheme="majorHAnsi"/>
          <w:sz w:val="20"/>
          <w:szCs w:val="20"/>
        </w:rPr>
        <w:footnoteReference w:id="19"/>
      </w:r>
      <w:r w:rsidR="003B7FBD" w:rsidRPr="006D6B01">
        <w:rPr>
          <w:rFonts w:asciiTheme="majorHAnsi" w:hAnsiTheme="majorHAnsi"/>
          <w:sz w:val="20"/>
          <w:szCs w:val="20"/>
        </w:rPr>
        <w:t xml:space="preserve"> </w:t>
      </w:r>
      <w:r w:rsidR="00B03B2E" w:rsidRPr="006D6B01">
        <w:rPr>
          <w:rFonts w:asciiTheme="majorHAnsi" w:hAnsiTheme="majorHAnsi"/>
          <w:sz w:val="20"/>
          <w:szCs w:val="20"/>
        </w:rPr>
        <w:t>It is also notable that the Cuban agreements “</w:t>
      </w:r>
      <w:r w:rsidR="00031075" w:rsidRPr="006D6B01">
        <w:rPr>
          <w:rFonts w:asciiTheme="majorHAnsi" w:hAnsiTheme="majorHAnsi"/>
          <w:sz w:val="20"/>
          <w:szCs w:val="20"/>
        </w:rPr>
        <w:t>included no provision for determining whether Cuban asylum seekers qualified for refugee status, nor any assurances the Cuban government would not punish the returnees”.</w:t>
      </w:r>
      <w:r w:rsidR="00031075" w:rsidRPr="006D6B01">
        <w:rPr>
          <w:rStyle w:val="FootnoteReference"/>
          <w:rFonts w:asciiTheme="majorHAnsi" w:hAnsiTheme="majorHAnsi"/>
          <w:sz w:val="20"/>
          <w:szCs w:val="20"/>
        </w:rPr>
        <w:footnoteReference w:id="20"/>
      </w:r>
      <w:r w:rsidR="009F1955" w:rsidRPr="006D6B01">
        <w:rPr>
          <w:rFonts w:asciiTheme="majorHAnsi" w:hAnsiTheme="majorHAnsi"/>
          <w:sz w:val="20"/>
          <w:szCs w:val="20"/>
        </w:rPr>
        <w:t xml:space="preserve"> </w:t>
      </w:r>
    </w:p>
    <w:p w14:paraId="126F27E6" w14:textId="77777777" w:rsidR="00031075" w:rsidRPr="006D6B01" w:rsidRDefault="00031075" w:rsidP="004311F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Cambria" w:hAnsi="Cambria"/>
          <w:sz w:val="20"/>
          <w:szCs w:val="20"/>
        </w:rPr>
      </w:pPr>
    </w:p>
    <w:p w14:paraId="4D5A67CA" w14:textId="1C6F554E" w:rsidR="00F6333A" w:rsidRPr="006D6B01" w:rsidRDefault="006B49D6"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6D6B01">
        <w:rPr>
          <w:rFonts w:asciiTheme="majorHAnsi" w:hAnsiTheme="majorHAnsi"/>
          <w:sz w:val="20"/>
          <w:szCs w:val="20"/>
        </w:rPr>
        <w:t>Additionally</w:t>
      </w:r>
      <w:r w:rsidR="00D33AB9" w:rsidRPr="006D6B01">
        <w:rPr>
          <w:rFonts w:asciiTheme="majorHAnsi" w:hAnsiTheme="majorHAnsi"/>
          <w:sz w:val="20"/>
          <w:szCs w:val="20"/>
        </w:rPr>
        <w:t>, t</w:t>
      </w:r>
      <w:r w:rsidR="008D3AC3" w:rsidRPr="006D6B01">
        <w:rPr>
          <w:rFonts w:asciiTheme="majorHAnsi" w:hAnsiTheme="majorHAnsi"/>
          <w:sz w:val="20"/>
          <w:szCs w:val="20"/>
        </w:rPr>
        <w:t>he Commiss</w:t>
      </w:r>
      <w:r w:rsidR="00EF39AA" w:rsidRPr="006D6B01">
        <w:rPr>
          <w:rFonts w:asciiTheme="majorHAnsi" w:hAnsiTheme="majorHAnsi"/>
          <w:sz w:val="20"/>
          <w:szCs w:val="20"/>
        </w:rPr>
        <w:t xml:space="preserve">ion observes that since </w:t>
      </w:r>
      <w:r w:rsidR="00BB4FCD" w:rsidRPr="006D6B01">
        <w:rPr>
          <w:rFonts w:asciiTheme="majorHAnsi" w:hAnsiTheme="majorHAnsi"/>
          <w:sz w:val="20"/>
          <w:szCs w:val="20"/>
        </w:rPr>
        <w:t xml:space="preserve">Carmichael Center </w:t>
      </w:r>
      <w:r w:rsidR="007E7EDC" w:rsidRPr="006D6B01">
        <w:rPr>
          <w:rFonts w:asciiTheme="majorHAnsi" w:hAnsiTheme="majorHAnsi"/>
          <w:sz w:val="20"/>
          <w:szCs w:val="20"/>
        </w:rPr>
        <w:t>began its operations</w:t>
      </w:r>
      <w:r w:rsidR="006B4808" w:rsidRPr="006D6B01">
        <w:rPr>
          <w:rFonts w:asciiTheme="majorHAnsi" w:hAnsiTheme="majorHAnsi"/>
          <w:sz w:val="20"/>
          <w:szCs w:val="20"/>
        </w:rPr>
        <w:t>,</w:t>
      </w:r>
      <w:r w:rsidR="007E7EDC" w:rsidRPr="006D6B01">
        <w:rPr>
          <w:rFonts w:asciiTheme="majorHAnsi" w:hAnsiTheme="majorHAnsi"/>
          <w:sz w:val="20"/>
          <w:szCs w:val="20"/>
        </w:rPr>
        <w:t xml:space="preserve"> conditions at the Center have been an object of</w:t>
      </w:r>
      <w:r w:rsidR="00E25935" w:rsidRPr="006D6B01">
        <w:rPr>
          <w:rFonts w:asciiTheme="majorHAnsi" w:hAnsiTheme="majorHAnsi"/>
          <w:sz w:val="20"/>
          <w:szCs w:val="20"/>
        </w:rPr>
        <w:t xml:space="preserve"> concern </w:t>
      </w:r>
      <w:r w:rsidR="007E7EDC" w:rsidRPr="006D6B01">
        <w:rPr>
          <w:rFonts w:asciiTheme="majorHAnsi" w:hAnsiTheme="majorHAnsi"/>
          <w:sz w:val="20"/>
          <w:szCs w:val="20"/>
        </w:rPr>
        <w:t>amongst</w:t>
      </w:r>
      <w:r w:rsidR="00E25935" w:rsidRPr="006D6B01">
        <w:rPr>
          <w:rFonts w:asciiTheme="majorHAnsi" w:hAnsiTheme="majorHAnsi"/>
          <w:sz w:val="20"/>
          <w:szCs w:val="20"/>
        </w:rPr>
        <w:t xml:space="preserve"> human rights treaty bodies. </w:t>
      </w:r>
      <w:r w:rsidR="00EF39AA" w:rsidRPr="006D6B01">
        <w:rPr>
          <w:rFonts w:asciiTheme="majorHAnsi" w:hAnsiTheme="majorHAnsi"/>
          <w:sz w:val="20"/>
          <w:szCs w:val="20"/>
        </w:rPr>
        <w:t>By way of background</w:t>
      </w:r>
      <w:r w:rsidR="00E25935" w:rsidRPr="006D6B01">
        <w:rPr>
          <w:rFonts w:asciiTheme="majorHAnsi" w:hAnsiTheme="majorHAnsi"/>
          <w:sz w:val="20"/>
          <w:szCs w:val="20"/>
        </w:rPr>
        <w:t xml:space="preserve">, </w:t>
      </w:r>
      <w:r w:rsidR="005C4D52" w:rsidRPr="006D6B01">
        <w:rPr>
          <w:rFonts w:asciiTheme="majorHAnsi" w:hAnsiTheme="majorHAnsi"/>
          <w:sz w:val="20"/>
          <w:szCs w:val="20"/>
        </w:rPr>
        <w:t>“the Government in 1995 completed the Carmichael Road Detention Centre capable of housing over 500 illegal</w:t>
      </w:r>
      <w:r w:rsidR="008E6B02">
        <w:rPr>
          <w:rFonts w:asciiTheme="majorHAnsi" w:hAnsiTheme="majorHAnsi"/>
          <w:sz w:val="20"/>
          <w:szCs w:val="20"/>
        </w:rPr>
        <w:t xml:space="preserve"> (sic)</w:t>
      </w:r>
      <w:r w:rsidR="005C4D52" w:rsidRPr="006D6B01">
        <w:rPr>
          <w:rFonts w:asciiTheme="majorHAnsi" w:hAnsiTheme="majorHAnsi"/>
          <w:sz w:val="20"/>
          <w:szCs w:val="20"/>
        </w:rPr>
        <w:t xml:space="preserve"> immigrants”, who “prior to that…were housed at the Government’s Fox Hill Prison”.</w:t>
      </w:r>
      <w:r w:rsidR="005C4D52" w:rsidRPr="006D6B01">
        <w:rPr>
          <w:rStyle w:val="FootnoteReference"/>
          <w:rFonts w:asciiTheme="majorHAnsi" w:hAnsiTheme="majorHAnsi"/>
          <w:sz w:val="20"/>
          <w:szCs w:val="20"/>
        </w:rPr>
        <w:footnoteReference w:id="21"/>
      </w:r>
      <w:r w:rsidR="005C4D52" w:rsidRPr="006D6B01">
        <w:rPr>
          <w:rFonts w:asciiTheme="majorHAnsi" w:hAnsiTheme="majorHAnsi"/>
          <w:sz w:val="20"/>
          <w:szCs w:val="20"/>
        </w:rPr>
        <w:t xml:space="preserve"> </w:t>
      </w:r>
      <w:r w:rsidR="006B4808" w:rsidRPr="006D6B01">
        <w:rPr>
          <w:rFonts w:asciiTheme="majorHAnsi" w:hAnsiTheme="majorHAnsi"/>
          <w:sz w:val="20"/>
          <w:szCs w:val="20"/>
        </w:rPr>
        <w:t xml:space="preserve">The CERD observed in 2003 that detention in the </w:t>
      </w:r>
      <w:r w:rsidR="00BB4FCD" w:rsidRPr="006D6B01">
        <w:rPr>
          <w:rFonts w:asciiTheme="majorHAnsi" w:hAnsiTheme="majorHAnsi"/>
          <w:sz w:val="20"/>
          <w:szCs w:val="20"/>
        </w:rPr>
        <w:t xml:space="preserve">Carmichael Center </w:t>
      </w:r>
      <w:r w:rsidR="005C4D52" w:rsidRPr="006D6B01">
        <w:rPr>
          <w:rFonts w:asciiTheme="majorHAnsi" w:hAnsiTheme="majorHAnsi"/>
          <w:sz w:val="20"/>
          <w:szCs w:val="20"/>
        </w:rPr>
        <w:t>“can be prolonged, and [the] conditions are poor”.</w:t>
      </w:r>
      <w:r w:rsidR="005C4D52" w:rsidRPr="006D6B01">
        <w:rPr>
          <w:rStyle w:val="FootnoteReference"/>
          <w:rFonts w:asciiTheme="majorHAnsi" w:hAnsiTheme="majorHAnsi"/>
          <w:sz w:val="20"/>
          <w:szCs w:val="20"/>
        </w:rPr>
        <w:footnoteReference w:id="22"/>
      </w:r>
      <w:r w:rsidR="005C4D52" w:rsidRPr="006D6B01">
        <w:rPr>
          <w:rFonts w:asciiTheme="majorHAnsi" w:hAnsiTheme="majorHAnsi"/>
          <w:sz w:val="20"/>
          <w:szCs w:val="20"/>
        </w:rPr>
        <w:t xml:space="preserve"> </w:t>
      </w:r>
      <w:r w:rsidR="008C4992" w:rsidRPr="006D6B01">
        <w:rPr>
          <w:rFonts w:asciiTheme="majorHAnsi" w:hAnsiTheme="majorHAnsi"/>
          <w:sz w:val="20"/>
          <w:szCs w:val="20"/>
        </w:rPr>
        <w:t xml:space="preserve">In 2012, the </w:t>
      </w:r>
      <w:r w:rsidR="008C4992" w:rsidRPr="006D6B01">
        <w:rPr>
          <w:rFonts w:asciiTheme="majorHAnsi" w:hAnsiTheme="majorHAnsi"/>
          <w:sz w:val="20"/>
          <w:szCs w:val="20"/>
        </w:rPr>
        <w:lastRenderedPageBreak/>
        <w:t xml:space="preserve">UNHCR continued to describe conditions there as </w:t>
      </w:r>
      <w:r w:rsidR="00F6333A" w:rsidRPr="006D6B01">
        <w:rPr>
          <w:rFonts w:asciiTheme="majorHAnsi" w:hAnsiTheme="majorHAnsi"/>
          <w:sz w:val="20"/>
          <w:szCs w:val="20"/>
        </w:rPr>
        <w:t>“substandard</w:t>
      </w:r>
      <w:r w:rsidR="00A12F71" w:rsidRPr="006D6B01">
        <w:rPr>
          <w:rFonts w:asciiTheme="majorHAnsi" w:hAnsiTheme="majorHAnsi"/>
          <w:sz w:val="20"/>
          <w:szCs w:val="20"/>
        </w:rPr>
        <w:t>”</w:t>
      </w:r>
      <w:r w:rsidR="008C4992" w:rsidRPr="006D6B01">
        <w:rPr>
          <w:rFonts w:asciiTheme="majorHAnsi" w:hAnsiTheme="majorHAnsi"/>
          <w:sz w:val="20"/>
          <w:szCs w:val="20"/>
        </w:rPr>
        <w:t>,</w:t>
      </w:r>
      <w:r w:rsidR="00A12F71" w:rsidRPr="006D6B01">
        <w:rPr>
          <w:rStyle w:val="FootnoteReference"/>
          <w:rFonts w:asciiTheme="majorHAnsi" w:hAnsiTheme="majorHAnsi"/>
          <w:sz w:val="20"/>
          <w:szCs w:val="20"/>
        </w:rPr>
        <w:footnoteReference w:id="23"/>
      </w:r>
      <w:r w:rsidR="00A12F71" w:rsidRPr="006D6B01">
        <w:rPr>
          <w:rFonts w:asciiTheme="majorHAnsi" w:hAnsiTheme="majorHAnsi"/>
          <w:sz w:val="20"/>
          <w:szCs w:val="20"/>
        </w:rPr>
        <w:t xml:space="preserve"> </w:t>
      </w:r>
      <w:r w:rsidR="008C4992" w:rsidRPr="006D6B01">
        <w:rPr>
          <w:rFonts w:asciiTheme="majorHAnsi" w:hAnsiTheme="majorHAnsi"/>
          <w:sz w:val="20"/>
          <w:szCs w:val="20"/>
        </w:rPr>
        <w:t>noting</w:t>
      </w:r>
      <w:r w:rsidR="00A12F71" w:rsidRPr="006D6B01">
        <w:rPr>
          <w:rFonts w:asciiTheme="majorHAnsi" w:hAnsiTheme="majorHAnsi"/>
          <w:sz w:val="20"/>
          <w:szCs w:val="20"/>
        </w:rPr>
        <w:t xml:space="preserve"> that</w:t>
      </w:r>
      <w:r w:rsidR="00F6333A" w:rsidRPr="006D6B01">
        <w:rPr>
          <w:rFonts w:asciiTheme="majorHAnsi" w:hAnsiTheme="majorHAnsi"/>
          <w:sz w:val="20"/>
          <w:szCs w:val="20"/>
        </w:rPr>
        <w:t xml:space="preserve"> </w:t>
      </w:r>
      <w:r w:rsidR="00A12F71" w:rsidRPr="006D6B01">
        <w:rPr>
          <w:rFonts w:asciiTheme="majorHAnsi" w:hAnsiTheme="majorHAnsi"/>
          <w:sz w:val="20"/>
          <w:szCs w:val="20"/>
        </w:rPr>
        <w:t>“</w:t>
      </w:r>
      <w:r w:rsidR="00F6333A" w:rsidRPr="006D6B01">
        <w:rPr>
          <w:rFonts w:asciiTheme="majorHAnsi" w:hAnsiTheme="majorHAnsi"/>
          <w:sz w:val="20"/>
          <w:szCs w:val="20"/>
        </w:rPr>
        <w:t>human rights organizations have extensively documented serious concerns relating to the inhumane treatment and physical and psychological abuse of detainees”.</w:t>
      </w:r>
      <w:r w:rsidR="00F6333A" w:rsidRPr="006D6B01">
        <w:rPr>
          <w:rStyle w:val="FootnoteReference"/>
          <w:rFonts w:asciiTheme="majorHAnsi" w:hAnsiTheme="majorHAnsi"/>
          <w:sz w:val="20"/>
          <w:szCs w:val="20"/>
        </w:rPr>
        <w:footnoteReference w:id="24"/>
      </w:r>
      <w:r w:rsidR="00F6333A" w:rsidRPr="006D6B01">
        <w:rPr>
          <w:rFonts w:asciiTheme="majorHAnsi" w:hAnsiTheme="majorHAnsi"/>
          <w:sz w:val="20"/>
          <w:szCs w:val="20"/>
        </w:rPr>
        <w:t xml:space="preserve"> In this way, CERD asserted </w:t>
      </w:r>
      <w:r w:rsidR="008C4992" w:rsidRPr="006D6B01">
        <w:rPr>
          <w:rFonts w:asciiTheme="majorHAnsi" w:hAnsiTheme="majorHAnsi"/>
          <w:sz w:val="20"/>
          <w:szCs w:val="20"/>
        </w:rPr>
        <w:t xml:space="preserve">in 2004 </w:t>
      </w:r>
      <w:r w:rsidR="00F6333A" w:rsidRPr="006D6B01">
        <w:rPr>
          <w:rFonts w:asciiTheme="majorHAnsi" w:hAnsiTheme="majorHAnsi"/>
          <w:sz w:val="20"/>
          <w:szCs w:val="20"/>
        </w:rPr>
        <w:t>that it is “very concerned at reports that conditions in detention there are unsatisfactory, especially as regards access to food and drinking water, hygiene and access to medical care.”</w:t>
      </w:r>
      <w:r w:rsidR="00F6333A" w:rsidRPr="006D6B01">
        <w:rPr>
          <w:rStyle w:val="FootnoteReference"/>
          <w:rFonts w:asciiTheme="majorHAnsi" w:hAnsiTheme="majorHAnsi"/>
          <w:sz w:val="20"/>
          <w:szCs w:val="20"/>
        </w:rPr>
        <w:footnoteReference w:id="25"/>
      </w:r>
      <w:r w:rsidR="00F6333A" w:rsidRPr="006D6B01">
        <w:rPr>
          <w:rFonts w:asciiTheme="majorHAnsi" w:hAnsiTheme="majorHAnsi"/>
          <w:sz w:val="20"/>
          <w:szCs w:val="20"/>
        </w:rPr>
        <w:t xml:space="preserve"> Serious concerns about the conditions of detention in the </w:t>
      </w:r>
      <w:r w:rsidR="00BB4FCD" w:rsidRPr="006D6B01">
        <w:rPr>
          <w:rFonts w:asciiTheme="majorHAnsi" w:hAnsiTheme="majorHAnsi"/>
          <w:sz w:val="20"/>
          <w:szCs w:val="20"/>
        </w:rPr>
        <w:t xml:space="preserve">Carmichael Center </w:t>
      </w:r>
      <w:r w:rsidR="00F6333A" w:rsidRPr="006D6B01">
        <w:rPr>
          <w:rFonts w:asciiTheme="majorHAnsi" w:hAnsiTheme="majorHAnsi"/>
          <w:sz w:val="20"/>
          <w:szCs w:val="20"/>
        </w:rPr>
        <w:t>have also been raised by the Special Rapporteur on the question of torture and the Special Rapporteur on the independence of judges and lawyers, in relation to alleged beatings and subjection to mock executions.</w:t>
      </w:r>
      <w:r w:rsidR="00F6333A" w:rsidRPr="006D6B01">
        <w:rPr>
          <w:rStyle w:val="FootnoteReference"/>
          <w:rFonts w:asciiTheme="majorHAnsi" w:hAnsiTheme="majorHAnsi"/>
          <w:sz w:val="20"/>
          <w:szCs w:val="20"/>
        </w:rPr>
        <w:footnoteReference w:id="26"/>
      </w:r>
      <w:r w:rsidR="00F6333A" w:rsidRPr="006D6B01">
        <w:rPr>
          <w:rFonts w:asciiTheme="majorHAnsi" w:hAnsiTheme="majorHAnsi"/>
          <w:sz w:val="20"/>
          <w:szCs w:val="20"/>
        </w:rPr>
        <w:t xml:space="preserve"> </w:t>
      </w:r>
      <w:r w:rsidR="00A12F71" w:rsidRPr="006D6B01">
        <w:rPr>
          <w:rFonts w:asciiTheme="majorHAnsi" w:hAnsiTheme="majorHAnsi"/>
          <w:sz w:val="20"/>
          <w:szCs w:val="20"/>
        </w:rPr>
        <w:t>Similarly</w:t>
      </w:r>
      <w:r w:rsidR="00D30870" w:rsidRPr="006D6B01">
        <w:rPr>
          <w:rFonts w:asciiTheme="majorHAnsi" w:hAnsiTheme="majorHAnsi"/>
          <w:sz w:val="20"/>
          <w:szCs w:val="20"/>
        </w:rPr>
        <w:t>, t</w:t>
      </w:r>
      <w:r w:rsidR="00F6333A" w:rsidRPr="006D6B01">
        <w:rPr>
          <w:rFonts w:asciiTheme="majorHAnsi" w:hAnsiTheme="majorHAnsi"/>
          <w:sz w:val="20"/>
          <w:szCs w:val="20"/>
        </w:rPr>
        <w:t>he Special Rapporteur on trafficking in persons, especially women and children also observed that “the Centre was obviously overcrowded”.</w:t>
      </w:r>
      <w:r w:rsidR="00F6333A" w:rsidRPr="006D6B01">
        <w:rPr>
          <w:rStyle w:val="FootnoteReference"/>
          <w:rFonts w:asciiTheme="majorHAnsi" w:hAnsiTheme="majorHAnsi"/>
          <w:sz w:val="20"/>
          <w:szCs w:val="20"/>
        </w:rPr>
        <w:footnoteReference w:id="27"/>
      </w:r>
      <w:r w:rsidR="00F6333A" w:rsidRPr="006D6B01">
        <w:rPr>
          <w:rFonts w:asciiTheme="majorHAnsi" w:hAnsiTheme="majorHAnsi"/>
          <w:sz w:val="20"/>
          <w:szCs w:val="20"/>
        </w:rPr>
        <w:t xml:space="preserve">  In addition, the UNHCR “repeat[ed] its recommendation that the Government not only contemplate improving detention conditions but, more importantly, also consider alternatives to detention, especially for asylum-seekers, refugees, stateless persons and other vulnerable individuals”.</w:t>
      </w:r>
      <w:r w:rsidR="00F6333A" w:rsidRPr="006D6B01">
        <w:rPr>
          <w:rStyle w:val="FootnoteReference"/>
          <w:rFonts w:asciiTheme="majorHAnsi" w:hAnsiTheme="majorHAnsi"/>
          <w:sz w:val="20"/>
          <w:szCs w:val="20"/>
        </w:rPr>
        <w:footnoteReference w:id="28"/>
      </w:r>
      <w:r w:rsidR="00F6333A" w:rsidRPr="006D6B01">
        <w:rPr>
          <w:rFonts w:asciiTheme="majorHAnsi" w:hAnsiTheme="majorHAnsi"/>
          <w:sz w:val="20"/>
          <w:szCs w:val="20"/>
        </w:rPr>
        <w:t xml:space="preserve"> Finally, the UNHCR and CEDAW were both especially “concerned about…the inadequate detention conditions, particularly for women and children”.</w:t>
      </w:r>
      <w:r w:rsidR="00F6333A" w:rsidRPr="006D6B01">
        <w:rPr>
          <w:rStyle w:val="FootnoteReference"/>
          <w:rFonts w:asciiTheme="majorHAnsi" w:hAnsiTheme="majorHAnsi"/>
          <w:sz w:val="20"/>
          <w:szCs w:val="20"/>
        </w:rPr>
        <w:footnoteReference w:id="29"/>
      </w:r>
    </w:p>
    <w:p w14:paraId="204C83EE" w14:textId="77777777" w:rsidR="00F6333A" w:rsidRPr="006D6B01" w:rsidRDefault="00F6333A" w:rsidP="004311FE">
      <w:pPr>
        <w:pStyle w:val="ListParagraph"/>
        <w:tabs>
          <w:tab w:val="left" w:pos="360"/>
        </w:tabs>
        <w:ind w:left="0"/>
        <w:rPr>
          <w:rFonts w:asciiTheme="majorHAnsi" w:hAnsiTheme="majorHAnsi"/>
          <w:sz w:val="20"/>
          <w:szCs w:val="20"/>
        </w:rPr>
      </w:pPr>
    </w:p>
    <w:p w14:paraId="326E093E" w14:textId="77777777" w:rsidR="00F6333A" w:rsidRPr="00DB1191" w:rsidRDefault="00D34298"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DB1191">
        <w:rPr>
          <w:rFonts w:asciiTheme="majorHAnsi" w:hAnsiTheme="majorHAnsi"/>
          <w:sz w:val="20"/>
          <w:szCs w:val="20"/>
        </w:rPr>
        <w:t>The IACHR notes that “a</w:t>
      </w:r>
      <w:r w:rsidR="00F6333A" w:rsidRPr="00DB1191">
        <w:rPr>
          <w:rFonts w:asciiTheme="majorHAnsi" w:hAnsiTheme="majorHAnsi"/>
          <w:sz w:val="20"/>
          <w:szCs w:val="20"/>
        </w:rPr>
        <w:t>lthough the Carmichael Centre is designed to be a temporary holding center pending deportation, in reality, some migrants are held there for prolonged periods of time – weeks, even months”.</w:t>
      </w:r>
      <w:r w:rsidR="00F6333A" w:rsidRPr="00DB1191">
        <w:rPr>
          <w:rStyle w:val="FootnoteReference"/>
          <w:rFonts w:asciiTheme="majorHAnsi" w:hAnsiTheme="majorHAnsi"/>
          <w:sz w:val="20"/>
          <w:szCs w:val="20"/>
        </w:rPr>
        <w:footnoteReference w:id="30"/>
      </w:r>
      <w:r w:rsidR="00F6333A" w:rsidRPr="00DB1191">
        <w:rPr>
          <w:rFonts w:asciiTheme="majorHAnsi" w:hAnsiTheme="majorHAnsi"/>
          <w:sz w:val="20"/>
          <w:szCs w:val="20"/>
        </w:rPr>
        <w:t xml:space="preserve"> Accordingly, CERD was “disturbed at reports emphasizing that such detention sometimes extends to a year and more, depending on migrants’ nationalities”.</w:t>
      </w:r>
      <w:r w:rsidR="00F6333A" w:rsidRPr="00DB1191">
        <w:rPr>
          <w:rStyle w:val="FootnoteReference"/>
          <w:rFonts w:asciiTheme="majorHAnsi" w:hAnsiTheme="majorHAnsi"/>
          <w:sz w:val="20"/>
          <w:szCs w:val="20"/>
        </w:rPr>
        <w:footnoteReference w:id="31"/>
      </w:r>
      <w:r w:rsidR="00F6333A" w:rsidRPr="00DB1191">
        <w:rPr>
          <w:rFonts w:asciiTheme="majorHAnsi" w:hAnsiTheme="majorHAnsi"/>
          <w:sz w:val="20"/>
          <w:szCs w:val="20"/>
        </w:rPr>
        <w:t xml:space="preserve"> These co</w:t>
      </w:r>
      <w:r w:rsidR="008C4992" w:rsidRPr="00DB1191">
        <w:rPr>
          <w:rFonts w:asciiTheme="majorHAnsi" w:hAnsiTheme="majorHAnsi"/>
          <w:sz w:val="20"/>
          <w:szCs w:val="20"/>
        </w:rPr>
        <w:t xml:space="preserve">ncerns were also shared by the Special Rapporteur </w:t>
      </w:r>
      <w:r w:rsidR="00F6333A" w:rsidRPr="00DB1191">
        <w:rPr>
          <w:rFonts w:asciiTheme="majorHAnsi" w:hAnsiTheme="majorHAnsi"/>
          <w:sz w:val="20"/>
          <w:szCs w:val="20"/>
        </w:rPr>
        <w:t>on trafficking in persons, especially women</w:t>
      </w:r>
      <w:r w:rsidR="008C4992" w:rsidRPr="00DB1191">
        <w:rPr>
          <w:rFonts w:asciiTheme="majorHAnsi" w:hAnsiTheme="majorHAnsi"/>
          <w:sz w:val="20"/>
          <w:szCs w:val="20"/>
        </w:rPr>
        <w:t xml:space="preserve"> and children who</w:t>
      </w:r>
      <w:r w:rsidR="00F6333A" w:rsidRPr="00DB1191">
        <w:rPr>
          <w:rFonts w:asciiTheme="majorHAnsi" w:hAnsiTheme="majorHAnsi"/>
          <w:sz w:val="20"/>
          <w:szCs w:val="20"/>
        </w:rPr>
        <w:t xml:space="preserve"> </w:t>
      </w:r>
      <w:r w:rsidR="008C4992" w:rsidRPr="00DB1191">
        <w:rPr>
          <w:rFonts w:asciiTheme="majorHAnsi" w:hAnsiTheme="majorHAnsi"/>
          <w:sz w:val="20"/>
          <w:szCs w:val="20"/>
        </w:rPr>
        <w:t>“</w:t>
      </w:r>
      <w:r w:rsidR="00F6333A" w:rsidRPr="00DB1191">
        <w:rPr>
          <w:rFonts w:asciiTheme="majorHAnsi" w:hAnsiTheme="majorHAnsi"/>
          <w:sz w:val="20"/>
          <w:szCs w:val="20"/>
        </w:rPr>
        <w:t>expressed concern with regard to the poor conditions and the length of detention, which do not meet international standards”.</w:t>
      </w:r>
      <w:r w:rsidR="00F6333A" w:rsidRPr="00DB1191">
        <w:rPr>
          <w:rStyle w:val="FootnoteReference"/>
          <w:rFonts w:asciiTheme="majorHAnsi" w:hAnsiTheme="majorHAnsi"/>
          <w:sz w:val="20"/>
          <w:szCs w:val="20"/>
        </w:rPr>
        <w:footnoteReference w:id="32"/>
      </w:r>
    </w:p>
    <w:p w14:paraId="3747CAAE" w14:textId="77777777" w:rsidR="00843E04" w:rsidRPr="00DB1191" w:rsidRDefault="00843E04" w:rsidP="004311FE">
      <w:pPr>
        <w:pStyle w:val="ListParagraph"/>
        <w:tabs>
          <w:tab w:val="left" w:pos="360"/>
        </w:tabs>
        <w:ind w:left="0"/>
        <w:rPr>
          <w:rFonts w:asciiTheme="majorHAnsi" w:hAnsiTheme="majorHAnsi"/>
          <w:sz w:val="20"/>
          <w:szCs w:val="20"/>
        </w:rPr>
      </w:pPr>
    </w:p>
    <w:p w14:paraId="18A7C885" w14:textId="1E205FDA" w:rsidR="000218BC" w:rsidRPr="00DB1191" w:rsidRDefault="00843E04"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DB1191">
        <w:rPr>
          <w:rFonts w:asciiTheme="majorHAnsi" w:hAnsiTheme="majorHAnsi"/>
          <w:sz w:val="20"/>
          <w:szCs w:val="20"/>
        </w:rPr>
        <w:t xml:space="preserve">Regarding </w:t>
      </w:r>
      <w:r w:rsidR="00794E3D" w:rsidRPr="00DB1191">
        <w:rPr>
          <w:rFonts w:asciiTheme="majorHAnsi" w:hAnsiTheme="majorHAnsi"/>
          <w:sz w:val="20"/>
          <w:szCs w:val="20"/>
        </w:rPr>
        <w:t>the</w:t>
      </w:r>
      <w:r w:rsidR="00EB171F" w:rsidRPr="00DB1191">
        <w:rPr>
          <w:rFonts w:asciiTheme="majorHAnsi" w:hAnsiTheme="majorHAnsi"/>
          <w:sz w:val="20"/>
          <w:szCs w:val="20"/>
        </w:rPr>
        <w:t xml:space="preserve"> detention</w:t>
      </w:r>
      <w:r w:rsidR="00794E3D" w:rsidRPr="00DB1191">
        <w:rPr>
          <w:rFonts w:asciiTheme="majorHAnsi" w:hAnsiTheme="majorHAnsi"/>
          <w:sz w:val="20"/>
          <w:szCs w:val="20"/>
        </w:rPr>
        <w:t xml:space="preserve"> </w:t>
      </w:r>
      <w:r w:rsidRPr="00DB1191">
        <w:rPr>
          <w:rFonts w:asciiTheme="majorHAnsi" w:hAnsiTheme="majorHAnsi"/>
          <w:sz w:val="20"/>
          <w:szCs w:val="20"/>
        </w:rPr>
        <w:t xml:space="preserve">conditions, the Commission granted precautionary measures on February 13, 2015 in favor of the persons in immigration detention at </w:t>
      </w:r>
      <w:r w:rsidR="00960FD9" w:rsidRPr="00DB1191">
        <w:rPr>
          <w:rFonts w:asciiTheme="majorHAnsi" w:hAnsiTheme="majorHAnsi"/>
          <w:sz w:val="20"/>
          <w:szCs w:val="20"/>
        </w:rPr>
        <w:t>Carmichael Center</w:t>
      </w:r>
      <w:r w:rsidRPr="00DB1191">
        <w:rPr>
          <w:rFonts w:asciiTheme="majorHAnsi" w:hAnsiTheme="majorHAnsi"/>
          <w:sz w:val="20"/>
          <w:szCs w:val="20"/>
        </w:rPr>
        <w:t xml:space="preserve">. </w:t>
      </w:r>
      <w:r w:rsidR="000218BC" w:rsidRPr="00DB1191">
        <w:rPr>
          <w:rFonts w:asciiTheme="majorHAnsi" w:hAnsiTheme="majorHAnsi"/>
          <w:sz w:val="20"/>
          <w:szCs w:val="20"/>
        </w:rPr>
        <w:t xml:space="preserve">The Commission found inhumane conditions, with extreme overcrowding and lack of appropriate medical attention. </w:t>
      </w:r>
      <w:r w:rsidR="00960FD9" w:rsidRPr="00DB1191">
        <w:rPr>
          <w:rFonts w:asciiTheme="majorHAnsi" w:hAnsiTheme="majorHAnsi"/>
          <w:sz w:val="20"/>
          <w:szCs w:val="20"/>
        </w:rPr>
        <w:t>Therefore, t</w:t>
      </w:r>
      <w:r w:rsidR="000218BC" w:rsidRPr="00DB1191">
        <w:rPr>
          <w:rFonts w:asciiTheme="majorHAnsi" w:hAnsiTheme="majorHAnsi"/>
          <w:sz w:val="20"/>
          <w:szCs w:val="20"/>
        </w:rPr>
        <w:t xml:space="preserve">he Commission requested the State to adopt the necessary measures to ensure the life and physical integrity of persons </w:t>
      </w:r>
      <w:r w:rsidR="00960FD9" w:rsidRPr="00DB1191">
        <w:rPr>
          <w:rFonts w:asciiTheme="majorHAnsi" w:hAnsiTheme="majorHAnsi"/>
          <w:sz w:val="20"/>
          <w:szCs w:val="20"/>
        </w:rPr>
        <w:t>taken into</w:t>
      </w:r>
      <w:r w:rsidR="00EB171F" w:rsidRPr="00DB1191">
        <w:rPr>
          <w:rFonts w:asciiTheme="majorHAnsi" w:hAnsiTheme="majorHAnsi"/>
          <w:sz w:val="20"/>
          <w:szCs w:val="20"/>
        </w:rPr>
        <w:t xml:space="preserve"> custody</w:t>
      </w:r>
      <w:r w:rsidR="000218BC" w:rsidRPr="00DB1191">
        <w:rPr>
          <w:rFonts w:asciiTheme="majorHAnsi" w:hAnsiTheme="majorHAnsi"/>
          <w:sz w:val="20"/>
          <w:szCs w:val="20"/>
        </w:rPr>
        <w:t xml:space="preserve"> at </w:t>
      </w:r>
      <w:r w:rsidR="00EB171F" w:rsidRPr="00DB1191">
        <w:rPr>
          <w:rFonts w:asciiTheme="majorHAnsi" w:hAnsiTheme="majorHAnsi"/>
          <w:sz w:val="20"/>
          <w:szCs w:val="20"/>
        </w:rPr>
        <w:t xml:space="preserve">the said </w:t>
      </w:r>
      <w:r w:rsidR="000218BC" w:rsidRPr="00DB1191">
        <w:rPr>
          <w:rFonts w:asciiTheme="majorHAnsi" w:hAnsiTheme="majorHAnsi"/>
          <w:sz w:val="20"/>
          <w:szCs w:val="20"/>
        </w:rPr>
        <w:t>Center</w:t>
      </w:r>
      <w:r w:rsidR="00EB171F" w:rsidRPr="00DB1191">
        <w:rPr>
          <w:rFonts w:asciiTheme="majorHAnsi" w:hAnsiTheme="majorHAnsi"/>
          <w:sz w:val="20"/>
          <w:szCs w:val="20"/>
        </w:rPr>
        <w:t>, namely,</w:t>
      </w:r>
      <w:r w:rsidR="000218BC" w:rsidRPr="00DB1191">
        <w:rPr>
          <w:rFonts w:asciiTheme="majorHAnsi" w:hAnsiTheme="majorHAnsi"/>
          <w:sz w:val="20"/>
          <w:szCs w:val="20"/>
        </w:rPr>
        <w:t xml:space="preserve"> to provide hygienic conditions and adequate medical treatment to the persons in the facility, according to their respective medical conditions. The IACHR also requested the State to adopt the necessary measures to address the special situation of unaccompanied children, according to international standards; to implement measures to ensure that legal assistance is available to all of the beneficiaries; and to take immediate action to substantially reduce overcrowding </w:t>
      </w:r>
      <w:r w:rsidR="00056954" w:rsidRPr="00DB1191">
        <w:rPr>
          <w:rFonts w:asciiTheme="majorHAnsi" w:hAnsiTheme="majorHAnsi"/>
          <w:sz w:val="20"/>
          <w:szCs w:val="20"/>
        </w:rPr>
        <w:t>at the</w:t>
      </w:r>
      <w:r w:rsidR="000218BC" w:rsidRPr="00DB1191">
        <w:rPr>
          <w:rFonts w:asciiTheme="majorHAnsi" w:hAnsiTheme="majorHAnsi"/>
          <w:sz w:val="20"/>
          <w:szCs w:val="20"/>
        </w:rPr>
        <w:t xml:space="preserve"> Carmichael Center. </w:t>
      </w:r>
      <w:r w:rsidR="000F68D0" w:rsidRPr="00DB1191">
        <w:rPr>
          <w:rFonts w:asciiTheme="majorHAnsi" w:hAnsiTheme="majorHAnsi"/>
          <w:sz w:val="20"/>
          <w:szCs w:val="20"/>
        </w:rPr>
        <w:t>Also</w:t>
      </w:r>
      <w:r w:rsidR="000218BC" w:rsidRPr="00DB1191">
        <w:rPr>
          <w:rFonts w:asciiTheme="majorHAnsi" w:hAnsiTheme="majorHAnsi"/>
          <w:sz w:val="20"/>
          <w:szCs w:val="20"/>
        </w:rPr>
        <w:t xml:space="preserve">, the Commission requested to </w:t>
      </w:r>
      <w:r w:rsidR="00960FD9" w:rsidRPr="00DB1191">
        <w:rPr>
          <w:rFonts w:asciiTheme="majorHAnsi" w:hAnsiTheme="majorHAnsi"/>
          <w:sz w:val="20"/>
          <w:szCs w:val="20"/>
        </w:rPr>
        <w:t xml:space="preserve">initiate proceedings regarding the </w:t>
      </w:r>
      <w:r w:rsidR="000218BC" w:rsidRPr="00DB1191">
        <w:rPr>
          <w:rFonts w:asciiTheme="majorHAnsi" w:hAnsiTheme="majorHAnsi"/>
          <w:sz w:val="20"/>
          <w:szCs w:val="20"/>
        </w:rPr>
        <w:t xml:space="preserve">facts that gave rise to the adoption of these precautionary measures in order to avoid their repetition; and to ensure that civil society organizations and relevant international organizations </w:t>
      </w:r>
      <w:r w:rsidR="00960FD9" w:rsidRPr="00DB1191">
        <w:rPr>
          <w:rFonts w:asciiTheme="majorHAnsi" w:hAnsiTheme="majorHAnsi"/>
          <w:sz w:val="20"/>
          <w:szCs w:val="20"/>
        </w:rPr>
        <w:t>gain</w:t>
      </w:r>
      <w:r w:rsidR="000218BC" w:rsidRPr="00DB1191">
        <w:rPr>
          <w:rFonts w:asciiTheme="majorHAnsi" w:hAnsiTheme="majorHAnsi"/>
          <w:sz w:val="20"/>
          <w:szCs w:val="20"/>
        </w:rPr>
        <w:t xml:space="preserve"> access to the </w:t>
      </w:r>
      <w:r w:rsidR="00080DA0" w:rsidRPr="00DB1191">
        <w:rPr>
          <w:rFonts w:asciiTheme="majorHAnsi" w:hAnsiTheme="majorHAnsi"/>
          <w:sz w:val="20"/>
          <w:szCs w:val="20"/>
        </w:rPr>
        <w:t xml:space="preserve">said facilities to </w:t>
      </w:r>
      <w:r w:rsidR="000218BC" w:rsidRPr="00DB1191">
        <w:rPr>
          <w:rFonts w:asciiTheme="majorHAnsi" w:hAnsiTheme="majorHAnsi"/>
          <w:sz w:val="20"/>
          <w:szCs w:val="20"/>
        </w:rPr>
        <w:t xml:space="preserve">monitoring </w:t>
      </w:r>
      <w:r w:rsidR="00080DA0" w:rsidRPr="00DB1191">
        <w:rPr>
          <w:rFonts w:asciiTheme="majorHAnsi" w:hAnsiTheme="majorHAnsi"/>
          <w:sz w:val="20"/>
          <w:szCs w:val="20"/>
        </w:rPr>
        <w:t xml:space="preserve">the </w:t>
      </w:r>
      <w:r w:rsidR="000218BC" w:rsidRPr="00DB1191">
        <w:rPr>
          <w:rFonts w:asciiTheme="majorHAnsi" w:hAnsiTheme="majorHAnsi"/>
          <w:sz w:val="20"/>
          <w:szCs w:val="20"/>
        </w:rPr>
        <w:t>detention conditions</w:t>
      </w:r>
      <w:r w:rsidR="005D1D4E" w:rsidRPr="00DB1191">
        <w:rPr>
          <w:rStyle w:val="FootnoteReference"/>
          <w:rFonts w:asciiTheme="majorHAnsi" w:hAnsiTheme="majorHAnsi"/>
          <w:sz w:val="20"/>
          <w:szCs w:val="20"/>
        </w:rPr>
        <w:footnoteReference w:id="33"/>
      </w:r>
      <w:r w:rsidR="000218BC" w:rsidRPr="00DB1191">
        <w:rPr>
          <w:rFonts w:asciiTheme="majorHAnsi" w:hAnsiTheme="majorHAnsi"/>
          <w:sz w:val="20"/>
          <w:szCs w:val="20"/>
        </w:rPr>
        <w:t>.</w:t>
      </w:r>
      <w:r w:rsidR="00DE4AB6" w:rsidRPr="00DB1191">
        <w:rPr>
          <w:rFonts w:asciiTheme="majorHAnsi" w:hAnsiTheme="majorHAnsi"/>
          <w:sz w:val="20"/>
          <w:szCs w:val="20"/>
        </w:rPr>
        <w:t xml:space="preserve"> Additionally, in a hearing before the Commission, representatives of civil society organizations alleged</w:t>
      </w:r>
      <w:r w:rsidR="006C7009" w:rsidRPr="00DB1191">
        <w:rPr>
          <w:rFonts w:asciiTheme="majorHAnsi" w:hAnsiTheme="majorHAnsi"/>
          <w:sz w:val="20"/>
          <w:szCs w:val="20"/>
        </w:rPr>
        <w:t xml:space="preserve"> that detainees are kept in unsafe and unsanitary conditions and that children have been kept with un-related adults for days at a time. Likewise, </w:t>
      </w:r>
      <w:r w:rsidR="00616D08" w:rsidRPr="00DB1191">
        <w:rPr>
          <w:rFonts w:asciiTheme="majorHAnsi" w:hAnsiTheme="majorHAnsi"/>
          <w:sz w:val="20"/>
          <w:szCs w:val="20"/>
        </w:rPr>
        <w:t xml:space="preserve">they </w:t>
      </w:r>
      <w:r w:rsidR="006C7009" w:rsidRPr="00DB1191">
        <w:rPr>
          <w:rFonts w:asciiTheme="majorHAnsi" w:hAnsiTheme="majorHAnsi"/>
          <w:sz w:val="20"/>
          <w:szCs w:val="20"/>
        </w:rPr>
        <w:t>mentioned</w:t>
      </w:r>
      <w:r w:rsidR="00DE4AB6" w:rsidRPr="00DB1191">
        <w:rPr>
          <w:rFonts w:asciiTheme="majorHAnsi" w:hAnsiTheme="majorHAnsi"/>
          <w:sz w:val="20"/>
          <w:szCs w:val="20"/>
        </w:rPr>
        <w:t xml:space="preserve"> the lack of legal aid, language barriers, limitations to</w:t>
      </w:r>
      <w:r w:rsidR="00056954" w:rsidRPr="00DB1191">
        <w:rPr>
          <w:rFonts w:asciiTheme="majorHAnsi" w:hAnsiTheme="majorHAnsi"/>
          <w:sz w:val="20"/>
          <w:szCs w:val="20"/>
        </w:rPr>
        <w:t xml:space="preserve"> access to</w:t>
      </w:r>
      <w:r w:rsidR="00DE4AB6" w:rsidRPr="00DB1191">
        <w:rPr>
          <w:rFonts w:asciiTheme="majorHAnsi" w:hAnsiTheme="majorHAnsi"/>
          <w:sz w:val="20"/>
          <w:szCs w:val="20"/>
        </w:rPr>
        <w:t xml:space="preserve"> justice </w:t>
      </w:r>
      <w:r w:rsidR="00056954" w:rsidRPr="00DB1191">
        <w:rPr>
          <w:rFonts w:asciiTheme="majorHAnsi" w:hAnsiTheme="majorHAnsi"/>
          <w:sz w:val="20"/>
          <w:szCs w:val="20"/>
        </w:rPr>
        <w:t>and the absence of domestic remedies to challenge decisions regarding their status</w:t>
      </w:r>
      <w:r w:rsidR="00EF5147" w:rsidRPr="00DB1191">
        <w:rPr>
          <w:rStyle w:val="FootnoteReference"/>
          <w:rFonts w:asciiTheme="majorHAnsi" w:hAnsiTheme="majorHAnsi"/>
          <w:sz w:val="20"/>
          <w:szCs w:val="20"/>
        </w:rPr>
        <w:footnoteReference w:id="34"/>
      </w:r>
      <w:r w:rsidR="00DE4AB6" w:rsidRPr="00DB1191">
        <w:rPr>
          <w:rFonts w:asciiTheme="majorHAnsi" w:hAnsiTheme="majorHAnsi"/>
          <w:sz w:val="20"/>
          <w:szCs w:val="20"/>
        </w:rPr>
        <w:t xml:space="preserve">. </w:t>
      </w:r>
      <w:r w:rsidR="000F68D0" w:rsidRPr="00DB1191">
        <w:rPr>
          <w:rFonts w:asciiTheme="majorHAnsi" w:hAnsiTheme="majorHAnsi"/>
          <w:sz w:val="20"/>
          <w:szCs w:val="20"/>
        </w:rPr>
        <w:t>Lastly</w:t>
      </w:r>
      <w:r w:rsidR="00EF5147" w:rsidRPr="00DB1191">
        <w:rPr>
          <w:rFonts w:asciiTheme="majorHAnsi" w:hAnsiTheme="majorHAnsi"/>
          <w:sz w:val="20"/>
          <w:szCs w:val="20"/>
        </w:rPr>
        <w:t>, on January 7, 2015, the IACHR requested information to the Bahamas regarding its immigration polic</w:t>
      </w:r>
      <w:r w:rsidR="00056954" w:rsidRPr="00DB1191">
        <w:rPr>
          <w:rFonts w:asciiTheme="majorHAnsi" w:hAnsiTheme="majorHAnsi"/>
          <w:sz w:val="20"/>
          <w:szCs w:val="20"/>
        </w:rPr>
        <w:t>ies</w:t>
      </w:r>
      <w:r w:rsidR="00EF5147" w:rsidRPr="00DB1191">
        <w:rPr>
          <w:rFonts w:asciiTheme="majorHAnsi" w:hAnsiTheme="majorHAnsi"/>
          <w:sz w:val="20"/>
          <w:szCs w:val="20"/>
        </w:rPr>
        <w:t xml:space="preserve">, </w:t>
      </w:r>
      <w:r w:rsidR="00EF5147" w:rsidRPr="00DB1191">
        <w:rPr>
          <w:rFonts w:asciiTheme="majorHAnsi" w:hAnsiTheme="majorHAnsi"/>
          <w:sz w:val="20"/>
          <w:szCs w:val="20"/>
        </w:rPr>
        <w:lastRenderedPageBreak/>
        <w:t>including the detention</w:t>
      </w:r>
      <w:r w:rsidR="00056954" w:rsidRPr="00DB1191">
        <w:rPr>
          <w:rFonts w:asciiTheme="majorHAnsi" w:hAnsiTheme="majorHAnsi"/>
          <w:sz w:val="20"/>
          <w:szCs w:val="20"/>
        </w:rPr>
        <w:t xml:space="preserve"> conditions</w:t>
      </w:r>
      <w:r w:rsidR="00EF5147" w:rsidRPr="00DB1191">
        <w:rPr>
          <w:rFonts w:asciiTheme="majorHAnsi" w:hAnsiTheme="majorHAnsi"/>
          <w:sz w:val="20"/>
          <w:szCs w:val="20"/>
        </w:rPr>
        <w:t xml:space="preserve"> </w:t>
      </w:r>
      <w:r w:rsidR="00056954" w:rsidRPr="00DB1191">
        <w:rPr>
          <w:rFonts w:asciiTheme="majorHAnsi" w:hAnsiTheme="majorHAnsi"/>
          <w:sz w:val="20"/>
          <w:szCs w:val="20"/>
        </w:rPr>
        <w:t xml:space="preserve">at </w:t>
      </w:r>
      <w:r w:rsidR="00EF5147" w:rsidRPr="00DB1191">
        <w:rPr>
          <w:rFonts w:asciiTheme="majorHAnsi" w:hAnsiTheme="majorHAnsi"/>
          <w:sz w:val="20"/>
          <w:szCs w:val="20"/>
        </w:rPr>
        <w:t>the Carmichael Center</w:t>
      </w:r>
      <w:r w:rsidR="00EF5147" w:rsidRPr="00DB1191">
        <w:rPr>
          <w:rStyle w:val="FootnoteReference"/>
          <w:rFonts w:asciiTheme="majorHAnsi" w:hAnsiTheme="majorHAnsi"/>
          <w:sz w:val="20"/>
          <w:szCs w:val="20"/>
        </w:rPr>
        <w:footnoteReference w:id="35"/>
      </w:r>
      <w:r w:rsidR="002A40A7" w:rsidRPr="00DB1191">
        <w:rPr>
          <w:rFonts w:asciiTheme="majorHAnsi" w:hAnsiTheme="majorHAnsi"/>
          <w:sz w:val="20"/>
          <w:szCs w:val="20"/>
        </w:rPr>
        <w:t>; nevertheless the State requested more time to address the matter adequately</w:t>
      </w:r>
      <w:r w:rsidR="002A40A7" w:rsidRPr="00DB1191">
        <w:rPr>
          <w:rStyle w:val="FootnoteReference"/>
          <w:rFonts w:asciiTheme="majorHAnsi" w:hAnsiTheme="majorHAnsi"/>
          <w:sz w:val="20"/>
          <w:szCs w:val="20"/>
        </w:rPr>
        <w:footnoteReference w:id="36"/>
      </w:r>
      <w:r w:rsidR="00056954" w:rsidRPr="00DB1191">
        <w:rPr>
          <w:rFonts w:asciiTheme="majorHAnsi" w:hAnsiTheme="majorHAnsi"/>
          <w:sz w:val="20"/>
          <w:szCs w:val="20"/>
        </w:rPr>
        <w:t xml:space="preserve">, but submitting </w:t>
      </w:r>
      <w:r w:rsidR="002A40A7" w:rsidRPr="00DB1191">
        <w:rPr>
          <w:rFonts w:asciiTheme="majorHAnsi" w:hAnsiTheme="majorHAnsi"/>
          <w:sz w:val="20"/>
          <w:szCs w:val="20"/>
        </w:rPr>
        <w:t>no</w:t>
      </w:r>
      <w:r w:rsidR="00056954" w:rsidRPr="00DB1191">
        <w:rPr>
          <w:rFonts w:asciiTheme="majorHAnsi" w:hAnsiTheme="majorHAnsi"/>
          <w:sz w:val="20"/>
          <w:szCs w:val="20"/>
        </w:rPr>
        <w:t xml:space="preserve"> further </w:t>
      </w:r>
      <w:r w:rsidR="002A40A7" w:rsidRPr="00DB1191">
        <w:rPr>
          <w:rFonts w:asciiTheme="majorHAnsi" w:hAnsiTheme="majorHAnsi"/>
          <w:sz w:val="20"/>
          <w:szCs w:val="20"/>
        </w:rPr>
        <w:t xml:space="preserve">additional information. </w:t>
      </w:r>
      <w:r w:rsidR="00EF5147" w:rsidRPr="00DB1191">
        <w:rPr>
          <w:rFonts w:asciiTheme="majorHAnsi" w:hAnsiTheme="majorHAnsi"/>
          <w:sz w:val="20"/>
          <w:szCs w:val="20"/>
        </w:rPr>
        <w:t xml:space="preserve"> </w:t>
      </w:r>
    </w:p>
    <w:p w14:paraId="426569D0" w14:textId="77777777" w:rsidR="008C4992" w:rsidRPr="006D6B01" w:rsidRDefault="008C4992" w:rsidP="004311FE">
      <w:pPr>
        <w:tabs>
          <w:tab w:val="left" w:pos="360"/>
        </w:tabs>
        <w:rPr>
          <w:rFonts w:asciiTheme="majorHAnsi" w:hAnsiTheme="majorHAnsi"/>
          <w:sz w:val="20"/>
          <w:szCs w:val="20"/>
        </w:rPr>
      </w:pPr>
    </w:p>
    <w:p w14:paraId="479925AE" w14:textId="77777777" w:rsidR="00A00DE8" w:rsidRPr="006D6B01" w:rsidRDefault="004E6704"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6D6B01">
        <w:rPr>
          <w:rFonts w:asciiTheme="majorHAnsi" w:hAnsiTheme="majorHAnsi"/>
          <w:sz w:val="20"/>
          <w:szCs w:val="20"/>
        </w:rPr>
        <w:t>Finally</w:t>
      </w:r>
      <w:r w:rsidR="008C4992" w:rsidRPr="006D6B01">
        <w:rPr>
          <w:rFonts w:asciiTheme="majorHAnsi" w:hAnsiTheme="majorHAnsi"/>
          <w:sz w:val="20"/>
          <w:szCs w:val="20"/>
        </w:rPr>
        <w:t>, the IACHR takes note of reports of t</w:t>
      </w:r>
      <w:r w:rsidRPr="006D6B01">
        <w:rPr>
          <w:rFonts w:asciiTheme="majorHAnsi" w:hAnsiTheme="majorHAnsi"/>
          <w:sz w:val="20"/>
          <w:szCs w:val="20"/>
        </w:rPr>
        <w:t xml:space="preserve">he automatic detention of all </w:t>
      </w:r>
      <w:r w:rsidR="008C4992" w:rsidRPr="006D6B01">
        <w:rPr>
          <w:rFonts w:asciiTheme="majorHAnsi" w:hAnsiTheme="majorHAnsi"/>
          <w:sz w:val="20"/>
          <w:szCs w:val="20"/>
        </w:rPr>
        <w:t>migrants arriving in The Bahamas without the necessary documentation regardless of their reasons or motives for entering the State. Accordingly, “people entering [The Bahamas] without proper papers are automatically detained without such detention being subjected to judicial review”</w:t>
      </w:r>
      <w:r w:rsidR="008C4992" w:rsidRPr="006D6B01">
        <w:rPr>
          <w:rStyle w:val="FootnoteReference"/>
          <w:rFonts w:asciiTheme="majorHAnsi" w:hAnsiTheme="majorHAnsi"/>
          <w:sz w:val="20"/>
          <w:szCs w:val="20"/>
        </w:rPr>
        <w:footnoteReference w:id="37"/>
      </w:r>
      <w:r w:rsidR="008C4992" w:rsidRPr="006D6B01">
        <w:rPr>
          <w:rFonts w:asciiTheme="majorHAnsi" w:hAnsiTheme="majorHAnsi"/>
          <w:sz w:val="20"/>
          <w:szCs w:val="20"/>
        </w:rPr>
        <w:t xml:space="preserve"> and with rare access to legal representation.</w:t>
      </w:r>
      <w:r w:rsidR="008C4992" w:rsidRPr="006D6B01">
        <w:rPr>
          <w:rStyle w:val="FootnoteReference"/>
          <w:rFonts w:asciiTheme="majorHAnsi" w:hAnsiTheme="majorHAnsi"/>
          <w:sz w:val="20"/>
          <w:szCs w:val="20"/>
        </w:rPr>
        <w:footnoteReference w:id="38"/>
      </w:r>
    </w:p>
    <w:p w14:paraId="59476B3C" w14:textId="77777777" w:rsidR="00A00DE8" w:rsidRPr="006D6B01" w:rsidRDefault="00A00DE8" w:rsidP="004311FE">
      <w:pPr>
        <w:pStyle w:val="ListParagraph"/>
        <w:tabs>
          <w:tab w:val="left" w:pos="360"/>
        </w:tabs>
        <w:ind w:left="0"/>
        <w:rPr>
          <w:color w:val="548DD4" w:themeColor="text2" w:themeTint="99"/>
          <w:sz w:val="20"/>
          <w:szCs w:val="20"/>
        </w:rPr>
      </w:pPr>
    </w:p>
    <w:p w14:paraId="23E9D3A3" w14:textId="77777777" w:rsidR="00A00DE8" w:rsidRPr="006D6B01" w:rsidRDefault="00A00DE8"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6D6B01">
        <w:rPr>
          <w:rFonts w:asciiTheme="majorHAnsi" w:hAnsiTheme="majorHAnsi"/>
          <w:sz w:val="20"/>
          <w:szCs w:val="20"/>
        </w:rPr>
        <w:t xml:space="preserve">The Commission notes that many of the serious problems alleged at the time of the petitions at issue in this case, in 1998 and 2000, have persisted until the present day, according to the sources discussed in this section, which date from 1998 to 2018. In this regard, the Commission recalls that in the processing of this case, the State expressed its will to pass refugee legislation and improve detention conditions in Carmichael Center; notwithstanding, nearly two decades later, neither of these have come to pass. The Commission expresses its deep concern for the persistence of these conditions which, as will be discussed in this report, constitute or give rise to serious violations of human rights for the migrants and asylum seekers negatively affected by them. </w:t>
      </w:r>
    </w:p>
    <w:p w14:paraId="5C68CAD6" w14:textId="77777777" w:rsidR="00F6333A" w:rsidRPr="006D6B01" w:rsidRDefault="00F6333A" w:rsidP="004311FE">
      <w:pPr>
        <w:tabs>
          <w:tab w:val="left" w:pos="360"/>
        </w:tabs>
        <w:jc w:val="both"/>
        <w:rPr>
          <w:rFonts w:asciiTheme="majorHAnsi" w:hAnsiTheme="majorHAnsi"/>
          <w:b/>
          <w:sz w:val="20"/>
          <w:szCs w:val="20"/>
        </w:rPr>
      </w:pPr>
    </w:p>
    <w:p w14:paraId="3B3A5D8B" w14:textId="77777777" w:rsidR="00D33AB9" w:rsidRPr="006D6B01" w:rsidRDefault="00D33AB9" w:rsidP="004311FE">
      <w:pPr>
        <w:pStyle w:val="Heading2"/>
        <w:tabs>
          <w:tab w:val="left" w:pos="360"/>
        </w:tabs>
        <w:ind w:left="0" w:firstLine="0"/>
      </w:pPr>
      <w:bookmarkStart w:id="9" w:name="_Toc90557404"/>
      <w:proofErr w:type="spellStart"/>
      <w:r w:rsidRPr="006D6B01">
        <w:t>Facts</w:t>
      </w:r>
      <w:proofErr w:type="spellEnd"/>
      <w:r w:rsidRPr="006D6B01">
        <w:t xml:space="preserve"> of </w:t>
      </w:r>
      <w:proofErr w:type="spellStart"/>
      <w:r w:rsidRPr="006D6B01">
        <w:t>the</w:t>
      </w:r>
      <w:proofErr w:type="spellEnd"/>
      <w:r w:rsidRPr="006D6B01">
        <w:t xml:space="preserve"> case</w:t>
      </w:r>
      <w:bookmarkEnd w:id="9"/>
    </w:p>
    <w:p w14:paraId="49236341" w14:textId="77777777" w:rsidR="00D33AB9" w:rsidRPr="006D6B01" w:rsidRDefault="00D33AB9" w:rsidP="004311FE">
      <w:pPr>
        <w:pStyle w:val="ListParagraph"/>
        <w:tabs>
          <w:tab w:val="left" w:pos="360"/>
        </w:tabs>
        <w:ind w:left="0"/>
        <w:jc w:val="both"/>
        <w:rPr>
          <w:rFonts w:asciiTheme="majorHAnsi" w:hAnsiTheme="majorHAnsi"/>
          <w:b/>
          <w:color w:val="auto"/>
          <w:sz w:val="20"/>
          <w:szCs w:val="20"/>
        </w:rPr>
      </w:pPr>
    </w:p>
    <w:p w14:paraId="6DA39292" w14:textId="0090897B" w:rsidR="00945047" w:rsidRPr="007B234B" w:rsidRDefault="00945047" w:rsidP="004311FE">
      <w:pPr>
        <w:pStyle w:val="Heading3"/>
        <w:tabs>
          <w:tab w:val="left" w:pos="360"/>
        </w:tabs>
        <w:ind w:left="0" w:firstLine="0"/>
      </w:pPr>
      <w:bookmarkStart w:id="10" w:name="_Toc90557405"/>
      <w:r w:rsidRPr="007B234B">
        <w:t>The d</w:t>
      </w:r>
      <w:r w:rsidR="00E45705" w:rsidRPr="007B234B">
        <w:t xml:space="preserve">etention and repatriation of </w:t>
      </w:r>
      <w:r w:rsidRPr="007B234B">
        <w:t>Cuban nationals and Haitian nationals</w:t>
      </w:r>
      <w:bookmarkEnd w:id="10"/>
    </w:p>
    <w:p w14:paraId="373AE2B3" w14:textId="77777777" w:rsidR="00945047" w:rsidRPr="006D6B01" w:rsidRDefault="00945047" w:rsidP="004311FE">
      <w:pPr>
        <w:tabs>
          <w:tab w:val="left" w:pos="360"/>
        </w:tabs>
        <w:jc w:val="both"/>
        <w:rPr>
          <w:rFonts w:asciiTheme="majorHAnsi" w:hAnsiTheme="majorHAnsi"/>
          <w:sz w:val="20"/>
          <w:szCs w:val="20"/>
        </w:rPr>
      </w:pPr>
    </w:p>
    <w:p w14:paraId="6917CA03" w14:textId="00C831C4" w:rsidR="00EC2DB3" w:rsidRPr="006D6B01" w:rsidRDefault="0011096C"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6D6B01">
        <w:rPr>
          <w:rFonts w:asciiTheme="majorHAnsi" w:hAnsiTheme="majorHAnsi"/>
          <w:sz w:val="20"/>
          <w:szCs w:val="20"/>
        </w:rPr>
        <w:t xml:space="preserve">The Commission </w:t>
      </w:r>
      <w:r w:rsidR="001A136F" w:rsidRPr="006D6B01">
        <w:rPr>
          <w:rFonts w:asciiTheme="majorHAnsi" w:hAnsiTheme="majorHAnsi"/>
          <w:sz w:val="20"/>
          <w:szCs w:val="20"/>
        </w:rPr>
        <w:t xml:space="preserve">notes </w:t>
      </w:r>
      <w:r w:rsidRPr="006D6B01">
        <w:rPr>
          <w:rFonts w:asciiTheme="majorHAnsi" w:hAnsiTheme="majorHAnsi"/>
          <w:sz w:val="20"/>
          <w:szCs w:val="20"/>
        </w:rPr>
        <w:t xml:space="preserve">that the information regarding how the </w:t>
      </w:r>
      <w:r w:rsidR="00404876" w:rsidRPr="006D6B01">
        <w:rPr>
          <w:rFonts w:asciiTheme="majorHAnsi" w:hAnsiTheme="majorHAnsi"/>
          <w:sz w:val="20"/>
          <w:szCs w:val="20"/>
        </w:rPr>
        <w:t xml:space="preserve">alleged </w:t>
      </w:r>
      <w:r w:rsidRPr="006D6B01">
        <w:rPr>
          <w:rFonts w:asciiTheme="majorHAnsi" w:hAnsiTheme="majorHAnsi"/>
          <w:sz w:val="20"/>
          <w:szCs w:val="20"/>
        </w:rPr>
        <w:t xml:space="preserve">victims </w:t>
      </w:r>
      <w:r w:rsidR="000C1502" w:rsidRPr="006D6B01">
        <w:rPr>
          <w:rFonts w:asciiTheme="majorHAnsi" w:hAnsiTheme="majorHAnsi"/>
          <w:sz w:val="20"/>
          <w:szCs w:val="20"/>
        </w:rPr>
        <w:t>entered</w:t>
      </w:r>
      <w:r w:rsidRPr="006D6B01">
        <w:rPr>
          <w:rFonts w:asciiTheme="majorHAnsi" w:hAnsiTheme="majorHAnsi"/>
          <w:sz w:val="20"/>
          <w:szCs w:val="20"/>
        </w:rPr>
        <w:t xml:space="preserve"> The Bahamas and the subsequent events </w:t>
      </w:r>
      <w:r w:rsidR="000C1502" w:rsidRPr="006D6B01">
        <w:rPr>
          <w:rFonts w:asciiTheme="majorHAnsi" w:hAnsiTheme="majorHAnsi"/>
          <w:sz w:val="20"/>
          <w:szCs w:val="20"/>
        </w:rPr>
        <w:t xml:space="preserve">leading to their detention and </w:t>
      </w:r>
      <w:r w:rsidRPr="006D6B01">
        <w:rPr>
          <w:rFonts w:asciiTheme="majorHAnsi" w:hAnsiTheme="majorHAnsi"/>
          <w:sz w:val="20"/>
          <w:szCs w:val="20"/>
        </w:rPr>
        <w:t xml:space="preserve">deportation is fragmented and </w:t>
      </w:r>
      <w:r w:rsidR="00C35FFF" w:rsidRPr="006D6B01">
        <w:rPr>
          <w:rFonts w:asciiTheme="majorHAnsi" w:hAnsiTheme="majorHAnsi"/>
          <w:sz w:val="20"/>
          <w:szCs w:val="20"/>
        </w:rPr>
        <w:t xml:space="preserve">not </w:t>
      </w:r>
      <w:r w:rsidRPr="006D6B01">
        <w:rPr>
          <w:rFonts w:asciiTheme="majorHAnsi" w:hAnsiTheme="majorHAnsi"/>
          <w:sz w:val="20"/>
          <w:szCs w:val="20"/>
        </w:rPr>
        <w:t xml:space="preserve">individualized in </w:t>
      </w:r>
      <w:r w:rsidR="000C1502" w:rsidRPr="006D6B01">
        <w:rPr>
          <w:rFonts w:asciiTheme="majorHAnsi" w:hAnsiTheme="majorHAnsi"/>
          <w:sz w:val="20"/>
          <w:szCs w:val="20"/>
        </w:rPr>
        <w:t xml:space="preserve">relation to </w:t>
      </w:r>
      <w:r w:rsidR="00BC70D1" w:rsidRPr="006D6B01">
        <w:rPr>
          <w:rFonts w:asciiTheme="majorHAnsi" w:hAnsiTheme="majorHAnsi"/>
          <w:sz w:val="20"/>
          <w:szCs w:val="20"/>
        </w:rPr>
        <w:t xml:space="preserve">the </w:t>
      </w:r>
      <w:r w:rsidRPr="006D6B01">
        <w:rPr>
          <w:rFonts w:asciiTheme="majorHAnsi" w:hAnsiTheme="majorHAnsi"/>
          <w:sz w:val="20"/>
          <w:szCs w:val="20"/>
        </w:rPr>
        <w:t xml:space="preserve">majority of the </w:t>
      </w:r>
      <w:r w:rsidR="0023658A" w:rsidRPr="006D6B01">
        <w:rPr>
          <w:rFonts w:asciiTheme="majorHAnsi" w:hAnsiTheme="majorHAnsi"/>
          <w:sz w:val="20"/>
          <w:szCs w:val="20"/>
        </w:rPr>
        <w:t xml:space="preserve">alleged </w:t>
      </w:r>
      <w:r w:rsidR="000C1502" w:rsidRPr="006D6B01">
        <w:rPr>
          <w:rFonts w:asciiTheme="majorHAnsi" w:hAnsiTheme="majorHAnsi"/>
          <w:sz w:val="20"/>
          <w:szCs w:val="20"/>
        </w:rPr>
        <w:t>victims</w:t>
      </w:r>
      <w:r w:rsidRPr="006D6B01">
        <w:rPr>
          <w:rFonts w:asciiTheme="majorHAnsi" w:hAnsiTheme="majorHAnsi"/>
          <w:sz w:val="20"/>
          <w:szCs w:val="20"/>
        </w:rPr>
        <w:t xml:space="preserve">. </w:t>
      </w:r>
      <w:r w:rsidR="001A136F" w:rsidRPr="006D6B01">
        <w:rPr>
          <w:rFonts w:asciiTheme="majorHAnsi" w:hAnsiTheme="majorHAnsi"/>
          <w:sz w:val="20"/>
          <w:szCs w:val="20"/>
        </w:rPr>
        <w:t>T</w:t>
      </w:r>
      <w:r w:rsidRPr="006D6B01">
        <w:rPr>
          <w:rFonts w:asciiTheme="majorHAnsi" w:hAnsiTheme="majorHAnsi"/>
          <w:sz w:val="20"/>
          <w:szCs w:val="20"/>
        </w:rPr>
        <w:t xml:space="preserve">he Commission will summarize the specific information provided regarding </w:t>
      </w:r>
      <w:r w:rsidR="00EC2DB3" w:rsidRPr="006D6B01">
        <w:rPr>
          <w:rFonts w:asciiTheme="majorHAnsi" w:hAnsiTheme="majorHAnsi"/>
          <w:sz w:val="20"/>
          <w:szCs w:val="20"/>
        </w:rPr>
        <w:t xml:space="preserve">Nieves Marlene Escuela, Jorge </w:t>
      </w:r>
      <w:proofErr w:type="spellStart"/>
      <w:r w:rsidR="00EC2DB3" w:rsidRPr="006D6B01">
        <w:rPr>
          <w:rFonts w:asciiTheme="majorHAnsi" w:hAnsiTheme="majorHAnsi"/>
          <w:sz w:val="20"/>
          <w:szCs w:val="20"/>
        </w:rPr>
        <w:t>Rochela</w:t>
      </w:r>
      <w:proofErr w:type="spellEnd"/>
      <w:r w:rsidR="00EC2DB3" w:rsidRPr="006D6B01">
        <w:rPr>
          <w:rFonts w:asciiTheme="majorHAnsi" w:hAnsiTheme="majorHAnsi"/>
          <w:sz w:val="20"/>
          <w:szCs w:val="20"/>
        </w:rPr>
        <w:t xml:space="preserve"> Escuela </w:t>
      </w:r>
      <w:r w:rsidR="00CE71FB" w:rsidRPr="006D6B01">
        <w:rPr>
          <w:rFonts w:asciiTheme="majorHAnsi" w:hAnsiTheme="majorHAnsi"/>
          <w:sz w:val="20"/>
          <w:szCs w:val="20"/>
        </w:rPr>
        <w:t xml:space="preserve">and </w:t>
      </w:r>
      <w:proofErr w:type="spellStart"/>
      <w:r w:rsidR="00EC2DB3" w:rsidRPr="006D6B01">
        <w:rPr>
          <w:rFonts w:asciiTheme="majorHAnsi" w:hAnsiTheme="majorHAnsi"/>
          <w:sz w:val="20"/>
          <w:szCs w:val="20"/>
        </w:rPr>
        <w:t>Mildrey</w:t>
      </w:r>
      <w:proofErr w:type="spellEnd"/>
      <w:r w:rsidR="00EC2DB3" w:rsidRPr="006D6B01">
        <w:rPr>
          <w:rFonts w:asciiTheme="majorHAnsi" w:hAnsiTheme="majorHAnsi"/>
          <w:sz w:val="20"/>
          <w:szCs w:val="20"/>
        </w:rPr>
        <w:t xml:space="preserve"> Martin Escuela</w:t>
      </w:r>
      <w:r w:rsidR="008C4992" w:rsidRPr="006D6B01">
        <w:rPr>
          <w:rFonts w:asciiTheme="majorHAnsi" w:hAnsiTheme="majorHAnsi"/>
          <w:sz w:val="20"/>
          <w:szCs w:val="20"/>
        </w:rPr>
        <w:t>,</w:t>
      </w:r>
      <w:r w:rsidR="003B5F9C" w:rsidRPr="006D6B01">
        <w:rPr>
          <w:rFonts w:asciiTheme="majorHAnsi" w:hAnsiTheme="majorHAnsi"/>
          <w:sz w:val="20"/>
          <w:szCs w:val="20"/>
        </w:rPr>
        <w:t xml:space="preserve"> </w:t>
      </w:r>
      <w:r w:rsidR="008C4992" w:rsidRPr="006D6B01">
        <w:rPr>
          <w:rFonts w:asciiTheme="majorHAnsi" w:hAnsiTheme="majorHAnsi"/>
          <w:sz w:val="20"/>
          <w:szCs w:val="20"/>
        </w:rPr>
        <w:t xml:space="preserve">nationals of Cuba, </w:t>
      </w:r>
      <w:r w:rsidRPr="006D6B01">
        <w:rPr>
          <w:rFonts w:asciiTheme="majorHAnsi" w:hAnsiTheme="majorHAnsi"/>
          <w:sz w:val="20"/>
          <w:szCs w:val="20"/>
        </w:rPr>
        <w:t xml:space="preserve">and will refer </w:t>
      </w:r>
      <w:r w:rsidR="00182CBE" w:rsidRPr="006D6B01">
        <w:rPr>
          <w:rFonts w:asciiTheme="majorHAnsi" w:hAnsiTheme="majorHAnsi"/>
          <w:sz w:val="20"/>
          <w:szCs w:val="20"/>
        </w:rPr>
        <w:t xml:space="preserve">to the remaining </w:t>
      </w:r>
      <w:r w:rsidR="00C856E9">
        <w:rPr>
          <w:rFonts w:asciiTheme="majorHAnsi" w:hAnsiTheme="majorHAnsi"/>
          <w:sz w:val="20"/>
          <w:szCs w:val="20"/>
        </w:rPr>
        <w:t xml:space="preserve">alleged victims </w:t>
      </w:r>
      <w:r w:rsidRPr="006D6B01">
        <w:rPr>
          <w:rFonts w:asciiTheme="majorHAnsi" w:hAnsiTheme="majorHAnsi"/>
          <w:sz w:val="20"/>
          <w:szCs w:val="20"/>
        </w:rPr>
        <w:t>in general terms</w:t>
      </w:r>
      <w:r w:rsidR="0059784F">
        <w:rPr>
          <w:rFonts w:asciiTheme="majorHAnsi" w:hAnsiTheme="majorHAnsi"/>
          <w:sz w:val="20"/>
          <w:szCs w:val="20"/>
        </w:rPr>
        <w:t xml:space="preserve"> </w:t>
      </w:r>
      <w:r w:rsidR="001467B4">
        <w:rPr>
          <w:rFonts w:asciiTheme="majorHAnsi" w:hAnsiTheme="majorHAnsi"/>
          <w:sz w:val="20"/>
          <w:szCs w:val="20"/>
        </w:rPr>
        <w:t>a</w:t>
      </w:r>
      <w:r w:rsidR="002D72F5">
        <w:rPr>
          <w:rFonts w:asciiTheme="majorHAnsi" w:hAnsiTheme="majorHAnsi"/>
          <w:sz w:val="20"/>
          <w:szCs w:val="20"/>
        </w:rPr>
        <w:t>nd taking into account</w:t>
      </w:r>
      <w:r w:rsidR="0059784F">
        <w:rPr>
          <w:rFonts w:asciiTheme="majorHAnsi" w:hAnsiTheme="majorHAnsi"/>
          <w:sz w:val="20"/>
          <w:szCs w:val="20"/>
        </w:rPr>
        <w:t xml:space="preserve"> that the State failed to provide </w:t>
      </w:r>
      <w:r w:rsidR="002D72F5">
        <w:rPr>
          <w:rFonts w:asciiTheme="majorHAnsi" w:hAnsiTheme="majorHAnsi"/>
          <w:sz w:val="20"/>
          <w:szCs w:val="20"/>
        </w:rPr>
        <w:t>individual information regarding persons that were under custody and subject to deportation</w:t>
      </w:r>
      <w:r w:rsidR="00466D8D">
        <w:rPr>
          <w:rFonts w:asciiTheme="majorHAnsi" w:hAnsiTheme="majorHAnsi"/>
          <w:sz w:val="20"/>
          <w:szCs w:val="20"/>
        </w:rPr>
        <w:t xml:space="preserve"> by its own authorities</w:t>
      </w:r>
      <w:r w:rsidR="002D72F5">
        <w:rPr>
          <w:rFonts w:asciiTheme="majorHAnsi" w:hAnsiTheme="majorHAnsi"/>
          <w:sz w:val="20"/>
          <w:szCs w:val="20"/>
        </w:rPr>
        <w:t xml:space="preserve">. </w:t>
      </w:r>
    </w:p>
    <w:p w14:paraId="50ADBEE3" w14:textId="77777777" w:rsidR="00DD1D1A" w:rsidRPr="006D6B01" w:rsidRDefault="00DD1D1A" w:rsidP="004311F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p>
    <w:p w14:paraId="3480F696" w14:textId="1B29D8CA" w:rsidR="00E92496" w:rsidRPr="006D6B01" w:rsidRDefault="001A136F"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6D6B01">
        <w:rPr>
          <w:rFonts w:asciiTheme="majorHAnsi" w:hAnsiTheme="majorHAnsi"/>
          <w:sz w:val="20"/>
          <w:szCs w:val="20"/>
        </w:rPr>
        <w:t>T</w:t>
      </w:r>
      <w:r w:rsidR="00772340" w:rsidRPr="006D6B01">
        <w:rPr>
          <w:rFonts w:asciiTheme="majorHAnsi" w:hAnsiTheme="majorHAnsi"/>
          <w:sz w:val="20"/>
          <w:szCs w:val="20"/>
        </w:rPr>
        <w:t>he Commission notes that</w:t>
      </w:r>
      <w:r w:rsidR="005F4DA6" w:rsidRPr="006D6B01">
        <w:rPr>
          <w:rFonts w:asciiTheme="majorHAnsi" w:hAnsiTheme="majorHAnsi"/>
          <w:sz w:val="20"/>
          <w:szCs w:val="20"/>
        </w:rPr>
        <w:t xml:space="preserve"> </w:t>
      </w:r>
      <w:r w:rsidR="00115EEF" w:rsidRPr="006D6B01">
        <w:rPr>
          <w:rFonts w:asciiTheme="majorHAnsi" w:hAnsiTheme="majorHAnsi"/>
          <w:sz w:val="20"/>
          <w:szCs w:val="20"/>
        </w:rPr>
        <w:t xml:space="preserve">the </w:t>
      </w:r>
      <w:r w:rsidR="00974380" w:rsidRPr="006D6B01">
        <w:rPr>
          <w:rFonts w:asciiTheme="majorHAnsi" w:hAnsiTheme="majorHAnsi"/>
          <w:sz w:val="20"/>
          <w:szCs w:val="20"/>
        </w:rPr>
        <w:t xml:space="preserve">specific </w:t>
      </w:r>
      <w:r w:rsidR="00115EEF" w:rsidRPr="006D6B01">
        <w:rPr>
          <w:rFonts w:asciiTheme="majorHAnsi" w:hAnsiTheme="majorHAnsi"/>
          <w:sz w:val="20"/>
          <w:szCs w:val="20"/>
        </w:rPr>
        <w:t>dates</w:t>
      </w:r>
      <w:r w:rsidR="00BC70D1" w:rsidRPr="006D6B01">
        <w:rPr>
          <w:rFonts w:asciiTheme="majorHAnsi" w:hAnsiTheme="majorHAnsi"/>
          <w:sz w:val="20"/>
          <w:szCs w:val="20"/>
        </w:rPr>
        <w:t xml:space="preserve"> of </w:t>
      </w:r>
      <w:r w:rsidR="00C905E4" w:rsidRPr="006D6B01">
        <w:rPr>
          <w:rFonts w:asciiTheme="majorHAnsi" w:hAnsiTheme="majorHAnsi"/>
          <w:sz w:val="20"/>
          <w:szCs w:val="20"/>
        </w:rPr>
        <w:t xml:space="preserve">entry </w:t>
      </w:r>
      <w:r w:rsidR="00115EEF" w:rsidRPr="006D6B01">
        <w:rPr>
          <w:rFonts w:asciiTheme="majorHAnsi" w:hAnsiTheme="majorHAnsi"/>
          <w:sz w:val="20"/>
          <w:szCs w:val="20"/>
        </w:rPr>
        <w:t xml:space="preserve">into </w:t>
      </w:r>
      <w:r w:rsidR="00B72858" w:rsidRPr="006D6B01">
        <w:rPr>
          <w:rFonts w:asciiTheme="majorHAnsi" w:hAnsiTheme="majorHAnsi"/>
          <w:sz w:val="20"/>
          <w:szCs w:val="20"/>
        </w:rPr>
        <w:t>The Bahamas</w:t>
      </w:r>
      <w:r w:rsidR="00C3506B" w:rsidRPr="006D6B01">
        <w:rPr>
          <w:rFonts w:asciiTheme="majorHAnsi" w:hAnsiTheme="majorHAnsi"/>
          <w:sz w:val="20"/>
          <w:szCs w:val="20"/>
        </w:rPr>
        <w:t xml:space="preserve"> and </w:t>
      </w:r>
      <w:r w:rsidRPr="006D6B01">
        <w:rPr>
          <w:rFonts w:asciiTheme="majorHAnsi" w:hAnsiTheme="majorHAnsi"/>
          <w:sz w:val="20"/>
          <w:szCs w:val="20"/>
        </w:rPr>
        <w:t>of entry in</w:t>
      </w:r>
      <w:r w:rsidR="00C3506B" w:rsidRPr="006D6B01">
        <w:rPr>
          <w:rFonts w:asciiTheme="majorHAnsi" w:hAnsiTheme="majorHAnsi"/>
          <w:sz w:val="20"/>
          <w:szCs w:val="20"/>
        </w:rPr>
        <w:t xml:space="preserve">to </w:t>
      </w:r>
      <w:r w:rsidR="00BB4FCD" w:rsidRPr="006D6B01">
        <w:rPr>
          <w:rFonts w:asciiTheme="majorHAnsi" w:hAnsiTheme="majorHAnsi"/>
          <w:sz w:val="20"/>
          <w:szCs w:val="20"/>
        </w:rPr>
        <w:t xml:space="preserve">Carmichael Center </w:t>
      </w:r>
      <w:r w:rsidR="00C905E4" w:rsidRPr="006D6B01">
        <w:rPr>
          <w:rFonts w:asciiTheme="majorHAnsi" w:hAnsiTheme="majorHAnsi"/>
          <w:sz w:val="20"/>
          <w:szCs w:val="20"/>
        </w:rPr>
        <w:t>have not been specified</w:t>
      </w:r>
      <w:r w:rsidR="00DD1D1A" w:rsidRPr="006D6B01">
        <w:rPr>
          <w:rFonts w:asciiTheme="majorHAnsi" w:hAnsiTheme="majorHAnsi"/>
          <w:sz w:val="20"/>
          <w:szCs w:val="20"/>
        </w:rPr>
        <w:t xml:space="preserve">. </w:t>
      </w:r>
      <w:r w:rsidR="00974380" w:rsidRPr="006D6B01">
        <w:rPr>
          <w:rFonts w:asciiTheme="majorHAnsi" w:hAnsiTheme="majorHAnsi"/>
          <w:sz w:val="20"/>
          <w:szCs w:val="20"/>
        </w:rPr>
        <w:t xml:space="preserve">The information provided by the </w:t>
      </w:r>
      <w:r w:rsidR="00CE71FB" w:rsidRPr="006D6B01">
        <w:rPr>
          <w:rFonts w:asciiTheme="majorHAnsi" w:hAnsiTheme="majorHAnsi"/>
          <w:sz w:val="20"/>
          <w:szCs w:val="20"/>
        </w:rPr>
        <w:t>petitioners</w:t>
      </w:r>
      <w:r w:rsidR="00974380" w:rsidRPr="006D6B01">
        <w:rPr>
          <w:rFonts w:asciiTheme="majorHAnsi" w:hAnsiTheme="majorHAnsi"/>
          <w:sz w:val="20"/>
          <w:szCs w:val="20"/>
        </w:rPr>
        <w:t xml:space="preserve"> suggests that </w:t>
      </w:r>
      <w:r w:rsidR="00FA5797" w:rsidRPr="006D6B01">
        <w:rPr>
          <w:rFonts w:asciiTheme="majorHAnsi" w:hAnsiTheme="majorHAnsi"/>
          <w:sz w:val="20"/>
          <w:szCs w:val="20"/>
        </w:rPr>
        <w:t>one of the victims left Cuba shortly after June 23, 1998,</w:t>
      </w:r>
      <w:r w:rsidR="00FA5797" w:rsidRPr="006D6B01">
        <w:rPr>
          <w:rStyle w:val="FootnoteReference"/>
          <w:rFonts w:asciiTheme="majorHAnsi" w:hAnsiTheme="majorHAnsi"/>
          <w:sz w:val="20"/>
          <w:szCs w:val="20"/>
        </w:rPr>
        <w:footnoteReference w:id="39"/>
      </w:r>
      <w:r w:rsidR="00FA5797" w:rsidRPr="006D6B01">
        <w:rPr>
          <w:rFonts w:asciiTheme="majorHAnsi" w:hAnsiTheme="majorHAnsi"/>
          <w:sz w:val="20"/>
          <w:szCs w:val="20"/>
        </w:rPr>
        <w:t xml:space="preserve"> and another was detained for 43 days.</w:t>
      </w:r>
      <w:r w:rsidR="00FA5797" w:rsidRPr="006D6B01">
        <w:rPr>
          <w:rStyle w:val="FootnoteReference"/>
          <w:rFonts w:asciiTheme="majorHAnsi" w:hAnsiTheme="majorHAnsi"/>
          <w:sz w:val="20"/>
          <w:szCs w:val="20"/>
        </w:rPr>
        <w:footnoteReference w:id="40"/>
      </w:r>
      <w:r w:rsidR="00FA5797" w:rsidRPr="006D6B01">
        <w:rPr>
          <w:rFonts w:asciiTheme="majorHAnsi" w:hAnsiTheme="majorHAnsi"/>
          <w:sz w:val="20"/>
          <w:szCs w:val="20"/>
        </w:rPr>
        <w:t xml:space="preserve"> </w:t>
      </w:r>
      <w:r w:rsidR="00DD1D1A" w:rsidRPr="006D6B01">
        <w:rPr>
          <w:rFonts w:asciiTheme="majorHAnsi" w:hAnsiTheme="majorHAnsi"/>
          <w:sz w:val="20"/>
          <w:szCs w:val="20"/>
        </w:rPr>
        <w:t>H</w:t>
      </w:r>
      <w:r w:rsidR="006D7755" w:rsidRPr="006D6B01">
        <w:rPr>
          <w:rFonts w:asciiTheme="majorHAnsi" w:hAnsiTheme="majorHAnsi"/>
          <w:sz w:val="20"/>
          <w:szCs w:val="20"/>
        </w:rPr>
        <w:t xml:space="preserve">owever, </w:t>
      </w:r>
      <w:r w:rsidR="00182CBE" w:rsidRPr="006D6B01">
        <w:rPr>
          <w:rFonts w:asciiTheme="majorHAnsi" w:hAnsiTheme="majorHAnsi"/>
          <w:sz w:val="20"/>
          <w:szCs w:val="20"/>
        </w:rPr>
        <w:t xml:space="preserve">it is </w:t>
      </w:r>
      <w:r w:rsidR="0017012F">
        <w:rPr>
          <w:rFonts w:asciiTheme="majorHAnsi" w:hAnsiTheme="majorHAnsi"/>
          <w:sz w:val="20"/>
          <w:szCs w:val="20"/>
        </w:rPr>
        <w:t xml:space="preserve">uncontroverted </w:t>
      </w:r>
      <w:r w:rsidR="00182CBE" w:rsidRPr="006D6B01">
        <w:rPr>
          <w:rFonts w:asciiTheme="majorHAnsi" w:hAnsiTheme="majorHAnsi"/>
          <w:sz w:val="20"/>
          <w:szCs w:val="20"/>
        </w:rPr>
        <w:t>that</w:t>
      </w:r>
      <w:r w:rsidR="00EA35A4" w:rsidRPr="006D6B01">
        <w:rPr>
          <w:rFonts w:asciiTheme="majorHAnsi" w:hAnsiTheme="majorHAnsi"/>
          <w:sz w:val="20"/>
          <w:szCs w:val="20"/>
        </w:rPr>
        <w:t xml:space="preserve"> </w:t>
      </w:r>
      <w:r w:rsidR="00DD1D1A" w:rsidRPr="006D6B01">
        <w:rPr>
          <w:rFonts w:asciiTheme="majorHAnsi" w:hAnsiTheme="majorHAnsi"/>
          <w:sz w:val="20"/>
          <w:szCs w:val="20"/>
        </w:rPr>
        <w:t>in accordance with the Memorandum of Understanding between The Bahamas and Cuba of January 12, 1996, and its Protocol,</w:t>
      </w:r>
      <w:r w:rsidR="00DD1D1A" w:rsidRPr="006D6B01">
        <w:rPr>
          <w:rStyle w:val="FootnoteReference"/>
          <w:rFonts w:asciiTheme="majorHAnsi" w:hAnsiTheme="majorHAnsi"/>
          <w:sz w:val="20"/>
          <w:szCs w:val="20"/>
        </w:rPr>
        <w:footnoteReference w:id="41"/>
      </w:r>
      <w:r w:rsidR="00DD1D1A" w:rsidRPr="006D6B01">
        <w:rPr>
          <w:rFonts w:asciiTheme="majorHAnsi" w:hAnsiTheme="majorHAnsi"/>
          <w:sz w:val="20"/>
          <w:szCs w:val="20"/>
        </w:rPr>
        <w:t xml:space="preserve"> the State repatriated Cuban nationals on three occasions</w:t>
      </w:r>
      <w:r w:rsidR="00731C77" w:rsidRPr="006D6B01">
        <w:rPr>
          <w:rFonts w:asciiTheme="majorHAnsi" w:hAnsiTheme="majorHAnsi"/>
          <w:sz w:val="20"/>
          <w:szCs w:val="20"/>
        </w:rPr>
        <w:t>.</w:t>
      </w:r>
      <w:r w:rsidR="00E92496" w:rsidRPr="006D6B01">
        <w:rPr>
          <w:rStyle w:val="FootnoteReference"/>
          <w:rFonts w:asciiTheme="majorHAnsi" w:hAnsiTheme="majorHAnsi"/>
          <w:sz w:val="20"/>
          <w:szCs w:val="20"/>
        </w:rPr>
        <w:footnoteReference w:id="42"/>
      </w:r>
    </w:p>
    <w:p w14:paraId="5280B674" w14:textId="77777777" w:rsidR="00E92496" w:rsidRPr="006D6B01" w:rsidRDefault="00E92496" w:rsidP="004311FE">
      <w:pPr>
        <w:pStyle w:val="ListParagraph"/>
        <w:tabs>
          <w:tab w:val="left" w:pos="360"/>
        </w:tabs>
        <w:rPr>
          <w:rFonts w:asciiTheme="majorHAnsi" w:hAnsiTheme="majorHAnsi"/>
          <w:sz w:val="20"/>
          <w:szCs w:val="20"/>
        </w:rPr>
      </w:pPr>
    </w:p>
    <w:p w14:paraId="2EE45170" w14:textId="77777777" w:rsidR="00E92496" w:rsidRPr="006D6B01" w:rsidRDefault="00DD1D1A"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ind w:left="0" w:firstLine="0"/>
        <w:jc w:val="both"/>
        <w:rPr>
          <w:rFonts w:asciiTheme="majorHAnsi" w:hAnsiTheme="majorHAnsi"/>
          <w:sz w:val="20"/>
          <w:szCs w:val="20"/>
        </w:rPr>
      </w:pPr>
      <w:r w:rsidRPr="006D6B01">
        <w:rPr>
          <w:rFonts w:asciiTheme="majorHAnsi" w:hAnsiTheme="majorHAnsi"/>
          <w:sz w:val="20"/>
          <w:szCs w:val="20"/>
        </w:rPr>
        <w:t>On August 11, 1998, 66 Cuban nationals were repatriated</w:t>
      </w:r>
      <w:r w:rsidR="008C20F5" w:rsidRPr="006D6B01">
        <w:rPr>
          <w:rFonts w:asciiTheme="majorHAnsi" w:hAnsiTheme="majorHAnsi"/>
          <w:sz w:val="20"/>
          <w:szCs w:val="20"/>
        </w:rPr>
        <w:t xml:space="preserve"> to Cuba.</w:t>
      </w:r>
      <w:r w:rsidR="008C20F5" w:rsidRPr="006D6B01">
        <w:rPr>
          <w:rStyle w:val="FootnoteReference"/>
          <w:rFonts w:asciiTheme="majorHAnsi" w:hAnsiTheme="majorHAnsi"/>
          <w:sz w:val="20"/>
          <w:szCs w:val="20"/>
        </w:rPr>
        <w:footnoteReference w:id="43"/>
      </w:r>
      <w:r w:rsidR="008C20F5" w:rsidRPr="006D6B01">
        <w:rPr>
          <w:rFonts w:asciiTheme="majorHAnsi" w:hAnsiTheme="majorHAnsi"/>
          <w:sz w:val="20"/>
          <w:szCs w:val="20"/>
        </w:rPr>
        <w:t xml:space="preserve"> </w:t>
      </w:r>
      <w:r w:rsidR="0025694A" w:rsidRPr="006D6B01">
        <w:rPr>
          <w:rFonts w:asciiTheme="majorHAnsi" w:hAnsiTheme="majorHAnsi"/>
          <w:sz w:val="20"/>
          <w:szCs w:val="20"/>
        </w:rPr>
        <w:t>Among these individuals were four alleged victims who were highlighted in the petition</w:t>
      </w:r>
      <w:r w:rsidR="00974B01" w:rsidRPr="006D6B01">
        <w:rPr>
          <w:rFonts w:asciiTheme="majorHAnsi" w:hAnsiTheme="majorHAnsi"/>
          <w:sz w:val="20"/>
          <w:szCs w:val="20"/>
        </w:rPr>
        <w:t xml:space="preserve"> and the</w:t>
      </w:r>
      <w:r w:rsidR="008C4992" w:rsidRPr="006D6B01">
        <w:rPr>
          <w:rFonts w:asciiTheme="majorHAnsi" w:hAnsiTheme="majorHAnsi"/>
          <w:sz w:val="20"/>
          <w:szCs w:val="20"/>
        </w:rPr>
        <w:t xml:space="preserve"> request and grant of</w:t>
      </w:r>
      <w:r w:rsidR="00974B01" w:rsidRPr="006D6B01">
        <w:rPr>
          <w:rFonts w:asciiTheme="majorHAnsi" w:hAnsiTheme="majorHAnsi"/>
          <w:sz w:val="20"/>
          <w:szCs w:val="20"/>
        </w:rPr>
        <w:t xml:space="preserve"> precautionary measures</w:t>
      </w:r>
      <w:r w:rsidR="0025694A" w:rsidRPr="006D6B01">
        <w:rPr>
          <w:rFonts w:asciiTheme="majorHAnsi" w:hAnsiTheme="majorHAnsi"/>
          <w:sz w:val="20"/>
          <w:szCs w:val="20"/>
        </w:rPr>
        <w:t xml:space="preserve">, namely Alexis Pérez Ricardo, Hector </w:t>
      </w:r>
      <w:proofErr w:type="spellStart"/>
      <w:r w:rsidR="0025694A" w:rsidRPr="006D6B01">
        <w:rPr>
          <w:rFonts w:asciiTheme="majorHAnsi" w:hAnsiTheme="majorHAnsi"/>
          <w:sz w:val="20"/>
          <w:szCs w:val="20"/>
        </w:rPr>
        <w:t>Jurto</w:t>
      </w:r>
      <w:proofErr w:type="spellEnd"/>
      <w:r w:rsidR="0025694A" w:rsidRPr="006D6B01">
        <w:rPr>
          <w:rFonts w:asciiTheme="majorHAnsi" w:hAnsiTheme="majorHAnsi"/>
          <w:sz w:val="20"/>
          <w:szCs w:val="20"/>
        </w:rPr>
        <w:t xml:space="preserve"> Sánchez, Manuel Ramón Reyes </w:t>
      </w:r>
      <w:proofErr w:type="spellStart"/>
      <w:r w:rsidR="0025694A" w:rsidRPr="006D6B01">
        <w:rPr>
          <w:rFonts w:asciiTheme="majorHAnsi" w:hAnsiTheme="majorHAnsi"/>
          <w:sz w:val="20"/>
          <w:szCs w:val="20"/>
        </w:rPr>
        <w:t>Lamela</w:t>
      </w:r>
      <w:proofErr w:type="spellEnd"/>
      <w:r w:rsidR="0025694A" w:rsidRPr="006D6B01">
        <w:rPr>
          <w:rFonts w:asciiTheme="majorHAnsi" w:hAnsiTheme="majorHAnsi"/>
          <w:sz w:val="20"/>
          <w:szCs w:val="20"/>
        </w:rPr>
        <w:t xml:space="preserve"> and </w:t>
      </w:r>
      <w:proofErr w:type="spellStart"/>
      <w:r w:rsidR="0025694A" w:rsidRPr="006D6B01">
        <w:rPr>
          <w:rFonts w:asciiTheme="majorHAnsi" w:hAnsiTheme="majorHAnsi"/>
          <w:sz w:val="20"/>
          <w:szCs w:val="20"/>
        </w:rPr>
        <w:t>Lázaro</w:t>
      </w:r>
      <w:proofErr w:type="spellEnd"/>
      <w:r w:rsidR="0025694A" w:rsidRPr="006D6B01">
        <w:rPr>
          <w:rFonts w:asciiTheme="majorHAnsi" w:hAnsiTheme="majorHAnsi"/>
          <w:sz w:val="20"/>
          <w:szCs w:val="20"/>
        </w:rPr>
        <w:t xml:space="preserve"> de la Riva Suárez.</w:t>
      </w:r>
      <w:r w:rsidR="00C9110A" w:rsidRPr="006D6B01">
        <w:rPr>
          <w:rFonts w:asciiTheme="majorHAnsi" w:hAnsiTheme="majorHAnsi"/>
          <w:sz w:val="20"/>
          <w:szCs w:val="20"/>
        </w:rPr>
        <w:t xml:space="preserve"> </w:t>
      </w:r>
      <w:r w:rsidRPr="006D6B01">
        <w:rPr>
          <w:rFonts w:asciiTheme="majorHAnsi" w:hAnsiTheme="majorHAnsi"/>
          <w:sz w:val="20"/>
          <w:szCs w:val="20"/>
        </w:rPr>
        <w:t xml:space="preserve">On August 18, 1998, </w:t>
      </w:r>
      <w:r w:rsidR="008C20F5" w:rsidRPr="006D6B01">
        <w:rPr>
          <w:rFonts w:asciiTheme="majorHAnsi" w:hAnsiTheme="majorHAnsi"/>
          <w:sz w:val="20"/>
          <w:szCs w:val="20"/>
        </w:rPr>
        <w:t>a further</w:t>
      </w:r>
      <w:r w:rsidRPr="006D6B01">
        <w:rPr>
          <w:rFonts w:asciiTheme="majorHAnsi" w:hAnsiTheme="majorHAnsi"/>
          <w:sz w:val="20"/>
          <w:szCs w:val="20"/>
        </w:rPr>
        <w:t xml:space="preserve"> 49 Cuban nationals were repatriated</w:t>
      </w:r>
      <w:r w:rsidR="00097B13" w:rsidRPr="006D6B01">
        <w:rPr>
          <w:rFonts w:asciiTheme="majorHAnsi" w:hAnsiTheme="majorHAnsi"/>
          <w:sz w:val="20"/>
          <w:szCs w:val="20"/>
        </w:rPr>
        <w:t>,</w:t>
      </w:r>
      <w:r w:rsidR="008C20F5" w:rsidRPr="006D6B01">
        <w:rPr>
          <w:rStyle w:val="FootnoteReference"/>
          <w:rFonts w:asciiTheme="majorHAnsi" w:hAnsiTheme="majorHAnsi"/>
          <w:sz w:val="20"/>
          <w:szCs w:val="20"/>
        </w:rPr>
        <w:footnoteReference w:id="44"/>
      </w:r>
      <w:r w:rsidR="008C20F5" w:rsidRPr="006D6B01">
        <w:rPr>
          <w:rFonts w:asciiTheme="majorHAnsi" w:hAnsiTheme="majorHAnsi"/>
          <w:sz w:val="20"/>
          <w:szCs w:val="20"/>
        </w:rPr>
        <w:t xml:space="preserve"> </w:t>
      </w:r>
      <w:r w:rsidR="00097B13" w:rsidRPr="006D6B01">
        <w:rPr>
          <w:rFonts w:asciiTheme="majorHAnsi" w:hAnsiTheme="majorHAnsi"/>
          <w:sz w:val="20"/>
          <w:szCs w:val="20"/>
        </w:rPr>
        <w:t>and</w:t>
      </w:r>
      <w:r w:rsidR="008C20F5" w:rsidRPr="006D6B01">
        <w:rPr>
          <w:rFonts w:asciiTheme="majorHAnsi" w:hAnsiTheme="majorHAnsi"/>
          <w:sz w:val="20"/>
          <w:szCs w:val="20"/>
        </w:rPr>
        <w:t xml:space="preserve"> o</w:t>
      </w:r>
      <w:r w:rsidRPr="006D6B01">
        <w:rPr>
          <w:rFonts w:asciiTheme="majorHAnsi" w:hAnsiTheme="majorHAnsi"/>
          <w:sz w:val="20"/>
          <w:szCs w:val="20"/>
        </w:rPr>
        <w:t xml:space="preserve">n October 20, 1998, </w:t>
      </w:r>
      <w:r w:rsidR="000B145E" w:rsidRPr="006D6B01">
        <w:rPr>
          <w:rFonts w:asciiTheme="majorHAnsi" w:hAnsiTheme="majorHAnsi"/>
          <w:sz w:val="20"/>
          <w:szCs w:val="20"/>
        </w:rPr>
        <w:t>another</w:t>
      </w:r>
      <w:r w:rsidR="004E6704" w:rsidRPr="006D6B01">
        <w:rPr>
          <w:rFonts w:asciiTheme="majorHAnsi" w:hAnsiTheme="majorHAnsi"/>
          <w:sz w:val="20"/>
          <w:szCs w:val="20"/>
        </w:rPr>
        <w:t xml:space="preserve"> </w:t>
      </w:r>
      <w:r w:rsidRPr="006D6B01">
        <w:rPr>
          <w:rFonts w:asciiTheme="majorHAnsi" w:hAnsiTheme="majorHAnsi"/>
          <w:sz w:val="20"/>
          <w:szCs w:val="20"/>
        </w:rPr>
        <w:t>67 Cuban nationals were repatriated</w:t>
      </w:r>
      <w:r w:rsidR="00E92496" w:rsidRPr="006D6B01">
        <w:rPr>
          <w:rFonts w:asciiTheme="majorHAnsi" w:hAnsiTheme="majorHAnsi"/>
          <w:sz w:val="20"/>
          <w:szCs w:val="20"/>
        </w:rPr>
        <w:t>.</w:t>
      </w:r>
      <w:r w:rsidR="008C20F5" w:rsidRPr="006D6B01">
        <w:rPr>
          <w:rStyle w:val="FootnoteReference"/>
          <w:rFonts w:asciiTheme="majorHAnsi" w:hAnsiTheme="majorHAnsi"/>
          <w:sz w:val="20"/>
          <w:szCs w:val="20"/>
        </w:rPr>
        <w:footnoteReference w:id="45"/>
      </w:r>
      <w:r w:rsidR="008C20F5" w:rsidRPr="006D6B01">
        <w:rPr>
          <w:rFonts w:asciiTheme="majorHAnsi" w:hAnsiTheme="majorHAnsi"/>
          <w:sz w:val="20"/>
          <w:szCs w:val="20"/>
        </w:rPr>
        <w:t xml:space="preserve"> </w:t>
      </w:r>
      <w:r w:rsidR="00311E9B" w:rsidRPr="006D6B01">
        <w:rPr>
          <w:rFonts w:asciiTheme="majorHAnsi" w:hAnsiTheme="majorHAnsi"/>
          <w:sz w:val="20"/>
          <w:szCs w:val="20"/>
        </w:rPr>
        <w:t>Lastly,</w:t>
      </w:r>
      <w:r w:rsidR="00A42933" w:rsidRPr="006D6B01">
        <w:rPr>
          <w:rFonts w:asciiTheme="majorHAnsi" w:hAnsiTheme="majorHAnsi"/>
          <w:sz w:val="20"/>
          <w:szCs w:val="20"/>
        </w:rPr>
        <w:t xml:space="preserve"> the Commission notes the inclusion of Pastor Jorge Aguiar Perez </w:t>
      </w:r>
      <w:r w:rsidR="00A42933" w:rsidRPr="006D6B01">
        <w:rPr>
          <w:rFonts w:asciiTheme="majorHAnsi" w:hAnsiTheme="majorHAnsi"/>
          <w:sz w:val="20"/>
          <w:szCs w:val="20"/>
        </w:rPr>
        <w:lastRenderedPageBreak/>
        <w:t xml:space="preserve">and Damian Rigoberto Cabrera Perez as </w:t>
      </w:r>
      <w:r w:rsidR="00311E9B" w:rsidRPr="006D6B01">
        <w:rPr>
          <w:rFonts w:asciiTheme="majorHAnsi" w:hAnsiTheme="majorHAnsi"/>
          <w:sz w:val="20"/>
          <w:szCs w:val="20"/>
        </w:rPr>
        <w:t>alleged</w:t>
      </w:r>
      <w:r w:rsidR="00A42933" w:rsidRPr="006D6B01">
        <w:rPr>
          <w:rFonts w:asciiTheme="majorHAnsi" w:hAnsiTheme="majorHAnsi"/>
          <w:sz w:val="20"/>
          <w:szCs w:val="20"/>
        </w:rPr>
        <w:t xml:space="preserve"> victims</w:t>
      </w:r>
      <w:r w:rsidR="00311E9B" w:rsidRPr="006D6B01">
        <w:rPr>
          <w:rFonts w:asciiTheme="majorHAnsi" w:hAnsiTheme="majorHAnsi"/>
          <w:sz w:val="20"/>
          <w:szCs w:val="20"/>
        </w:rPr>
        <w:t xml:space="preserve"> </w:t>
      </w:r>
      <w:r w:rsidR="00A42933" w:rsidRPr="006D6B01">
        <w:rPr>
          <w:rFonts w:asciiTheme="majorHAnsi" w:hAnsiTheme="majorHAnsi"/>
          <w:sz w:val="20"/>
          <w:szCs w:val="20"/>
        </w:rPr>
        <w:t xml:space="preserve">who were transported to and detained at the </w:t>
      </w:r>
      <w:r w:rsidR="00BB4FCD" w:rsidRPr="006D6B01">
        <w:rPr>
          <w:rFonts w:asciiTheme="majorHAnsi" w:hAnsiTheme="majorHAnsi"/>
          <w:sz w:val="20"/>
          <w:szCs w:val="20"/>
        </w:rPr>
        <w:t xml:space="preserve">Carmichael Center </w:t>
      </w:r>
      <w:r w:rsidR="00A42933" w:rsidRPr="006D6B01">
        <w:rPr>
          <w:rFonts w:asciiTheme="majorHAnsi" w:hAnsiTheme="majorHAnsi"/>
          <w:sz w:val="20"/>
          <w:szCs w:val="20"/>
        </w:rPr>
        <w:t>on November 8, 1998 and subsequently repatriated to Cuba.</w:t>
      </w:r>
      <w:r w:rsidR="008000C0" w:rsidRPr="006D6B01">
        <w:rPr>
          <w:rStyle w:val="FootnoteReference"/>
          <w:rFonts w:asciiTheme="majorHAnsi" w:hAnsiTheme="majorHAnsi"/>
          <w:sz w:val="20"/>
          <w:szCs w:val="20"/>
        </w:rPr>
        <w:footnoteReference w:id="46"/>
      </w:r>
    </w:p>
    <w:p w14:paraId="0815129A" w14:textId="77777777" w:rsidR="00E92496" w:rsidRPr="006D6B01" w:rsidRDefault="00E92496" w:rsidP="004311FE">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jc w:val="both"/>
        <w:rPr>
          <w:rFonts w:asciiTheme="majorHAnsi" w:hAnsiTheme="majorHAnsi"/>
          <w:sz w:val="20"/>
          <w:szCs w:val="20"/>
        </w:rPr>
      </w:pPr>
    </w:p>
    <w:p w14:paraId="2B775A6A" w14:textId="13705314" w:rsidR="00BC3ADA" w:rsidRPr="006D6B01" w:rsidRDefault="00DD1D1A"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ind w:left="0" w:firstLine="0"/>
        <w:jc w:val="both"/>
        <w:rPr>
          <w:rFonts w:asciiTheme="majorHAnsi" w:hAnsiTheme="majorHAnsi"/>
          <w:sz w:val="20"/>
          <w:szCs w:val="20"/>
        </w:rPr>
      </w:pPr>
      <w:r w:rsidRPr="006D6B01">
        <w:rPr>
          <w:rFonts w:asciiTheme="majorHAnsi" w:hAnsiTheme="majorHAnsi"/>
          <w:sz w:val="20"/>
          <w:szCs w:val="20"/>
        </w:rPr>
        <w:t>Accordingly, a total of 18</w:t>
      </w:r>
      <w:r w:rsidR="0002432E">
        <w:rPr>
          <w:rFonts w:asciiTheme="majorHAnsi" w:hAnsiTheme="majorHAnsi"/>
          <w:sz w:val="20"/>
          <w:szCs w:val="20"/>
        </w:rPr>
        <w:t>4</w:t>
      </w:r>
      <w:r w:rsidRPr="006D6B01">
        <w:rPr>
          <w:rFonts w:asciiTheme="majorHAnsi" w:hAnsiTheme="majorHAnsi"/>
          <w:sz w:val="20"/>
          <w:szCs w:val="20"/>
        </w:rPr>
        <w:t xml:space="preserve"> Cuban nationals were repatriated following their detention at the Carmichael Road Detention Center. In addition, the repatriations that took place on August 18 and October 20, 1998 were in contravention of the precautionary measures granted </w:t>
      </w:r>
      <w:r w:rsidR="00097B13" w:rsidRPr="006D6B01">
        <w:rPr>
          <w:rFonts w:asciiTheme="majorHAnsi" w:hAnsiTheme="majorHAnsi"/>
          <w:sz w:val="20"/>
          <w:szCs w:val="20"/>
        </w:rPr>
        <w:t>on August 14, 1998</w:t>
      </w:r>
      <w:r w:rsidR="002501B4" w:rsidRPr="006D6B01">
        <w:rPr>
          <w:rFonts w:asciiTheme="majorHAnsi" w:hAnsiTheme="majorHAnsi"/>
          <w:sz w:val="20"/>
          <w:szCs w:val="20"/>
        </w:rPr>
        <w:t xml:space="preserve"> </w:t>
      </w:r>
      <w:r w:rsidRPr="006D6B01">
        <w:rPr>
          <w:rFonts w:asciiTheme="majorHAnsi" w:hAnsiTheme="majorHAnsi"/>
          <w:sz w:val="20"/>
          <w:szCs w:val="20"/>
        </w:rPr>
        <w:t>by the IACHR staying such deportations.</w:t>
      </w:r>
      <w:r w:rsidRPr="006D6B01">
        <w:rPr>
          <w:rStyle w:val="FootnoteReference"/>
          <w:rFonts w:asciiTheme="majorHAnsi" w:hAnsiTheme="majorHAnsi"/>
          <w:sz w:val="20"/>
          <w:szCs w:val="20"/>
        </w:rPr>
        <w:footnoteReference w:id="47"/>
      </w:r>
      <w:r w:rsidR="00EE1218" w:rsidRPr="006D6B01">
        <w:rPr>
          <w:rFonts w:asciiTheme="majorHAnsi" w:hAnsiTheme="majorHAnsi"/>
          <w:sz w:val="20"/>
          <w:szCs w:val="20"/>
        </w:rPr>
        <w:t xml:space="preserve"> The</w:t>
      </w:r>
      <w:r w:rsidRPr="006D6B01">
        <w:rPr>
          <w:rFonts w:asciiTheme="majorHAnsi" w:hAnsiTheme="majorHAnsi"/>
          <w:sz w:val="20"/>
          <w:szCs w:val="20"/>
        </w:rPr>
        <w:t xml:space="preserve"> </w:t>
      </w:r>
      <w:r w:rsidR="00FA5797" w:rsidRPr="006D6B01">
        <w:rPr>
          <w:rFonts w:asciiTheme="majorHAnsi" w:hAnsiTheme="majorHAnsi"/>
          <w:sz w:val="20"/>
          <w:szCs w:val="20"/>
        </w:rPr>
        <w:t>Commission also notes that a</w:t>
      </w:r>
      <w:r w:rsidRPr="006D6B01">
        <w:rPr>
          <w:rFonts w:asciiTheme="majorHAnsi" w:hAnsiTheme="majorHAnsi"/>
          <w:sz w:val="20"/>
          <w:szCs w:val="20"/>
        </w:rPr>
        <w:t xml:space="preserve"> list</w:t>
      </w:r>
      <w:r w:rsidR="00FA5797" w:rsidRPr="006D6B01">
        <w:rPr>
          <w:rFonts w:asciiTheme="majorHAnsi" w:hAnsiTheme="majorHAnsi"/>
          <w:sz w:val="20"/>
          <w:szCs w:val="20"/>
        </w:rPr>
        <w:t xml:space="preserve"> of the names</w:t>
      </w:r>
      <w:r w:rsidRPr="006D6B01">
        <w:rPr>
          <w:rFonts w:asciiTheme="majorHAnsi" w:hAnsiTheme="majorHAnsi"/>
          <w:sz w:val="20"/>
          <w:szCs w:val="20"/>
        </w:rPr>
        <w:t xml:space="preserve"> of the</w:t>
      </w:r>
      <w:r w:rsidR="00E35813" w:rsidRPr="006D6B01">
        <w:rPr>
          <w:rFonts w:asciiTheme="majorHAnsi" w:hAnsiTheme="majorHAnsi"/>
          <w:sz w:val="20"/>
          <w:szCs w:val="20"/>
        </w:rPr>
        <w:t xml:space="preserve"> deported</w:t>
      </w:r>
      <w:r w:rsidRPr="006D6B01">
        <w:rPr>
          <w:rFonts w:asciiTheme="majorHAnsi" w:hAnsiTheme="majorHAnsi"/>
          <w:sz w:val="20"/>
          <w:szCs w:val="20"/>
        </w:rPr>
        <w:t xml:space="preserve"> Haitian national</w:t>
      </w:r>
      <w:r w:rsidR="00E35813" w:rsidRPr="006D6B01">
        <w:rPr>
          <w:rFonts w:asciiTheme="majorHAnsi" w:hAnsiTheme="majorHAnsi"/>
          <w:sz w:val="20"/>
          <w:szCs w:val="20"/>
        </w:rPr>
        <w:t>s</w:t>
      </w:r>
      <w:r w:rsidRPr="006D6B01">
        <w:rPr>
          <w:rFonts w:asciiTheme="majorHAnsi" w:hAnsiTheme="majorHAnsi"/>
          <w:sz w:val="20"/>
          <w:szCs w:val="20"/>
        </w:rPr>
        <w:t xml:space="preserve"> </w:t>
      </w:r>
      <w:r w:rsidR="00FA5797" w:rsidRPr="006D6B01">
        <w:rPr>
          <w:rFonts w:asciiTheme="majorHAnsi" w:hAnsiTheme="majorHAnsi"/>
          <w:sz w:val="20"/>
          <w:szCs w:val="20"/>
        </w:rPr>
        <w:t xml:space="preserve">was </w:t>
      </w:r>
      <w:r w:rsidRPr="006D6B01">
        <w:rPr>
          <w:rFonts w:asciiTheme="majorHAnsi" w:hAnsiTheme="majorHAnsi"/>
          <w:sz w:val="20"/>
          <w:szCs w:val="20"/>
        </w:rPr>
        <w:t>not provided by the petitioners</w:t>
      </w:r>
      <w:r w:rsidR="00EE1218" w:rsidRPr="006D6B01">
        <w:rPr>
          <w:rFonts w:asciiTheme="majorHAnsi" w:hAnsiTheme="majorHAnsi"/>
          <w:sz w:val="20"/>
          <w:szCs w:val="20"/>
        </w:rPr>
        <w:t xml:space="preserve"> or the </w:t>
      </w:r>
      <w:r w:rsidR="000D647E" w:rsidRPr="006D6B01">
        <w:rPr>
          <w:rFonts w:asciiTheme="majorHAnsi" w:hAnsiTheme="majorHAnsi"/>
          <w:sz w:val="20"/>
          <w:szCs w:val="20"/>
        </w:rPr>
        <w:t>State</w:t>
      </w:r>
      <w:r w:rsidR="00417A4A" w:rsidRPr="006D6B01">
        <w:rPr>
          <w:rFonts w:asciiTheme="majorHAnsi" w:hAnsiTheme="majorHAnsi"/>
          <w:sz w:val="20"/>
          <w:szCs w:val="20"/>
        </w:rPr>
        <w:t>;</w:t>
      </w:r>
      <w:r w:rsidR="000D647E" w:rsidRPr="006D6B01">
        <w:rPr>
          <w:rFonts w:asciiTheme="majorHAnsi" w:hAnsiTheme="majorHAnsi"/>
          <w:sz w:val="20"/>
          <w:szCs w:val="20"/>
        </w:rPr>
        <w:t xml:space="preserve"> however</w:t>
      </w:r>
      <w:r w:rsidR="00417A4A" w:rsidRPr="006D6B01">
        <w:rPr>
          <w:rFonts w:asciiTheme="majorHAnsi" w:hAnsiTheme="majorHAnsi"/>
          <w:sz w:val="20"/>
          <w:szCs w:val="20"/>
        </w:rPr>
        <w:t>,</w:t>
      </w:r>
      <w:r w:rsidR="000D647E" w:rsidRPr="006D6B01">
        <w:rPr>
          <w:rFonts w:asciiTheme="majorHAnsi" w:hAnsiTheme="majorHAnsi"/>
          <w:sz w:val="20"/>
          <w:szCs w:val="20"/>
        </w:rPr>
        <w:t xml:space="preserve"> the petitioners provided information regarding eight Haitian nationals </w:t>
      </w:r>
      <w:r w:rsidR="00E35494" w:rsidRPr="006D6B01">
        <w:rPr>
          <w:rFonts w:asciiTheme="majorHAnsi" w:hAnsiTheme="majorHAnsi"/>
          <w:sz w:val="20"/>
          <w:szCs w:val="20"/>
        </w:rPr>
        <w:t>who</w:t>
      </w:r>
      <w:r w:rsidR="000D647E" w:rsidRPr="006D6B01">
        <w:rPr>
          <w:rFonts w:asciiTheme="majorHAnsi" w:hAnsiTheme="majorHAnsi"/>
          <w:sz w:val="20"/>
          <w:szCs w:val="20"/>
        </w:rPr>
        <w:t xml:space="preserve"> were interviewed</w:t>
      </w:r>
      <w:r w:rsidR="008D3B3C" w:rsidRPr="006D6B01">
        <w:rPr>
          <w:rFonts w:asciiTheme="majorHAnsi" w:hAnsiTheme="majorHAnsi"/>
          <w:sz w:val="20"/>
          <w:szCs w:val="20"/>
        </w:rPr>
        <w:t xml:space="preserve"> by the petitioners</w:t>
      </w:r>
      <w:r w:rsidR="000D647E" w:rsidRPr="006D6B01">
        <w:rPr>
          <w:rFonts w:asciiTheme="majorHAnsi" w:hAnsiTheme="majorHAnsi"/>
          <w:sz w:val="20"/>
          <w:szCs w:val="20"/>
        </w:rPr>
        <w:t xml:space="preserve"> prior to the presentation of the firs</w:t>
      </w:r>
      <w:r w:rsidR="00556DD9" w:rsidRPr="006D6B01">
        <w:rPr>
          <w:rFonts w:asciiTheme="majorHAnsi" w:hAnsiTheme="majorHAnsi"/>
          <w:sz w:val="20"/>
          <w:szCs w:val="20"/>
        </w:rPr>
        <w:t>t</w:t>
      </w:r>
      <w:r w:rsidR="000D647E" w:rsidRPr="006D6B01">
        <w:rPr>
          <w:rFonts w:asciiTheme="majorHAnsi" w:hAnsiTheme="majorHAnsi"/>
          <w:sz w:val="20"/>
          <w:szCs w:val="20"/>
        </w:rPr>
        <w:t xml:space="preserve"> petition. The names of said individuals are: </w:t>
      </w:r>
      <w:r w:rsidR="00556DD9" w:rsidRPr="006D6B01">
        <w:rPr>
          <w:rFonts w:asciiTheme="majorHAnsi" w:hAnsiTheme="majorHAnsi"/>
          <w:sz w:val="20"/>
          <w:szCs w:val="20"/>
        </w:rPr>
        <w:t xml:space="preserve">Jean, Eli; Girard, Jean-Jacques; Joseph, </w:t>
      </w:r>
      <w:proofErr w:type="spellStart"/>
      <w:r w:rsidR="00556DD9" w:rsidRPr="006D6B01">
        <w:rPr>
          <w:rFonts w:asciiTheme="majorHAnsi" w:hAnsiTheme="majorHAnsi"/>
          <w:sz w:val="20"/>
          <w:szCs w:val="20"/>
        </w:rPr>
        <w:t>Timothé</w:t>
      </w:r>
      <w:proofErr w:type="spellEnd"/>
      <w:r w:rsidR="00556DD9" w:rsidRPr="006D6B01">
        <w:rPr>
          <w:rFonts w:asciiTheme="majorHAnsi" w:hAnsiTheme="majorHAnsi"/>
          <w:sz w:val="20"/>
          <w:szCs w:val="20"/>
        </w:rPr>
        <w:t xml:space="preserve">; </w:t>
      </w:r>
      <w:proofErr w:type="spellStart"/>
      <w:r w:rsidR="00556DD9" w:rsidRPr="006D6B01">
        <w:rPr>
          <w:rFonts w:asciiTheme="majorHAnsi" w:hAnsiTheme="majorHAnsi"/>
          <w:sz w:val="20"/>
          <w:szCs w:val="20"/>
        </w:rPr>
        <w:t>Walner</w:t>
      </w:r>
      <w:proofErr w:type="spellEnd"/>
      <w:r w:rsidR="00556DD9" w:rsidRPr="006D6B01">
        <w:rPr>
          <w:rFonts w:asciiTheme="majorHAnsi" w:hAnsiTheme="majorHAnsi"/>
          <w:sz w:val="20"/>
          <w:szCs w:val="20"/>
        </w:rPr>
        <w:t xml:space="preserve">, </w:t>
      </w:r>
      <w:proofErr w:type="spellStart"/>
      <w:r w:rsidR="00556DD9" w:rsidRPr="006D6B01">
        <w:rPr>
          <w:rFonts w:asciiTheme="majorHAnsi" w:hAnsiTheme="majorHAnsi"/>
          <w:sz w:val="20"/>
          <w:szCs w:val="20"/>
        </w:rPr>
        <w:t>Florestal</w:t>
      </w:r>
      <w:proofErr w:type="spellEnd"/>
      <w:r w:rsidR="00556DD9" w:rsidRPr="006D6B01">
        <w:rPr>
          <w:rFonts w:asciiTheme="majorHAnsi" w:hAnsiTheme="majorHAnsi"/>
          <w:sz w:val="20"/>
          <w:szCs w:val="20"/>
        </w:rPr>
        <w:t xml:space="preserve">; </w:t>
      </w:r>
      <w:proofErr w:type="spellStart"/>
      <w:r w:rsidR="00556DD9" w:rsidRPr="006D6B01">
        <w:rPr>
          <w:rFonts w:asciiTheme="majorHAnsi" w:hAnsiTheme="majorHAnsi"/>
          <w:sz w:val="20"/>
          <w:szCs w:val="20"/>
        </w:rPr>
        <w:t>Serandieu</w:t>
      </w:r>
      <w:proofErr w:type="spellEnd"/>
      <w:r w:rsidR="00556DD9" w:rsidRPr="006D6B01">
        <w:rPr>
          <w:rFonts w:asciiTheme="majorHAnsi" w:hAnsiTheme="majorHAnsi"/>
          <w:sz w:val="20"/>
          <w:szCs w:val="20"/>
        </w:rPr>
        <w:t xml:space="preserve">, Massillon; </w:t>
      </w:r>
      <w:proofErr w:type="spellStart"/>
      <w:r w:rsidR="00556DD9" w:rsidRPr="006D6B01">
        <w:rPr>
          <w:rFonts w:asciiTheme="majorHAnsi" w:hAnsiTheme="majorHAnsi"/>
          <w:sz w:val="20"/>
          <w:szCs w:val="20"/>
        </w:rPr>
        <w:t>Abadu</w:t>
      </w:r>
      <w:proofErr w:type="spellEnd"/>
      <w:r w:rsidR="00556DD9" w:rsidRPr="006D6B01">
        <w:rPr>
          <w:rFonts w:asciiTheme="majorHAnsi" w:hAnsiTheme="majorHAnsi"/>
          <w:sz w:val="20"/>
          <w:szCs w:val="20"/>
        </w:rPr>
        <w:t xml:space="preserve">, George, </w:t>
      </w:r>
      <w:proofErr w:type="spellStart"/>
      <w:r w:rsidR="00556DD9" w:rsidRPr="006D6B01">
        <w:rPr>
          <w:rFonts w:asciiTheme="majorHAnsi" w:hAnsiTheme="majorHAnsi"/>
          <w:sz w:val="20"/>
          <w:szCs w:val="20"/>
        </w:rPr>
        <w:t>Natusha</w:t>
      </w:r>
      <w:proofErr w:type="spellEnd"/>
      <w:r w:rsidR="00556DD9" w:rsidRPr="006D6B01">
        <w:rPr>
          <w:rFonts w:asciiTheme="majorHAnsi" w:hAnsiTheme="majorHAnsi"/>
          <w:sz w:val="20"/>
          <w:szCs w:val="20"/>
        </w:rPr>
        <w:t xml:space="preserve">, Joseph; and San </w:t>
      </w:r>
      <w:proofErr w:type="spellStart"/>
      <w:r w:rsidR="00556DD9" w:rsidRPr="006D6B01">
        <w:rPr>
          <w:rFonts w:asciiTheme="majorHAnsi" w:hAnsiTheme="majorHAnsi"/>
          <w:sz w:val="20"/>
          <w:szCs w:val="20"/>
        </w:rPr>
        <w:t>Voir</w:t>
      </w:r>
      <w:proofErr w:type="spellEnd"/>
      <w:r w:rsidR="00556DD9" w:rsidRPr="006D6B01">
        <w:rPr>
          <w:rFonts w:asciiTheme="majorHAnsi" w:hAnsiTheme="majorHAnsi"/>
          <w:sz w:val="20"/>
          <w:szCs w:val="20"/>
        </w:rPr>
        <w:t xml:space="preserve">, Jean-Baptiste. </w:t>
      </w:r>
    </w:p>
    <w:p w14:paraId="1CD45E64" w14:textId="77777777" w:rsidR="00E92496" w:rsidRPr="006D6B01" w:rsidRDefault="00E92496" w:rsidP="004311FE">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jc w:val="both"/>
        <w:rPr>
          <w:rFonts w:asciiTheme="majorHAnsi" w:hAnsiTheme="majorHAnsi"/>
          <w:sz w:val="20"/>
          <w:szCs w:val="20"/>
        </w:rPr>
      </w:pPr>
    </w:p>
    <w:p w14:paraId="1A35D98E" w14:textId="2F6E73C9" w:rsidR="001B423D" w:rsidRPr="006D6B01" w:rsidRDefault="003C179F" w:rsidP="004311FE">
      <w:pPr>
        <w:pStyle w:val="Heading3"/>
        <w:tabs>
          <w:tab w:val="left" w:pos="0"/>
          <w:tab w:val="left" w:pos="360"/>
        </w:tabs>
        <w:ind w:left="0" w:firstLine="0"/>
      </w:pPr>
      <w:bookmarkStart w:id="11" w:name="_Toc90557406"/>
      <w:r w:rsidRPr="006D6B01">
        <w:t>Specific information regarding</w:t>
      </w:r>
      <w:r w:rsidR="00417A4A" w:rsidRPr="006D6B01">
        <w:t xml:space="preserve"> </w:t>
      </w:r>
      <w:r w:rsidRPr="006D6B01">
        <w:t>Niev</w:t>
      </w:r>
      <w:r w:rsidR="00417A4A" w:rsidRPr="006D6B01">
        <w:t>es Escuela and her family</w:t>
      </w:r>
      <w:bookmarkEnd w:id="11"/>
    </w:p>
    <w:p w14:paraId="1EE7CB0B" w14:textId="77777777" w:rsidR="003C179F" w:rsidRPr="006D6B01" w:rsidRDefault="003C179F" w:rsidP="004311FE">
      <w:pPr>
        <w:pStyle w:val="ListParagraph"/>
        <w:tabs>
          <w:tab w:val="left" w:pos="0"/>
          <w:tab w:val="left" w:pos="360"/>
        </w:tabs>
        <w:ind w:left="0"/>
        <w:jc w:val="both"/>
        <w:rPr>
          <w:rFonts w:asciiTheme="majorHAnsi" w:hAnsiTheme="majorHAnsi"/>
          <w:sz w:val="20"/>
          <w:szCs w:val="20"/>
        </w:rPr>
      </w:pPr>
    </w:p>
    <w:p w14:paraId="3D653026" w14:textId="77777777" w:rsidR="00E35494" w:rsidRPr="006D6B01" w:rsidRDefault="00B418BD"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ind w:left="0" w:firstLine="0"/>
        <w:jc w:val="both"/>
        <w:rPr>
          <w:rFonts w:asciiTheme="majorHAnsi" w:hAnsiTheme="majorHAnsi"/>
          <w:sz w:val="20"/>
          <w:szCs w:val="20"/>
        </w:rPr>
      </w:pPr>
      <w:r w:rsidRPr="006D6B01">
        <w:rPr>
          <w:rFonts w:asciiTheme="majorHAnsi" w:hAnsiTheme="majorHAnsi"/>
          <w:sz w:val="20"/>
          <w:szCs w:val="20"/>
        </w:rPr>
        <w:t xml:space="preserve">Ms. </w:t>
      </w:r>
      <w:r w:rsidR="00890BC9" w:rsidRPr="006D6B01">
        <w:rPr>
          <w:rFonts w:asciiTheme="majorHAnsi" w:hAnsiTheme="majorHAnsi"/>
          <w:sz w:val="20"/>
          <w:szCs w:val="20"/>
        </w:rPr>
        <w:t xml:space="preserve">Nieves Marlene Escuela Gonzalez and </w:t>
      </w:r>
      <w:r w:rsidR="001A136F" w:rsidRPr="006D6B01">
        <w:rPr>
          <w:rFonts w:asciiTheme="majorHAnsi" w:hAnsiTheme="majorHAnsi"/>
          <w:sz w:val="20"/>
          <w:szCs w:val="20"/>
        </w:rPr>
        <w:t>her</w:t>
      </w:r>
      <w:r w:rsidR="00890BC9" w:rsidRPr="006D6B01">
        <w:rPr>
          <w:rFonts w:asciiTheme="majorHAnsi" w:hAnsiTheme="majorHAnsi"/>
          <w:sz w:val="20"/>
          <w:szCs w:val="20"/>
        </w:rPr>
        <w:t xml:space="preserve"> children, Jorge </w:t>
      </w:r>
      <w:proofErr w:type="spellStart"/>
      <w:r w:rsidR="00890BC9" w:rsidRPr="006D6B01">
        <w:rPr>
          <w:rFonts w:asciiTheme="majorHAnsi" w:hAnsiTheme="majorHAnsi"/>
          <w:sz w:val="20"/>
          <w:szCs w:val="20"/>
        </w:rPr>
        <w:t>Rochela</w:t>
      </w:r>
      <w:proofErr w:type="spellEnd"/>
      <w:r w:rsidR="00890BC9" w:rsidRPr="006D6B01">
        <w:rPr>
          <w:rFonts w:asciiTheme="majorHAnsi" w:hAnsiTheme="majorHAnsi"/>
          <w:sz w:val="20"/>
          <w:szCs w:val="20"/>
        </w:rPr>
        <w:t xml:space="preserve"> Escuela and </w:t>
      </w:r>
      <w:proofErr w:type="spellStart"/>
      <w:r w:rsidR="00890BC9" w:rsidRPr="006D6B01">
        <w:rPr>
          <w:rFonts w:asciiTheme="majorHAnsi" w:hAnsiTheme="majorHAnsi"/>
          <w:sz w:val="20"/>
          <w:szCs w:val="20"/>
        </w:rPr>
        <w:t>Mildrey</w:t>
      </w:r>
      <w:proofErr w:type="spellEnd"/>
      <w:r w:rsidR="00890BC9" w:rsidRPr="006D6B01">
        <w:rPr>
          <w:rFonts w:asciiTheme="majorHAnsi" w:hAnsiTheme="majorHAnsi"/>
          <w:sz w:val="20"/>
          <w:szCs w:val="20"/>
        </w:rPr>
        <w:t xml:space="preserve"> Martin Escuela</w:t>
      </w:r>
      <w:r w:rsidR="00D818DD" w:rsidRPr="006D6B01">
        <w:rPr>
          <w:rFonts w:asciiTheme="majorHAnsi" w:hAnsiTheme="majorHAnsi"/>
          <w:sz w:val="20"/>
          <w:szCs w:val="20"/>
        </w:rPr>
        <w:t>,</w:t>
      </w:r>
      <w:r w:rsidR="00F516E2" w:rsidRPr="006D6B01">
        <w:rPr>
          <w:rFonts w:asciiTheme="majorHAnsi" w:hAnsiTheme="majorHAnsi"/>
          <w:sz w:val="20"/>
          <w:szCs w:val="20"/>
        </w:rPr>
        <w:t xml:space="preserve"> were among the 67 Cuban nationals repatriated on October 20, 1998</w:t>
      </w:r>
      <w:r w:rsidR="00890BC9" w:rsidRPr="006D6B01">
        <w:rPr>
          <w:rFonts w:asciiTheme="majorHAnsi" w:hAnsiTheme="majorHAnsi"/>
          <w:sz w:val="20"/>
          <w:szCs w:val="20"/>
        </w:rPr>
        <w:t>.</w:t>
      </w:r>
      <w:r w:rsidR="00890BC9" w:rsidRPr="006D6B01">
        <w:rPr>
          <w:rStyle w:val="FootnoteReference"/>
          <w:rFonts w:asciiTheme="majorHAnsi" w:hAnsiTheme="majorHAnsi"/>
          <w:sz w:val="20"/>
          <w:szCs w:val="20"/>
        </w:rPr>
        <w:footnoteReference w:id="48"/>
      </w:r>
      <w:r w:rsidR="00F516E2" w:rsidRPr="006D6B01">
        <w:rPr>
          <w:rFonts w:asciiTheme="majorHAnsi" w:hAnsiTheme="majorHAnsi"/>
          <w:sz w:val="20"/>
          <w:szCs w:val="20"/>
        </w:rPr>
        <w:t xml:space="preserve"> </w:t>
      </w:r>
      <w:r w:rsidR="00D818DD" w:rsidRPr="006D6B01">
        <w:rPr>
          <w:rFonts w:asciiTheme="majorHAnsi" w:hAnsiTheme="majorHAnsi"/>
          <w:sz w:val="20"/>
          <w:szCs w:val="20"/>
        </w:rPr>
        <w:t>Ms. Escuela Gonzalez</w:t>
      </w:r>
      <w:r w:rsidR="00F516E2" w:rsidRPr="006D6B01">
        <w:rPr>
          <w:rFonts w:asciiTheme="majorHAnsi" w:hAnsiTheme="majorHAnsi"/>
          <w:sz w:val="20"/>
          <w:szCs w:val="20"/>
        </w:rPr>
        <w:t xml:space="preserve"> and </w:t>
      </w:r>
      <w:r w:rsidR="00E35494" w:rsidRPr="006D6B01">
        <w:rPr>
          <w:rFonts w:asciiTheme="majorHAnsi" w:hAnsiTheme="majorHAnsi"/>
          <w:sz w:val="20"/>
          <w:szCs w:val="20"/>
        </w:rPr>
        <w:t>her</w:t>
      </w:r>
      <w:r w:rsidR="00F516E2" w:rsidRPr="006D6B01">
        <w:rPr>
          <w:rFonts w:asciiTheme="majorHAnsi" w:hAnsiTheme="majorHAnsi"/>
          <w:sz w:val="20"/>
          <w:szCs w:val="20"/>
        </w:rPr>
        <w:t xml:space="preserve"> children left Cuba for the U.S. in a raft </w:t>
      </w:r>
      <w:r w:rsidR="00E35494" w:rsidRPr="006D6B01">
        <w:rPr>
          <w:rFonts w:asciiTheme="majorHAnsi" w:hAnsiTheme="majorHAnsi"/>
          <w:sz w:val="20"/>
          <w:szCs w:val="20"/>
        </w:rPr>
        <w:t>because she feared</w:t>
      </w:r>
      <w:r w:rsidR="00DA5189" w:rsidRPr="006D6B01">
        <w:rPr>
          <w:rFonts w:asciiTheme="majorHAnsi" w:hAnsiTheme="majorHAnsi"/>
          <w:sz w:val="20"/>
          <w:szCs w:val="20"/>
        </w:rPr>
        <w:t xml:space="preserve"> being sentenced to three years in jail </w:t>
      </w:r>
      <w:r w:rsidR="00F516E2" w:rsidRPr="006D6B01">
        <w:rPr>
          <w:rFonts w:asciiTheme="majorHAnsi" w:hAnsiTheme="majorHAnsi"/>
          <w:sz w:val="20"/>
          <w:szCs w:val="20"/>
        </w:rPr>
        <w:t xml:space="preserve">after </w:t>
      </w:r>
      <w:r w:rsidR="00D818DD" w:rsidRPr="006D6B01">
        <w:rPr>
          <w:rFonts w:asciiTheme="majorHAnsi" w:hAnsiTheme="majorHAnsi"/>
          <w:sz w:val="20"/>
          <w:szCs w:val="20"/>
        </w:rPr>
        <w:t>she</w:t>
      </w:r>
      <w:r w:rsidR="00F516E2" w:rsidRPr="006D6B01">
        <w:rPr>
          <w:rFonts w:asciiTheme="majorHAnsi" w:hAnsiTheme="majorHAnsi"/>
          <w:sz w:val="20"/>
          <w:szCs w:val="20"/>
        </w:rPr>
        <w:t xml:space="preserve"> was charged</w:t>
      </w:r>
      <w:r w:rsidR="00472B3B" w:rsidRPr="006D6B01">
        <w:rPr>
          <w:rFonts w:asciiTheme="majorHAnsi" w:hAnsiTheme="majorHAnsi"/>
          <w:sz w:val="20"/>
          <w:szCs w:val="20"/>
        </w:rPr>
        <w:t xml:space="preserve"> for having a party on July</w:t>
      </w:r>
      <w:r w:rsidR="00E660A0" w:rsidRPr="006D6B01">
        <w:rPr>
          <w:rFonts w:asciiTheme="majorHAnsi" w:hAnsiTheme="majorHAnsi"/>
          <w:sz w:val="20"/>
          <w:szCs w:val="20"/>
        </w:rPr>
        <w:t xml:space="preserve"> 4 and having more than four</w:t>
      </w:r>
      <w:r w:rsidR="00472B3B" w:rsidRPr="006D6B01">
        <w:rPr>
          <w:rFonts w:asciiTheme="majorHAnsi" w:hAnsiTheme="majorHAnsi"/>
          <w:sz w:val="20"/>
          <w:szCs w:val="20"/>
        </w:rPr>
        <w:t xml:space="preserve"> non-immediate family members in her house at</w:t>
      </w:r>
      <w:r w:rsidR="00DA5189" w:rsidRPr="006D6B01">
        <w:rPr>
          <w:rFonts w:asciiTheme="majorHAnsi" w:hAnsiTheme="majorHAnsi"/>
          <w:sz w:val="20"/>
          <w:szCs w:val="20"/>
        </w:rPr>
        <w:t xml:space="preserve"> one time without a permit</w:t>
      </w:r>
      <w:r w:rsidR="00472B3B" w:rsidRPr="006D6B01">
        <w:rPr>
          <w:rFonts w:asciiTheme="majorHAnsi" w:hAnsiTheme="majorHAnsi"/>
          <w:sz w:val="20"/>
          <w:szCs w:val="20"/>
        </w:rPr>
        <w:t>.</w:t>
      </w:r>
      <w:r w:rsidR="00086A30" w:rsidRPr="006D6B01">
        <w:rPr>
          <w:rStyle w:val="FootnoteReference"/>
          <w:rFonts w:asciiTheme="majorHAnsi" w:hAnsiTheme="majorHAnsi"/>
          <w:sz w:val="20"/>
          <w:szCs w:val="20"/>
        </w:rPr>
        <w:footnoteReference w:id="49"/>
      </w:r>
      <w:r w:rsidR="00472B3B" w:rsidRPr="006D6B01">
        <w:rPr>
          <w:rFonts w:asciiTheme="majorHAnsi" w:hAnsiTheme="majorHAnsi"/>
          <w:sz w:val="20"/>
          <w:szCs w:val="20"/>
        </w:rPr>
        <w:t xml:space="preserve"> After being pick</w:t>
      </w:r>
      <w:r w:rsidR="00086A30" w:rsidRPr="006D6B01">
        <w:rPr>
          <w:rFonts w:asciiTheme="majorHAnsi" w:hAnsiTheme="majorHAnsi"/>
          <w:sz w:val="20"/>
          <w:szCs w:val="20"/>
        </w:rPr>
        <w:t>ed up by a tourist</w:t>
      </w:r>
      <w:r w:rsidR="00472B3B" w:rsidRPr="006D6B01">
        <w:rPr>
          <w:rFonts w:asciiTheme="majorHAnsi" w:hAnsiTheme="majorHAnsi"/>
          <w:sz w:val="20"/>
          <w:szCs w:val="20"/>
        </w:rPr>
        <w:t xml:space="preserve"> boat and brought to the U.S. Coast Guard </w:t>
      </w:r>
      <w:r w:rsidR="00444B9E" w:rsidRPr="006D6B01">
        <w:rPr>
          <w:rFonts w:asciiTheme="majorHAnsi" w:hAnsiTheme="majorHAnsi"/>
          <w:sz w:val="20"/>
          <w:szCs w:val="20"/>
        </w:rPr>
        <w:t>they</w:t>
      </w:r>
      <w:r w:rsidR="00472B3B" w:rsidRPr="006D6B01">
        <w:rPr>
          <w:rFonts w:asciiTheme="majorHAnsi" w:hAnsiTheme="majorHAnsi"/>
          <w:sz w:val="20"/>
          <w:szCs w:val="20"/>
        </w:rPr>
        <w:t xml:space="preserve"> were </w:t>
      </w:r>
      <w:r w:rsidR="00096185" w:rsidRPr="006D6B01">
        <w:rPr>
          <w:rFonts w:asciiTheme="majorHAnsi" w:hAnsiTheme="majorHAnsi"/>
          <w:sz w:val="20"/>
          <w:szCs w:val="20"/>
        </w:rPr>
        <w:t xml:space="preserve">later </w:t>
      </w:r>
      <w:r w:rsidR="00472B3B" w:rsidRPr="006D6B01">
        <w:rPr>
          <w:rFonts w:asciiTheme="majorHAnsi" w:hAnsiTheme="majorHAnsi"/>
          <w:sz w:val="20"/>
          <w:szCs w:val="20"/>
        </w:rPr>
        <w:t xml:space="preserve">sent to the Carmichael </w:t>
      </w:r>
      <w:r w:rsidR="00096185" w:rsidRPr="006D6B01">
        <w:rPr>
          <w:rFonts w:asciiTheme="majorHAnsi" w:hAnsiTheme="majorHAnsi"/>
          <w:sz w:val="20"/>
          <w:szCs w:val="20"/>
        </w:rPr>
        <w:t>Road Detention Center.</w:t>
      </w:r>
      <w:r w:rsidR="00086A30" w:rsidRPr="006D6B01">
        <w:rPr>
          <w:rStyle w:val="FootnoteReference"/>
          <w:rFonts w:asciiTheme="majorHAnsi" w:hAnsiTheme="majorHAnsi"/>
          <w:sz w:val="20"/>
          <w:szCs w:val="20"/>
        </w:rPr>
        <w:footnoteReference w:id="50"/>
      </w:r>
      <w:r w:rsidR="00096185" w:rsidRPr="006D6B01">
        <w:rPr>
          <w:rFonts w:asciiTheme="majorHAnsi" w:hAnsiTheme="majorHAnsi"/>
          <w:sz w:val="20"/>
          <w:szCs w:val="20"/>
        </w:rPr>
        <w:t xml:space="preserve"> At the Center, </w:t>
      </w:r>
      <w:r w:rsidR="00D818DD" w:rsidRPr="006D6B01">
        <w:rPr>
          <w:rFonts w:asciiTheme="majorHAnsi" w:hAnsiTheme="majorHAnsi"/>
          <w:sz w:val="20"/>
          <w:szCs w:val="20"/>
        </w:rPr>
        <w:t>Ms. Escuela Gonzalez</w:t>
      </w:r>
      <w:r w:rsidR="00096185" w:rsidRPr="006D6B01">
        <w:rPr>
          <w:rFonts w:asciiTheme="majorHAnsi" w:hAnsiTheme="majorHAnsi"/>
          <w:sz w:val="20"/>
          <w:szCs w:val="20"/>
        </w:rPr>
        <w:t xml:space="preserve"> was given a written questionnaire by Michelle Stewart</w:t>
      </w:r>
      <w:r w:rsidR="00086A30" w:rsidRPr="006D6B01">
        <w:rPr>
          <w:rFonts w:asciiTheme="majorHAnsi" w:hAnsiTheme="majorHAnsi"/>
          <w:sz w:val="20"/>
          <w:szCs w:val="20"/>
        </w:rPr>
        <w:t xml:space="preserve">, </w:t>
      </w:r>
      <w:r w:rsidR="00D818DD" w:rsidRPr="006D6B01">
        <w:rPr>
          <w:rFonts w:asciiTheme="majorHAnsi" w:hAnsiTheme="majorHAnsi"/>
          <w:sz w:val="20"/>
          <w:szCs w:val="20"/>
        </w:rPr>
        <w:t>an immigration offici</w:t>
      </w:r>
      <w:r w:rsidR="00EE1218" w:rsidRPr="006D6B01">
        <w:rPr>
          <w:rFonts w:asciiTheme="majorHAnsi" w:hAnsiTheme="majorHAnsi"/>
          <w:sz w:val="20"/>
          <w:szCs w:val="20"/>
        </w:rPr>
        <w:t>a</w:t>
      </w:r>
      <w:r w:rsidR="00D818DD" w:rsidRPr="006D6B01">
        <w:rPr>
          <w:rFonts w:asciiTheme="majorHAnsi" w:hAnsiTheme="majorHAnsi"/>
          <w:sz w:val="20"/>
          <w:szCs w:val="20"/>
        </w:rPr>
        <w:t xml:space="preserve">l, </w:t>
      </w:r>
      <w:r w:rsidR="00086A30" w:rsidRPr="006D6B01">
        <w:rPr>
          <w:rFonts w:asciiTheme="majorHAnsi" w:hAnsiTheme="majorHAnsi"/>
          <w:sz w:val="20"/>
          <w:szCs w:val="20"/>
        </w:rPr>
        <w:t xml:space="preserve">who </w:t>
      </w:r>
      <w:r w:rsidR="00E35494" w:rsidRPr="006D6B01">
        <w:rPr>
          <w:rFonts w:asciiTheme="majorHAnsi" w:hAnsiTheme="majorHAnsi"/>
          <w:sz w:val="20"/>
          <w:szCs w:val="20"/>
        </w:rPr>
        <w:t xml:space="preserve">Ms. Escuela indicated </w:t>
      </w:r>
      <w:r w:rsidR="00086A30" w:rsidRPr="006D6B01">
        <w:rPr>
          <w:rFonts w:asciiTheme="majorHAnsi" w:hAnsiTheme="majorHAnsi"/>
          <w:sz w:val="20"/>
          <w:szCs w:val="20"/>
        </w:rPr>
        <w:t xml:space="preserve">refused to accept or look at </w:t>
      </w:r>
      <w:r w:rsidR="00DA5189" w:rsidRPr="006D6B01">
        <w:rPr>
          <w:rFonts w:asciiTheme="majorHAnsi" w:hAnsiTheme="majorHAnsi"/>
          <w:sz w:val="20"/>
          <w:szCs w:val="20"/>
        </w:rPr>
        <w:t xml:space="preserve">her documentation </w:t>
      </w:r>
      <w:r w:rsidR="00E660A0" w:rsidRPr="006D6B01">
        <w:rPr>
          <w:rFonts w:asciiTheme="majorHAnsi" w:hAnsiTheme="majorHAnsi"/>
          <w:sz w:val="20"/>
          <w:szCs w:val="20"/>
        </w:rPr>
        <w:t>or</w:t>
      </w:r>
      <w:r w:rsidR="00DA5189" w:rsidRPr="006D6B01">
        <w:rPr>
          <w:rFonts w:asciiTheme="majorHAnsi" w:hAnsiTheme="majorHAnsi"/>
          <w:sz w:val="20"/>
          <w:szCs w:val="20"/>
        </w:rPr>
        <w:t xml:space="preserve"> </w:t>
      </w:r>
      <w:r w:rsidR="00086A30" w:rsidRPr="006D6B01">
        <w:rPr>
          <w:rFonts w:asciiTheme="majorHAnsi" w:hAnsiTheme="majorHAnsi"/>
          <w:sz w:val="20"/>
          <w:szCs w:val="20"/>
        </w:rPr>
        <w:t>answer questions about the procedure</w:t>
      </w:r>
      <w:r w:rsidR="00DA5189" w:rsidRPr="006D6B01">
        <w:rPr>
          <w:rFonts w:asciiTheme="majorHAnsi" w:hAnsiTheme="majorHAnsi"/>
          <w:sz w:val="20"/>
          <w:szCs w:val="20"/>
        </w:rPr>
        <w:t>,</w:t>
      </w:r>
      <w:r w:rsidR="00CC12FD" w:rsidRPr="006D6B01">
        <w:rPr>
          <w:rFonts w:asciiTheme="majorHAnsi" w:hAnsiTheme="majorHAnsi"/>
          <w:sz w:val="20"/>
          <w:szCs w:val="20"/>
        </w:rPr>
        <w:t xml:space="preserve"> and did not return </w:t>
      </w:r>
      <w:r w:rsidR="00DA5189" w:rsidRPr="006D6B01">
        <w:rPr>
          <w:rFonts w:asciiTheme="majorHAnsi" w:hAnsiTheme="majorHAnsi"/>
          <w:sz w:val="20"/>
          <w:szCs w:val="20"/>
        </w:rPr>
        <w:t xml:space="preserve">to the Center </w:t>
      </w:r>
      <w:r w:rsidR="00CC12FD" w:rsidRPr="006D6B01">
        <w:rPr>
          <w:rFonts w:asciiTheme="majorHAnsi" w:hAnsiTheme="majorHAnsi"/>
          <w:sz w:val="20"/>
          <w:szCs w:val="20"/>
        </w:rPr>
        <w:t>despite promising to do so</w:t>
      </w:r>
      <w:r w:rsidR="00086A30" w:rsidRPr="006D6B01">
        <w:rPr>
          <w:rFonts w:asciiTheme="majorHAnsi" w:hAnsiTheme="majorHAnsi"/>
          <w:sz w:val="20"/>
          <w:szCs w:val="20"/>
        </w:rPr>
        <w:t>.</w:t>
      </w:r>
      <w:r w:rsidR="00086A30" w:rsidRPr="006D6B01">
        <w:rPr>
          <w:rStyle w:val="FootnoteReference"/>
          <w:rFonts w:asciiTheme="majorHAnsi" w:hAnsiTheme="majorHAnsi"/>
          <w:sz w:val="20"/>
          <w:szCs w:val="20"/>
        </w:rPr>
        <w:footnoteReference w:id="51"/>
      </w:r>
      <w:r w:rsidR="00472B3B" w:rsidRPr="006D6B01">
        <w:rPr>
          <w:rFonts w:asciiTheme="majorHAnsi" w:hAnsiTheme="majorHAnsi"/>
          <w:sz w:val="20"/>
          <w:szCs w:val="20"/>
        </w:rPr>
        <w:t xml:space="preserve"> </w:t>
      </w:r>
    </w:p>
    <w:p w14:paraId="6DF502C2" w14:textId="77777777" w:rsidR="00E35494" w:rsidRPr="006D6B01" w:rsidRDefault="00E35494" w:rsidP="004311FE">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jc w:val="both"/>
        <w:rPr>
          <w:rFonts w:asciiTheme="majorHAnsi" w:hAnsiTheme="majorHAnsi"/>
          <w:sz w:val="20"/>
          <w:szCs w:val="20"/>
        </w:rPr>
      </w:pPr>
    </w:p>
    <w:p w14:paraId="6B77CE53" w14:textId="77777777" w:rsidR="00E35494" w:rsidRPr="006D6B01" w:rsidRDefault="001A136F"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ind w:left="0" w:firstLine="0"/>
        <w:jc w:val="both"/>
        <w:rPr>
          <w:rFonts w:asciiTheme="majorHAnsi" w:hAnsiTheme="majorHAnsi"/>
          <w:sz w:val="20"/>
          <w:szCs w:val="20"/>
        </w:rPr>
      </w:pPr>
      <w:r w:rsidRPr="006D6B01">
        <w:rPr>
          <w:rFonts w:asciiTheme="majorHAnsi" w:hAnsiTheme="majorHAnsi"/>
          <w:sz w:val="20"/>
          <w:szCs w:val="20"/>
        </w:rPr>
        <w:t xml:space="preserve">Meanwhile, Ms. Escuela’s husband, Jorge Juan </w:t>
      </w:r>
      <w:proofErr w:type="spellStart"/>
      <w:r w:rsidRPr="006D6B01">
        <w:rPr>
          <w:rFonts w:asciiTheme="majorHAnsi" w:hAnsiTheme="majorHAnsi"/>
          <w:sz w:val="20"/>
          <w:szCs w:val="20"/>
        </w:rPr>
        <w:t>Rochela</w:t>
      </w:r>
      <w:proofErr w:type="spellEnd"/>
      <w:r w:rsidRPr="006D6B01">
        <w:rPr>
          <w:rFonts w:asciiTheme="majorHAnsi" w:hAnsiTheme="majorHAnsi"/>
          <w:sz w:val="20"/>
          <w:szCs w:val="20"/>
        </w:rPr>
        <w:t>,</w:t>
      </w:r>
      <w:r w:rsidR="00890BC9" w:rsidRPr="006D6B01">
        <w:rPr>
          <w:rFonts w:asciiTheme="majorHAnsi" w:hAnsiTheme="majorHAnsi"/>
          <w:sz w:val="20"/>
          <w:szCs w:val="20"/>
        </w:rPr>
        <w:t xml:space="preserve"> was granted </w:t>
      </w:r>
      <w:r w:rsidR="004B599A" w:rsidRPr="006D6B01">
        <w:rPr>
          <w:rFonts w:asciiTheme="majorHAnsi" w:hAnsiTheme="majorHAnsi"/>
          <w:sz w:val="20"/>
          <w:szCs w:val="20"/>
        </w:rPr>
        <w:t>asylum in the United States as of July 14, 1998</w:t>
      </w:r>
      <w:r w:rsidR="00E35494" w:rsidRPr="006D6B01">
        <w:rPr>
          <w:rFonts w:asciiTheme="majorHAnsi" w:hAnsiTheme="majorHAnsi"/>
          <w:sz w:val="20"/>
          <w:szCs w:val="20"/>
        </w:rPr>
        <w:t>, giving him</w:t>
      </w:r>
      <w:r w:rsidR="004B599A" w:rsidRPr="006D6B01">
        <w:rPr>
          <w:rFonts w:asciiTheme="majorHAnsi" w:hAnsiTheme="majorHAnsi"/>
          <w:sz w:val="20"/>
          <w:szCs w:val="20"/>
        </w:rPr>
        <w:t xml:space="preserve"> the option to request derivative asylum status for any spouse or child</w:t>
      </w:r>
      <w:r w:rsidR="00745FA2" w:rsidRPr="006D6B01">
        <w:rPr>
          <w:rFonts w:asciiTheme="majorHAnsi" w:hAnsiTheme="majorHAnsi"/>
          <w:sz w:val="20"/>
          <w:szCs w:val="20"/>
        </w:rPr>
        <w:t>ren</w:t>
      </w:r>
      <w:r w:rsidRPr="006D6B01">
        <w:rPr>
          <w:rFonts w:asciiTheme="majorHAnsi" w:hAnsiTheme="majorHAnsi"/>
          <w:sz w:val="20"/>
          <w:szCs w:val="20"/>
        </w:rPr>
        <w:t>;</w:t>
      </w:r>
      <w:r w:rsidR="004B599A" w:rsidRPr="006D6B01">
        <w:rPr>
          <w:rStyle w:val="FootnoteReference"/>
          <w:rFonts w:asciiTheme="majorHAnsi" w:hAnsiTheme="majorHAnsi"/>
          <w:sz w:val="20"/>
          <w:szCs w:val="20"/>
        </w:rPr>
        <w:footnoteReference w:id="52"/>
      </w:r>
      <w:r w:rsidRPr="006D6B01">
        <w:rPr>
          <w:rFonts w:asciiTheme="majorHAnsi" w:hAnsiTheme="majorHAnsi"/>
          <w:sz w:val="20"/>
          <w:szCs w:val="20"/>
        </w:rPr>
        <w:t xml:space="preserve"> he presented his request </w:t>
      </w:r>
      <w:r w:rsidR="00757959" w:rsidRPr="006D6B01">
        <w:rPr>
          <w:rFonts w:asciiTheme="majorHAnsi" w:hAnsiTheme="majorHAnsi"/>
          <w:sz w:val="20"/>
          <w:szCs w:val="20"/>
        </w:rPr>
        <w:t xml:space="preserve">on </w:t>
      </w:r>
      <w:r w:rsidR="00745FA2" w:rsidRPr="006D6B01">
        <w:rPr>
          <w:rFonts w:asciiTheme="majorHAnsi" w:hAnsiTheme="majorHAnsi"/>
          <w:sz w:val="20"/>
          <w:szCs w:val="20"/>
        </w:rPr>
        <w:t>August 28, 1998</w:t>
      </w:r>
      <w:r w:rsidRPr="006D6B01">
        <w:rPr>
          <w:rFonts w:asciiTheme="majorHAnsi" w:hAnsiTheme="majorHAnsi"/>
          <w:sz w:val="20"/>
          <w:szCs w:val="20"/>
        </w:rPr>
        <w:t>.</w:t>
      </w:r>
      <w:r w:rsidR="00745FA2" w:rsidRPr="006D6B01">
        <w:rPr>
          <w:rStyle w:val="FootnoteReference"/>
          <w:rFonts w:asciiTheme="majorHAnsi" w:hAnsiTheme="majorHAnsi"/>
          <w:sz w:val="20"/>
          <w:szCs w:val="20"/>
        </w:rPr>
        <w:footnoteReference w:id="53"/>
      </w:r>
      <w:r w:rsidR="00745FA2" w:rsidRPr="006D6B01">
        <w:rPr>
          <w:rFonts w:asciiTheme="majorHAnsi" w:hAnsiTheme="majorHAnsi"/>
          <w:sz w:val="20"/>
          <w:szCs w:val="20"/>
        </w:rPr>
        <w:t xml:space="preserve"> </w:t>
      </w:r>
      <w:r w:rsidR="00162134" w:rsidRPr="006D6B01">
        <w:rPr>
          <w:rFonts w:asciiTheme="majorHAnsi" w:hAnsiTheme="majorHAnsi"/>
          <w:sz w:val="20"/>
          <w:szCs w:val="20"/>
        </w:rPr>
        <w:t>After failing to communicate with the Department of Immigration in The Bahamas and the Centre,</w:t>
      </w:r>
      <w:r w:rsidR="00162134" w:rsidRPr="006D6B01">
        <w:rPr>
          <w:rStyle w:val="FootnoteReference"/>
          <w:rFonts w:asciiTheme="majorHAnsi" w:hAnsiTheme="majorHAnsi"/>
          <w:sz w:val="20"/>
          <w:szCs w:val="20"/>
        </w:rPr>
        <w:footnoteReference w:id="54"/>
      </w:r>
      <w:r w:rsidR="00162134" w:rsidRPr="006D6B01">
        <w:rPr>
          <w:rFonts w:asciiTheme="majorHAnsi" w:hAnsiTheme="majorHAnsi"/>
          <w:sz w:val="20"/>
          <w:szCs w:val="20"/>
        </w:rPr>
        <w:t xml:space="preserve"> </w:t>
      </w:r>
      <w:r w:rsidRPr="006D6B01">
        <w:rPr>
          <w:rFonts w:asciiTheme="majorHAnsi" w:hAnsiTheme="majorHAnsi"/>
          <w:sz w:val="20"/>
          <w:szCs w:val="20"/>
        </w:rPr>
        <w:t xml:space="preserve">Mr. </w:t>
      </w:r>
      <w:proofErr w:type="spellStart"/>
      <w:r w:rsidRPr="006D6B01">
        <w:rPr>
          <w:rFonts w:asciiTheme="majorHAnsi" w:hAnsiTheme="majorHAnsi"/>
          <w:sz w:val="20"/>
          <w:szCs w:val="20"/>
        </w:rPr>
        <w:t>Rochela’s</w:t>
      </w:r>
      <w:proofErr w:type="spellEnd"/>
      <w:r w:rsidRPr="006D6B01">
        <w:rPr>
          <w:rFonts w:asciiTheme="majorHAnsi" w:hAnsiTheme="majorHAnsi"/>
          <w:sz w:val="20"/>
          <w:szCs w:val="20"/>
        </w:rPr>
        <w:t xml:space="preserve"> legal representatives</w:t>
      </w:r>
      <w:r w:rsidR="00E35494" w:rsidRPr="006D6B01">
        <w:rPr>
          <w:rFonts w:asciiTheme="majorHAnsi" w:hAnsiTheme="majorHAnsi"/>
          <w:sz w:val="20"/>
          <w:szCs w:val="20"/>
        </w:rPr>
        <w:t xml:space="preserve"> </w:t>
      </w:r>
      <w:r w:rsidR="004B599A" w:rsidRPr="006D6B01">
        <w:rPr>
          <w:rFonts w:asciiTheme="majorHAnsi" w:hAnsiTheme="majorHAnsi"/>
          <w:sz w:val="20"/>
          <w:szCs w:val="20"/>
        </w:rPr>
        <w:t xml:space="preserve">sent a letter to the Deputy Permanent Secretary of the </w:t>
      </w:r>
      <w:r w:rsidR="00CE7622" w:rsidRPr="006D6B01">
        <w:rPr>
          <w:rFonts w:asciiTheme="majorHAnsi" w:hAnsiTheme="majorHAnsi"/>
          <w:sz w:val="20"/>
          <w:szCs w:val="20"/>
        </w:rPr>
        <w:t xml:space="preserve">Ministry of </w:t>
      </w:r>
      <w:proofErr w:type="spellStart"/>
      <w:r w:rsidR="00CE7622" w:rsidRPr="006D6B01">
        <w:rPr>
          <w:rFonts w:asciiTheme="majorHAnsi" w:hAnsiTheme="majorHAnsi"/>
          <w:sz w:val="20"/>
          <w:szCs w:val="20"/>
        </w:rPr>
        <w:t>Labour</w:t>
      </w:r>
      <w:proofErr w:type="spellEnd"/>
      <w:r w:rsidR="00CE7622" w:rsidRPr="006D6B01">
        <w:rPr>
          <w:rFonts w:asciiTheme="majorHAnsi" w:hAnsiTheme="majorHAnsi"/>
          <w:sz w:val="20"/>
          <w:szCs w:val="20"/>
        </w:rPr>
        <w:t xml:space="preserve"> and </w:t>
      </w:r>
      <w:r w:rsidR="004B599A" w:rsidRPr="006D6B01">
        <w:rPr>
          <w:rFonts w:asciiTheme="majorHAnsi" w:hAnsiTheme="majorHAnsi"/>
          <w:sz w:val="20"/>
          <w:szCs w:val="20"/>
        </w:rPr>
        <w:t>Immigr</w:t>
      </w:r>
      <w:r w:rsidR="00CE7622" w:rsidRPr="006D6B01">
        <w:rPr>
          <w:rFonts w:asciiTheme="majorHAnsi" w:hAnsiTheme="majorHAnsi"/>
          <w:sz w:val="20"/>
          <w:szCs w:val="20"/>
        </w:rPr>
        <w:t xml:space="preserve">ation </w:t>
      </w:r>
      <w:r w:rsidR="004B599A" w:rsidRPr="006D6B01">
        <w:rPr>
          <w:rFonts w:asciiTheme="majorHAnsi" w:hAnsiTheme="majorHAnsi"/>
          <w:sz w:val="20"/>
          <w:szCs w:val="20"/>
        </w:rPr>
        <w:t>of The Bahamas</w:t>
      </w:r>
      <w:r w:rsidR="00796F4A" w:rsidRPr="006D6B01">
        <w:rPr>
          <w:rFonts w:asciiTheme="majorHAnsi" w:hAnsiTheme="majorHAnsi"/>
          <w:sz w:val="20"/>
          <w:szCs w:val="20"/>
        </w:rPr>
        <w:t xml:space="preserve"> informing them of the grant of asylum and that Mr. </w:t>
      </w:r>
      <w:proofErr w:type="spellStart"/>
      <w:r w:rsidR="00796F4A" w:rsidRPr="006D6B01">
        <w:rPr>
          <w:rFonts w:asciiTheme="majorHAnsi" w:hAnsiTheme="majorHAnsi"/>
          <w:sz w:val="20"/>
          <w:szCs w:val="20"/>
        </w:rPr>
        <w:t>Rochela</w:t>
      </w:r>
      <w:proofErr w:type="spellEnd"/>
      <w:r w:rsidR="00796F4A" w:rsidRPr="006D6B01">
        <w:rPr>
          <w:rFonts w:asciiTheme="majorHAnsi" w:hAnsiTheme="majorHAnsi"/>
          <w:sz w:val="20"/>
          <w:szCs w:val="20"/>
        </w:rPr>
        <w:t xml:space="preserve"> was in the process of filling out the appropriate documentation to enable</w:t>
      </w:r>
      <w:r w:rsidR="00E35494" w:rsidRPr="006D6B01">
        <w:rPr>
          <w:rFonts w:asciiTheme="majorHAnsi" w:hAnsiTheme="majorHAnsi"/>
          <w:sz w:val="20"/>
          <w:szCs w:val="20"/>
        </w:rPr>
        <w:t xml:space="preserve"> his family to reunite with him,</w:t>
      </w:r>
      <w:r w:rsidR="00796F4A" w:rsidRPr="006D6B01">
        <w:rPr>
          <w:rFonts w:asciiTheme="majorHAnsi" w:hAnsiTheme="majorHAnsi"/>
          <w:sz w:val="20"/>
          <w:szCs w:val="20"/>
        </w:rPr>
        <w:t xml:space="preserve"> </w:t>
      </w:r>
      <w:r w:rsidR="00E35494" w:rsidRPr="006D6B01">
        <w:rPr>
          <w:rFonts w:asciiTheme="majorHAnsi" w:hAnsiTheme="majorHAnsi"/>
          <w:sz w:val="20"/>
          <w:szCs w:val="20"/>
        </w:rPr>
        <w:t xml:space="preserve">and requesting that </w:t>
      </w:r>
      <w:r w:rsidR="00472B3B" w:rsidRPr="006D6B01">
        <w:rPr>
          <w:rFonts w:asciiTheme="majorHAnsi" w:hAnsiTheme="majorHAnsi"/>
          <w:sz w:val="20"/>
          <w:szCs w:val="20"/>
        </w:rPr>
        <w:t xml:space="preserve">Nieves, Jorge and </w:t>
      </w:r>
      <w:proofErr w:type="spellStart"/>
      <w:r w:rsidR="00472B3B" w:rsidRPr="006D6B01">
        <w:rPr>
          <w:rFonts w:asciiTheme="majorHAnsi" w:hAnsiTheme="majorHAnsi"/>
          <w:sz w:val="20"/>
          <w:szCs w:val="20"/>
        </w:rPr>
        <w:t>Mildrey</w:t>
      </w:r>
      <w:proofErr w:type="spellEnd"/>
      <w:r w:rsidR="00757959" w:rsidRPr="006D6B01">
        <w:rPr>
          <w:rFonts w:asciiTheme="majorHAnsi" w:hAnsiTheme="majorHAnsi"/>
          <w:sz w:val="20"/>
          <w:szCs w:val="20"/>
        </w:rPr>
        <w:t xml:space="preserve"> be released from detention while the family reunification process </w:t>
      </w:r>
      <w:r w:rsidR="006B2E89" w:rsidRPr="006D6B01">
        <w:rPr>
          <w:rFonts w:asciiTheme="majorHAnsi" w:hAnsiTheme="majorHAnsi"/>
          <w:sz w:val="20"/>
          <w:szCs w:val="20"/>
        </w:rPr>
        <w:t>was</w:t>
      </w:r>
      <w:r w:rsidR="00757959" w:rsidRPr="006D6B01">
        <w:rPr>
          <w:rFonts w:asciiTheme="majorHAnsi" w:hAnsiTheme="majorHAnsi"/>
          <w:sz w:val="20"/>
          <w:szCs w:val="20"/>
        </w:rPr>
        <w:t xml:space="preserve"> completed by the U.S. government.</w:t>
      </w:r>
      <w:r w:rsidR="00757959" w:rsidRPr="006D6B01">
        <w:rPr>
          <w:rStyle w:val="FootnoteReference"/>
          <w:rFonts w:asciiTheme="majorHAnsi" w:hAnsiTheme="majorHAnsi"/>
          <w:sz w:val="20"/>
          <w:szCs w:val="20"/>
        </w:rPr>
        <w:footnoteReference w:id="55"/>
      </w:r>
      <w:r w:rsidR="00757959" w:rsidRPr="006D6B01">
        <w:rPr>
          <w:rFonts w:asciiTheme="majorHAnsi" w:hAnsiTheme="majorHAnsi"/>
          <w:sz w:val="20"/>
          <w:szCs w:val="20"/>
        </w:rPr>
        <w:t xml:space="preserve"> </w:t>
      </w:r>
      <w:r w:rsidR="00834FC8" w:rsidRPr="006D6B01">
        <w:rPr>
          <w:rFonts w:asciiTheme="majorHAnsi" w:hAnsiTheme="majorHAnsi"/>
          <w:sz w:val="20"/>
          <w:szCs w:val="20"/>
        </w:rPr>
        <w:t xml:space="preserve">Despite this, </w:t>
      </w:r>
      <w:r w:rsidR="00472B3B" w:rsidRPr="006D6B01">
        <w:rPr>
          <w:rFonts w:asciiTheme="majorHAnsi" w:hAnsiTheme="majorHAnsi"/>
          <w:sz w:val="20"/>
          <w:szCs w:val="20"/>
        </w:rPr>
        <w:t>they</w:t>
      </w:r>
      <w:r w:rsidR="00834FC8" w:rsidRPr="006D6B01">
        <w:rPr>
          <w:rFonts w:asciiTheme="majorHAnsi" w:hAnsiTheme="majorHAnsi"/>
          <w:sz w:val="20"/>
          <w:szCs w:val="20"/>
        </w:rPr>
        <w:t xml:space="preserve"> were repatriated to Cuba on October 20, 1998.</w:t>
      </w:r>
      <w:r w:rsidR="00834FC8" w:rsidRPr="006D6B01">
        <w:rPr>
          <w:rStyle w:val="FootnoteReference"/>
          <w:rFonts w:asciiTheme="majorHAnsi" w:hAnsiTheme="majorHAnsi"/>
          <w:sz w:val="20"/>
          <w:szCs w:val="20"/>
        </w:rPr>
        <w:footnoteReference w:id="56"/>
      </w:r>
      <w:r w:rsidR="00162134" w:rsidRPr="006D6B01">
        <w:rPr>
          <w:rFonts w:asciiTheme="majorHAnsi" w:hAnsiTheme="majorHAnsi"/>
          <w:sz w:val="20"/>
          <w:szCs w:val="20"/>
        </w:rPr>
        <w:t xml:space="preserve"> Upon their return to Cuba, </w:t>
      </w:r>
      <w:r w:rsidR="009A4198" w:rsidRPr="006D6B01">
        <w:rPr>
          <w:rFonts w:asciiTheme="majorHAnsi" w:hAnsiTheme="majorHAnsi"/>
          <w:sz w:val="20"/>
          <w:szCs w:val="20"/>
        </w:rPr>
        <w:t xml:space="preserve">Nieves </w:t>
      </w:r>
      <w:r w:rsidR="000D647E" w:rsidRPr="006D6B01">
        <w:rPr>
          <w:rFonts w:asciiTheme="majorHAnsi" w:hAnsiTheme="majorHAnsi"/>
          <w:sz w:val="20"/>
          <w:szCs w:val="20"/>
        </w:rPr>
        <w:t>was interviewed twice by S</w:t>
      </w:r>
      <w:r w:rsidR="009A4198" w:rsidRPr="006D6B01">
        <w:rPr>
          <w:rFonts w:asciiTheme="majorHAnsi" w:hAnsiTheme="majorHAnsi"/>
          <w:sz w:val="20"/>
          <w:szCs w:val="20"/>
        </w:rPr>
        <w:t>tate security agents, labelled an “</w:t>
      </w:r>
      <w:proofErr w:type="spellStart"/>
      <w:r w:rsidR="009A4198" w:rsidRPr="006D6B01">
        <w:rPr>
          <w:rFonts w:asciiTheme="majorHAnsi" w:hAnsiTheme="majorHAnsi"/>
          <w:i/>
          <w:sz w:val="20"/>
          <w:szCs w:val="20"/>
        </w:rPr>
        <w:t>amotinamiento</w:t>
      </w:r>
      <w:proofErr w:type="spellEnd"/>
      <w:r w:rsidR="009A4198" w:rsidRPr="006D6B01">
        <w:rPr>
          <w:rFonts w:asciiTheme="majorHAnsi" w:hAnsiTheme="majorHAnsi"/>
          <w:sz w:val="20"/>
          <w:szCs w:val="20"/>
        </w:rPr>
        <w:t xml:space="preserve">”, barred from working, her mail </w:t>
      </w:r>
      <w:r w:rsidR="00DA5189" w:rsidRPr="006D6B01">
        <w:rPr>
          <w:rFonts w:asciiTheme="majorHAnsi" w:hAnsiTheme="majorHAnsi"/>
          <w:sz w:val="20"/>
          <w:szCs w:val="20"/>
        </w:rPr>
        <w:t>was</w:t>
      </w:r>
      <w:r w:rsidR="009A4198" w:rsidRPr="006D6B01">
        <w:rPr>
          <w:rFonts w:asciiTheme="majorHAnsi" w:hAnsiTheme="majorHAnsi"/>
          <w:sz w:val="20"/>
          <w:szCs w:val="20"/>
        </w:rPr>
        <w:t xml:space="preserve"> intercepted, her telephone </w:t>
      </w:r>
      <w:r w:rsidR="00DA5189" w:rsidRPr="006D6B01">
        <w:rPr>
          <w:rFonts w:asciiTheme="majorHAnsi" w:hAnsiTheme="majorHAnsi"/>
          <w:sz w:val="20"/>
          <w:szCs w:val="20"/>
        </w:rPr>
        <w:t>tapped and she was</w:t>
      </w:r>
      <w:r w:rsidR="009A4198" w:rsidRPr="006D6B01">
        <w:rPr>
          <w:rFonts w:asciiTheme="majorHAnsi" w:hAnsiTheme="majorHAnsi"/>
          <w:sz w:val="20"/>
          <w:szCs w:val="20"/>
        </w:rPr>
        <w:t xml:space="preserve"> constantly </w:t>
      </w:r>
      <w:r w:rsidR="009A4198" w:rsidRPr="006D6B01">
        <w:rPr>
          <w:rFonts w:asciiTheme="majorHAnsi" w:hAnsiTheme="majorHAnsi"/>
          <w:sz w:val="20"/>
          <w:szCs w:val="20"/>
        </w:rPr>
        <w:lastRenderedPageBreak/>
        <w:t>watched.</w:t>
      </w:r>
      <w:r w:rsidR="009A4198" w:rsidRPr="006D6B01">
        <w:rPr>
          <w:rStyle w:val="FootnoteReference"/>
          <w:rFonts w:asciiTheme="majorHAnsi" w:hAnsiTheme="majorHAnsi"/>
          <w:sz w:val="20"/>
          <w:szCs w:val="20"/>
        </w:rPr>
        <w:footnoteReference w:id="57"/>
      </w:r>
      <w:r w:rsidR="009A4198" w:rsidRPr="006D6B01">
        <w:rPr>
          <w:rFonts w:asciiTheme="majorHAnsi" w:hAnsiTheme="majorHAnsi"/>
          <w:sz w:val="20"/>
          <w:szCs w:val="20"/>
        </w:rPr>
        <w:t xml:space="preserve"> In addition, </w:t>
      </w:r>
      <w:proofErr w:type="spellStart"/>
      <w:r w:rsidR="009A4198" w:rsidRPr="006D6B01">
        <w:rPr>
          <w:rFonts w:asciiTheme="majorHAnsi" w:hAnsiTheme="majorHAnsi"/>
          <w:sz w:val="20"/>
          <w:szCs w:val="20"/>
        </w:rPr>
        <w:t>Mildrey</w:t>
      </w:r>
      <w:proofErr w:type="spellEnd"/>
      <w:r w:rsidR="009A4198" w:rsidRPr="006D6B01">
        <w:rPr>
          <w:rFonts w:asciiTheme="majorHAnsi" w:hAnsiTheme="majorHAnsi"/>
          <w:sz w:val="20"/>
          <w:szCs w:val="20"/>
        </w:rPr>
        <w:t xml:space="preserve"> was suspended from school and Jorge was only allowed to return </w:t>
      </w:r>
      <w:r w:rsidR="00EB6506" w:rsidRPr="006D6B01">
        <w:rPr>
          <w:rFonts w:asciiTheme="majorHAnsi" w:hAnsiTheme="majorHAnsi"/>
          <w:sz w:val="20"/>
          <w:szCs w:val="20"/>
        </w:rPr>
        <w:t>to school if he passed a special exam.</w:t>
      </w:r>
      <w:r w:rsidR="00EB6506" w:rsidRPr="006D6B01">
        <w:rPr>
          <w:rStyle w:val="FootnoteReference"/>
          <w:rFonts w:asciiTheme="majorHAnsi" w:hAnsiTheme="majorHAnsi"/>
          <w:sz w:val="20"/>
          <w:szCs w:val="20"/>
        </w:rPr>
        <w:footnoteReference w:id="58"/>
      </w:r>
    </w:p>
    <w:p w14:paraId="6E333E1C" w14:textId="77777777" w:rsidR="00E35494" w:rsidRPr="006D6B01" w:rsidRDefault="00E35494" w:rsidP="004311FE">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jc w:val="both"/>
        <w:rPr>
          <w:rFonts w:asciiTheme="majorHAnsi" w:hAnsiTheme="majorHAnsi"/>
          <w:sz w:val="20"/>
          <w:szCs w:val="20"/>
        </w:rPr>
      </w:pPr>
    </w:p>
    <w:p w14:paraId="3EE2B108" w14:textId="77777777" w:rsidR="00311E9B" w:rsidRPr="006D6B01" w:rsidRDefault="00311E9B" w:rsidP="004311FE">
      <w:pPr>
        <w:pStyle w:val="Heading3"/>
        <w:tabs>
          <w:tab w:val="left" w:pos="0"/>
          <w:tab w:val="left" w:pos="360"/>
        </w:tabs>
        <w:ind w:left="0" w:firstLine="0"/>
      </w:pPr>
      <w:bookmarkStart w:id="12" w:name="_Toc90557407"/>
      <w:r w:rsidRPr="006D6B01">
        <w:t>Specific information regard</w:t>
      </w:r>
      <w:r w:rsidR="00E53F1B" w:rsidRPr="006D6B01">
        <w:t xml:space="preserve">ing </w:t>
      </w:r>
      <w:r w:rsidRPr="006D6B01">
        <w:t xml:space="preserve">Pastor </w:t>
      </w:r>
      <w:r w:rsidR="00E53F1B" w:rsidRPr="006D6B01">
        <w:t>Jose Aguiar Perez and</w:t>
      </w:r>
      <w:r w:rsidRPr="006D6B01">
        <w:t xml:space="preserve"> Damian</w:t>
      </w:r>
      <w:r w:rsidR="00E53F1B" w:rsidRPr="006D6B01">
        <w:t xml:space="preserve"> Rigoberto Cabrera Perez</w:t>
      </w:r>
      <w:bookmarkEnd w:id="12"/>
      <w:r w:rsidRPr="006D6B01">
        <w:t xml:space="preserve"> </w:t>
      </w:r>
    </w:p>
    <w:p w14:paraId="19AE594C" w14:textId="77777777" w:rsidR="00311E9B" w:rsidRPr="006D6B01" w:rsidRDefault="00311E9B" w:rsidP="004311FE">
      <w:pPr>
        <w:pStyle w:val="ListParagraph"/>
        <w:tabs>
          <w:tab w:val="left" w:pos="0"/>
          <w:tab w:val="left" w:pos="360"/>
        </w:tabs>
        <w:ind w:left="0"/>
        <w:jc w:val="both"/>
        <w:rPr>
          <w:rFonts w:asciiTheme="majorHAnsi" w:hAnsiTheme="majorHAnsi"/>
          <w:sz w:val="20"/>
          <w:szCs w:val="20"/>
        </w:rPr>
      </w:pPr>
    </w:p>
    <w:p w14:paraId="50A486D5" w14:textId="16D8CF37" w:rsidR="00E53F1B" w:rsidRPr="006D6B01" w:rsidRDefault="00E53F1B"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ind w:left="0" w:firstLine="0"/>
        <w:jc w:val="both"/>
        <w:rPr>
          <w:rFonts w:asciiTheme="majorHAnsi" w:hAnsiTheme="majorHAnsi"/>
          <w:sz w:val="20"/>
          <w:szCs w:val="20"/>
        </w:rPr>
      </w:pPr>
      <w:r w:rsidRPr="006D6B01">
        <w:rPr>
          <w:rFonts w:asciiTheme="majorHAnsi" w:hAnsiTheme="majorHAnsi"/>
          <w:sz w:val="20"/>
          <w:szCs w:val="20"/>
        </w:rPr>
        <w:t xml:space="preserve">Mr. Pastor Jose Aguiar Perez, a forensic </w:t>
      </w:r>
      <w:r w:rsidR="00731C77" w:rsidRPr="006D6B01">
        <w:rPr>
          <w:rFonts w:asciiTheme="majorHAnsi" w:hAnsiTheme="majorHAnsi"/>
          <w:sz w:val="20"/>
          <w:szCs w:val="20"/>
        </w:rPr>
        <w:t>pathologist</w:t>
      </w:r>
      <w:r w:rsidRPr="006D6B01">
        <w:rPr>
          <w:rFonts w:asciiTheme="majorHAnsi" w:hAnsiTheme="majorHAnsi"/>
          <w:sz w:val="20"/>
          <w:szCs w:val="20"/>
        </w:rPr>
        <w:t xml:space="preserve">, and </w:t>
      </w:r>
      <w:r w:rsidR="00731C77" w:rsidRPr="006D6B01">
        <w:rPr>
          <w:rFonts w:asciiTheme="majorHAnsi" w:hAnsiTheme="majorHAnsi"/>
          <w:sz w:val="20"/>
          <w:szCs w:val="20"/>
        </w:rPr>
        <w:t xml:space="preserve">Mr. </w:t>
      </w:r>
      <w:r w:rsidRPr="006D6B01">
        <w:rPr>
          <w:rFonts w:asciiTheme="majorHAnsi" w:hAnsiTheme="majorHAnsi"/>
          <w:sz w:val="20"/>
          <w:szCs w:val="20"/>
        </w:rPr>
        <w:t>Damian Rigoberto Cabrera Perez, a lieutenant in the army, left Cuba on November 6, 1998 in a plastic boat with six other individuals.</w:t>
      </w:r>
      <w:r w:rsidR="000D5AC6" w:rsidRPr="006D6B01">
        <w:rPr>
          <w:rStyle w:val="FootnoteReference"/>
          <w:rFonts w:asciiTheme="majorHAnsi" w:hAnsiTheme="majorHAnsi"/>
          <w:sz w:val="20"/>
          <w:szCs w:val="20"/>
        </w:rPr>
        <w:footnoteReference w:id="59"/>
      </w:r>
      <w:r w:rsidRPr="006D6B01">
        <w:rPr>
          <w:rFonts w:asciiTheme="majorHAnsi" w:hAnsiTheme="majorHAnsi"/>
          <w:sz w:val="20"/>
          <w:szCs w:val="20"/>
        </w:rPr>
        <w:t xml:space="preserve"> When the boat’s propeller and motor broke</w:t>
      </w:r>
      <w:r w:rsidR="00731C77" w:rsidRPr="006D6B01">
        <w:rPr>
          <w:rFonts w:asciiTheme="majorHAnsi" w:hAnsiTheme="majorHAnsi"/>
          <w:sz w:val="20"/>
          <w:szCs w:val="20"/>
        </w:rPr>
        <w:t xml:space="preserve"> down</w:t>
      </w:r>
      <w:r w:rsidRPr="006D6B01">
        <w:rPr>
          <w:rFonts w:asciiTheme="majorHAnsi" w:hAnsiTheme="majorHAnsi"/>
          <w:sz w:val="20"/>
          <w:szCs w:val="20"/>
        </w:rPr>
        <w:t xml:space="preserve">, they were </w:t>
      </w:r>
      <w:r w:rsidR="00731C77" w:rsidRPr="006D6B01">
        <w:rPr>
          <w:rFonts w:asciiTheme="majorHAnsi" w:hAnsiTheme="majorHAnsi"/>
          <w:sz w:val="20"/>
          <w:szCs w:val="20"/>
        </w:rPr>
        <w:t>sighted</w:t>
      </w:r>
      <w:r w:rsidRPr="006D6B01">
        <w:rPr>
          <w:rFonts w:asciiTheme="majorHAnsi" w:hAnsiTheme="majorHAnsi"/>
          <w:sz w:val="20"/>
          <w:szCs w:val="20"/>
        </w:rPr>
        <w:t xml:space="preserve"> by a helicopter and intercepted by the U.S. Coast Guard at approximately 3 p.m. on the same day.</w:t>
      </w:r>
      <w:r w:rsidR="00BB2F53" w:rsidRPr="006D6B01">
        <w:rPr>
          <w:rStyle w:val="FootnoteReference"/>
          <w:rFonts w:asciiTheme="majorHAnsi" w:hAnsiTheme="majorHAnsi"/>
          <w:sz w:val="20"/>
          <w:szCs w:val="20"/>
        </w:rPr>
        <w:footnoteReference w:id="60"/>
      </w:r>
      <w:r w:rsidRPr="006D6B01">
        <w:rPr>
          <w:rFonts w:asciiTheme="majorHAnsi" w:hAnsiTheme="majorHAnsi"/>
          <w:sz w:val="20"/>
          <w:szCs w:val="20"/>
        </w:rPr>
        <w:t xml:space="preserve"> On November 8, 1998 they were taken to a detention center for immigrants in Nassau, The Bahamas, presumably the Carmichael Road Detention Center.</w:t>
      </w:r>
      <w:r w:rsidR="00BB2F53" w:rsidRPr="006D6B01">
        <w:rPr>
          <w:rStyle w:val="FootnoteReference"/>
          <w:rFonts w:asciiTheme="majorHAnsi" w:hAnsiTheme="majorHAnsi"/>
          <w:sz w:val="20"/>
          <w:szCs w:val="20"/>
        </w:rPr>
        <w:footnoteReference w:id="61"/>
      </w:r>
      <w:r w:rsidR="00BB2F53" w:rsidRPr="006D6B01">
        <w:rPr>
          <w:rFonts w:asciiTheme="majorHAnsi" w:hAnsiTheme="majorHAnsi"/>
          <w:sz w:val="20"/>
          <w:szCs w:val="20"/>
        </w:rPr>
        <w:t xml:space="preserve"> </w:t>
      </w:r>
      <w:r w:rsidRPr="006D6B01">
        <w:rPr>
          <w:rFonts w:asciiTheme="majorHAnsi" w:hAnsiTheme="majorHAnsi"/>
          <w:sz w:val="20"/>
          <w:szCs w:val="20"/>
        </w:rPr>
        <w:t xml:space="preserve">Once at the detention center, they </w:t>
      </w:r>
      <w:r w:rsidR="00104FAA" w:rsidRPr="006D6B01">
        <w:rPr>
          <w:rFonts w:asciiTheme="majorHAnsi" w:hAnsiTheme="majorHAnsi"/>
          <w:sz w:val="20"/>
          <w:szCs w:val="20"/>
        </w:rPr>
        <w:t>were only permitted to use a public telephone two weeks after their arrival</w:t>
      </w:r>
      <w:r w:rsidR="00731C77" w:rsidRPr="006D6B01">
        <w:rPr>
          <w:rFonts w:asciiTheme="majorHAnsi" w:hAnsiTheme="majorHAnsi"/>
          <w:sz w:val="20"/>
          <w:szCs w:val="20"/>
        </w:rPr>
        <w:t>, namely on November 22, 1998 when they spoke</w:t>
      </w:r>
      <w:r w:rsidR="00104FAA" w:rsidRPr="006D6B01">
        <w:rPr>
          <w:rFonts w:asciiTheme="majorHAnsi" w:hAnsiTheme="majorHAnsi"/>
          <w:sz w:val="20"/>
          <w:szCs w:val="20"/>
        </w:rPr>
        <w:t xml:space="preserve"> </w:t>
      </w:r>
      <w:r w:rsidR="00731C77" w:rsidRPr="006D6B01">
        <w:rPr>
          <w:rFonts w:asciiTheme="majorHAnsi" w:hAnsiTheme="majorHAnsi"/>
          <w:sz w:val="20"/>
          <w:szCs w:val="20"/>
        </w:rPr>
        <w:t>to</w:t>
      </w:r>
      <w:r w:rsidR="00104FAA" w:rsidRPr="006D6B01">
        <w:rPr>
          <w:rFonts w:asciiTheme="majorHAnsi" w:hAnsiTheme="majorHAnsi"/>
          <w:sz w:val="20"/>
          <w:szCs w:val="20"/>
        </w:rPr>
        <w:t xml:space="preserve"> their families and </w:t>
      </w:r>
      <w:r w:rsidR="00783FD5">
        <w:rPr>
          <w:rFonts w:asciiTheme="majorHAnsi" w:hAnsiTheme="majorHAnsi"/>
          <w:sz w:val="20"/>
          <w:szCs w:val="20"/>
        </w:rPr>
        <w:t xml:space="preserve">mentioned </w:t>
      </w:r>
      <w:r w:rsidR="00731C77" w:rsidRPr="006D6B01">
        <w:rPr>
          <w:rFonts w:asciiTheme="majorHAnsi" w:hAnsiTheme="majorHAnsi"/>
          <w:sz w:val="20"/>
          <w:szCs w:val="20"/>
        </w:rPr>
        <w:t>a fellow</w:t>
      </w:r>
      <w:r w:rsidR="00104FAA" w:rsidRPr="006D6B01">
        <w:rPr>
          <w:rFonts w:asciiTheme="majorHAnsi" w:hAnsiTheme="majorHAnsi"/>
          <w:sz w:val="20"/>
          <w:szCs w:val="20"/>
        </w:rPr>
        <w:t xml:space="preserve"> 62 </w:t>
      </w:r>
      <w:r w:rsidR="00731C77" w:rsidRPr="006D6B01">
        <w:rPr>
          <w:rFonts w:asciiTheme="majorHAnsi" w:hAnsiTheme="majorHAnsi"/>
          <w:sz w:val="20"/>
          <w:szCs w:val="20"/>
        </w:rPr>
        <w:t xml:space="preserve">Cuban nationals that were </w:t>
      </w:r>
      <w:r w:rsidR="00104FAA" w:rsidRPr="006D6B01">
        <w:rPr>
          <w:rFonts w:asciiTheme="majorHAnsi" w:hAnsiTheme="majorHAnsi"/>
          <w:sz w:val="20"/>
          <w:szCs w:val="20"/>
        </w:rPr>
        <w:t>waiting to be repatriated.</w:t>
      </w:r>
      <w:r w:rsidR="00BB2F53" w:rsidRPr="006D6B01">
        <w:rPr>
          <w:rStyle w:val="FootnoteReference"/>
          <w:rFonts w:asciiTheme="majorHAnsi" w:hAnsiTheme="majorHAnsi"/>
          <w:sz w:val="20"/>
          <w:szCs w:val="20"/>
        </w:rPr>
        <w:footnoteReference w:id="62"/>
      </w:r>
      <w:r w:rsidR="00104FAA" w:rsidRPr="006D6B01">
        <w:rPr>
          <w:rFonts w:asciiTheme="majorHAnsi" w:hAnsiTheme="majorHAnsi"/>
          <w:sz w:val="20"/>
          <w:szCs w:val="20"/>
        </w:rPr>
        <w:t xml:space="preserve"> </w:t>
      </w:r>
      <w:r w:rsidRPr="006D6B01">
        <w:rPr>
          <w:rFonts w:asciiTheme="majorHAnsi" w:hAnsiTheme="majorHAnsi"/>
          <w:sz w:val="20"/>
          <w:szCs w:val="20"/>
        </w:rPr>
        <w:t xml:space="preserve"> </w:t>
      </w:r>
    </w:p>
    <w:p w14:paraId="52D58B7E" w14:textId="77777777" w:rsidR="00E53F1B" w:rsidRPr="006D6B01" w:rsidRDefault="00E53F1B" w:rsidP="004311FE">
      <w:pPr>
        <w:pStyle w:val="ListParagraph"/>
        <w:tabs>
          <w:tab w:val="left" w:pos="0"/>
          <w:tab w:val="left" w:pos="360"/>
        </w:tabs>
        <w:ind w:left="0"/>
        <w:jc w:val="both"/>
        <w:rPr>
          <w:rFonts w:asciiTheme="majorHAnsi" w:hAnsiTheme="majorHAnsi"/>
          <w:sz w:val="20"/>
          <w:szCs w:val="20"/>
        </w:rPr>
      </w:pPr>
    </w:p>
    <w:p w14:paraId="6555531D" w14:textId="77777777" w:rsidR="003C179F" w:rsidRPr="006D6B01" w:rsidRDefault="00F750B7" w:rsidP="004311FE">
      <w:pPr>
        <w:pStyle w:val="Heading3"/>
        <w:tabs>
          <w:tab w:val="left" w:pos="0"/>
          <w:tab w:val="left" w:pos="360"/>
        </w:tabs>
        <w:ind w:left="0" w:firstLine="0"/>
      </w:pPr>
      <w:bookmarkStart w:id="13" w:name="_Toc90557408"/>
      <w:r w:rsidRPr="006D6B01">
        <w:t xml:space="preserve">Conditions </w:t>
      </w:r>
      <w:r w:rsidR="00911C03" w:rsidRPr="006D6B01">
        <w:t>of detention at the Carmichael Road Detention Center</w:t>
      </w:r>
      <w:bookmarkEnd w:id="13"/>
    </w:p>
    <w:p w14:paraId="1562606C" w14:textId="77777777" w:rsidR="003C179F" w:rsidRPr="006D6B01" w:rsidRDefault="003C179F" w:rsidP="004311FE">
      <w:pPr>
        <w:tabs>
          <w:tab w:val="left" w:pos="0"/>
          <w:tab w:val="left" w:pos="360"/>
        </w:tabs>
        <w:rPr>
          <w:rFonts w:asciiTheme="majorHAnsi" w:hAnsiTheme="majorHAnsi"/>
          <w:sz w:val="20"/>
          <w:szCs w:val="20"/>
        </w:rPr>
      </w:pPr>
    </w:p>
    <w:p w14:paraId="7A19BD63" w14:textId="4ECCDB6A" w:rsidR="002B106E" w:rsidRPr="006D6B01" w:rsidRDefault="00C579F2"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ind w:left="0" w:firstLine="0"/>
        <w:jc w:val="both"/>
        <w:rPr>
          <w:rFonts w:asciiTheme="majorHAnsi" w:hAnsiTheme="majorHAnsi"/>
          <w:sz w:val="20"/>
          <w:szCs w:val="20"/>
        </w:rPr>
      </w:pPr>
      <w:r w:rsidRPr="006D6B01">
        <w:rPr>
          <w:rFonts w:asciiTheme="majorHAnsi" w:hAnsiTheme="majorHAnsi"/>
          <w:sz w:val="20"/>
          <w:szCs w:val="20"/>
        </w:rPr>
        <w:t>T</w:t>
      </w:r>
      <w:r w:rsidR="00806221" w:rsidRPr="006D6B01">
        <w:rPr>
          <w:rFonts w:asciiTheme="majorHAnsi" w:hAnsiTheme="majorHAnsi"/>
          <w:sz w:val="20"/>
          <w:szCs w:val="20"/>
        </w:rPr>
        <w:t>he Commission notes that</w:t>
      </w:r>
      <w:r w:rsidR="00DE2CCC" w:rsidRPr="006D6B01">
        <w:rPr>
          <w:rFonts w:asciiTheme="majorHAnsi" w:hAnsiTheme="majorHAnsi"/>
          <w:sz w:val="20"/>
          <w:szCs w:val="20"/>
        </w:rPr>
        <w:t xml:space="preserve"> detention conditions have </w:t>
      </w:r>
      <w:r w:rsidR="00EE1218" w:rsidRPr="006D6B01">
        <w:rPr>
          <w:rFonts w:asciiTheme="majorHAnsi" w:hAnsiTheme="majorHAnsi"/>
          <w:sz w:val="20"/>
          <w:szCs w:val="20"/>
        </w:rPr>
        <w:t xml:space="preserve">been </w:t>
      </w:r>
      <w:r w:rsidR="00DE2CCC" w:rsidRPr="006D6B01">
        <w:rPr>
          <w:rFonts w:asciiTheme="majorHAnsi" w:hAnsiTheme="majorHAnsi"/>
          <w:sz w:val="20"/>
          <w:szCs w:val="20"/>
        </w:rPr>
        <w:t xml:space="preserve">described </w:t>
      </w:r>
      <w:r w:rsidR="00FC5B3B">
        <w:rPr>
          <w:rFonts w:asciiTheme="majorHAnsi" w:hAnsiTheme="majorHAnsi"/>
          <w:sz w:val="20"/>
          <w:szCs w:val="20"/>
        </w:rPr>
        <w:t xml:space="preserve">as </w:t>
      </w:r>
      <w:r w:rsidR="00987877" w:rsidRPr="006D6B01">
        <w:rPr>
          <w:rFonts w:asciiTheme="majorHAnsi" w:hAnsiTheme="majorHAnsi"/>
          <w:sz w:val="20"/>
          <w:szCs w:val="20"/>
        </w:rPr>
        <w:t>overcrowded</w:t>
      </w:r>
      <w:r w:rsidR="002B106E" w:rsidRPr="006D6B01">
        <w:rPr>
          <w:rFonts w:asciiTheme="majorHAnsi" w:hAnsiTheme="majorHAnsi"/>
          <w:sz w:val="20"/>
          <w:szCs w:val="20"/>
        </w:rPr>
        <w:t xml:space="preserve">, such that </w:t>
      </w:r>
      <w:r w:rsidR="00987877" w:rsidRPr="006D6B01">
        <w:rPr>
          <w:rFonts w:asciiTheme="majorHAnsi" w:hAnsiTheme="majorHAnsi"/>
          <w:sz w:val="20"/>
          <w:szCs w:val="20"/>
        </w:rPr>
        <w:t xml:space="preserve">detainees </w:t>
      </w:r>
      <w:r w:rsidR="00372ABC" w:rsidRPr="006D6B01">
        <w:rPr>
          <w:rFonts w:asciiTheme="majorHAnsi" w:hAnsiTheme="majorHAnsi"/>
          <w:sz w:val="20"/>
          <w:szCs w:val="20"/>
        </w:rPr>
        <w:t>often slept five to a bed,</w:t>
      </w:r>
      <w:r w:rsidR="00372ABC" w:rsidRPr="006D6B01">
        <w:rPr>
          <w:rStyle w:val="FootnoteReference"/>
          <w:rFonts w:asciiTheme="majorHAnsi" w:hAnsiTheme="majorHAnsi"/>
          <w:sz w:val="20"/>
          <w:szCs w:val="20"/>
        </w:rPr>
        <w:footnoteReference w:id="63"/>
      </w:r>
      <w:r w:rsidR="00372ABC" w:rsidRPr="006D6B01">
        <w:rPr>
          <w:rFonts w:asciiTheme="majorHAnsi" w:hAnsiTheme="majorHAnsi"/>
          <w:sz w:val="20"/>
          <w:szCs w:val="20"/>
        </w:rPr>
        <w:t xml:space="preserve"> and up to 18 people </w:t>
      </w:r>
      <w:r w:rsidR="00BC5AB3" w:rsidRPr="006D6B01">
        <w:rPr>
          <w:rFonts w:asciiTheme="majorHAnsi" w:hAnsiTheme="majorHAnsi"/>
          <w:sz w:val="20"/>
          <w:szCs w:val="20"/>
        </w:rPr>
        <w:t>would sleep</w:t>
      </w:r>
      <w:r w:rsidR="00372ABC" w:rsidRPr="006D6B01">
        <w:rPr>
          <w:rFonts w:asciiTheme="majorHAnsi" w:hAnsiTheme="majorHAnsi"/>
          <w:sz w:val="20"/>
          <w:szCs w:val="20"/>
        </w:rPr>
        <w:t xml:space="preserve"> on the floor</w:t>
      </w:r>
      <w:r w:rsidR="00DE2CCC" w:rsidRPr="006D6B01">
        <w:rPr>
          <w:rFonts w:asciiTheme="majorHAnsi" w:hAnsiTheme="majorHAnsi"/>
          <w:sz w:val="20"/>
          <w:szCs w:val="20"/>
        </w:rPr>
        <w:t>.</w:t>
      </w:r>
      <w:r w:rsidR="002B106E" w:rsidRPr="006D6B01">
        <w:rPr>
          <w:rStyle w:val="FootnoteReference"/>
          <w:rFonts w:asciiTheme="majorHAnsi" w:hAnsiTheme="majorHAnsi"/>
          <w:sz w:val="20"/>
          <w:szCs w:val="20"/>
        </w:rPr>
        <w:footnoteReference w:id="64"/>
      </w:r>
      <w:r w:rsidR="002B106E" w:rsidRPr="006D6B01">
        <w:rPr>
          <w:rFonts w:asciiTheme="majorHAnsi" w:hAnsiTheme="majorHAnsi"/>
          <w:sz w:val="20"/>
          <w:szCs w:val="20"/>
        </w:rPr>
        <w:t xml:space="preserve"> </w:t>
      </w:r>
      <w:r w:rsidR="00084A56" w:rsidRPr="006D6B01">
        <w:rPr>
          <w:rFonts w:asciiTheme="majorHAnsi" w:hAnsiTheme="majorHAnsi"/>
          <w:sz w:val="20"/>
          <w:szCs w:val="20"/>
        </w:rPr>
        <w:t>In addition</w:t>
      </w:r>
      <w:r w:rsidR="00806221" w:rsidRPr="006D6B01">
        <w:rPr>
          <w:rFonts w:asciiTheme="majorHAnsi" w:hAnsiTheme="majorHAnsi"/>
          <w:sz w:val="20"/>
          <w:szCs w:val="20"/>
        </w:rPr>
        <w:t xml:space="preserve">, </w:t>
      </w:r>
      <w:r w:rsidR="00D75658" w:rsidRPr="006D6B01">
        <w:rPr>
          <w:rFonts w:asciiTheme="majorHAnsi" w:hAnsiTheme="majorHAnsi"/>
          <w:sz w:val="20"/>
          <w:szCs w:val="20"/>
        </w:rPr>
        <w:t>the alleged victims</w:t>
      </w:r>
      <w:r w:rsidR="00084A56" w:rsidRPr="006D6B01">
        <w:rPr>
          <w:rFonts w:asciiTheme="majorHAnsi" w:hAnsiTheme="majorHAnsi"/>
          <w:sz w:val="20"/>
          <w:szCs w:val="20"/>
        </w:rPr>
        <w:t xml:space="preserve"> assert that</w:t>
      </w:r>
      <w:r w:rsidR="00D75658" w:rsidRPr="006D6B01">
        <w:rPr>
          <w:rFonts w:asciiTheme="majorHAnsi" w:hAnsiTheme="majorHAnsi"/>
          <w:sz w:val="20"/>
          <w:szCs w:val="20"/>
        </w:rPr>
        <w:t xml:space="preserve"> </w:t>
      </w:r>
      <w:r w:rsidR="00372ABC" w:rsidRPr="006D6B01">
        <w:rPr>
          <w:rFonts w:asciiTheme="majorHAnsi" w:hAnsiTheme="majorHAnsi"/>
          <w:sz w:val="20"/>
          <w:szCs w:val="20"/>
        </w:rPr>
        <w:t xml:space="preserve">there was not enough light and </w:t>
      </w:r>
      <w:r w:rsidR="002B106E" w:rsidRPr="006D6B01">
        <w:rPr>
          <w:rFonts w:asciiTheme="majorHAnsi" w:hAnsiTheme="majorHAnsi"/>
          <w:sz w:val="20"/>
          <w:szCs w:val="20"/>
        </w:rPr>
        <w:t>no potable water</w:t>
      </w:r>
      <w:r w:rsidR="00084A56" w:rsidRPr="006D6B01">
        <w:rPr>
          <w:rFonts w:asciiTheme="majorHAnsi" w:hAnsiTheme="majorHAnsi"/>
          <w:sz w:val="20"/>
          <w:szCs w:val="20"/>
        </w:rPr>
        <w:t xml:space="preserve"> at the Center</w:t>
      </w:r>
      <w:r w:rsidR="00372ABC" w:rsidRPr="006D6B01">
        <w:rPr>
          <w:rFonts w:asciiTheme="majorHAnsi" w:hAnsiTheme="majorHAnsi"/>
          <w:sz w:val="20"/>
          <w:szCs w:val="20"/>
        </w:rPr>
        <w:t>.</w:t>
      </w:r>
      <w:r w:rsidR="002B106E" w:rsidRPr="006D6B01">
        <w:rPr>
          <w:rStyle w:val="FootnoteReference"/>
          <w:rFonts w:asciiTheme="majorHAnsi" w:hAnsiTheme="majorHAnsi"/>
          <w:sz w:val="20"/>
          <w:szCs w:val="20"/>
        </w:rPr>
        <w:footnoteReference w:id="65"/>
      </w:r>
      <w:r w:rsidR="00372ABC" w:rsidRPr="006D6B01">
        <w:rPr>
          <w:rFonts w:asciiTheme="majorHAnsi" w:hAnsiTheme="majorHAnsi"/>
          <w:sz w:val="20"/>
          <w:szCs w:val="20"/>
        </w:rPr>
        <w:t xml:space="preserve"> </w:t>
      </w:r>
      <w:r w:rsidR="002710B3" w:rsidRPr="006D6B01">
        <w:rPr>
          <w:rFonts w:asciiTheme="majorHAnsi" w:hAnsiTheme="majorHAnsi"/>
          <w:sz w:val="20"/>
          <w:szCs w:val="20"/>
        </w:rPr>
        <w:t xml:space="preserve">Former detainees indicated that they </w:t>
      </w:r>
      <w:r w:rsidR="00372ABC" w:rsidRPr="006D6B01">
        <w:rPr>
          <w:rFonts w:asciiTheme="majorHAnsi" w:hAnsiTheme="majorHAnsi"/>
          <w:sz w:val="20"/>
          <w:szCs w:val="20"/>
        </w:rPr>
        <w:t>were given a morning meal at 11:00</w:t>
      </w:r>
      <w:r w:rsidR="00D75658" w:rsidRPr="006D6B01">
        <w:rPr>
          <w:rFonts w:asciiTheme="majorHAnsi" w:hAnsiTheme="majorHAnsi"/>
          <w:sz w:val="20"/>
          <w:szCs w:val="20"/>
        </w:rPr>
        <w:t xml:space="preserve"> </w:t>
      </w:r>
      <w:r w:rsidR="00372ABC" w:rsidRPr="006D6B01">
        <w:rPr>
          <w:rFonts w:asciiTheme="majorHAnsi" w:hAnsiTheme="majorHAnsi"/>
          <w:sz w:val="20"/>
          <w:szCs w:val="20"/>
        </w:rPr>
        <w:t>a</w:t>
      </w:r>
      <w:r w:rsidR="00D75658" w:rsidRPr="006D6B01">
        <w:rPr>
          <w:rFonts w:asciiTheme="majorHAnsi" w:hAnsiTheme="majorHAnsi"/>
          <w:sz w:val="20"/>
          <w:szCs w:val="20"/>
        </w:rPr>
        <w:t>.</w:t>
      </w:r>
      <w:r w:rsidR="00372ABC" w:rsidRPr="006D6B01">
        <w:rPr>
          <w:rFonts w:asciiTheme="majorHAnsi" w:hAnsiTheme="majorHAnsi"/>
          <w:sz w:val="20"/>
          <w:szCs w:val="20"/>
        </w:rPr>
        <w:t>m</w:t>
      </w:r>
      <w:r w:rsidR="00D75658" w:rsidRPr="006D6B01">
        <w:rPr>
          <w:rFonts w:asciiTheme="majorHAnsi" w:hAnsiTheme="majorHAnsi"/>
          <w:sz w:val="20"/>
          <w:szCs w:val="20"/>
        </w:rPr>
        <w:t>.</w:t>
      </w:r>
      <w:r w:rsidR="00372ABC" w:rsidRPr="006D6B01">
        <w:rPr>
          <w:rFonts w:asciiTheme="majorHAnsi" w:hAnsiTheme="majorHAnsi"/>
          <w:sz w:val="20"/>
          <w:szCs w:val="20"/>
        </w:rPr>
        <w:t xml:space="preserve"> which consisted of a spicy cereal and another meal at 4:00</w:t>
      </w:r>
      <w:r w:rsidR="00D75658" w:rsidRPr="006D6B01">
        <w:rPr>
          <w:rFonts w:asciiTheme="majorHAnsi" w:hAnsiTheme="majorHAnsi"/>
          <w:sz w:val="20"/>
          <w:szCs w:val="20"/>
        </w:rPr>
        <w:t xml:space="preserve"> </w:t>
      </w:r>
      <w:r w:rsidR="00372ABC" w:rsidRPr="006D6B01">
        <w:rPr>
          <w:rFonts w:asciiTheme="majorHAnsi" w:hAnsiTheme="majorHAnsi"/>
          <w:sz w:val="20"/>
          <w:szCs w:val="20"/>
        </w:rPr>
        <w:t>p</w:t>
      </w:r>
      <w:r w:rsidR="00D75658" w:rsidRPr="006D6B01">
        <w:rPr>
          <w:rFonts w:asciiTheme="majorHAnsi" w:hAnsiTheme="majorHAnsi"/>
          <w:sz w:val="20"/>
          <w:szCs w:val="20"/>
        </w:rPr>
        <w:t>.</w:t>
      </w:r>
      <w:r w:rsidR="00372ABC" w:rsidRPr="006D6B01">
        <w:rPr>
          <w:rFonts w:asciiTheme="majorHAnsi" w:hAnsiTheme="majorHAnsi"/>
          <w:sz w:val="20"/>
          <w:szCs w:val="20"/>
        </w:rPr>
        <w:t>m</w:t>
      </w:r>
      <w:r w:rsidR="00D75658" w:rsidRPr="006D6B01">
        <w:rPr>
          <w:rFonts w:asciiTheme="majorHAnsi" w:hAnsiTheme="majorHAnsi"/>
          <w:sz w:val="20"/>
          <w:szCs w:val="20"/>
        </w:rPr>
        <w:t>.</w:t>
      </w:r>
      <w:r w:rsidR="00372ABC" w:rsidRPr="006D6B01">
        <w:rPr>
          <w:rFonts w:asciiTheme="majorHAnsi" w:hAnsiTheme="majorHAnsi"/>
          <w:sz w:val="20"/>
          <w:szCs w:val="20"/>
        </w:rPr>
        <w:t xml:space="preserve"> that usually consisted of rice or wheat, eggs, sometimes chicken or a meat which </w:t>
      </w:r>
      <w:r w:rsidR="00BC5AB3" w:rsidRPr="006D6B01">
        <w:rPr>
          <w:rFonts w:asciiTheme="majorHAnsi" w:hAnsiTheme="majorHAnsi"/>
          <w:sz w:val="20"/>
          <w:szCs w:val="20"/>
        </w:rPr>
        <w:t>the detainees</w:t>
      </w:r>
      <w:r w:rsidR="00372ABC" w:rsidRPr="006D6B01">
        <w:rPr>
          <w:rFonts w:asciiTheme="majorHAnsi" w:hAnsiTheme="majorHAnsi"/>
          <w:sz w:val="20"/>
          <w:szCs w:val="20"/>
        </w:rPr>
        <w:t xml:space="preserve"> could not identify.</w:t>
      </w:r>
      <w:r w:rsidR="00372ABC" w:rsidRPr="006D6B01">
        <w:rPr>
          <w:rStyle w:val="FootnoteReference"/>
          <w:rFonts w:asciiTheme="majorHAnsi" w:hAnsiTheme="majorHAnsi"/>
          <w:sz w:val="20"/>
          <w:szCs w:val="20"/>
        </w:rPr>
        <w:footnoteReference w:id="66"/>
      </w:r>
      <w:r w:rsidR="00372ABC" w:rsidRPr="006D6B01">
        <w:rPr>
          <w:rFonts w:asciiTheme="majorHAnsi" w:hAnsiTheme="majorHAnsi"/>
          <w:sz w:val="20"/>
          <w:szCs w:val="20"/>
        </w:rPr>
        <w:t xml:space="preserve"> </w:t>
      </w:r>
      <w:r w:rsidR="002710B3" w:rsidRPr="006D6B01">
        <w:rPr>
          <w:rFonts w:asciiTheme="majorHAnsi" w:hAnsiTheme="majorHAnsi"/>
          <w:sz w:val="20"/>
          <w:szCs w:val="20"/>
        </w:rPr>
        <w:t>They stated that</w:t>
      </w:r>
      <w:r w:rsidR="00D75658" w:rsidRPr="006D6B01">
        <w:rPr>
          <w:rFonts w:asciiTheme="majorHAnsi" w:hAnsiTheme="majorHAnsi"/>
          <w:sz w:val="20"/>
          <w:szCs w:val="20"/>
        </w:rPr>
        <w:t xml:space="preserve"> t</w:t>
      </w:r>
      <w:r w:rsidR="00372ABC" w:rsidRPr="006D6B01">
        <w:rPr>
          <w:rFonts w:asciiTheme="majorHAnsi" w:hAnsiTheme="majorHAnsi"/>
          <w:sz w:val="20"/>
          <w:szCs w:val="20"/>
        </w:rPr>
        <w:t>his food had maggots in it,</w:t>
      </w:r>
      <w:r w:rsidR="004D0542" w:rsidRPr="006D6B01">
        <w:rPr>
          <w:rStyle w:val="FootnoteReference"/>
          <w:rFonts w:asciiTheme="majorHAnsi" w:hAnsiTheme="majorHAnsi"/>
          <w:sz w:val="20"/>
          <w:szCs w:val="20"/>
        </w:rPr>
        <w:footnoteReference w:id="67"/>
      </w:r>
      <w:r w:rsidR="00372ABC" w:rsidRPr="006D6B01">
        <w:rPr>
          <w:rFonts w:asciiTheme="majorHAnsi" w:hAnsiTheme="majorHAnsi"/>
          <w:sz w:val="20"/>
          <w:szCs w:val="20"/>
        </w:rPr>
        <w:t xml:space="preserve"> such that the detainees had to wash it before they ate it, and there were no special meals provided for children.</w:t>
      </w:r>
      <w:r w:rsidR="00372ABC" w:rsidRPr="006D6B01">
        <w:rPr>
          <w:rStyle w:val="FootnoteReference"/>
          <w:rFonts w:asciiTheme="majorHAnsi" w:hAnsiTheme="majorHAnsi"/>
          <w:sz w:val="20"/>
          <w:szCs w:val="20"/>
        </w:rPr>
        <w:footnoteReference w:id="68"/>
      </w:r>
      <w:r w:rsidR="002B106E" w:rsidRPr="006D6B01">
        <w:rPr>
          <w:rFonts w:asciiTheme="majorHAnsi" w:hAnsiTheme="majorHAnsi"/>
          <w:sz w:val="20"/>
          <w:szCs w:val="20"/>
        </w:rPr>
        <w:t xml:space="preserve"> In addition, </w:t>
      </w:r>
      <w:r w:rsidR="00372ABC" w:rsidRPr="006D6B01">
        <w:rPr>
          <w:rFonts w:asciiTheme="majorHAnsi" w:hAnsiTheme="majorHAnsi"/>
          <w:sz w:val="20"/>
          <w:szCs w:val="20"/>
        </w:rPr>
        <w:t xml:space="preserve">the </w:t>
      </w:r>
      <w:r w:rsidR="002B106E" w:rsidRPr="006D6B01">
        <w:rPr>
          <w:rFonts w:asciiTheme="majorHAnsi" w:hAnsiTheme="majorHAnsi"/>
          <w:sz w:val="20"/>
          <w:szCs w:val="20"/>
        </w:rPr>
        <w:t>detainees were unable to speak on the phone for more than five minutes and could not hug their family members when they visited.</w:t>
      </w:r>
      <w:r w:rsidR="002B106E" w:rsidRPr="006D6B01">
        <w:rPr>
          <w:rStyle w:val="FootnoteReference"/>
          <w:rFonts w:asciiTheme="majorHAnsi" w:hAnsiTheme="majorHAnsi"/>
          <w:sz w:val="20"/>
          <w:szCs w:val="20"/>
        </w:rPr>
        <w:footnoteReference w:id="69"/>
      </w:r>
      <w:r w:rsidR="002B106E" w:rsidRPr="006D6B01">
        <w:rPr>
          <w:rFonts w:asciiTheme="majorHAnsi" w:hAnsiTheme="majorHAnsi"/>
          <w:sz w:val="20"/>
          <w:szCs w:val="20"/>
        </w:rPr>
        <w:t xml:space="preserve"> </w:t>
      </w:r>
      <w:r w:rsidR="004D0542" w:rsidRPr="006D6B01">
        <w:rPr>
          <w:rFonts w:asciiTheme="majorHAnsi" w:hAnsiTheme="majorHAnsi"/>
          <w:sz w:val="20"/>
          <w:szCs w:val="20"/>
        </w:rPr>
        <w:t xml:space="preserve">Finally, </w:t>
      </w:r>
      <w:r w:rsidR="00D75658" w:rsidRPr="006D6B01">
        <w:rPr>
          <w:rFonts w:asciiTheme="majorHAnsi" w:hAnsiTheme="majorHAnsi"/>
          <w:sz w:val="20"/>
          <w:szCs w:val="20"/>
        </w:rPr>
        <w:t>the alleged victims refer</w:t>
      </w:r>
      <w:r w:rsidR="002710B3" w:rsidRPr="006D6B01">
        <w:rPr>
          <w:rFonts w:asciiTheme="majorHAnsi" w:hAnsiTheme="majorHAnsi"/>
          <w:sz w:val="20"/>
          <w:szCs w:val="20"/>
        </w:rPr>
        <w:t xml:space="preserve">red </w:t>
      </w:r>
      <w:r w:rsidR="00084A56" w:rsidRPr="006D6B01">
        <w:rPr>
          <w:rFonts w:asciiTheme="majorHAnsi" w:hAnsiTheme="majorHAnsi"/>
          <w:sz w:val="20"/>
          <w:szCs w:val="20"/>
        </w:rPr>
        <w:t xml:space="preserve">to </w:t>
      </w:r>
      <w:r w:rsidR="00D75658" w:rsidRPr="006D6B01">
        <w:rPr>
          <w:rFonts w:asciiTheme="majorHAnsi" w:hAnsiTheme="majorHAnsi"/>
          <w:sz w:val="20"/>
          <w:szCs w:val="20"/>
        </w:rPr>
        <w:t xml:space="preserve">the behavior of the camp officials, </w:t>
      </w:r>
      <w:r w:rsidR="00084A56" w:rsidRPr="006D6B01">
        <w:rPr>
          <w:rFonts w:asciiTheme="majorHAnsi" w:hAnsiTheme="majorHAnsi"/>
          <w:sz w:val="20"/>
          <w:szCs w:val="20"/>
        </w:rPr>
        <w:t xml:space="preserve">asserting </w:t>
      </w:r>
      <w:r w:rsidR="00D75658" w:rsidRPr="006D6B01">
        <w:rPr>
          <w:rFonts w:asciiTheme="majorHAnsi" w:hAnsiTheme="majorHAnsi"/>
          <w:sz w:val="20"/>
          <w:szCs w:val="20"/>
        </w:rPr>
        <w:t xml:space="preserve">that </w:t>
      </w:r>
      <w:r w:rsidR="00084A56" w:rsidRPr="006D6B01">
        <w:rPr>
          <w:rFonts w:asciiTheme="majorHAnsi" w:hAnsiTheme="majorHAnsi"/>
          <w:sz w:val="20"/>
          <w:szCs w:val="20"/>
        </w:rPr>
        <w:t xml:space="preserve">they </w:t>
      </w:r>
      <w:r w:rsidR="004D0542" w:rsidRPr="006D6B01">
        <w:rPr>
          <w:rFonts w:asciiTheme="majorHAnsi" w:hAnsiTheme="majorHAnsi"/>
          <w:sz w:val="20"/>
          <w:szCs w:val="20"/>
        </w:rPr>
        <w:t>would steal aid or assistance that arrived for detainees, the remainder of which was given to Cuba</w:t>
      </w:r>
      <w:r w:rsidR="002710B3" w:rsidRPr="006D6B01">
        <w:rPr>
          <w:rFonts w:asciiTheme="majorHAnsi" w:hAnsiTheme="majorHAnsi"/>
          <w:sz w:val="20"/>
          <w:szCs w:val="20"/>
        </w:rPr>
        <w:t>n detainees and sold to Haitian</w:t>
      </w:r>
      <w:r w:rsidR="004D0542" w:rsidRPr="006D6B01">
        <w:rPr>
          <w:rFonts w:asciiTheme="majorHAnsi" w:hAnsiTheme="majorHAnsi"/>
          <w:sz w:val="20"/>
          <w:szCs w:val="20"/>
        </w:rPr>
        <w:t xml:space="preserve"> detainees, and </w:t>
      </w:r>
      <w:r w:rsidR="00084A56" w:rsidRPr="006D6B01">
        <w:rPr>
          <w:rFonts w:asciiTheme="majorHAnsi" w:hAnsiTheme="majorHAnsi"/>
          <w:sz w:val="20"/>
          <w:szCs w:val="20"/>
        </w:rPr>
        <w:t xml:space="preserve">that </w:t>
      </w:r>
      <w:r w:rsidR="00506C07" w:rsidRPr="006D6B01">
        <w:rPr>
          <w:rFonts w:asciiTheme="majorHAnsi" w:hAnsiTheme="majorHAnsi"/>
          <w:sz w:val="20"/>
          <w:szCs w:val="20"/>
        </w:rPr>
        <w:t xml:space="preserve">the </w:t>
      </w:r>
      <w:r w:rsidR="00506C07" w:rsidRPr="006D6B01">
        <w:rPr>
          <w:rFonts w:asciiTheme="majorHAnsi" w:hAnsiTheme="majorHAnsi"/>
          <w:sz w:val="20"/>
          <w:szCs w:val="20"/>
        </w:rPr>
        <w:lastRenderedPageBreak/>
        <w:t>officials</w:t>
      </w:r>
      <w:r w:rsidR="004D0542" w:rsidRPr="006D6B01">
        <w:rPr>
          <w:rFonts w:asciiTheme="majorHAnsi" w:hAnsiTheme="majorHAnsi"/>
          <w:sz w:val="20"/>
          <w:szCs w:val="20"/>
        </w:rPr>
        <w:t xml:space="preserve"> would beat </w:t>
      </w:r>
      <w:r w:rsidR="00BC5AB3" w:rsidRPr="006D6B01">
        <w:rPr>
          <w:rFonts w:asciiTheme="majorHAnsi" w:hAnsiTheme="majorHAnsi"/>
          <w:sz w:val="20"/>
          <w:szCs w:val="20"/>
        </w:rPr>
        <w:t>detainees</w:t>
      </w:r>
      <w:r w:rsidR="004D0542" w:rsidRPr="006D6B01">
        <w:rPr>
          <w:rFonts w:asciiTheme="majorHAnsi" w:hAnsiTheme="majorHAnsi"/>
          <w:sz w:val="20"/>
          <w:szCs w:val="20"/>
        </w:rPr>
        <w:t>.</w:t>
      </w:r>
      <w:r w:rsidR="004D0542" w:rsidRPr="006D6B01">
        <w:rPr>
          <w:rStyle w:val="FootnoteReference"/>
          <w:rFonts w:asciiTheme="majorHAnsi" w:hAnsiTheme="majorHAnsi"/>
          <w:sz w:val="20"/>
          <w:szCs w:val="20"/>
        </w:rPr>
        <w:footnoteReference w:id="70"/>
      </w:r>
      <w:r w:rsidR="004D0542" w:rsidRPr="006D6B01">
        <w:rPr>
          <w:rFonts w:asciiTheme="majorHAnsi" w:hAnsiTheme="majorHAnsi"/>
          <w:sz w:val="20"/>
          <w:szCs w:val="20"/>
        </w:rPr>
        <w:t xml:space="preserve"> </w:t>
      </w:r>
      <w:r w:rsidR="002B106E" w:rsidRPr="006D6B01">
        <w:rPr>
          <w:rFonts w:asciiTheme="majorHAnsi" w:hAnsiTheme="majorHAnsi"/>
          <w:sz w:val="20"/>
          <w:szCs w:val="20"/>
        </w:rPr>
        <w:t>Accordingly, the conditions at the Center were</w:t>
      </w:r>
      <w:r w:rsidR="003A19B5" w:rsidRPr="006D6B01">
        <w:rPr>
          <w:rFonts w:asciiTheme="majorHAnsi" w:hAnsiTheme="majorHAnsi"/>
          <w:sz w:val="20"/>
          <w:szCs w:val="20"/>
        </w:rPr>
        <w:t xml:space="preserve"> described as</w:t>
      </w:r>
      <w:r w:rsidR="002B106E" w:rsidRPr="006D6B01">
        <w:rPr>
          <w:rFonts w:asciiTheme="majorHAnsi" w:hAnsiTheme="majorHAnsi"/>
          <w:sz w:val="20"/>
          <w:szCs w:val="20"/>
        </w:rPr>
        <w:t xml:space="preserve"> terrible and inhuman.</w:t>
      </w:r>
      <w:r w:rsidR="002B106E" w:rsidRPr="006D6B01">
        <w:rPr>
          <w:rStyle w:val="FootnoteReference"/>
          <w:rFonts w:asciiTheme="majorHAnsi" w:hAnsiTheme="majorHAnsi"/>
          <w:sz w:val="20"/>
          <w:szCs w:val="20"/>
        </w:rPr>
        <w:footnoteReference w:id="71"/>
      </w:r>
    </w:p>
    <w:p w14:paraId="48837AF9" w14:textId="77777777" w:rsidR="006B49D6" w:rsidRPr="006D6B01" w:rsidRDefault="006B49D6" w:rsidP="004311FE">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jc w:val="both"/>
        <w:rPr>
          <w:rFonts w:asciiTheme="majorHAnsi" w:hAnsiTheme="majorHAnsi"/>
          <w:sz w:val="20"/>
          <w:szCs w:val="20"/>
        </w:rPr>
      </w:pPr>
    </w:p>
    <w:p w14:paraId="77116D9B" w14:textId="77777777" w:rsidR="006B49D6" w:rsidRPr="006D6B01" w:rsidRDefault="00987877"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ind w:left="0" w:firstLine="0"/>
        <w:jc w:val="both"/>
        <w:rPr>
          <w:rFonts w:asciiTheme="majorHAnsi" w:hAnsiTheme="majorHAnsi"/>
          <w:sz w:val="20"/>
          <w:szCs w:val="20"/>
        </w:rPr>
      </w:pPr>
      <w:r w:rsidRPr="006D6B01">
        <w:rPr>
          <w:rFonts w:asciiTheme="majorHAnsi" w:hAnsiTheme="majorHAnsi"/>
          <w:sz w:val="20"/>
          <w:szCs w:val="20"/>
        </w:rPr>
        <w:t>T</w:t>
      </w:r>
      <w:r w:rsidR="006B49D6" w:rsidRPr="006D6B01">
        <w:rPr>
          <w:rFonts w:asciiTheme="majorHAnsi" w:hAnsiTheme="majorHAnsi"/>
          <w:sz w:val="20"/>
          <w:szCs w:val="20"/>
        </w:rPr>
        <w:t xml:space="preserve">he State refutes the conditions </w:t>
      </w:r>
      <w:r w:rsidR="00C579F2" w:rsidRPr="006D6B01">
        <w:rPr>
          <w:rFonts w:asciiTheme="majorHAnsi" w:hAnsiTheme="majorHAnsi"/>
          <w:sz w:val="20"/>
          <w:szCs w:val="20"/>
        </w:rPr>
        <w:t xml:space="preserve">above described </w:t>
      </w:r>
      <w:r w:rsidR="006B49D6" w:rsidRPr="006D6B01">
        <w:rPr>
          <w:rFonts w:asciiTheme="majorHAnsi" w:hAnsiTheme="majorHAnsi"/>
          <w:sz w:val="20"/>
          <w:szCs w:val="20"/>
        </w:rPr>
        <w:t xml:space="preserve">and </w:t>
      </w:r>
      <w:r w:rsidRPr="006D6B01">
        <w:rPr>
          <w:rFonts w:asciiTheme="majorHAnsi" w:hAnsiTheme="majorHAnsi"/>
          <w:sz w:val="20"/>
          <w:szCs w:val="20"/>
        </w:rPr>
        <w:t xml:space="preserve">alleges </w:t>
      </w:r>
      <w:r w:rsidR="006B49D6" w:rsidRPr="006D6B01">
        <w:rPr>
          <w:rFonts w:asciiTheme="majorHAnsi" w:hAnsiTheme="majorHAnsi"/>
          <w:sz w:val="20"/>
          <w:szCs w:val="20"/>
        </w:rPr>
        <w:t xml:space="preserve">that detainees </w:t>
      </w:r>
      <w:r w:rsidR="009C7E20" w:rsidRPr="006D6B01">
        <w:rPr>
          <w:rFonts w:asciiTheme="majorHAnsi" w:hAnsiTheme="majorHAnsi"/>
          <w:sz w:val="20"/>
          <w:szCs w:val="20"/>
        </w:rPr>
        <w:t>“are served three (3) times daily and the Authorities try to accommodate the detainees by serving cultural dishes with which they are familiar</w:t>
      </w:r>
      <w:r w:rsidRPr="006D6B01">
        <w:rPr>
          <w:rFonts w:asciiTheme="majorHAnsi" w:hAnsiTheme="majorHAnsi"/>
          <w:sz w:val="20"/>
          <w:szCs w:val="20"/>
        </w:rPr>
        <w:t>.</w:t>
      </w:r>
      <w:r w:rsidR="008E2E7E" w:rsidRPr="006D6B01">
        <w:rPr>
          <w:rFonts w:asciiTheme="majorHAnsi" w:hAnsiTheme="majorHAnsi"/>
          <w:sz w:val="20"/>
          <w:szCs w:val="20"/>
        </w:rPr>
        <w:t>”</w:t>
      </w:r>
      <w:r w:rsidR="009C7E20" w:rsidRPr="006D6B01">
        <w:rPr>
          <w:rFonts w:asciiTheme="majorHAnsi" w:hAnsiTheme="majorHAnsi"/>
          <w:sz w:val="20"/>
          <w:szCs w:val="20"/>
        </w:rPr>
        <w:t xml:space="preserve"> </w:t>
      </w:r>
      <w:r w:rsidRPr="006D6B01">
        <w:rPr>
          <w:rFonts w:asciiTheme="majorHAnsi" w:hAnsiTheme="majorHAnsi"/>
          <w:sz w:val="20"/>
          <w:szCs w:val="20"/>
        </w:rPr>
        <w:t>T</w:t>
      </w:r>
      <w:r w:rsidR="009C7E20" w:rsidRPr="006D6B01">
        <w:rPr>
          <w:rFonts w:asciiTheme="majorHAnsi" w:hAnsiTheme="majorHAnsi"/>
          <w:sz w:val="20"/>
          <w:szCs w:val="20"/>
        </w:rPr>
        <w:t>he State added that “water supplied at the Detention Centre is purified city water which is also consumed daily by thousands of Bahamians living on the island of New Providence</w:t>
      </w:r>
      <w:r w:rsidRPr="006D6B01">
        <w:rPr>
          <w:rFonts w:asciiTheme="majorHAnsi" w:hAnsiTheme="majorHAnsi"/>
          <w:sz w:val="20"/>
          <w:szCs w:val="20"/>
        </w:rPr>
        <w:t>.</w:t>
      </w:r>
      <w:r w:rsidR="009C7E20" w:rsidRPr="006D6B01">
        <w:rPr>
          <w:rFonts w:asciiTheme="majorHAnsi" w:hAnsiTheme="majorHAnsi"/>
          <w:sz w:val="20"/>
          <w:szCs w:val="20"/>
        </w:rPr>
        <w:t>”</w:t>
      </w:r>
      <w:r w:rsidR="009C7E20" w:rsidRPr="006D6B01">
        <w:rPr>
          <w:rStyle w:val="FootnoteReference"/>
          <w:rFonts w:asciiTheme="majorHAnsi" w:hAnsiTheme="majorHAnsi"/>
          <w:sz w:val="20"/>
          <w:szCs w:val="20"/>
        </w:rPr>
        <w:footnoteReference w:id="72"/>
      </w:r>
      <w:r w:rsidR="009C7E20" w:rsidRPr="006D6B01">
        <w:rPr>
          <w:rFonts w:asciiTheme="majorHAnsi" w:hAnsiTheme="majorHAnsi"/>
          <w:sz w:val="20"/>
          <w:szCs w:val="20"/>
        </w:rPr>
        <w:t xml:space="preserve"> </w:t>
      </w:r>
      <w:r w:rsidR="00345789" w:rsidRPr="006D6B01">
        <w:rPr>
          <w:rFonts w:asciiTheme="majorHAnsi" w:hAnsiTheme="majorHAnsi"/>
          <w:sz w:val="20"/>
          <w:szCs w:val="20"/>
        </w:rPr>
        <w:t xml:space="preserve">The Commission </w:t>
      </w:r>
      <w:r w:rsidRPr="006D6B01">
        <w:rPr>
          <w:rFonts w:asciiTheme="majorHAnsi" w:hAnsiTheme="majorHAnsi"/>
          <w:sz w:val="20"/>
          <w:szCs w:val="20"/>
        </w:rPr>
        <w:t>notes</w:t>
      </w:r>
      <w:r w:rsidR="00345789" w:rsidRPr="006D6B01">
        <w:rPr>
          <w:rFonts w:asciiTheme="majorHAnsi" w:hAnsiTheme="majorHAnsi"/>
          <w:sz w:val="20"/>
          <w:szCs w:val="20"/>
        </w:rPr>
        <w:t xml:space="preserve"> that</w:t>
      </w:r>
      <w:r w:rsidRPr="006D6B01">
        <w:rPr>
          <w:rFonts w:asciiTheme="majorHAnsi" w:hAnsiTheme="majorHAnsi"/>
          <w:sz w:val="20"/>
          <w:szCs w:val="20"/>
        </w:rPr>
        <w:t xml:space="preserve"> the State did not provide</w:t>
      </w:r>
      <w:r w:rsidR="00B87AD6" w:rsidRPr="006D6B01">
        <w:rPr>
          <w:rFonts w:asciiTheme="majorHAnsi" w:hAnsiTheme="majorHAnsi"/>
          <w:sz w:val="20"/>
          <w:szCs w:val="20"/>
        </w:rPr>
        <w:t xml:space="preserve"> documentary proof of these assertions</w:t>
      </w:r>
      <w:r w:rsidR="00345789" w:rsidRPr="006D6B01">
        <w:rPr>
          <w:rFonts w:asciiTheme="majorHAnsi" w:hAnsiTheme="majorHAnsi"/>
          <w:sz w:val="20"/>
          <w:szCs w:val="20"/>
        </w:rPr>
        <w:t xml:space="preserve">. </w:t>
      </w:r>
    </w:p>
    <w:p w14:paraId="72A6DAA0" w14:textId="77777777" w:rsidR="00567FED" w:rsidRPr="006D6B01" w:rsidRDefault="00567FED" w:rsidP="004311FE">
      <w:pPr>
        <w:pStyle w:val="ListParagraph"/>
        <w:tabs>
          <w:tab w:val="left" w:pos="0"/>
          <w:tab w:val="left" w:pos="360"/>
        </w:tabs>
        <w:ind w:left="0"/>
        <w:rPr>
          <w:rFonts w:asciiTheme="majorHAnsi" w:hAnsiTheme="majorHAnsi"/>
          <w:sz w:val="20"/>
          <w:szCs w:val="20"/>
        </w:rPr>
      </w:pPr>
    </w:p>
    <w:p w14:paraId="061E2E21" w14:textId="77777777" w:rsidR="00E97E64" w:rsidRPr="006D6B01" w:rsidRDefault="00E97E64" w:rsidP="004311FE">
      <w:pPr>
        <w:pStyle w:val="Heading3"/>
        <w:tabs>
          <w:tab w:val="left" w:pos="0"/>
          <w:tab w:val="left" w:pos="360"/>
        </w:tabs>
        <w:ind w:left="0" w:firstLine="0"/>
      </w:pPr>
      <w:bookmarkStart w:id="14" w:name="_Toc90557409"/>
      <w:r w:rsidRPr="006D6B01">
        <w:t>Information regarding procedures for accessing asylum in The Bahamas</w:t>
      </w:r>
      <w:bookmarkEnd w:id="14"/>
    </w:p>
    <w:p w14:paraId="4EDC6128" w14:textId="77777777" w:rsidR="00E97E64" w:rsidRPr="006D6B01" w:rsidRDefault="00E97E64" w:rsidP="004311FE">
      <w:pPr>
        <w:pStyle w:val="ListParagraph"/>
        <w:tabs>
          <w:tab w:val="left" w:pos="0"/>
          <w:tab w:val="left" w:pos="360"/>
        </w:tabs>
        <w:ind w:left="0"/>
        <w:rPr>
          <w:rFonts w:asciiTheme="majorHAnsi" w:hAnsiTheme="majorHAnsi"/>
          <w:sz w:val="20"/>
          <w:szCs w:val="20"/>
        </w:rPr>
      </w:pPr>
    </w:p>
    <w:p w14:paraId="77882C12" w14:textId="7F746998" w:rsidR="00704ADF" w:rsidRPr="006D6B01" w:rsidRDefault="00F83435"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ind w:left="0" w:firstLine="0"/>
        <w:jc w:val="both"/>
        <w:rPr>
          <w:rFonts w:asciiTheme="majorHAnsi" w:hAnsiTheme="majorHAnsi"/>
          <w:sz w:val="20"/>
          <w:szCs w:val="20"/>
        </w:rPr>
      </w:pPr>
      <w:r w:rsidRPr="006D6B01">
        <w:rPr>
          <w:rFonts w:asciiTheme="majorHAnsi" w:hAnsiTheme="majorHAnsi"/>
          <w:sz w:val="20"/>
          <w:szCs w:val="20"/>
        </w:rPr>
        <w:t xml:space="preserve">The </w:t>
      </w:r>
      <w:r w:rsidR="00D75658" w:rsidRPr="006D6B01">
        <w:rPr>
          <w:rFonts w:asciiTheme="majorHAnsi" w:hAnsiTheme="majorHAnsi"/>
          <w:sz w:val="20"/>
          <w:szCs w:val="20"/>
        </w:rPr>
        <w:t xml:space="preserve">Commission notes that there is no </w:t>
      </w:r>
      <w:r w:rsidR="002710B3" w:rsidRPr="006D6B01">
        <w:rPr>
          <w:rFonts w:asciiTheme="majorHAnsi" w:hAnsiTheme="majorHAnsi"/>
          <w:sz w:val="20"/>
          <w:szCs w:val="20"/>
        </w:rPr>
        <w:t>dispute</w:t>
      </w:r>
      <w:r w:rsidR="00D75658" w:rsidRPr="006D6B01">
        <w:rPr>
          <w:rFonts w:asciiTheme="majorHAnsi" w:hAnsiTheme="majorHAnsi"/>
          <w:sz w:val="20"/>
          <w:szCs w:val="20"/>
        </w:rPr>
        <w:t xml:space="preserve"> among the parties regarding the</w:t>
      </w:r>
      <w:r w:rsidR="00084A56" w:rsidRPr="006D6B01">
        <w:rPr>
          <w:rFonts w:asciiTheme="majorHAnsi" w:hAnsiTheme="majorHAnsi"/>
          <w:sz w:val="20"/>
          <w:szCs w:val="20"/>
        </w:rPr>
        <w:t xml:space="preserve"> </w:t>
      </w:r>
      <w:r w:rsidR="00BC5AB3" w:rsidRPr="006D6B01">
        <w:rPr>
          <w:rFonts w:asciiTheme="majorHAnsi" w:hAnsiTheme="majorHAnsi"/>
          <w:sz w:val="20"/>
          <w:szCs w:val="20"/>
        </w:rPr>
        <w:t>lack</w:t>
      </w:r>
      <w:r w:rsidR="00290AEB" w:rsidRPr="006D6B01">
        <w:rPr>
          <w:rFonts w:asciiTheme="majorHAnsi" w:hAnsiTheme="majorHAnsi"/>
          <w:sz w:val="20"/>
          <w:szCs w:val="20"/>
        </w:rPr>
        <w:t xml:space="preserve"> of </w:t>
      </w:r>
      <w:r w:rsidRPr="006D6B01">
        <w:rPr>
          <w:rFonts w:asciiTheme="majorHAnsi" w:hAnsiTheme="majorHAnsi"/>
          <w:sz w:val="20"/>
          <w:szCs w:val="20"/>
        </w:rPr>
        <w:t>domestic legislation regulating refugee status determination</w:t>
      </w:r>
      <w:r w:rsidR="00290AEB" w:rsidRPr="006D6B01">
        <w:rPr>
          <w:rFonts w:asciiTheme="majorHAnsi" w:hAnsiTheme="majorHAnsi"/>
          <w:sz w:val="20"/>
          <w:szCs w:val="20"/>
        </w:rPr>
        <w:t>. The State</w:t>
      </w:r>
      <w:r w:rsidRPr="006D6B01">
        <w:rPr>
          <w:rFonts w:asciiTheme="majorHAnsi" w:hAnsiTheme="majorHAnsi"/>
          <w:sz w:val="20"/>
          <w:szCs w:val="20"/>
        </w:rPr>
        <w:t xml:space="preserve"> </w:t>
      </w:r>
      <w:r w:rsidR="00A36EBF" w:rsidRPr="006D6B01">
        <w:rPr>
          <w:rFonts w:asciiTheme="majorHAnsi" w:hAnsiTheme="majorHAnsi"/>
          <w:sz w:val="20"/>
          <w:szCs w:val="20"/>
        </w:rPr>
        <w:t>referenced</w:t>
      </w:r>
      <w:r w:rsidRPr="006D6B01">
        <w:rPr>
          <w:rFonts w:asciiTheme="majorHAnsi" w:hAnsiTheme="majorHAnsi"/>
          <w:sz w:val="20"/>
          <w:szCs w:val="20"/>
        </w:rPr>
        <w:t xml:space="preserve"> a Draft Act [or Regulation] on Refugee Status and Asylum </w:t>
      </w:r>
      <w:r w:rsidR="00A36EBF" w:rsidRPr="006D6B01">
        <w:rPr>
          <w:rFonts w:asciiTheme="majorHAnsi" w:hAnsiTheme="majorHAnsi"/>
          <w:sz w:val="20"/>
          <w:szCs w:val="20"/>
        </w:rPr>
        <w:t xml:space="preserve">drafted </w:t>
      </w:r>
      <w:r w:rsidR="00E213D1" w:rsidRPr="006D6B01">
        <w:rPr>
          <w:rFonts w:asciiTheme="majorHAnsi" w:hAnsiTheme="majorHAnsi"/>
          <w:sz w:val="20"/>
          <w:szCs w:val="20"/>
        </w:rPr>
        <w:t>in relation to</w:t>
      </w:r>
      <w:r w:rsidR="00A36EBF" w:rsidRPr="006D6B01">
        <w:rPr>
          <w:rFonts w:asciiTheme="majorHAnsi" w:hAnsiTheme="majorHAnsi"/>
          <w:sz w:val="20"/>
          <w:szCs w:val="20"/>
        </w:rPr>
        <w:t xml:space="preserve"> Barbados</w:t>
      </w:r>
      <w:r w:rsidR="00420DEA" w:rsidRPr="006D6B01">
        <w:rPr>
          <w:rFonts w:asciiTheme="majorHAnsi" w:hAnsiTheme="majorHAnsi"/>
          <w:sz w:val="20"/>
          <w:szCs w:val="20"/>
        </w:rPr>
        <w:t xml:space="preserve">, </w:t>
      </w:r>
      <w:r w:rsidR="00BC5AB3" w:rsidRPr="006D6B01">
        <w:rPr>
          <w:rFonts w:asciiTheme="majorHAnsi" w:hAnsiTheme="majorHAnsi"/>
          <w:sz w:val="20"/>
          <w:szCs w:val="20"/>
        </w:rPr>
        <w:t xml:space="preserve">which is a third, unrelated state, </w:t>
      </w:r>
      <w:r w:rsidR="00420DEA" w:rsidRPr="006D6B01">
        <w:rPr>
          <w:rFonts w:asciiTheme="majorHAnsi" w:hAnsiTheme="majorHAnsi"/>
          <w:sz w:val="20"/>
          <w:szCs w:val="20"/>
        </w:rPr>
        <w:t>without explaining it</w:t>
      </w:r>
      <w:r w:rsidR="00BC5AB3" w:rsidRPr="006D6B01">
        <w:rPr>
          <w:rFonts w:asciiTheme="majorHAnsi" w:hAnsiTheme="majorHAnsi"/>
          <w:sz w:val="20"/>
          <w:szCs w:val="20"/>
        </w:rPr>
        <w:t>s relevance to the instant case</w:t>
      </w:r>
      <w:r w:rsidRPr="006D6B01">
        <w:rPr>
          <w:rFonts w:asciiTheme="majorHAnsi" w:hAnsiTheme="majorHAnsi"/>
          <w:sz w:val="20"/>
          <w:szCs w:val="20"/>
        </w:rPr>
        <w:t>.</w:t>
      </w:r>
      <w:r w:rsidRPr="006D6B01">
        <w:rPr>
          <w:rStyle w:val="FootnoteReference"/>
          <w:rFonts w:asciiTheme="majorHAnsi" w:hAnsiTheme="majorHAnsi"/>
          <w:sz w:val="20"/>
          <w:szCs w:val="20"/>
        </w:rPr>
        <w:footnoteReference w:id="73"/>
      </w:r>
      <w:r w:rsidR="00704ADF" w:rsidRPr="006D6B01">
        <w:rPr>
          <w:rFonts w:asciiTheme="majorHAnsi" w:hAnsiTheme="majorHAnsi"/>
          <w:sz w:val="20"/>
          <w:szCs w:val="20"/>
        </w:rPr>
        <w:t xml:space="preserve"> The Commission also notes that the Bahamian Immigration Act considers any individual who arrives in its territory without a proper visa to be an</w:t>
      </w:r>
      <w:r w:rsidR="004E012B" w:rsidRPr="006D6B01">
        <w:rPr>
          <w:rFonts w:asciiTheme="majorHAnsi" w:hAnsiTheme="majorHAnsi"/>
          <w:sz w:val="20"/>
          <w:szCs w:val="20"/>
        </w:rPr>
        <w:t xml:space="preserve"> “</w:t>
      </w:r>
      <w:r w:rsidR="00704ADF" w:rsidRPr="006D6B01">
        <w:rPr>
          <w:rFonts w:asciiTheme="majorHAnsi" w:hAnsiTheme="majorHAnsi"/>
          <w:sz w:val="20"/>
          <w:szCs w:val="20"/>
        </w:rPr>
        <w:t>illegal immigrant</w:t>
      </w:r>
      <w:r w:rsidR="004E012B" w:rsidRPr="006D6B01">
        <w:rPr>
          <w:rFonts w:asciiTheme="majorHAnsi" w:hAnsiTheme="majorHAnsi"/>
          <w:sz w:val="20"/>
          <w:szCs w:val="20"/>
        </w:rPr>
        <w:t>”</w:t>
      </w:r>
      <w:r w:rsidR="008E6B02">
        <w:rPr>
          <w:rFonts w:asciiTheme="majorHAnsi" w:hAnsiTheme="majorHAnsi"/>
          <w:sz w:val="20"/>
          <w:szCs w:val="20"/>
        </w:rPr>
        <w:t xml:space="preserve"> (sic).</w:t>
      </w:r>
    </w:p>
    <w:p w14:paraId="3E0FA800" w14:textId="77777777" w:rsidR="00290AEB" w:rsidRPr="006D6B01" w:rsidRDefault="00290AEB" w:rsidP="004311FE">
      <w:pPr>
        <w:pStyle w:val="ListParagraph"/>
        <w:tabs>
          <w:tab w:val="left" w:pos="0"/>
          <w:tab w:val="left" w:pos="360"/>
        </w:tabs>
        <w:ind w:left="0"/>
        <w:rPr>
          <w:rFonts w:asciiTheme="majorHAnsi" w:hAnsiTheme="majorHAnsi"/>
          <w:sz w:val="20"/>
          <w:szCs w:val="20"/>
        </w:rPr>
      </w:pPr>
    </w:p>
    <w:p w14:paraId="79ACCC68" w14:textId="37269150" w:rsidR="00540EE7" w:rsidRPr="006D6B01" w:rsidRDefault="00290AEB"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ind w:left="0" w:firstLine="0"/>
        <w:jc w:val="both"/>
        <w:rPr>
          <w:rFonts w:asciiTheme="majorHAnsi" w:hAnsiTheme="majorHAnsi"/>
          <w:sz w:val="20"/>
          <w:szCs w:val="20"/>
        </w:rPr>
      </w:pPr>
      <w:r w:rsidRPr="006D6B01">
        <w:rPr>
          <w:rFonts w:asciiTheme="majorHAnsi" w:hAnsiTheme="majorHAnsi"/>
          <w:sz w:val="20"/>
          <w:szCs w:val="20"/>
        </w:rPr>
        <w:t xml:space="preserve">Regarding the administrative procedures to </w:t>
      </w:r>
      <w:r w:rsidR="00844AA5" w:rsidRPr="006D6B01">
        <w:rPr>
          <w:rFonts w:asciiTheme="majorHAnsi" w:hAnsiTheme="majorHAnsi"/>
          <w:sz w:val="20"/>
          <w:szCs w:val="20"/>
        </w:rPr>
        <w:t xml:space="preserve">determine </w:t>
      </w:r>
      <w:r w:rsidR="00BC5AB3" w:rsidRPr="006D6B01">
        <w:rPr>
          <w:rFonts w:asciiTheme="majorHAnsi" w:hAnsiTheme="majorHAnsi"/>
          <w:sz w:val="20"/>
          <w:szCs w:val="20"/>
        </w:rPr>
        <w:t>the status of asylum-</w:t>
      </w:r>
      <w:r w:rsidRPr="006D6B01">
        <w:rPr>
          <w:rFonts w:asciiTheme="majorHAnsi" w:hAnsiTheme="majorHAnsi"/>
          <w:sz w:val="20"/>
          <w:szCs w:val="20"/>
        </w:rPr>
        <w:t>seekers, v</w:t>
      </w:r>
      <w:r w:rsidR="00567FED" w:rsidRPr="006D6B01">
        <w:rPr>
          <w:rFonts w:asciiTheme="majorHAnsi" w:hAnsiTheme="majorHAnsi"/>
          <w:sz w:val="20"/>
          <w:szCs w:val="20"/>
        </w:rPr>
        <w:t xml:space="preserve">arious forms and questionnaires </w:t>
      </w:r>
      <w:r w:rsidR="00844AA5" w:rsidRPr="006D6B01">
        <w:rPr>
          <w:rFonts w:asciiTheme="majorHAnsi" w:hAnsiTheme="majorHAnsi"/>
          <w:sz w:val="20"/>
          <w:szCs w:val="20"/>
        </w:rPr>
        <w:t xml:space="preserve">have been </w:t>
      </w:r>
      <w:r w:rsidR="00BC5AB3" w:rsidRPr="006D6B01">
        <w:rPr>
          <w:rFonts w:asciiTheme="majorHAnsi" w:hAnsiTheme="majorHAnsi"/>
          <w:sz w:val="20"/>
          <w:szCs w:val="20"/>
        </w:rPr>
        <w:t>included</w:t>
      </w:r>
      <w:r w:rsidR="00844AA5" w:rsidRPr="006D6B01">
        <w:rPr>
          <w:rFonts w:asciiTheme="majorHAnsi" w:hAnsiTheme="majorHAnsi"/>
          <w:sz w:val="20"/>
          <w:szCs w:val="20"/>
        </w:rPr>
        <w:t xml:space="preserve"> in the case file</w:t>
      </w:r>
      <w:r w:rsidR="00567FED" w:rsidRPr="006D6B01">
        <w:rPr>
          <w:rFonts w:asciiTheme="majorHAnsi" w:hAnsiTheme="majorHAnsi"/>
          <w:sz w:val="20"/>
          <w:szCs w:val="20"/>
        </w:rPr>
        <w:t xml:space="preserve">. The most basic </w:t>
      </w:r>
      <w:r w:rsidR="002710B3" w:rsidRPr="006D6B01">
        <w:rPr>
          <w:rFonts w:asciiTheme="majorHAnsi" w:hAnsiTheme="majorHAnsi"/>
          <w:sz w:val="20"/>
          <w:szCs w:val="20"/>
        </w:rPr>
        <w:t xml:space="preserve">form is the Cuban Profile Form </w:t>
      </w:r>
      <w:r w:rsidR="00A425D1" w:rsidRPr="006D6B01">
        <w:rPr>
          <w:rFonts w:asciiTheme="majorHAnsi" w:hAnsiTheme="majorHAnsi"/>
          <w:sz w:val="20"/>
          <w:szCs w:val="20"/>
        </w:rPr>
        <w:t xml:space="preserve">in English and Spanish, </w:t>
      </w:r>
      <w:r w:rsidR="002710B3" w:rsidRPr="006D6B01">
        <w:rPr>
          <w:rFonts w:asciiTheme="majorHAnsi" w:hAnsiTheme="majorHAnsi"/>
          <w:sz w:val="20"/>
          <w:szCs w:val="20"/>
        </w:rPr>
        <w:t>which</w:t>
      </w:r>
      <w:r w:rsidR="00A425D1" w:rsidRPr="006D6B01">
        <w:rPr>
          <w:rFonts w:asciiTheme="majorHAnsi" w:hAnsiTheme="majorHAnsi"/>
          <w:sz w:val="20"/>
          <w:szCs w:val="20"/>
        </w:rPr>
        <w:t xml:space="preserve"> </w:t>
      </w:r>
      <w:r w:rsidR="002710B3" w:rsidRPr="006D6B01">
        <w:rPr>
          <w:rFonts w:asciiTheme="majorHAnsi" w:hAnsiTheme="majorHAnsi"/>
          <w:sz w:val="20"/>
          <w:szCs w:val="20"/>
        </w:rPr>
        <w:t>requires</w:t>
      </w:r>
      <w:r w:rsidR="00567FED" w:rsidRPr="006D6B01">
        <w:rPr>
          <w:rFonts w:asciiTheme="majorHAnsi" w:hAnsiTheme="majorHAnsi"/>
          <w:sz w:val="20"/>
          <w:szCs w:val="20"/>
        </w:rPr>
        <w:t xml:space="preserve"> the applicant to provide the State’s Immigration Department with </w:t>
      </w:r>
      <w:r w:rsidR="00E844AB" w:rsidRPr="006D6B01">
        <w:rPr>
          <w:rFonts w:asciiTheme="majorHAnsi" w:hAnsiTheme="majorHAnsi"/>
          <w:sz w:val="20"/>
          <w:szCs w:val="20"/>
        </w:rPr>
        <w:t xml:space="preserve">basic </w:t>
      </w:r>
      <w:r w:rsidR="00567FED" w:rsidRPr="006D6B01">
        <w:rPr>
          <w:rFonts w:asciiTheme="majorHAnsi" w:hAnsiTheme="majorHAnsi"/>
          <w:sz w:val="20"/>
          <w:szCs w:val="20"/>
        </w:rPr>
        <w:t>personal information</w:t>
      </w:r>
      <w:r w:rsidR="00E844AB" w:rsidRPr="006D6B01">
        <w:rPr>
          <w:rFonts w:asciiTheme="majorHAnsi" w:hAnsiTheme="majorHAnsi"/>
          <w:sz w:val="20"/>
          <w:szCs w:val="20"/>
        </w:rPr>
        <w:t xml:space="preserve">, </w:t>
      </w:r>
      <w:r w:rsidR="00802C29" w:rsidRPr="006D6B01">
        <w:rPr>
          <w:rFonts w:asciiTheme="majorHAnsi" w:hAnsiTheme="majorHAnsi"/>
          <w:sz w:val="20"/>
          <w:szCs w:val="20"/>
        </w:rPr>
        <w:t>such as their</w:t>
      </w:r>
      <w:r w:rsidR="00E844AB" w:rsidRPr="006D6B01">
        <w:rPr>
          <w:rFonts w:asciiTheme="majorHAnsi" w:hAnsiTheme="majorHAnsi"/>
          <w:sz w:val="20"/>
          <w:szCs w:val="20"/>
        </w:rPr>
        <w:t xml:space="preserve"> name</w:t>
      </w:r>
      <w:r w:rsidR="00802C29" w:rsidRPr="006D6B01">
        <w:rPr>
          <w:rFonts w:asciiTheme="majorHAnsi" w:hAnsiTheme="majorHAnsi"/>
          <w:sz w:val="20"/>
          <w:szCs w:val="20"/>
        </w:rPr>
        <w:t>, marital status and date of birth</w:t>
      </w:r>
      <w:r w:rsidR="00540EE7" w:rsidRPr="006D6B01">
        <w:rPr>
          <w:rFonts w:asciiTheme="majorHAnsi" w:hAnsiTheme="majorHAnsi"/>
          <w:sz w:val="20"/>
          <w:szCs w:val="20"/>
        </w:rPr>
        <w:t>, and a photograph</w:t>
      </w:r>
      <w:r w:rsidR="00567FED" w:rsidRPr="006D6B01">
        <w:rPr>
          <w:rFonts w:asciiTheme="majorHAnsi" w:hAnsiTheme="majorHAnsi"/>
          <w:sz w:val="20"/>
          <w:szCs w:val="20"/>
        </w:rPr>
        <w:t>.</w:t>
      </w:r>
      <w:r w:rsidR="00567FED" w:rsidRPr="006D6B01">
        <w:rPr>
          <w:rStyle w:val="FootnoteReference"/>
          <w:rFonts w:asciiTheme="majorHAnsi" w:hAnsiTheme="majorHAnsi"/>
          <w:sz w:val="20"/>
          <w:szCs w:val="20"/>
        </w:rPr>
        <w:footnoteReference w:id="74"/>
      </w:r>
      <w:r w:rsidR="00A425D1" w:rsidRPr="006D6B01">
        <w:rPr>
          <w:rFonts w:asciiTheme="majorHAnsi" w:hAnsiTheme="majorHAnsi"/>
          <w:sz w:val="20"/>
          <w:szCs w:val="20"/>
        </w:rPr>
        <w:t xml:space="preserve"> </w:t>
      </w:r>
      <w:r w:rsidR="00F31F07" w:rsidRPr="006D6B01">
        <w:rPr>
          <w:rFonts w:asciiTheme="majorHAnsi" w:hAnsiTheme="majorHAnsi"/>
          <w:sz w:val="20"/>
          <w:szCs w:val="20"/>
        </w:rPr>
        <w:t>The</w:t>
      </w:r>
      <w:r w:rsidR="00540EE7" w:rsidRPr="006D6B01">
        <w:rPr>
          <w:rFonts w:asciiTheme="majorHAnsi" w:hAnsiTheme="majorHAnsi"/>
          <w:sz w:val="20"/>
          <w:szCs w:val="20"/>
        </w:rPr>
        <w:t>re was no</w:t>
      </w:r>
      <w:r w:rsidR="00F31F07" w:rsidRPr="006D6B01">
        <w:rPr>
          <w:rFonts w:asciiTheme="majorHAnsi" w:hAnsiTheme="majorHAnsi"/>
          <w:sz w:val="20"/>
          <w:szCs w:val="20"/>
        </w:rPr>
        <w:t xml:space="preserve"> equivalent Haitian Profile Form. </w:t>
      </w:r>
      <w:r w:rsidR="002710B3" w:rsidRPr="006D6B01">
        <w:rPr>
          <w:rFonts w:asciiTheme="majorHAnsi" w:hAnsiTheme="majorHAnsi"/>
          <w:sz w:val="20"/>
          <w:szCs w:val="20"/>
        </w:rPr>
        <w:t>Second, the Personal History Form requires</w:t>
      </w:r>
      <w:r w:rsidR="00A425D1" w:rsidRPr="006D6B01">
        <w:rPr>
          <w:rFonts w:asciiTheme="majorHAnsi" w:hAnsiTheme="majorHAnsi"/>
          <w:sz w:val="20"/>
          <w:szCs w:val="20"/>
        </w:rPr>
        <w:t xml:space="preserve"> basic</w:t>
      </w:r>
      <w:r w:rsidR="002710B3" w:rsidRPr="006D6B01">
        <w:rPr>
          <w:rFonts w:asciiTheme="majorHAnsi" w:hAnsiTheme="majorHAnsi"/>
          <w:sz w:val="20"/>
          <w:szCs w:val="20"/>
        </w:rPr>
        <w:t xml:space="preserve"> personal information, solicits</w:t>
      </w:r>
      <w:r w:rsidR="00A425D1" w:rsidRPr="006D6B01">
        <w:rPr>
          <w:rFonts w:asciiTheme="majorHAnsi" w:hAnsiTheme="majorHAnsi"/>
          <w:sz w:val="20"/>
          <w:szCs w:val="20"/>
        </w:rPr>
        <w:t xml:space="preserve"> information about the applicant’s country of previous residence, reasons for leaving </w:t>
      </w:r>
      <w:r w:rsidR="0071690A" w:rsidRPr="006D6B01">
        <w:rPr>
          <w:rFonts w:asciiTheme="majorHAnsi" w:hAnsiTheme="majorHAnsi"/>
          <w:sz w:val="20"/>
          <w:szCs w:val="20"/>
        </w:rPr>
        <w:t>their home country or country of last residence</w:t>
      </w:r>
      <w:r w:rsidR="00A425D1" w:rsidRPr="006D6B01">
        <w:rPr>
          <w:rFonts w:asciiTheme="majorHAnsi" w:hAnsiTheme="majorHAnsi"/>
          <w:sz w:val="20"/>
          <w:szCs w:val="20"/>
        </w:rPr>
        <w:t>, whether the applicant was afraid or worried about being returned to their country of origin or being expelled from The Bahamas</w:t>
      </w:r>
      <w:r w:rsidR="0071690A" w:rsidRPr="006D6B01">
        <w:rPr>
          <w:rFonts w:asciiTheme="majorHAnsi" w:hAnsiTheme="majorHAnsi"/>
          <w:sz w:val="20"/>
          <w:szCs w:val="20"/>
        </w:rPr>
        <w:t>, whether they had any travel or identity documents, and whether they had any family or friends in The Bahamas</w:t>
      </w:r>
      <w:r w:rsidR="00987877" w:rsidRPr="006D6B01">
        <w:rPr>
          <w:rFonts w:asciiTheme="majorHAnsi" w:hAnsiTheme="majorHAnsi"/>
          <w:sz w:val="20"/>
          <w:szCs w:val="20"/>
        </w:rPr>
        <w:t>.</w:t>
      </w:r>
      <w:r w:rsidR="002710B3" w:rsidRPr="006D6B01">
        <w:rPr>
          <w:rFonts w:asciiTheme="majorHAnsi" w:hAnsiTheme="majorHAnsi"/>
          <w:sz w:val="20"/>
          <w:szCs w:val="20"/>
        </w:rPr>
        <w:t xml:space="preserve"> </w:t>
      </w:r>
      <w:r w:rsidR="00987877" w:rsidRPr="006D6B01">
        <w:rPr>
          <w:rFonts w:asciiTheme="majorHAnsi" w:hAnsiTheme="majorHAnsi"/>
          <w:sz w:val="20"/>
          <w:szCs w:val="20"/>
        </w:rPr>
        <w:t>This form is</w:t>
      </w:r>
      <w:r w:rsidR="00D07DC5" w:rsidRPr="006D6B01">
        <w:rPr>
          <w:rFonts w:asciiTheme="majorHAnsi" w:hAnsiTheme="majorHAnsi"/>
          <w:sz w:val="20"/>
          <w:szCs w:val="20"/>
        </w:rPr>
        <w:t xml:space="preserve"> available in English, Spanish, French and Creole.</w:t>
      </w:r>
      <w:r w:rsidR="00D07DC5" w:rsidRPr="006D6B01">
        <w:rPr>
          <w:rStyle w:val="FootnoteReference"/>
          <w:rFonts w:asciiTheme="majorHAnsi" w:hAnsiTheme="majorHAnsi"/>
          <w:sz w:val="20"/>
          <w:szCs w:val="20"/>
        </w:rPr>
        <w:footnoteReference w:id="75"/>
      </w:r>
      <w:r w:rsidR="00D07DC5" w:rsidRPr="006D6B01">
        <w:rPr>
          <w:rFonts w:asciiTheme="majorHAnsi" w:hAnsiTheme="majorHAnsi"/>
          <w:sz w:val="20"/>
          <w:szCs w:val="20"/>
        </w:rPr>
        <w:t xml:space="preserve"> </w:t>
      </w:r>
      <w:r w:rsidR="00836AFE" w:rsidRPr="006D6B01">
        <w:rPr>
          <w:rFonts w:asciiTheme="majorHAnsi" w:hAnsiTheme="majorHAnsi"/>
          <w:sz w:val="20"/>
          <w:szCs w:val="20"/>
        </w:rPr>
        <w:t xml:space="preserve">Additional </w:t>
      </w:r>
      <w:r w:rsidR="00EB3B9E" w:rsidRPr="006D6B01">
        <w:rPr>
          <w:rFonts w:asciiTheme="majorHAnsi" w:hAnsiTheme="majorHAnsi"/>
          <w:sz w:val="20"/>
          <w:szCs w:val="20"/>
        </w:rPr>
        <w:t xml:space="preserve">generic </w:t>
      </w:r>
      <w:r w:rsidR="00836AFE" w:rsidRPr="006D6B01">
        <w:rPr>
          <w:rFonts w:asciiTheme="majorHAnsi" w:hAnsiTheme="majorHAnsi"/>
          <w:sz w:val="20"/>
          <w:szCs w:val="20"/>
        </w:rPr>
        <w:t>forms were provided by the State, namely Questions for the refugees</w:t>
      </w:r>
      <w:r w:rsidR="007B03F2" w:rsidRPr="006D6B01">
        <w:rPr>
          <w:rFonts w:asciiTheme="majorHAnsi" w:hAnsiTheme="majorHAnsi"/>
          <w:sz w:val="20"/>
          <w:szCs w:val="20"/>
        </w:rPr>
        <w:t xml:space="preserve"> and Detention questions</w:t>
      </w:r>
      <w:r w:rsidR="00836AFE" w:rsidRPr="006D6B01">
        <w:rPr>
          <w:rFonts w:asciiTheme="majorHAnsi" w:hAnsiTheme="majorHAnsi"/>
          <w:sz w:val="20"/>
          <w:szCs w:val="20"/>
        </w:rPr>
        <w:t xml:space="preserve"> in English, Spanish and Creole,</w:t>
      </w:r>
      <w:r w:rsidR="000413EC" w:rsidRPr="006D6B01">
        <w:rPr>
          <w:rStyle w:val="FootnoteReference"/>
          <w:rFonts w:asciiTheme="majorHAnsi" w:hAnsiTheme="majorHAnsi"/>
          <w:sz w:val="20"/>
          <w:szCs w:val="20"/>
        </w:rPr>
        <w:footnoteReference w:id="76"/>
      </w:r>
      <w:r w:rsidR="00836AFE" w:rsidRPr="006D6B01">
        <w:rPr>
          <w:rFonts w:asciiTheme="majorHAnsi" w:hAnsiTheme="majorHAnsi"/>
          <w:sz w:val="20"/>
          <w:szCs w:val="20"/>
        </w:rPr>
        <w:t xml:space="preserve"> and two forms titled Questionnaire for the determination of refugee status</w:t>
      </w:r>
      <w:r w:rsidR="007B03F2" w:rsidRPr="006D6B01">
        <w:rPr>
          <w:rFonts w:asciiTheme="majorHAnsi" w:hAnsiTheme="majorHAnsi"/>
          <w:sz w:val="20"/>
          <w:szCs w:val="20"/>
        </w:rPr>
        <w:t xml:space="preserve"> with </w:t>
      </w:r>
      <w:r w:rsidR="007E7D50" w:rsidRPr="006D6B01">
        <w:rPr>
          <w:rFonts w:asciiTheme="majorHAnsi" w:hAnsiTheme="majorHAnsi"/>
          <w:sz w:val="20"/>
          <w:szCs w:val="20"/>
        </w:rPr>
        <w:t>varying</w:t>
      </w:r>
      <w:r w:rsidR="007B03F2" w:rsidRPr="006D6B01">
        <w:rPr>
          <w:rFonts w:asciiTheme="majorHAnsi" w:hAnsiTheme="majorHAnsi"/>
          <w:sz w:val="20"/>
          <w:szCs w:val="20"/>
        </w:rPr>
        <w:t xml:space="preserve"> questions, one in English and Spanish, and another in Creole and French</w:t>
      </w:r>
      <w:r w:rsidR="00836AFE" w:rsidRPr="006D6B01">
        <w:rPr>
          <w:rFonts w:asciiTheme="majorHAnsi" w:hAnsiTheme="majorHAnsi"/>
          <w:sz w:val="20"/>
          <w:szCs w:val="20"/>
        </w:rPr>
        <w:t>.</w:t>
      </w:r>
      <w:r w:rsidR="002710B3" w:rsidRPr="006D6B01">
        <w:rPr>
          <w:rStyle w:val="FootnoteReference"/>
          <w:rFonts w:asciiTheme="majorHAnsi" w:hAnsiTheme="majorHAnsi"/>
          <w:sz w:val="20"/>
          <w:szCs w:val="20"/>
        </w:rPr>
        <w:footnoteReference w:id="77"/>
      </w:r>
      <w:r w:rsidR="007E7D50" w:rsidRPr="006D6B01">
        <w:rPr>
          <w:rFonts w:asciiTheme="majorHAnsi" w:hAnsiTheme="majorHAnsi"/>
          <w:sz w:val="20"/>
          <w:szCs w:val="20"/>
        </w:rPr>
        <w:t xml:space="preserve"> </w:t>
      </w:r>
      <w:r w:rsidR="00B87AD6" w:rsidRPr="006D6B01">
        <w:rPr>
          <w:rFonts w:asciiTheme="majorHAnsi" w:hAnsiTheme="majorHAnsi"/>
          <w:sz w:val="20"/>
          <w:szCs w:val="20"/>
        </w:rPr>
        <w:t xml:space="preserve">The State </w:t>
      </w:r>
      <w:r w:rsidR="00987877" w:rsidRPr="006D6B01">
        <w:rPr>
          <w:rFonts w:asciiTheme="majorHAnsi" w:hAnsiTheme="majorHAnsi"/>
          <w:sz w:val="20"/>
          <w:szCs w:val="20"/>
        </w:rPr>
        <w:t xml:space="preserve">asserts </w:t>
      </w:r>
      <w:r w:rsidR="002F5D3E" w:rsidRPr="006D6B01">
        <w:rPr>
          <w:rFonts w:asciiTheme="majorHAnsi" w:hAnsiTheme="majorHAnsi"/>
          <w:sz w:val="20"/>
          <w:szCs w:val="20"/>
        </w:rPr>
        <w:t>that if needed</w:t>
      </w:r>
      <w:r w:rsidR="00987877" w:rsidRPr="006D6B01">
        <w:rPr>
          <w:rFonts w:asciiTheme="majorHAnsi" w:hAnsiTheme="majorHAnsi"/>
          <w:sz w:val="20"/>
          <w:szCs w:val="20"/>
        </w:rPr>
        <w:t>,</w:t>
      </w:r>
      <w:r w:rsidR="002F5D3E" w:rsidRPr="006D6B01">
        <w:rPr>
          <w:rFonts w:asciiTheme="majorHAnsi" w:hAnsiTheme="majorHAnsi"/>
          <w:sz w:val="20"/>
          <w:szCs w:val="20"/>
        </w:rPr>
        <w:t xml:space="preserve"> Spanish</w:t>
      </w:r>
      <w:r w:rsidR="00987877" w:rsidRPr="006D6B01">
        <w:rPr>
          <w:rFonts w:asciiTheme="majorHAnsi" w:hAnsiTheme="majorHAnsi"/>
          <w:sz w:val="20"/>
          <w:szCs w:val="20"/>
        </w:rPr>
        <w:t>-</w:t>
      </w:r>
      <w:r w:rsidR="002F5D3E" w:rsidRPr="006D6B01">
        <w:rPr>
          <w:rFonts w:asciiTheme="majorHAnsi" w:hAnsiTheme="majorHAnsi"/>
          <w:sz w:val="20"/>
          <w:szCs w:val="20"/>
        </w:rPr>
        <w:t xml:space="preserve"> and Creole</w:t>
      </w:r>
      <w:r w:rsidR="00987877" w:rsidRPr="006D6B01">
        <w:rPr>
          <w:rFonts w:asciiTheme="majorHAnsi" w:hAnsiTheme="majorHAnsi"/>
          <w:sz w:val="20"/>
          <w:szCs w:val="20"/>
        </w:rPr>
        <w:t>-</w:t>
      </w:r>
      <w:r w:rsidR="002F5D3E" w:rsidRPr="006D6B01">
        <w:rPr>
          <w:rFonts w:asciiTheme="majorHAnsi" w:hAnsiTheme="majorHAnsi"/>
          <w:sz w:val="20"/>
          <w:szCs w:val="20"/>
        </w:rPr>
        <w:t>speaking Immigration Officers</w:t>
      </w:r>
      <w:r w:rsidR="00987877" w:rsidRPr="006D6B01">
        <w:rPr>
          <w:rFonts w:asciiTheme="majorHAnsi" w:hAnsiTheme="majorHAnsi"/>
          <w:sz w:val="20"/>
          <w:szCs w:val="20"/>
        </w:rPr>
        <w:t xml:space="preserve"> assist in the completion of these forms</w:t>
      </w:r>
      <w:r w:rsidR="002F5D3E" w:rsidRPr="006D6B01">
        <w:rPr>
          <w:rFonts w:asciiTheme="majorHAnsi" w:hAnsiTheme="majorHAnsi"/>
          <w:sz w:val="20"/>
          <w:szCs w:val="20"/>
        </w:rPr>
        <w:t>.</w:t>
      </w:r>
      <w:r w:rsidR="002F5D3E" w:rsidRPr="006D6B01">
        <w:rPr>
          <w:rStyle w:val="FootnoteReference"/>
          <w:rFonts w:asciiTheme="majorHAnsi" w:hAnsiTheme="majorHAnsi"/>
          <w:sz w:val="20"/>
          <w:szCs w:val="20"/>
        </w:rPr>
        <w:footnoteReference w:id="78"/>
      </w:r>
      <w:r w:rsidR="002F5D3E" w:rsidRPr="006D6B01">
        <w:rPr>
          <w:rFonts w:asciiTheme="majorHAnsi" w:hAnsiTheme="majorHAnsi"/>
          <w:sz w:val="20"/>
          <w:szCs w:val="20"/>
        </w:rPr>
        <w:t xml:space="preserve"> </w:t>
      </w:r>
    </w:p>
    <w:p w14:paraId="752AABC3" w14:textId="77777777" w:rsidR="00C579F2" w:rsidRPr="006D6B01" w:rsidRDefault="00C579F2" w:rsidP="004311FE">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jc w:val="both"/>
        <w:rPr>
          <w:rFonts w:asciiTheme="majorHAnsi" w:hAnsiTheme="majorHAnsi"/>
          <w:sz w:val="20"/>
          <w:szCs w:val="20"/>
        </w:rPr>
      </w:pPr>
    </w:p>
    <w:p w14:paraId="010C4CF5" w14:textId="4D58EE5C" w:rsidR="00320D32" w:rsidRPr="006D6B01" w:rsidRDefault="00A22B0B"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ind w:left="0" w:firstLine="0"/>
        <w:jc w:val="both"/>
        <w:rPr>
          <w:rFonts w:asciiTheme="majorHAnsi" w:hAnsiTheme="majorHAnsi"/>
          <w:sz w:val="20"/>
          <w:szCs w:val="20"/>
        </w:rPr>
      </w:pPr>
      <w:r w:rsidRPr="006D6B01">
        <w:rPr>
          <w:rFonts w:asciiTheme="majorHAnsi" w:hAnsiTheme="majorHAnsi"/>
          <w:sz w:val="20"/>
          <w:szCs w:val="20"/>
        </w:rPr>
        <w:t xml:space="preserve">The Commission found </w:t>
      </w:r>
      <w:r w:rsidR="003B0D23" w:rsidRPr="006D6B01">
        <w:rPr>
          <w:rFonts w:asciiTheme="majorHAnsi" w:hAnsiTheme="majorHAnsi"/>
          <w:sz w:val="20"/>
          <w:szCs w:val="20"/>
        </w:rPr>
        <w:t>no</w:t>
      </w:r>
      <w:r w:rsidR="00836AFE" w:rsidRPr="006D6B01">
        <w:rPr>
          <w:rFonts w:asciiTheme="majorHAnsi" w:hAnsiTheme="majorHAnsi"/>
          <w:sz w:val="20"/>
          <w:szCs w:val="20"/>
        </w:rPr>
        <w:t xml:space="preserve"> evidence </w:t>
      </w:r>
      <w:r w:rsidR="00540EE7" w:rsidRPr="006D6B01">
        <w:rPr>
          <w:rFonts w:asciiTheme="majorHAnsi" w:hAnsiTheme="majorHAnsi"/>
          <w:sz w:val="20"/>
          <w:szCs w:val="20"/>
        </w:rPr>
        <w:t>demonstrating</w:t>
      </w:r>
      <w:r w:rsidR="00C80839" w:rsidRPr="006D6B01">
        <w:rPr>
          <w:rFonts w:asciiTheme="majorHAnsi" w:hAnsiTheme="majorHAnsi"/>
          <w:sz w:val="20"/>
          <w:szCs w:val="20"/>
        </w:rPr>
        <w:t xml:space="preserve"> </w:t>
      </w:r>
      <w:r w:rsidR="00987877" w:rsidRPr="006D6B01">
        <w:rPr>
          <w:rFonts w:asciiTheme="majorHAnsi" w:hAnsiTheme="majorHAnsi"/>
          <w:sz w:val="20"/>
          <w:szCs w:val="20"/>
        </w:rPr>
        <w:t>that</w:t>
      </w:r>
      <w:r w:rsidR="00836AFE" w:rsidRPr="006D6B01">
        <w:rPr>
          <w:rFonts w:asciiTheme="majorHAnsi" w:hAnsiTheme="majorHAnsi"/>
          <w:sz w:val="20"/>
          <w:szCs w:val="20"/>
        </w:rPr>
        <w:t xml:space="preserve"> </w:t>
      </w:r>
      <w:r w:rsidR="00540EE7" w:rsidRPr="006D6B01">
        <w:rPr>
          <w:rFonts w:asciiTheme="majorHAnsi" w:hAnsiTheme="majorHAnsi"/>
          <w:sz w:val="20"/>
          <w:szCs w:val="20"/>
        </w:rPr>
        <w:t>the</w:t>
      </w:r>
      <w:r w:rsidR="00987877" w:rsidRPr="006D6B01">
        <w:rPr>
          <w:rFonts w:asciiTheme="majorHAnsi" w:hAnsiTheme="majorHAnsi"/>
          <w:sz w:val="20"/>
          <w:szCs w:val="20"/>
        </w:rPr>
        <w:t>se</w:t>
      </w:r>
      <w:r w:rsidR="00540EE7" w:rsidRPr="006D6B01">
        <w:rPr>
          <w:rFonts w:asciiTheme="majorHAnsi" w:hAnsiTheme="majorHAnsi"/>
          <w:sz w:val="20"/>
          <w:szCs w:val="20"/>
        </w:rPr>
        <w:t xml:space="preserve"> </w:t>
      </w:r>
      <w:r w:rsidR="00836AFE" w:rsidRPr="006D6B01">
        <w:rPr>
          <w:rFonts w:asciiTheme="majorHAnsi" w:hAnsiTheme="majorHAnsi"/>
          <w:sz w:val="20"/>
          <w:szCs w:val="20"/>
        </w:rPr>
        <w:t>forms</w:t>
      </w:r>
      <w:r w:rsidR="00540EE7" w:rsidRPr="006D6B01">
        <w:rPr>
          <w:rFonts w:asciiTheme="majorHAnsi" w:hAnsiTheme="majorHAnsi"/>
          <w:sz w:val="20"/>
          <w:szCs w:val="20"/>
        </w:rPr>
        <w:t xml:space="preserve"> and questionnaires </w:t>
      </w:r>
      <w:r w:rsidR="00987877" w:rsidRPr="006D6B01">
        <w:rPr>
          <w:rFonts w:asciiTheme="majorHAnsi" w:hAnsiTheme="majorHAnsi"/>
          <w:sz w:val="20"/>
          <w:szCs w:val="20"/>
        </w:rPr>
        <w:t>were provided</w:t>
      </w:r>
      <w:r w:rsidR="00DB26D5">
        <w:rPr>
          <w:rFonts w:asciiTheme="majorHAnsi" w:hAnsiTheme="majorHAnsi"/>
          <w:sz w:val="20"/>
          <w:szCs w:val="20"/>
        </w:rPr>
        <w:t xml:space="preserve"> the alleged victims</w:t>
      </w:r>
      <w:r w:rsidR="00987877" w:rsidRPr="006D6B01">
        <w:rPr>
          <w:rFonts w:asciiTheme="majorHAnsi" w:hAnsiTheme="majorHAnsi"/>
          <w:sz w:val="20"/>
          <w:szCs w:val="20"/>
        </w:rPr>
        <w:t xml:space="preserve"> </w:t>
      </w:r>
      <w:r w:rsidR="00C80839" w:rsidRPr="006D6B01">
        <w:rPr>
          <w:rFonts w:asciiTheme="majorHAnsi" w:hAnsiTheme="majorHAnsi"/>
          <w:sz w:val="20"/>
          <w:szCs w:val="20"/>
        </w:rPr>
        <w:t xml:space="preserve">or </w:t>
      </w:r>
      <w:r w:rsidR="00836AFE" w:rsidRPr="006D6B01">
        <w:rPr>
          <w:rFonts w:asciiTheme="majorHAnsi" w:hAnsiTheme="majorHAnsi"/>
          <w:sz w:val="20"/>
          <w:szCs w:val="20"/>
        </w:rPr>
        <w:t>subsequent</w:t>
      </w:r>
      <w:r w:rsidR="00987877" w:rsidRPr="006D6B01">
        <w:rPr>
          <w:rFonts w:asciiTheme="majorHAnsi" w:hAnsiTheme="majorHAnsi"/>
          <w:sz w:val="20"/>
          <w:szCs w:val="20"/>
        </w:rPr>
        <w:t>ly</w:t>
      </w:r>
      <w:r w:rsidR="00836AFE" w:rsidRPr="006D6B01">
        <w:rPr>
          <w:rFonts w:asciiTheme="majorHAnsi" w:hAnsiTheme="majorHAnsi"/>
          <w:sz w:val="20"/>
          <w:szCs w:val="20"/>
        </w:rPr>
        <w:t xml:space="preserve"> complet</w:t>
      </w:r>
      <w:r w:rsidR="00987877" w:rsidRPr="006D6B01">
        <w:rPr>
          <w:rFonts w:asciiTheme="majorHAnsi" w:hAnsiTheme="majorHAnsi"/>
          <w:sz w:val="20"/>
          <w:szCs w:val="20"/>
        </w:rPr>
        <w:t>ed</w:t>
      </w:r>
      <w:r w:rsidR="00836AFE" w:rsidRPr="006D6B01">
        <w:rPr>
          <w:rFonts w:asciiTheme="majorHAnsi" w:hAnsiTheme="majorHAnsi"/>
          <w:sz w:val="20"/>
          <w:szCs w:val="20"/>
        </w:rPr>
        <w:t xml:space="preserve"> and consider</w:t>
      </w:r>
      <w:r w:rsidR="00987877" w:rsidRPr="006D6B01">
        <w:rPr>
          <w:rFonts w:asciiTheme="majorHAnsi" w:hAnsiTheme="majorHAnsi"/>
          <w:sz w:val="20"/>
          <w:szCs w:val="20"/>
        </w:rPr>
        <w:t>ed</w:t>
      </w:r>
      <w:r w:rsidR="00C80839" w:rsidRPr="006D6B01">
        <w:rPr>
          <w:rFonts w:asciiTheme="majorHAnsi" w:hAnsiTheme="majorHAnsi"/>
          <w:sz w:val="20"/>
          <w:szCs w:val="20"/>
        </w:rPr>
        <w:t xml:space="preserve"> by the relevant authorities</w:t>
      </w:r>
      <w:r w:rsidR="007E7D50" w:rsidRPr="006D6B01">
        <w:rPr>
          <w:rFonts w:asciiTheme="majorHAnsi" w:hAnsiTheme="majorHAnsi"/>
          <w:sz w:val="20"/>
          <w:szCs w:val="20"/>
        </w:rPr>
        <w:t xml:space="preserve">, </w:t>
      </w:r>
      <w:r w:rsidR="00540EE7" w:rsidRPr="006D6B01">
        <w:rPr>
          <w:rFonts w:asciiTheme="majorHAnsi" w:hAnsiTheme="majorHAnsi"/>
          <w:sz w:val="20"/>
          <w:szCs w:val="20"/>
        </w:rPr>
        <w:t xml:space="preserve">and </w:t>
      </w:r>
      <w:r w:rsidR="000F3435" w:rsidRPr="006D6B01">
        <w:rPr>
          <w:rFonts w:asciiTheme="majorHAnsi" w:hAnsiTheme="majorHAnsi"/>
          <w:sz w:val="20"/>
          <w:szCs w:val="20"/>
        </w:rPr>
        <w:t xml:space="preserve">found </w:t>
      </w:r>
      <w:r w:rsidR="00987877" w:rsidRPr="006D6B01">
        <w:rPr>
          <w:rFonts w:asciiTheme="majorHAnsi" w:hAnsiTheme="majorHAnsi"/>
          <w:sz w:val="20"/>
          <w:szCs w:val="20"/>
        </w:rPr>
        <w:t xml:space="preserve">only </w:t>
      </w:r>
      <w:r w:rsidR="00540EE7" w:rsidRPr="006D6B01">
        <w:rPr>
          <w:rFonts w:asciiTheme="majorHAnsi" w:hAnsiTheme="majorHAnsi"/>
          <w:sz w:val="20"/>
          <w:szCs w:val="20"/>
        </w:rPr>
        <w:t xml:space="preserve">limited evidence </w:t>
      </w:r>
      <w:r w:rsidR="007E7D50" w:rsidRPr="006D6B01">
        <w:rPr>
          <w:rFonts w:asciiTheme="majorHAnsi" w:hAnsiTheme="majorHAnsi"/>
          <w:sz w:val="20"/>
          <w:szCs w:val="20"/>
        </w:rPr>
        <w:t>of interviews</w:t>
      </w:r>
      <w:r w:rsidR="00836AFE" w:rsidRPr="006D6B01">
        <w:rPr>
          <w:rFonts w:asciiTheme="majorHAnsi" w:hAnsiTheme="majorHAnsi"/>
          <w:sz w:val="20"/>
          <w:szCs w:val="20"/>
        </w:rPr>
        <w:t xml:space="preserve">. </w:t>
      </w:r>
      <w:r w:rsidR="002710B3" w:rsidRPr="006D6B01">
        <w:rPr>
          <w:rFonts w:asciiTheme="majorHAnsi" w:hAnsiTheme="majorHAnsi"/>
          <w:sz w:val="20"/>
          <w:szCs w:val="20"/>
        </w:rPr>
        <w:t>For example</w:t>
      </w:r>
      <w:r w:rsidR="00320D32" w:rsidRPr="006D6B01">
        <w:rPr>
          <w:rFonts w:asciiTheme="majorHAnsi" w:hAnsiTheme="majorHAnsi"/>
          <w:sz w:val="20"/>
          <w:szCs w:val="20"/>
        </w:rPr>
        <w:t xml:space="preserve">, alleged victim </w:t>
      </w:r>
      <w:r w:rsidR="00924923" w:rsidRPr="006D6B01">
        <w:rPr>
          <w:rFonts w:asciiTheme="majorHAnsi" w:hAnsiTheme="majorHAnsi"/>
          <w:sz w:val="20"/>
          <w:szCs w:val="20"/>
        </w:rPr>
        <w:t xml:space="preserve">Mr. Osvaldo Raimundo de Leon </w:t>
      </w:r>
      <w:proofErr w:type="spellStart"/>
      <w:r w:rsidR="00924923" w:rsidRPr="006D6B01">
        <w:rPr>
          <w:rFonts w:asciiTheme="majorHAnsi" w:hAnsiTheme="majorHAnsi"/>
          <w:sz w:val="20"/>
          <w:szCs w:val="20"/>
        </w:rPr>
        <w:t>Alpizar</w:t>
      </w:r>
      <w:proofErr w:type="spellEnd"/>
      <w:r w:rsidR="00924923" w:rsidRPr="006D6B01">
        <w:rPr>
          <w:rFonts w:asciiTheme="majorHAnsi" w:hAnsiTheme="majorHAnsi"/>
          <w:sz w:val="20"/>
          <w:szCs w:val="20"/>
        </w:rPr>
        <w:t xml:space="preserve">, who was deported </w:t>
      </w:r>
      <w:r w:rsidR="00924923" w:rsidRPr="006D6B01">
        <w:rPr>
          <w:rFonts w:asciiTheme="majorHAnsi" w:hAnsiTheme="majorHAnsi"/>
          <w:sz w:val="20"/>
          <w:szCs w:val="20"/>
        </w:rPr>
        <w:lastRenderedPageBreak/>
        <w:t>on August 18, 1998,</w:t>
      </w:r>
      <w:r w:rsidR="00924923" w:rsidRPr="006D6B01">
        <w:rPr>
          <w:rStyle w:val="FootnoteReference"/>
          <w:rFonts w:asciiTheme="majorHAnsi" w:hAnsiTheme="majorHAnsi"/>
          <w:sz w:val="20"/>
          <w:szCs w:val="20"/>
        </w:rPr>
        <w:footnoteReference w:id="79"/>
      </w:r>
      <w:r w:rsidR="00924923" w:rsidRPr="006D6B01">
        <w:rPr>
          <w:rFonts w:asciiTheme="majorHAnsi" w:hAnsiTheme="majorHAnsi"/>
          <w:sz w:val="20"/>
          <w:szCs w:val="20"/>
        </w:rPr>
        <w:t xml:space="preserve"> told an officer that he was a refugee and was told that there was nothing that they could do.</w:t>
      </w:r>
      <w:r w:rsidR="00924923" w:rsidRPr="006D6B01">
        <w:rPr>
          <w:rStyle w:val="FootnoteReference"/>
          <w:rFonts w:asciiTheme="majorHAnsi" w:hAnsiTheme="majorHAnsi"/>
          <w:sz w:val="20"/>
          <w:szCs w:val="20"/>
        </w:rPr>
        <w:footnoteReference w:id="80"/>
      </w:r>
    </w:p>
    <w:p w14:paraId="4FF102E2" w14:textId="77777777" w:rsidR="00320D32" w:rsidRPr="006D6B01" w:rsidRDefault="00320D32" w:rsidP="004311FE">
      <w:pPr>
        <w:pStyle w:val="ListParagraph"/>
        <w:tabs>
          <w:tab w:val="left" w:pos="0"/>
          <w:tab w:val="left" w:pos="360"/>
        </w:tabs>
        <w:ind w:left="0"/>
        <w:rPr>
          <w:rFonts w:asciiTheme="majorHAnsi" w:hAnsiTheme="majorHAnsi"/>
          <w:sz w:val="20"/>
          <w:szCs w:val="20"/>
        </w:rPr>
      </w:pPr>
    </w:p>
    <w:p w14:paraId="1C88BD6B" w14:textId="01ED58D1" w:rsidR="002564CD" w:rsidRDefault="00C81313"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ind w:left="0" w:firstLine="0"/>
        <w:jc w:val="both"/>
        <w:rPr>
          <w:rFonts w:asciiTheme="majorHAnsi" w:hAnsiTheme="majorHAnsi"/>
          <w:sz w:val="20"/>
          <w:szCs w:val="20"/>
        </w:rPr>
      </w:pPr>
      <w:r w:rsidRPr="006D6B01">
        <w:rPr>
          <w:rFonts w:asciiTheme="majorHAnsi" w:hAnsiTheme="majorHAnsi"/>
          <w:sz w:val="20"/>
          <w:szCs w:val="20"/>
        </w:rPr>
        <w:t>The Commi</w:t>
      </w:r>
      <w:r w:rsidR="00193C48" w:rsidRPr="006D6B01">
        <w:rPr>
          <w:rFonts w:asciiTheme="majorHAnsi" w:hAnsiTheme="majorHAnsi"/>
          <w:sz w:val="20"/>
          <w:szCs w:val="20"/>
        </w:rPr>
        <w:t xml:space="preserve">ssion observes that </w:t>
      </w:r>
      <w:r w:rsidR="00C80839" w:rsidRPr="006D6B01">
        <w:rPr>
          <w:rFonts w:asciiTheme="majorHAnsi" w:hAnsiTheme="majorHAnsi"/>
          <w:sz w:val="20"/>
          <w:szCs w:val="20"/>
        </w:rPr>
        <w:t xml:space="preserve">the </w:t>
      </w:r>
      <w:r w:rsidR="00FF629E" w:rsidRPr="006D6B01">
        <w:rPr>
          <w:rFonts w:asciiTheme="majorHAnsi" w:hAnsiTheme="majorHAnsi"/>
          <w:sz w:val="20"/>
          <w:szCs w:val="20"/>
        </w:rPr>
        <w:t xml:space="preserve">testimonies of </w:t>
      </w:r>
      <w:r w:rsidR="000961E5" w:rsidRPr="006D6B01">
        <w:rPr>
          <w:rFonts w:asciiTheme="majorHAnsi" w:hAnsiTheme="majorHAnsi"/>
          <w:sz w:val="20"/>
          <w:szCs w:val="20"/>
        </w:rPr>
        <w:t xml:space="preserve">other deported </w:t>
      </w:r>
      <w:r w:rsidR="00C80839" w:rsidRPr="006D6B01">
        <w:rPr>
          <w:rFonts w:asciiTheme="majorHAnsi" w:hAnsiTheme="majorHAnsi"/>
          <w:sz w:val="20"/>
          <w:szCs w:val="20"/>
        </w:rPr>
        <w:t xml:space="preserve">individuals </w:t>
      </w:r>
      <w:r w:rsidR="00193C48" w:rsidRPr="006D6B01">
        <w:rPr>
          <w:rFonts w:asciiTheme="majorHAnsi" w:hAnsiTheme="majorHAnsi"/>
          <w:sz w:val="20"/>
          <w:szCs w:val="20"/>
        </w:rPr>
        <w:t>–not alleged victims in the instant case</w:t>
      </w:r>
      <w:r w:rsidR="000F3435" w:rsidRPr="006D6B01">
        <w:rPr>
          <w:rFonts w:asciiTheme="majorHAnsi" w:hAnsiTheme="majorHAnsi"/>
          <w:sz w:val="20"/>
          <w:szCs w:val="20"/>
        </w:rPr>
        <w:t>–</w:t>
      </w:r>
      <w:r w:rsidR="00193C48" w:rsidRPr="006D6B01">
        <w:rPr>
          <w:rFonts w:asciiTheme="majorHAnsi" w:hAnsiTheme="majorHAnsi"/>
          <w:sz w:val="20"/>
          <w:szCs w:val="20"/>
        </w:rPr>
        <w:t xml:space="preserve"> were </w:t>
      </w:r>
      <w:r w:rsidR="00320D32" w:rsidRPr="006D6B01">
        <w:rPr>
          <w:rFonts w:asciiTheme="majorHAnsi" w:hAnsiTheme="majorHAnsi"/>
          <w:sz w:val="20"/>
          <w:szCs w:val="20"/>
        </w:rPr>
        <w:t>included</w:t>
      </w:r>
      <w:r w:rsidR="00193C48" w:rsidRPr="006D6B01">
        <w:rPr>
          <w:rFonts w:asciiTheme="majorHAnsi" w:hAnsiTheme="majorHAnsi"/>
          <w:sz w:val="20"/>
          <w:szCs w:val="20"/>
        </w:rPr>
        <w:t xml:space="preserve"> in the case file. </w:t>
      </w:r>
      <w:r w:rsidR="00AE0BA7" w:rsidRPr="006D6B01">
        <w:rPr>
          <w:rFonts w:asciiTheme="majorHAnsi" w:hAnsiTheme="majorHAnsi"/>
          <w:sz w:val="20"/>
          <w:szCs w:val="20"/>
        </w:rPr>
        <w:t>These</w:t>
      </w:r>
      <w:r w:rsidR="00193C48" w:rsidRPr="006D6B01">
        <w:rPr>
          <w:rFonts w:asciiTheme="majorHAnsi" w:hAnsiTheme="majorHAnsi"/>
          <w:sz w:val="20"/>
          <w:szCs w:val="20"/>
        </w:rPr>
        <w:t xml:space="preserve"> statements </w:t>
      </w:r>
      <w:r w:rsidR="00AE0BA7" w:rsidRPr="006D6B01">
        <w:rPr>
          <w:rFonts w:asciiTheme="majorHAnsi" w:hAnsiTheme="majorHAnsi"/>
          <w:sz w:val="20"/>
          <w:szCs w:val="20"/>
        </w:rPr>
        <w:t xml:space="preserve">highlight the existence of </w:t>
      </w:r>
      <w:r w:rsidR="007E7D50" w:rsidRPr="006D6B01">
        <w:rPr>
          <w:rFonts w:asciiTheme="majorHAnsi" w:hAnsiTheme="majorHAnsi"/>
          <w:sz w:val="20"/>
          <w:szCs w:val="20"/>
        </w:rPr>
        <w:t>some interaction with</w:t>
      </w:r>
      <w:r w:rsidR="00193C48" w:rsidRPr="006D6B01">
        <w:rPr>
          <w:rFonts w:asciiTheme="majorHAnsi" w:hAnsiTheme="majorHAnsi"/>
          <w:sz w:val="20"/>
          <w:szCs w:val="20"/>
        </w:rPr>
        <w:t xml:space="preserve"> Bahamian immigration officers</w:t>
      </w:r>
      <w:r w:rsidR="00AE0BA7" w:rsidRPr="006D6B01">
        <w:rPr>
          <w:rFonts w:asciiTheme="majorHAnsi" w:hAnsiTheme="majorHAnsi"/>
          <w:sz w:val="20"/>
          <w:szCs w:val="20"/>
        </w:rPr>
        <w:t xml:space="preserve">, the </w:t>
      </w:r>
      <w:r w:rsidR="00B84F9D" w:rsidRPr="006D6B01">
        <w:rPr>
          <w:rFonts w:asciiTheme="majorHAnsi" w:hAnsiTheme="majorHAnsi"/>
          <w:sz w:val="20"/>
          <w:szCs w:val="20"/>
        </w:rPr>
        <w:t>substandard detention conditions and the consequences of repatriation</w:t>
      </w:r>
      <w:r w:rsidR="003A10DF">
        <w:rPr>
          <w:rFonts w:asciiTheme="majorHAnsi" w:hAnsiTheme="majorHAnsi"/>
          <w:sz w:val="20"/>
          <w:szCs w:val="20"/>
        </w:rPr>
        <w:t>.</w:t>
      </w:r>
      <w:r w:rsidR="003B0D23" w:rsidRPr="006D6B01">
        <w:rPr>
          <w:rStyle w:val="FootnoteReference"/>
          <w:rFonts w:asciiTheme="majorHAnsi" w:hAnsiTheme="majorHAnsi"/>
          <w:sz w:val="20"/>
          <w:szCs w:val="20"/>
        </w:rPr>
        <w:footnoteReference w:id="81"/>
      </w:r>
      <w:r w:rsidR="003B0D23" w:rsidRPr="006D6B01">
        <w:rPr>
          <w:rFonts w:asciiTheme="majorHAnsi" w:hAnsiTheme="majorHAnsi"/>
          <w:sz w:val="20"/>
          <w:szCs w:val="20"/>
        </w:rPr>
        <w:t xml:space="preserve"> </w:t>
      </w:r>
    </w:p>
    <w:p w14:paraId="097509B2" w14:textId="77777777" w:rsidR="003A10DF" w:rsidRPr="006D6B01" w:rsidRDefault="003A10DF" w:rsidP="004311F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p>
    <w:p w14:paraId="44D7802C" w14:textId="77777777" w:rsidR="00D12193" w:rsidRPr="006D6B01" w:rsidRDefault="001E28D1" w:rsidP="004311FE">
      <w:pPr>
        <w:pStyle w:val="Heading1"/>
        <w:tabs>
          <w:tab w:val="left" w:pos="360"/>
        </w:tabs>
        <w:ind w:left="0" w:firstLine="0"/>
      </w:pPr>
      <w:bookmarkStart w:id="15" w:name="_Toc90557410"/>
      <w:r w:rsidRPr="006D6B01">
        <w:t>ANALYSIS OF LAW</w:t>
      </w:r>
      <w:bookmarkEnd w:id="15"/>
    </w:p>
    <w:p w14:paraId="1A5CEAB5" w14:textId="77777777" w:rsidR="00FD5A99" w:rsidRPr="006D6B01" w:rsidRDefault="00FD5A99" w:rsidP="004311FE">
      <w:pPr>
        <w:tabs>
          <w:tab w:val="left" w:pos="360"/>
        </w:tabs>
        <w:suppressAutoHyphens/>
        <w:rPr>
          <w:rFonts w:asciiTheme="majorHAnsi" w:hAnsiTheme="majorHAnsi"/>
          <w:b/>
          <w:sz w:val="20"/>
          <w:szCs w:val="20"/>
          <w:lang w:val="es-ES_tradnl"/>
        </w:rPr>
      </w:pPr>
    </w:p>
    <w:p w14:paraId="79A4E99B" w14:textId="77777777" w:rsidR="00F902EB" w:rsidRPr="003C2050" w:rsidRDefault="001E28D1" w:rsidP="004311FE">
      <w:pPr>
        <w:pStyle w:val="Heading2"/>
        <w:numPr>
          <w:ilvl w:val="0"/>
          <w:numId w:val="62"/>
        </w:numPr>
        <w:tabs>
          <w:tab w:val="left" w:pos="360"/>
        </w:tabs>
        <w:ind w:left="0" w:firstLine="0"/>
        <w:rPr>
          <w:lang w:val="en-US"/>
        </w:rPr>
      </w:pPr>
      <w:bookmarkStart w:id="16" w:name="_Toc90557411"/>
      <w:r w:rsidRPr="003C2050">
        <w:rPr>
          <w:lang w:val="en-US"/>
        </w:rPr>
        <w:t>P</w:t>
      </w:r>
      <w:r w:rsidR="00B530B2" w:rsidRPr="003C2050">
        <w:rPr>
          <w:lang w:val="en-US"/>
        </w:rPr>
        <w:t>reliminary considerations</w:t>
      </w:r>
      <w:r w:rsidR="0042424E" w:rsidRPr="003C2050">
        <w:rPr>
          <w:lang w:val="en-US"/>
        </w:rPr>
        <w:t xml:space="preserve"> regarding t</w:t>
      </w:r>
      <w:r w:rsidR="00D903ED" w:rsidRPr="003C2050">
        <w:rPr>
          <w:lang w:val="en-US"/>
        </w:rPr>
        <w:t xml:space="preserve">he individualization of victims and </w:t>
      </w:r>
      <w:r w:rsidR="0042424E" w:rsidRPr="003C2050">
        <w:rPr>
          <w:lang w:val="en-US"/>
        </w:rPr>
        <w:t>the application of the American Declaration</w:t>
      </w:r>
      <w:r w:rsidR="001F509F" w:rsidRPr="003C2050">
        <w:rPr>
          <w:lang w:val="en-US"/>
        </w:rPr>
        <w:t xml:space="preserve"> and </w:t>
      </w:r>
      <w:r w:rsidR="00D903ED" w:rsidRPr="003C2050">
        <w:rPr>
          <w:lang w:val="en-US"/>
        </w:rPr>
        <w:t xml:space="preserve">other relevant </w:t>
      </w:r>
      <w:r w:rsidR="001F509F" w:rsidRPr="003C2050">
        <w:rPr>
          <w:lang w:val="en-US"/>
        </w:rPr>
        <w:t>international legal instruments</w:t>
      </w:r>
      <w:bookmarkEnd w:id="16"/>
      <w:r w:rsidR="001F509F" w:rsidRPr="003C2050">
        <w:rPr>
          <w:lang w:val="en-US"/>
        </w:rPr>
        <w:t xml:space="preserve"> </w:t>
      </w:r>
    </w:p>
    <w:p w14:paraId="46A2E6EE" w14:textId="77777777" w:rsidR="008F5146" w:rsidRPr="006D6B01" w:rsidRDefault="008F5146" w:rsidP="004311F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p>
    <w:p w14:paraId="7282099B" w14:textId="2F286CE4" w:rsidR="009A5231" w:rsidRPr="006D6B01" w:rsidRDefault="003F4475"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6D6B01">
        <w:rPr>
          <w:rFonts w:asciiTheme="majorHAnsi" w:hAnsiTheme="majorHAnsi"/>
          <w:sz w:val="20"/>
          <w:szCs w:val="20"/>
        </w:rPr>
        <w:t>A</w:t>
      </w:r>
      <w:r w:rsidR="001E77B4" w:rsidRPr="006D6B01">
        <w:rPr>
          <w:rFonts w:asciiTheme="majorHAnsi" w:hAnsiTheme="majorHAnsi"/>
          <w:sz w:val="20"/>
          <w:szCs w:val="20"/>
        </w:rPr>
        <w:t>ccording to its prac</w:t>
      </w:r>
      <w:r w:rsidRPr="006D6B01">
        <w:rPr>
          <w:rFonts w:asciiTheme="majorHAnsi" w:hAnsiTheme="majorHAnsi"/>
          <w:sz w:val="20"/>
          <w:szCs w:val="20"/>
        </w:rPr>
        <w:t>tice and Rules of Procedure</w:t>
      </w:r>
      <w:r w:rsidR="002352F5" w:rsidRPr="006D6B01">
        <w:rPr>
          <w:rFonts w:asciiTheme="majorHAnsi" w:hAnsiTheme="majorHAnsi"/>
          <w:sz w:val="20"/>
          <w:szCs w:val="20"/>
        </w:rPr>
        <w:t>,</w:t>
      </w:r>
      <w:r w:rsidRPr="006D6B01">
        <w:rPr>
          <w:rFonts w:asciiTheme="majorHAnsi" w:hAnsiTheme="majorHAnsi"/>
          <w:sz w:val="20"/>
          <w:szCs w:val="20"/>
        </w:rPr>
        <w:t xml:space="preserve"> </w:t>
      </w:r>
      <w:r w:rsidR="002352F5" w:rsidRPr="006D6B01">
        <w:rPr>
          <w:rFonts w:asciiTheme="majorHAnsi" w:hAnsiTheme="majorHAnsi"/>
          <w:sz w:val="20"/>
          <w:szCs w:val="20"/>
        </w:rPr>
        <w:t xml:space="preserve">the Commission considers that </w:t>
      </w:r>
      <w:r w:rsidR="009501A8" w:rsidRPr="006D6B01">
        <w:rPr>
          <w:rFonts w:asciiTheme="majorHAnsi" w:hAnsiTheme="majorHAnsi"/>
          <w:sz w:val="20"/>
          <w:szCs w:val="20"/>
        </w:rPr>
        <w:t xml:space="preserve">it </w:t>
      </w:r>
      <w:r w:rsidR="002352F5" w:rsidRPr="006D6B01">
        <w:rPr>
          <w:rFonts w:asciiTheme="majorHAnsi" w:hAnsiTheme="majorHAnsi"/>
          <w:sz w:val="20"/>
          <w:szCs w:val="20"/>
        </w:rPr>
        <w:t xml:space="preserve">is well established within the Inter-American System that </w:t>
      </w:r>
      <w:r w:rsidRPr="006D6B01">
        <w:rPr>
          <w:rFonts w:asciiTheme="majorHAnsi" w:hAnsiTheme="majorHAnsi"/>
          <w:sz w:val="20"/>
          <w:szCs w:val="20"/>
        </w:rPr>
        <w:t xml:space="preserve">the names of victims </w:t>
      </w:r>
      <w:r w:rsidR="006C1B67" w:rsidRPr="006D6B01">
        <w:rPr>
          <w:rFonts w:asciiTheme="majorHAnsi" w:hAnsiTheme="majorHAnsi"/>
          <w:sz w:val="20"/>
          <w:szCs w:val="20"/>
        </w:rPr>
        <w:t>should</w:t>
      </w:r>
      <w:r w:rsidRPr="006D6B01">
        <w:rPr>
          <w:rFonts w:asciiTheme="majorHAnsi" w:hAnsiTheme="majorHAnsi"/>
          <w:sz w:val="20"/>
          <w:szCs w:val="20"/>
        </w:rPr>
        <w:t xml:space="preserve"> be</w:t>
      </w:r>
      <w:r w:rsidR="001E77B4" w:rsidRPr="006D6B01">
        <w:rPr>
          <w:rFonts w:asciiTheme="majorHAnsi" w:hAnsiTheme="majorHAnsi"/>
          <w:sz w:val="20"/>
          <w:szCs w:val="20"/>
        </w:rPr>
        <w:t xml:space="preserve"> </w:t>
      </w:r>
      <w:r w:rsidRPr="006D6B01">
        <w:rPr>
          <w:rFonts w:asciiTheme="majorHAnsi" w:hAnsiTheme="majorHAnsi"/>
          <w:sz w:val="20"/>
          <w:szCs w:val="20"/>
        </w:rPr>
        <w:t xml:space="preserve">provided by the </w:t>
      </w:r>
      <w:r w:rsidR="001E77B4" w:rsidRPr="006D6B01">
        <w:rPr>
          <w:rFonts w:asciiTheme="majorHAnsi" w:hAnsiTheme="majorHAnsi"/>
          <w:sz w:val="20"/>
          <w:szCs w:val="20"/>
        </w:rPr>
        <w:t>petitioners</w:t>
      </w:r>
      <w:r w:rsidRPr="006D6B01">
        <w:rPr>
          <w:rFonts w:asciiTheme="majorHAnsi" w:hAnsiTheme="majorHAnsi"/>
          <w:sz w:val="20"/>
          <w:szCs w:val="20"/>
        </w:rPr>
        <w:t xml:space="preserve">. </w:t>
      </w:r>
      <w:r w:rsidR="008C132B" w:rsidRPr="006D6B01">
        <w:rPr>
          <w:rFonts w:asciiTheme="majorHAnsi" w:hAnsiTheme="majorHAnsi"/>
          <w:sz w:val="20"/>
          <w:szCs w:val="20"/>
        </w:rPr>
        <w:t>Notwithstanding</w:t>
      </w:r>
      <w:r w:rsidR="00827B5D" w:rsidRPr="006D6B01">
        <w:rPr>
          <w:rFonts w:asciiTheme="majorHAnsi" w:hAnsiTheme="majorHAnsi"/>
          <w:sz w:val="20"/>
          <w:szCs w:val="20"/>
        </w:rPr>
        <w:t>,</w:t>
      </w:r>
      <w:r w:rsidR="008C132B" w:rsidRPr="006D6B01">
        <w:rPr>
          <w:rFonts w:asciiTheme="majorHAnsi" w:hAnsiTheme="majorHAnsi"/>
          <w:sz w:val="20"/>
          <w:szCs w:val="20"/>
        </w:rPr>
        <w:t xml:space="preserve"> the Commission </w:t>
      </w:r>
      <w:r w:rsidR="006C1B67" w:rsidRPr="006D6B01">
        <w:rPr>
          <w:rFonts w:asciiTheme="majorHAnsi" w:hAnsiTheme="majorHAnsi"/>
          <w:sz w:val="20"/>
          <w:szCs w:val="20"/>
        </w:rPr>
        <w:t xml:space="preserve">recognizes that it </w:t>
      </w:r>
      <w:r w:rsidR="008C132B" w:rsidRPr="006D6B01">
        <w:rPr>
          <w:rFonts w:asciiTheme="majorHAnsi" w:hAnsiTheme="majorHAnsi"/>
          <w:sz w:val="20"/>
          <w:szCs w:val="20"/>
        </w:rPr>
        <w:t xml:space="preserve">has </w:t>
      </w:r>
      <w:r w:rsidR="006C1B67" w:rsidRPr="006D6B01">
        <w:rPr>
          <w:rFonts w:asciiTheme="majorHAnsi" w:hAnsiTheme="majorHAnsi"/>
          <w:sz w:val="20"/>
          <w:szCs w:val="20"/>
        </w:rPr>
        <w:t xml:space="preserve">considered </w:t>
      </w:r>
      <w:r w:rsidR="008C132B" w:rsidRPr="006D6B01">
        <w:rPr>
          <w:rFonts w:asciiTheme="majorHAnsi" w:hAnsiTheme="majorHAnsi"/>
          <w:sz w:val="20"/>
          <w:szCs w:val="20"/>
        </w:rPr>
        <w:t xml:space="preserve">cases presented on behalf of groups of victims </w:t>
      </w:r>
      <w:r w:rsidR="006C1B67" w:rsidRPr="006D6B01">
        <w:rPr>
          <w:rFonts w:asciiTheme="majorHAnsi" w:hAnsiTheme="majorHAnsi"/>
          <w:sz w:val="20"/>
          <w:szCs w:val="20"/>
        </w:rPr>
        <w:t xml:space="preserve">where </w:t>
      </w:r>
      <w:r w:rsidR="008C132B" w:rsidRPr="006D6B01">
        <w:rPr>
          <w:rFonts w:asciiTheme="majorHAnsi" w:hAnsiTheme="majorHAnsi"/>
          <w:sz w:val="20"/>
          <w:szCs w:val="20"/>
        </w:rPr>
        <w:t xml:space="preserve">the group was specific and defined and the individuals </w:t>
      </w:r>
      <w:r w:rsidR="001164B6" w:rsidRPr="006D6B01">
        <w:rPr>
          <w:rFonts w:asciiTheme="majorHAnsi" w:hAnsiTheme="majorHAnsi"/>
          <w:sz w:val="20"/>
          <w:szCs w:val="20"/>
        </w:rPr>
        <w:t xml:space="preserve">who </w:t>
      </w:r>
      <w:r w:rsidR="008C132B" w:rsidRPr="006D6B01">
        <w:rPr>
          <w:rFonts w:asciiTheme="majorHAnsi" w:hAnsiTheme="majorHAnsi"/>
          <w:sz w:val="20"/>
          <w:szCs w:val="20"/>
        </w:rPr>
        <w:t>compris</w:t>
      </w:r>
      <w:r w:rsidR="001164B6" w:rsidRPr="006D6B01">
        <w:rPr>
          <w:rFonts w:asciiTheme="majorHAnsi" w:hAnsiTheme="majorHAnsi"/>
          <w:sz w:val="20"/>
          <w:szCs w:val="20"/>
        </w:rPr>
        <w:t>e</w:t>
      </w:r>
      <w:r w:rsidR="008C132B" w:rsidRPr="006D6B01">
        <w:rPr>
          <w:rFonts w:asciiTheme="majorHAnsi" w:hAnsiTheme="majorHAnsi"/>
          <w:sz w:val="20"/>
          <w:szCs w:val="20"/>
        </w:rPr>
        <w:t xml:space="preserve"> it could be determined, </w:t>
      </w:r>
      <w:r w:rsidR="006C1B67" w:rsidRPr="006D6B01">
        <w:rPr>
          <w:rFonts w:asciiTheme="majorHAnsi" w:hAnsiTheme="majorHAnsi"/>
          <w:sz w:val="20"/>
          <w:szCs w:val="20"/>
        </w:rPr>
        <w:t>such as</w:t>
      </w:r>
      <w:r w:rsidR="008C132B" w:rsidRPr="006D6B01">
        <w:rPr>
          <w:rFonts w:asciiTheme="majorHAnsi" w:hAnsiTheme="majorHAnsi"/>
          <w:sz w:val="20"/>
          <w:szCs w:val="20"/>
        </w:rPr>
        <w:t xml:space="preserve"> </w:t>
      </w:r>
      <w:r w:rsidR="006C1B67" w:rsidRPr="006D6B01">
        <w:rPr>
          <w:rFonts w:asciiTheme="majorHAnsi" w:hAnsiTheme="majorHAnsi"/>
          <w:sz w:val="20"/>
          <w:szCs w:val="20"/>
        </w:rPr>
        <w:t xml:space="preserve">a </w:t>
      </w:r>
      <w:r w:rsidR="008C132B" w:rsidRPr="006D6B01">
        <w:rPr>
          <w:rFonts w:asciiTheme="majorHAnsi" w:hAnsiTheme="majorHAnsi"/>
          <w:sz w:val="20"/>
          <w:szCs w:val="20"/>
        </w:rPr>
        <w:t xml:space="preserve">case </w:t>
      </w:r>
      <w:r w:rsidR="006C1B67" w:rsidRPr="006D6B01">
        <w:rPr>
          <w:rFonts w:asciiTheme="majorHAnsi" w:hAnsiTheme="majorHAnsi"/>
          <w:sz w:val="20"/>
          <w:szCs w:val="20"/>
        </w:rPr>
        <w:t xml:space="preserve">involving </w:t>
      </w:r>
      <w:r w:rsidR="008C132B" w:rsidRPr="006D6B01">
        <w:rPr>
          <w:rFonts w:asciiTheme="majorHAnsi" w:hAnsiTheme="majorHAnsi"/>
          <w:sz w:val="20"/>
          <w:szCs w:val="20"/>
        </w:rPr>
        <w:t>members of a specific community</w:t>
      </w:r>
      <w:r w:rsidR="003E74A4" w:rsidRPr="006D6B01">
        <w:rPr>
          <w:rFonts w:asciiTheme="majorHAnsi" w:hAnsiTheme="majorHAnsi"/>
          <w:sz w:val="20"/>
          <w:szCs w:val="20"/>
        </w:rPr>
        <w:t>.</w:t>
      </w:r>
      <w:r w:rsidR="008C132B" w:rsidRPr="006D6B01">
        <w:rPr>
          <w:rStyle w:val="FootnoteReference"/>
          <w:rFonts w:asciiTheme="majorHAnsi" w:hAnsiTheme="majorHAnsi"/>
          <w:sz w:val="20"/>
          <w:szCs w:val="20"/>
        </w:rPr>
        <w:footnoteReference w:id="82"/>
      </w:r>
      <w:r w:rsidR="008C132B" w:rsidRPr="006D6B01">
        <w:rPr>
          <w:rFonts w:asciiTheme="majorHAnsi" w:hAnsiTheme="majorHAnsi"/>
          <w:sz w:val="20"/>
          <w:szCs w:val="20"/>
        </w:rPr>
        <w:t xml:space="preserve"> </w:t>
      </w:r>
      <w:r w:rsidR="001164B6" w:rsidRPr="006D6B01">
        <w:rPr>
          <w:rFonts w:asciiTheme="majorHAnsi" w:hAnsiTheme="majorHAnsi"/>
          <w:sz w:val="20"/>
          <w:szCs w:val="20"/>
        </w:rPr>
        <w:t xml:space="preserve">In this case, </w:t>
      </w:r>
      <w:r w:rsidR="00C9140B" w:rsidRPr="006D6B01">
        <w:rPr>
          <w:rFonts w:asciiTheme="majorHAnsi" w:hAnsiTheme="majorHAnsi"/>
          <w:sz w:val="20"/>
          <w:szCs w:val="20"/>
        </w:rPr>
        <w:t>the chapter on findings of fact</w:t>
      </w:r>
      <w:r w:rsidR="006C1B67" w:rsidRPr="006D6B01">
        <w:rPr>
          <w:rFonts w:asciiTheme="majorHAnsi" w:hAnsiTheme="majorHAnsi"/>
          <w:sz w:val="20"/>
          <w:szCs w:val="20"/>
        </w:rPr>
        <w:t xml:space="preserve"> demonstrates that</w:t>
      </w:r>
      <w:r w:rsidR="008C132B" w:rsidRPr="006D6B01">
        <w:rPr>
          <w:rFonts w:asciiTheme="majorHAnsi" w:hAnsiTheme="majorHAnsi"/>
          <w:sz w:val="20"/>
          <w:szCs w:val="20"/>
        </w:rPr>
        <w:t xml:space="preserve"> </w:t>
      </w:r>
      <w:r w:rsidR="00EE282D">
        <w:rPr>
          <w:rFonts w:asciiTheme="majorHAnsi" w:hAnsiTheme="majorHAnsi"/>
          <w:sz w:val="20"/>
          <w:szCs w:val="20"/>
        </w:rPr>
        <w:t xml:space="preserve">not </w:t>
      </w:r>
      <w:r w:rsidR="00BC57E9">
        <w:rPr>
          <w:rFonts w:asciiTheme="majorHAnsi" w:hAnsiTheme="majorHAnsi"/>
          <w:sz w:val="20"/>
          <w:szCs w:val="20"/>
        </w:rPr>
        <w:t xml:space="preserve">all of the </w:t>
      </w:r>
      <w:r w:rsidR="009501A8" w:rsidRPr="006D6B01">
        <w:rPr>
          <w:rFonts w:asciiTheme="majorHAnsi" w:hAnsiTheme="majorHAnsi"/>
          <w:sz w:val="20"/>
          <w:szCs w:val="20"/>
        </w:rPr>
        <w:t xml:space="preserve">alleged </w:t>
      </w:r>
      <w:r w:rsidRPr="006D6B01">
        <w:rPr>
          <w:rFonts w:asciiTheme="majorHAnsi" w:hAnsiTheme="majorHAnsi"/>
          <w:sz w:val="20"/>
          <w:szCs w:val="20"/>
        </w:rPr>
        <w:t>victims have been individualized</w:t>
      </w:r>
      <w:r w:rsidR="008C132B" w:rsidRPr="006D6B01">
        <w:rPr>
          <w:rFonts w:asciiTheme="majorHAnsi" w:hAnsiTheme="majorHAnsi"/>
          <w:sz w:val="20"/>
          <w:szCs w:val="20"/>
        </w:rPr>
        <w:t xml:space="preserve"> and </w:t>
      </w:r>
      <w:r w:rsidR="003E74A4" w:rsidRPr="006D6B01">
        <w:rPr>
          <w:rFonts w:asciiTheme="majorHAnsi" w:hAnsiTheme="majorHAnsi"/>
          <w:sz w:val="20"/>
          <w:szCs w:val="20"/>
        </w:rPr>
        <w:t xml:space="preserve">that </w:t>
      </w:r>
      <w:r w:rsidR="008C132B" w:rsidRPr="006D6B01">
        <w:rPr>
          <w:rFonts w:asciiTheme="majorHAnsi" w:hAnsiTheme="majorHAnsi"/>
          <w:sz w:val="20"/>
          <w:szCs w:val="20"/>
        </w:rPr>
        <w:t xml:space="preserve">no specific information </w:t>
      </w:r>
      <w:r w:rsidR="009501A8" w:rsidRPr="006D6B01">
        <w:rPr>
          <w:rFonts w:asciiTheme="majorHAnsi" w:hAnsiTheme="majorHAnsi"/>
          <w:sz w:val="20"/>
          <w:szCs w:val="20"/>
        </w:rPr>
        <w:t xml:space="preserve">to </w:t>
      </w:r>
      <w:r w:rsidR="002A1B5D" w:rsidRPr="006D6B01">
        <w:rPr>
          <w:rFonts w:asciiTheme="majorHAnsi" w:hAnsiTheme="majorHAnsi"/>
          <w:sz w:val="20"/>
          <w:szCs w:val="20"/>
        </w:rPr>
        <w:t xml:space="preserve">facilitate the </w:t>
      </w:r>
      <w:r w:rsidR="009501A8" w:rsidRPr="006D6B01">
        <w:rPr>
          <w:rFonts w:asciiTheme="majorHAnsi" w:hAnsiTheme="majorHAnsi"/>
          <w:sz w:val="20"/>
          <w:szCs w:val="20"/>
        </w:rPr>
        <w:t>identif</w:t>
      </w:r>
      <w:r w:rsidR="002A1B5D" w:rsidRPr="006D6B01">
        <w:rPr>
          <w:rFonts w:asciiTheme="majorHAnsi" w:hAnsiTheme="majorHAnsi"/>
          <w:sz w:val="20"/>
          <w:szCs w:val="20"/>
        </w:rPr>
        <w:t>ication</w:t>
      </w:r>
      <w:r w:rsidR="009501A8" w:rsidRPr="006D6B01">
        <w:rPr>
          <w:rFonts w:asciiTheme="majorHAnsi" w:hAnsiTheme="majorHAnsi"/>
          <w:sz w:val="20"/>
          <w:szCs w:val="20"/>
        </w:rPr>
        <w:t xml:space="preserve"> </w:t>
      </w:r>
      <w:r w:rsidRPr="006D6B01">
        <w:rPr>
          <w:rFonts w:asciiTheme="majorHAnsi" w:hAnsiTheme="majorHAnsi"/>
          <w:sz w:val="20"/>
          <w:szCs w:val="20"/>
        </w:rPr>
        <w:t xml:space="preserve">of the remaining </w:t>
      </w:r>
      <w:r w:rsidR="00FF3382" w:rsidRPr="006D6B01">
        <w:rPr>
          <w:rFonts w:asciiTheme="majorHAnsi" w:hAnsiTheme="majorHAnsi"/>
          <w:sz w:val="20"/>
          <w:szCs w:val="20"/>
        </w:rPr>
        <w:t>has been provided by the parties</w:t>
      </w:r>
      <w:r w:rsidR="00FF43C1" w:rsidRPr="006D6B01">
        <w:rPr>
          <w:rFonts w:asciiTheme="majorHAnsi" w:hAnsiTheme="majorHAnsi"/>
          <w:sz w:val="20"/>
          <w:szCs w:val="20"/>
        </w:rPr>
        <w:t>.</w:t>
      </w:r>
    </w:p>
    <w:p w14:paraId="01B774A7" w14:textId="77777777" w:rsidR="00FF43C1" w:rsidRPr="006D6B01" w:rsidRDefault="00FF43C1" w:rsidP="004311F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p>
    <w:p w14:paraId="7602C929" w14:textId="77777777" w:rsidR="00FF43C1" w:rsidRPr="006D6B01" w:rsidRDefault="003116EC"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6D6B01">
        <w:rPr>
          <w:rFonts w:asciiTheme="majorHAnsi" w:hAnsiTheme="majorHAnsi"/>
          <w:sz w:val="20"/>
          <w:szCs w:val="20"/>
        </w:rPr>
        <w:t>T</w:t>
      </w:r>
      <w:r w:rsidR="00FF43C1" w:rsidRPr="006D6B01">
        <w:rPr>
          <w:rFonts w:asciiTheme="majorHAnsi" w:hAnsiTheme="majorHAnsi"/>
          <w:sz w:val="20"/>
          <w:szCs w:val="20"/>
        </w:rPr>
        <w:t>he Commission recalls that when an individual is</w:t>
      </w:r>
      <w:r w:rsidR="00D204AC" w:rsidRPr="006D6B01">
        <w:rPr>
          <w:rFonts w:asciiTheme="majorHAnsi" w:hAnsiTheme="majorHAnsi"/>
          <w:sz w:val="20"/>
          <w:szCs w:val="20"/>
        </w:rPr>
        <w:t xml:space="preserve"> taken into</w:t>
      </w:r>
      <w:r w:rsidR="00FF43C1" w:rsidRPr="006D6B01">
        <w:rPr>
          <w:rFonts w:asciiTheme="majorHAnsi" w:hAnsiTheme="majorHAnsi"/>
          <w:sz w:val="20"/>
          <w:szCs w:val="20"/>
        </w:rPr>
        <w:t xml:space="preserve"> </w:t>
      </w:r>
      <w:r w:rsidR="00D204AC" w:rsidRPr="006D6B01">
        <w:rPr>
          <w:rFonts w:asciiTheme="majorHAnsi" w:hAnsiTheme="majorHAnsi"/>
          <w:sz w:val="20"/>
          <w:szCs w:val="20"/>
        </w:rPr>
        <w:t xml:space="preserve">custody and </w:t>
      </w:r>
      <w:r w:rsidR="00827B5D" w:rsidRPr="006D6B01">
        <w:rPr>
          <w:rFonts w:asciiTheme="majorHAnsi" w:hAnsiTheme="majorHAnsi"/>
          <w:sz w:val="20"/>
          <w:szCs w:val="20"/>
        </w:rPr>
        <w:t xml:space="preserve">placed </w:t>
      </w:r>
      <w:r w:rsidR="00D204AC" w:rsidRPr="006D6B01">
        <w:rPr>
          <w:rFonts w:asciiTheme="majorHAnsi" w:hAnsiTheme="majorHAnsi"/>
          <w:sz w:val="20"/>
          <w:szCs w:val="20"/>
        </w:rPr>
        <w:t xml:space="preserve">under the exclusive control of </w:t>
      </w:r>
      <w:r w:rsidRPr="006D6B01">
        <w:rPr>
          <w:rFonts w:asciiTheme="majorHAnsi" w:hAnsiTheme="majorHAnsi"/>
          <w:sz w:val="20"/>
          <w:szCs w:val="20"/>
        </w:rPr>
        <w:t xml:space="preserve">a </w:t>
      </w:r>
      <w:r w:rsidR="00D204AC" w:rsidRPr="006D6B01">
        <w:rPr>
          <w:rFonts w:asciiTheme="majorHAnsi" w:hAnsiTheme="majorHAnsi"/>
          <w:sz w:val="20"/>
          <w:szCs w:val="20"/>
        </w:rPr>
        <w:t>State</w:t>
      </w:r>
      <w:r w:rsidR="006C1B67" w:rsidRPr="006D6B01">
        <w:rPr>
          <w:rFonts w:asciiTheme="majorHAnsi" w:hAnsiTheme="majorHAnsi"/>
          <w:sz w:val="20"/>
          <w:szCs w:val="20"/>
        </w:rPr>
        <w:t>,</w:t>
      </w:r>
      <w:r w:rsidR="00D204AC" w:rsidRPr="006D6B01">
        <w:rPr>
          <w:rFonts w:asciiTheme="majorHAnsi" w:hAnsiTheme="majorHAnsi"/>
          <w:sz w:val="20"/>
          <w:szCs w:val="20"/>
        </w:rPr>
        <w:t xml:space="preserve"> </w:t>
      </w:r>
      <w:r w:rsidR="0066176A" w:rsidRPr="006D6B01">
        <w:rPr>
          <w:rFonts w:asciiTheme="majorHAnsi" w:hAnsiTheme="majorHAnsi"/>
          <w:sz w:val="20"/>
          <w:szCs w:val="20"/>
        </w:rPr>
        <w:t>it holds the</w:t>
      </w:r>
      <w:r w:rsidR="008538A0" w:rsidRPr="006D6B01">
        <w:rPr>
          <w:rFonts w:asciiTheme="majorHAnsi" w:hAnsiTheme="majorHAnsi"/>
          <w:sz w:val="20"/>
          <w:szCs w:val="20"/>
        </w:rPr>
        <w:t xml:space="preserve"> burden of proof </w:t>
      </w:r>
      <w:r w:rsidR="0066176A" w:rsidRPr="006D6B01">
        <w:rPr>
          <w:rFonts w:asciiTheme="majorHAnsi" w:hAnsiTheme="majorHAnsi"/>
          <w:sz w:val="20"/>
          <w:szCs w:val="20"/>
        </w:rPr>
        <w:t>as</w:t>
      </w:r>
      <w:r w:rsidR="008538A0" w:rsidRPr="006D6B01">
        <w:rPr>
          <w:rFonts w:asciiTheme="majorHAnsi" w:hAnsiTheme="majorHAnsi"/>
          <w:sz w:val="20"/>
          <w:szCs w:val="20"/>
        </w:rPr>
        <w:t xml:space="preserve"> the guarantor of </w:t>
      </w:r>
      <w:r w:rsidR="0066176A" w:rsidRPr="006D6B01">
        <w:rPr>
          <w:rFonts w:asciiTheme="majorHAnsi" w:hAnsiTheme="majorHAnsi"/>
          <w:sz w:val="20"/>
          <w:szCs w:val="20"/>
        </w:rPr>
        <w:t>the individual’s</w:t>
      </w:r>
      <w:r w:rsidRPr="006D6B01">
        <w:rPr>
          <w:rFonts w:asciiTheme="majorHAnsi" w:hAnsiTheme="majorHAnsi"/>
          <w:sz w:val="20"/>
          <w:szCs w:val="20"/>
        </w:rPr>
        <w:t xml:space="preserve"> </w:t>
      </w:r>
      <w:r w:rsidR="008538A0" w:rsidRPr="006D6B01">
        <w:rPr>
          <w:rFonts w:asciiTheme="majorHAnsi" w:hAnsiTheme="majorHAnsi"/>
          <w:sz w:val="20"/>
          <w:szCs w:val="20"/>
        </w:rPr>
        <w:t xml:space="preserve">safety and rights. </w:t>
      </w:r>
      <w:r w:rsidR="002A1B5D" w:rsidRPr="006D6B01">
        <w:rPr>
          <w:rFonts w:asciiTheme="majorHAnsi" w:hAnsiTheme="majorHAnsi"/>
          <w:sz w:val="20"/>
          <w:szCs w:val="20"/>
        </w:rPr>
        <w:t>This is because</w:t>
      </w:r>
      <w:r w:rsidR="008538A0" w:rsidRPr="006D6B01">
        <w:rPr>
          <w:rFonts w:asciiTheme="majorHAnsi" w:hAnsiTheme="majorHAnsi"/>
          <w:sz w:val="20"/>
          <w:szCs w:val="20"/>
        </w:rPr>
        <w:t xml:space="preserve"> the State has exclusive control over information </w:t>
      </w:r>
      <w:r w:rsidR="003E74A4" w:rsidRPr="006D6B01">
        <w:rPr>
          <w:rFonts w:asciiTheme="majorHAnsi" w:hAnsiTheme="majorHAnsi"/>
          <w:sz w:val="20"/>
          <w:szCs w:val="20"/>
        </w:rPr>
        <w:t>and</w:t>
      </w:r>
      <w:r w:rsidR="008538A0" w:rsidRPr="006D6B01">
        <w:rPr>
          <w:rFonts w:asciiTheme="majorHAnsi" w:hAnsiTheme="majorHAnsi"/>
          <w:sz w:val="20"/>
          <w:szCs w:val="20"/>
        </w:rPr>
        <w:t xml:space="preserve"> evidence regarding the fate of the detained </w:t>
      </w:r>
      <w:r w:rsidRPr="006D6B01">
        <w:rPr>
          <w:rFonts w:asciiTheme="majorHAnsi" w:hAnsiTheme="majorHAnsi"/>
          <w:sz w:val="20"/>
          <w:szCs w:val="20"/>
        </w:rPr>
        <w:t>individual</w:t>
      </w:r>
      <w:r w:rsidR="002A1B5D" w:rsidRPr="006D6B01">
        <w:rPr>
          <w:rFonts w:asciiTheme="majorHAnsi" w:hAnsiTheme="majorHAnsi"/>
          <w:sz w:val="20"/>
          <w:szCs w:val="20"/>
        </w:rPr>
        <w:t>.</w:t>
      </w:r>
      <w:r w:rsidR="008538A0" w:rsidRPr="006D6B01">
        <w:rPr>
          <w:rStyle w:val="FootnoteReference"/>
          <w:rFonts w:asciiTheme="majorHAnsi" w:hAnsiTheme="majorHAnsi"/>
          <w:sz w:val="20"/>
          <w:szCs w:val="20"/>
        </w:rPr>
        <w:footnoteReference w:id="83"/>
      </w:r>
      <w:r w:rsidR="008538A0" w:rsidRPr="006D6B01">
        <w:rPr>
          <w:rFonts w:asciiTheme="majorHAnsi" w:hAnsiTheme="majorHAnsi"/>
          <w:sz w:val="20"/>
          <w:szCs w:val="20"/>
        </w:rPr>
        <w:t> </w:t>
      </w:r>
      <w:r w:rsidR="0066176A" w:rsidRPr="006D6B01">
        <w:rPr>
          <w:rFonts w:ascii="Cambria" w:hAnsi="Cambria"/>
          <w:sz w:val="20"/>
          <w:szCs w:val="20"/>
        </w:rPr>
        <w:t>T</w:t>
      </w:r>
      <w:r w:rsidR="005964DB" w:rsidRPr="006D6B01">
        <w:rPr>
          <w:rFonts w:ascii="Cambria" w:hAnsi="Cambria"/>
          <w:sz w:val="20"/>
          <w:szCs w:val="20"/>
        </w:rPr>
        <w:t xml:space="preserve">he Commission </w:t>
      </w:r>
      <w:r w:rsidR="0066176A" w:rsidRPr="006D6B01">
        <w:rPr>
          <w:rFonts w:ascii="Cambria" w:hAnsi="Cambria"/>
          <w:sz w:val="20"/>
          <w:szCs w:val="20"/>
        </w:rPr>
        <w:t xml:space="preserve">also </w:t>
      </w:r>
      <w:r w:rsidR="003E74A4" w:rsidRPr="006D6B01">
        <w:rPr>
          <w:rFonts w:ascii="Cambria" w:hAnsi="Cambria"/>
          <w:sz w:val="20"/>
          <w:szCs w:val="20"/>
        </w:rPr>
        <w:t>notes</w:t>
      </w:r>
      <w:r w:rsidR="005964DB" w:rsidRPr="006D6B01">
        <w:rPr>
          <w:rFonts w:ascii="Cambria" w:hAnsi="Cambria"/>
          <w:sz w:val="20"/>
          <w:szCs w:val="20"/>
        </w:rPr>
        <w:t xml:space="preserve"> that human rights violations committed against migrants often go unpunished, </w:t>
      </w:r>
      <w:r w:rsidR="005964DB" w:rsidRPr="00202485">
        <w:rPr>
          <w:rFonts w:ascii="Cambria" w:hAnsi="Cambria"/>
          <w:i/>
          <w:sz w:val="20"/>
          <w:szCs w:val="20"/>
        </w:rPr>
        <w:t>inter alia</w:t>
      </w:r>
      <w:r w:rsidR="005964DB" w:rsidRPr="006D6B01">
        <w:rPr>
          <w:rFonts w:ascii="Cambria" w:hAnsi="Cambria"/>
          <w:sz w:val="20"/>
          <w:szCs w:val="20"/>
        </w:rPr>
        <w:t xml:space="preserve">, due to cultural factors that justify them, </w:t>
      </w:r>
      <w:r w:rsidR="003E74A4" w:rsidRPr="006D6B01">
        <w:rPr>
          <w:rFonts w:ascii="Cambria" w:hAnsi="Cambria"/>
          <w:sz w:val="20"/>
          <w:szCs w:val="20"/>
        </w:rPr>
        <w:t>a</w:t>
      </w:r>
      <w:r w:rsidR="005964DB" w:rsidRPr="006D6B01">
        <w:rPr>
          <w:rFonts w:ascii="Cambria" w:hAnsi="Cambria"/>
          <w:sz w:val="20"/>
          <w:szCs w:val="20"/>
        </w:rPr>
        <w:t xml:space="preserve"> lack of access to power structures in a given society and the legal and practical obstacles that make effective access to justice illusory.</w:t>
      </w:r>
      <w:r w:rsidR="005964DB" w:rsidRPr="006D6B01">
        <w:rPr>
          <w:rStyle w:val="FootnoteReference"/>
          <w:rFonts w:ascii="Cambria" w:hAnsi="Cambria"/>
          <w:sz w:val="20"/>
          <w:szCs w:val="20"/>
        </w:rPr>
        <w:footnoteReference w:id="84"/>
      </w:r>
    </w:p>
    <w:p w14:paraId="63EC2753" w14:textId="77777777" w:rsidR="009A5231" w:rsidRPr="006D6B01" w:rsidRDefault="009A5231" w:rsidP="004311F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p>
    <w:p w14:paraId="75AD8E9D" w14:textId="3CE6203A" w:rsidR="0029021F" w:rsidRPr="006D6B01" w:rsidRDefault="000F5C7E"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b/>
          <w:sz w:val="20"/>
          <w:szCs w:val="20"/>
        </w:rPr>
      </w:pPr>
      <w:r w:rsidRPr="006D6B01">
        <w:rPr>
          <w:rFonts w:asciiTheme="majorHAnsi" w:hAnsiTheme="majorHAnsi"/>
          <w:sz w:val="20"/>
          <w:szCs w:val="20"/>
        </w:rPr>
        <w:t xml:space="preserve">The Commission observes, more specifically, that in this case there are a number of complex circumstances that make it difficult to identify the </w:t>
      </w:r>
      <w:r w:rsidR="003116EC" w:rsidRPr="006D6B01">
        <w:rPr>
          <w:rFonts w:asciiTheme="majorHAnsi" w:hAnsiTheme="majorHAnsi"/>
          <w:sz w:val="20"/>
          <w:szCs w:val="20"/>
        </w:rPr>
        <w:t xml:space="preserve">alleged </w:t>
      </w:r>
      <w:r w:rsidRPr="006D6B01">
        <w:rPr>
          <w:rFonts w:asciiTheme="majorHAnsi" w:hAnsiTheme="majorHAnsi"/>
          <w:sz w:val="20"/>
          <w:szCs w:val="20"/>
        </w:rPr>
        <w:t>victims</w:t>
      </w:r>
      <w:r w:rsidR="000474CB" w:rsidRPr="006D6B01">
        <w:rPr>
          <w:rFonts w:asciiTheme="majorHAnsi" w:hAnsiTheme="majorHAnsi"/>
          <w:sz w:val="20"/>
          <w:szCs w:val="20"/>
        </w:rPr>
        <w:t xml:space="preserve">. </w:t>
      </w:r>
      <w:r w:rsidR="0029021F" w:rsidRPr="006D6B01">
        <w:rPr>
          <w:rFonts w:asciiTheme="majorHAnsi" w:hAnsiTheme="majorHAnsi"/>
          <w:sz w:val="20"/>
          <w:szCs w:val="20"/>
        </w:rPr>
        <w:t xml:space="preserve">In this sense, the Commission </w:t>
      </w:r>
      <w:r w:rsidR="00C12DE4" w:rsidRPr="006D6B01">
        <w:rPr>
          <w:rFonts w:asciiTheme="majorHAnsi" w:hAnsiTheme="majorHAnsi"/>
          <w:sz w:val="20"/>
          <w:szCs w:val="20"/>
        </w:rPr>
        <w:t>observes f</w:t>
      </w:r>
      <w:r w:rsidR="00C9140B" w:rsidRPr="006D6B01">
        <w:rPr>
          <w:rFonts w:asciiTheme="majorHAnsi" w:hAnsiTheme="majorHAnsi"/>
          <w:sz w:val="20"/>
          <w:szCs w:val="20"/>
        </w:rPr>
        <w:t>ro</w:t>
      </w:r>
      <w:r w:rsidR="00C12DE4" w:rsidRPr="006D6B01">
        <w:rPr>
          <w:rFonts w:asciiTheme="majorHAnsi" w:hAnsiTheme="majorHAnsi"/>
          <w:sz w:val="20"/>
          <w:szCs w:val="20"/>
        </w:rPr>
        <w:t xml:space="preserve">m the facts of the case, in general terms, </w:t>
      </w:r>
      <w:r w:rsidR="0029021F" w:rsidRPr="006D6B01">
        <w:rPr>
          <w:rFonts w:asciiTheme="majorHAnsi" w:hAnsiTheme="majorHAnsi"/>
          <w:sz w:val="20"/>
          <w:szCs w:val="20"/>
        </w:rPr>
        <w:t xml:space="preserve">that </w:t>
      </w:r>
      <w:r w:rsidRPr="006D6B01">
        <w:rPr>
          <w:rFonts w:asciiTheme="majorHAnsi" w:hAnsiTheme="majorHAnsi"/>
          <w:sz w:val="20"/>
          <w:szCs w:val="20"/>
        </w:rPr>
        <w:t xml:space="preserve">the </w:t>
      </w:r>
      <w:r w:rsidR="0029021F" w:rsidRPr="006D6B01">
        <w:rPr>
          <w:rFonts w:asciiTheme="majorHAnsi" w:hAnsiTheme="majorHAnsi"/>
          <w:sz w:val="20"/>
          <w:szCs w:val="20"/>
        </w:rPr>
        <w:t>alleged victims were subject</w:t>
      </w:r>
      <w:r w:rsidR="006C1B67" w:rsidRPr="006D6B01">
        <w:rPr>
          <w:rFonts w:asciiTheme="majorHAnsi" w:hAnsiTheme="majorHAnsi"/>
          <w:sz w:val="20"/>
          <w:szCs w:val="20"/>
        </w:rPr>
        <w:t>ed</w:t>
      </w:r>
      <w:r w:rsidR="0029021F" w:rsidRPr="006D6B01">
        <w:rPr>
          <w:rFonts w:asciiTheme="majorHAnsi" w:hAnsiTheme="majorHAnsi"/>
          <w:sz w:val="20"/>
          <w:szCs w:val="20"/>
        </w:rPr>
        <w:t xml:space="preserve"> </w:t>
      </w:r>
      <w:r w:rsidR="006C1B67" w:rsidRPr="006D6B01">
        <w:rPr>
          <w:rFonts w:asciiTheme="majorHAnsi" w:hAnsiTheme="majorHAnsi"/>
          <w:sz w:val="20"/>
          <w:szCs w:val="20"/>
        </w:rPr>
        <w:t xml:space="preserve">to </w:t>
      </w:r>
      <w:r w:rsidR="0029021F" w:rsidRPr="006D6B01">
        <w:rPr>
          <w:rFonts w:asciiTheme="majorHAnsi" w:hAnsiTheme="majorHAnsi"/>
          <w:sz w:val="20"/>
          <w:szCs w:val="20"/>
        </w:rPr>
        <w:t>m</w:t>
      </w:r>
      <w:r w:rsidR="00FF43C1" w:rsidRPr="006D6B01">
        <w:rPr>
          <w:rFonts w:asciiTheme="majorHAnsi" w:hAnsiTheme="majorHAnsi"/>
          <w:sz w:val="20"/>
          <w:szCs w:val="20"/>
        </w:rPr>
        <w:t>ass detention</w:t>
      </w:r>
      <w:r w:rsidR="003116EC" w:rsidRPr="006D6B01">
        <w:rPr>
          <w:rFonts w:asciiTheme="majorHAnsi" w:hAnsiTheme="majorHAnsi"/>
          <w:sz w:val="20"/>
          <w:szCs w:val="20"/>
        </w:rPr>
        <w:t>s</w:t>
      </w:r>
      <w:r w:rsidR="00FF43C1" w:rsidRPr="006D6B01">
        <w:rPr>
          <w:rFonts w:asciiTheme="majorHAnsi" w:hAnsiTheme="majorHAnsi"/>
          <w:sz w:val="20"/>
          <w:szCs w:val="20"/>
        </w:rPr>
        <w:t xml:space="preserve">, placed under custody, </w:t>
      </w:r>
      <w:r w:rsidR="0029021F" w:rsidRPr="006D6B01">
        <w:rPr>
          <w:rFonts w:asciiTheme="majorHAnsi" w:hAnsiTheme="majorHAnsi"/>
          <w:sz w:val="20"/>
          <w:szCs w:val="20"/>
        </w:rPr>
        <w:t>and subsequent</w:t>
      </w:r>
      <w:r w:rsidR="00FF43C1" w:rsidRPr="006D6B01">
        <w:rPr>
          <w:rFonts w:asciiTheme="majorHAnsi" w:hAnsiTheme="majorHAnsi"/>
          <w:sz w:val="20"/>
          <w:szCs w:val="20"/>
        </w:rPr>
        <w:t>ly</w:t>
      </w:r>
      <w:r w:rsidR="0029021F" w:rsidRPr="006D6B01">
        <w:rPr>
          <w:rFonts w:asciiTheme="majorHAnsi" w:hAnsiTheme="majorHAnsi"/>
          <w:sz w:val="20"/>
          <w:szCs w:val="20"/>
        </w:rPr>
        <w:t xml:space="preserve"> repatriat</w:t>
      </w:r>
      <w:r w:rsidR="00FF43C1" w:rsidRPr="006D6B01">
        <w:rPr>
          <w:rFonts w:asciiTheme="majorHAnsi" w:hAnsiTheme="majorHAnsi"/>
          <w:sz w:val="20"/>
          <w:szCs w:val="20"/>
        </w:rPr>
        <w:t xml:space="preserve">ed </w:t>
      </w:r>
      <w:r w:rsidR="0029021F" w:rsidRPr="006D6B01">
        <w:rPr>
          <w:rFonts w:asciiTheme="majorHAnsi" w:hAnsiTheme="majorHAnsi"/>
          <w:sz w:val="20"/>
          <w:szCs w:val="20"/>
        </w:rPr>
        <w:t>by the State</w:t>
      </w:r>
      <w:r w:rsidRPr="006D6B01">
        <w:rPr>
          <w:rFonts w:asciiTheme="majorHAnsi" w:hAnsiTheme="majorHAnsi"/>
          <w:sz w:val="20"/>
          <w:szCs w:val="20"/>
        </w:rPr>
        <w:t xml:space="preserve">. </w:t>
      </w:r>
      <w:r w:rsidR="009501A8" w:rsidRPr="006D6B01">
        <w:rPr>
          <w:rFonts w:asciiTheme="majorHAnsi" w:hAnsiTheme="majorHAnsi"/>
          <w:sz w:val="20"/>
          <w:szCs w:val="20"/>
        </w:rPr>
        <w:t>In addition</w:t>
      </w:r>
      <w:r w:rsidRPr="006D6B01">
        <w:rPr>
          <w:rFonts w:asciiTheme="majorHAnsi" w:hAnsiTheme="majorHAnsi"/>
          <w:sz w:val="20"/>
          <w:szCs w:val="20"/>
        </w:rPr>
        <w:t>, the case file</w:t>
      </w:r>
      <w:r w:rsidR="002A1B5D" w:rsidRPr="006D6B01">
        <w:rPr>
          <w:rFonts w:asciiTheme="majorHAnsi" w:hAnsiTheme="majorHAnsi"/>
          <w:sz w:val="20"/>
          <w:szCs w:val="20"/>
        </w:rPr>
        <w:t xml:space="preserve"> demonstrates that the alleged victims</w:t>
      </w:r>
      <w:r w:rsidR="0029021F" w:rsidRPr="006D6B01">
        <w:rPr>
          <w:rFonts w:asciiTheme="majorHAnsi" w:hAnsiTheme="majorHAnsi"/>
          <w:sz w:val="20"/>
          <w:szCs w:val="20"/>
        </w:rPr>
        <w:t xml:space="preserve"> no longer reside in </w:t>
      </w:r>
      <w:r w:rsidR="00EB2CE0">
        <w:rPr>
          <w:rFonts w:asciiTheme="majorHAnsi" w:hAnsiTheme="majorHAnsi"/>
          <w:sz w:val="20"/>
          <w:szCs w:val="20"/>
        </w:rPr>
        <w:t>The Bahamas</w:t>
      </w:r>
      <w:r w:rsidR="00C9140B" w:rsidRPr="006D6B01">
        <w:rPr>
          <w:rFonts w:asciiTheme="majorHAnsi" w:hAnsiTheme="majorHAnsi"/>
          <w:sz w:val="20"/>
          <w:szCs w:val="20"/>
        </w:rPr>
        <w:t>,</w:t>
      </w:r>
      <w:r w:rsidR="0029021F" w:rsidRPr="006D6B01">
        <w:rPr>
          <w:rFonts w:asciiTheme="majorHAnsi" w:hAnsiTheme="majorHAnsi"/>
          <w:sz w:val="20"/>
          <w:szCs w:val="20"/>
        </w:rPr>
        <w:t xml:space="preserve"> and </w:t>
      </w:r>
      <w:r w:rsidR="00C9140B" w:rsidRPr="006D6B01">
        <w:rPr>
          <w:rFonts w:asciiTheme="majorHAnsi" w:hAnsiTheme="majorHAnsi"/>
          <w:sz w:val="20"/>
          <w:szCs w:val="20"/>
        </w:rPr>
        <w:t>that the State has failed</w:t>
      </w:r>
      <w:r w:rsidR="009501A8" w:rsidRPr="006D6B01">
        <w:rPr>
          <w:rFonts w:asciiTheme="majorHAnsi" w:hAnsiTheme="majorHAnsi"/>
          <w:sz w:val="20"/>
          <w:szCs w:val="20"/>
        </w:rPr>
        <w:t xml:space="preserve"> </w:t>
      </w:r>
      <w:r w:rsidR="0029021F" w:rsidRPr="006D6B01">
        <w:rPr>
          <w:rFonts w:asciiTheme="majorHAnsi" w:hAnsiTheme="majorHAnsi"/>
          <w:sz w:val="20"/>
          <w:szCs w:val="20"/>
        </w:rPr>
        <w:t xml:space="preserve">to provide relevant information, including records of the individuals detained at the </w:t>
      </w:r>
      <w:r w:rsidR="00BB4FCD" w:rsidRPr="006D6B01">
        <w:rPr>
          <w:rFonts w:asciiTheme="majorHAnsi" w:hAnsiTheme="majorHAnsi"/>
          <w:sz w:val="20"/>
          <w:szCs w:val="20"/>
        </w:rPr>
        <w:t xml:space="preserve">Carmichael Center </w:t>
      </w:r>
      <w:r w:rsidR="0029021F" w:rsidRPr="006D6B01">
        <w:rPr>
          <w:rFonts w:asciiTheme="majorHAnsi" w:hAnsiTheme="majorHAnsi"/>
          <w:sz w:val="20"/>
          <w:szCs w:val="20"/>
        </w:rPr>
        <w:t xml:space="preserve">and </w:t>
      </w:r>
      <w:r w:rsidR="00C12DE4" w:rsidRPr="006D6B01">
        <w:rPr>
          <w:rFonts w:asciiTheme="majorHAnsi" w:hAnsiTheme="majorHAnsi"/>
          <w:sz w:val="20"/>
          <w:szCs w:val="20"/>
        </w:rPr>
        <w:t xml:space="preserve">complete </w:t>
      </w:r>
      <w:r w:rsidR="0029021F" w:rsidRPr="006D6B01">
        <w:rPr>
          <w:rFonts w:asciiTheme="majorHAnsi" w:hAnsiTheme="majorHAnsi"/>
          <w:sz w:val="20"/>
          <w:szCs w:val="20"/>
        </w:rPr>
        <w:t>repatriation lists</w:t>
      </w:r>
      <w:r w:rsidRPr="006D6B01">
        <w:rPr>
          <w:rFonts w:asciiTheme="majorHAnsi" w:hAnsiTheme="majorHAnsi"/>
          <w:sz w:val="20"/>
          <w:szCs w:val="20"/>
        </w:rPr>
        <w:t xml:space="preserve">, despite </w:t>
      </w:r>
      <w:r w:rsidR="00115B61" w:rsidRPr="006D6B01">
        <w:rPr>
          <w:rFonts w:asciiTheme="majorHAnsi" w:hAnsiTheme="majorHAnsi"/>
          <w:sz w:val="20"/>
          <w:szCs w:val="20"/>
        </w:rPr>
        <w:t>the Commission</w:t>
      </w:r>
      <w:r w:rsidR="00827B5D" w:rsidRPr="006D6B01">
        <w:rPr>
          <w:rFonts w:asciiTheme="majorHAnsi" w:hAnsiTheme="majorHAnsi"/>
          <w:sz w:val="20"/>
          <w:szCs w:val="20"/>
        </w:rPr>
        <w:t>’s requests</w:t>
      </w:r>
      <w:r w:rsidR="00115B61" w:rsidRPr="006D6B01">
        <w:rPr>
          <w:rFonts w:asciiTheme="majorHAnsi" w:hAnsiTheme="majorHAnsi"/>
          <w:sz w:val="20"/>
          <w:szCs w:val="20"/>
        </w:rPr>
        <w:t>.</w:t>
      </w:r>
    </w:p>
    <w:p w14:paraId="1E4519B8" w14:textId="77777777" w:rsidR="0029021F" w:rsidRPr="006D6B01" w:rsidRDefault="0029021F" w:rsidP="004311FE">
      <w:pPr>
        <w:pStyle w:val="ListParagraph"/>
        <w:tabs>
          <w:tab w:val="left" w:pos="360"/>
        </w:tabs>
        <w:ind w:left="0"/>
        <w:rPr>
          <w:rFonts w:asciiTheme="majorHAnsi" w:hAnsiTheme="majorHAnsi"/>
          <w:sz w:val="20"/>
          <w:szCs w:val="20"/>
        </w:rPr>
      </w:pPr>
    </w:p>
    <w:p w14:paraId="5BF864E9" w14:textId="4E39CFE3" w:rsidR="0029021F" w:rsidRPr="006D6B01" w:rsidRDefault="00073374"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b/>
          <w:sz w:val="20"/>
          <w:szCs w:val="20"/>
        </w:rPr>
      </w:pPr>
      <w:r w:rsidRPr="006D6B01">
        <w:rPr>
          <w:rFonts w:asciiTheme="majorHAnsi" w:hAnsiTheme="majorHAnsi"/>
          <w:sz w:val="20"/>
          <w:szCs w:val="20"/>
        </w:rPr>
        <w:t>Accordingly</w:t>
      </w:r>
      <w:r w:rsidR="004A0AFE" w:rsidRPr="006D6B01">
        <w:rPr>
          <w:rFonts w:asciiTheme="majorHAnsi" w:hAnsiTheme="majorHAnsi"/>
          <w:sz w:val="20"/>
          <w:szCs w:val="20"/>
        </w:rPr>
        <w:t xml:space="preserve">, the Commission understands </w:t>
      </w:r>
      <w:r w:rsidR="00115B61" w:rsidRPr="006D6B01">
        <w:rPr>
          <w:rFonts w:asciiTheme="majorHAnsi" w:hAnsiTheme="majorHAnsi"/>
          <w:sz w:val="20"/>
          <w:szCs w:val="20"/>
        </w:rPr>
        <w:t xml:space="preserve">that </w:t>
      </w:r>
      <w:r w:rsidR="0029021F" w:rsidRPr="006D6B01">
        <w:rPr>
          <w:rFonts w:asciiTheme="majorHAnsi" w:hAnsiTheme="majorHAnsi"/>
          <w:sz w:val="20"/>
          <w:szCs w:val="20"/>
        </w:rPr>
        <w:t xml:space="preserve">the lack of </w:t>
      </w:r>
      <w:r w:rsidR="007F13BC" w:rsidRPr="006D6B01">
        <w:rPr>
          <w:rFonts w:asciiTheme="majorHAnsi" w:hAnsiTheme="majorHAnsi"/>
          <w:sz w:val="20"/>
          <w:szCs w:val="20"/>
        </w:rPr>
        <w:t xml:space="preserve">information allowing the </w:t>
      </w:r>
      <w:r w:rsidR="0029021F" w:rsidRPr="006D6B01">
        <w:rPr>
          <w:rFonts w:asciiTheme="majorHAnsi" w:hAnsiTheme="majorHAnsi"/>
          <w:sz w:val="20"/>
          <w:szCs w:val="20"/>
        </w:rPr>
        <w:t xml:space="preserve">identification of the alleged victims, </w:t>
      </w:r>
      <w:r w:rsidR="00C9140B" w:rsidRPr="006D6B01">
        <w:rPr>
          <w:rFonts w:asciiTheme="majorHAnsi" w:hAnsiTheme="majorHAnsi"/>
          <w:sz w:val="20"/>
          <w:szCs w:val="20"/>
        </w:rPr>
        <w:t xml:space="preserve">which is </w:t>
      </w:r>
      <w:r w:rsidR="0029021F" w:rsidRPr="006D6B01">
        <w:rPr>
          <w:rFonts w:asciiTheme="majorHAnsi" w:hAnsiTheme="majorHAnsi"/>
          <w:sz w:val="20"/>
          <w:szCs w:val="20"/>
        </w:rPr>
        <w:t xml:space="preserve">attributable to State, impacted </w:t>
      </w:r>
      <w:r w:rsidR="000F5C7E" w:rsidRPr="006D6B01">
        <w:rPr>
          <w:rFonts w:asciiTheme="majorHAnsi" w:hAnsiTheme="majorHAnsi"/>
          <w:sz w:val="20"/>
          <w:szCs w:val="20"/>
        </w:rPr>
        <w:t xml:space="preserve">not only </w:t>
      </w:r>
      <w:r w:rsidR="0029021F" w:rsidRPr="006D6B01">
        <w:rPr>
          <w:rFonts w:asciiTheme="majorHAnsi" w:hAnsiTheme="majorHAnsi"/>
          <w:sz w:val="20"/>
          <w:szCs w:val="20"/>
        </w:rPr>
        <w:t>the possibility of identif</w:t>
      </w:r>
      <w:r w:rsidR="003116EC" w:rsidRPr="006D6B01">
        <w:rPr>
          <w:rFonts w:asciiTheme="majorHAnsi" w:hAnsiTheme="majorHAnsi"/>
          <w:sz w:val="20"/>
          <w:szCs w:val="20"/>
        </w:rPr>
        <w:t>ying the</w:t>
      </w:r>
      <w:r w:rsidR="00E52394">
        <w:rPr>
          <w:rFonts w:asciiTheme="majorHAnsi" w:hAnsiTheme="majorHAnsi"/>
          <w:sz w:val="20"/>
          <w:szCs w:val="20"/>
        </w:rPr>
        <w:t xml:space="preserve"> totality of the</w:t>
      </w:r>
      <w:r w:rsidR="0029021F" w:rsidRPr="006D6B01">
        <w:rPr>
          <w:rFonts w:asciiTheme="majorHAnsi" w:hAnsiTheme="majorHAnsi"/>
          <w:sz w:val="20"/>
          <w:szCs w:val="20"/>
        </w:rPr>
        <w:t xml:space="preserve"> </w:t>
      </w:r>
      <w:r w:rsidR="0029021F" w:rsidRPr="006D6B01">
        <w:rPr>
          <w:rFonts w:asciiTheme="majorHAnsi" w:hAnsiTheme="majorHAnsi"/>
          <w:sz w:val="20"/>
          <w:szCs w:val="20"/>
        </w:rPr>
        <w:lastRenderedPageBreak/>
        <w:t>names of the alleged victim</w:t>
      </w:r>
      <w:r w:rsidR="000F5C7E" w:rsidRPr="006D6B01">
        <w:rPr>
          <w:rFonts w:asciiTheme="majorHAnsi" w:hAnsiTheme="majorHAnsi"/>
          <w:sz w:val="20"/>
          <w:szCs w:val="20"/>
        </w:rPr>
        <w:t>s</w:t>
      </w:r>
      <w:r w:rsidR="003116EC" w:rsidRPr="006D6B01">
        <w:rPr>
          <w:rFonts w:asciiTheme="majorHAnsi" w:hAnsiTheme="majorHAnsi"/>
          <w:sz w:val="20"/>
          <w:szCs w:val="20"/>
        </w:rPr>
        <w:t>,</w:t>
      </w:r>
      <w:r w:rsidR="000F5C7E" w:rsidRPr="006D6B01">
        <w:rPr>
          <w:rFonts w:asciiTheme="majorHAnsi" w:hAnsiTheme="majorHAnsi"/>
          <w:sz w:val="20"/>
          <w:szCs w:val="20"/>
        </w:rPr>
        <w:t xml:space="preserve"> but also </w:t>
      </w:r>
      <w:r w:rsidR="00146D9D" w:rsidRPr="006D6B01">
        <w:rPr>
          <w:rFonts w:asciiTheme="majorHAnsi" w:hAnsiTheme="majorHAnsi"/>
          <w:sz w:val="20"/>
          <w:szCs w:val="20"/>
        </w:rPr>
        <w:t xml:space="preserve">prevented the Commission </w:t>
      </w:r>
      <w:r w:rsidR="009501A8" w:rsidRPr="006D6B01">
        <w:rPr>
          <w:rFonts w:asciiTheme="majorHAnsi" w:hAnsiTheme="majorHAnsi"/>
          <w:sz w:val="20"/>
          <w:szCs w:val="20"/>
        </w:rPr>
        <w:t xml:space="preserve">from </w:t>
      </w:r>
      <w:r w:rsidR="007F13BC" w:rsidRPr="006D6B01">
        <w:rPr>
          <w:rFonts w:asciiTheme="majorHAnsi" w:hAnsiTheme="majorHAnsi"/>
          <w:sz w:val="20"/>
          <w:szCs w:val="20"/>
        </w:rPr>
        <w:t>understanding</w:t>
      </w:r>
      <w:r w:rsidR="00146D9D" w:rsidRPr="006D6B01">
        <w:rPr>
          <w:rFonts w:asciiTheme="majorHAnsi" w:hAnsiTheme="majorHAnsi"/>
          <w:sz w:val="20"/>
          <w:szCs w:val="20"/>
        </w:rPr>
        <w:t xml:space="preserve"> </w:t>
      </w:r>
      <w:r w:rsidR="000F5C7E" w:rsidRPr="006D6B01">
        <w:rPr>
          <w:rFonts w:asciiTheme="majorHAnsi" w:hAnsiTheme="majorHAnsi"/>
          <w:sz w:val="20"/>
          <w:szCs w:val="20"/>
        </w:rPr>
        <w:t xml:space="preserve">why the alleged victims left their home country, and the </w:t>
      </w:r>
      <w:r w:rsidR="00E52394">
        <w:rPr>
          <w:rFonts w:asciiTheme="majorHAnsi" w:hAnsiTheme="majorHAnsi"/>
          <w:sz w:val="20"/>
          <w:szCs w:val="20"/>
        </w:rPr>
        <w:t>leng</w:t>
      </w:r>
      <w:r w:rsidR="00B938AB">
        <w:rPr>
          <w:rFonts w:asciiTheme="majorHAnsi" w:hAnsiTheme="majorHAnsi"/>
          <w:sz w:val="20"/>
          <w:szCs w:val="20"/>
        </w:rPr>
        <w:t>th</w:t>
      </w:r>
      <w:r w:rsidR="009501A8" w:rsidRPr="006D6B01">
        <w:rPr>
          <w:rFonts w:asciiTheme="majorHAnsi" w:hAnsiTheme="majorHAnsi"/>
          <w:sz w:val="20"/>
          <w:szCs w:val="20"/>
        </w:rPr>
        <w:t xml:space="preserve"> </w:t>
      </w:r>
      <w:r w:rsidR="000F5C7E" w:rsidRPr="006D6B01">
        <w:rPr>
          <w:rFonts w:asciiTheme="majorHAnsi" w:hAnsiTheme="majorHAnsi"/>
          <w:sz w:val="20"/>
          <w:szCs w:val="20"/>
        </w:rPr>
        <w:t xml:space="preserve">and conditions of </w:t>
      </w:r>
      <w:r w:rsidR="00146D9D" w:rsidRPr="006D6B01">
        <w:rPr>
          <w:rFonts w:asciiTheme="majorHAnsi" w:hAnsiTheme="majorHAnsi"/>
          <w:sz w:val="20"/>
          <w:szCs w:val="20"/>
        </w:rPr>
        <w:t xml:space="preserve">their </w:t>
      </w:r>
      <w:r w:rsidR="000F5C7E" w:rsidRPr="006D6B01">
        <w:rPr>
          <w:rFonts w:asciiTheme="majorHAnsi" w:hAnsiTheme="majorHAnsi"/>
          <w:sz w:val="20"/>
          <w:szCs w:val="20"/>
        </w:rPr>
        <w:t>detention</w:t>
      </w:r>
      <w:r w:rsidR="00146D9D" w:rsidRPr="006D6B01">
        <w:rPr>
          <w:rFonts w:asciiTheme="majorHAnsi" w:hAnsiTheme="majorHAnsi"/>
          <w:sz w:val="20"/>
          <w:szCs w:val="20"/>
        </w:rPr>
        <w:t xml:space="preserve">. Under </w:t>
      </w:r>
      <w:r w:rsidR="000474CB" w:rsidRPr="006D6B01">
        <w:rPr>
          <w:rFonts w:asciiTheme="majorHAnsi" w:hAnsiTheme="majorHAnsi"/>
          <w:sz w:val="20"/>
          <w:szCs w:val="20"/>
        </w:rPr>
        <w:t>the</w:t>
      </w:r>
      <w:r w:rsidR="00146D9D" w:rsidRPr="006D6B01">
        <w:rPr>
          <w:rFonts w:asciiTheme="majorHAnsi" w:hAnsiTheme="majorHAnsi"/>
          <w:sz w:val="20"/>
          <w:szCs w:val="20"/>
        </w:rPr>
        <w:t>s</w:t>
      </w:r>
      <w:r w:rsidR="000474CB" w:rsidRPr="006D6B01">
        <w:rPr>
          <w:rFonts w:asciiTheme="majorHAnsi" w:hAnsiTheme="majorHAnsi"/>
          <w:sz w:val="20"/>
          <w:szCs w:val="20"/>
        </w:rPr>
        <w:t>e</w:t>
      </w:r>
      <w:r w:rsidR="00146D9D" w:rsidRPr="006D6B01">
        <w:rPr>
          <w:rFonts w:asciiTheme="majorHAnsi" w:hAnsiTheme="majorHAnsi"/>
          <w:sz w:val="20"/>
          <w:szCs w:val="20"/>
        </w:rPr>
        <w:t xml:space="preserve"> circumstances, and the surrounding con</w:t>
      </w:r>
      <w:r w:rsidR="00827B5D" w:rsidRPr="006D6B01">
        <w:rPr>
          <w:rFonts w:asciiTheme="majorHAnsi" w:hAnsiTheme="majorHAnsi"/>
          <w:sz w:val="20"/>
          <w:szCs w:val="20"/>
        </w:rPr>
        <w:t xml:space="preserve">text regarding human mobility </w:t>
      </w:r>
      <w:r w:rsidR="009501A8" w:rsidRPr="006D6B01">
        <w:rPr>
          <w:rFonts w:asciiTheme="majorHAnsi" w:hAnsiTheme="majorHAnsi"/>
          <w:sz w:val="20"/>
          <w:szCs w:val="20"/>
        </w:rPr>
        <w:t xml:space="preserve">in </w:t>
      </w:r>
      <w:r w:rsidR="00146D9D" w:rsidRPr="006D6B01">
        <w:rPr>
          <w:rFonts w:asciiTheme="majorHAnsi" w:hAnsiTheme="majorHAnsi"/>
          <w:sz w:val="20"/>
          <w:szCs w:val="20"/>
        </w:rPr>
        <w:t xml:space="preserve">The Bahamas addressed in this report, the Commission </w:t>
      </w:r>
      <w:r w:rsidR="00C9140B" w:rsidRPr="006D6B01">
        <w:rPr>
          <w:rFonts w:asciiTheme="majorHAnsi" w:hAnsiTheme="majorHAnsi"/>
          <w:sz w:val="20"/>
          <w:szCs w:val="20"/>
        </w:rPr>
        <w:t xml:space="preserve">finds </w:t>
      </w:r>
      <w:r w:rsidR="00146D9D" w:rsidRPr="006D6B01">
        <w:rPr>
          <w:rFonts w:asciiTheme="majorHAnsi" w:hAnsiTheme="majorHAnsi"/>
          <w:sz w:val="20"/>
          <w:szCs w:val="20"/>
        </w:rPr>
        <w:t xml:space="preserve">that </w:t>
      </w:r>
      <w:r w:rsidR="00C9140B" w:rsidRPr="006D6B01">
        <w:rPr>
          <w:rFonts w:asciiTheme="majorHAnsi" w:hAnsiTheme="majorHAnsi"/>
          <w:sz w:val="20"/>
          <w:szCs w:val="20"/>
        </w:rPr>
        <w:t xml:space="preserve">requiring </w:t>
      </w:r>
      <w:r w:rsidR="00146D9D" w:rsidRPr="006D6B01">
        <w:rPr>
          <w:rFonts w:asciiTheme="majorHAnsi" w:hAnsiTheme="majorHAnsi"/>
          <w:sz w:val="20"/>
          <w:szCs w:val="20"/>
        </w:rPr>
        <w:t>the petitioners to presen</w:t>
      </w:r>
      <w:r w:rsidR="000474CB" w:rsidRPr="006D6B01">
        <w:rPr>
          <w:rFonts w:asciiTheme="majorHAnsi" w:hAnsiTheme="majorHAnsi"/>
          <w:sz w:val="20"/>
          <w:szCs w:val="20"/>
        </w:rPr>
        <w:t>t individualized information regarding the Cuban and Haitian nationals</w:t>
      </w:r>
      <w:r w:rsidR="00146D9D" w:rsidRPr="006D6B01">
        <w:rPr>
          <w:rFonts w:asciiTheme="majorHAnsi" w:hAnsiTheme="majorHAnsi"/>
          <w:sz w:val="20"/>
          <w:szCs w:val="20"/>
        </w:rPr>
        <w:t xml:space="preserve"> </w:t>
      </w:r>
      <w:r w:rsidR="00827B5D" w:rsidRPr="006D6B01">
        <w:rPr>
          <w:rFonts w:asciiTheme="majorHAnsi" w:hAnsiTheme="majorHAnsi"/>
          <w:sz w:val="20"/>
          <w:szCs w:val="20"/>
        </w:rPr>
        <w:t>would</w:t>
      </w:r>
      <w:r w:rsidR="00146D9D" w:rsidRPr="006D6B01">
        <w:rPr>
          <w:rFonts w:asciiTheme="majorHAnsi" w:hAnsiTheme="majorHAnsi"/>
          <w:sz w:val="20"/>
          <w:szCs w:val="20"/>
        </w:rPr>
        <w:t xml:space="preserve"> place an undue</w:t>
      </w:r>
      <w:r w:rsidR="00D96AFE">
        <w:rPr>
          <w:rFonts w:asciiTheme="majorHAnsi" w:hAnsiTheme="majorHAnsi"/>
          <w:sz w:val="20"/>
          <w:szCs w:val="20"/>
        </w:rPr>
        <w:t xml:space="preserve"> and unreasonable</w:t>
      </w:r>
      <w:r w:rsidR="00146D9D" w:rsidRPr="006D6B01">
        <w:rPr>
          <w:rFonts w:asciiTheme="majorHAnsi" w:hAnsiTheme="majorHAnsi"/>
          <w:sz w:val="20"/>
          <w:szCs w:val="20"/>
        </w:rPr>
        <w:t xml:space="preserve"> burden upon</w:t>
      </w:r>
      <w:r w:rsidR="000474CB" w:rsidRPr="006D6B01">
        <w:rPr>
          <w:rFonts w:asciiTheme="majorHAnsi" w:hAnsiTheme="majorHAnsi"/>
          <w:sz w:val="20"/>
          <w:szCs w:val="20"/>
        </w:rPr>
        <w:t xml:space="preserve"> the </w:t>
      </w:r>
      <w:r w:rsidR="003116EC" w:rsidRPr="006D6B01">
        <w:rPr>
          <w:rFonts w:asciiTheme="majorHAnsi" w:hAnsiTheme="majorHAnsi"/>
          <w:sz w:val="20"/>
          <w:szCs w:val="20"/>
        </w:rPr>
        <w:t xml:space="preserve">alleged </w:t>
      </w:r>
      <w:r w:rsidR="000474CB" w:rsidRPr="006D6B01">
        <w:rPr>
          <w:rFonts w:asciiTheme="majorHAnsi" w:hAnsiTheme="majorHAnsi"/>
          <w:sz w:val="20"/>
          <w:szCs w:val="20"/>
        </w:rPr>
        <w:t>victims,</w:t>
      </w:r>
      <w:r w:rsidR="00767FF7">
        <w:rPr>
          <w:rFonts w:asciiTheme="majorHAnsi" w:hAnsiTheme="majorHAnsi"/>
          <w:sz w:val="20"/>
          <w:szCs w:val="20"/>
        </w:rPr>
        <w:t xml:space="preserve"> taking in</w:t>
      </w:r>
      <w:r w:rsidR="006E010C">
        <w:rPr>
          <w:rFonts w:asciiTheme="majorHAnsi" w:hAnsiTheme="majorHAnsi"/>
          <w:sz w:val="20"/>
          <w:szCs w:val="20"/>
        </w:rPr>
        <w:t>to</w:t>
      </w:r>
      <w:r w:rsidR="00767FF7">
        <w:rPr>
          <w:rFonts w:asciiTheme="majorHAnsi" w:hAnsiTheme="majorHAnsi"/>
          <w:sz w:val="20"/>
          <w:szCs w:val="20"/>
        </w:rPr>
        <w:t xml:space="preserve"> special consideration </w:t>
      </w:r>
      <w:r w:rsidR="00115B61" w:rsidRPr="006D6B01">
        <w:rPr>
          <w:rFonts w:asciiTheme="majorHAnsi" w:hAnsiTheme="majorHAnsi"/>
          <w:sz w:val="20"/>
          <w:szCs w:val="20"/>
        </w:rPr>
        <w:t xml:space="preserve">the control of the State over said information.  </w:t>
      </w:r>
    </w:p>
    <w:p w14:paraId="634419E8" w14:textId="77777777" w:rsidR="004A0AFE" w:rsidRPr="006D6B01" w:rsidRDefault="004A0AFE" w:rsidP="004311F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b/>
          <w:sz w:val="20"/>
          <w:szCs w:val="20"/>
        </w:rPr>
      </w:pPr>
    </w:p>
    <w:p w14:paraId="46A2BC43" w14:textId="1AE91DE5" w:rsidR="00B530B2" w:rsidRPr="006D6B01" w:rsidRDefault="00616B1D"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b/>
          <w:sz w:val="20"/>
          <w:szCs w:val="20"/>
        </w:rPr>
      </w:pPr>
      <w:r>
        <w:rPr>
          <w:rFonts w:asciiTheme="majorHAnsi" w:hAnsiTheme="majorHAnsi"/>
          <w:sz w:val="20"/>
          <w:szCs w:val="20"/>
        </w:rPr>
        <w:t xml:space="preserve">Based on </w:t>
      </w:r>
      <w:r w:rsidR="009501A8" w:rsidRPr="006D6B01">
        <w:rPr>
          <w:rFonts w:asciiTheme="majorHAnsi" w:hAnsiTheme="majorHAnsi"/>
          <w:sz w:val="20"/>
          <w:szCs w:val="20"/>
        </w:rPr>
        <w:t>the factors identified</w:t>
      </w:r>
      <w:r w:rsidR="00115B61" w:rsidRPr="006D6B01">
        <w:rPr>
          <w:rFonts w:asciiTheme="majorHAnsi" w:hAnsiTheme="majorHAnsi"/>
          <w:sz w:val="20"/>
          <w:szCs w:val="20"/>
        </w:rPr>
        <w:t xml:space="preserve"> above</w:t>
      </w:r>
      <w:r w:rsidR="008A53C0" w:rsidRPr="006D6B01">
        <w:rPr>
          <w:rFonts w:asciiTheme="majorHAnsi" w:hAnsiTheme="majorHAnsi"/>
          <w:sz w:val="20"/>
          <w:szCs w:val="20"/>
        </w:rPr>
        <w:t xml:space="preserve">, </w:t>
      </w:r>
      <w:r w:rsidR="009501A8" w:rsidRPr="006D6B01">
        <w:rPr>
          <w:rFonts w:asciiTheme="majorHAnsi" w:hAnsiTheme="majorHAnsi"/>
          <w:sz w:val="20"/>
          <w:szCs w:val="20"/>
        </w:rPr>
        <w:t xml:space="preserve">including </w:t>
      </w:r>
      <w:r w:rsidR="008A53C0" w:rsidRPr="006D6B01">
        <w:rPr>
          <w:rFonts w:asciiTheme="majorHAnsi" w:hAnsiTheme="majorHAnsi"/>
          <w:sz w:val="20"/>
          <w:szCs w:val="20"/>
        </w:rPr>
        <w:t>the lack of information</w:t>
      </w:r>
      <w:r w:rsidR="00C9140B" w:rsidRPr="006D6B01">
        <w:rPr>
          <w:rFonts w:asciiTheme="majorHAnsi" w:hAnsiTheme="majorHAnsi"/>
          <w:sz w:val="20"/>
          <w:szCs w:val="20"/>
        </w:rPr>
        <w:t>,</w:t>
      </w:r>
      <w:r w:rsidR="008A53C0" w:rsidRPr="006D6B01">
        <w:rPr>
          <w:rFonts w:asciiTheme="majorHAnsi" w:hAnsiTheme="majorHAnsi"/>
          <w:sz w:val="20"/>
          <w:szCs w:val="20"/>
        </w:rPr>
        <w:t xml:space="preserve"> attributable to the State, Inter-American standards </w:t>
      </w:r>
      <w:r w:rsidR="009501A8" w:rsidRPr="006D6B01">
        <w:rPr>
          <w:rFonts w:asciiTheme="majorHAnsi" w:hAnsiTheme="majorHAnsi"/>
          <w:sz w:val="20"/>
          <w:szCs w:val="20"/>
        </w:rPr>
        <w:t xml:space="preserve">regarding </w:t>
      </w:r>
      <w:r w:rsidR="008A53C0" w:rsidRPr="006D6B01">
        <w:rPr>
          <w:rFonts w:asciiTheme="majorHAnsi" w:hAnsiTheme="majorHAnsi"/>
          <w:sz w:val="20"/>
          <w:szCs w:val="20"/>
        </w:rPr>
        <w:t xml:space="preserve">the individualization of victims in </w:t>
      </w:r>
      <w:r w:rsidR="00604F88" w:rsidRPr="006D6B01">
        <w:rPr>
          <w:rFonts w:asciiTheme="majorHAnsi" w:hAnsiTheme="majorHAnsi"/>
          <w:sz w:val="20"/>
          <w:szCs w:val="20"/>
        </w:rPr>
        <w:t>complex circumstances</w:t>
      </w:r>
      <w:r w:rsidR="008A53C0" w:rsidRPr="006D6B01">
        <w:rPr>
          <w:rFonts w:asciiTheme="majorHAnsi" w:hAnsiTheme="majorHAnsi"/>
          <w:sz w:val="20"/>
          <w:szCs w:val="20"/>
        </w:rPr>
        <w:t xml:space="preserve">, </w:t>
      </w:r>
      <w:r w:rsidR="00604F88" w:rsidRPr="006D6B01">
        <w:rPr>
          <w:rFonts w:asciiTheme="majorHAnsi" w:hAnsiTheme="majorHAnsi"/>
          <w:sz w:val="20"/>
          <w:szCs w:val="20"/>
        </w:rPr>
        <w:t xml:space="preserve">the burden of proof in cases related to </w:t>
      </w:r>
      <w:r w:rsidR="008A53C0" w:rsidRPr="006D6B01">
        <w:rPr>
          <w:rFonts w:asciiTheme="majorHAnsi" w:hAnsiTheme="majorHAnsi"/>
          <w:sz w:val="20"/>
          <w:szCs w:val="20"/>
        </w:rPr>
        <w:t>person</w:t>
      </w:r>
      <w:r w:rsidR="00604F88" w:rsidRPr="006D6B01">
        <w:rPr>
          <w:rFonts w:asciiTheme="majorHAnsi" w:hAnsiTheme="majorHAnsi"/>
          <w:sz w:val="20"/>
          <w:szCs w:val="20"/>
        </w:rPr>
        <w:t>s</w:t>
      </w:r>
      <w:r w:rsidR="008A53C0" w:rsidRPr="006D6B01">
        <w:rPr>
          <w:rFonts w:asciiTheme="majorHAnsi" w:hAnsiTheme="majorHAnsi"/>
          <w:sz w:val="20"/>
          <w:szCs w:val="20"/>
        </w:rPr>
        <w:t xml:space="preserve"> under </w:t>
      </w:r>
      <w:r w:rsidR="009501A8" w:rsidRPr="006D6B01">
        <w:rPr>
          <w:rFonts w:asciiTheme="majorHAnsi" w:hAnsiTheme="majorHAnsi"/>
          <w:sz w:val="20"/>
          <w:szCs w:val="20"/>
        </w:rPr>
        <w:t xml:space="preserve">State </w:t>
      </w:r>
      <w:r w:rsidR="008A53C0" w:rsidRPr="006D6B01">
        <w:rPr>
          <w:rFonts w:asciiTheme="majorHAnsi" w:hAnsiTheme="majorHAnsi"/>
          <w:sz w:val="20"/>
          <w:szCs w:val="20"/>
        </w:rPr>
        <w:t xml:space="preserve">custody, and the </w:t>
      </w:r>
      <w:r w:rsidR="003116EC" w:rsidRPr="006D6B01">
        <w:rPr>
          <w:rFonts w:asciiTheme="majorHAnsi" w:hAnsiTheme="majorHAnsi"/>
          <w:sz w:val="20"/>
          <w:szCs w:val="20"/>
        </w:rPr>
        <w:t xml:space="preserve">migration </w:t>
      </w:r>
      <w:r w:rsidR="008A53C0" w:rsidRPr="006D6B01">
        <w:rPr>
          <w:rFonts w:asciiTheme="majorHAnsi" w:hAnsiTheme="majorHAnsi"/>
          <w:sz w:val="20"/>
          <w:szCs w:val="20"/>
        </w:rPr>
        <w:t xml:space="preserve">context </w:t>
      </w:r>
      <w:r w:rsidR="003116EC" w:rsidRPr="006D6B01">
        <w:rPr>
          <w:rFonts w:asciiTheme="majorHAnsi" w:hAnsiTheme="majorHAnsi"/>
          <w:sz w:val="20"/>
          <w:szCs w:val="20"/>
        </w:rPr>
        <w:t>in The Bahamas</w:t>
      </w:r>
      <w:r w:rsidR="008A53C0" w:rsidRPr="006D6B01">
        <w:rPr>
          <w:rFonts w:asciiTheme="majorHAnsi" w:hAnsiTheme="majorHAnsi"/>
          <w:sz w:val="20"/>
          <w:szCs w:val="20"/>
        </w:rPr>
        <w:t xml:space="preserve">, </w:t>
      </w:r>
      <w:r w:rsidR="00115B61" w:rsidRPr="006D6B01">
        <w:rPr>
          <w:rFonts w:asciiTheme="majorHAnsi" w:hAnsiTheme="majorHAnsi"/>
          <w:sz w:val="20"/>
          <w:szCs w:val="20"/>
        </w:rPr>
        <w:t xml:space="preserve">the </w:t>
      </w:r>
      <w:r w:rsidR="008538A0" w:rsidRPr="006D6B01">
        <w:rPr>
          <w:rFonts w:asciiTheme="majorHAnsi" w:hAnsiTheme="majorHAnsi"/>
          <w:sz w:val="20"/>
          <w:szCs w:val="20"/>
        </w:rPr>
        <w:t xml:space="preserve">Commission </w:t>
      </w:r>
      <w:r w:rsidR="008A53C0" w:rsidRPr="006D6B01">
        <w:rPr>
          <w:rFonts w:asciiTheme="majorHAnsi" w:hAnsiTheme="majorHAnsi"/>
          <w:sz w:val="20"/>
          <w:szCs w:val="20"/>
        </w:rPr>
        <w:t xml:space="preserve">understands that </w:t>
      </w:r>
      <w:r w:rsidR="00997374" w:rsidRPr="006D6B01">
        <w:rPr>
          <w:rFonts w:asciiTheme="majorHAnsi" w:hAnsiTheme="majorHAnsi"/>
          <w:sz w:val="20"/>
          <w:szCs w:val="20"/>
        </w:rPr>
        <w:t>all of the</w:t>
      </w:r>
      <w:r w:rsidR="008A53C0" w:rsidRPr="006D6B01">
        <w:rPr>
          <w:rFonts w:asciiTheme="majorHAnsi" w:hAnsiTheme="majorHAnsi"/>
          <w:sz w:val="20"/>
          <w:szCs w:val="20"/>
        </w:rPr>
        <w:t xml:space="preserve"> alleged </w:t>
      </w:r>
      <w:r w:rsidR="00997374" w:rsidRPr="006D6B01">
        <w:rPr>
          <w:rFonts w:asciiTheme="majorHAnsi" w:hAnsiTheme="majorHAnsi"/>
          <w:sz w:val="20"/>
          <w:szCs w:val="20"/>
        </w:rPr>
        <w:t xml:space="preserve">victims were taken into custody at the </w:t>
      </w:r>
      <w:r w:rsidR="00BB4FCD" w:rsidRPr="006D6B01">
        <w:rPr>
          <w:rFonts w:asciiTheme="majorHAnsi" w:hAnsiTheme="majorHAnsi"/>
          <w:sz w:val="20"/>
          <w:szCs w:val="20"/>
        </w:rPr>
        <w:t xml:space="preserve">Carmichael Center </w:t>
      </w:r>
      <w:r w:rsidR="008A53C0" w:rsidRPr="006D6B01">
        <w:rPr>
          <w:rFonts w:asciiTheme="majorHAnsi" w:hAnsiTheme="majorHAnsi"/>
          <w:sz w:val="20"/>
          <w:szCs w:val="20"/>
        </w:rPr>
        <w:t xml:space="preserve">and subsequently </w:t>
      </w:r>
      <w:r w:rsidR="009501A8" w:rsidRPr="006D6B01">
        <w:rPr>
          <w:rFonts w:asciiTheme="majorHAnsi" w:hAnsiTheme="majorHAnsi"/>
          <w:sz w:val="20"/>
          <w:szCs w:val="20"/>
        </w:rPr>
        <w:t>repatriated</w:t>
      </w:r>
      <w:r w:rsidR="008A53C0" w:rsidRPr="006D6B01">
        <w:rPr>
          <w:rFonts w:asciiTheme="majorHAnsi" w:hAnsiTheme="majorHAnsi"/>
          <w:sz w:val="20"/>
          <w:szCs w:val="20"/>
        </w:rPr>
        <w:t xml:space="preserve">. In this way, the IACHR will </w:t>
      </w:r>
      <w:r w:rsidR="009501A8" w:rsidRPr="006D6B01">
        <w:rPr>
          <w:rFonts w:asciiTheme="majorHAnsi" w:hAnsiTheme="majorHAnsi"/>
          <w:sz w:val="20"/>
          <w:szCs w:val="20"/>
        </w:rPr>
        <w:t>analyze</w:t>
      </w:r>
      <w:r w:rsidR="008A53C0" w:rsidRPr="006D6B01">
        <w:rPr>
          <w:rFonts w:asciiTheme="majorHAnsi" w:hAnsiTheme="majorHAnsi"/>
          <w:sz w:val="20"/>
          <w:szCs w:val="20"/>
        </w:rPr>
        <w:t xml:space="preserve"> the alleged violations of human rights </w:t>
      </w:r>
      <w:r w:rsidR="00997374" w:rsidRPr="006D6B01">
        <w:rPr>
          <w:rFonts w:asciiTheme="majorHAnsi" w:hAnsiTheme="majorHAnsi"/>
          <w:sz w:val="20"/>
          <w:szCs w:val="20"/>
        </w:rPr>
        <w:t>to the</w:t>
      </w:r>
      <w:r w:rsidR="008538A0" w:rsidRPr="006D6B01">
        <w:rPr>
          <w:rFonts w:asciiTheme="majorHAnsi" w:hAnsiTheme="majorHAnsi"/>
          <w:sz w:val="20"/>
          <w:szCs w:val="20"/>
        </w:rPr>
        <w:t xml:space="preserve"> detriment of </w:t>
      </w:r>
      <w:r w:rsidR="00997374" w:rsidRPr="006D6B01">
        <w:rPr>
          <w:rFonts w:asciiTheme="majorHAnsi" w:hAnsiTheme="majorHAnsi"/>
          <w:sz w:val="20"/>
          <w:szCs w:val="20"/>
        </w:rPr>
        <w:t xml:space="preserve">the </w:t>
      </w:r>
      <w:r w:rsidR="008538A0" w:rsidRPr="006D6B01">
        <w:rPr>
          <w:rFonts w:asciiTheme="majorHAnsi" w:hAnsiTheme="majorHAnsi"/>
          <w:sz w:val="20"/>
          <w:szCs w:val="20"/>
        </w:rPr>
        <w:t xml:space="preserve">individualized </w:t>
      </w:r>
      <w:r w:rsidR="00997374" w:rsidRPr="006D6B01">
        <w:rPr>
          <w:rFonts w:asciiTheme="majorHAnsi" w:hAnsiTheme="majorHAnsi"/>
          <w:sz w:val="20"/>
          <w:szCs w:val="20"/>
        </w:rPr>
        <w:t xml:space="preserve">group of alleged victims, and also </w:t>
      </w:r>
      <w:r w:rsidR="007F13BC" w:rsidRPr="006D6B01">
        <w:rPr>
          <w:rFonts w:asciiTheme="majorHAnsi" w:hAnsiTheme="majorHAnsi"/>
          <w:sz w:val="20"/>
          <w:szCs w:val="20"/>
        </w:rPr>
        <w:t>in relation to</w:t>
      </w:r>
      <w:r w:rsidR="009501A8" w:rsidRPr="006D6B01">
        <w:rPr>
          <w:rFonts w:asciiTheme="majorHAnsi" w:hAnsiTheme="majorHAnsi"/>
          <w:sz w:val="20"/>
          <w:szCs w:val="20"/>
        </w:rPr>
        <w:t xml:space="preserve"> </w:t>
      </w:r>
      <w:r w:rsidR="00604F88" w:rsidRPr="006D6B01">
        <w:rPr>
          <w:rFonts w:asciiTheme="majorHAnsi" w:hAnsiTheme="majorHAnsi"/>
          <w:sz w:val="20"/>
          <w:szCs w:val="20"/>
        </w:rPr>
        <w:t>the</w:t>
      </w:r>
      <w:r w:rsidR="00997374" w:rsidRPr="006D6B01">
        <w:rPr>
          <w:rFonts w:asciiTheme="majorHAnsi" w:hAnsiTheme="majorHAnsi"/>
          <w:sz w:val="20"/>
          <w:szCs w:val="20"/>
        </w:rPr>
        <w:t xml:space="preserve"> indeterminate group of alleged victims, in whose case</w:t>
      </w:r>
      <w:r w:rsidR="008A53C0" w:rsidRPr="006D6B01">
        <w:rPr>
          <w:rFonts w:asciiTheme="majorHAnsi" w:hAnsiTheme="majorHAnsi"/>
          <w:sz w:val="20"/>
          <w:szCs w:val="20"/>
        </w:rPr>
        <w:t>s</w:t>
      </w:r>
      <w:r w:rsidR="00997374" w:rsidRPr="006D6B01">
        <w:rPr>
          <w:rFonts w:asciiTheme="majorHAnsi" w:hAnsiTheme="majorHAnsi"/>
          <w:sz w:val="20"/>
          <w:szCs w:val="20"/>
        </w:rPr>
        <w:t xml:space="preserve"> the Commission will </w:t>
      </w:r>
      <w:r w:rsidR="00604F88" w:rsidRPr="006D6B01">
        <w:rPr>
          <w:rFonts w:asciiTheme="majorHAnsi" w:hAnsiTheme="majorHAnsi"/>
          <w:sz w:val="20"/>
          <w:szCs w:val="20"/>
        </w:rPr>
        <w:t>request</w:t>
      </w:r>
      <w:r w:rsidR="008A53C0" w:rsidRPr="006D6B01">
        <w:rPr>
          <w:rFonts w:asciiTheme="majorHAnsi" w:hAnsiTheme="majorHAnsi"/>
          <w:sz w:val="20"/>
          <w:szCs w:val="20"/>
        </w:rPr>
        <w:t xml:space="preserve"> </w:t>
      </w:r>
      <w:r w:rsidR="00827B5D" w:rsidRPr="006D6B01">
        <w:rPr>
          <w:rFonts w:asciiTheme="majorHAnsi" w:hAnsiTheme="majorHAnsi"/>
          <w:sz w:val="20"/>
          <w:szCs w:val="20"/>
        </w:rPr>
        <w:t>their full</w:t>
      </w:r>
      <w:r w:rsidR="008A53C0" w:rsidRPr="006D6B01">
        <w:rPr>
          <w:rFonts w:asciiTheme="majorHAnsi" w:hAnsiTheme="majorHAnsi"/>
          <w:sz w:val="20"/>
          <w:szCs w:val="20"/>
        </w:rPr>
        <w:t xml:space="preserve"> identification </w:t>
      </w:r>
      <w:r w:rsidR="009501A8" w:rsidRPr="006D6B01">
        <w:rPr>
          <w:rFonts w:asciiTheme="majorHAnsi" w:hAnsiTheme="majorHAnsi"/>
          <w:sz w:val="20"/>
          <w:szCs w:val="20"/>
        </w:rPr>
        <w:t xml:space="preserve">as part of </w:t>
      </w:r>
      <w:r w:rsidR="00EE37C3" w:rsidRPr="006D6B01">
        <w:rPr>
          <w:rFonts w:asciiTheme="majorHAnsi" w:hAnsiTheme="majorHAnsi"/>
          <w:sz w:val="20"/>
          <w:szCs w:val="20"/>
        </w:rPr>
        <w:t xml:space="preserve">its </w:t>
      </w:r>
      <w:r w:rsidR="00997374" w:rsidRPr="006D6B01">
        <w:rPr>
          <w:rFonts w:asciiTheme="majorHAnsi" w:hAnsiTheme="majorHAnsi"/>
          <w:sz w:val="20"/>
          <w:szCs w:val="20"/>
        </w:rPr>
        <w:t xml:space="preserve">recommendations </w:t>
      </w:r>
      <w:r w:rsidR="008A53C0" w:rsidRPr="006D6B01">
        <w:rPr>
          <w:rFonts w:asciiTheme="majorHAnsi" w:hAnsiTheme="majorHAnsi"/>
          <w:sz w:val="20"/>
          <w:szCs w:val="20"/>
        </w:rPr>
        <w:t>to The Bahamas</w:t>
      </w:r>
      <w:r w:rsidR="00997374" w:rsidRPr="006D6B01">
        <w:rPr>
          <w:rFonts w:asciiTheme="majorHAnsi" w:hAnsiTheme="majorHAnsi"/>
          <w:sz w:val="20"/>
          <w:szCs w:val="20"/>
        </w:rPr>
        <w:t xml:space="preserve">. </w:t>
      </w:r>
    </w:p>
    <w:p w14:paraId="6C1D2E27" w14:textId="77777777" w:rsidR="00997374" w:rsidRPr="006D6B01" w:rsidRDefault="00997374" w:rsidP="004311F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b/>
          <w:sz w:val="20"/>
          <w:szCs w:val="20"/>
        </w:rPr>
      </w:pPr>
    </w:p>
    <w:p w14:paraId="368089E0" w14:textId="77777777" w:rsidR="00B530B2" w:rsidRPr="006D6B01" w:rsidRDefault="0042424E" w:rsidP="004311FE">
      <w:pPr>
        <w:pStyle w:val="ListParagraph"/>
        <w:numPr>
          <w:ilvl w:val="0"/>
          <w:numId w:val="56"/>
        </w:numPr>
        <w:tabs>
          <w:tab w:val="left" w:pos="360"/>
        </w:tabs>
        <w:ind w:left="0" w:firstLine="0"/>
        <w:jc w:val="both"/>
        <w:rPr>
          <w:rFonts w:asciiTheme="majorHAnsi" w:hAnsiTheme="majorHAnsi"/>
          <w:color w:val="000000" w:themeColor="text1"/>
          <w:sz w:val="20"/>
          <w:szCs w:val="20"/>
        </w:rPr>
      </w:pPr>
      <w:r w:rsidRPr="006D6B01">
        <w:rPr>
          <w:rFonts w:eastAsia="Times New Roman"/>
          <w:bCs/>
          <w:color w:val="000000" w:themeColor="text1"/>
          <w:sz w:val="20"/>
          <w:szCs w:val="20"/>
          <w:bdr w:val="none" w:sz="0" w:space="0" w:color="auto"/>
        </w:rPr>
        <w:t>Regarding t</w:t>
      </w:r>
      <w:r w:rsidR="00B530B2" w:rsidRPr="006D6B01">
        <w:rPr>
          <w:rFonts w:eastAsia="Times New Roman"/>
          <w:bCs/>
          <w:color w:val="000000" w:themeColor="text1"/>
          <w:sz w:val="20"/>
          <w:szCs w:val="20"/>
          <w:bdr w:val="none" w:sz="0" w:space="0" w:color="auto"/>
        </w:rPr>
        <w:t>he American Declaration a</w:t>
      </w:r>
      <w:r w:rsidRPr="006D6B01">
        <w:rPr>
          <w:rFonts w:eastAsia="Times New Roman"/>
          <w:bCs/>
          <w:color w:val="000000" w:themeColor="text1"/>
          <w:sz w:val="20"/>
          <w:szCs w:val="20"/>
          <w:bdr w:val="none" w:sz="0" w:space="0" w:color="auto"/>
        </w:rPr>
        <w:t>s</w:t>
      </w:r>
      <w:r w:rsidR="00B530B2" w:rsidRPr="006D6B01">
        <w:rPr>
          <w:rFonts w:eastAsia="Times New Roman"/>
          <w:bCs/>
          <w:color w:val="000000" w:themeColor="text1"/>
          <w:sz w:val="20"/>
          <w:szCs w:val="20"/>
          <w:bdr w:val="none" w:sz="0" w:space="0" w:color="auto"/>
        </w:rPr>
        <w:t xml:space="preserve"> </w:t>
      </w:r>
      <w:r w:rsidRPr="006D6B01">
        <w:rPr>
          <w:rFonts w:eastAsia="Times New Roman"/>
          <w:bCs/>
          <w:color w:val="000000" w:themeColor="text1"/>
          <w:sz w:val="20"/>
          <w:szCs w:val="20"/>
          <w:bdr w:val="none" w:sz="0" w:space="0" w:color="auto"/>
        </w:rPr>
        <w:t xml:space="preserve">a </w:t>
      </w:r>
      <w:r w:rsidR="00B530B2" w:rsidRPr="006D6B01">
        <w:rPr>
          <w:rFonts w:eastAsia="Times New Roman"/>
          <w:bCs/>
          <w:color w:val="000000" w:themeColor="text1"/>
          <w:sz w:val="20"/>
          <w:szCs w:val="20"/>
          <w:bdr w:val="none" w:sz="0" w:space="0" w:color="auto"/>
        </w:rPr>
        <w:t>source of legal obligation</w:t>
      </w:r>
      <w:r w:rsidRPr="006D6B01">
        <w:rPr>
          <w:rFonts w:eastAsia="Times New Roman"/>
          <w:bCs/>
          <w:color w:val="000000" w:themeColor="text1"/>
          <w:sz w:val="20"/>
          <w:szCs w:val="20"/>
          <w:bdr w:val="none" w:sz="0" w:space="0" w:color="auto"/>
        </w:rPr>
        <w:t>s, this instrument</w:t>
      </w:r>
      <w:r w:rsidR="00B530B2" w:rsidRPr="006D6B01">
        <w:rPr>
          <w:rFonts w:eastAsia="Times New Roman"/>
          <w:bCs/>
          <w:color w:val="000000" w:themeColor="text1"/>
          <w:sz w:val="20"/>
          <w:szCs w:val="20"/>
          <w:bdr w:val="none" w:sz="0" w:space="0" w:color="auto"/>
        </w:rPr>
        <w:t xml:space="preserve"> may be applied by th</w:t>
      </w:r>
      <w:r w:rsidR="00D840F0" w:rsidRPr="006D6B01">
        <w:rPr>
          <w:rFonts w:eastAsia="Times New Roman"/>
          <w:bCs/>
          <w:color w:val="000000" w:themeColor="text1"/>
          <w:sz w:val="20"/>
          <w:szCs w:val="20"/>
          <w:bdr w:val="none" w:sz="0" w:space="0" w:color="auto"/>
        </w:rPr>
        <w:t>e Inter-American Commission to T</w:t>
      </w:r>
      <w:r w:rsidR="00B530B2" w:rsidRPr="006D6B01">
        <w:rPr>
          <w:rFonts w:eastAsia="Times New Roman"/>
          <w:bCs/>
          <w:color w:val="000000" w:themeColor="text1"/>
          <w:sz w:val="20"/>
          <w:szCs w:val="20"/>
          <w:bdr w:val="none" w:sz="0" w:space="0" w:color="auto"/>
        </w:rPr>
        <w:t xml:space="preserve">he </w:t>
      </w:r>
      <w:r w:rsidR="00D840F0" w:rsidRPr="006D6B01">
        <w:rPr>
          <w:rFonts w:eastAsia="Times New Roman"/>
          <w:bCs/>
          <w:color w:val="000000" w:themeColor="text1"/>
          <w:sz w:val="20"/>
          <w:szCs w:val="20"/>
          <w:bdr w:val="none" w:sz="0" w:space="0" w:color="auto"/>
        </w:rPr>
        <w:t>Bahamas</w:t>
      </w:r>
      <w:r w:rsidR="00B530B2" w:rsidRPr="006D6B01">
        <w:rPr>
          <w:rFonts w:eastAsia="Times New Roman"/>
          <w:bCs/>
          <w:color w:val="000000" w:themeColor="text1"/>
          <w:sz w:val="20"/>
          <w:szCs w:val="20"/>
          <w:bdr w:val="none" w:sz="0" w:space="0" w:color="auto"/>
        </w:rPr>
        <w:t xml:space="preserve"> on the basis of the State’s commitment to uphold respect for human rights as provided for and defined in the Charter of the Organization of American States (OAS).</w:t>
      </w:r>
      <w:bookmarkStart w:id="17" w:name="_Ref526241249"/>
      <w:r w:rsidR="00B530B2" w:rsidRPr="006D6B01">
        <w:rPr>
          <w:rStyle w:val="FootnoteReference"/>
          <w:rFonts w:eastAsia="Times New Roman"/>
          <w:bCs/>
          <w:color w:val="000000" w:themeColor="text1"/>
          <w:sz w:val="20"/>
          <w:szCs w:val="20"/>
          <w:bdr w:val="none" w:sz="0" w:space="0" w:color="auto"/>
        </w:rPr>
        <w:footnoteReference w:id="85"/>
      </w:r>
      <w:bookmarkEnd w:id="17"/>
      <w:r w:rsidR="00B530B2" w:rsidRPr="006D6B01">
        <w:rPr>
          <w:rFonts w:eastAsia="Times New Roman"/>
          <w:bCs/>
          <w:color w:val="000000" w:themeColor="text1"/>
          <w:sz w:val="20"/>
          <w:szCs w:val="20"/>
          <w:bdr w:val="none" w:sz="0" w:space="0" w:color="auto"/>
        </w:rPr>
        <w:t xml:space="preserve"> The </w:t>
      </w:r>
      <w:r w:rsidR="00D840F0" w:rsidRPr="006D6B01">
        <w:rPr>
          <w:rFonts w:eastAsia="Times New Roman"/>
          <w:bCs/>
          <w:color w:val="000000" w:themeColor="text1"/>
          <w:sz w:val="20"/>
          <w:szCs w:val="20"/>
          <w:bdr w:val="none" w:sz="0" w:space="0" w:color="auto"/>
        </w:rPr>
        <w:t>Bahamas</w:t>
      </w:r>
      <w:r w:rsidR="00B530B2" w:rsidRPr="006D6B01">
        <w:rPr>
          <w:rFonts w:eastAsia="Times New Roman"/>
          <w:bCs/>
          <w:color w:val="000000" w:themeColor="text1"/>
          <w:sz w:val="20"/>
          <w:szCs w:val="20"/>
          <w:bdr w:val="none" w:sz="0" w:space="0" w:color="auto"/>
        </w:rPr>
        <w:t xml:space="preserve"> deposited its instrument of ratification of the OAS Charter on </w:t>
      </w:r>
      <w:r w:rsidR="00D840F0" w:rsidRPr="006D6B01">
        <w:rPr>
          <w:rFonts w:eastAsia="Times New Roman"/>
          <w:bCs/>
          <w:color w:val="000000" w:themeColor="text1"/>
          <w:sz w:val="20"/>
          <w:szCs w:val="20"/>
          <w:bdr w:val="none" w:sz="0" w:space="0" w:color="auto"/>
        </w:rPr>
        <w:t>March 3, 1982</w:t>
      </w:r>
      <w:r w:rsidR="00B530B2" w:rsidRPr="006D6B01">
        <w:rPr>
          <w:rFonts w:eastAsia="Times New Roman"/>
          <w:bCs/>
          <w:color w:val="000000" w:themeColor="text1"/>
          <w:sz w:val="20"/>
          <w:szCs w:val="20"/>
          <w:bdr w:val="none" w:sz="0" w:space="0" w:color="auto"/>
        </w:rPr>
        <w:t xml:space="preserve">.  Article 20 of the Commission's Statute, as well as </w:t>
      </w:r>
      <w:r w:rsidR="00682FA9" w:rsidRPr="006D6B01">
        <w:rPr>
          <w:rFonts w:eastAsia="Times New Roman"/>
          <w:bCs/>
          <w:color w:val="000000" w:themeColor="text1"/>
          <w:sz w:val="20"/>
          <w:szCs w:val="20"/>
          <w:bdr w:val="none" w:sz="0" w:space="0" w:color="auto"/>
        </w:rPr>
        <w:t xml:space="preserve">Article 23 of </w:t>
      </w:r>
      <w:r w:rsidR="00B530B2" w:rsidRPr="006D6B01">
        <w:rPr>
          <w:rFonts w:eastAsia="Times New Roman"/>
          <w:bCs/>
          <w:color w:val="000000" w:themeColor="text1"/>
          <w:sz w:val="20"/>
          <w:szCs w:val="20"/>
          <w:bdr w:val="none" w:sz="0" w:space="0" w:color="auto"/>
        </w:rPr>
        <w:t xml:space="preserve">its Rules of Procedure, authorize the IACHR to examine the alleged violations of the Declaration raised by the petitioners against the State, relating to acts or omissions that occurred after </w:t>
      </w:r>
      <w:r w:rsidR="00D840F0" w:rsidRPr="006D6B01">
        <w:rPr>
          <w:rFonts w:eastAsia="Times New Roman"/>
          <w:bCs/>
          <w:color w:val="000000" w:themeColor="text1"/>
          <w:sz w:val="20"/>
          <w:szCs w:val="20"/>
          <w:bdr w:val="none" w:sz="0" w:space="0" w:color="auto"/>
        </w:rPr>
        <w:t>The Bahamas</w:t>
      </w:r>
      <w:r w:rsidR="00B530B2" w:rsidRPr="006D6B01">
        <w:rPr>
          <w:rFonts w:eastAsia="Times New Roman"/>
          <w:bCs/>
          <w:color w:val="000000" w:themeColor="text1"/>
          <w:sz w:val="20"/>
          <w:szCs w:val="20"/>
          <w:bdr w:val="none" w:sz="0" w:space="0" w:color="auto"/>
        </w:rPr>
        <w:t xml:space="preserve"> joined the OAS.</w:t>
      </w:r>
    </w:p>
    <w:p w14:paraId="7C362C04" w14:textId="77777777" w:rsidR="00B530B2" w:rsidRPr="006D6B01" w:rsidRDefault="00B530B2" w:rsidP="004311FE">
      <w:pPr>
        <w:tabs>
          <w:tab w:val="left" w:pos="360"/>
        </w:tabs>
        <w:rPr>
          <w:rFonts w:asciiTheme="majorHAnsi" w:hAnsiTheme="majorHAnsi"/>
          <w:color w:val="000000" w:themeColor="text1"/>
          <w:sz w:val="20"/>
          <w:szCs w:val="20"/>
        </w:rPr>
      </w:pPr>
    </w:p>
    <w:p w14:paraId="454386E5" w14:textId="77777777" w:rsidR="00B530B2" w:rsidRPr="006D6B01" w:rsidRDefault="00B530B2" w:rsidP="004311FE">
      <w:pPr>
        <w:pStyle w:val="ListParagraph"/>
        <w:numPr>
          <w:ilvl w:val="0"/>
          <w:numId w:val="56"/>
        </w:numPr>
        <w:tabs>
          <w:tab w:val="left" w:pos="360"/>
        </w:tabs>
        <w:ind w:left="0" w:firstLine="0"/>
        <w:jc w:val="both"/>
        <w:rPr>
          <w:rFonts w:asciiTheme="majorHAnsi" w:hAnsiTheme="majorHAnsi"/>
          <w:color w:val="000000" w:themeColor="text1"/>
          <w:sz w:val="20"/>
          <w:szCs w:val="20"/>
        </w:rPr>
      </w:pPr>
      <w:r w:rsidRPr="006D6B01">
        <w:rPr>
          <w:rFonts w:asciiTheme="majorHAnsi" w:eastAsia="Calibri" w:hAnsiTheme="majorHAnsi"/>
          <w:color w:val="000000" w:themeColor="text1"/>
          <w:sz w:val="20"/>
          <w:szCs w:val="22"/>
          <w:bdr w:val="none" w:sz="0" w:space="0" w:color="auto"/>
        </w:rPr>
        <w:t xml:space="preserve">The </w:t>
      </w:r>
      <w:r w:rsidRPr="006D6B01">
        <w:rPr>
          <w:rFonts w:asciiTheme="majorHAnsi" w:eastAsia="Calibri" w:hAnsiTheme="majorHAnsi"/>
          <w:color w:val="000000" w:themeColor="text1"/>
          <w:sz w:val="20"/>
          <w:szCs w:val="20"/>
          <w:bdr w:val="none" w:sz="0" w:space="0" w:color="auto"/>
        </w:rPr>
        <w:t>Commission has long held that it is necessary to consider the provisions of the American Declaration in t</w:t>
      </w:r>
      <w:r w:rsidR="00D840F0" w:rsidRPr="006D6B01">
        <w:rPr>
          <w:rFonts w:asciiTheme="majorHAnsi" w:eastAsia="Calibri" w:hAnsiTheme="majorHAnsi"/>
          <w:color w:val="000000" w:themeColor="text1"/>
          <w:sz w:val="20"/>
          <w:szCs w:val="20"/>
          <w:bdr w:val="none" w:sz="0" w:space="0" w:color="auto"/>
        </w:rPr>
        <w:t>he broader context of both the I</w:t>
      </w:r>
      <w:r w:rsidRPr="006D6B01">
        <w:rPr>
          <w:rFonts w:asciiTheme="majorHAnsi" w:eastAsia="Calibri" w:hAnsiTheme="majorHAnsi"/>
          <w:color w:val="000000" w:themeColor="text1"/>
          <w:sz w:val="20"/>
          <w:szCs w:val="20"/>
          <w:bdr w:val="none" w:sz="0" w:space="0" w:color="auto"/>
        </w:rPr>
        <w:t>nter–American and international human rights systems, in light of developments in international human rights law since the Declaration was adopted and having regard to other relevant rules of international law applicable to member states against which complaints of violations of the Declaration are properly lodged.</w:t>
      </w:r>
      <w:r w:rsidRPr="006D6B01">
        <w:rPr>
          <w:color w:val="000000" w:themeColor="text1"/>
          <w:sz w:val="20"/>
          <w:szCs w:val="20"/>
          <w:bdr w:val="none" w:sz="0" w:space="0" w:color="auto"/>
          <w:vertAlign w:val="superscript"/>
        </w:rPr>
        <w:footnoteReference w:id="86"/>
      </w:r>
      <w:r w:rsidRPr="006D6B01">
        <w:rPr>
          <w:rFonts w:asciiTheme="majorHAnsi" w:eastAsia="Calibri" w:hAnsiTheme="majorHAnsi"/>
          <w:color w:val="000000" w:themeColor="text1"/>
          <w:sz w:val="20"/>
          <w:szCs w:val="20"/>
          <w:bdr w:val="none" w:sz="0" w:space="0" w:color="auto"/>
        </w:rPr>
        <w:t xml:space="preserve"> Developments in the corpus of international human rights law relevant to interpreting and applying the American Declaration may additionally be drawn from the provisions of other prevailing international and re</w:t>
      </w:r>
      <w:r w:rsidR="00410EF5" w:rsidRPr="006D6B01">
        <w:rPr>
          <w:rFonts w:asciiTheme="majorHAnsi" w:eastAsia="Calibri" w:hAnsiTheme="majorHAnsi"/>
          <w:color w:val="000000" w:themeColor="text1"/>
          <w:sz w:val="20"/>
          <w:szCs w:val="20"/>
          <w:bdr w:val="none" w:sz="0" w:space="0" w:color="auto"/>
        </w:rPr>
        <w:t>gional human rights instruments: i</w:t>
      </w:r>
      <w:r w:rsidRPr="006D6B01">
        <w:rPr>
          <w:rFonts w:asciiTheme="majorHAnsi" w:eastAsia="Calibri" w:hAnsiTheme="majorHAnsi"/>
          <w:color w:val="000000" w:themeColor="text1"/>
          <w:sz w:val="20"/>
          <w:szCs w:val="20"/>
          <w:bdr w:val="none" w:sz="0" w:space="0" w:color="auto"/>
        </w:rPr>
        <w:t>n particular, the American Convention on Human Rights, which, in many instances, may be considered to represent an authoritative expression of the fundamental principles set forth in the American Declaration. While the Co</w:t>
      </w:r>
      <w:r w:rsidR="00554507" w:rsidRPr="006D6B01">
        <w:rPr>
          <w:rFonts w:asciiTheme="majorHAnsi" w:eastAsia="Calibri" w:hAnsiTheme="majorHAnsi"/>
          <w:color w:val="000000" w:themeColor="text1"/>
          <w:sz w:val="20"/>
          <w:szCs w:val="20"/>
          <w:bdr w:val="none" w:sz="0" w:space="0" w:color="auto"/>
        </w:rPr>
        <w:t xml:space="preserve">mmission clearly does not apply </w:t>
      </w:r>
      <w:r w:rsidRPr="006D6B01">
        <w:rPr>
          <w:rFonts w:asciiTheme="majorHAnsi" w:eastAsia="Calibri" w:hAnsiTheme="majorHAnsi"/>
          <w:color w:val="000000" w:themeColor="text1"/>
          <w:sz w:val="20"/>
          <w:szCs w:val="20"/>
          <w:bdr w:val="none" w:sz="0" w:space="0" w:color="auto"/>
        </w:rPr>
        <w:t xml:space="preserve">the American Convention in relation to Member States </w:t>
      </w:r>
      <w:r w:rsidR="002A1B5D" w:rsidRPr="006D6B01">
        <w:rPr>
          <w:rFonts w:asciiTheme="majorHAnsi" w:eastAsia="Calibri" w:hAnsiTheme="majorHAnsi"/>
          <w:color w:val="000000" w:themeColor="text1"/>
          <w:sz w:val="20"/>
          <w:szCs w:val="20"/>
          <w:bdr w:val="none" w:sz="0" w:space="0" w:color="auto"/>
        </w:rPr>
        <w:t xml:space="preserve">who are </w:t>
      </w:r>
      <w:r w:rsidR="004F61B0" w:rsidRPr="006D6B01">
        <w:rPr>
          <w:rFonts w:asciiTheme="majorHAnsi" w:eastAsia="Calibri" w:hAnsiTheme="majorHAnsi"/>
          <w:color w:val="000000" w:themeColor="text1"/>
          <w:sz w:val="20"/>
          <w:szCs w:val="20"/>
          <w:bdr w:val="none" w:sz="0" w:space="0" w:color="auto"/>
        </w:rPr>
        <w:t xml:space="preserve">not parties </w:t>
      </w:r>
      <w:r w:rsidR="002A1B5D" w:rsidRPr="006D6B01">
        <w:rPr>
          <w:rFonts w:asciiTheme="majorHAnsi" w:eastAsia="Calibri" w:hAnsiTheme="majorHAnsi"/>
          <w:color w:val="000000" w:themeColor="text1"/>
          <w:sz w:val="20"/>
          <w:szCs w:val="20"/>
          <w:bdr w:val="none" w:sz="0" w:space="0" w:color="auto"/>
        </w:rPr>
        <w:t>to</w:t>
      </w:r>
      <w:r w:rsidR="00BD0A6B" w:rsidRPr="006D6B01">
        <w:rPr>
          <w:rFonts w:asciiTheme="majorHAnsi" w:eastAsia="Calibri" w:hAnsiTheme="majorHAnsi"/>
          <w:color w:val="000000" w:themeColor="text1"/>
          <w:sz w:val="20"/>
          <w:szCs w:val="20"/>
          <w:bdr w:val="none" w:sz="0" w:space="0" w:color="auto"/>
        </w:rPr>
        <w:t xml:space="preserve"> </w:t>
      </w:r>
      <w:r w:rsidR="002A1B5D" w:rsidRPr="006D6B01">
        <w:rPr>
          <w:rFonts w:asciiTheme="majorHAnsi" w:eastAsia="Calibri" w:hAnsiTheme="majorHAnsi"/>
          <w:color w:val="000000" w:themeColor="text1"/>
          <w:sz w:val="20"/>
          <w:szCs w:val="20"/>
          <w:bdr w:val="none" w:sz="0" w:space="0" w:color="auto"/>
        </w:rPr>
        <w:t>the</w:t>
      </w:r>
      <w:r w:rsidRPr="006D6B01">
        <w:rPr>
          <w:rFonts w:asciiTheme="majorHAnsi" w:eastAsia="Calibri" w:hAnsiTheme="majorHAnsi"/>
          <w:color w:val="000000" w:themeColor="text1"/>
          <w:sz w:val="20"/>
          <w:szCs w:val="20"/>
          <w:bdr w:val="none" w:sz="0" w:space="0" w:color="auto"/>
        </w:rPr>
        <w:t xml:space="preserve"> </w:t>
      </w:r>
      <w:r w:rsidR="002A1B5D" w:rsidRPr="006D6B01">
        <w:rPr>
          <w:rFonts w:asciiTheme="majorHAnsi" w:eastAsia="Calibri" w:hAnsiTheme="majorHAnsi"/>
          <w:color w:val="000000" w:themeColor="text1"/>
          <w:sz w:val="20"/>
          <w:szCs w:val="20"/>
          <w:bdr w:val="none" w:sz="0" w:space="0" w:color="auto"/>
        </w:rPr>
        <w:t>instrument</w:t>
      </w:r>
      <w:r w:rsidRPr="006D6B01">
        <w:rPr>
          <w:rFonts w:asciiTheme="majorHAnsi" w:eastAsia="Calibri" w:hAnsiTheme="majorHAnsi"/>
          <w:color w:val="000000" w:themeColor="text1"/>
          <w:sz w:val="20"/>
          <w:szCs w:val="20"/>
          <w:bdr w:val="none" w:sz="0" w:space="0" w:color="auto"/>
        </w:rPr>
        <w:t xml:space="preserve">, </w:t>
      </w:r>
      <w:r w:rsidR="004F61B0" w:rsidRPr="006D6B01">
        <w:rPr>
          <w:rFonts w:asciiTheme="majorHAnsi" w:eastAsia="Calibri" w:hAnsiTheme="majorHAnsi"/>
          <w:color w:val="000000" w:themeColor="text1"/>
          <w:sz w:val="20"/>
          <w:szCs w:val="20"/>
          <w:bdr w:val="none" w:sz="0" w:space="0" w:color="auto"/>
        </w:rPr>
        <w:t xml:space="preserve">its </w:t>
      </w:r>
      <w:r w:rsidR="002C7C80" w:rsidRPr="006D6B01">
        <w:rPr>
          <w:rFonts w:asciiTheme="majorHAnsi" w:eastAsia="Calibri" w:hAnsiTheme="majorHAnsi"/>
          <w:color w:val="000000" w:themeColor="text1"/>
          <w:sz w:val="20"/>
          <w:szCs w:val="20"/>
          <w:bdr w:val="none" w:sz="0" w:space="0" w:color="auto"/>
        </w:rPr>
        <w:t xml:space="preserve">consideration </w:t>
      </w:r>
      <w:r w:rsidR="002A1B5D" w:rsidRPr="006D6B01">
        <w:rPr>
          <w:rFonts w:asciiTheme="majorHAnsi" w:eastAsia="Calibri" w:hAnsiTheme="majorHAnsi"/>
          <w:color w:val="000000" w:themeColor="text1"/>
          <w:sz w:val="20"/>
          <w:szCs w:val="20"/>
          <w:bdr w:val="none" w:sz="0" w:space="0" w:color="auto"/>
        </w:rPr>
        <w:t xml:space="preserve">of </w:t>
      </w:r>
      <w:r w:rsidR="002C7C80" w:rsidRPr="006D6B01">
        <w:rPr>
          <w:rFonts w:asciiTheme="majorHAnsi" w:eastAsia="Calibri" w:hAnsiTheme="majorHAnsi"/>
          <w:color w:val="000000" w:themeColor="text1"/>
          <w:sz w:val="20"/>
          <w:szCs w:val="20"/>
          <w:bdr w:val="none" w:sz="0" w:space="0" w:color="auto"/>
        </w:rPr>
        <w:t xml:space="preserve">legal standards </w:t>
      </w:r>
      <w:r w:rsidR="002A1B5D" w:rsidRPr="006D6B01">
        <w:rPr>
          <w:rFonts w:asciiTheme="majorHAnsi" w:eastAsia="Calibri" w:hAnsiTheme="majorHAnsi"/>
          <w:color w:val="000000" w:themeColor="text1"/>
          <w:sz w:val="20"/>
          <w:szCs w:val="20"/>
          <w:bdr w:val="none" w:sz="0" w:space="0" w:color="auto"/>
        </w:rPr>
        <w:t>relating to</w:t>
      </w:r>
      <w:r w:rsidR="002C7C80" w:rsidRPr="006D6B01">
        <w:rPr>
          <w:rFonts w:asciiTheme="majorHAnsi" w:eastAsia="Calibri" w:hAnsiTheme="majorHAnsi"/>
          <w:color w:val="000000" w:themeColor="text1"/>
          <w:sz w:val="20"/>
          <w:szCs w:val="20"/>
          <w:bdr w:val="none" w:sz="0" w:space="0" w:color="auto"/>
        </w:rPr>
        <w:t xml:space="preserve"> the rights of migrants in </w:t>
      </w:r>
      <w:r w:rsidR="004F61B0" w:rsidRPr="006D6B01">
        <w:rPr>
          <w:rFonts w:asciiTheme="majorHAnsi" w:eastAsia="Calibri" w:hAnsiTheme="majorHAnsi"/>
          <w:color w:val="000000" w:themeColor="text1"/>
          <w:sz w:val="20"/>
          <w:szCs w:val="20"/>
          <w:bdr w:val="none" w:sz="0" w:space="0" w:color="auto"/>
        </w:rPr>
        <w:t xml:space="preserve">the application of </w:t>
      </w:r>
      <w:r w:rsidR="002A1B5D" w:rsidRPr="006D6B01">
        <w:rPr>
          <w:rFonts w:asciiTheme="majorHAnsi" w:eastAsia="Calibri" w:hAnsiTheme="majorHAnsi"/>
          <w:color w:val="000000" w:themeColor="text1"/>
          <w:sz w:val="20"/>
          <w:szCs w:val="20"/>
          <w:bdr w:val="none" w:sz="0" w:space="0" w:color="auto"/>
        </w:rPr>
        <w:t>the Convention’s</w:t>
      </w:r>
      <w:r w:rsidRPr="006D6B01">
        <w:rPr>
          <w:rFonts w:asciiTheme="majorHAnsi" w:eastAsia="Calibri" w:hAnsiTheme="majorHAnsi"/>
          <w:color w:val="000000" w:themeColor="text1"/>
          <w:sz w:val="20"/>
          <w:szCs w:val="20"/>
          <w:bdr w:val="none" w:sz="0" w:space="0" w:color="auto"/>
        </w:rPr>
        <w:t xml:space="preserve"> provisions may well be relevant in informing an interpretation of the Declaration.</w:t>
      </w:r>
      <w:r w:rsidRPr="006D6B01">
        <w:rPr>
          <w:rFonts w:asciiTheme="majorHAnsi" w:eastAsia="Calibri" w:hAnsiTheme="majorHAnsi"/>
          <w:color w:val="000000" w:themeColor="text1"/>
          <w:sz w:val="20"/>
          <w:szCs w:val="20"/>
          <w:bdr w:val="none" w:sz="0" w:space="0" w:color="auto"/>
          <w:vertAlign w:val="superscript"/>
        </w:rPr>
        <w:footnoteReference w:id="87"/>
      </w:r>
      <w:r w:rsidRPr="006D6B01">
        <w:rPr>
          <w:rFonts w:asciiTheme="majorHAnsi" w:eastAsia="Calibri" w:hAnsiTheme="majorHAnsi"/>
          <w:color w:val="000000" w:themeColor="text1"/>
          <w:sz w:val="20"/>
          <w:szCs w:val="20"/>
          <w:bdr w:val="none" w:sz="0" w:space="0" w:color="auto"/>
        </w:rPr>
        <w:t xml:space="preserve"> </w:t>
      </w:r>
    </w:p>
    <w:p w14:paraId="4A9AD954" w14:textId="77777777" w:rsidR="00221CE2" w:rsidRPr="006D6B01" w:rsidRDefault="00221CE2" w:rsidP="004311FE">
      <w:pPr>
        <w:tabs>
          <w:tab w:val="left" w:pos="360"/>
        </w:tabs>
        <w:jc w:val="both"/>
        <w:rPr>
          <w:b/>
          <w:sz w:val="20"/>
          <w:szCs w:val="20"/>
        </w:rPr>
      </w:pPr>
      <w:bookmarkStart w:id="18" w:name="_Toc485650798"/>
    </w:p>
    <w:p w14:paraId="1BFEA51C" w14:textId="77777777" w:rsidR="004311FE" w:rsidRDefault="004311FE">
      <w:pPr>
        <w:rPr>
          <w:rFonts w:asciiTheme="majorHAnsi" w:eastAsia="Cambria" w:hAnsiTheme="majorHAnsi" w:cs="Cambria"/>
          <w:b/>
          <w:color w:val="000000"/>
          <w:sz w:val="20"/>
          <w:szCs w:val="20"/>
          <w:u w:color="000000"/>
          <w:lang w:eastAsia="es-ES"/>
        </w:rPr>
      </w:pPr>
      <w:bookmarkStart w:id="19" w:name="_Toc531083731"/>
      <w:bookmarkStart w:id="20" w:name="_Toc90557412"/>
      <w:bookmarkEnd w:id="18"/>
      <w:r>
        <w:br w:type="page"/>
      </w:r>
    </w:p>
    <w:p w14:paraId="31905910" w14:textId="751AB0D4" w:rsidR="00543556" w:rsidRPr="003C2050" w:rsidRDefault="00EA7C9F" w:rsidP="004311FE">
      <w:pPr>
        <w:pStyle w:val="Heading2"/>
        <w:tabs>
          <w:tab w:val="left" w:pos="360"/>
        </w:tabs>
        <w:ind w:left="0" w:firstLine="0"/>
        <w:rPr>
          <w:color w:val="auto"/>
          <w:lang w:val="en-US"/>
        </w:rPr>
      </w:pPr>
      <w:r w:rsidRPr="003C2050">
        <w:rPr>
          <w:lang w:val="en-US"/>
        </w:rPr>
        <w:lastRenderedPageBreak/>
        <w:t>Right to protection from arbitrary detention</w:t>
      </w:r>
      <w:r w:rsidR="003019E9" w:rsidRPr="003C2050">
        <w:rPr>
          <w:lang w:val="en-US"/>
        </w:rPr>
        <w:t xml:space="preserve"> and the right to humane treatment in detention</w:t>
      </w:r>
      <w:r w:rsidRPr="003C2050">
        <w:rPr>
          <w:lang w:val="en-US"/>
        </w:rPr>
        <w:t xml:space="preserve"> (Art</w:t>
      </w:r>
      <w:r w:rsidR="00C95E39" w:rsidRPr="003C2050">
        <w:rPr>
          <w:lang w:val="en-US"/>
        </w:rPr>
        <w:t>icle</w:t>
      </w:r>
      <w:r w:rsidRPr="003C2050">
        <w:rPr>
          <w:lang w:val="en-US"/>
        </w:rPr>
        <w:t>s I and XXV</w:t>
      </w:r>
      <w:r w:rsidR="00381ACF" w:rsidRPr="003C2050">
        <w:rPr>
          <w:lang w:val="en-US"/>
        </w:rPr>
        <w:t xml:space="preserve"> of the American Declaration</w:t>
      </w:r>
      <w:r w:rsidRPr="003C2050">
        <w:rPr>
          <w:lang w:val="en-US"/>
        </w:rPr>
        <w:t>)</w:t>
      </w:r>
      <w:r w:rsidRPr="006D6B01">
        <w:rPr>
          <w:rStyle w:val="FootnoteReference"/>
          <w:color w:val="000000" w:themeColor="text1"/>
        </w:rPr>
        <w:footnoteReference w:id="88"/>
      </w:r>
      <w:bookmarkEnd w:id="19"/>
      <w:bookmarkEnd w:id="20"/>
    </w:p>
    <w:p w14:paraId="09B583B9" w14:textId="77777777" w:rsidR="00543556" w:rsidRPr="006D6B01" w:rsidRDefault="00543556" w:rsidP="004311FE">
      <w:pPr>
        <w:pStyle w:val="ListParagraph"/>
        <w:tabs>
          <w:tab w:val="left" w:pos="360"/>
        </w:tabs>
        <w:ind w:left="0"/>
        <w:jc w:val="both"/>
        <w:rPr>
          <w:rFonts w:asciiTheme="majorHAnsi" w:hAnsiTheme="majorHAnsi"/>
          <w:b/>
          <w:color w:val="auto"/>
          <w:sz w:val="20"/>
          <w:szCs w:val="20"/>
        </w:rPr>
      </w:pPr>
    </w:p>
    <w:p w14:paraId="138AF992" w14:textId="77777777" w:rsidR="0014633A" w:rsidRPr="007B234B" w:rsidRDefault="0014633A" w:rsidP="004311FE">
      <w:pPr>
        <w:pStyle w:val="Heading3"/>
        <w:numPr>
          <w:ilvl w:val="0"/>
          <w:numId w:val="57"/>
        </w:numPr>
        <w:tabs>
          <w:tab w:val="left" w:pos="360"/>
        </w:tabs>
        <w:ind w:left="0" w:firstLine="0"/>
      </w:pPr>
      <w:bookmarkStart w:id="21" w:name="_Toc90557413"/>
      <w:r w:rsidRPr="007B234B">
        <w:t xml:space="preserve">Inter-American standards regarding migrants </w:t>
      </w:r>
      <w:r w:rsidR="0021363B" w:rsidRPr="007B234B">
        <w:t>in detention</w:t>
      </w:r>
      <w:bookmarkEnd w:id="21"/>
    </w:p>
    <w:p w14:paraId="559513B4" w14:textId="77777777" w:rsidR="0014633A" w:rsidRPr="006D6B01" w:rsidRDefault="0014633A" w:rsidP="004311FE">
      <w:pPr>
        <w:tabs>
          <w:tab w:val="left" w:pos="360"/>
        </w:tabs>
        <w:rPr>
          <w:rFonts w:asciiTheme="majorHAnsi" w:hAnsiTheme="majorHAnsi"/>
        </w:rPr>
      </w:pPr>
    </w:p>
    <w:p w14:paraId="5321CD09" w14:textId="77777777" w:rsidR="00504A28" w:rsidRPr="006D6B01" w:rsidRDefault="002142DF" w:rsidP="004311FE">
      <w:pPr>
        <w:pStyle w:val="ListParagraph"/>
        <w:numPr>
          <w:ilvl w:val="0"/>
          <w:numId w:val="56"/>
        </w:numPr>
        <w:tabs>
          <w:tab w:val="left" w:pos="360"/>
        </w:tabs>
        <w:ind w:left="0" w:firstLine="0"/>
        <w:jc w:val="both"/>
        <w:rPr>
          <w:rFonts w:asciiTheme="majorHAnsi" w:hAnsiTheme="majorHAnsi"/>
          <w:color w:val="000000" w:themeColor="text1"/>
          <w:sz w:val="20"/>
          <w:szCs w:val="20"/>
        </w:rPr>
      </w:pPr>
      <w:r w:rsidRPr="006D6B01">
        <w:rPr>
          <w:rFonts w:asciiTheme="majorHAnsi" w:hAnsiTheme="majorHAnsi"/>
          <w:color w:val="000000" w:themeColor="text1"/>
          <w:sz w:val="20"/>
          <w:szCs w:val="20"/>
        </w:rPr>
        <w:t xml:space="preserve">The Commission has clearly established that irregular migrants are not criminals, and that a violation of immigration law </w:t>
      </w:r>
      <w:r w:rsidR="002D1D1D" w:rsidRPr="006D6B01">
        <w:rPr>
          <w:rFonts w:asciiTheme="majorHAnsi" w:hAnsiTheme="majorHAnsi"/>
          <w:color w:val="000000" w:themeColor="text1"/>
          <w:sz w:val="20"/>
          <w:szCs w:val="20"/>
        </w:rPr>
        <w:t>can never be equated to a violation of criminal laws</w:t>
      </w:r>
      <w:r w:rsidR="009621E3" w:rsidRPr="006D6B01">
        <w:rPr>
          <w:rFonts w:asciiTheme="majorHAnsi" w:hAnsiTheme="majorHAnsi"/>
          <w:color w:val="000000" w:themeColor="text1"/>
          <w:sz w:val="20"/>
          <w:szCs w:val="20"/>
        </w:rPr>
        <w:t xml:space="preserve"> that </w:t>
      </w:r>
      <w:r w:rsidR="00876263" w:rsidRPr="006D6B01">
        <w:rPr>
          <w:rFonts w:asciiTheme="majorHAnsi" w:hAnsiTheme="majorHAnsi"/>
          <w:color w:val="000000" w:themeColor="text1"/>
          <w:sz w:val="20"/>
          <w:szCs w:val="20"/>
        </w:rPr>
        <w:t>warrants the use of the State’s punitive authority</w:t>
      </w:r>
      <w:r w:rsidR="002D1D1D" w:rsidRPr="006D6B01">
        <w:rPr>
          <w:rFonts w:asciiTheme="majorHAnsi" w:hAnsiTheme="majorHAnsi"/>
          <w:color w:val="000000" w:themeColor="text1"/>
          <w:sz w:val="20"/>
          <w:szCs w:val="20"/>
        </w:rPr>
        <w:t>.</w:t>
      </w:r>
      <w:r w:rsidR="002D1D1D" w:rsidRPr="006D6B01">
        <w:rPr>
          <w:rStyle w:val="FootnoteReference"/>
          <w:rFonts w:asciiTheme="majorHAnsi" w:hAnsiTheme="majorHAnsi"/>
          <w:color w:val="000000" w:themeColor="text1"/>
          <w:sz w:val="20"/>
          <w:szCs w:val="20"/>
        </w:rPr>
        <w:footnoteReference w:id="89"/>
      </w:r>
      <w:r w:rsidR="002D1D1D" w:rsidRPr="006D6B01">
        <w:rPr>
          <w:rFonts w:asciiTheme="majorHAnsi" w:hAnsiTheme="majorHAnsi"/>
          <w:color w:val="000000" w:themeColor="text1"/>
          <w:sz w:val="20"/>
          <w:szCs w:val="20"/>
        </w:rPr>
        <w:t xml:space="preserve"> </w:t>
      </w:r>
      <w:r w:rsidR="00876263" w:rsidRPr="006D6B01">
        <w:rPr>
          <w:rFonts w:asciiTheme="majorHAnsi" w:hAnsiTheme="majorHAnsi"/>
          <w:color w:val="000000" w:themeColor="text1"/>
          <w:sz w:val="20"/>
          <w:szCs w:val="20"/>
        </w:rPr>
        <w:t>Moreover, in line with the Inter-American Commission’s and Court’s jurisprudence on arbitrary detention, any decision to restrict an individual’s personal liberty by detaining them must be individualized and duly motivated; for this reason, policies that require the automatic detention of migrants are arbitrary and contrary the State’s human rights obligations</w:t>
      </w:r>
      <w:r w:rsidR="00876263" w:rsidRPr="006D6B01">
        <w:rPr>
          <w:rStyle w:val="FootnoteReference"/>
          <w:rFonts w:asciiTheme="majorHAnsi" w:hAnsiTheme="majorHAnsi"/>
          <w:color w:val="000000" w:themeColor="text1"/>
          <w:sz w:val="20"/>
          <w:szCs w:val="20"/>
        </w:rPr>
        <w:footnoteReference w:id="90"/>
      </w:r>
      <w:r w:rsidR="00876263" w:rsidRPr="006D6B01">
        <w:rPr>
          <w:rFonts w:asciiTheme="majorHAnsi" w:hAnsiTheme="majorHAnsi"/>
          <w:color w:val="000000" w:themeColor="text1"/>
          <w:sz w:val="20"/>
          <w:szCs w:val="20"/>
        </w:rPr>
        <w:t>.</w:t>
      </w:r>
      <w:r w:rsidR="00410EF5" w:rsidRPr="006D6B01">
        <w:rPr>
          <w:rFonts w:asciiTheme="majorHAnsi" w:hAnsiTheme="majorHAnsi"/>
          <w:color w:val="000000" w:themeColor="text1"/>
          <w:sz w:val="20"/>
          <w:szCs w:val="20"/>
        </w:rPr>
        <w:t xml:space="preserve"> </w:t>
      </w:r>
    </w:p>
    <w:p w14:paraId="52C3BAA5" w14:textId="77777777" w:rsidR="00790C2B" w:rsidRPr="006D6B01" w:rsidRDefault="00790C2B" w:rsidP="004311FE">
      <w:pPr>
        <w:pStyle w:val="ListParagraph"/>
        <w:tabs>
          <w:tab w:val="left" w:pos="360"/>
        </w:tabs>
        <w:ind w:left="0"/>
        <w:jc w:val="both"/>
        <w:rPr>
          <w:rFonts w:asciiTheme="majorHAnsi" w:hAnsiTheme="majorHAnsi"/>
          <w:color w:val="000000" w:themeColor="text1"/>
          <w:sz w:val="20"/>
          <w:szCs w:val="20"/>
        </w:rPr>
      </w:pPr>
    </w:p>
    <w:p w14:paraId="39DC26C1" w14:textId="0A5C5471" w:rsidR="00790C2B" w:rsidRPr="00080DA0" w:rsidRDefault="003311CC" w:rsidP="004311FE">
      <w:pPr>
        <w:pStyle w:val="ListParagraph"/>
        <w:numPr>
          <w:ilvl w:val="0"/>
          <w:numId w:val="56"/>
        </w:numPr>
        <w:tabs>
          <w:tab w:val="left" w:pos="360"/>
        </w:tabs>
        <w:ind w:left="0" w:firstLine="0"/>
        <w:jc w:val="both"/>
        <w:rPr>
          <w:rFonts w:asciiTheme="majorHAnsi" w:hAnsiTheme="majorHAnsi"/>
          <w:color w:val="000000" w:themeColor="text1"/>
          <w:sz w:val="20"/>
          <w:szCs w:val="20"/>
        </w:rPr>
      </w:pPr>
      <w:r w:rsidRPr="006D6B01">
        <w:rPr>
          <w:rFonts w:asciiTheme="majorHAnsi" w:hAnsiTheme="majorHAnsi"/>
          <w:color w:val="000000" w:themeColor="text1"/>
          <w:sz w:val="20"/>
          <w:szCs w:val="20"/>
        </w:rPr>
        <w:t>The Inter-American</w:t>
      </w:r>
      <w:r w:rsidR="00FE5CBD" w:rsidRPr="006D6B01">
        <w:rPr>
          <w:rFonts w:asciiTheme="majorHAnsi" w:hAnsiTheme="majorHAnsi"/>
          <w:color w:val="000000" w:themeColor="text1"/>
          <w:sz w:val="20"/>
          <w:szCs w:val="20"/>
        </w:rPr>
        <w:t xml:space="preserve"> Court has asserted that for the deprivation of liberty of migrants not to be considered arbitrary,</w:t>
      </w:r>
      <w:r w:rsidR="00876263" w:rsidRPr="006D6B01">
        <w:rPr>
          <w:rFonts w:asciiTheme="majorHAnsi" w:hAnsiTheme="majorHAnsi"/>
          <w:color w:val="000000" w:themeColor="text1"/>
          <w:sz w:val="20"/>
          <w:szCs w:val="20"/>
        </w:rPr>
        <w:t xml:space="preserve"> in each individual case,</w:t>
      </w:r>
      <w:r w:rsidR="00FE5CBD" w:rsidRPr="006D6B01">
        <w:rPr>
          <w:rFonts w:asciiTheme="majorHAnsi" w:hAnsiTheme="majorHAnsi"/>
          <w:color w:val="000000" w:themeColor="text1"/>
          <w:sz w:val="20"/>
          <w:szCs w:val="20"/>
        </w:rPr>
        <w:t xml:space="preserve"> the</w:t>
      </w:r>
      <w:r w:rsidRPr="006D6B01">
        <w:rPr>
          <w:rFonts w:asciiTheme="majorHAnsi" w:hAnsiTheme="majorHAnsi"/>
          <w:color w:val="000000" w:themeColor="text1"/>
          <w:sz w:val="20"/>
          <w:szCs w:val="20"/>
        </w:rPr>
        <w:t>ir</w:t>
      </w:r>
      <w:r w:rsidR="00FE5CBD" w:rsidRPr="006D6B01">
        <w:rPr>
          <w:rFonts w:asciiTheme="majorHAnsi" w:hAnsiTheme="majorHAnsi"/>
          <w:color w:val="000000" w:themeColor="text1"/>
          <w:sz w:val="20"/>
          <w:szCs w:val="20"/>
        </w:rPr>
        <w:t xml:space="preserve"> detention must </w:t>
      </w:r>
      <w:r w:rsidRPr="006D6B01">
        <w:rPr>
          <w:rFonts w:asciiTheme="majorHAnsi" w:hAnsiTheme="majorHAnsi"/>
          <w:color w:val="000000" w:themeColor="text1"/>
          <w:sz w:val="20"/>
          <w:szCs w:val="20"/>
        </w:rPr>
        <w:t>be</w:t>
      </w:r>
      <w:r w:rsidR="00FE5CBD" w:rsidRPr="006D6B01">
        <w:rPr>
          <w:rFonts w:asciiTheme="majorHAnsi" w:hAnsiTheme="majorHAnsi"/>
          <w:color w:val="000000" w:themeColor="text1"/>
          <w:sz w:val="20"/>
          <w:szCs w:val="20"/>
        </w:rPr>
        <w:t xml:space="preserve"> prescribed by law, ha</w:t>
      </w:r>
      <w:r w:rsidRPr="006D6B01">
        <w:rPr>
          <w:rFonts w:asciiTheme="majorHAnsi" w:hAnsiTheme="majorHAnsi"/>
          <w:color w:val="000000" w:themeColor="text1"/>
          <w:sz w:val="20"/>
          <w:szCs w:val="20"/>
        </w:rPr>
        <w:t>ve</w:t>
      </w:r>
      <w:r w:rsidR="00FE5CBD" w:rsidRPr="006D6B01">
        <w:rPr>
          <w:rFonts w:asciiTheme="majorHAnsi" w:hAnsiTheme="majorHAnsi"/>
          <w:color w:val="000000" w:themeColor="text1"/>
          <w:sz w:val="20"/>
          <w:szCs w:val="20"/>
        </w:rPr>
        <w:t xml:space="preserve"> a legitimate purpose, </w:t>
      </w:r>
      <w:r w:rsidRPr="006D6B01">
        <w:rPr>
          <w:rFonts w:asciiTheme="majorHAnsi" w:hAnsiTheme="majorHAnsi"/>
          <w:color w:val="000000" w:themeColor="text1"/>
          <w:sz w:val="20"/>
          <w:szCs w:val="20"/>
        </w:rPr>
        <w:t>be</w:t>
      </w:r>
      <w:r w:rsidR="00FE5CBD" w:rsidRPr="006D6B01">
        <w:rPr>
          <w:rFonts w:asciiTheme="majorHAnsi" w:hAnsiTheme="majorHAnsi"/>
          <w:color w:val="000000" w:themeColor="text1"/>
          <w:sz w:val="20"/>
          <w:szCs w:val="20"/>
        </w:rPr>
        <w:t xml:space="preserve"> suitable, necessary, and proportionate</w:t>
      </w:r>
      <w:r w:rsidR="00410EF5" w:rsidRPr="006D6B01">
        <w:rPr>
          <w:rFonts w:asciiTheme="majorHAnsi" w:hAnsiTheme="majorHAnsi"/>
          <w:color w:val="000000" w:themeColor="text1"/>
          <w:sz w:val="20"/>
          <w:szCs w:val="20"/>
        </w:rPr>
        <w:t>, and for the shortest time possible</w:t>
      </w:r>
      <w:r w:rsidR="00D6393E" w:rsidRPr="006D6B01">
        <w:rPr>
          <w:rFonts w:asciiTheme="majorHAnsi" w:hAnsiTheme="majorHAnsi"/>
          <w:color w:val="000000" w:themeColor="text1"/>
          <w:sz w:val="20"/>
          <w:szCs w:val="20"/>
        </w:rPr>
        <w:t>.</w:t>
      </w:r>
      <w:r w:rsidR="00FE5CBD" w:rsidRPr="006D6B01">
        <w:rPr>
          <w:rStyle w:val="FootnoteReference"/>
          <w:rFonts w:asciiTheme="majorHAnsi" w:hAnsiTheme="majorHAnsi"/>
          <w:color w:val="000000" w:themeColor="text1"/>
          <w:sz w:val="20"/>
          <w:szCs w:val="20"/>
        </w:rPr>
        <w:footnoteReference w:id="91"/>
      </w:r>
      <w:r w:rsidR="00FE5CBD" w:rsidRPr="006D6B01">
        <w:rPr>
          <w:rFonts w:asciiTheme="majorHAnsi" w:hAnsiTheme="majorHAnsi"/>
          <w:color w:val="000000" w:themeColor="text1"/>
          <w:sz w:val="20"/>
          <w:szCs w:val="20"/>
        </w:rPr>
        <w:t xml:space="preserve"> </w:t>
      </w:r>
      <w:r w:rsidRPr="006D6B01">
        <w:rPr>
          <w:rFonts w:asciiTheme="majorHAnsi" w:hAnsiTheme="majorHAnsi"/>
          <w:color w:val="000000" w:themeColor="text1"/>
          <w:sz w:val="20"/>
          <w:szCs w:val="20"/>
        </w:rPr>
        <w:t>T</w:t>
      </w:r>
      <w:r w:rsidR="00D6393E" w:rsidRPr="006D6B01">
        <w:rPr>
          <w:rFonts w:asciiTheme="majorHAnsi" w:hAnsiTheme="majorHAnsi"/>
          <w:color w:val="000000" w:themeColor="text1"/>
          <w:sz w:val="20"/>
          <w:szCs w:val="20"/>
        </w:rPr>
        <w:t xml:space="preserve">he standard for the exceptionality of pre‐trial detention </w:t>
      </w:r>
      <w:r w:rsidR="0010267A" w:rsidRPr="006D6B01">
        <w:rPr>
          <w:rFonts w:asciiTheme="majorHAnsi" w:hAnsiTheme="majorHAnsi"/>
          <w:color w:val="000000" w:themeColor="text1"/>
          <w:sz w:val="20"/>
          <w:szCs w:val="20"/>
        </w:rPr>
        <w:t>is</w:t>
      </w:r>
      <w:r w:rsidR="00D6393E" w:rsidRPr="006D6B01">
        <w:rPr>
          <w:rFonts w:asciiTheme="majorHAnsi" w:hAnsiTheme="majorHAnsi"/>
          <w:color w:val="000000" w:themeColor="text1"/>
          <w:sz w:val="20"/>
          <w:szCs w:val="20"/>
        </w:rPr>
        <w:t xml:space="preserve"> even higher </w:t>
      </w:r>
      <w:r w:rsidRPr="006D6B01">
        <w:rPr>
          <w:rFonts w:asciiTheme="majorHAnsi" w:hAnsiTheme="majorHAnsi"/>
          <w:color w:val="000000" w:themeColor="text1"/>
          <w:sz w:val="20"/>
          <w:szCs w:val="20"/>
        </w:rPr>
        <w:t xml:space="preserve">in relation to the detention of migrants </w:t>
      </w:r>
      <w:r w:rsidR="00D6393E" w:rsidRPr="006D6B01">
        <w:rPr>
          <w:rFonts w:asciiTheme="majorHAnsi" w:hAnsiTheme="majorHAnsi"/>
          <w:color w:val="000000" w:themeColor="text1"/>
          <w:sz w:val="20"/>
          <w:szCs w:val="20"/>
        </w:rPr>
        <w:t xml:space="preserve">because violations </w:t>
      </w:r>
      <w:r w:rsidRPr="006D6B01">
        <w:rPr>
          <w:rFonts w:asciiTheme="majorHAnsi" w:hAnsiTheme="majorHAnsi"/>
          <w:color w:val="000000" w:themeColor="text1"/>
          <w:sz w:val="20"/>
          <w:szCs w:val="20"/>
        </w:rPr>
        <w:t>of immigration law should</w:t>
      </w:r>
      <w:r w:rsidR="00D6393E" w:rsidRPr="006D6B01">
        <w:rPr>
          <w:rFonts w:asciiTheme="majorHAnsi" w:hAnsiTheme="majorHAnsi"/>
          <w:color w:val="000000" w:themeColor="text1"/>
          <w:sz w:val="20"/>
          <w:szCs w:val="20"/>
        </w:rPr>
        <w:t xml:space="preserve"> not to be construed as criminal offenses, as stated above.</w:t>
      </w:r>
      <w:r w:rsidR="00D6393E" w:rsidRPr="006D6B01">
        <w:rPr>
          <w:rStyle w:val="FootnoteReference"/>
          <w:rFonts w:asciiTheme="majorHAnsi" w:hAnsiTheme="majorHAnsi"/>
          <w:color w:val="000000" w:themeColor="text1"/>
          <w:sz w:val="20"/>
          <w:szCs w:val="20"/>
        </w:rPr>
        <w:footnoteReference w:id="92"/>
      </w:r>
      <w:r w:rsidR="00D6393E" w:rsidRPr="006D6B01">
        <w:rPr>
          <w:rFonts w:asciiTheme="majorHAnsi" w:hAnsiTheme="majorHAnsi"/>
          <w:sz w:val="20"/>
          <w:szCs w:val="20"/>
        </w:rPr>
        <w:t> </w:t>
      </w:r>
      <w:r w:rsidR="002C5A5D" w:rsidRPr="006D6B01">
        <w:rPr>
          <w:rFonts w:asciiTheme="majorHAnsi" w:hAnsiTheme="majorHAnsi"/>
          <w:sz w:val="20"/>
          <w:szCs w:val="20"/>
        </w:rPr>
        <w:t>In addition, the Court</w:t>
      </w:r>
      <w:r w:rsidR="002257C5" w:rsidRPr="006D6B01">
        <w:rPr>
          <w:rFonts w:asciiTheme="majorHAnsi" w:hAnsiTheme="majorHAnsi"/>
          <w:sz w:val="20"/>
          <w:szCs w:val="20"/>
        </w:rPr>
        <w:t>,</w:t>
      </w:r>
      <w:r w:rsidRPr="006D6B01">
        <w:rPr>
          <w:rFonts w:asciiTheme="majorHAnsi" w:hAnsiTheme="majorHAnsi"/>
          <w:sz w:val="20"/>
          <w:szCs w:val="20"/>
        </w:rPr>
        <w:t xml:space="preserve"> in considering t</w:t>
      </w:r>
      <w:r w:rsidR="002C5A5D" w:rsidRPr="006D6B01">
        <w:rPr>
          <w:rFonts w:asciiTheme="majorHAnsi" w:hAnsiTheme="majorHAnsi"/>
          <w:sz w:val="20"/>
          <w:szCs w:val="20"/>
        </w:rPr>
        <w:t xml:space="preserve">he American Declaration, found that “the deprivation of liberty of </w:t>
      </w:r>
      <w:r w:rsidR="002C5A5D" w:rsidRPr="00080DA0">
        <w:rPr>
          <w:rFonts w:asciiTheme="majorHAnsi" w:hAnsiTheme="majorHAnsi"/>
          <w:sz w:val="20"/>
          <w:szCs w:val="20"/>
        </w:rPr>
        <w:t>children based exclusively on migratory reasons exceeds the requirement of necessity”</w:t>
      </w:r>
      <w:r w:rsidR="002C5A5D" w:rsidRPr="00080DA0">
        <w:rPr>
          <w:rStyle w:val="FootnoteReference"/>
          <w:rFonts w:asciiTheme="majorHAnsi" w:hAnsiTheme="majorHAnsi"/>
          <w:sz w:val="20"/>
          <w:szCs w:val="20"/>
        </w:rPr>
        <w:footnoteReference w:id="93"/>
      </w:r>
      <w:r w:rsidRPr="00080DA0">
        <w:rPr>
          <w:rFonts w:asciiTheme="majorHAnsi" w:hAnsiTheme="majorHAnsi"/>
          <w:sz w:val="20"/>
          <w:szCs w:val="20"/>
        </w:rPr>
        <w:t xml:space="preserve"> and </w:t>
      </w:r>
      <w:r w:rsidR="00E67881" w:rsidRPr="00080DA0">
        <w:rPr>
          <w:rFonts w:asciiTheme="majorHAnsi" w:hAnsiTheme="majorHAnsi"/>
          <w:sz w:val="20"/>
          <w:szCs w:val="20"/>
        </w:rPr>
        <w:t>is</w:t>
      </w:r>
      <w:r w:rsidR="00FD47EA" w:rsidRPr="00080DA0">
        <w:rPr>
          <w:rFonts w:asciiTheme="majorHAnsi" w:hAnsiTheme="majorHAnsi"/>
          <w:sz w:val="20"/>
          <w:szCs w:val="20"/>
        </w:rPr>
        <w:t xml:space="preserve"> therefore arbitrary; in that sense, States may not resort to the deprivation of liberty of children as a precautionary measure to protect the objectives of immigration proceedings; nor may States base this measure on failure to comply with the requirements to enter and to remain in the country, on the fact that the child is alone or separated from her or his family, or on the objective of ensuring family unity, because States can and should have other less harmful alternatives and, at the same time, protect the rights of the child integrally and as priority</w:t>
      </w:r>
      <w:r w:rsidR="00FD47EA" w:rsidRPr="00080DA0">
        <w:rPr>
          <w:rStyle w:val="FootnoteReference"/>
          <w:rFonts w:asciiTheme="majorHAnsi" w:hAnsiTheme="majorHAnsi"/>
          <w:sz w:val="20"/>
          <w:szCs w:val="20"/>
        </w:rPr>
        <w:footnoteReference w:id="94"/>
      </w:r>
      <w:r w:rsidR="00FD47EA" w:rsidRPr="00080DA0">
        <w:rPr>
          <w:rFonts w:asciiTheme="majorHAnsi" w:hAnsiTheme="majorHAnsi"/>
          <w:sz w:val="20"/>
          <w:szCs w:val="20"/>
        </w:rPr>
        <w:t xml:space="preserve">. </w:t>
      </w:r>
      <w:r w:rsidRPr="00080DA0">
        <w:rPr>
          <w:rFonts w:asciiTheme="majorHAnsi" w:hAnsiTheme="majorHAnsi"/>
          <w:sz w:val="20"/>
          <w:szCs w:val="20"/>
        </w:rPr>
        <w:t xml:space="preserve">  </w:t>
      </w:r>
    </w:p>
    <w:p w14:paraId="4DC799A5" w14:textId="77777777" w:rsidR="00D6393E" w:rsidRPr="006D6B01" w:rsidRDefault="00D6393E" w:rsidP="004311FE">
      <w:pPr>
        <w:tabs>
          <w:tab w:val="left" w:pos="360"/>
        </w:tabs>
        <w:rPr>
          <w:rFonts w:asciiTheme="majorHAnsi" w:hAnsiTheme="majorHAnsi"/>
          <w:color w:val="000000" w:themeColor="text1"/>
          <w:sz w:val="20"/>
          <w:szCs w:val="20"/>
        </w:rPr>
      </w:pPr>
    </w:p>
    <w:p w14:paraId="7D5E3F7B" w14:textId="21338027" w:rsidR="00D6393E" w:rsidRPr="006D6B01" w:rsidRDefault="00D6393E" w:rsidP="004311FE">
      <w:pPr>
        <w:pStyle w:val="ListParagraph"/>
        <w:numPr>
          <w:ilvl w:val="0"/>
          <w:numId w:val="56"/>
        </w:numPr>
        <w:tabs>
          <w:tab w:val="left" w:pos="360"/>
        </w:tabs>
        <w:ind w:left="0" w:firstLine="0"/>
        <w:jc w:val="both"/>
        <w:rPr>
          <w:rFonts w:asciiTheme="majorHAnsi" w:hAnsiTheme="majorHAnsi"/>
          <w:color w:val="000000" w:themeColor="text1"/>
          <w:sz w:val="20"/>
          <w:szCs w:val="20"/>
        </w:rPr>
      </w:pPr>
      <w:r w:rsidRPr="006D6B01">
        <w:rPr>
          <w:rFonts w:asciiTheme="majorHAnsi" w:hAnsiTheme="majorHAnsi"/>
          <w:color w:val="000000" w:themeColor="text1"/>
          <w:sz w:val="20"/>
          <w:szCs w:val="20"/>
        </w:rPr>
        <w:t>In effect, to compl</w:t>
      </w:r>
      <w:r w:rsidR="002257C5" w:rsidRPr="006D6B01">
        <w:rPr>
          <w:rFonts w:asciiTheme="majorHAnsi" w:hAnsiTheme="majorHAnsi"/>
          <w:color w:val="000000" w:themeColor="text1"/>
          <w:sz w:val="20"/>
          <w:szCs w:val="20"/>
        </w:rPr>
        <w:t>y</w:t>
      </w:r>
      <w:r w:rsidRPr="006D6B01">
        <w:rPr>
          <w:rFonts w:asciiTheme="majorHAnsi" w:hAnsiTheme="majorHAnsi"/>
          <w:color w:val="000000" w:themeColor="text1"/>
          <w:sz w:val="20"/>
          <w:szCs w:val="20"/>
        </w:rPr>
        <w:t xml:space="preserve"> with the guarantees protected in Articles I and XXV of the American Declaration, member States must enact immigration laws and establish immigration policies that are premised on a presumption of liberty</w:t>
      </w:r>
      <w:r w:rsidR="004D757F" w:rsidRPr="006D6B01">
        <w:rPr>
          <w:rFonts w:asciiTheme="majorHAnsi" w:hAnsiTheme="majorHAnsi"/>
          <w:color w:val="000000" w:themeColor="text1"/>
          <w:sz w:val="20"/>
          <w:szCs w:val="20"/>
        </w:rPr>
        <w:t>—</w:t>
      </w:r>
      <w:r w:rsidRPr="006D6B01">
        <w:rPr>
          <w:rFonts w:asciiTheme="majorHAnsi" w:hAnsiTheme="majorHAnsi"/>
          <w:color w:val="000000" w:themeColor="text1"/>
          <w:sz w:val="20"/>
          <w:szCs w:val="20"/>
        </w:rPr>
        <w:t>the right of the immigrant to remain at liberty while his or her immi</w:t>
      </w:r>
      <w:r w:rsidR="00094031" w:rsidRPr="006D6B01">
        <w:rPr>
          <w:rFonts w:asciiTheme="majorHAnsi" w:hAnsiTheme="majorHAnsi"/>
          <w:color w:val="000000" w:themeColor="text1"/>
          <w:sz w:val="20"/>
          <w:szCs w:val="20"/>
        </w:rPr>
        <w:t>gration proceedings are pending</w:t>
      </w:r>
      <w:r w:rsidR="004D757F" w:rsidRPr="006D6B01">
        <w:rPr>
          <w:rFonts w:asciiTheme="majorHAnsi" w:hAnsiTheme="majorHAnsi"/>
          <w:color w:val="000000" w:themeColor="text1"/>
          <w:sz w:val="20"/>
          <w:szCs w:val="20"/>
        </w:rPr>
        <w:t>—</w:t>
      </w:r>
      <w:r w:rsidRPr="006D6B01">
        <w:rPr>
          <w:rFonts w:asciiTheme="majorHAnsi" w:hAnsiTheme="majorHAnsi"/>
          <w:color w:val="000000" w:themeColor="text1"/>
          <w:sz w:val="20"/>
          <w:szCs w:val="20"/>
        </w:rPr>
        <w:t>and not on a presumption of detention.</w:t>
      </w:r>
      <w:r w:rsidRPr="006D6B01">
        <w:rPr>
          <w:rStyle w:val="FootnoteReference"/>
          <w:rFonts w:asciiTheme="majorHAnsi" w:hAnsiTheme="majorHAnsi"/>
          <w:color w:val="000000" w:themeColor="text1"/>
          <w:sz w:val="20"/>
          <w:szCs w:val="20"/>
        </w:rPr>
        <w:footnoteReference w:id="95"/>
      </w:r>
      <w:r w:rsidRPr="006D6B01">
        <w:rPr>
          <w:rFonts w:asciiTheme="majorHAnsi" w:hAnsiTheme="majorHAnsi"/>
          <w:color w:val="000000" w:themeColor="text1"/>
          <w:sz w:val="20"/>
          <w:szCs w:val="20"/>
        </w:rPr>
        <w:t xml:space="preserve"> Detention is only permissible when a case‐specific evaluation concludes that the measure is essential in order to serve a legitimate interest of the State and to ensure that the subject reports for the proceeding to determine </w:t>
      </w:r>
      <w:r w:rsidR="0010267A" w:rsidRPr="006D6B01">
        <w:rPr>
          <w:rFonts w:asciiTheme="majorHAnsi" w:hAnsiTheme="majorHAnsi"/>
          <w:color w:val="000000" w:themeColor="text1"/>
          <w:sz w:val="20"/>
          <w:szCs w:val="20"/>
        </w:rPr>
        <w:t>their</w:t>
      </w:r>
      <w:r w:rsidRPr="006D6B01">
        <w:rPr>
          <w:rFonts w:asciiTheme="majorHAnsi" w:hAnsiTheme="majorHAnsi"/>
          <w:color w:val="000000" w:themeColor="text1"/>
          <w:sz w:val="20"/>
          <w:szCs w:val="20"/>
        </w:rPr>
        <w:t xml:space="preserve"> immigration status and possible removal.</w:t>
      </w:r>
      <w:r w:rsidR="00D00111" w:rsidRPr="006D6B01">
        <w:rPr>
          <w:rStyle w:val="FootnoteReference"/>
          <w:rFonts w:asciiTheme="majorHAnsi" w:hAnsiTheme="majorHAnsi"/>
          <w:color w:val="000000" w:themeColor="text1"/>
          <w:sz w:val="20"/>
          <w:szCs w:val="20"/>
        </w:rPr>
        <w:footnoteReference w:id="96"/>
      </w:r>
      <w:r w:rsidRPr="006D6B01">
        <w:rPr>
          <w:rFonts w:asciiTheme="majorHAnsi" w:hAnsiTheme="majorHAnsi"/>
          <w:color w:val="000000" w:themeColor="text1"/>
          <w:sz w:val="20"/>
          <w:szCs w:val="20"/>
        </w:rPr>
        <w:t xml:space="preserve">  The argument that the person in question poses a threat to public safety is only acceptable in exceptional circumstances in which there are certain indicia of the risk that the person represents.  The existence of a criminal record is not sufficient to justify the detention of an immigrant once </w:t>
      </w:r>
      <w:r w:rsidR="0010267A" w:rsidRPr="006D6B01">
        <w:rPr>
          <w:rFonts w:asciiTheme="majorHAnsi" w:hAnsiTheme="majorHAnsi"/>
          <w:color w:val="000000" w:themeColor="text1"/>
          <w:sz w:val="20"/>
          <w:szCs w:val="20"/>
        </w:rPr>
        <w:t>they</w:t>
      </w:r>
      <w:r w:rsidRPr="006D6B01">
        <w:rPr>
          <w:rFonts w:asciiTheme="majorHAnsi" w:hAnsiTheme="majorHAnsi"/>
          <w:color w:val="000000" w:themeColor="text1"/>
          <w:sz w:val="20"/>
          <w:szCs w:val="20"/>
        </w:rPr>
        <w:t xml:space="preserve"> ha</w:t>
      </w:r>
      <w:r w:rsidR="0010267A" w:rsidRPr="006D6B01">
        <w:rPr>
          <w:rFonts w:asciiTheme="majorHAnsi" w:hAnsiTheme="majorHAnsi"/>
          <w:color w:val="000000" w:themeColor="text1"/>
          <w:sz w:val="20"/>
          <w:szCs w:val="20"/>
        </w:rPr>
        <w:t>ve</w:t>
      </w:r>
      <w:r w:rsidRPr="006D6B01">
        <w:rPr>
          <w:rFonts w:asciiTheme="majorHAnsi" w:hAnsiTheme="majorHAnsi"/>
          <w:color w:val="000000" w:themeColor="text1"/>
          <w:sz w:val="20"/>
          <w:szCs w:val="20"/>
        </w:rPr>
        <w:t xml:space="preserve"> served </w:t>
      </w:r>
      <w:r w:rsidR="0010267A" w:rsidRPr="006D6B01">
        <w:rPr>
          <w:rFonts w:asciiTheme="majorHAnsi" w:hAnsiTheme="majorHAnsi"/>
          <w:color w:val="000000" w:themeColor="text1"/>
          <w:sz w:val="20"/>
          <w:szCs w:val="20"/>
        </w:rPr>
        <w:lastRenderedPageBreak/>
        <w:t>their</w:t>
      </w:r>
      <w:r w:rsidRPr="006D6B01">
        <w:rPr>
          <w:rFonts w:asciiTheme="majorHAnsi" w:hAnsiTheme="majorHAnsi"/>
          <w:color w:val="000000" w:themeColor="text1"/>
          <w:sz w:val="20"/>
          <w:szCs w:val="20"/>
        </w:rPr>
        <w:t xml:space="preserve"> criminal sentence. Whatever the case, the particular reasons why the immigrant is considered to pose a risk </w:t>
      </w:r>
      <w:r w:rsidR="002257C5" w:rsidRPr="006D6B01">
        <w:rPr>
          <w:rFonts w:asciiTheme="majorHAnsi" w:hAnsiTheme="majorHAnsi"/>
          <w:color w:val="000000" w:themeColor="text1"/>
          <w:sz w:val="20"/>
          <w:szCs w:val="20"/>
        </w:rPr>
        <w:t>must</w:t>
      </w:r>
      <w:r w:rsidRPr="006D6B01">
        <w:rPr>
          <w:rFonts w:asciiTheme="majorHAnsi" w:hAnsiTheme="majorHAnsi"/>
          <w:color w:val="000000" w:themeColor="text1"/>
          <w:sz w:val="20"/>
          <w:szCs w:val="20"/>
        </w:rPr>
        <w:t xml:space="preserve"> be explained.  The arguments in support of the appropriateness of detention must be set out clearly in the corresponding decision.</w:t>
      </w:r>
      <w:r w:rsidR="00D00111" w:rsidRPr="006D6B01">
        <w:rPr>
          <w:rStyle w:val="FootnoteReference"/>
          <w:rFonts w:asciiTheme="majorHAnsi" w:hAnsiTheme="majorHAnsi"/>
          <w:color w:val="000000" w:themeColor="text1"/>
          <w:sz w:val="20"/>
          <w:szCs w:val="20"/>
        </w:rPr>
        <w:footnoteReference w:id="97"/>
      </w:r>
      <w:r w:rsidRPr="006D6B01">
        <w:rPr>
          <w:rFonts w:asciiTheme="majorHAnsi" w:hAnsiTheme="majorHAnsi"/>
          <w:color w:val="000000" w:themeColor="text1"/>
          <w:sz w:val="20"/>
          <w:szCs w:val="20"/>
        </w:rPr>
        <w:t>  </w:t>
      </w:r>
    </w:p>
    <w:p w14:paraId="23B64B25" w14:textId="77777777" w:rsidR="00504A28" w:rsidRPr="006D6B01" w:rsidRDefault="00504A28" w:rsidP="004311FE">
      <w:pPr>
        <w:pStyle w:val="ListParagraph"/>
        <w:tabs>
          <w:tab w:val="left" w:pos="360"/>
        </w:tabs>
        <w:ind w:left="0"/>
        <w:jc w:val="both"/>
        <w:rPr>
          <w:rFonts w:asciiTheme="majorHAnsi" w:hAnsiTheme="majorHAnsi"/>
          <w:color w:val="000000" w:themeColor="text1"/>
          <w:sz w:val="20"/>
          <w:szCs w:val="20"/>
        </w:rPr>
      </w:pPr>
    </w:p>
    <w:p w14:paraId="236D8EDA" w14:textId="77777777" w:rsidR="0010267A" w:rsidRPr="006D6B01" w:rsidRDefault="0010267A"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6D6B01">
        <w:rPr>
          <w:rFonts w:asciiTheme="majorHAnsi" w:hAnsiTheme="majorHAnsi"/>
          <w:sz w:val="20"/>
          <w:szCs w:val="20"/>
        </w:rPr>
        <w:t>In relation to the duration of detention, the Working Group on Arbitrary Detention established that “a maximum period should be set by law and the custody may in no case be unlimited or of excessive length.”</w:t>
      </w:r>
      <w:r w:rsidRPr="006D6B01">
        <w:rPr>
          <w:rStyle w:val="FootnoteReference"/>
          <w:rFonts w:asciiTheme="majorHAnsi" w:hAnsiTheme="majorHAnsi"/>
          <w:sz w:val="20"/>
          <w:szCs w:val="20"/>
        </w:rPr>
        <w:footnoteReference w:id="98"/>
      </w:r>
      <w:r w:rsidRPr="006D6B01">
        <w:rPr>
          <w:rFonts w:asciiTheme="majorHAnsi" w:hAnsiTheme="majorHAnsi"/>
          <w:sz w:val="20"/>
          <w:szCs w:val="20"/>
        </w:rPr>
        <w:t xml:space="preserve"> In this way, the absence of clear limits to the powers of an administrative authority favors undue prolongation of the detention of immigrants, turning these into a punitive measure.</w:t>
      </w:r>
      <w:r w:rsidRPr="006D6B01">
        <w:rPr>
          <w:rStyle w:val="FootnoteReference"/>
          <w:rFonts w:asciiTheme="majorHAnsi" w:hAnsiTheme="majorHAnsi"/>
          <w:sz w:val="20"/>
          <w:szCs w:val="20"/>
        </w:rPr>
        <w:footnoteReference w:id="99"/>
      </w:r>
    </w:p>
    <w:p w14:paraId="3D0E14D1" w14:textId="77777777" w:rsidR="0053691B" w:rsidRPr="006D6B01" w:rsidRDefault="0053691B" w:rsidP="004311FE">
      <w:pPr>
        <w:tabs>
          <w:tab w:val="left" w:pos="360"/>
        </w:tabs>
        <w:rPr>
          <w:rFonts w:asciiTheme="majorHAnsi" w:hAnsiTheme="majorHAnsi"/>
          <w:sz w:val="20"/>
          <w:szCs w:val="20"/>
        </w:rPr>
      </w:pPr>
    </w:p>
    <w:p w14:paraId="604164AC" w14:textId="77777777" w:rsidR="002257C5" w:rsidRPr="006D6B01" w:rsidRDefault="00C5389C"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color w:val="000000" w:themeColor="text1"/>
          <w:sz w:val="20"/>
          <w:szCs w:val="20"/>
        </w:rPr>
      </w:pPr>
      <w:r w:rsidRPr="006D6B01">
        <w:rPr>
          <w:rFonts w:asciiTheme="majorHAnsi" w:hAnsiTheme="majorHAnsi"/>
          <w:color w:val="000000" w:themeColor="text1"/>
          <w:sz w:val="20"/>
          <w:szCs w:val="20"/>
        </w:rPr>
        <w:t xml:space="preserve">The Commission has considered that the U.N. Standard Minimum Rules for the Treatment of Prisoners prescribe basic benchmarks against which to evaluate whether the treatment of detainees satisfies the standards of humanity under the </w:t>
      </w:r>
      <w:r w:rsidR="0010267A" w:rsidRPr="006D6B01">
        <w:rPr>
          <w:rFonts w:asciiTheme="majorHAnsi" w:hAnsiTheme="majorHAnsi"/>
          <w:color w:val="000000" w:themeColor="text1"/>
          <w:sz w:val="20"/>
          <w:szCs w:val="20"/>
        </w:rPr>
        <w:t>I</w:t>
      </w:r>
      <w:r w:rsidRPr="006D6B01">
        <w:rPr>
          <w:rFonts w:asciiTheme="majorHAnsi" w:hAnsiTheme="majorHAnsi"/>
          <w:color w:val="000000" w:themeColor="text1"/>
          <w:sz w:val="20"/>
          <w:szCs w:val="20"/>
        </w:rPr>
        <w:t>nter-American instruments in such areas as accommodation, hygiene, clothing and bedding, food, recreation, exercise and medical treatment, discipline, punishment and use of instruments of restraint.</w:t>
      </w:r>
      <w:r w:rsidRPr="006D6B01">
        <w:rPr>
          <w:rStyle w:val="FootnoteReference"/>
          <w:rFonts w:asciiTheme="majorHAnsi" w:hAnsiTheme="majorHAnsi"/>
          <w:color w:val="000000" w:themeColor="text1"/>
          <w:sz w:val="20"/>
          <w:szCs w:val="20"/>
        </w:rPr>
        <w:footnoteReference w:id="100"/>
      </w:r>
      <w:r w:rsidRPr="006D6B01">
        <w:rPr>
          <w:rFonts w:asciiTheme="majorHAnsi" w:hAnsiTheme="majorHAnsi"/>
          <w:color w:val="000000" w:themeColor="text1"/>
          <w:sz w:val="20"/>
          <w:szCs w:val="20"/>
        </w:rPr>
        <w:t xml:space="preserve"> The IACHR has considered that these rules apply regardless of the type of behavior for which the person has been detained.</w:t>
      </w:r>
      <w:r w:rsidRPr="006D6B01">
        <w:rPr>
          <w:rFonts w:asciiTheme="majorHAnsi" w:hAnsiTheme="majorHAnsi"/>
          <w:color w:val="000000" w:themeColor="text1"/>
          <w:sz w:val="20"/>
          <w:szCs w:val="20"/>
          <w:vertAlign w:val="superscript"/>
        </w:rPr>
        <w:footnoteReference w:id="101"/>
      </w:r>
      <w:r w:rsidR="002257C5" w:rsidRPr="006D6B01">
        <w:rPr>
          <w:rFonts w:asciiTheme="majorHAnsi" w:hAnsiTheme="majorHAnsi"/>
          <w:color w:val="000000" w:themeColor="text1"/>
          <w:sz w:val="20"/>
          <w:szCs w:val="20"/>
        </w:rPr>
        <w:t xml:space="preserve"> </w:t>
      </w:r>
    </w:p>
    <w:p w14:paraId="47C01704" w14:textId="77777777" w:rsidR="002257C5" w:rsidRPr="006D6B01" w:rsidRDefault="002257C5" w:rsidP="004311FE">
      <w:pPr>
        <w:pStyle w:val="ListParagraph"/>
        <w:tabs>
          <w:tab w:val="left" w:pos="360"/>
        </w:tabs>
        <w:ind w:left="0"/>
        <w:rPr>
          <w:rFonts w:asciiTheme="majorHAnsi" w:hAnsiTheme="majorHAnsi"/>
          <w:color w:val="000000" w:themeColor="text1"/>
          <w:sz w:val="20"/>
          <w:szCs w:val="20"/>
        </w:rPr>
      </w:pPr>
    </w:p>
    <w:p w14:paraId="2F3FC9F3" w14:textId="4FC81024" w:rsidR="004D757F" w:rsidRPr="006D6B01" w:rsidRDefault="002257C5"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color w:val="000000" w:themeColor="text1"/>
          <w:sz w:val="20"/>
          <w:szCs w:val="20"/>
        </w:rPr>
      </w:pPr>
      <w:r w:rsidRPr="006D6B01">
        <w:rPr>
          <w:rFonts w:asciiTheme="majorHAnsi" w:hAnsiTheme="majorHAnsi"/>
          <w:color w:val="000000" w:themeColor="text1"/>
          <w:sz w:val="20"/>
          <w:szCs w:val="20"/>
        </w:rPr>
        <w:t>T</w:t>
      </w:r>
      <w:r w:rsidR="00C5389C" w:rsidRPr="006D6B01">
        <w:rPr>
          <w:rFonts w:asciiTheme="majorHAnsi" w:hAnsiTheme="majorHAnsi"/>
          <w:color w:val="000000" w:themeColor="text1"/>
          <w:sz w:val="20"/>
          <w:szCs w:val="20"/>
        </w:rPr>
        <w:t xml:space="preserve">he IACHR recalls that these standards derive directly from the State’s special position as guarantor of the rights of persons deprived of liberty, given the extreme power </w:t>
      </w:r>
      <w:r w:rsidR="007325A0">
        <w:rPr>
          <w:rFonts w:asciiTheme="majorHAnsi" w:hAnsiTheme="majorHAnsi"/>
          <w:color w:val="000000" w:themeColor="text1"/>
          <w:sz w:val="20"/>
          <w:szCs w:val="20"/>
        </w:rPr>
        <w:t xml:space="preserve">and </w:t>
      </w:r>
      <w:r w:rsidR="00C5389C" w:rsidRPr="006D6B01">
        <w:rPr>
          <w:rFonts w:asciiTheme="majorHAnsi" w:hAnsiTheme="majorHAnsi"/>
          <w:color w:val="000000" w:themeColor="text1"/>
          <w:sz w:val="20"/>
          <w:szCs w:val="20"/>
        </w:rPr>
        <w:t>imbalance between the State and the detained individual, and the nature of confinement itself, which prevents the detainee from satisfying on his or her own basic needs—in particular related to economic, social and cultural rights—that are essential to permit a dignified life, to the extent possible under such circumstances. In this regard, the principal element that defines deprivation of liberty is the individual’s dependence on the decisions made by the personnel of the establishment where he or she is being held;</w:t>
      </w:r>
      <w:r w:rsidR="00C5389C" w:rsidRPr="006D6B01">
        <w:rPr>
          <w:rStyle w:val="FootnoteReference"/>
          <w:rFonts w:asciiTheme="majorHAnsi" w:hAnsiTheme="majorHAnsi"/>
          <w:color w:val="000000" w:themeColor="text1"/>
          <w:sz w:val="20"/>
          <w:szCs w:val="20"/>
        </w:rPr>
        <w:footnoteReference w:id="102"/>
      </w:r>
      <w:r w:rsidR="00C5389C" w:rsidRPr="006D6B01">
        <w:rPr>
          <w:rFonts w:asciiTheme="majorHAnsi" w:hAnsiTheme="majorHAnsi"/>
          <w:color w:val="000000" w:themeColor="text1"/>
          <w:sz w:val="20"/>
          <w:szCs w:val="20"/>
        </w:rPr>
        <w:t xml:space="preserve"> and “the act of imprisonment carries with it a specific and material commitment to protect the prisoner's human dignity so long as that individual is in the custody of the State, which includes protecting him from possible circumstances that could imperil his life, health and personal integrity, among other rights,”</w:t>
      </w:r>
      <w:r w:rsidR="00C5389C" w:rsidRPr="006D6B01">
        <w:rPr>
          <w:rStyle w:val="FootnoteReference"/>
          <w:rFonts w:asciiTheme="majorHAnsi" w:hAnsiTheme="majorHAnsi"/>
          <w:color w:val="000000" w:themeColor="text1"/>
          <w:sz w:val="20"/>
          <w:szCs w:val="20"/>
        </w:rPr>
        <w:footnoteReference w:id="103"/>
      </w:r>
      <w:r w:rsidR="00C5389C" w:rsidRPr="006D6B01">
        <w:rPr>
          <w:rFonts w:asciiTheme="majorHAnsi" w:hAnsiTheme="majorHAnsi"/>
          <w:color w:val="000000" w:themeColor="text1"/>
          <w:sz w:val="20"/>
          <w:szCs w:val="20"/>
        </w:rPr>
        <w:t xml:space="preserve"> including obligations to guarantee the right to health, the right to food, and the right to clean water, among others. </w:t>
      </w:r>
      <w:r w:rsidR="004D757F" w:rsidRPr="006D6B01">
        <w:rPr>
          <w:rFonts w:asciiTheme="majorHAnsi" w:hAnsiTheme="majorHAnsi"/>
          <w:color w:val="000000" w:themeColor="text1"/>
          <w:sz w:val="20"/>
          <w:szCs w:val="20"/>
        </w:rPr>
        <w:t>Accordingly, persons detained exclusively for immigration issues should be accommodated in centers specifically designed for the purpose of guaranteeing “material conditions and a system appropriate to their legal status and staffed by appropriately qualified personnel (…)”.</w:t>
      </w:r>
      <w:r w:rsidR="004D757F" w:rsidRPr="006D6B01">
        <w:rPr>
          <w:rStyle w:val="FootnoteReference"/>
          <w:rFonts w:asciiTheme="majorHAnsi" w:hAnsiTheme="majorHAnsi"/>
          <w:color w:val="000000" w:themeColor="text1"/>
          <w:sz w:val="20"/>
          <w:szCs w:val="20"/>
        </w:rPr>
        <w:footnoteReference w:id="104"/>
      </w:r>
    </w:p>
    <w:p w14:paraId="3D332C6B" w14:textId="77777777" w:rsidR="00C5389C" w:rsidRPr="006D6B01" w:rsidRDefault="00C5389C" w:rsidP="004311F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color w:val="000000" w:themeColor="text1"/>
          <w:sz w:val="20"/>
          <w:szCs w:val="20"/>
        </w:rPr>
      </w:pPr>
    </w:p>
    <w:p w14:paraId="1364B4D0" w14:textId="39E75600" w:rsidR="00FD47EA" w:rsidRPr="00D87F70" w:rsidRDefault="003E11EA"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Pr>
          <w:rFonts w:asciiTheme="majorHAnsi" w:hAnsiTheme="majorHAnsi"/>
          <w:color w:val="000000" w:themeColor="text1"/>
          <w:sz w:val="20"/>
          <w:szCs w:val="20"/>
        </w:rPr>
        <w:t>Also,</w:t>
      </w:r>
      <w:r w:rsidRPr="006D6B01">
        <w:rPr>
          <w:rFonts w:asciiTheme="majorHAnsi" w:hAnsiTheme="majorHAnsi"/>
          <w:color w:val="000000" w:themeColor="text1"/>
          <w:sz w:val="20"/>
          <w:szCs w:val="20"/>
        </w:rPr>
        <w:t xml:space="preserve"> </w:t>
      </w:r>
      <w:r w:rsidR="0053691B" w:rsidRPr="006D6B01">
        <w:rPr>
          <w:rFonts w:asciiTheme="majorHAnsi" w:hAnsiTheme="majorHAnsi"/>
          <w:color w:val="000000" w:themeColor="text1"/>
          <w:sz w:val="20"/>
          <w:szCs w:val="20"/>
        </w:rPr>
        <w:t>the Commission</w:t>
      </w:r>
      <w:r w:rsidR="0053691B" w:rsidRPr="006D6B01">
        <w:rPr>
          <w:rStyle w:val="FootnoteReference"/>
          <w:rFonts w:asciiTheme="majorHAnsi" w:hAnsiTheme="majorHAnsi"/>
          <w:color w:val="000000" w:themeColor="text1"/>
          <w:sz w:val="20"/>
          <w:szCs w:val="20"/>
        </w:rPr>
        <w:footnoteReference w:id="105"/>
      </w:r>
      <w:r w:rsidR="0053691B" w:rsidRPr="006D6B01">
        <w:rPr>
          <w:rFonts w:asciiTheme="majorHAnsi" w:hAnsiTheme="majorHAnsi"/>
          <w:color w:val="000000" w:themeColor="text1"/>
          <w:sz w:val="20"/>
          <w:szCs w:val="20"/>
        </w:rPr>
        <w:t xml:space="preserve"> and the Court</w:t>
      </w:r>
      <w:r w:rsidR="0053691B" w:rsidRPr="006D6B01">
        <w:rPr>
          <w:rStyle w:val="FootnoteReference"/>
          <w:rFonts w:asciiTheme="majorHAnsi" w:hAnsiTheme="majorHAnsi"/>
          <w:color w:val="000000" w:themeColor="text1"/>
          <w:sz w:val="20"/>
          <w:szCs w:val="20"/>
        </w:rPr>
        <w:footnoteReference w:id="106"/>
      </w:r>
      <w:r w:rsidR="0053691B" w:rsidRPr="006D6B01">
        <w:rPr>
          <w:rFonts w:asciiTheme="majorHAnsi" w:hAnsiTheme="majorHAnsi"/>
          <w:color w:val="000000" w:themeColor="text1"/>
          <w:sz w:val="20"/>
          <w:szCs w:val="20"/>
        </w:rPr>
        <w:t xml:space="preserve"> have found it necessary to consider the cumulative effect or impact</w:t>
      </w:r>
      <w:r w:rsidR="0053691B" w:rsidRPr="006D6B01">
        <w:rPr>
          <w:rFonts w:asciiTheme="majorHAnsi" w:hAnsiTheme="majorHAnsi"/>
          <w:i/>
          <w:color w:val="000000" w:themeColor="text1"/>
          <w:sz w:val="20"/>
          <w:szCs w:val="20"/>
        </w:rPr>
        <w:t xml:space="preserve"> </w:t>
      </w:r>
      <w:r w:rsidR="0053691B" w:rsidRPr="006D6B01">
        <w:rPr>
          <w:rFonts w:asciiTheme="majorHAnsi" w:hAnsiTheme="majorHAnsi"/>
          <w:color w:val="000000" w:themeColor="text1"/>
          <w:sz w:val="20"/>
          <w:szCs w:val="20"/>
        </w:rPr>
        <w:t xml:space="preserve">of the conditions of </w:t>
      </w:r>
      <w:r w:rsidR="009E4C92" w:rsidRPr="006D6B01">
        <w:rPr>
          <w:rFonts w:asciiTheme="majorHAnsi" w:hAnsiTheme="majorHAnsi"/>
          <w:color w:val="000000" w:themeColor="text1"/>
          <w:sz w:val="20"/>
          <w:szCs w:val="20"/>
        </w:rPr>
        <w:t>detention</w:t>
      </w:r>
      <w:r w:rsidR="0053691B" w:rsidRPr="006D6B01">
        <w:rPr>
          <w:rFonts w:asciiTheme="majorHAnsi" w:hAnsiTheme="majorHAnsi"/>
          <w:color w:val="000000" w:themeColor="text1"/>
          <w:sz w:val="20"/>
          <w:szCs w:val="20"/>
        </w:rPr>
        <w:t xml:space="preserve"> to which a person is subjected, in order to determine whether such conditions as a whole constitute a form of </w:t>
      </w:r>
      <w:r w:rsidR="009E4C92" w:rsidRPr="006D6B01">
        <w:rPr>
          <w:rFonts w:asciiTheme="majorHAnsi" w:hAnsiTheme="majorHAnsi"/>
          <w:color w:val="000000" w:themeColor="text1"/>
          <w:sz w:val="20"/>
          <w:szCs w:val="20"/>
        </w:rPr>
        <w:t xml:space="preserve">a </w:t>
      </w:r>
      <w:r w:rsidR="007325A0">
        <w:rPr>
          <w:rFonts w:asciiTheme="majorHAnsi" w:hAnsiTheme="majorHAnsi"/>
          <w:color w:val="000000" w:themeColor="text1"/>
          <w:sz w:val="20"/>
          <w:szCs w:val="20"/>
        </w:rPr>
        <w:t>c</w:t>
      </w:r>
      <w:r w:rsidR="009E4C92" w:rsidRPr="006D6B01">
        <w:rPr>
          <w:rFonts w:asciiTheme="majorHAnsi" w:hAnsiTheme="majorHAnsi"/>
          <w:color w:val="000000" w:themeColor="text1"/>
          <w:sz w:val="20"/>
          <w:szCs w:val="20"/>
        </w:rPr>
        <w:t xml:space="preserve">ruel, </w:t>
      </w:r>
      <w:r w:rsidR="007325A0">
        <w:rPr>
          <w:rFonts w:asciiTheme="majorHAnsi" w:hAnsiTheme="majorHAnsi"/>
          <w:color w:val="000000" w:themeColor="text1"/>
          <w:sz w:val="20"/>
          <w:szCs w:val="20"/>
        </w:rPr>
        <w:t>i</w:t>
      </w:r>
      <w:r w:rsidR="009E4C92" w:rsidRPr="006D6B01">
        <w:rPr>
          <w:rFonts w:asciiTheme="majorHAnsi" w:hAnsiTheme="majorHAnsi"/>
          <w:color w:val="000000" w:themeColor="text1"/>
          <w:sz w:val="20"/>
          <w:szCs w:val="20"/>
        </w:rPr>
        <w:t xml:space="preserve">nhuman or </w:t>
      </w:r>
      <w:r w:rsidR="007325A0">
        <w:rPr>
          <w:rFonts w:asciiTheme="majorHAnsi" w:hAnsiTheme="majorHAnsi"/>
          <w:color w:val="000000" w:themeColor="text1"/>
          <w:sz w:val="20"/>
          <w:szCs w:val="20"/>
        </w:rPr>
        <w:t>d</w:t>
      </w:r>
      <w:r w:rsidR="009E4C92" w:rsidRPr="006D6B01">
        <w:rPr>
          <w:rFonts w:asciiTheme="majorHAnsi" w:hAnsiTheme="majorHAnsi"/>
          <w:color w:val="000000" w:themeColor="text1"/>
          <w:sz w:val="20"/>
          <w:szCs w:val="20"/>
        </w:rPr>
        <w:t>egrading Treatment (CIDT)</w:t>
      </w:r>
      <w:r w:rsidR="0053691B" w:rsidRPr="006D6B01">
        <w:rPr>
          <w:rFonts w:asciiTheme="majorHAnsi" w:hAnsiTheme="majorHAnsi"/>
          <w:color w:val="000000" w:themeColor="text1"/>
          <w:sz w:val="20"/>
          <w:szCs w:val="20"/>
        </w:rPr>
        <w:t xml:space="preserve"> or torture.</w:t>
      </w:r>
      <w:r w:rsidR="0053691B" w:rsidRPr="006D6B01">
        <w:rPr>
          <w:rStyle w:val="FootnoteReference"/>
          <w:rFonts w:asciiTheme="majorHAnsi" w:hAnsiTheme="majorHAnsi"/>
          <w:color w:val="000000" w:themeColor="text1"/>
          <w:sz w:val="20"/>
          <w:szCs w:val="20"/>
        </w:rPr>
        <w:footnoteReference w:id="107"/>
      </w:r>
      <w:r w:rsidR="0053691B" w:rsidRPr="006D6B01">
        <w:rPr>
          <w:rFonts w:asciiTheme="majorHAnsi" w:hAnsiTheme="majorHAnsi"/>
          <w:color w:val="000000" w:themeColor="text1"/>
          <w:sz w:val="20"/>
          <w:szCs w:val="20"/>
        </w:rPr>
        <w:t xml:space="preserve"> In this re</w:t>
      </w:r>
      <w:r w:rsidR="00064698" w:rsidRPr="006D6B01">
        <w:rPr>
          <w:rFonts w:asciiTheme="majorHAnsi" w:hAnsiTheme="majorHAnsi"/>
          <w:color w:val="000000" w:themeColor="text1"/>
          <w:sz w:val="20"/>
          <w:szCs w:val="20"/>
        </w:rPr>
        <w:t>gard, the jurisprudence of the I</w:t>
      </w:r>
      <w:r w:rsidR="0053691B" w:rsidRPr="006D6B01">
        <w:rPr>
          <w:rFonts w:asciiTheme="majorHAnsi" w:hAnsiTheme="majorHAnsi"/>
          <w:color w:val="000000" w:themeColor="text1"/>
          <w:sz w:val="20"/>
          <w:szCs w:val="20"/>
        </w:rPr>
        <w:t xml:space="preserve">nter-American system has found that the following conditions of detention, among others, may reach the threshold of CIDT: lack of adequate infrastructure; lack of adequate ventilation </w:t>
      </w:r>
      <w:r w:rsidR="0053691B" w:rsidRPr="006D6B01">
        <w:rPr>
          <w:rFonts w:asciiTheme="majorHAnsi" w:hAnsiTheme="majorHAnsi"/>
          <w:color w:val="000000" w:themeColor="text1"/>
          <w:sz w:val="20"/>
          <w:szCs w:val="20"/>
        </w:rPr>
        <w:lastRenderedPageBreak/>
        <w:t>and natural light; unsanitary cells; lack of beds; lack of adequate medical care or drinking water; lack of adequate sanitation (having to urinate or defecate in receptacles or plastic bags); lack of minimum privacy in sleeping quarters; very little and poor quality food; few chances to exercise; lack of education or sports programs, or few chances to engage in such activities; periodic use of forms of collective punishment and other abuses; solitary confinement and incommunicado detention; and imprisonment in locations that are extremely far away from the family residence and in severe geographic conditions.</w:t>
      </w:r>
      <w:r w:rsidR="0053691B" w:rsidRPr="006D6B01">
        <w:rPr>
          <w:rStyle w:val="FootnoteReference"/>
          <w:rFonts w:asciiTheme="majorHAnsi" w:hAnsiTheme="majorHAnsi"/>
          <w:color w:val="000000" w:themeColor="text1"/>
          <w:sz w:val="20"/>
          <w:szCs w:val="20"/>
        </w:rPr>
        <w:footnoteReference w:id="108"/>
      </w:r>
    </w:p>
    <w:p w14:paraId="24FDE2E3" w14:textId="77777777" w:rsidR="00D87F70" w:rsidRPr="00FD47EA" w:rsidRDefault="00D87F70" w:rsidP="004311F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p>
    <w:p w14:paraId="3BEF3F54" w14:textId="710D38D2" w:rsidR="00FD47EA" w:rsidRPr="00080DA0" w:rsidRDefault="00FD47EA"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080DA0">
        <w:rPr>
          <w:rFonts w:asciiTheme="majorHAnsi" w:hAnsiTheme="majorHAnsi"/>
          <w:sz w:val="20"/>
          <w:szCs w:val="20"/>
        </w:rPr>
        <w:t>Moreover, the Special Rapporteur on torture and other cruel, inhuman or degrading treatment or punishment has established that ill-treatment or grossly inadequate detention conditions can even amount to torture if they are intentionally imposed, encouraged or tolerated by States for reasons based on discrimination of any kind,</w:t>
      </w:r>
      <w:r w:rsidRPr="00080DA0">
        <w:rPr>
          <w:rStyle w:val="FootnoteReference"/>
          <w:rFonts w:asciiTheme="majorHAnsi" w:hAnsiTheme="majorHAnsi"/>
          <w:sz w:val="20"/>
          <w:szCs w:val="20"/>
        </w:rPr>
        <w:footnoteReference w:id="109"/>
      </w:r>
      <w:r w:rsidRPr="00080DA0">
        <w:rPr>
          <w:rFonts w:asciiTheme="majorHAnsi" w:hAnsiTheme="majorHAnsi"/>
          <w:sz w:val="20"/>
          <w:szCs w:val="20"/>
        </w:rPr>
        <w:t xml:space="preserve"> including based on immigration status,</w:t>
      </w:r>
      <w:r w:rsidRPr="00080DA0">
        <w:rPr>
          <w:rStyle w:val="FootnoteReference"/>
          <w:rFonts w:asciiTheme="majorHAnsi" w:hAnsiTheme="majorHAnsi"/>
          <w:sz w:val="20"/>
          <w:szCs w:val="20"/>
        </w:rPr>
        <w:footnoteReference w:id="110"/>
      </w:r>
      <w:r w:rsidRPr="00080DA0">
        <w:rPr>
          <w:rFonts w:asciiTheme="majorHAnsi" w:hAnsiTheme="majorHAnsi"/>
          <w:sz w:val="20"/>
          <w:szCs w:val="20"/>
        </w:rPr>
        <w:t xml:space="preserve"> or for the purpose of deterring, intimidating, or punishing migrants or their families, coercing them into withdrawing their requests for asylum, subsidiary protection or other stay, agreeing to "voluntary" return, providing information or fingerprints, or with a view to extorting money or sexual acts from them</w:t>
      </w:r>
      <w:r w:rsidR="00060839" w:rsidRPr="00080DA0">
        <w:rPr>
          <w:rStyle w:val="FootnoteReference"/>
          <w:rFonts w:asciiTheme="majorHAnsi" w:hAnsiTheme="majorHAnsi"/>
          <w:sz w:val="20"/>
          <w:szCs w:val="20"/>
        </w:rPr>
        <w:footnoteReference w:id="111"/>
      </w:r>
      <w:r w:rsidRPr="00080DA0">
        <w:rPr>
          <w:rFonts w:asciiTheme="majorHAnsi" w:hAnsiTheme="majorHAnsi"/>
          <w:sz w:val="20"/>
          <w:szCs w:val="20"/>
        </w:rPr>
        <w:t xml:space="preserve">. </w:t>
      </w:r>
    </w:p>
    <w:p w14:paraId="2C99D7F0" w14:textId="77777777" w:rsidR="00D87F70" w:rsidRPr="00080DA0" w:rsidRDefault="00D87F70" w:rsidP="004311F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p>
    <w:p w14:paraId="374720AA" w14:textId="4E2ACF7C" w:rsidR="009648D2" w:rsidRPr="00080DA0" w:rsidRDefault="00D87F70"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080DA0">
        <w:rPr>
          <w:rFonts w:asciiTheme="majorHAnsi" w:hAnsiTheme="majorHAnsi"/>
          <w:sz w:val="20"/>
          <w:szCs w:val="20"/>
        </w:rPr>
        <w:t xml:space="preserve">Lastly, arbitrary detention of migrants </w:t>
      </w:r>
      <w:r w:rsidR="007627ED" w:rsidRPr="00080DA0">
        <w:rPr>
          <w:rFonts w:asciiTheme="majorHAnsi" w:hAnsiTheme="majorHAnsi"/>
          <w:sz w:val="20"/>
          <w:szCs w:val="20"/>
        </w:rPr>
        <w:t xml:space="preserve">by itself </w:t>
      </w:r>
      <w:r w:rsidRPr="00080DA0">
        <w:rPr>
          <w:rFonts w:asciiTheme="majorHAnsi" w:hAnsiTheme="majorHAnsi"/>
          <w:sz w:val="20"/>
          <w:szCs w:val="20"/>
        </w:rPr>
        <w:t>can constitute torture and ill-treatment</w:t>
      </w:r>
      <w:r w:rsidRPr="00080DA0">
        <w:rPr>
          <w:rStyle w:val="FootnoteReference"/>
          <w:rFonts w:asciiTheme="majorHAnsi" w:hAnsiTheme="majorHAnsi"/>
          <w:sz w:val="20"/>
          <w:szCs w:val="20"/>
        </w:rPr>
        <w:footnoteReference w:id="112"/>
      </w:r>
      <w:r w:rsidRPr="00080DA0">
        <w:rPr>
          <w:rFonts w:asciiTheme="majorHAnsi" w:hAnsiTheme="majorHAnsi"/>
          <w:sz w:val="20"/>
          <w:szCs w:val="20"/>
        </w:rPr>
        <w:t xml:space="preserve">. The Special Rapporteur on torture and other cruel, inhuman and ill-treatment considered that </w:t>
      </w:r>
      <w:r w:rsidR="009648D2" w:rsidRPr="00080DA0">
        <w:rPr>
          <w:rFonts w:asciiTheme="majorHAnsi" w:hAnsiTheme="majorHAnsi"/>
          <w:sz w:val="20"/>
          <w:szCs w:val="20"/>
        </w:rPr>
        <w:t>the experience of being subjected to detention that is neither necessary nor proportionate to serve any legitimate purpose, particularly in conjunction with its prolonged and potentially indefinite duration, and with the absence of any effective legal remedy has been shown to add significant mental and emotional stress to the already extremely vulnerable situation of irregular migrants, with many cases reported of self-harm, post-traumatic stress disorder, anxiety and depression. Thus, even factors that may not necessarily amount to ill-treatment when applied as an isolated measure and for a very limited period of time - such as unjustified detention, delayed access to procedural rights, or moderate physical discomfort - can cross the relevant threshold if applied cumulatively and/or for a prolonged or open-ended period of time</w:t>
      </w:r>
      <w:r w:rsidR="00536C77" w:rsidRPr="00080DA0">
        <w:rPr>
          <w:rStyle w:val="FootnoteReference"/>
          <w:rFonts w:asciiTheme="majorHAnsi" w:hAnsiTheme="majorHAnsi"/>
          <w:sz w:val="20"/>
          <w:szCs w:val="20"/>
        </w:rPr>
        <w:footnoteReference w:id="113"/>
      </w:r>
      <w:r w:rsidR="009648D2" w:rsidRPr="00080DA0">
        <w:rPr>
          <w:rFonts w:asciiTheme="majorHAnsi" w:hAnsiTheme="majorHAnsi"/>
          <w:sz w:val="20"/>
          <w:szCs w:val="20"/>
        </w:rPr>
        <w:t>.</w:t>
      </w:r>
      <w:r w:rsidR="00C165EF" w:rsidRPr="00080DA0">
        <w:rPr>
          <w:rFonts w:asciiTheme="majorHAnsi" w:hAnsiTheme="majorHAnsi"/>
          <w:sz w:val="20"/>
          <w:szCs w:val="20"/>
        </w:rPr>
        <w:t xml:space="preserve"> </w:t>
      </w:r>
      <w:r w:rsidR="009648D2" w:rsidRPr="00080DA0">
        <w:rPr>
          <w:rFonts w:asciiTheme="majorHAnsi" w:hAnsiTheme="majorHAnsi"/>
          <w:sz w:val="20"/>
          <w:szCs w:val="20"/>
        </w:rPr>
        <w:t>The Commission observes that the threshold of torture and ill-treatment can be reached very quickly, if not immediately, for migrants in situation of vulnerability</w:t>
      </w:r>
      <w:r w:rsidR="00875441" w:rsidRPr="00080DA0">
        <w:rPr>
          <w:rFonts w:asciiTheme="majorHAnsi" w:hAnsiTheme="majorHAnsi"/>
          <w:sz w:val="20"/>
          <w:szCs w:val="20"/>
        </w:rPr>
        <w:t xml:space="preserve"> and those who have experienced traumatic events</w:t>
      </w:r>
      <w:r w:rsidR="009648D2" w:rsidRPr="00080DA0">
        <w:rPr>
          <w:rFonts w:asciiTheme="majorHAnsi" w:hAnsiTheme="majorHAnsi"/>
          <w:sz w:val="20"/>
          <w:szCs w:val="20"/>
        </w:rPr>
        <w:t>, such as children, women, older people, persons with disabilities, medical conditions, or torture trauma LGBTI persons</w:t>
      </w:r>
      <w:r w:rsidR="00875441" w:rsidRPr="00080DA0">
        <w:rPr>
          <w:rFonts w:asciiTheme="majorHAnsi" w:hAnsiTheme="majorHAnsi"/>
          <w:sz w:val="20"/>
          <w:szCs w:val="20"/>
        </w:rPr>
        <w:t>, asylum seekers, and refugees</w:t>
      </w:r>
      <w:r w:rsidR="00C165EF" w:rsidRPr="00080DA0">
        <w:rPr>
          <w:rStyle w:val="FootnoteReference"/>
          <w:rFonts w:asciiTheme="majorHAnsi" w:hAnsiTheme="majorHAnsi"/>
          <w:sz w:val="20"/>
          <w:szCs w:val="20"/>
        </w:rPr>
        <w:footnoteReference w:id="114"/>
      </w:r>
      <w:r w:rsidR="009648D2" w:rsidRPr="00080DA0">
        <w:rPr>
          <w:rFonts w:asciiTheme="majorHAnsi" w:hAnsiTheme="majorHAnsi"/>
          <w:sz w:val="20"/>
          <w:szCs w:val="20"/>
        </w:rPr>
        <w:t>.</w:t>
      </w:r>
      <w:r w:rsidR="007627ED" w:rsidRPr="00080DA0">
        <w:rPr>
          <w:rFonts w:asciiTheme="majorHAnsi" w:hAnsiTheme="majorHAnsi"/>
          <w:sz w:val="20"/>
          <w:szCs w:val="20"/>
        </w:rPr>
        <w:t xml:space="preserve"> </w:t>
      </w:r>
    </w:p>
    <w:p w14:paraId="681DAF4D" w14:textId="77777777" w:rsidR="00C5389C" w:rsidRPr="00FD47EA" w:rsidRDefault="00C5389C" w:rsidP="004311F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lang w:val="en-GB"/>
        </w:rPr>
      </w:pPr>
    </w:p>
    <w:p w14:paraId="55DB1BAD" w14:textId="77777777" w:rsidR="0031503D" w:rsidRPr="007B234B" w:rsidRDefault="00543556" w:rsidP="004311FE">
      <w:pPr>
        <w:pStyle w:val="Heading3"/>
        <w:numPr>
          <w:ilvl w:val="0"/>
          <w:numId w:val="57"/>
        </w:numPr>
        <w:tabs>
          <w:tab w:val="left" w:pos="360"/>
        </w:tabs>
        <w:ind w:left="0" w:firstLine="0"/>
      </w:pPr>
      <w:bookmarkStart w:id="22" w:name="_Toc90557414"/>
      <w:r w:rsidRPr="007B234B">
        <w:t xml:space="preserve">Arbitrary detention of </w:t>
      </w:r>
      <w:r w:rsidR="004D757F" w:rsidRPr="007B234B">
        <w:t>the alleged victims</w:t>
      </w:r>
      <w:r w:rsidR="00E015A3" w:rsidRPr="007B234B">
        <w:t xml:space="preserve"> at the Carmichael Road Detention Cent</w:t>
      </w:r>
      <w:r w:rsidR="00F4491C" w:rsidRPr="007B234B">
        <w:t>er</w:t>
      </w:r>
      <w:bookmarkEnd w:id="22"/>
    </w:p>
    <w:p w14:paraId="51C19B9B" w14:textId="77777777" w:rsidR="0031503D" w:rsidRPr="006D6B01" w:rsidRDefault="0031503D" w:rsidP="004311FE">
      <w:pPr>
        <w:tabs>
          <w:tab w:val="left" w:pos="360"/>
        </w:tabs>
      </w:pPr>
    </w:p>
    <w:p w14:paraId="0B7B6865" w14:textId="5F696070" w:rsidR="00A138D8" w:rsidRPr="006D6B01" w:rsidRDefault="00A138D8"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6D6B01">
        <w:rPr>
          <w:rFonts w:asciiTheme="majorHAnsi" w:hAnsiTheme="majorHAnsi"/>
          <w:sz w:val="20"/>
          <w:szCs w:val="20"/>
        </w:rPr>
        <w:t xml:space="preserve">The Commission will </w:t>
      </w:r>
      <w:r w:rsidR="009C4DB6" w:rsidRPr="006D6B01">
        <w:rPr>
          <w:rFonts w:asciiTheme="majorHAnsi" w:hAnsiTheme="majorHAnsi"/>
          <w:sz w:val="20"/>
          <w:szCs w:val="20"/>
        </w:rPr>
        <w:t xml:space="preserve">consider and </w:t>
      </w:r>
      <w:r w:rsidRPr="006D6B01">
        <w:rPr>
          <w:rFonts w:asciiTheme="majorHAnsi" w:hAnsiTheme="majorHAnsi"/>
          <w:sz w:val="20"/>
          <w:szCs w:val="20"/>
        </w:rPr>
        <w:t>analyze</w:t>
      </w:r>
      <w:r w:rsidR="009C4DB6" w:rsidRPr="006D6B01">
        <w:rPr>
          <w:rFonts w:asciiTheme="majorHAnsi" w:hAnsiTheme="majorHAnsi"/>
          <w:sz w:val="20"/>
          <w:szCs w:val="20"/>
        </w:rPr>
        <w:t xml:space="preserve"> the </w:t>
      </w:r>
      <w:r w:rsidR="002B5293" w:rsidRPr="006D6B01">
        <w:rPr>
          <w:rFonts w:asciiTheme="majorHAnsi" w:hAnsiTheme="majorHAnsi"/>
          <w:sz w:val="20"/>
          <w:szCs w:val="20"/>
        </w:rPr>
        <w:t>legal basis</w:t>
      </w:r>
      <w:r w:rsidR="009C4DB6" w:rsidRPr="006D6B01">
        <w:rPr>
          <w:rFonts w:asciiTheme="majorHAnsi" w:hAnsiTheme="majorHAnsi"/>
          <w:sz w:val="20"/>
          <w:szCs w:val="20"/>
        </w:rPr>
        <w:t xml:space="preserve"> </w:t>
      </w:r>
      <w:r w:rsidR="00DA2163" w:rsidRPr="006D6B01">
        <w:rPr>
          <w:rFonts w:asciiTheme="majorHAnsi" w:hAnsiTheme="majorHAnsi"/>
          <w:sz w:val="20"/>
          <w:szCs w:val="20"/>
        </w:rPr>
        <w:t>upon which</w:t>
      </w:r>
      <w:r w:rsidR="009C4DB6" w:rsidRPr="006D6B01">
        <w:rPr>
          <w:rFonts w:asciiTheme="majorHAnsi" w:hAnsiTheme="majorHAnsi"/>
          <w:sz w:val="20"/>
          <w:szCs w:val="20"/>
        </w:rPr>
        <w:t xml:space="preserve"> the State detain</w:t>
      </w:r>
      <w:r w:rsidR="00FD1C09" w:rsidRPr="006D6B01">
        <w:rPr>
          <w:rFonts w:asciiTheme="majorHAnsi" w:hAnsiTheme="majorHAnsi"/>
          <w:sz w:val="20"/>
          <w:szCs w:val="20"/>
        </w:rPr>
        <w:t>ed</w:t>
      </w:r>
      <w:r w:rsidR="009C4DB6" w:rsidRPr="006D6B01">
        <w:rPr>
          <w:rFonts w:asciiTheme="majorHAnsi" w:hAnsiTheme="majorHAnsi"/>
          <w:sz w:val="20"/>
          <w:szCs w:val="20"/>
        </w:rPr>
        <w:t xml:space="preserve"> the alleged victims, </w:t>
      </w:r>
      <w:r w:rsidR="00825FCC" w:rsidRPr="006D6B01">
        <w:rPr>
          <w:rFonts w:asciiTheme="majorHAnsi" w:hAnsiTheme="majorHAnsi"/>
          <w:sz w:val="20"/>
          <w:szCs w:val="20"/>
        </w:rPr>
        <w:t xml:space="preserve">the use of individualized and case-by-case detention decisions, </w:t>
      </w:r>
      <w:r w:rsidR="009C4DB6" w:rsidRPr="006D6B01">
        <w:rPr>
          <w:rFonts w:asciiTheme="majorHAnsi" w:hAnsiTheme="majorHAnsi"/>
          <w:sz w:val="20"/>
          <w:szCs w:val="20"/>
        </w:rPr>
        <w:t xml:space="preserve">indicia of criminality associated with the alleged victims, and </w:t>
      </w:r>
      <w:r w:rsidR="00F75D2B" w:rsidRPr="006D6B01">
        <w:rPr>
          <w:rFonts w:asciiTheme="majorHAnsi" w:hAnsiTheme="majorHAnsi"/>
          <w:sz w:val="20"/>
          <w:szCs w:val="20"/>
        </w:rPr>
        <w:t xml:space="preserve">the </w:t>
      </w:r>
      <w:r w:rsidR="00607692" w:rsidRPr="006D6B01">
        <w:rPr>
          <w:rFonts w:asciiTheme="majorHAnsi" w:hAnsiTheme="majorHAnsi"/>
          <w:sz w:val="20"/>
          <w:szCs w:val="20"/>
        </w:rPr>
        <w:t>appl</w:t>
      </w:r>
      <w:r w:rsidR="00825FCC" w:rsidRPr="006D6B01">
        <w:rPr>
          <w:rFonts w:asciiTheme="majorHAnsi" w:hAnsiTheme="majorHAnsi"/>
          <w:sz w:val="20"/>
          <w:szCs w:val="20"/>
        </w:rPr>
        <w:t>ication of</w:t>
      </w:r>
      <w:r w:rsidR="00607692" w:rsidRPr="006D6B01">
        <w:rPr>
          <w:rFonts w:asciiTheme="majorHAnsi" w:hAnsiTheme="majorHAnsi"/>
          <w:sz w:val="20"/>
          <w:szCs w:val="20"/>
        </w:rPr>
        <w:t xml:space="preserve"> the</w:t>
      </w:r>
      <w:r w:rsidR="009C4DB6" w:rsidRPr="006D6B01">
        <w:rPr>
          <w:rFonts w:asciiTheme="majorHAnsi" w:hAnsiTheme="majorHAnsi"/>
          <w:sz w:val="20"/>
          <w:szCs w:val="20"/>
        </w:rPr>
        <w:t xml:space="preserve"> exceptionality criteria </w:t>
      </w:r>
      <w:r w:rsidRPr="006D6B01">
        <w:rPr>
          <w:rFonts w:asciiTheme="majorHAnsi" w:hAnsiTheme="majorHAnsi"/>
          <w:sz w:val="20"/>
          <w:szCs w:val="20"/>
        </w:rPr>
        <w:t xml:space="preserve">in relation to </w:t>
      </w:r>
      <w:r w:rsidR="009C4DB6" w:rsidRPr="006D6B01">
        <w:rPr>
          <w:rFonts w:asciiTheme="majorHAnsi" w:hAnsiTheme="majorHAnsi"/>
          <w:sz w:val="20"/>
          <w:szCs w:val="20"/>
        </w:rPr>
        <w:t>the detention of the alleged victims at the Carmichael Cente</w:t>
      </w:r>
      <w:r w:rsidR="006D6B01" w:rsidRPr="006D6B01">
        <w:rPr>
          <w:rFonts w:asciiTheme="majorHAnsi" w:hAnsiTheme="majorHAnsi"/>
          <w:sz w:val="20"/>
          <w:szCs w:val="20"/>
        </w:rPr>
        <w:t>r.</w:t>
      </w:r>
    </w:p>
    <w:p w14:paraId="1860B16D" w14:textId="77777777" w:rsidR="00A138D8" w:rsidRPr="006D6B01" w:rsidRDefault="00A138D8" w:rsidP="004311F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p>
    <w:p w14:paraId="5083680E" w14:textId="69399725" w:rsidR="00D03842" w:rsidRPr="006D6B01" w:rsidRDefault="00E511B7"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6D6B01">
        <w:rPr>
          <w:rFonts w:asciiTheme="majorHAnsi" w:hAnsiTheme="majorHAnsi"/>
          <w:sz w:val="20"/>
          <w:szCs w:val="20"/>
        </w:rPr>
        <w:t>First</w:t>
      </w:r>
      <w:r w:rsidR="00D113F9" w:rsidRPr="006D6B01">
        <w:rPr>
          <w:rFonts w:asciiTheme="majorHAnsi" w:hAnsiTheme="majorHAnsi"/>
          <w:sz w:val="20"/>
          <w:szCs w:val="20"/>
        </w:rPr>
        <w:t xml:space="preserve">, </w:t>
      </w:r>
      <w:r w:rsidR="002B5293" w:rsidRPr="006D6B01">
        <w:rPr>
          <w:rFonts w:asciiTheme="majorHAnsi" w:hAnsiTheme="majorHAnsi"/>
          <w:sz w:val="20"/>
          <w:szCs w:val="20"/>
        </w:rPr>
        <w:t>the Commission rec</w:t>
      </w:r>
      <w:r w:rsidR="00350704">
        <w:rPr>
          <w:rFonts w:asciiTheme="majorHAnsi" w:hAnsiTheme="majorHAnsi"/>
          <w:sz w:val="20"/>
          <w:szCs w:val="20"/>
        </w:rPr>
        <w:t>alls</w:t>
      </w:r>
      <w:r w:rsidR="002B5293" w:rsidRPr="006D6B01">
        <w:rPr>
          <w:rFonts w:asciiTheme="majorHAnsi" w:hAnsiTheme="majorHAnsi"/>
          <w:sz w:val="20"/>
          <w:szCs w:val="20"/>
        </w:rPr>
        <w:t xml:space="preserve"> that </w:t>
      </w:r>
      <w:r w:rsidR="00C9140B" w:rsidRPr="006D6B01">
        <w:rPr>
          <w:rFonts w:asciiTheme="majorHAnsi" w:hAnsiTheme="majorHAnsi"/>
          <w:sz w:val="20"/>
          <w:szCs w:val="20"/>
        </w:rPr>
        <w:t xml:space="preserve">restrictions </w:t>
      </w:r>
      <w:r w:rsidR="00147CB2" w:rsidRPr="006D6B01">
        <w:rPr>
          <w:rFonts w:asciiTheme="majorHAnsi" w:hAnsiTheme="majorHAnsi"/>
          <w:sz w:val="20"/>
          <w:szCs w:val="20"/>
        </w:rPr>
        <w:t>of the</w:t>
      </w:r>
      <w:r w:rsidR="002B5293" w:rsidRPr="006D6B01">
        <w:rPr>
          <w:rFonts w:asciiTheme="majorHAnsi" w:hAnsiTheme="majorHAnsi"/>
          <w:sz w:val="20"/>
          <w:szCs w:val="20"/>
        </w:rPr>
        <w:t xml:space="preserve"> right to liberty </w:t>
      </w:r>
      <w:r w:rsidR="00147CB2" w:rsidRPr="006D6B01">
        <w:rPr>
          <w:rFonts w:asciiTheme="majorHAnsi" w:hAnsiTheme="majorHAnsi"/>
          <w:sz w:val="20"/>
          <w:szCs w:val="20"/>
        </w:rPr>
        <w:t xml:space="preserve">through detention </w:t>
      </w:r>
      <w:r w:rsidR="002B5293" w:rsidRPr="006D6B01">
        <w:rPr>
          <w:rFonts w:asciiTheme="majorHAnsi" w:hAnsiTheme="majorHAnsi"/>
          <w:sz w:val="20"/>
          <w:szCs w:val="20"/>
        </w:rPr>
        <w:t>must meet the minimum guarantees identified in the legal standards, namely th</w:t>
      </w:r>
      <w:r w:rsidR="00147CB2" w:rsidRPr="006D6B01">
        <w:rPr>
          <w:rFonts w:asciiTheme="majorHAnsi" w:hAnsiTheme="majorHAnsi"/>
          <w:sz w:val="20"/>
          <w:szCs w:val="20"/>
        </w:rPr>
        <w:t xml:space="preserve">at the </w:t>
      </w:r>
      <w:r w:rsidR="002B5293" w:rsidRPr="006D6B01">
        <w:rPr>
          <w:rFonts w:asciiTheme="majorHAnsi" w:hAnsiTheme="majorHAnsi"/>
          <w:sz w:val="20"/>
          <w:szCs w:val="20"/>
        </w:rPr>
        <w:t xml:space="preserve">detention </w:t>
      </w:r>
      <w:r w:rsidR="002B5293" w:rsidRPr="006D6B01">
        <w:rPr>
          <w:rFonts w:asciiTheme="majorHAnsi" w:hAnsiTheme="majorHAnsi"/>
          <w:color w:val="000000" w:themeColor="text1"/>
          <w:sz w:val="20"/>
          <w:szCs w:val="20"/>
        </w:rPr>
        <w:t xml:space="preserve">be prescribed by law, have a legitimate purpose, and be suitable, necessary, and proportionate, </w:t>
      </w:r>
      <w:r w:rsidR="00147CB2" w:rsidRPr="006D6B01">
        <w:rPr>
          <w:rFonts w:asciiTheme="majorHAnsi" w:hAnsiTheme="majorHAnsi"/>
          <w:color w:val="000000" w:themeColor="text1"/>
          <w:sz w:val="20"/>
          <w:szCs w:val="20"/>
        </w:rPr>
        <w:t>in order to</w:t>
      </w:r>
      <w:r w:rsidR="002B5293" w:rsidRPr="006D6B01">
        <w:rPr>
          <w:rFonts w:asciiTheme="majorHAnsi" w:hAnsiTheme="majorHAnsi"/>
          <w:color w:val="000000" w:themeColor="text1"/>
          <w:sz w:val="20"/>
          <w:szCs w:val="20"/>
        </w:rPr>
        <w:t xml:space="preserve"> not violat</w:t>
      </w:r>
      <w:r w:rsidR="00147CB2" w:rsidRPr="006D6B01">
        <w:rPr>
          <w:rFonts w:asciiTheme="majorHAnsi" w:hAnsiTheme="majorHAnsi"/>
          <w:color w:val="000000" w:themeColor="text1"/>
          <w:sz w:val="20"/>
          <w:szCs w:val="20"/>
        </w:rPr>
        <w:t>e obligations under the</w:t>
      </w:r>
      <w:r w:rsidR="002B5293" w:rsidRPr="006D6B01">
        <w:rPr>
          <w:rFonts w:asciiTheme="majorHAnsi" w:hAnsiTheme="majorHAnsi"/>
          <w:color w:val="000000" w:themeColor="text1"/>
          <w:sz w:val="20"/>
          <w:szCs w:val="20"/>
        </w:rPr>
        <w:t xml:space="preserve"> American Declaration</w:t>
      </w:r>
      <w:r w:rsidR="00D113F9" w:rsidRPr="006D6B01">
        <w:rPr>
          <w:rFonts w:asciiTheme="majorHAnsi" w:hAnsiTheme="majorHAnsi"/>
          <w:sz w:val="20"/>
          <w:szCs w:val="20"/>
        </w:rPr>
        <w:t xml:space="preserve">. </w:t>
      </w:r>
      <w:r w:rsidR="00147CB2" w:rsidRPr="006D6B01">
        <w:rPr>
          <w:rFonts w:asciiTheme="majorHAnsi" w:hAnsiTheme="majorHAnsi"/>
          <w:sz w:val="20"/>
          <w:szCs w:val="20"/>
        </w:rPr>
        <w:t xml:space="preserve">In relation to the prescription by law requirement, </w:t>
      </w:r>
      <w:r w:rsidR="00C33F3C" w:rsidRPr="006D6B01">
        <w:rPr>
          <w:rFonts w:asciiTheme="majorHAnsi" w:hAnsiTheme="majorHAnsi"/>
          <w:sz w:val="20"/>
          <w:szCs w:val="20"/>
        </w:rPr>
        <w:t>t</w:t>
      </w:r>
      <w:r w:rsidR="00C1241D" w:rsidRPr="006D6B01">
        <w:rPr>
          <w:rFonts w:asciiTheme="majorHAnsi" w:hAnsiTheme="majorHAnsi"/>
          <w:sz w:val="20"/>
          <w:szCs w:val="20"/>
        </w:rPr>
        <w:t xml:space="preserve">he Commission notes that </w:t>
      </w:r>
      <w:r w:rsidR="002B5293" w:rsidRPr="006D6B01">
        <w:rPr>
          <w:rFonts w:asciiTheme="majorHAnsi" w:hAnsiTheme="majorHAnsi"/>
          <w:sz w:val="20"/>
          <w:szCs w:val="20"/>
        </w:rPr>
        <w:t xml:space="preserve">the </w:t>
      </w:r>
      <w:r w:rsidR="00D113F9" w:rsidRPr="006D6B01">
        <w:rPr>
          <w:rFonts w:asciiTheme="majorHAnsi" w:hAnsiTheme="majorHAnsi"/>
          <w:sz w:val="20"/>
          <w:szCs w:val="20"/>
        </w:rPr>
        <w:t>Bahamian Immigration Act</w:t>
      </w:r>
      <w:r w:rsidR="00C1241D" w:rsidRPr="006D6B01">
        <w:rPr>
          <w:rFonts w:asciiTheme="majorHAnsi" w:hAnsiTheme="majorHAnsi"/>
          <w:sz w:val="20"/>
          <w:szCs w:val="20"/>
        </w:rPr>
        <w:t xml:space="preserve"> </w:t>
      </w:r>
      <w:r w:rsidR="00147CB2" w:rsidRPr="006D6B01">
        <w:rPr>
          <w:rFonts w:asciiTheme="majorHAnsi" w:hAnsiTheme="majorHAnsi"/>
          <w:sz w:val="20"/>
          <w:szCs w:val="20"/>
        </w:rPr>
        <w:t>considers</w:t>
      </w:r>
      <w:r w:rsidR="00D113F9" w:rsidRPr="006D6B01">
        <w:rPr>
          <w:rFonts w:asciiTheme="majorHAnsi" w:hAnsiTheme="majorHAnsi"/>
          <w:sz w:val="20"/>
          <w:szCs w:val="20"/>
        </w:rPr>
        <w:t xml:space="preserve"> any individual who arrives in its territory without a proper visa to be an </w:t>
      </w:r>
      <w:r w:rsidR="00C9140B" w:rsidRPr="006D6B01">
        <w:rPr>
          <w:rFonts w:asciiTheme="majorHAnsi" w:hAnsiTheme="majorHAnsi"/>
          <w:sz w:val="20"/>
          <w:szCs w:val="20"/>
        </w:rPr>
        <w:lastRenderedPageBreak/>
        <w:t>“</w:t>
      </w:r>
      <w:r w:rsidR="00D113F9" w:rsidRPr="006D6B01">
        <w:rPr>
          <w:rFonts w:asciiTheme="majorHAnsi" w:hAnsiTheme="majorHAnsi"/>
          <w:sz w:val="20"/>
          <w:szCs w:val="20"/>
        </w:rPr>
        <w:t>illegal immigrant</w:t>
      </w:r>
      <w:r w:rsidR="00C9140B" w:rsidRPr="006D6B01">
        <w:rPr>
          <w:rFonts w:asciiTheme="majorHAnsi" w:hAnsiTheme="majorHAnsi"/>
          <w:sz w:val="20"/>
          <w:szCs w:val="20"/>
        </w:rPr>
        <w:t>”</w:t>
      </w:r>
      <w:r w:rsidR="00C33F3C" w:rsidRPr="006D6B01">
        <w:rPr>
          <w:rFonts w:asciiTheme="majorHAnsi" w:hAnsiTheme="majorHAnsi"/>
          <w:sz w:val="20"/>
          <w:szCs w:val="20"/>
        </w:rPr>
        <w:t xml:space="preserve"> (</w:t>
      </w:r>
      <w:r w:rsidR="00C9140B" w:rsidRPr="006D6B01">
        <w:rPr>
          <w:rFonts w:asciiTheme="majorHAnsi" w:hAnsiTheme="majorHAnsi"/>
          <w:sz w:val="20"/>
          <w:szCs w:val="20"/>
        </w:rPr>
        <w:t>sic</w:t>
      </w:r>
      <w:r w:rsidR="00C33F3C" w:rsidRPr="006D6B01">
        <w:rPr>
          <w:rFonts w:asciiTheme="majorHAnsi" w:hAnsiTheme="majorHAnsi"/>
          <w:sz w:val="20"/>
          <w:szCs w:val="20"/>
        </w:rPr>
        <w:t>)</w:t>
      </w:r>
      <w:r w:rsidR="002B5293" w:rsidRPr="006D6B01">
        <w:rPr>
          <w:rFonts w:asciiTheme="majorHAnsi" w:hAnsiTheme="majorHAnsi"/>
          <w:sz w:val="20"/>
          <w:szCs w:val="20"/>
        </w:rPr>
        <w:t>.</w:t>
      </w:r>
      <w:r w:rsidR="002B5293" w:rsidRPr="006D6B01">
        <w:rPr>
          <w:rStyle w:val="FootnoteReference"/>
          <w:rFonts w:asciiTheme="majorHAnsi" w:hAnsiTheme="majorHAnsi"/>
          <w:sz w:val="20"/>
          <w:szCs w:val="20"/>
        </w:rPr>
        <w:footnoteReference w:id="115"/>
      </w:r>
      <w:r w:rsidR="002B5293" w:rsidRPr="006D6B01">
        <w:rPr>
          <w:rFonts w:asciiTheme="majorHAnsi" w:hAnsiTheme="majorHAnsi"/>
          <w:sz w:val="20"/>
          <w:szCs w:val="20"/>
        </w:rPr>
        <w:t xml:space="preserve"> </w:t>
      </w:r>
      <w:r w:rsidR="00C9140B" w:rsidRPr="006D6B01">
        <w:rPr>
          <w:rFonts w:asciiTheme="majorHAnsi" w:hAnsiTheme="majorHAnsi"/>
          <w:sz w:val="20"/>
          <w:szCs w:val="20"/>
        </w:rPr>
        <w:t>However</w:t>
      </w:r>
      <w:r w:rsidR="002B5293" w:rsidRPr="006D6B01">
        <w:rPr>
          <w:rFonts w:asciiTheme="majorHAnsi" w:hAnsiTheme="majorHAnsi"/>
          <w:sz w:val="20"/>
          <w:szCs w:val="20"/>
        </w:rPr>
        <w:t>,</w:t>
      </w:r>
      <w:r w:rsidR="00D113F9" w:rsidRPr="006D6B01">
        <w:rPr>
          <w:rFonts w:asciiTheme="majorHAnsi" w:hAnsiTheme="majorHAnsi"/>
          <w:sz w:val="20"/>
          <w:szCs w:val="20"/>
        </w:rPr>
        <w:t xml:space="preserve"> </w:t>
      </w:r>
      <w:r w:rsidR="00F75D2B" w:rsidRPr="006D6B01">
        <w:rPr>
          <w:rFonts w:asciiTheme="majorHAnsi" w:hAnsiTheme="majorHAnsi"/>
          <w:sz w:val="20"/>
          <w:szCs w:val="20"/>
        </w:rPr>
        <w:t>the Act</w:t>
      </w:r>
      <w:r w:rsidR="003C2FD9" w:rsidRPr="006D6B01">
        <w:rPr>
          <w:rFonts w:asciiTheme="majorHAnsi" w:hAnsiTheme="majorHAnsi"/>
          <w:sz w:val="20"/>
          <w:szCs w:val="20"/>
        </w:rPr>
        <w:t xml:space="preserve"> neither </w:t>
      </w:r>
      <w:r w:rsidR="00C33F3C" w:rsidRPr="006D6B01">
        <w:rPr>
          <w:rFonts w:asciiTheme="majorHAnsi" w:hAnsiTheme="majorHAnsi"/>
          <w:sz w:val="20"/>
          <w:szCs w:val="20"/>
        </w:rPr>
        <w:t>enable</w:t>
      </w:r>
      <w:r w:rsidR="00C9140B" w:rsidRPr="006D6B01">
        <w:rPr>
          <w:rFonts w:asciiTheme="majorHAnsi" w:hAnsiTheme="majorHAnsi"/>
          <w:sz w:val="20"/>
          <w:szCs w:val="20"/>
        </w:rPr>
        <w:t>s</w:t>
      </w:r>
      <w:r w:rsidR="00C33F3C" w:rsidRPr="006D6B01">
        <w:rPr>
          <w:rFonts w:asciiTheme="majorHAnsi" w:hAnsiTheme="majorHAnsi"/>
          <w:sz w:val="20"/>
          <w:szCs w:val="20"/>
        </w:rPr>
        <w:t xml:space="preserve"> </w:t>
      </w:r>
      <w:r w:rsidR="002B5293" w:rsidRPr="006D6B01">
        <w:rPr>
          <w:rFonts w:asciiTheme="majorHAnsi" w:hAnsiTheme="majorHAnsi"/>
          <w:sz w:val="20"/>
          <w:szCs w:val="20"/>
        </w:rPr>
        <w:t xml:space="preserve">the </w:t>
      </w:r>
      <w:r w:rsidR="00D113F9" w:rsidRPr="006D6B01">
        <w:rPr>
          <w:rFonts w:asciiTheme="majorHAnsi" w:hAnsiTheme="majorHAnsi"/>
          <w:sz w:val="20"/>
          <w:szCs w:val="20"/>
        </w:rPr>
        <w:t>authorities to detain individuals</w:t>
      </w:r>
      <w:r w:rsidR="002B5293" w:rsidRPr="006D6B01">
        <w:rPr>
          <w:rFonts w:asciiTheme="majorHAnsi" w:hAnsiTheme="majorHAnsi"/>
          <w:sz w:val="20"/>
          <w:szCs w:val="20"/>
        </w:rPr>
        <w:t xml:space="preserve"> </w:t>
      </w:r>
      <w:r w:rsidR="00DA2163" w:rsidRPr="006D6B01">
        <w:rPr>
          <w:rFonts w:asciiTheme="majorHAnsi" w:hAnsiTheme="majorHAnsi"/>
          <w:sz w:val="20"/>
          <w:szCs w:val="20"/>
        </w:rPr>
        <w:t>without a proper visa</w:t>
      </w:r>
      <w:r w:rsidR="003C2FD9" w:rsidRPr="006D6B01">
        <w:rPr>
          <w:rFonts w:asciiTheme="majorHAnsi" w:hAnsiTheme="majorHAnsi"/>
          <w:sz w:val="20"/>
          <w:szCs w:val="20"/>
        </w:rPr>
        <w:t xml:space="preserve">, nor </w:t>
      </w:r>
      <w:r w:rsidR="00C9140B" w:rsidRPr="006D6B01">
        <w:rPr>
          <w:rFonts w:asciiTheme="majorHAnsi" w:hAnsiTheme="majorHAnsi"/>
          <w:sz w:val="20"/>
          <w:szCs w:val="20"/>
        </w:rPr>
        <w:t xml:space="preserve">prescribes </w:t>
      </w:r>
      <w:r w:rsidR="003C2FD9" w:rsidRPr="006D6B01">
        <w:rPr>
          <w:rFonts w:asciiTheme="majorHAnsi" w:hAnsiTheme="majorHAnsi"/>
          <w:sz w:val="20"/>
          <w:szCs w:val="20"/>
        </w:rPr>
        <w:t xml:space="preserve">a maximum </w:t>
      </w:r>
      <w:r w:rsidR="00C9140B" w:rsidRPr="006D6B01">
        <w:rPr>
          <w:rFonts w:asciiTheme="majorHAnsi" w:hAnsiTheme="majorHAnsi"/>
          <w:sz w:val="20"/>
          <w:szCs w:val="20"/>
        </w:rPr>
        <w:t>duration of</w:t>
      </w:r>
      <w:r w:rsidR="003C2FD9" w:rsidRPr="006D6B01">
        <w:rPr>
          <w:rFonts w:asciiTheme="majorHAnsi" w:hAnsiTheme="majorHAnsi"/>
          <w:sz w:val="20"/>
          <w:szCs w:val="20"/>
        </w:rPr>
        <w:t xml:space="preserve"> custody</w:t>
      </w:r>
      <w:r w:rsidR="00511A8E" w:rsidRPr="006D6B01">
        <w:rPr>
          <w:rFonts w:asciiTheme="majorHAnsi" w:hAnsiTheme="majorHAnsi"/>
          <w:sz w:val="20"/>
          <w:szCs w:val="20"/>
        </w:rPr>
        <w:t>.</w:t>
      </w:r>
      <w:r w:rsidR="00D113F9" w:rsidRPr="006D6B01">
        <w:rPr>
          <w:rStyle w:val="FootnoteReference"/>
          <w:rFonts w:asciiTheme="majorHAnsi" w:hAnsiTheme="majorHAnsi"/>
          <w:sz w:val="20"/>
          <w:szCs w:val="20"/>
        </w:rPr>
        <w:footnoteReference w:id="116"/>
      </w:r>
      <w:r w:rsidR="002B5293" w:rsidRPr="006D6B01">
        <w:rPr>
          <w:rFonts w:asciiTheme="majorHAnsi" w:hAnsiTheme="majorHAnsi"/>
          <w:sz w:val="20"/>
          <w:szCs w:val="20"/>
        </w:rPr>
        <w:t xml:space="preserve"> Accordingly, the Commission finds that the mass detention of the alleged </w:t>
      </w:r>
      <w:r w:rsidR="00F75D2B" w:rsidRPr="006D6B01">
        <w:rPr>
          <w:rFonts w:asciiTheme="majorHAnsi" w:hAnsiTheme="majorHAnsi"/>
          <w:sz w:val="20"/>
          <w:szCs w:val="20"/>
        </w:rPr>
        <w:t xml:space="preserve">victims </w:t>
      </w:r>
      <w:r w:rsidR="002B5293" w:rsidRPr="006D6B01">
        <w:rPr>
          <w:rFonts w:asciiTheme="majorHAnsi" w:hAnsiTheme="majorHAnsi"/>
          <w:sz w:val="20"/>
          <w:szCs w:val="20"/>
        </w:rPr>
        <w:t>was carried out by the State without a legal basis</w:t>
      </w:r>
      <w:r w:rsidR="0097295A" w:rsidRPr="006D6B01">
        <w:rPr>
          <w:rFonts w:asciiTheme="majorHAnsi" w:hAnsiTheme="majorHAnsi"/>
          <w:sz w:val="20"/>
          <w:szCs w:val="20"/>
        </w:rPr>
        <w:t>, causing them uncertainty regarding the</w:t>
      </w:r>
      <w:r w:rsidR="00704E82">
        <w:rPr>
          <w:rFonts w:asciiTheme="majorHAnsi" w:hAnsiTheme="majorHAnsi"/>
          <w:sz w:val="20"/>
          <w:szCs w:val="20"/>
        </w:rPr>
        <w:t xml:space="preserve"> acceptable reasons to be detained, the </w:t>
      </w:r>
      <w:r w:rsidR="00126340" w:rsidRPr="006D6B01">
        <w:rPr>
          <w:rFonts w:asciiTheme="majorHAnsi" w:hAnsiTheme="majorHAnsi"/>
          <w:sz w:val="20"/>
          <w:szCs w:val="20"/>
        </w:rPr>
        <w:t>length of detention</w:t>
      </w:r>
      <w:r w:rsidR="002257C5" w:rsidRPr="006D6B01">
        <w:rPr>
          <w:rFonts w:asciiTheme="majorHAnsi" w:hAnsiTheme="majorHAnsi"/>
          <w:sz w:val="20"/>
          <w:szCs w:val="20"/>
        </w:rPr>
        <w:t xml:space="preserve"> and</w:t>
      </w:r>
      <w:r w:rsidR="003C2FD9" w:rsidRPr="006D6B01">
        <w:rPr>
          <w:rFonts w:asciiTheme="majorHAnsi" w:hAnsiTheme="majorHAnsi"/>
          <w:sz w:val="20"/>
          <w:szCs w:val="20"/>
        </w:rPr>
        <w:t xml:space="preserve"> the </w:t>
      </w:r>
      <w:r w:rsidR="00126340" w:rsidRPr="006D6B01">
        <w:rPr>
          <w:rFonts w:asciiTheme="majorHAnsi" w:hAnsiTheme="majorHAnsi"/>
          <w:sz w:val="20"/>
          <w:szCs w:val="20"/>
        </w:rPr>
        <w:t xml:space="preserve">subsequent </w:t>
      </w:r>
      <w:r w:rsidR="003C2FD9" w:rsidRPr="006D6B01">
        <w:rPr>
          <w:rFonts w:asciiTheme="majorHAnsi" w:hAnsiTheme="majorHAnsi"/>
          <w:sz w:val="20"/>
          <w:szCs w:val="20"/>
        </w:rPr>
        <w:t>legal procedure for the determination of their status</w:t>
      </w:r>
      <w:r w:rsidR="00C9140B" w:rsidRPr="006D6B01">
        <w:rPr>
          <w:rFonts w:asciiTheme="majorHAnsi" w:hAnsiTheme="majorHAnsi"/>
          <w:sz w:val="20"/>
          <w:szCs w:val="20"/>
        </w:rPr>
        <w:t xml:space="preserve">. Further, it finds that the State failed to </w:t>
      </w:r>
      <w:r w:rsidR="00126340" w:rsidRPr="006D6B01">
        <w:rPr>
          <w:rFonts w:asciiTheme="majorHAnsi" w:hAnsiTheme="majorHAnsi"/>
          <w:sz w:val="20"/>
          <w:szCs w:val="20"/>
        </w:rPr>
        <w:t>provid</w:t>
      </w:r>
      <w:r w:rsidR="00C9140B" w:rsidRPr="006D6B01">
        <w:rPr>
          <w:rFonts w:asciiTheme="majorHAnsi" w:hAnsiTheme="majorHAnsi"/>
          <w:sz w:val="20"/>
          <w:szCs w:val="20"/>
        </w:rPr>
        <w:t>e</w:t>
      </w:r>
      <w:r w:rsidR="00126340" w:rsidRPr="006D6B01">
        <w:rPr>
          <w:rFonts w:asciiTheme="majorHAnsi" w:hAnsiTheme="majorHAnsi"/>
          <w:sz w:val="20"/>
          <w:szCs w:val="20"/>
        </w:rPr>
        <w:t xml:space="preserve"> information </w:t>
      </w:r>
      <w:r w:rsidR="00DA2163" w:rsidRPr="006D6B01">
        <w:rPr>
          <w:rFonts w:asciiTheme="majorHAnsi" w:hAnsiTheme="majorHAnsi"/>
          <w:sz w:val="20"/>
          <w:szCs w:val="20"/>
        </w:rPr>
        <w:t xml:space="preserve">in order to </w:t>
      </w:r>
      <w:r w:rsidR="0018689A" w:rsidRPr="006D6B01">
        <w:rPr>
          <w:rFonts w:asciiTheme="majorHAnsi" w:hAnsiTheme="majorHAnsi"/>
          <w:sz w:val="20"/>
          <w:szCs w:val="20"/>
        </w:rPr>
        <w:t>put</w:t>
      </w:r>
      <w:r w:rsidR="00126340" w:rsidRPr="006D6B01">
        <w:rPr>
          <w:rFonts w:asciiTheme="majorHAnsi" w:hAnsiTheme="majorHAnsi"/>
          <w:sz w:val="20"/>
          <w:szCs w:val="20"/>
        </w:rPr>
        <w:t xml:space="preserve"> </w:t>
      </w:r>
      <w:r w:rsidR="00C9140B" w:rsidRPr="006D6B01">
        <w:rPr>
          <w:rFonts w:asciiTheme="majorHAnsi" w:hAnsiTheme="majorHAnsi"/>
          <w:sz w:val="20"/>
          <w:szCs w:val="20"/>
        </w:rPr>
        <w:t xml:space="preserve">the alleged victims </w:t>
      </w:r>
      <w:r w:rsidR="0018689A" w:rsidRPr="006D6B01">
        <w:rPr>
          <w:rFonts w:asciiTheme="majorHAnsi" w:hAnsiTheme="majorHAnsi"/>
          <w:sz w:val="20"/>
          <w:szCs w:val="20"/>
        </w:rPr>
        <w:t xml:space="preserve">in contact </w:t>
      </w:r>
      <w:r w:rsidR="00DA2163" w:rsidRPr="006D6B01">
        <w:rPr>
          <w:rFonts w:asciiTheme="majorHAnsi" w:hAnsiTheme="majorHAnsi"/>
          <w:sz w:val="20"/>
          <w:szCs w:val="20"/>
        </w:rPr>
        <w:t xml:space="preserve">with </w:t>
      </w:r>
      <w:r w:rsidR="00126340" w:rsidRPr="006D6B01">
        <w:rPr>
          <w:rFonts w:asciiTheme="majorHAnsi" w:hAnsiTheme="majorHAnsi"/>
          <w:sz w:val="20"/>
          <w:szCs w:val="20"/>
        </w:rPr>
        <w:t>their consular office</w:t>
      </w:r>
      <w:r w:rsidR="00DA2163" w:rsidRPr="006D6B01">
        <w:rPr>
          <w:rFonts w:asciiTheme="majorHAnsi" w:hAnsiTheme="majorHAnsi"/>
          <w:sz w:val="20"/>
          <w:szCs w:val="20"/>
        </w:rPr>
        <w:t xml:space="preserve"> </w:t>
      </w:r>
      <w:r w:rsidR="00126340" w:rsidRPr="006D6B01">
        <w:rPr>
          <w:rFonts w:asciiTheme="majorHAnsi" w:hAnsiTheme="majorHAnsi"/>
          <w:sz w:val="20"/>
          <w:szCs w:val="20"/>
        </w:rPr>
        <w:t xml:space="preserve">or diplomatic mission for assistance. </w:t>
      </w:r>
    </w:p>
    <w:p w14:paraId="5C3BC989" w14:textId="77777777" w:rsidR="00D03842" w:rsidRPr="006D6B01" w:rsidRDefault="00D03842" w:rsidP="004311FE">
      <w:pPr>
        <w:pStyle w:val="ListParagraph"/>
        <w:tabs>
          <w:tab w:val="left" w:pos="360"/>
        </w:tabs>
        <w:ind w:left="0"/>
        <w:rPr>
          <w:rFonts w:asciiTheme="majorHAnsi" w:hAnsiTheme="majorHAnsi"/>
          <w:sz w:val="20"/>
          <w:szCs w:val="20"/>
        </w:rPr>
      </w:pPr>
    </w:p>
    <w:p w14:paraId="7CAF6E8C" w14:textId="616844A0" w:rsidR="00D113F9" w:rsidRPr="006D6B01" w:rsidRDefault="007C21A7"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6D6B01">
        <w:rPr>
          <w:rFonts w:asciiTheme="majorHAnsi" w:hAnsiTheme="majorHAnsi"/>
          <w:sz w:val="20"/>
          <w:szCs w:val="20"/>
        </w:rPr>
        <w:t>Second</w:t>
      </w:r>
      <w:r w:rsidR="00C9140B" w:rsidRPr="006D6B01">
        <w:rPr>
          <w:rFonts w:asciiTheme="majorHAnsi" w:hAnsiTheme="majorHAnsi"/>
          <w:sz w:val="20"/>
          <w:szCs w:val="20"/>
        </w:rPr>
        <w:t>,</w:t>
      </w:r>
      <w:r w:rsidR="00DA2163" w:rsidRPr="006D6B01">
        <w:rPr>
          <w:rFonts w:asciiTheme="majorHAnsi" w:hAnsiTheme="majorHAnsi"/>
          <w:sz w:val="20"/>
          <w:szCs w:val="20"/>
        </w:rPr>
        <w:t xml:space="preserve"> and closely related</w:t>
      </w:r>
      <w:r w:rsidR="00C9140B" w:rsidRPr="006D6B01">
        <w:rPr>
          <w:rFonts w:asciiTheme="majorHAnsi" w:hAnsiTheme="majorHAnsi"/>
          <w:sz w:val="20"/>
          <w:szCs w:val="20"/>
        </w:rPr>
        <w:t>,</w:t>
      </w:r>
      <w:r w:rsidR="00DA2163" w:rsidRPr="006D6B01">
        <w:rPr>
          <w:rFonts w:asciiTheme="majorHAnsi" w:hAnsiTheme="majorHAnsi"/>
          <w:sz w:val="20"/>
          <w:szCs w:val="20"/>
        </w:rPr>
        <w:t xml:space="preserve"> t</w:t>
      </w:r>
      <w:r w:rsidR="00527C10" w:rsidRPr="006D6B01">
        <w:rPr>
          <w:rFonts w:asciiTheme="majorHAnsi" w:hAnsiTheme="majorHAnsi"/>
          <w:sz w:val="20"/>
          <w:szCs w:val="20"/>
        </w:rPr>
        <w:t xml:space="preserve">he Commission recalls that undocumented </w:t>
      </w:r>
      <w:r w:rsidRPr="006D6B01">
        <w:rPr>
          <w:rFonts w:asciiTheme="majorHAnsi" w:hAnsiTheme="majorHAnsi"/>
          <w:sz w:val="20"/>
          <w:szCs w:val="20"/>
        </w:rPr>
        <w:t>immigrants</w:t>
      </w:r>
      <w:r w:rsidR="00527C10" w:rsidRPr="006D6B01">
        <w:rPr>
          <w:rFonts w:asciiTheme="majorHAnsi" w:hAnsiTheme="majorHAnsi"/>
          <w:sz w:val="20"/>
          <w:szCs w:val="20"/>
        </w:rPr>
        <w:t xml:space="preserve"> </w:t>
      </w:r>
      <w:r w:rsidR="00DA2163" w:rsidRPr="006D6B01">
        <w:rPr>
          <w:rFonts w:asciiTheme="majorHAnsi" w:hAnsiTheme="majorHAnsi"/>
          <w:sz w:val="20"/>
          <w:szCs w:val="20"/>
        </w:rPr>
        <w:t xml:space="preserve">cannot </w:t>
      </w:r>
      <w:r w:rsidRPr="006D6B01">
        <w:rPr>
          <w:rFonts w:asciiTheme="majorHAnsi" w:hAnsiTheme="majorHAnsi"/>
          <w:sz w:val="20"/>
          <w:szCs w:val="20"/>
        </w:rPr>
        <w:t xml:space="preserve">be </w:t>
      </w:r>
      <w:r w:rsidR="00527C10" w:rsidRPr="006D6B01">
        <w:rPr>
          <w:rFonts w:asciiTheme="majorHAnsi" w:hAnsiTheme="majorHAnsi"/>
          <w:sz w:val="20"/>
          <w:szCs w:val="20"/>
        </w:rPr>
        <w:t>considered criminal</w:t>
      </w:r>
      <w:r w:rsidRPr="006D6B01">
        <w:rPr>
          <w:rFonts w:asciiTheme="majorHAnsi" w:hAnsiTheme="majorHAnsi"/>
          <w:sz w:val="20"/>
          <w:szCs w:val="20"/>
        </w:rPr>
        <w:t>s</w:t>
      </w:r>
      <w:r w:rsidR="00527C10" w:rsidRPr="006D6B01">
        <w:rPr>
          <w:rFonts w:asciiTheme="majorHAnsi" w:hAnsiTheme="majorHAnsi"/>
          <w:sz w:val="20"/>
          <w:szCs w:val="20"/>
        </w:rPr>
        <w:t xml:space="preserve">, </w:t>
      </w:r>
      <w:r w:rsidR="00502577">
        <w:rPr>
          <w:rFonts w:asciiTheme="majorHAnsi" w:hAnsiTheme="majorHAnsi"/>
          <w:sz w:val="20"/>
          <w:szCs w:val="20"/>
        </w:rPr>
        <w:t xml:space="preserve">and that </w:t>
      </w:r>
      <w:r w:rsidR="002257C5" w:rsidRPr="006D6B01">
        <w:rPr>
          <w:rFonts w:asciiTheme="majorHAnsi" w:hAnsiTheme="majorHAnsi"/>
          <w:sz w:val="20"/>
          <w:szCs w:val="20"/>
        </w:rPr>
        <w:t>their detention</w:t>
      </w:r>
      <w:r w:rsidR="00DA2163" w:rsidRPr="006D6B01">
        <w:rPr>
          <w:rFonts w:asciiTheme="majorHAnsi" w:hAnsiTheme="majorHAnsi"/>
          <w:sz w:val="20"/>
          <w:szCs w:val="20"/>
        </w:rPr>
        <w:t xml:space="preserve"> must be exceptio</w:t>
      </w:r>
      <w:r w:rsidR="00BE3133" w:rsidRPr="006D6B01">
        <w:rPr>
          <w:rFonts w:asciiTheme="majorHAnsi" w:hAnsiTheme="majorHAnsi"/>
          <w:sz w:val="20"/>
          <w:szCs w:val="20"/>
        </w:rPr>
        <w:t xml:space="preserve">nal and justified. </w:t>
      </w:r>
      <w:r w:rsidR="004B739C" w:rsidRPr="006D6B01">
        <w:rPr>
          <w:rFonts w:asciiTheme="majorHAnsi" w:hAnsiTheme="majorHAnsi"/>
          <w:sz w:val="20"/>
          <w:szCs w:val="20"/>
        </w:rPr>
        <w:t>T</w:t>
      </w:r>
      <w:r w:rsidR="00D03842" w:rsidRPr="006D6B01">
        <w:rPr>
          <w:rFonts w:asciiTheme="majorHAnsi" w:hAnsiTheme="majorHAnsi"/>
          <w:sz w:val="20"/>
          <w:szCs w:val="20"/>
        </w:rPr>
        <w:t xml:space="preserve">he Commission </w:t>
      </w:r>
      <w:r w:rsidR="002257C5" w:rsidRPr="006D6B01">
        <w:rPr>
          <w:rFonts w:asciiTheme="majorHAnsi" w:hAnsiTheme="majorHAnsi"/>
          <w:sz w:val="20"/>
          <w:szCs w:val="20"/>
        </w:rPr>
        <w:t>notes</w:t>
      </w:r>
      <w:r w:rsidR="00D03842" w:rsidRPr="006D6B01">
        <w:rPr>
          <w:rFonts w:asciiTheme="majorHAnsi" w:hAnsiTheme="majorHAnsi"/>
          <w:sz w:val="20"/>
          <w:szCs w:val="20"/>
        </w:rPr>
        <w:t xml:space="preserve"> </w:t>
      </w:r>
      <w:r w:rsidR="004B739C" w:rsidRPr="006D6B01">
        <w:rPr>
          <w:rFonts w:asciiTheme="majorHAnsi" w:hAnsiTheme="majorHAnsi"/>
          <w:sz w:val="20"/>
          <w:szCs w:val="20"/>
        </w:rPr>
        <w:t xml:space="preserve">as a threshold issue </w:t>
      </w:r>
      <w:r w:rsidR="00560076" w:rsidRPr="006D6B01">
        <w:rPr>
          <w:rFonts w:asciiTheme="majorHAnsi" w:hAnsiTheme="majorHAnsi"/>
          <w:sz w:val="20"/>
          <w:szCs w:val="20"/>
        </w:rPr>
        <w:t>that the</w:t>
      </w:r>
      <w:r w:rsidR="002257C5" w:rsidRPr="006D6B01">
        <w:rPr>
          <w:rFonts w:asciiTheme="majorHAnsi" w:hAnsiTheme="majorHAnsi"/>
          <w:sz w:val="20"/>
          <w:szCs w:val="20"/>
        </w:rPr>
        <w:t>se</w:t>
      </w:r>
      <w:r w:rsidR="00560076" w:rsidRPr="006D6B01">
        <w:rPr>
          <w:rFonts w:asciiTheme="majorHAnsi" w:hAnsiTheme="majorHAnsi"/>
          <w:sz w:val="20"/>
          <w:szCs w:val="20"/>
        </w:rPr>
        <w:t xml:space="preserve"> detention</w:t>
      </w:r>
      <w:r w:rsidR="00D03842" w:rsidRPr="006D6B01">
        <w:rPr>
          <w:rFonts w:asciiTheme="majorHAnsi" w:hAnsiTheme="majorHAnsi"/>
          <w:sz w:val="20"/>
          <w:szCs w:val="20"/>
        </w:rPr>
        <w:t>s</w:t>
      </w:r>
      <w:r w:rsidR="00560076" w:rsidRPr="006D6B01">
        <w:rPr>
          <w:rFonts w:asciiTheme="majorHAnsi" w:hAnsiTheme="majorHAnsi"/>
          <w:sz w:val="20"/>
          <w:szCs w:val="20"/>
        </w:rPr>
        <w:t xml:space="preserve"> took place without any type of legal limitation and for a period that was unknown to the alleged victims,</w:t>
      </w:r>
      <w:r w:rsidR="00F75D2B" w:rsidRPr="006D6B01">
        <w:rPr>
          <w:rFonts w:asciiTheme="majorHAnsi" w:hAnsiTheme="majorHAnsi"/>
          <w:sz w:val="20"/>
          <w:szCs w:val="20"/>
        </w:rPr>
        <w:t xml:space="preserve"> </w:t>
      </w:r>
      <w:r w:rsidR="002257C5" w:rsidRPr="006D6B01">
        <w:rPr>
          <w:rFonts w:asciiTheme="majorHAnsi" w:hAnsiTheme="majorHAnsi"/>
          <w:sz w:val="20"/>
          <w:szCs w:val="20"/>
        </w:rPr>
        <w:t>making this detention</w:t>
      </w:r>
      <w:r w:rsidR="00A36660" w:rsidRPr="006D6B01">
        <w:rPr>
          <w:rFonts w:asciiTheme="majorHAnsi" w:hAnsiTheme="majorHAnsi"/>
          <w:sz w:val="20"/>
          <w:szCs w:val="20"/>
        </w:rPr>
        <w:t xml:space="preserve"> a punitive measure, with the sole purpose </w:t>
      </w:r>
      <w:r w:rsidR="0078005F">
        <w:rPr>
          <w:rFonts w:asciiTheme="majorHAnsi" w:hAnsiTheme="majorHAnsi"/>
          <w:sz w:val="20"/>
          <w:szCs w:val="20"/>
        </w:rPr>
        <w:t xml:space="preserve">and effect </w:t>
      </w:r>
      <w:r w:rsidR="002257C5" w:rsidRPr="006D6B01">
        <w:rPr>
          <w:rFonts w:asciiTheme="majorHAnsi" w:hAnsiTheme="majorHAnsi"/>
          <w:sz w:val="20"/>
          <w:szCs w:val="20"/>
        </w:rPr>
        <w:t xml:space="preserve">of </w:t>
      </w:r>
      <w:r w:rsidR="00A36660" w:rsidRPr="006D6B01">
        <w:rPr>
          <w:rFonts w:asciiTheme="majorHAnsi" w:hAnsiTheme="majorHAnsi"/>
          <w:sz w:val="20"/>
          <w:szCs w:val="20"/>
        </w:rPr>
        <w:t>punish</w:t>
      </w:r>
      <w:r w:rsidR="002257C5" w:rsidRPr="006D6B01">
        <w:rPr>
          <w:rFonts w:asciiTheme="majorHAnsi" w:hAnsiTheme="majorHAnsi"/>
          <w:sz w:val="20"/>
          <w:szCs w:val="20"/>
        </w:rPr>
        <w:t>ing</w:t>
      </w:r>
      <w:r w:rsidR="00A36660" w:rsidRPr="006D6B01">
        <w:rPr>
          <w:rFonts w:asciiTheme="majorHAnsi" w:hAnsiTheme="majorHAnsi"/>
          <w:sz w:val="20"/>
          <w:szCs w:val="20"/>
        </w:rPr>
        <w:t xml:space="preserve"> the alleged victims for not holding a visa.</w:t>
      </w:r>
      <w:r w:rsidR="004B739C" w:rsidRPr="006D6B01">
        <w:rPr>
          <w:rFonts w:asciiTheme="majorHAnsi" w:hAnsiTheme="majorHAnsi"/>
          <w:sz w:val="20"/>
          <w:szCs w:val="20"/>
        </w:rPr>
        <w:t xml:space="preserve"> </w:t>
      </w:r>
    </w:p>
    <w:p w14:paraId="7130F2A2" w14:textId="77777777" w:rsidR="00E03675" w:rsidRPr="006D6B01" w:rsidRDefault="00E03675" w:rsidP="004311FE">
      <w:pPr>
        <w:tabs>
          <w:tab w:val="left" w:pos="360"/>
        </w:tabs>
        <w:rPr>
          <w:rFonts w:asciiTheme="majorHAnsi" w:hAnsiTheme="majorHAnsi"/>
          <w:sz w:val="20"/>
          <w:szCs w:val="20"/>
        </w:rPr>
      </w:pPr>
    </w:p>
    <w:p w14:paraId="7DD921C4" w14:textId="77777777" w:rsidR="00E03675" w:rsidRPr="006D6B01" w:rsidRDefault="009C3D2D"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6D6B01">
        <w:rPr>
          <w:rFonts w:asciiTheme="majorHAnsi" w:hAnsiTheme="majorHAnsi"/>
          <w:sz w:val="20"/>
          <w:szCs w:val="20"/>
        </w:rPr>
        <w:t>Third</w:t>
      </w:r>
      <w:r w:rsidR="00825FCC" w:rsidRPr="006D6B01">
        <w:rPr>
          <w:rFonts w:asciiTheme="majorHAnsi" w:hAnsiTheme="majorHAnsi"/>
          <w:sz w:val="20"/>
          <w:szCs w:val="20"/>
        </w:rPr>
        <w:t xml:space="preserve">, the Commission notes the limited information provided by the State in this case and the subsequent absence of indications that it carried out </w:t>
      </w:r>
      <w:r w:rsidR="00825FCC" w:rsidRPr="006D6B01">
        <w:rPr>
          <w:rFonts w:asciiTheme="majorHAnsi" w:hAnsiTheme="majorHAnsi"/>
          <w:color w:val="000000" w:themeColor="text1"/>
          <w:sz w:val="20"/>
          <w:szCs w:val="20"/>
        </w:rPr>
        <w:t xml:space="preserve">case‐specific evaluations in relation to the need to detain each alleged victim. Rather, the material facts suggest that when it was determined that the alleged victims did not have the necessary documentation to enter the State, they were automatically transported to </w:t>
      </w:r>
      <w:r w:rsidR="00BB4FCD" w:rsidRPr="006D6B01">
        <w:rPr>
          <w:rFonts w:asciiTheme="majorHAnsi" w:hAnsiTheme="majorHAnsi"/>
          <w:color w:val="000000" w:themeColor="text1"/>
          <w:sz w:val="20"/>
          <w:szCs w:val="20"/>
        </w:rPr>
        <w:t xml:space="preserve">Carmichael Center </w:t>
      </w:r>
      <w:r w:rsidR="00C33A66" w:rsidRPr="006D6B01">
        <w:rPr>
          <w:rFonts w:asciiTheme="majorHAnsi" w:hAnsiTheme="majorHAnsi"/>
          <w:color w:val="000000" w:themeColor="text1"/>
          <w:sz w:val="20"/>
          <w:szCs w:val="20"/>
        </w:rPr>
        <w:t>and detained for indeterminate periods of time</w:t>
      </w:r>
      <w:r w:rsidR="00FD5A32" w:rsidRPr="006D6B01">
        <w:rPr>
          <w:rFonts w:asciiTheme="majorHAnsi" w:hAnsiTheme="majorHAnsi"/>
          <w:color w:val="000000" w:themeColor="text1"/>
          <w:sz w:val="20"/>
          <w:szCs w:val="20"/>
        </w:rPr>
        <w:t xml:space="preserve">, </w:t>
      </w:r>
      <w:r w:rsidR="00C9140B" w:rsidRPr="006D6B01">
        <w:rPr>
          <w:rFonts w:asciiTheme="majorHAnsi" w:hAnsiTheme="majorHAnsi"/>
          <w:color w:val="000000" w:themeColor="text1"/>
          <w:sz w:val="20"/>
          <w:szCs w:val="20"/>
        </w:rPr>
        <w:t>while awaiting a reasonably expeditious</w:t>
      </w:r>
      <w:r w:rsidR="00FD5A32" w:rsidRPr="006D6B01">
        <w:rPr>
          <w:rFonts w:asciiTheme="majorHAnsi" w:hAnsiTheme="majorHAnsi"/>
          <w:color w:val="000000" w:themeColor="text1"/>
          <w:sz w:val="20"/>
          <w:szCs w:val="20"/>
        </w:rPr>
        <w:t xml:space="preserve"> repatriation </w:t>
      </w:r>
      <w:r w:rsidR="00C9140B" w:rsidRPr="006D6B01">
        <w:rPr>
          <w:rFonts w:asciiTheme="majorHAnsi" w:hAnsiTheme="majorHAnsi"/>
          <w:color w:val="000000" w:themeColor="text1"/>
          <w:sz w:val="20"/>
          <w:szCs w:val="20"/>
        </w:rPr>
        <w:t xml:space="preserve">to their country of origin, </w:t>
      </w:r>
      <w:r w:rsidR="00FD5A32" w:rsidRPr="006D6B01">
        <w:rPr>
          <w:rFonts w:asciiTheme="majorHAnsi" w:hAnsiTheme="majorHAnsi"/>
          <w:color w:val="000000" w:themeColor="text1"/>
          <w:sz w:val="20"/>
          <w:szCs w:val="20"/>
        </w:rPr>
        <w:t>according to the international</w:t>
      </w:r>
      <w:r w:rsidR="009809C3" w:rsidRPr="006D6B01">
        <w:rPr>
          <w:rFonts w:asciiTheme="majorHAnsi" w:hAnsiTheme="majorHAnsi"/>
          <w:color w:val="000000" w:themeColor="text1"/>
          <w:sz w:val="20"/>
          <w:szCs w:val="20"/>
        </w:rPr>
        <w:t xml:space="preserve"> bilateral</w:t>
      </w:r>
      <w:r w:rsidR="00FD5A32" w:rsidRPr="006D6B01">
        <w:rPr>
          <w:rFonts w:asciiTheme="majorHAnsi" w:hAnsiTheme="majorHAnsi"/>
          <w:color w:val="000000" w:themeColor="text1"/>
          <w:sz w:val="20"/>
          <w:szCs w:val="20"/>
        </w:rPr>
        <w:t xml:space="preserve"> agreements governing th</w:t>
      </w:r>
      <w:r w:rsidR="00C9140B" w:rsidRPr="006D6B01">
        <w:rPr>
          <w:rFonts w:asciiTheme="majorHAnsi" w:hAnsiTheme="majorHAnsi"/>
          <w:color w:val="000000" w:themeColor="text1"/>
          <w:sz w:val="20"/>
          <w:szCs w:val="20"/>
        </w:rPr>
        <w:t>ese</w:t>
      </w:r>
      <w:r w:rsidR="00FD5A32" w:rsidRPr="006D6B01">
        <w:rPr>
          <w:rFonts w:asciiTheme="majorHAnsi" w:hAnsiTheme="majorHAnsi"/>
          <w:color w:val="000000" w:themeColor="text1"/>
          <w:sz w:val="20"/>
          <w:szCs w:val="20"/>
        </w:rPr>
        <w:t xml:space="preserve"> matters in The Bahamas</w:t>
      </w:r>
      <w:r w:rsidR="00825FCC" w:rsidRPr="006D6B01">
        <w:rPr>
          <w:rFonts w:asciiTheme="majorHAnsi" w:hAnsiTheme="majorHAnsi"/>
          <w:color w:val="000000" w:themeColor="text1"/>
          <w:sz w:val="20"/>
          <w:szCs w:val="20"/>
        </w:rPr>
        <w:t>. Accordingly, the Commission finds that the State failed to carry out the necessary case‐specific evaluations</w:t>
      </w:r>
      <w:r w:rsidR="00C33A66" w:rsidRPr="006D6B01">
        <w:rPr>
          <w:rFonts w:asciiTheme="majorHAnsi" w:hAnsiTheme="majorHAnsi"/>
          <w:color w:val="000000" w:themeColor="text1"/>
          <w:sz w:val="20"/>
          <w:szCs w:val="20"/>
        </w:rPr>
        <w:t xml:space="preserve"> to determine the necessity of detention in relation to the alleged victims</w:t>
      </w:r>
      <w:r w:rsidR="00825FCC" w:rsidRPr="006D6B01">
        <w:rPr>
          <w:rFonts w:asciiTheme="majorHAnsi" w:hAnsiTheme="majorHAnsi"/>
          <w:color w:val="000000" w:themeColor="text1"/>
          <w:sz w:val="20"/>
          <w:szCs w:val="20"/>
        </w:rPr>
        <w:t>.</w:t>
      </w:r>
    </w:p>
    <w:p w14:paraId="0DF15238" w14:textId="77777777" w:rsidR="00E03675" w:rsidRPr="006D6B01" w:rsidRDefault="00E03675" w:rsidP="004311FE">
      <w:pPr>
        <w:pStyle w:val="ListParagraph"/>
        <w:tabs>
          <w:tab w:val="left" w:pos="360"/>
        </w:tabs>
        <w:ind w:left="0"/>
        <w:rPr>
          <w:rFonts w:asciiTheme="majorHAnsi" w:hAnsiTheme="majorHAnsi"/>
          <w:sz w:val="20"/>
          <w:szCs w:val="20"/>
        </w:rPr>
      </w:pPr>
    </w:p>
    <w:p w14:paraId="7DEBE51D" w14:textId="781D9453" w:rsidR="00825FCC" w:rsidRPr="006D6B01" w:rsidRDefault="009C3D2D"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6D6B01">
        <w:rPr>
          <w:rFonts w:asciiTheme="majorHAnsi" w:hAnsiTheme="majorHAnsi"/>
          <w:sz w:val="20"/>
          <w:szCs w:val="20"/>
        </w:rPr>
        <w:t>F</w:t>
      </w:r>
      <w:r w:rsidR="004A263C" w:rsidRPr="006D6B01">
        <w:rPr>
          <w:rFonts w:asciiTheme="majorHAnsi" w:hAnsiTheme="majorHAnsi"/>
          <w:sz w:val="20"/>
          <w:szCs w:val="20"/>
        </w:rPr>
        <w:t>o</w:t>
      </w:r>
      <w:r w:rsidRPr="006D6B01">
        <w:rPr>
          <w:rFonts w:asciiTheme="majorHAnsi" w:hAnsiTheme="majorHAnsi"/>
          <w:sz w:val="20"/>
          <w:szCs w:val="20"/>
        </w:rPr>
        <w:t>urth</w:t>
      </w:r>
      <w:r w:rsidR="0017515D" w:rsidRPr="006D6B01">
        <w:rPr>
          <w:rFonts w:asciiTheme="majorHAnsi" w:hAnsiTheme="majorHAnsi"/>
          <w:sz w:val="20"/>
          <w:szCs w:val="20"/>
        </w:rPr>
        <w:t xml:space="preserve">, </w:t>
      </w:r>
      <w:r w:rsidR="00F76FEC" w:rsidRPr="006D6B01">
        <w:rPr>
          <w:rFonts w:asciiTheme="majorHAnsi" w:hAnsiTheme="majorHAnsi"/>
          <w:sz w:val="20"/>
          <w:szCs w:val="20"/>
        </w:rPr>
        <w:t xml:space="preserve">upon consideration of the information provided by the parties, the Commission </w:t>
      </w:r>
      <w:r w:rsidR="00C33A66" w:rsidRPr="006D6B01">
        <w:rPr>
          <w:rFonts w:asciiTheme="majorHAnsi" w:hAnsiTheme="majorHAnsi"/>
          <w:sz w:val="20"/>
          <w:szCs w:val="20"/>
        </w:rPr>
        <w:t>finds</w:t>
      </w:r>
      <w:r w:rsidR="00F76FEC" w:rsidRPr="006D6B01">
        <w:rPr>
          <w:rFonts w:asciiTheme="majorHAnsi" w:hAnsiTheme="majorHAnsi"/>
          <w:sz w:val="20"/>
          <w:szCs w:val="20"/>
        </w:rPr>
        <w:t xml:space="preserve"> </w:t>
      </w:r>
      <w:r w:rsidR="00D361C7" w:rsidRPr="006D6B01">
        <w:rPr>
          <w:rFonts w:asciiTheme="majorHAnsi" w:hAnsiTheme="majorHAnsi"/>
          <w:sz w:val="20"/>
          <w:szCs w:val="20"/>
        </w:rPr>
        <w:t xml:space="preserve">no indicia </w:t>
      </w:r>
      <w:r w:rsidR="002257C5" w:rsidRPr="006D6B01">
        <w:rPr>
          <w:rFonts w:asciiTheme="majorHAnsi" w:hAnsiTheme="majorHAnsi"/>
          <w:sz w:val="20"/>
          <w:szCs w:val="20"/>
        </w:rPr>
        <w:t xml:space="preserve">that </w:t>
      </w:r>
      <w:r w:rsidR="00825FCC" w:rsidRPr="006D6B01">
        <w:rPr>
          <w:rFonts w:asciiTheme="majorHAnsi" w:hAnsiTheme="majorHAnsi"/>
          <w:sz w:val="20"/>
          <w:szCs w:val="20"/>
        </w:rPr>
        <w:t xml:space="preserve">the alleged victims </w:t>
      </w:r>
      <w:r w:rsidR="002257C5" w:rsidRPr="006D6B01">
        <w:rPr>
          <w:rFonts w:asciiTheme="majorHAnsi" w:hAnsiTheme="majorHAnsi"/>
          <w:sz w:val="20"/>
          <w:szCs w:val="20"/>
        </w:rPr>
        <w:t xml:space="preserve">were </w:t>
      </w:r>
      <w:r w:rsidR="00BF3808" w:rsidRPr="006D6B01">
        <w:rPr>
          <w:rFonts w:asciiTheme="majorHAnsi" w:hAnsiTheme="majorHAnsi"/>
          <w:sz w:val="20"/>
          <w:szCs w:val="20"/>
        </w:rPr>
        <w:t xml:space="preserve">treated premised on a presumption of liberty </w:t>
      </w:r>
      <w:r w:rsidR="00437775" w:rsidRPr="006D6B01">
        <w:rPr>
          <w:rFonts w:asciiTheme="majorHAnsi" w:hAnsiTheme="majorHAnsi"/>
          <w:sz w:val="20"/>
          <w:szCs w:val="20"/>
        </w:rPr>
        <w:t>rather than</w:t>
      </w:r>
      <w:r w:rsidR="00BF3808" w:rsidRPr="006D6B01">
        <w:rPr>
          <w:rFonts w:asciiTheme="majorHAnsi" w:hAnsiTheme="majorHAnsi"/>
          <w:sz w:val="20"/>
          <w:szCs w:val="20"/>
        </w:rPr>
        <w:t xml:space="preserve"> a presumption of detention. </w:t>
      </w:r>
      <w:r w:rsidR="00437775" w:rsidRPr="006D6B01">
        <w:rPr>
          <w:rFonts w:asciiTheme="majorHAnsi" w:hAnsiTheme="majorHAnsi"/>
          <w:sz w:val="20"/>
          <w:szCs w:val="20"/>
        </w:rPr>
        <w:t>In particular</w:t>
      </w:r>
      <w:r w:rsidR="00E67881" w:rsidRPr="006D6B01">
        <w:rPr>
          <w:rFonts w:asciiTheme="majorHAnsi" w:hAnsiTheme="majorHAnsi"/>
          <w:sz w:val="20"/>
          <w:szCs w:val="20"/>
        </w:rPr>
        <w:t xml:space="preserve">, </w:t>
      </w:r>
      <w:r w:rsidR="00730280" w:rsidRPr="006D6B01">
        <w:rPr>
          <w:rFonts w:asciiTheme="majorHAnsi" w:hAnsiTheme="majorHAnsi"/>
          <w:sz w:val="20"/>
          <w:szCs w:val="20"/>
        </w:rPr>
        <w:t>taking into consideration</w:t>
      </w:r>
      <w:r w:rsidR="00E67881" w:rsidRPr="006D6B01">
        <w:rPr>
          <w:rFonts w:asciiTheme="majorHAnsi" w:hAnsiTheme="majorHAnsi"/>
          <w:sz w:val="20"/>
          <w:szCs w:val="20"/>
        </w:rPr>
        <w:t xml:space="preserve"> the context established in this report, </w:t>
      </w:r>
      <w:r w:rsidR="00437775" w:rsidRPr="006D6B01">
        <w:rPr>
          <w:rFonts w:asciiTheme="majorHAnsi" w:hAnsiTheme="majorHAnsi"/>
          <w:sz w:val="20"/>
          <w:szCs w:val="20"/>
        </w:rPr>
        <w:t xml:space="preserve">and information in </w:t>
      </w:r>
      <w:r w:rsidR="00E67881" w:rsidRPr="006D6B01">
        <w:rPr>
          <w:rFonts w:asciiTheme="majorHAnsi" w:hAnsiTheme="majorHAnsi"/>
          <w:sz w:val="20"/>
          <w:szCs w:val="20"/>
        </w:rPr>
        <w:t xml:space="preserve">reports prepared by international organizations and </w:t>
      </w:r>
      <w:r w:rsidR="00437775" w:rsidRPr="006D6B01">
        <w:rPr>
          <w:rFonts w:asciiTheme="majorHAnsi" w:hAnsiTheme="majorHAnsi"/>
          <w:sz w:val="20"/>
          <w:szCs w:val="20"/>
        </w:rPr>
        <w:t xml:space="preserve">provided at </w:t>
      </w:r>
      <w:r w:rsidR="00E67881" w:rsidRPr="006D6B01">
        <w:rPr>
          <w:rFonts w:asciiTheme="majorHAnsi" w:hAnsiTheme="majorHAnsi"/>
          <w:sz w:val="20"/>
          <w:szCs w:val="20"/>
        </w:rPr>
        <w:t>public hearing</w:t>
      </w:r>
      <w:r w:rsidR="00C33A66" w:rsidRPr="006D6B01">
        <w:rPr>
          <w:rFonts w:asciiTheme="majorHAnsi" w:hAnsiTheme="majorHAnsi"/>
          <w:sz w:val="20"/>
          <w:szCs w:val="20"/>
        </w:rPr>
        <w:t>s</w:t>
      </w:r>
      <w:r w:rsidR="00E67881" w:rsidRPr="006D6B01">
        <w:rPr>
          <w:rFonts w:asciiTheme="majorHAnsi" w:hAnsiTheme="majorHAnsi"/>
          <w:sz w:val="20"/>
          <w:szCs w:val="20"/>
        </w:rPr>
        <w:t xml:space="preserve"> that the detention of the alleged victims was solely </w:t>
      </w:r>
      <w:r w:rsidR="00C33A66" w:rsidRPr="006D6B01">
        <w:rPr>
          <w:rFonts w:asciiTheme="majorHAnsi" w:hAnsiTheme="majorHAnsi"/>
          <w:sz w:val="20"/>
          <w:szCs w:val="20"/>
        </w:rPr>
        <w:t>owing to</w:t>
      </w:r>
      <w:r w:rsidR="00E67881" w:rsidRPr="006D6B01">
        <w:rPr>
          <w:rFonts w:asciiTheme="majorHAnsi" w:hAnsiTheme="majorHAnsi"/>
          <w:sz w:val="20"/>
          <w:szCs w:val="20"/>
        </w:rPr>
        <w:t xml:space="preserve"> their irregular migratory status</w:t>
      </w:r>
      <w:r w:rsidR="00437775" w:rsidRPr="006D6B01">
        <w:rPr>
          <w:rFonts w:asciiTheme="majorHAnsi" w:hAnsiTheme="majorHAnsi"/>
          <w:sz w:val="20"/>
          <w:szCs w:val="20"/>
        </w:rPr>
        <w:t xml:space="preserve">, the Commission </w:t>
      </w:r>
      <w:r w:rsidR="00E67881" w:rsidRPr="006D6B01">
        <w:rPr>
          <w:rFonts w:asciiTheme="majorHAnsi" w:hAnsiTheme="majorHAnsi"/>
          <w:sz w:val="20"/>
          <w:szCs w:val="20"/>
        </w:rPr>
        <w:t xml:space="preserve">finds no information suggesting that </w:t>
      </w:r>
      <w:r w:rsidR="00437775" w:rsidRPr="006D6B01">
        <w:rPr>
          <w:rFonts w:asciiTheme="majorHAnsi" w:hAnsiTheme="majorHAnsi"/>
          <w:sz w:val="20"/>
          <w:szCs w:val="20"/>
        </w:rPr>
        <w:t xml:space="preserve">an analysis was made </w:t>
      </w:r>
      <w:r w:rsidRPr="006D6B01">
        <w:rPr>
          <w:rFonts w:asciiTheme="majorHAnsi" w:hAnsiTheme="majorHAnsi"/>
          <w:sz w:val="20"/>
          <w:szCs w:val="20"/>
        </w:rPr>
        <w:t xml:space="preserve">at any point throughout the detention </w:t>
      </w:r>
      <w:r w:rsidR="00176C96" w:rsidRPr="006D6B01">
        <w:rPr>
          <w:rFonts w:asciiTheme="majorHAnsi" w:hAnsiTheme="majorHAnsi"/>
          <w:sz w:val="20"/>
          <w:szCs w:val="20"/>
        </w:rPr>
        <w:t xml:space="preserve">regarding </w:t>
      </w:r>
      <w:r w:rsidR="008E2E7E" w:rsidRPr="006D6B01">
        <w:rPr>
          <w:rFonts w:asciiTheme="majorHAnsi" w:hAnsiTheme="majorHAnsi"/>
          <w:sz w:val="20"/>
          <w:szCs w:val="20"/>
        </w:rPr>
        <w:t xml:space="preserve">whether </w:t>
      </w:r>
      <w:r w:rsidR="00730280" w:rsidRPr="006D6B01">
        <w:rPr>
          <w:rFonts w:asciiTheme="majorHAnsi" w:hAnsiTheme="majorHAnsi"/>
          <w:sz w:val="20"/>
          <w:szCs w:val="20"/>
        </w:rPr>
        <w:t xml:space="preserve">this measure was </w:t>
      </w:r>
      <w:r w:rsidR="00176C96" w:rsidRPr="006D6B01">
        <w:rPr>
          <w:rFonts w:asciiTheme="majorHAnsi" w:hAnsiTheme="majorHAnsi"/>
          <w:sz w:val="20"/>
          <w:szCs w:val="20"/>
        </w:rPr>
        <w:t xml:space="preserve">strictly necessary to protect the </w:t>
      </w:r>
      <w:r w:rsidR="00C46960" w:rsidRPr="006D6B01">
        <w:rPr>
          <w:rFonts w:asciiTheme="majorHAnsi" w:hAnsiTheme="majorHAnsi"/>
          <w:sz w:val="20"/>
          <w:szCs w:val="20"/>
        </w:rPr>
        <w:t xml:space="preserve">results of the proceedings aimed to </w:t>
      </w:r>
      <w:r w:rsidR="004A263C" w:rsidRPr="006D6B01">
        <w:rPr>
          <w:rFonts w:asciiTheme="majorHAnsi" w:hAnsiTheme="majorHAnsi"/>
          <w:sz w:val="20"/>
          <w:szCs w:val="20"/>
        </w:rPr>
        <w:t>determine</w:t>
      </w:r>
      <w:r w:rsidR="00C46960" w:rsidRPr="006D6B01">
        <w:rPr>
          <w:rFonts w:asciiTheme="majorHAnsi" w:hAnsiTheme="majorHAnsi"/>
          <w:sz w:val="20"/>
          <w:szCs w:val="20"/>
        </w:rPr>
        <w:t xml:space="preserve"> the immigration status of the alleged victims</w:t>
      </w:r>
      <w:r w:rsidR="00825FCC" w:rsidRPr="006D6B01">
        <w:rPr>
          <w:rFonts w:asciiTheme="majorHAnsi" w:hAnsiTheme="majorHAnsi"/>
          <w:sz w:val="20"/>
          <w:szCs w:val="20"/>
        </w:rPr>
        <w:t>.</w:t>
      </w:r>
      <w:r w:rsidR="00C33A66" w:rsidRPr="006D6B01">
        <w:rPr>
          <w:rFonts w:asciiTheme="majorHAnsi" w:hAnsiTheme="majorHAnsi"/>
          <w:sz w:val="20"/>
          <w:szCs w:val="20"/>
        </w:rPr>
        <w:t xml:space="preserve"> Accordingly, the Commission finds no basis </w:t>
      </w:r>
      <w:r w:rsidR="00A14BFF">
        <w:rPr>
          <w:rFonts w:asciiTheme="majorHAnsi" w:hAnsiTheme="majorHAnsi"/>
          <w:sz w:val="20"/>
          <w:szCs w:val="20"/>
        </w:rPr>
        <w:t xml:space="preserve">consistent with </w:t>
      </w:r>
      <w:r w:rsidR="00C33A66" w:rsidRPr="006D6B01">
        <w:rPr>
          <w:rFonts w:asciiTheme="majorHAnsi" w:hAnsiTheme="majorHAnsi"/>
          <w:sz w:val="20"/>
          <w:szCs w:val="20"/>
        </w:rPr>
        <w:t>international standards that justifies the detention of the alleged victims at the Carmichael Center.</w:t>
      </w:r>
    </w:p>
    <w:p w14:paraId="5DC18145" w14:textId="77777777" w:rsidR="00825FCC" w:rsidRPr="006D6B01" w:rsidRDefault="00825FCC" w:rsidP="004311FE">
      <w:pPr>
        <w:tabs>
          <w:tab w:val="left" w:pos="360"/>
        </w:tabs>
        <w:rPr>
          <w:rFonts w:asciiTheme="majorHAnsi" w:hAnsiTheme="majorHAnsi"/>
          <w:sz w:val="20"/>
          <w:szCs w:val="20"/>
        </w:rPr>
      </w:pPr>
    </w:p>
    <w:p w14:paraId="63891818" w14:textId="77777777" w:rsidR="00E67881" w:rsidRPr="006D6B01" w:rsidRDefault="00B83C1C"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6D6B01">
        <w:rPr>
          <w:rFonts w:asciiTheme="majorHAnsi" w:hAnsiTheme="majorHAnsi"/>
          <w:sz w:val="20"/>
          <w:szCs w:val="20"/>
        </w:rPr>
        <w:t>Fifth</w:t>
      </w:r>
      <w:r w:rsidR="00E67881" w:rsidRPr="006D6B01">
        <w:rPr>
          <w:rFonts w:asciiTheme="majorHAnsi" w:hAnsiTheme="majorHAnsi"/>
          <w:sz w:val="20"/>
          <w:szCs w:val="20"/>
        </w:rPr>
        <w:t xml:space="preserve">, the Commission highlights the exceptional nature of detention </w:t>
      </w:r>
      <w:r w:rsidR="009621E3" w:rsidRPr="006D6B01">
        <w:rPr>
          <w:rFonts w:asciiTheme="majorHAnsi" w:hAnsiTheme="majorHAnsi"/>
          <w:sz w:val="20"/>
          <w:szCs w:val="20"/>
        </w:rPr>
        <w:t>of</w:t>
      </w:r>
      <w:r w:rsidR="00C85F79" w:rsidRPr="006D6B01">
        <w:rPr>
          <w:rFonts w:asciiTheme="majorHAnsi" w:hAnsiTheme="majorHAnsi"/>
          <w:sz w:val="20"/>
          <w:szCs w:val="20"/>
        </w:rPr>
        <w:t xml:space="preserve"> irregular migrants </w:t>
      </w:r>
      <w:r w:rsidR="00E67881" w:rsidRPr="006D6B01">
        <w:rPr>
          <w:rFonts w:asciiTheme="majorHAnsi" w:hAnsiTheme="majorHAnsi"/>
          <w:sz w:val="20"/>
          <w:szCs w:val="20"/>
        </w:rPr>
        <w:t>and finds that the State has not demonstrated the existence of exceptional circumstances justifying its implementation on a mass scale in relation to the alleged victims. Given the inclusion of children among</w:t>
      </w:r>
      <w:r w:rsidR="00C85F79" w:rsidRPr="006D6B01">
        <w:rPr>
          <w:rFonts w:asciiTheme="majorHAnsi" w:hAnsiTheme="majorHAnsi"/>
          <w:sz w:val="20"/>
          <w:szCs w:val="20"/>
        </w:rPr>
        <w:t>st</w:t>
      </w:r>
      <w:r w:rsidR="00E67881" w:rsidRPr="006D6B01">
        <w:rPr>
          <w:rFonts w:asciiTheme="majorHAnsi" w:hAnsiTheme="majorHAnsi"/>
          <w:sz w:val="20"/>
          <w:szCs w:val="20"/>
        </w:rPr>
        <w:t xml:space="preserve"> the alleged victims, the Commission finds, in the absence of information to the contrary, that their detention was based exclusively on migratory reasons and thereby exceeded the </w:t>
      </w:r>
      <w:r w:rsidRPr="006D6B01">
        <w:rPr>
          <w:rFonts w:asciiTheme="majorHAnsi" w:hAnsiTheme="majorHAnsi"/>
          <w:sz w:val="20"/>
          <w:szCs w:val="20"/>
        </w:rPr>
        <w:t>limits set forth in American Declaration.</w:t>
      </w:r>
    </w:p>
    <w:p w14:paraId="1D6E3D5E" w14:textId="77777777" w:rsidR="00E67881" w:rsidRPr="006D6B01" w:rsidRDefault="00E67881" w:rsidP="004311FE">
      <w:pPr>
        <w:tabs>
          <w:tab w:val="left" w:pos="360"/>
        </w:tabs>
        <w:rPr>
          <w:rFonts w:asciiTheme="majorHAnsi" w:hAnsiTheme="majorHAnsi"/>
          <w:sz w:val="20"/>
          <w:szCs w:val="20"/>
        </w:rPr>
      </w:pPr>
    </w:p>
    <w:p w14:paraId="29350129" w14:textId="301F15F0" w:rsidR="00F4491C" w:rsidRPr="006D6B01" w:rsidRDefault="00DF7A4D"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6D6B01">
        <w:rPr>
          <w:rFonts w:asciiTheme="majorHAnsi" w:hAnsiTheme="majorHAnsi"/>
          <w:color w:val="000000" w:themeColor="text1"/>
          <w:sz w:val="20"/>
          <w:szCs w:val="20"/>
        </w:rPr>
        <w:t xml:space="preserve">The Commission concludes that the detention of the alleged victims in this case was manifestly arbitrary, as it responded to an </w:t>
      </w:r>
      <w:r w:rsidR="00F77036">
        <w:rPr>
          <w:rFonts w:asciiTheme="majorHAnsi" w:hAnsiTheme="majorHAnsi"/>
          <w:color w:val="000000" w:themeColor="text1"/>
          <w:sz w:val="20"/>
          <w:szCs w:val="20"/>
        </w:rPr>
        <w:t>evident</w:t>
      </w:r>
      <w:r w:rsidRPr="006D6B01">
        <w:rPr>
          <w:rFonts w:asciiTheme="majorHAnsi" w:hAnsiTheme="majorHAnsi"/>
          <w:color w:val="000000" w:themeColor="text1"/>
          <w:sz w:val="20"/>
          <w:szCs w:val="20"/>
        </w:rPr>
        <w:t xml:space="preserve"> policy of automatic detention without ensuring an individualized determination in each case that considered objective elements to rebut the presumption against detention and reach a duly founded decision to detain the individual. Moreover, the detention of children disregards the principle of the best interest of the child.</w:t>
      </w:r>
    </w:p>
    <w:p w14:paraId="717A5CB4" w14:textId="77777777" w:rsidR="00C60888" w:rsidRPr="006D6B01" w:rsidRDefault="00C60888" w:rsidP="004311F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p>
    <w:p w14:paraId="7E436B49" w14:textId="77777777" w:rsidR="00E511B7" w:rsidRPr="006D6B01" w:rsidRDefault="00F4491C" w:rsidP="004311FE">
      <w:pPr>
        <w:pStyle w:val="Heading3"/>
        <w:numPr>
          <w:ilvl w:val="0"/>
          <w:numId w:val="57"/>
        </w:numPr>
        <w:tabs>
          <w:tab w:val="left" w:pos="360"/>
        </w:tabs>
        <w:ind w:left="0" w:firstLine="0"/>
      </w:pPr>
      <w:bookmarkStart w:id="23" w:name="_Toc90557415"/>
      <w:r w:rsidRPr="006D6B01">
        <w:t xml:space="preserve">Inhumane treatment </w:t>
      </w:r>
      <w:r w:rsidR="001219C7" w:rsidRPr="006D6B01">
        <w:t xml:space="preserve">of </w:t>
      </w:r>
      <w:r w:rsidR="004D757F" w:rsidRPr="006D6B01">
        <w:t>detainees</w:t>
      </w:r>
      <w:r w:rsidRPr="006D6B01">
        <w:t xml:space="preserve"> at the Carmichael Road Detention Center</w:t>
      </w:r>
      <w:bookmarkEnd w:id="23"/>
    </w:p>
    <w:p w14:paraId="3A1610D1" w14:textId="77777777" w:rsidR="00FD7279" w:rsidRPr="006D6B01" w:rsidRDefault="00FD7279" w:rsidP="004311F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color w:val="000000" w:themeColor="text1"/>
          <w:sz w:val="20"/>
          <w:szCs w:val="20"/>
        </w:rPr>
      </w:pPr>
    </w:p>
    <w:p w14:paraId="7B8FF1CC" w14:textId="77777777" w:rsidR="003A6118" w:rsidRPr="006D6B01" w:rsidRDefault="00DF7A4D"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color w:val="000000" w:themeColor="text1"/>
          <w:sz w:val="20"/>
          <w:szCs w:val="20"/>
        </w:rPr>
      </w:pPr>
      <w:r w:rsidRPr="006D6B01">
        <w:rPr>
          <w:rFonts w:asciiTheme="majorHAnsi" w:hAnsiTheme="majorHAnsi"/>
          <w:color w:val="000000" w:themeColor="text1"/>
          <w:sz w:val="20"/>
          <w:szCs w:val="20"/>
        </w:rPr>
        <w:t xml:space="preserve">In this case, </w:t>
      </w:r>
      <w:r w:rsidR="005D6304" w:rsidRPr="006D6B01">
        <w:rPr>
          <w:rFonts w:ascii="Cambria" w:hAnsi="Cambria"/>
          <w:sz w:val="20"/>
          <w:szCs w:val="20"/>
        </w:rPr>
        <w:t xml:space="preserve">the petitioners alleged </w:t>
      </w:r>
      <w:r w:rsidR="005D6304" w:rsidRPr="006D6B01">
        <w:rPr>
          <w:rFonts w:asciiTheme="majorHAnsi" w:hAnsiTheme="majorHAnsi"/>
          <w:color w:val="000000" w:themeColor="text1"/>
          <w:sz w:val="20"/>
          <w:szCs w:val="20"/>
        </w:rPr>
        <w:t>that the detention conditions at the Center fail to meet internationally recognized minimum standards, including with regard to the provision of food and medical care and separation of families. The Commission additionally took into account numerous reports by international bodies over the past two decades indicating that conditions in the Center are not compatible with international minimum standards. T</w:t>
      </w:r>
      <w:r w:rsidRPr="006D6B01">
        <w:rPr>
          <w:rFonts w:asciiTheme="majorHAnsi" w:hAnsiTheme="majorHAnsi"/>
          <w:color w:val="000000" w:themeColor="text1"/>
          <w:sz w:val="20"/>
          <w:szCs w:val="20"/>
        </w:rPr>
        <w:t>he</w:t>
      </w:r>
      <w:r w:rsidR="00F85322" w:rsidRPr="006D6B01">
        <w:rPr>
          <w:rFonts w:asciiTheme="majorHAnsi" w:hAnsiTheme="majorHAnsi"/>
          <w:color w:val="000000" w:themeColor="text1"/>
          <w:sz w:val="20"/>
          <w:szCs w:val="20"/>
        </w:rPr>
        <w:t xml:space="preserve"> </w:t>
      </w:r>
      <w:r w:rsidR="00FD7279" w:rsidRPr="006D6B01">
        <w:rPr>
          <w:rFonts w:asciiTheme="majorHAnsi" w:hAnsiTheme="majorHAnsi"/>
          <w:color w:val="000000" w:themeColor="text1"/>
          <w:sz w:val="20"/>
          <w:szCs w:val="20"/>
        </w:rPr>
        <w:t>State</w:t>
      </w:r>
      <w:r w:rsidR="005D6304" w:rsidRPr="006D6B01">
        <w:rPr>
          <w:rFonts w:asciiTheme="majorHAnsi" w:hAnsiTheme="majorHAnsi"/>
          <w:color w:val="000000" w:themeColor="text1"/>
          <w:sz w:val="20"/>
          <w:szCs w:val="20"/>
        </w:rPr>
        <w:t>, for its part,</w:t>
      </w:r>
      <w:r w:rsidRPr="006D6B01">
        <w:rPr>
          <w:rFonts w:asciiTheme="majorHAnsi" w:hAnsiTheme="majorHAnsi"/>
          <w:color w:val="000000" w:themeColor="text1"/>
          <w:sz w:val="20"/>
          <w:szCs w:val="20"/>
        </w:rPr>
        <w:t xml:space="preserve"> rejected </w:t>
      </w:r>
      <w:r w:rsidR="005D6304" w:rsidRPr="006D6B01">
        <w:rPr>
          <w:rFonts w:asciiTheme="majorHAnsi" w:hAnsiTheme="majorHAnsi"/>
          <w:color w:val="000000" w:themeColor="text1"/>
          <w:sz w:val="20"/>
          <w:szCs w:val="20"/>
        </w:rPr>
        <w:t xml:space="preserve">these </w:t>
      </w:r>
      <w:r w:rsidRPr="006D6B01">
        <w:rPr>
          <w:rFonts w:asciiTheme="majorHAnsi" w:hAnsiTheme="majorHAnsi"/>
          <w:color w:val="000000" w:themeColor="text1"/>
          <w:sz w:val="20"/>
          <w:szCs w:val="20"/>
        </w:rPr>
        <w:t>allegations</w:t>
      </w:r>
      <w:r w:rsidR="005D6304" w:rsidRPr="006D6B01">
        <w:rPr>
          <w:rFonts w:asciiTheme="majorHAnsi" w:hAnsiTheme="majorHAnsi"/>
          <w:color w:val="000000" w:themeColor="text1"/>
          <w:sz w:val="20"/>
          <w:szCs w:val="20"/>
        </w:rPr>
        <w:t>—though it provided no evidence in this regard—</w:t>
      </w:r>
      <w:r w:rsidR="003A6118" w:rsidRPr="006D6B01">
        <w:rPr>
          <w:rFonts w:asciiTheme="majorHAnsi" w:hAnsiTheme="majorHAnsi"/>
          <w:color w:val="000000" w:themeColor="text1"/>
          <w:sz w:val="20"/>
          <w:szCs w:val="20"/>
        </w:rPr>
        <w:t>,</w:t>
      </w:r>
      <w:r w:rsidRPr="006D6B01">
        <w:rPr>
          <w:rFonts w:asciiTheme="majorHAnsi" w:hAnsiTheme="majorHAnsi"/>
          <w:color w:val="000000" w:themeColor="text1"/>
          <w:sz w:val="20"/>
          <w:szCs w:val="20"/>
        </w:rPr>
        <w:t xml:space="preserve"> but</w:t>
      </w:r>
      <w:r w:rsidR="003A6118" w:rsidRPr="006D6B01">
        <w:rPr>
          <w:rFonts w:asciiTheme="majorHAnsi" w:hAnsiTheme="majorHAnsi"/>
          <w:color w:val="000000" w:themeColor="text1"/>
          <w:sz w:val="20"/>
          <w:szCs w:val="20"/>
        </w:rPr>
        <w:t xml:space="preserve"> </w:t>
      </w:r>
      <w:r w:rsidR="001219C7" w:rsidRPr="006D6B01">
        <w:rPr>
          <w:rFonts w:ascii="Cambria" w:hAnsi="Cambria"/>
          <w:sz w:val="20"/>
          <w:szCs w:val="20"/>
        </w:rPr>
        <w:t>recognize</w:t>
      </w:r>
      <w:r w:rsidRPr="006D6B01">
        <w:rPr>
          <w:rFonts w:ascii="Cambria" w:hAnsi="Cambria"/>
          <w:sz w:val="20"/>
          <w:szCs w:val="20"/>
        </w:rPr>
        <w:t>d</w:t>
      </w:r>
      <w:r w:rsidR="001219C7" w:rsidRPr="006D6B01">
        <w:rPr>
          <w:rFonts w:ascii="Cambria" w:hAnsi="Cambria"/>
          <w:sz w:val="20"/>
          <w:szCs w:val="20"/>
        </w:rPr>
        <w:t xml:space="preserve"> </w:t>
      </w:r>
      <w:r w:rsidR="00FD7279" w:rsidRPr="006D6B01">
        <w:rPr>
          <w:rFonts w:ascii="Cambria" w:hAnsi="Cambria"/>
          <w:sz w:val="20"/>
          <w:szCs w:val="20"/>
        </w:rPr>
        <w:t>the need</w:t>
      </w:r>
      <w:r w:rsidR="00F85322" w:rsidRPr="006D6B01">
        <w:rPr>
          <w:rFonts w:ascii="Cambria" w:hAnsi="Cambria"/>
          <w:sz w:val="20"/>
          <w:szCs w:val="20"/>
        </w:rPr>
        <w:t xml:space="preserve"> for</w:t>
      </w:r>
      <w:r w:rsidR="001219C7" w:rsidRPr="006D6B01">
        <w:rPr>
          <w:rFonts w:ascii="Cambria" w:hAnsi="Cambria"/>
          <w:sz w:val="20"/>
          <w:szCs w:val="20"/>
        </w:rPr>
        <w:t xml:space="preserve"> improvement</w:t>
      </w:r>
      <w:r w:rsidR="00885C31" w:rsidRPr="006D6B01">
        <w:rPr>
          <w:rFonts w:ascii="Cambria" w:hAnsi="Cambria"/>
          <w:sz w:val="20"/>
          <w:szCs w:val="20"/>
        </w:rPr>
        <w:t xml:space="preserve"> </w:t>
      </w:r>
      <w:r w:rsidR="00FD7279" w:rsidRPr="006D6B01">
        <w:rPr>
          <w:rFonts w:ascii="Cambria" w:hAnsi="Cambria"/>
          <w:sz w:val="20"/>
          <w:szCs w:val="20"/>
        </w:rPr>
        <w:t xml:space="preserve">of the Center </w:t>
      </w:r>
      <w:r w:rsidR="00885C31" w:rsidRPr="006D6B01">
        <w:rPr>
          <w:rFonts w:ascii="Cambria" w:hAnsi="Cambria"/>
          <w:sz w:val="20"/>
          <w:szCs w:val="20"/>
        </w:rPr>
        <w:t xml:space="preserve">and expressed </w:t>
      </w:r>
      <w:r w:rsidRPr="006D6B01">
        <w:rPr>
          <w:rFonts w:ascii="Cambria" w:hAnsi="Cambria"/>
          <w:sz w:val="20"/>
          <w:szCs w:val="20"/>
        </w:rPr>
        <w:t xml:space="preserve">its </w:t>
      </w:r>
      <w:r w:rsidR="00885C31" w:rsidRPr="006D6B01">
        <w:rPr>
          <w:rFonts w:ascii="Cambria" w:hAnsi="Cambria"/>
          <w:sz w:val="20"/>
          <w:szCs w:val="20"/>
        </w:rPr>
        <w:t>intention to invest funds to this end</w:t>
      </w:r>
      <w:r w:rsidR="003A6118" w:rsidRPr="006D6B01">
        <w:rPr>
          <w:rFonts w:ascii="Cambria" w:hAnsi="Cambria"/>
          <w:sz w:val="20"/>
          <w:szCs w:val="20"/>
        </w:rPr>
        <w:t xml:space="preserve">. </w:t>
      </w:r>
    </w:p>
    <w:p w14:paraId="5C3C1113" w14:textId="77777777" w:rsidR="003A6118" w:rsidRPr="006D6B01" w:rsidRDefault="003A6118" w:rsidP="004311FE">
      <w:pPr>
        <w:pStyle w:val="ListParagraph"/>
        <w:tabs>
          <w:tab w:val="left" w:pos="360"/>
        </w:tabs>
        <w:ind w:left="0"/>
        <w:rPr>
          <w:rFonts w:asciiTheme="majorHAnsi" w:hAnsiTheme="majorHAnsi"/>
          <w:color w:val="000000" w:themeColor="text1"/>
          <w:sz w:val="20"/>
          <w:szCs w:val="20"/>
        </w:rPr>
      </w:pPr>
    </w:p>
    <w:p w14:paraId="0767EA63" w14:textId="0EA3A871" w:rsidR="001219C7" w:rsidRPr="006D6B01" w:rsidRDefault="004A5D14"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color w:val="000000" w:themeColor="text1"/>
          <w:sz w:val="20"/>
          <w:szCs w:val="20"/>
        </w:rPr>
      </w:pPr>
      <w:r w:rsidRPr="006D6B01">
        <w:rPr>
          <w:rFonts w:asciiTheme="majorHAnsi" w:hAnsiTheme="majorHAnsi"/>
          <w:color w:val="000000" w:themeColor="text1"/>
          <w:sz w:val="20"/>
          <w:szCs w:val="20"/>
        </w:rPr>
        <w:lastRenderedPageBreak/>
        <w:t>T</w:t>
      </w:r>
      <w:r w:rsidR="001219C7" w:rsidRPr="006D6B01">
        <w:rPr>
          <w:rFonts w:asciiTheme="majorHAnsi" w:hAnsiTheme="majorHAnsi"/>
          <w:color w:val="000000" w:themeColor="text1"/>
          <w:sz w:val="20"/>
          <w:szCs w:val="20"/>
        </w:rPr>
        <w:t>aki</w:t>
      </w:r>
      <w:r w:rsidR="00885C31" w:rsidRPr="006D6B01">
        <w:rPr>
          <w:rFonts w:asciiTheme="majorHAnsi" w:hAnsiTheme="majorHAnsi"/>
          <w:color w:val="000000" w:themeColor="text1"/>
          <w:sz w:val="20"/>
          <w:szCs w:val="20"/>
        </w:rPr>
        <w:t>ng into consideration</w:t>
      </w:r>
      <w:r w:rsidR="001219C7" w:rsidRPr="006D6B01">
        <w:rPr>
          <w:rFonts w:asciiTheme="majorHAnsi" w:hAnsiTheme="majorHAnsi"/>
          <w:color w:val="000000" w:themeColor="text1"/>
          <w:sz w:val="20"/>
          <w:szCs w:val="20"/>
        </w:rPr>
        <w:t xml:space="preserve"> </w:t>
      </w:r>
      <w:r w:rsidR="006C3B0C" w:rsidRPr="006D6B01">
        <w:rPr>
          <w:rFonts w:asciiTheme="majorHAnsi" w:hAnsiTheme="majorHAnsi"/>
          <w:color w:val="000000" w:themeColor="text1"/>
          <w:sz w:val="20"/>
          <w:szCs w:val="20"/>
        </w:rPr>
        <w:t xml:space="preserve">the information </w:t>
      </w:r>
      <w:r w:rsidR="00D23DD1" w:rsidRPr="006D6B01">
        <w:rPr>
          <w:rFonts w:asciiTheme="majorHAnsi" w:hAnsiTheme="majorHAnsi"/>
          <w:color w:val="000000" w:themeColor="text1"/>
          <w:sz w:val="20"/>
          <w:szCs w:val="20"/>
        </w:rPr>
        <w:t xml:space="preserve">of </w:t>
      </w:r>
      <w:r w:rsidR="001219C7" w:rsidRPr="006D6B01">
        <w:rPr>
          <w:rFonts w:asciiTheme="majorHAnsi" w:hAnsiTheme="majorHAnsi"/>
          <w:color w:val="000000" w:themeColor="text1"/>
          <w:sz w:val="20"/>
          <w:szCs w:val="20"/>
        </w:rPr>
        <w:t>the context</w:t>
      </w:r>
      <w:r w:rsidR="00885C31" w:rsidRPr="006D6B01">
        <w:rPr>
          <w:rFonts w:asciiTheme="majorHAnsi" w:hAnsiTheme="majorHAnsi"/>
          <w:color w:val="000000" w:themeColor="text1"/>
          <w:sz w:val="20"/>
          <w:szCs w:val="20"/>
        </w:rPr>
        <w:t xml:space="preserve"> of the case</w:t>
      </w:r>
      <w:r w:rsidRPr="006D6B01">
        <w:rPr>
          <w:rFonts w:asciiTheme="majorHAnsi" w:hAnsiTheme="majorHAnsi"/>
          <w:color w:val="000000" w:themeColor="text1"/>
          <w:sz w:val="20"/>
          <w:szCs w:val="20"/>
        </w:rPr>
        <w:t xml:space="preserve">, </w:t>
      </w:r>
      <w:r w:rsidR="00885C31" w:rsidRPr="006D6B01">
        <w:rPr>
          <w:rFonts w:asciiTheme="majorHAnsi" w:hAnsiTheme="majorHAnsi"/>
          <w:color w:val="000000" w:themeColor="text1"/>
          <w:sz w:val="20"/>
          <w:szCs w:val="20"/>
        </w:rPr>
        <w:t xml:space="preserve">the </w:t>
      </w:r>
      <w:r w:rsidR="001219C7" w:rsidRPr="006D6B01">
        <w:rPr>
          <w:rFonts w:asciiTheme="majorHAnsi" w:hAnsiTheme="majorHAnsi"/>
          <w:color w:val="000000" w:themeColor="text1"/>
          <w:sz w:val="20"/>
          <w:szCs w:val="20"/>
        </w:rPr>
        <w:t>reports prepared by international organizations</w:t>
      </w:r>
      <w:r w:rsidR="00861CCB" w:rsidRPr="006D6B01">
        <w:rPr>
          <w:rFonts w:asciiTheme="majorHAnsi" w:hAnsiTheme="majorHAnsi"/>
          <w:color w:val="000000" w:themeColor="text1"/>
          <w:sz w:val="20"/>
          <w:szCs w:val="20"/>
        </w:rPr>
        <w:t>,</w:t>
      </w:r>
      <w:r w:rsidR="001219C7" w:rsidRPr="006D6B01">
        <w:rPr>
          <w:rFonts w:asciiTheme="majorHAnsi" w:hAnsiTheme="majorHAnsi"/>
          <w:color w:val="000000" w:themeColor="text1"/>
          <w:sz w:val="20"/>
          <w:szCs w:val="20"/>
        </w:rPr>
        <w:t xml:space="preserve"> the hearings held</w:t>
      </w:r>
      <w:r w:rsidR="00861CCB" w:rsidRPr="006D6B01">
        <w:rPr>
          <w:rFonts w:asciiTheme="majorHAnsi" w:hAnsiTheme="majorHAnsi"/>
          <w:color w:val="000000" w:themeColor="text1"/>
          <w:sz w:val="20"/>
          <w:szCs w:val="20"/>
        </w:rPr>
        <w:t xml:space="preserve"> before the IACHR,</w:t>
      </w:r>
      <w:r w:rsidR="001178A6" w:rsidRPr="006D6B01">
        <w:rPr>
          <w:rFonts w:asciiTheme="majorHAnsi" w:hAnsiTheme="majorHAnsi"/>
          <w:color w:val="000000" w:themeColor="text1"/>
          <w:sz w:val="20"/>
          <w:szCs w:val="20"/>
        </w:rPr>
        <w:t xml:space="preserve"> the fact that the State has</w:t>
      </w:r>
      <w:r w:rsidR="00893036">
        <w:rPr>
          <w:rFonts w:asciiTheme="majorHAnsi" w:hAnsiTheme="majorHAnsi"/>
          <w:color w:val="000000" w:themeColor="text1"/>
          <w:sz w:val="20"/>
          <w:szCs w:val="20"/>
        </w:rPr>
        <w:t xml:space="preserve"> not </w:t>
      </w:r>
      <w:r w:rsidR="001178A6" w:rsidRPr="006D6B01">
        <w:rPr>
          <w:rFonts w:asciiTheme="majorHAnsi" w:hAnsiTheme="majorHAnsi"/>
          <w:color w:val="000000" w:themeColor="text1"/>
          <w:sz w:val="20"/>
          <w:szCs w:val="20"/>
        </w:rPr>
        <w:t>presented</w:t>
      </w:r>
      <w:r w:rsidR="00893036">
        <w:rPr>
          <w:rFonts w:asciiTheme="majorHAnsi" w:hAnsiTheme="majorHAnsi"/>
          <w:color w:val="000000" w:themeColor="text1"/>
          <w:sz w:val="20"/>
          <w:szCs w:val="20"/>
        </w:rPr>
        <w:t xml:space="preserve"> documentary or other evidence to support its affirmations and the fact that the petitioners have no other means to prove their allegations, </w:t>
      </w:r>
      <w:r w:rsidR="001219C7" w:rsidRPr="006D6B01">
        <w:rPr>
          <w:rFonts w:asciiTheme="majorHAnsi" w:hAnsiTheme="majorHAnsi"/>
          <w:color w:val="000000" w:themeColor="text1"/>
          <w:sz w:val="20"/>
          <w:szCs w:val="20"/>
        </w:rPr>
        <w:t xml:space="preserve">the </w:t>
      </w:r>
      <w:r w:rsidR="00861CCB" w:rsidRPr="006D6B01">
        <w:rPr>
          <w:rFonts w:asciiTheme="majorHAnsi" w:hAnsiTheme="majorHAnsi"/>
          <w:color w:val="000000" w:themeColor="text1"/>
          <w:sz w:val="20"/>
          <w:szCs w:val="20"/>
        </w:rPr>
        <w:t xml:space="preserve">Commission </w:t>
      </w:r>
      <w:r w:rsidRPr="006D6B01">
        <w:rPr>
          <w:rFonts w:asciiTheme="majorHAnsi" w:hAnsiTheme="majorHAnsi"/>
          <w:color w:val="000000" w:themeColor="text1"/>
          <w:sz w:val="20"/>
          <w:szCs w:val="20"/>
        </w:rPr>
        <w:t>finds consistency in the</w:t>
      </w:r>
      <w:r w:rsidR="00893036">
        <w:rPr>
          <w:rFonts w:asciiTheme="majorHAnsi" w:hAnsiTheme="majorHAnsi"/>
          <w:color w:val="000000" w:themeColor="text1"/>
          <w:sz w:val="20"/>
          <w:szCs w:val="20"/>
        </w:rPr>
        <w:t>ir</w:t>
      </w:r>
      <w:r w:rsidRPr="006D6B01">
        <w:rPr>
          <w:rFonts w:asciiTheme="majorHAnsi" w:hAnsiTheme="majorHAnsi"/>
          <w:color w:val="000000" w:themeColor="text1"/>
          <w:sz w:val="20"/>
          <w:szCs w:val="20"/>
        </w:rPr>
        <w:t xml:space="preserve"> version regarding t</w:t>
      </w:r>
      <w:r w:rsidR="001219C7" w:rsidRPr="006D6B01">
        <w:rPr>
          <w:rFonts w:asciiTheme="majorHAnsi" w:hAnsiTheme="majorHAnsi"/>
          <w:color w:val="000000" w:themeColor="text1"/>
          <w:sz w:val="20"/>
          <w:szCs w:val="20"/>
        </w:rPr>
        <w:t>he</w:t>
      </w:r>
      <w:r w:rsidR="00920321" w:rsidRPr="006D6B01">
        <w:rPr>
          <w:rFonts w:asciiTheme="majorHAnsi" w:hAnsiTheme="majorHAnsi"/>
          <w:color w:val="000000" w:themeColor="text1"/>
          <w:sz w:val="20"/>
          <w:szCs w:val="20"/>
        </w:rPr>
        <w:t xml:space="preserve"> detention</w:t>
      </w:r>
      <w:r w:rsidR="001219C7" w:rsidRPr="006D6B01">
        <w:rPr>
          <w:rFonts w:asciiTheme="majorHAnsi" w:hAnsiTheme="majorHAnsi"/>
          <w:color w:val="000000" w:themeColor="text1"/>
          <w:sz w:val="20"/>
          <w:szCs w:val="20"/>
        </w:rPr>
        <w:t xml:space="preserve"> conditions and </w:t>
      </w:r>
      <w:r w:rsidRPr="006D6B01">
        <w:rPr>
          <w:rFonts w:asciiTheme="majorHAnsi" w:hAnsiTheme="majorHAnsi"/>
          <w:color w:val="000000" w:themeColor="text1"/>
          <w:sz w:val="20"/>
          <w:szCs w:val="20"/>
        </w:rPr>
        <w:t xml:space="preserve">concludes </w:t>
      </w:r>
      <w:r w:rsidR="001219C7" w:rsidRPr="006D6B01">
        <w:rPr>
          <w:rFonts w:asciiTheme="majorHAnsi" w:hAnsiTheme="majorHAnsi"/>
          <w:color w:val="000000" w:themeColor="text1"/>
          <w:sz w:val="20"/>
          <w:szCs w:val="20"/>
        </w:rPr>
        <w:t xml:space="preserve">that all the alleged victims experienced these conditions during their time at the </w:t>
      </w:r>
      <w:r w:rsidR="005C7676" w:rsidRPr="006D6B01">
        <w:rPr>
          <w:rFonts w:asciiTheme="majorHAnsi" w:hAnsiTheme="majorHAnsi"/>
          <w:color w:val="000000" w:themeColor="text1"/>
          <w:sz w:val="20"/>
          <w:szCs w:val="20"/>
        </w:rPr>
        <w:t xml:space="preserve">Carmichael Road Detention Center. In light </w:t>
      </w:r>
      <w:r w:rsidR="00B45B83" w:rsidRPr="006D6B01">
        <w:rPr>
          <w:rFonts w:asciiTheme="majorHAnsi" w:hAnsiTheme="majorHAnsi"/>
          <w:color w:val="000000" w:themeColor="text1"/>
          <w:sz w:val="20"/>
          <w:szCs w:val="20"/>
        </w:rPr>
        <w:t>of all this</w:t>
      </w:r>
      <w:r w:rsidR="005C7676" w:rsidRPr="006D6B01">
        <w:rPr>
          <w:rFonts w:asciiTheme="majorHAnsi" w:hAnsiTheme="majorHAnsi"/>
          <w:color w:val="000000" w:themeColor="text1"/>
          <w:sz w:val="20"/>
          <w:szCs w:val="20"/>
        </w:rPr>
        <w:t xml:space="preserve">, </w:t>
      </w:r>
      <w:r w:rsidR="005C7676" w:rsidRPr="006D6B01">
        <w:rPr>
          <w:rFonts w:asciiTheme="majorHAnsi" w:hAnsiTheme="majorHAnsi"/>
          <w:sz w:val="20"/>
          <w:szCs w:val="20"/>
        </w:rPr>
        <w:t xml:space="preserve">the Commission </w:t>
      </w:r>
      <w:r w:rsidR="005D6304" w:rsidRPr="006D6B01">
        <w:rPr>
          <w:rFonts w:asciiTheme="majorHAnsi" w:hAnsiTheme="majorHAnsi"/>
          <w:sz w:val="20"/>
          <w:szCs w:val="20"/>
        </w:rPr>
        <w:t>will use</w:t>
      </w:r>
      <w:r w:rsidR="005C7676" w:rsidRPr="006D6B01">
        <w:rPr>
          <w:rFonts w:asciiTheme="majorHAnsi" w:hAnsiTheme="majorHAnsi"/>
          <w:sz w:val="20"/>
          <w:szCs w:val="20"/>
        </w:rPr>
        <w:t xml:space="preserve"> the information provided by the alleged victims</w:t>
      </w:r>
      <w:r w:rsidR="00210042" w:rsidRPr="006D6B01">
        <w:rPr>
          <w:rFonts w:asciiTheme="majorHAnsi" w:hAnsiTheme="majorHAnsi"/>
          <w:sz w:val="20"/>
          <w:szCs w:val="20"/>
        </w:rPr>
        <w:t xml:space="preserve"> </w:t>
      </w:r>
      <w:r w:rsidR="005D6304" w:rsidRPr="006D6B01">
        <w:rPr>
          <w:rFonts w:asciiTheme="majorHAnsi" w:hAnsiTheme="majorHAnsi"/>
          <w:sz w:val="20"/>
          <w:szCs w:val="20"/>
        </w:rPr>
        <w:t>to evaluate compliance with</w:t>
      </w:r>
      <w:r w:rsidR="005C7676" w:rsidRPr="006D6B01">
        <w:rPr>
          <w:rFonts w:asciiTheme="majorHAnsi" w:hAnsiTheme="majorHAnsi"/>
          <w:sz w:val="20"/>
          <w:szCs w:val="20"/>
        </w:rPr>
        <w:t xml:space="preserve"> minimum international standards </w:t>
      </w:r>
      <w:r w:rsidR="00F85322" w:rsidRPr="006D6B01">
        <w:rPr>
          <w:rFonts w:asciiTheme="majorHAnsi" w:hAnsiTheme="majorHAnsi"/>
          <w:sz w:val="20"/>
          <w:szCs w:val="20"/>
        </w:rPr>
        <w:t>related</w:t>
      </w:r>
      <w:r w:rsidR="005C7676" w:rsidRPr="006D6B01">
        <w:rPr>
          <w:rFonts w:asciiTheme="majorHAnsi" w:hAnsiTheme="majorHAnsi"/>
          <w:sz w:val="20"/>
          <w:szCs w:val="20"/>
        </w:rPr>
        <w:t xml:space="preserve"> </w:t>
      </w:r>
      <w:r w:rsidR="00F85322" w:rsidRPr="006D6B01">
        <w:rPr>
          <w:rFonts w:asciiTheme="majorHAnsi" w:hAnsiTheme="majorHAnsi"/>
          <w:sz w:val="20"/>
          <w:szCs w:val="20"/>
        </w:rPr>
        <w:t xml:space="preserve">to </w:t>
      </w:r>
      <w:r w:rsidR="005C7676" w:rsidRPr="006D6B01">
        <w:rPr>
          <w:rFonts w:asciiTheme="majorHAnsi" w:hAnsiTheme="majorHAnsi"/>
          <w:sz w:val="20"/>
          <w:szCs w:val="20"/>
        </w:rPr>
        <w:t>accommodation, hygiene, clothing and bedding, food, recreation, exercise and medical treatment, discipline and punishment.</w:t>
      </w:r>
    </w:p>
    <w:p w14:paraId="38977B55" w14:textId="77777777" w:rsidR="00E511B7" w:rsidRPr="006D6B01" w:rsidRDefault="00E511B7" w:rsidP="004311F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p>
    <w:p w14:paraId="26633B88" w14:textId="42FEF11E" w:rsidR="00AA6540" w:rsidRPr="006D6B01" w:rsidRDefault="00654855"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Pr>
          <w:rFonts w:asciiTheme="majorHAnsi" w:hAnsiTheme="majorHAnsi"/>
          <w:sz w:val="20"/>
          <w:szCs w:val="20"/>
        </w:rPr>
        <w:t>T</w:t>
      </w:r>
      <w:r w:rsidR="00823EDD" w:rsidRPr="006D6B01">
        <w:rPr>
          <w:rFonts w:asciiTheme="majorHAnsi" w:hAnsiTheme="majorHAnsi"/>
          <w:sz w:val="20"/>
          <w:szCs w:val="20"/>
        </w:rPr>
        <w:t xml:space="preserve">he Commission highlights the </w:t>
      </w:r>
      <w:r w:rsidR="00885C31" w:rsidRPr="006D6B01">
        <w:rPr>
          <w:rFonts w:asciiTheme="majorHAnsi" w:hAnsiTheme="majorHAnsi"/>
          <w:sz w:val="20"/>
          <w:szCs w:val="20"/>
        </w:rPr>
        <w:t>inadequate</w:t>
      </w:r>
      <w:r w:rsidR="00823EDD" w:rsidRPr="006D6B01">
        <w:rPr>
          <w:rFonts w:asciiTheme="majorHAnsi" w:hAnsiTheme="majorHAnsi"/>
          <w:sz w:val="20"/>
          <w:szCs w:val="20"/>
        </w:rPr>
        <w:t xml:space="preserve"> </w:t>
      </w:r>
      <w:r w:rsidR="005D6304" w:rsidRPr="006D6B01">
        <w:rPr>
          <w:rFonts w:asciiTheme="majorHAnsi" w:hAnsiTheme="majorHAnsi"/>
          <w:sz w:val="20"/>
          <w:szCs w:val="20"/>
        </w:rPr>
        <w:t xml:space="preserve">facilities </w:t>
      </w:r>
      <w:r w:rsidR="00885C31" w:rsidRPr="006D6B01">
        <w:rPr>
          <w:rFonts w:asciiTheme="majorHAnsi" w:hAnsiTheme="majorHAnsi"/>
          <w:sz w:val="20"/>
          <w:szCs w:val="20"/>
        </w:rPr>
        <w:t xml:space="preserve">at the Center </w:t>
      </w:r>
      <w:r w:rsidR="005D6304" w:rsidRPr="006D6B01">
        <w:rPr>
          <w:rFonts w:asciiTheme="majorHAnsi" w:hAnsiTheme="majorHAnsi"/>
          <w:sz w:val="20"/>
          <w:szCs w:val="20"/>
        </w:rPr>
        <w:t>given</w:t>
      </w:r>
      <w:r w:rsidR="00885C31" w:rsidRPr="006D6B01">
        <w:rPr>
          <w:rFonts w:asciiTheme="majorHAnsi" w:hAnsiTheme="majorHAnsi"/>
          <w:sz w:val="20"/>
          <w:szCs w:val="20"/>
        </w:rPr>
        <w:t xml:space="preserve"> the</w:t>
      </w:r>
      <w:r w:rsidR="00823EDD" w:rsidRPr="006D6B01">
        <w:rPr>
          <w:rFonts w:asciiTheme="majorHAnsi" w:hAnsiTheme="majorHAnsi"/>
          <w:sz w:val="20"/>
          <w:szCs w:val="20"/>
        </w:rPr>
        <w:t xml:space="preserve"> consistent reports of overcrowding and </w:t>
      </w:r>
      <w:r w:rsidR="005D6304" w:rsidRPr="006D6B01">
        <w:rPr>
          <w:rFonts w:asciiTheme="majorHAnsi" w:hAnsiTheme="majorHAnsi"/>
          <w:sz w:val="20"/>
          <w:szCs w:val="20"/>
        </w:rPr>
        <w:t>lack</w:t>
      </w:r>
      <w:r w:rsidR="00823EDD" w:rsidRPr="006D6B01">
        <w:rPr>
          <w:rFonts w:asciiTheme="majorHAnsi" w:hAnsiTheme="majorHAnsi"/>
          <w:sz w:val="20"/>
          <w:szCs w:val="20"/>
        </w:rPr>
        <w:t xml:space="preserve"> of sufficient beds and bathroom facilities, </w:t>
      </w:r>
      <w:r w:rsidR="00885C31" w:rsidRPr="006D6B01">
        <w:rPr>
          <w:rFonts w:asciiTheme="majorHAnsi" w:hAnsiTheme="majorHAnsi"/>
          <w:sz w:val="20"/>
          <w:szCs w:val="20"/>
        </w:rPr>
        <w:t xml:space="preserve">which suggests that the </w:t>
      </w:r>
      <w:r w:rsidR="005D6304" w:rsidRPr="006D6B01">
        <w:rPr>
          <w:rFonts w:asciiTheme="majorHAnsi" w:hAnsiTheme="majorHAnsi"/>
          <w:sz w:val="20"/>
          <w:szCs w:val="20"/>
        </w:rPr>
        <w:t xml:space="preserve">hygienic </w:t>
      </w:r>
      <w:r w:rsidR="00210042" w:rsidRPr="006D6B01">
        <w:rPr>
          <w:rFonts w:asciiTheme="majorHAnsi" w:hAnsiTheme="majorHAnsi"/>
          <w:sz w:val="20"/>
          <w:szCs w:val="20"/>
        </w:rPr>
        <w:t xml:space="preserve">conditions </w:t>
      </w:r>
      <w:r w:rsidR="00885C31" w:rsidRPr="006D6B01">
        <w:rPr>
          <w:rFonts w:asciiTheme="majorHAnsi" w:hAnsiTheme="majorHAnsi"/>
          <w:sz w:val="20"/>
          <w:szCs w:val="20"/>
        </w:rPr>
        <w:t xml:space="preserve">at the Center </w:t>
      </w:r>
      <w:r w:rsidR="00AA6540" w:rsidRPr="006D6B01">
        <w:rPr>
          <w:rFonts w:asciiTheme="majorHAnsi" w:hAnsiTheme="majorHAnsi"/>
          <w:sz w:val="20"/>
          <w:szCs w:val="20"/>
        </w:rPr>
        <w:t>are incompatible with the American Declaration</w:t>
      </w:r>
      <w:r w:rsidR="00823EDD" w:rsidRPr="006D6B01">
        <w:rPr>
          <w:rFonts w:asciiTheme="majorHAnsi" w:hAnsiTheme="majorHAnsi"/>
          <w:sz w:val="20"/>
          <w:szCs w:val="20"/>
        </w:rPr>
        <w:t xml:space="preserve">. </w:t>
      </w:r>
      <w:r w:rsidR="0081639B" w:rsidRPr="006D6B01">
        <w:rPr>
          <w:rFonts w:asciiTheme="majorHAnsi" w:hAnsiTheme="majorHAnsi"/>
          <w:sz w:val="20"/>
          <w:szCs w:val="20"/>
        </w:rPr>
        <w:t>In relatio</w:t>
      </w:r>
      <w:r w:rsidR="00225D1F" w:rsidRPr="006D6B01">
        <w:rPr>
          <w:rFonts w:asciiTheme="majorHAnsi" w:hAnsiTheme="majorHAnsi"/>
          <w:sz w:val="20"/>
          <w:szCs w:val="20"/>
        </w:rPr>
        <w:t xml:space="preserve">n to food, </w:t>
      </w:r>
      <w:r w:rsidR="00BA7C92" w:rsidRPr="006D6B01">
        <w:rPr>
          <w:rFonts w:asciiTheme="majorHAnsi" w:hAnsiTheme="majorHAnsi"/>
          <w:sz w:val="20"/>
          <w:szCs w:val="20"/>
        </w:rPr>
        <w:t>t</w:t>
      </w:r>
      <w:r w:rsidR="00225D1F" w:rsidRPr="006D6B01">
        <w:rPr>
          <w:rFonts w:asciiTheme="majorHAnsi" w:hAnsiTheme="majorHAnsi"/>
          <w:sz w:val="20"/>
          <w:szCs w:val="20"/>
        </w:rPr>
        <w:t>he case file</w:t>
      </w:r>
      <w:r w:rsidR="00BA7C92" w:rsidRPr="006D6B01">
        <w:rPr>
          <w:rFonts w:asciiTheme="majorHAnsi" w:hAnsiTheme="majorHAnsi"/>
          <w:sz w:val="20"/>
          <w:szCs w:val="20"/>
        </w:rPr>
        <w:t xml:space="preserve"> indicates</w:t>
      </w:r>
      <w:r w:rsidR="0081639B" w:rsidRPr="006D6B01">
        <w:rPr>
          <w:rFonts w:asciiTheme="majorHAnsi" w:hAnsiTheme="majorHAnsi"/>
          <w:sz w:val="20"/>
          <w:szCs w:val="20"/>
        </w:rPr>
        <w:t xml:space="preserve"> the unavailability of potable water and spoiled food being served to detainees, such that some had to wash the food before consuming it. </w:t>
      </w:r>
      <w:r w:rsidR="00AA6540" w:rsidRPr="006D6B01">
        <w:rPr>
          <w:rFonts w:asciiTheme="majorHAnsi" w:hAnsiTheme="majorHAnsi"/>
          <w:sz w:val="20"/>
          <w:szCs w:val="20"/>
        </w:rPr>
        <w:t xml:space="preserve"> Taking into consideration the standards of detention set above under the American Declaration, the Commission finds that the conditions at the </w:t>
      </w:r>
      <w:r w:rsidR="00BB4FCD" w:rsidRPr="006D6B01">
        <w:rPr>
          <w:rFonts w:asciiTheme="majorHAnsi" w:hAnsiTheme="majorHAnsi"/>
          <w:sz w:val="20"/>
          <w:szCs w:val="20"/>
        </w:rPr>
        <w:t xml:space="preserve">Carmichael Center </w:t>
      </w:r>
      <w:r w:rsidR="00AA6540" w:rsidRPr="006D6B01">
        <w:rPr>
          <w:rFonts w:asciiTheme="majorHAnsi" w:hAnsiTheme="majorHAnsi"/>
          <w:sz w:val="20"/>
          <w:szCs w:val="20"/>
        </w:rPr>
        <w:t xml:space="preserve">were deficient and created a precarious living situation for the alleged victims during their time in detention.  </w:t>
      </w:r>
    </w:p>
    <w:p w14:paraId="7AB2BC9D" w14:textId="77777777" w:rsidR="00B862CB" w:rsidRPr="00D155F5" w:rsidRDefault="00B862CB" w:rsidP="004311FE">
      <w:pPr>
        <w:tabs>
          <w:tab w:val="left" w:pos="360"/>
        </w:tabs>
        <w:rPr>
          <w:rFonts w:asciiTheme="majorHAnsi" w:hAnsiTheme="majorHAnsi"/>
          <w:sz w:val="20"/>
          <w:szCs w:val="20"/>
        </w:rPr>
      </w:pPr>
    </w:p>
    <w:p w14:paraId="35FAD7BC" w14:textId="28566B2B" w:rsidR="00BE16D5" w:rsidRDefault="00654855"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Pr>
          <w:rFonts w:asciiTheme="majorHAnsi" w:hAnsiTheme="majorHAnsi"/>
          <w:sz w:val="20"/>
          <w:szCs w:val="20"/>
        </w:rPr>
        <w:t xml:space="preserve">Accordingly </w:t>
      </w:r>
      <w:r w:rsidR="0023150D" w:rsidRPr="006D6B01">
        <w:rPr>
          <w:rFonts w:asciiTheme="majorHAnsi" w:hAnsiTheme="majorHAnsi"/>
          <w:sz w:val="20"/>
          <w:szCs w:val="20"/>
        </w:rPr>
        <w:t>g</w:t>
      </w:r>
      <w:r w:rsidR="00BE16D5" w:rsidRPr="006D6B01">
        <w:rPr>
          <w:rFonts w:asciiTheme="majorHAnsi" w:hAnsiTheme="majorHAnsi"/>
          <w:sz w:val="20"/>
          <w:szCs w:val="20"/>
        </w:rPr>
        <w:t xml:space="preserve">iven the gravity of the detention conditions at the Carmichael Center, the Commission considers it necessary to determine the level of suffering experienced by the alleged victims. </w:t>
      </w:r>
      <w:r w:rsidR="005E378A" w:rsidRPr="006D6B01">
        <w:rPr>
          <w:rFonts w:asciiTheme="majorHAnsi" w:hAnsiTheme="majorHAnsi"/>
          <w:sz w:val="20"/>
          <w:szCs w:val="20"/>
        </w:rPr>
        <w:t>Following consideration of the relevant standards, the Commission recognizes that many of the thresholds were met in relation to the Center</w:t>
      </w:r>
      <w:r w:rsidR="009F6A89" w:rsidRPr="006D6B01">
        <w:rPr>
          <w:rFonts w:asciiTheme="majorHAnsi" w:hAnsiTheme="majorHAnsi"/>
          <w:sz w:val="20"/>
          <w:szCs w:val="20"/>
        </w:rPr>
        <w:t>.</w:t>
      </w:r>
      <w:r w:rsidR="005E378A" w:rsidRPr="006D6B01">
        <w:rPr>
          <w:rFonts w:asciiTheme="majorHAnsi" w:hAnsiTheme="majorHAnsi"/>
          <w:sz w:val="20"/>
          <w:szCs w:val="20"/>
        </w:rPr>
        <w:t xml:space="preserve"> </w:t>
      </w:r>
      <w:r w:rsidR="00633B67" w:rsidRPr="006D6B01">
        <w:rPr>
          <w:rFonts w:asciiTheme="majorHAnsi" w:hAnsiTheme="majorHAnsi"/>
          <w:sz w:val="20"/>
          <w:szCs w:val="20"/>
        </w:rPr>
        <w:t>Overcrowding meant that detainees had to share beds and sleep on the floor, such that they lack</w:t>
      </w:r>
      <w:r w:rsidR="002D11F7" w:rsidRPr="006D6B01">
        <w:rPr>
          <w:rFonts w:asciiTheme="majorHAnsi" w:hAnsiTheme="majorHAnsi"/>
          <w:sz w:val="20"/>
          <w:szCs w:val="20"/>
        </w:rPr>
        <w:t>ed</w:t>
      </w:r>
      <w:r w:rsidR="00633B67" w:rsidRPr="006D6B01">
        <w:rPr>
          <w:rFonts w:asciiTheme="majorHAnsi" w:hAnsiTheme="majorHAnsi"/>
          <w:sz w:val="20"/>
          <w:szCs w:val="20"/>
        </w:rPr>
        <w:t xml:space="preserve"> sufficient </w:t>
      </w:r>
      <w:r w:rsidR="002D11F7" w:rsidRPr="006D6B01">
        <w:rPr>
          <w:rFonts w:asciiTheme="majorHAnsi" w:hAnsiTheme="majorHAnsi"/>
          <w:sz w:val="20"/>
          <w:szCs w:val="20"/>
        </w:rPr>
        <w:t>living space</w:t>
      </w:r>
      <w:r w:rsidR="00633B67" w:rsidRPr="006D6B01">
        <w:rPr>
          <w:rFonts w:asciiTheme="majorHAnsi" w:hAnsiTheme="majorHAnsi"/>
          <w:sz w:val="20"/>
          <w:szCs w:val="20"/>
        </w:rPr>
        <w:t xml:space="preserve">, had minimum privacy in sleeping quarters and were detained in unsanitary cells. This also meant that there was inadequate sanitation, given the limited number of toilet and shower facilities shared amongst the male and female detainee population. In addition, the alleged victims highlighted the poor quality of food by asserting that it was spoiled and had to be washed before being consumed. They also highlighted the absence of </w:t>
      </w:r>
      <w:r w:rsidR="002D11F7" w:rsidRPr="006D6B01">
        <w:rPr>
          <w:rFonts w:asciiTheme="majorHAnsi" w:hAnsiTheme="majorHAnsi"/>
          <w:sz w:val="20"/>
          <w:szCs w:val="20"/>
        </w:rPr>
        <w:t xml:space="preserve">potable </w:t>
      </w:r>
      <w:r w:rsidR="00633B67" w:rsidRPr="006D6B01">
        <w:rPr>
          <w:rFonts w:asciiTheme="majorHAnsi" w:hAnsiTheme="majorHAnsi"/>
          <w:sz w:val="20"/>
          <w:szCs w:val="20"/>
        </w:rPr>
        <w:t xml:space="preserve">water at the Center. </w:t>
      </w:r>
      <w:r w:rsidR="005E378A" w:rsidRPr="006D6B01">
        <w:rPr>
          <w:rFonts w:asciiTheme="majorHAnsi" w:hAnsiTheme="majorHAnsi"/>
          <w:sz w:val="20"/>
          <w:szCs w:val="20"/>
        </w:rPr>
        <w:t>I</w:t>
      </w:r>
      <w:r w:rsidR="007B5F1F" w:rsidRPr="006D6B01">
        <w:rPr>
          <w:rFonts w:asciiTheme="majorHAnsi" w:hAnsiTheme="majorHAnsi"/>
          <w:sz w:val="20"/>
          <w:szCs w:val="20"/>
        </w:rPr>
        <w:t xml:space="preserve">n this sense and </w:t>
      </w:r>
      <w:r w:rsidR="005E378A" w:rsidRPr="006D6B01">
        <w:rPr>
          <w:rFonts w:asciiTheme="majorHAnsi" w:hAnsiTheme="majorHAnsi"/>
          <w:sz w:val="20"/>
          <w:szCs w:val="20"/>
        </w:rPr>
        <w:t>i</w:t>
      </w:r>
      <w:r w:rsidR="00BE16D5" w:rsidRPr="006D6B01">
        <w:rPr>
          <w:rFonts w:asciiTheme="majorHAnsi" w:hAnsiTheme="majorHAnsi"/>
          <w:sz w:val="20"/>
          <w:szCs w:val="20"/>
        </w:rPr>
        <w:t xml:space="preserve">n accordance with </w:t>
      </w:r>
      <w:r w:rsidR="0023150D" w:rsidRPr="006D6B01">
        <w:rPr>
          <w:rFonts w:asciiTheme="majorHAnsi" w:hAnsiTheme="majorHAnsi"/>
          <w:sz w:val="20"/>
          <w:szCs w:val="20"/>
        </w:rPr>
        <w:t xml:space="preserve">the Inter-American standards and </w:t>
      </w:r>
      <w:r w:rsidR="00BE16D5" w:rsidRPr="006D6B01">
        <w:rPr>
          <w:rFonts w:asciiTheme="majorHAnsi" w:hAnsiTheme="majorHAnsi"/>
          <w:sz w:val="20"/>
          <w:szCs w:val="20"/>
        </w:rPr>
        <w:t xml:space="preserve">international law, the </w:t>
      </w:r>
      <w:r w:rsidR="005E378A" w:rsidRPr="006D6B01">
        <w:rPr>
          <w:rFonts w:asciiTheme="majorHAnsi" w:hAnsiTheme="majorHAnsi"/>
          <w:sz w:val="20"/>
          <w:szCs w:val="20"/>
        </w:rPr>
        <w:t xml:space="preserve">Commission considers that the </w:t>
      </w:r>
      <w:r w:rsidR="00BE16D5" w:rsidRPr="006D6B01">
        <w:rPr>
          <w:rFonts w:asciiTheme="majorHAnsi" w:hAnsiTheme="majorHAnsi"/>
          <w:sz w:val="20"/>
          <w:szCs w:val="20"/>
        </w:rPr>
        <w:t xml:space="preserve">treatment experienced by </w:t>
      </w:r>
      <w:r w:rsidR="007B5F1F" w:rsidRPr="006D6B01">
        <w:rPr>
          <w:rFonts w:asciiTheme="majorHAnsi" w:hAnsiTheme="majorHAnsi"/>
          <w:sz w:val="20"/>
          <w:szCs w:val="20"/>
        </w:rPr>
        <w:t xml:space="preserve">the alleged victims </w:t>
      </w:r>
      <w:r w:rsidR="007B5F1F" w:rsidRPr="006D6B01">
        <w:rPr>
          <w:rFonts w:asciiTheme="majorHAnsi" w:hAnsiTheme="majorHAnsi"/>
          <w:color w:val="000000" w:themeColor="text1"/>
          <w:sz w:val="20"/>
          <w:szCs w:val="20"/>
        </w:rPr>
        <w:t>constitute</w:t>
      </w:r>
      <w:r w:rsidR="007276D5">
        <w:rPr>
          <w:rFonts w:asciiTheme="majorHAnsi" w:hAnsiTheme="majorHAnsi"/>
          <w:color w:val="000000" w:themeColor="text1"/>
          <w:sz w:val="20"/>
          <w:szCs w:val="20"/>
        </w:rPr>
        <w:t>d</w:t>
      </w:r>
      <w:r w:rsidR="007B5F1F" w:rsidRPr="006D6B01">
        <w:rPr>
          <w:rFonts w:asciiTheme="majorHAnsi" w:hAnsiTheme="majorHAnsi"/>
          <w:color w:val="000000" w:themeColor="text1"/>
          <w:sz w:val="20"/>
          <w:szCs w:val="20"/>
        </w:rPr>
        <w:t xml:space="preserve"> a </w:t>
      </w:r>
      <w:r w:rsidR="007276D5">
        <w:rPr>
          <w:rFonts w:asciiTheme="majorHAnsi" w:hAnsiTheme="majorHAnsi"/>
          <w:color w:val="000000" w:themeColor="text1"/>
          <w:sz w:val="20"/>
          <w:szCs w:val="20"/>
        </w:rPr>
        <w:t>c</w:t>
      </w:r>
      <w:r w:rsidR="007B5F1F" w:rsidRPr="006D6B01">
        <w:rPr>
          <w:rFonts w:asciiTheme="majorHAnsi" w:hAnsiTheme="majorHAnsi"/>
          <w:color w:val="000000" w:themeColor="text1"/>
          <w:sz w:val="20"/>
          <w:szCs w:val="20"/>
        </w:rPr>
        <w:t xml:space="preserve">ruel, </w:t>
      </w:r>
      <w:r w:rsidR="007276D5">
        <w:rPr>
          <w:rFonts w:asciiTheme="majorHAnsi" w:hAnsiTheme="majorHAnsi"/>
          <w:color w:val="000000" w:themeColor="text1"/>
          <w:sz w:val="20"/>
          <w:szCs w:val="20"/>
        </w:rPr>
        <w:t>i</w:t>
      </w:r>
      <w:r w:rsidR="007B5F1F" w:rsidRPr="006D6B01">
        <w:rPr>
          <w:rFonts w:asciiTheme="majorHAnsi" w:hAnsiTheme="majorHAnsi"/>
          <w:color w:val="000000" w:themeColor="text1"/>
          <w:sz w:val="20"/>
          <w:szCs w:val="20"/>
        </w:rPr>
        <w:t xml:space="preserve">nhuman </w:t>
      </w:r>
      <w:r w:rsidR="007276D5">
        <w:rPr>
          <w:rFonts w:asciiTheme="majorHAnsi" w:hAnsiTheme="majorHAnsi"/>
          <w:color w:val="000000" w:themeColor="text1"/>
          <w:sz w:val="20"/>
          <w:szCs w:val="20"/>
        </w:rPr>
        <w:t>and d</w:t>
      </w:r>
      <w:r w:rsidR="007B5F1F" w:rsidRPr="006D6B01">
        <w:rPr>
          <w:rFonts w:asciiTheme="majorHAnsi" w:hAnsiTheme="majorHAnsi"/>
          <w:color w:val="000000" w:themeColor="text1"/>
          <w:sz w:val="20"/>
          <w:szCs w:val="20"/>
        </w:rPr>
        <w:t xml:space="preserve">egrading </w:t>
      </w:r>
      <w:r w:rsidR="00D7754C">
        <w:rPr>
          <w:rFonts w:asciiTheme="majorHAnsi" w:hAnsiTheme="majorHAnsi"/>
          <w:color w:val="000000" w:themeColor="text1"/>
          <w:sz w:val="20"/>
          <w:szCs w:val="20"/>
        </w:rPr>
        <w:t>t</w:t>
      </w:r>
      <w:r w:rsidR="007B5F1F" w:rsidRPr="006D6B01">
        <w:rPr>
          <w:rFonts w:asciiTheme="majorHAnsi" w:hAnsiTheme="majorHAnsi"/>
          <w:color w:val="000000" w:themeColor="text1"/>
          <w:sz w:val="20"/>
          <w:szCs w:val="20"/>
        </w:rPr>
        <w:t>reatment</w:t>
      </w:r>
      <w:r w:rsidR="006172DD" w:rsidRPr="006D6B01">
        <w:rPr>
          <w:rFonts w:asciiTheme="majorHAnsi" w:hAnsiTheme="majorHAnsi"/>
          <w:sz w:val="20"/>
          <w:szCs w:val="20"/>
        </w:rPr>
        <w:t xml:space="preserve">. </w:t>
      </w:r>
    </w:p>
    <w:p w14:paraId="46218DBC" w14:textId="77777777" w:rsidR="001C3875" w:rsidRPr="006D6B01" w:rsidRDefault="001C3875" w:rsidP="004311FE">
      <w:pPr>
        <w:tabs>
          <w:tab w:val="left" w:pos="360"/>
        </w:tabs>
      </w:pPr>
    </w:p>
    <w:p w14:paraId="09BF2215" w14:textId="77777777" w:rsidR="00F4491C" w:rsidRPr="006D6B01" w:rsidRDefault="00F4491C" w:rsidP="004311FE">
      <w:pPr>
        <w:pStyle w:val="Heading3"/>
        <w:numPr>
          <w:ilvl w:val="0"/>
          <w:numId w:val="57"/>
        </w:numPr>
        <w:tabs>
          <w:tab w:val="left" w:pos="360"/>
        </w:tabs>
        <w:ind w:left="0" w:firstLine="0"/>
      </w:pPr>
      <w:bookmarkStart w:id="24" w:name="_Toc90557416"/>
      <w:r w:rsidRPr="006D6B01">
        <w:t>Conclusion</w:t>
      </w:r>
      <w:bookmarkEnd w:id="24"/>
      <w:r w:rsidRPr="006D6B01">
        <w:t xml:space="preserve">  </w:t>
      </w:r>
    </w:p>
    <w:p w14:paraId="048B3A01" w14:textId="77777777" w:rsidR="005A5D49" w:rsidRPr="006D6B01" w:rsidRDefault="005A5D49" w:rsidP="004311FE">
      <w:pPr>
        <w:pStyle w:val="Heading3"/>
        <w:numPr>
          <w:ilvl w:val="0"/>
          <w:numId w:val="0"/>
        </w:numPr>
        <w:tabs>
          <w:tab w:val="left" w:pos="360"/>
        </w:tabs>
      </w:pPr>
    </w:p>
    <w:p w14:paraId="6C3CD895" w14:textId="165A29A4" w:rsidR="00474C71" w:rsidRPr="006D6B01" w:rsidRDefault="0026397A"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6D6B01">
        <w:rPr>
          <w:rFonts w:asciiTheme="majorHAnsi" w:hAnsiTheme="majorHAnsi"/>
          <w:sz w:val="20"/>
          <w:szCs w:val="20"/>
        </w:rPr>
        <w:t xml:space="preserve">The </w:t>
      </w:r>
      <w:r w:rsidR="00474C71" w:rsidRPr="006D6B01">
        <w:rPr>
          <w:rFonts w:asciiTheme="majorHAnsi" w:hAnsiTheme="majorHAnsi"/>
          <w:sz w:val="20"/>
          <w:szCs w:val="20"/>
        </w:rPr>
        <w:t xml:space="preserve">Commission finds that the </w:t>
      </w:r>
      <w:r w:rsidR="001E64CB" w:rsidRPr="006D6B01">
        <w:rPr>
          <w:rFonts w:asciiTheme="majorHAnsi" w:hAnsiTheme="majorHAnsi"/>
          <w:sz w:val="20"/>
          <w:szCs w:val="20"/>
        </w:rPr>
        <w:t xml:space="preserve">mass detention of Cuban and Haitian nationals at the </w:t>
      </w:r>
      <w:r w:rsidR="00BB4FCD" w:rsidRPr="006D6B01">
        <w:rPr>
          <w:rFonts w:asciiTheme="majorHAnsi" w:hAnsiTheme="majorHAnsi"/>
          <w:sz w:val="20"/>
          <w:szCs w:val="20"/>
        </w:rPr>
        <w:t xml:space="preserve">Carmichael Center </w:t>
      </w:r>
      <w:r w:rsidR="00474C71" w:rsidRPr="006D6B01">
        <w:rPr>
          <w:rFonts w:asciiTheme="majorHAnsi" w:hAnsiTheme="majorHAnsi"/>
          <w:sz w:val="20"/>
          <w:szCs w:val="20"/>
        </w:rPr>
        <w:t xml:space="preserve">by the State without a legal basis and in the absence </w:t>
      </w:r>
      <w:r w:rsidR="00474C71" w:rsidRPr="006D6B01">
        <w:rPr>
          <w:rFonts w:asciiTheme="majorHAnsi" w:hAnsiTheme="majorHAnsi"/>
          <w:color w:val="000000" w:themeColor="text1"/>
          <w:sz w:val="20"/>
          <w:szCs w:val="20"/>
        </w:rPr>
        <w:t xml:space="preserve">case‐specific evaluations in relation to each individual that considered the necessity of </w:t>
      </w:r>
      <w:r w:rsidR="00E97F65" w:rsidRPr="006D6B01">
        <w:rPr>
          <w:rFonts w:asciiTheme="majorHAnsi" w:hAnsiTheme="majorHAnsi"/>
          <w:color w:val="000000" w:themeColor="text1"/>
          <w:sz w:val="20"/>
          <w:szCs w:val="20"/>
        </w:rPr>
        <w:t xml:space="preserve">their </w:t>
      </w:r>
      <w:r w:rsidR="00474C71" w:rsidRPr="006D6B01">
        <w:rPr>
          <w:rFonts w:asciiTheme="majorHAnsi" w:hAnsiTheme="majorHAnsi"/>
          <w:color w:val="000000" w:themeColor="text1"/>
          <w:sz w:val="20"/>
          <w:szCs w:val="20"/>
        </w:rPr>
        <w:t>detention, given the exceptional nature of this measure, constitute</w:t>
      </w:r>
      <w:r w:rsidR="00141092">
        <w:rPr>
          <w:rFonts w:asciiTheme="majorHAnsi" w:hAnsiTheme="majorHAnsi"/>
          <w:color w:val="000000" w:themeColor="text1"/>
          <w:sz w:val="20"/>
          <w:szCs w:val="20"/>
        </w:rPr>
        <w:t>d</w:t>
      </w:r>
      <w:r w:rsidR="00474C71" w:rsidRPr="006D6B01">
        <w:rPr>
          <w:rFonts w:asciiTheme="majorHAnsi" w:hAnsiTheme="majorHAnsi"/>
          <w:color w:val="000000" w:themeColor="text1"/>
          <w:sz w:val="20"/>
          <w:szCs w:val="20"/>
        </w:rPr>
        <w:t xml:space="preserve"> </w:t>
      </w:r>
      <w:r w:rsidR="00DC707A">
        <w:rPr>
          <w:rFonts w:asciiTheme="majorHAnsi" w:hAnsiTheme="majorHAnsi"/>
          <w:color w:val="000000" w:themeColor="text1"/>
          <w:sz w:val="20"/>
          <w:szCs w:val="20"/>
        </w:rPr>
        <w:t xml:space="preserve">illegal and </w:t>
      </w:r>
      <w:r w:rsidR="00474C71" w:rsidRPr="006D6B01">
        <w:rPr>
          <w:rFonts w:asciiTheme="majorHAnsi" w:hAnsiTheme="majorHAnsi"/>
          <w:color w:val="000000" w:themeColor="text1"/>
          <w:sz w:val="20"/>
          <w:szCs w:val="20"/>
        </w:rPr>
        <w:t xml:space="preserve">arbitrary detention in violation of Articles I and XXV of the American Declaration. It also finds that the </w:t>
      </w:r>
      <w:r w:rsidR="00474C71" w:rsidRPr="006D6B01">
        <w:rPr>
          <w:rFonts w:asciiTheme="majorHAnsi" w:hAnsiTheme="majorHAnsi"/>
          <w:sz w:val="20"/>
          <w:szCs w:val="20"/>
        </w:rPr>
        <w:t xml:space="preserve">detention conditions experienced by the alleged victims at the </w:t>
      </w:r>
      <w:r w:rsidR="00BB4FCD" w:rsidRPr="006D6B01">
        <w:rPr>
          <w:rFonts w:asciiTheme="majorHAnsi" w:hAnsiTheme="majorHAnsi"/>
          <w:sz w:val="20"/>
          <w:szCs w:val="20"/>
        </w:rPr>
        <w:t xml:space="preserve">Carmichael Center </w:t>
      </w:r>
      <w:r w:rsidR="00474C71" w:rsidRPr="006D6B01">
        <w:rPr>
          <w:rFonts w:asciiTheme="majorHAnsi" w:hAnsiTheme="majorHAnsi"/>
          <w:sz w:val="20"/>
          <w:szCs w:val="20"/>
        </w:rPr>
        <w:t>constitute</w:t>
      </w:r>
      <w:r w:rsidR="00141092">
        <w:rPr>
          <w:rFonts w:asciiTheme="majorHAnsi" w:hAnsiTheme="majorHAnsi"/>
          <w:sz w:val="20"/>
          <w:szCs w:val="20"/>
        </w:rPr>
        <w:t>d</w:t>
      </w:r>
      <w:r w:rsidR="00474C71" w:rsidRPr="006D6B01">
        <w:rPr>
          <w:rFonts w:asciiTheme="majorHAnsi" w:hAnsiTheme="majorHAnsi"/>
          <w:sz w:val="20"/>
          <w:szCs w:val="20"/>
        </w:rPr>
        <w:t xml:space="preserve"> </w:t>
      </w:r>
      <w:r w:rsidR="00141092">
        <w:rPr>
          <w:rFonts w:asciiTheme="majorHAnsi" w:hAnsiTheme="majorHAnsi"/>
          <w:sz w:val="20"/>
          <w:szCs w:val="20"/>
        </w:rPr>
        <w:t xml:space="preserve">cruel, </w:t>
      </w:r>
      <w:r w:rsidR="00474C71" w:rsidRPr="006D6B01">
        <w:rPr>
          <w:rFonts w:asciiTheme="majorHAnsi" w:hAnsiTheme="majorHAnsi"/>
          <w:sz w:val="20"/>
          <w:szCs w:val="20"/>
        </w:rPr>
        <w:t>inhumane</w:t>
      </w:r>
      <w:r w:rsidR="00141092">
        <w:rPr>
          <w:rFonts w:asciiTheme="majorHAnsi" w:hAnsiTheme="majorHAnsi"/>
          <w:sz w:val="20"/>
          <w:szCs w:val="20"/>
        </w:rPr>
        <w:t xml:space="preserve"> and degrading</w:t>
      </w:r>
      <w:r w:rsidR="00474C71" w:rsidRPr="006D6B01">
        <w:rPr>
          <w:rFonts w:asciiTheme="majorHAnsi" w:hAnsiTheme="majorHAnsi"/>
          <w:sz w:val="20"/>
          <w:szCs w:val="20"/>
        </w:rPr>
        <w:t xml:space="preserve"> treatment</w:t>
      </w:r>
      <w:r w:rsidR="002D11F7" w:rsidRPr="006D6B01">
        <w:rPr>
          <w:rFonts w:asciiTheme="majorHAnsi" w:hAnsiTheme="majorHAnsi"/>
          <w:sz w:val="20"/>
          <w:szCs w:val="20"/>
        </w:rPr>
        <w:t xml:space="preserve"> and </w:t>
      </w:r>
      <w:r w:rsidR="00F75CEB" w:rsidRPr="006D6B01">
        <w:rPr>
          <w:rFonts w:asciiTheme="majorHAnsi" w:hAnsiTheme="majorHAnsi"/>
          <w:sz w:val="20"/>
          <w:szCs w:val="20"/>
        </w:rPr>
        <w:t>are incompatible with human dignity under the American Declaration</w:t>
      </w:r>
      <w:r w:rsidR="00474C71" w:rsidRPr="006D6B01">
        <w:rPr>
          <w:rFonts w:asciiTheme="majorHAnsi" w:hAnsiTheme="majorHAnsi"/>
          <w:sz w:val="20"/>
          <w:szCs w:val="20"/>
        </w:rPr>
        <w:t xml:space="preserve">, </w:t>
      </w:r>
      <w:r w:rsidR="002D11F7" w:rsidRPr="006D6B01">
        <w:rPr>
          <w:rFonts w:asciiTheme="majorHAnsi" w:hAnsiTheme="majorHAnsi"/>
          <w:sz w:val="20"/>
          <w:szCs w:val="20"/>
        </w:rPr>
        <w:t>in</w:t>
      </w:r>
      <w:r w:rsidR="00474C71" w:rsidRPr="006D6B01">
        <w:rPr>
          <w:rFonts w:asciiTheme="majorHAnsi" w:hAnsiTheme="majorHAnsi"/>
          <w:sz w:val="20"/>
          <w:szCs w:val="20"/>
        </w:rPr>
        <w:t xml:space="preserve"> violation of </w:t>
      </w:r>
      <w:r w:rsidR="00B153AC" w:rsidRPr="006D6B01">
        <w:rPr>
          <w:rFonts w:asciiTheme="majorHAnsi" w:hAnsiTheme="majorHAnsi"/>
          <w:sz w:val="20"/>
          <w:szCs w:val="20"/>
        </w:rPr>
        <w:t xml:space="preserve">the </w:t>
      </w:r>
      <w:r w:rsidR="00474C71" w:rsidRPr="006D6B01">
        <w:rPr>
          <w:rFonts w:asciiTheme="majorHAnsi" w:hAnsiTheme="majorHAnsi"/>
          <w:color w:val="000000" w:themeColor="text1"/>
          <w:sz w:val="20"/>
          <w:szCs w:val="20"/>
        </w:rPr>
        <w:t>Articles I and XXV of the American Declaration.</w:t>
      </w:r>
    </w:p>
    <w:p w14:paraId="754DAA03" w14:textId="77777777" w:rsidR="00A03A6C" w:rsidRPr="006D6B01" w:rsidRDefault="00A03A6C" w:rsidP="004311FE">
      <w:pPr>
        <w:tabs>
          <w:tab w:val="left" w:pos="360"/>
        </w:tabs>
      </w:pPr>
    </w:p>
    <w:p w14:paraId="3F8025DB" w14:textId="1BFC23F7" w:rsidR="0003134E" w:rsidRPr="003B6901" w:rsidRDefault="002663DD" w:rsidP="004311FE">
      <w:pPr>
        <w:pStyle w:val="Heading2"/>
        <w:tabs>
          <w:tab w:val="left" w:pos="360"/>
        </w:tabs>
        <w:ind w:left="0" w:firstLine="0"/>
        <w:rPr>
          <w:lang w:val="en-US"/>
        </w:rPr>
      </w:pPr>
      <w:bookmarkStart w:id="25" w:name="_Toc90557417"/>
      <w:r w:rsidRPr="003B6901">
        <w:rPr>
          <w:lang w:val="en-US"/>
        </w:rPr>
        <w:t>The r</w:t>
      </w:r>
      <w:r w:rsidR="005C0A95" w:rsidRPr="003B6901">
        <w:rPr>
          <w:lang w:val="en-US"/>
        </w:rPr>
        <w:t>ight to seek and receive</w:t>
      </w:r>
      <w:r w:rsidR="0003134E" w:rsidRPr="003B6901">
        <w:rPr>
          <w:lang w:val="en-US"/>
        </w:rPr>
        <w:t xml:space="preserve"> asylum</w:t>
      </w:r>
      <w:r w:rsidR="0003134E" w:rsidRPr="006D6B01">
        <w:rPr>
          <w:rStyle w:val="FootnoteReference"/>
          <w:color w:val="auto"/>
        </w:rPr>
        <w:footnoteReference w:id="117"/>
      </w:r>
      <w:r w:rsidR="005E3621" w:rsidRPr="003B6901">
        <w:rPr>
          <w:lang w:val="en-US"/>
        </w:rPr>
        <w:t>,</w:t>
      </w:r>
      <w:r w:rsidRPr="003B6901">
        <w:rPr>
          <w:lang w:val="en-US"/>
        </w:rPr>
        <w:t xml:space="preserve"> in connection with the rights of due process</w:t>
      </w:r>
      <w:r w:rsidR="005E3621" w:rsidRPr="006D6B01">
        <w:rPr>
          <w:rStyle w:val="FootnoteReference"/>
          <w:color w:val="auto"/>
        </w:rPr>
        <w:footnoteReference w:id="118"/>
      </w:r>
      <w:r w:rsidR="005C0A95" w:rsidRPr="003B6901">
        <w:rPr>
          <w:lang w:val="en-US"/>
        </w:rPr>
        <w:t xml:space="preserve">, </w:t>
      </w:r>
      <w:r w:rsidR="003D3544" w:rsidRPr="003B6901">
        <w:rPr>
          <w:lang w:val="en-US"/>
        </w:rPr>
        <w:t>and to equality under the law</w:t>
      </w:r>
      <w:r w:rsidR="003D3544" w:rsidRPr="006D6B01">
        <w:rPr>
          <w:rStyle w:val="FootnoteReference"/>
          <w:color w:val="auto"/>
        </w:rPr>
        <w:footnoteReference w:id="119"/>
      </w:r>
      <w:r w:rsidR="003D3544" w:rsidRPr="003B6901">
        <w:rPr>
          <w:lang w:val="en-US"/>
        </w:rPr>
        <w:t xml:space="preserve">, and </w:t>
      </w:r>
      <w:r w:rsidR="005C0A95" w:rsidRPr="003B6901">
        <w:rPr>
          <w:lang w:val="en-US"/>
        </w:rPr>
        <w:t xml:space="preserve">the obligation of </w:t>
      </w:r>
      <w:r w:rsidR="005C0A95" w:rsidRPr="003B6901">
        <w:rPr>
          <w:i/>
          <w:lang w:val="en-US"/>
        </w:rPr>
        <w:t>non-</w:t>
      </w:r>
      <w:proofErr w:type="gramStart"/>
      <w:r w:rsidR="005C0A95" w:rsidRPr="003B6901">
        <w:rPr>
          <w:i/>
          <w:lang w:val="en-US"/>
        </w:rPr>
        <w:t xml:space="preserve">refoulement </w:t>
      </w:r>
      <w:r w:rsidR="00613E0B" w:rsidRPr="003B6901">
        <w:rPr>
          <w:lang w:val="en-US"/>
        </w:rPr>
        <w:t>,</w:t>
      </w:r>
      <w:proofErr w:type="gramEnd"/>
      <w:r w:rsidR="00613E0B" w:rsidRPr="003B6901">
        <w:rPr>
          <w:lang w:val="en-US"/>
        </w:rPr>
        <w:t xml:space="preserve"> </w:t>
      </w:r>
      <w:r w:rsidR="0003134E" w:rsidRPr="003B6901">
        <w:rPr>
          <w:lang w:val="en-US"/>
        </w:rPr>
        <w:t>of the American Declaration</w:t>
      </w:r>
      <w:bookmarkEnd w:id="25"/>
    </w:p>
    <w:p w14:paraId="32392AA3" w14:textId="77777777" w:rsidR="002620C2" w:rsidRPr="006D6B01" w:rsidRDefault="002620C2" w:rsidP="004311FE">
      <w:pPr>
        <w:tabs>
          <w:tab w:val="left" w:pos="360"/>
        </w:tabs>
        <w:rPr>
          <w:rFonts w:ascii="Cambria" w:hAnsi="Cambria"/>
          <w:sz w:val="20"/>
          <w:szCs w:val="20"/>
        </w:rPr>
      </w:pPr>
    </w:p>
    <w:p w14:paraId="56256E27" w14:textId="77777777" w:rsidR="005C0A95" w:rsidRPr="007B234B" w:rsidRDefault="005C0A95" w:rsidP="004311FE">
      <w:pPr>
        <w:pStyle w:val="Heading3"/>
        <w:numPr>
          <w:ilvl w:val="0"/>
          <w:numId w:val="63"/>
        </w:numPr>
        <w:tabs>
          <w:tab w:val="left" w:pos="360"/>
        </w:tabs>
        <w:ind w:left="0" w:firstLine="0"/>
      </w:pPr>
      <w:bookmarkStart w:id="26" w:name="_Toc90557418"/>
      <w:r w:rsidRPr="007B234B">
        <w:t>The Inter-American standards regarding</w:t>
      </w:r>
      <w:r w:rsidR="006B35BB" w:rsidRPr="007B234B">
        <w:t xml:space="preserve"> human mobility, and equality under the law</w:t>
      </w:r>
      <w:bookmarkEnd w:id="26"/>
    </w:p>
    <w:p w14:paraId="74FFBE2F" w14:textId="77777777" w:rsidR="005C0A95" w:rsidRPr="006D6B01" w:rsidRDefault="005C0A95" w:rsidP="004311FE">
      <w:pPr>
        <w:tabs>
          <w:tab w:val="left" w:pos="360"/>
        </w:tabs>
      </w:pPr>
    </w:p>
    <w:p w14:paraId="1230001F" w14:textId="7AAF3559" w:rsidR="009C3A55" w:rsidRPr="006D6B01" w:rsidRDefault="00184EC1"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6D6B01">
        <w:rPr>
          <w:rFonts w:asciiTheme="majorHAnsi" w:hAnsiTheme="majorHAnsi"/>
          <w:sz w:val="20"/>
          <w:szCs w:val="20"/>
        </w:rPr>
        <w:t xml:space="preserve">The preamble of the American Declaration state that “the international protection of the rights of </w:t>
      </w:r>
      <w:r w:rsidR="00C37E47" w:rsidRPr="006D6B01">
        <w:rPr>
          <w:rFonts w:asciiTheme="majorHAnsi" w:hAnsiTheme="majorHAnsi"/>
          <w:sz w:val="20"/>
          <w:szCs w:val="20"/>
        </w:rPr>
        <w:t>[persons</w:t>
      </w:r>
      <w:r w:rsidR="001307BB" w:rsidRPr="006D6B01">
        <w:rPr>
          <w:rFonts w:asciiTheme="majorHAnsi" w:hAnsiTheme="majorHAnsi"/>
          <w:sz w:val="20"/>
          <w:szCs w:val="20"/>
        </w:rPr>
        <w:t>]</w:t>
      </w:r>
      <w:r w:rsidRPr="006D6B01">
        <w:rPr>
          <w:rFonts w:asciiTheme="majorHAnsi" w:hAnsiTheme="majorHAnsi"/>
          <w:sz w:val="20"/>
          <w:szCs w:val="20"/>
        </w:rPr>
        <w:t xml:space="preserve"> should be the principal guide of an evolving American law”. In addition, </w:t>
      </w:r>
      <w:r w:rsidR="00C37E47" w:rsidRPr="006D6B01">
        <w:rPr>
          <w:rFonts w:asciiTheme="majorHAnsi" w:hAnsiTheme="majorHAnsi"/>
          <w:sz w:val="20"/>
          <w:szCs w:val="20"/>
        </w:rPr>
        <w:t xml:space="preserve">based on the developments of international law </w:t>
      </w:r>
      <w:r w:rsidRPr="006D6B01">
        <w:rPr>
          <w:rFonts w:asciiTheme="majorHAnsi" w:hAnsiTheme="majorHAnsi"/>
          <w:sz w:val="20"/>
          <w:szCs w:val="20"/>
        </w:rPr>
        <w:t>the right to seek and receive asylum (</w:t>
      </w:r>
      <w:r w:rsidR="009C3A55" w:rsidRPr="006D6B01">
        <w:rPr>
          <w:rFonts w:asciiTheme="majorHAnsi" w:hAnsiTheme="majorHAnsi"/>
          <w:sz w:val="20"/>
          <w:szCs w:val="20"/>
        </w:rPr>
        <w:t>Article XXVII</w:t>
      </w:r>
      <w:r w:rsidRPr="006D6B01">
        <w:rPr>
          <w:rFonts w:asciiTheme="majorHAnsi" w:hAnsiTheme="majorHAnsi"/>
          <w:sz w:val="20"/>
          <w:szCs w:val="20"/>
        </w:rPr>
        <w:t>)</w:t>
      </w:r>
      <w:r w:rsidR="009C3A55" w:rsidRPr="006D6B01">
        <w:rPr>
          <w:rStyle w:val="FootnoteReference"/>
          <w:rFonts w:asciiTheme="majorHAnsi" w:hAnsiTheme="majorHAnsi"/>
          <w:sz w:val="20"/>
          <w:szCs w:val="20"/>
        </w:rPr>
        <w:footnoteReference w:id="120"/>
      </w:r>
      <w:r w:rsidR="00C37E47" w:rsidRPr="006D6B01">
        <w:rPr>
          <w:rFonts w:asciiTheme="majorHAnsi" w:hAnsiTheme="majorHAnsi"/>
          <w:sz w:val="20"/>
          <w:szCs w:val="20"/>
        </w:rPr>
        <w:t xml:space="preserve"> </w:t>
      </w:r>
      <w:r w:rsidR="001307BB" w:rsidRPr="006D6B01">
        <w:rPr>
          <w:rFonts w:asciiTheme="majorHAnsi" w:hAnsiTheme="majorHAnsi"/>
          <w:sz w:val="20"/>
          <w:szCs w:val="20"/>
        </w:rPr>
        <w:t xml:space="preserve">involves that </w:t>
      </w:r>
      <w:r w:rsidR="00031AAC" w:rsidRPr="006D6B01">
        <w:rPr>
          <w:rFonts w:asciiTheme="majorHAnsi" w:hAnsiTheme="majorHAnsi"/>
          <w:sz w:val="20"/>
          <w:szCs w:val="20"/>
        </w:rPr>
        <w:t xml:space="preserve">the request for </w:t>
      </w:r>
      <w:r w:rsidR="00031AAC" w:rsidRPr="006D6B01">
        <w:rPr>
          <w:rFonts w:asciiTheme="majorHAnsi" w:hAnsiTheme="majorHAnsi"/>
          <w:sz w:val="20"/>
          <w:szCs w:val="20"/>
        </w:rPr>
        <w:lastRenderedPageBreak/>
        <w:t>international protection must</w:t>
      </w:r>
      <w:r w:rsidR="001307BB" w:rsidRPr="006D6B01">
        <w:rPr>
          <w:rFonts w:asciiTheme="majorHAnsi" w:hAnsiTheme="majorHAnsi"/>
          <w:sz w:val="20"/>
          <w:szCs w:val="20"/>
        </w:rPr>
        <w:t xml:space="preserve"> </w:t>
      </w:r>
      <w:r w:rsidR="00031AAC" w:rsidRPr="006D6B01">
        <w:rPr>
          <w:rFonts w:asciiTheme="majorHAnsi" w:hAnsiTheme="majorHAnsi"/>
          <w:sz w:val="20"/>
          <w:szCs w:val="20"/>
        </w:rPr>
        <w:t xml:space="preserve">be </w:t>
      </w:r>
      <w:r w:rsidR="001307BB" w:rsidRPr="006D6B01">
        <w:rPr>
          <w:rFonts w:asciiTheme="majorHAnsi" w:hAnsiTheme="majorHAnsi"/>
          <w:sz w:val="20"/>
          <w:szCs w:val="20"/>
        </w:rPr>
        <w:t xml:space="preserve">substantiated </w:t>
      </w:r>
      <w:r w:rsidR="00031AAC" w:rsidRPr="006D6B01">
        <w:rPr>
          <w:rFonts w:asciiTheme="majorHAnsi" w:hAnsiTheme="majorHAnsi"/>
          <w:sz w:val="20"/>
          <w:szCs w:val="20"/>
        </w:rPr>
        <w:t xml:space="preserve">in accordance </w:t>
      </w:r>
      <w:r w:rsidR="001307BB" w:rsidRPr="006D6B01">
        <w:rPr>
          <w:rFonts w:asciiTheme="majorHAnsi" w:hAnsiTheme="majorHAnsi"/>
          <w:sz w:val="20"/>
          <w:szCs w:val="20"/>
        </w:rPr>
        <w:t>with</w:t>
      </w:r>
      <w:r w:rsidR="00031AAC" w:rsidRPr="006D6B01">
        <w:rPr>
          <w:rFonts w:asciiTheme="majorHAnsi" w:hAnsiTheme="majorHAnsi"/>
          <w:sz w:val="20"/>
          <w:szCs w:val="20"/>
        </w:rPr>
        <w:t xml:space="preserve"> </w:t>
      </w:r>
      <w:r w:rsidR="00C37E47" w:rsidRPr="006D6B01">
        <w:rPr>
          <w:rFonts w:asciiTheme="majorHAnsi" w:hAnsiTheme="majorHAnsi"/>
          <w:sz w:val="20"/>
          <w:szCs w:val="20"/>
        </w:rPr>
        <w:t xml:space="preserve">the </w:t>
      </w:r>
      <w:r w:rsidR="00031AAC" w:rsidRPr="006D6B01">
        <w:rPr>
          <w:rFonts w:asciiTheme="majorHAnsi" w:hAnsiTheme="majorHAnsi"/>
          <w:sz w:val="20"/>
          <w:szCs w:val="20"/>
        </w:rPr>
        <w:t>rules</w:t>
      </w:r>
      <w:r w:rsidR="001307BB" w:rsidRPr="006D6B01">
        <w:rPr>
          <w:rFonts w:asciiTheme="majorHAnsi" w:hAnsiTheme="majorHAnsi"/>
          <w:sz w:val="20"/>
          <w:szCs w:val="20"/>
        </w:rPr>
        <w:t xml:space="preserve"> of due process in</w:t>
      </w:r>
      <w:r w:rsidR="00031AAC" w:rsidRPr="006D6B01">
        <w:rPr>
          <w:rFonts w:asciiTheme="majorHAnsi" w:hAnsiTheme="majorHAnsi"/>
          <w:sz w:val="20"/>
          <w:szCs w:val="20"/>
        </w:rPr>
        <w:t xml:space="preserve"> order to determine whether</w:t>
      </w:r>
      <w:r w:rsidR="001307BB" w:rsidRPr="006D6B01">
        <w:rPr>
          <w:rFonts w:asciiTheme="majorHAnsi" w:hAnsiTheme="majorHAnsi"/>
          <w:sz w:val="20"/>
          <w:szCs w:val="20"/>
        </w:rPr>
        <w:t xml:space="preserve"> </w:t>
      </w:r>
      <w:r w:rsidR="00031AAC" w:rsidRPr="006D6B01">
        <w:rPr>
          <w:rFonts w:asciiTheme="majorHAnsi" w:hAnsiTheme="majorHAnsi"/>
          <w:sz w:val="20"/>
          <w:szCs w:val="20"/>
        </w:rPr>
        <w:t xml:space="preserve">applicants </w:t>
      </w:r>
      <w:r w:rsidR="001307BB" w:rsidRPr="006D6B01">
        <w:rPr>
          <w:rFonts w:asciiTheme="majorHAnsi" w:hAnsiTheme="majorHAnsi"/>
          <w:sz w:val="20"/>
          <w:szCs w:val="20"/>
        </w:rPr>
        <w:t xml:space="preserve">met the criteria recognized by the international instruments to </w:t>
      </w:r>
      <w:r w:rsidR="00C37E47" w:rsidRPr="006D6B01">
        <w:rPr>
          <w:rFonts w:asciiTheme="majorHAnsi" w:hAnsiTheme="majorHAnsi"/>
          <w:sz w:val="20"/>
          <w:szCs w:val="20"/>
        </w:rPr>
        <w:t>be granted with</w:t>
      </w:r>
      <w:r w:rsidR="001307BB" w:rsidRPr="006D6B01">
        <w:rPr>
          <w:rFonts w:asciiTheme="majorHAnsi" w:hAnsiTheme="majorHAnsi"/>
          <w:sz w:val="20"/>
          <w:szCs w:val="20"/>
        </w:rPr>
        <w:t xml:space="preserve"> the international protection</w:t>
      </w:r>
      <w:r w:rsidR="009D1E54" w:rsidRPr="006D6B01">
        <w:rPr>
          <w:rStyle w:val="FootnoteReference"/>
          <w:rFonts w:asciiTheme="majorHAnsi" w:hAnsiTheme="majorHAnsi"/>
          <w:sz w:val="20"/>
          <w:szCs w:val="20"/>
        </w:rPr>
        <w:footnoteReference w:id="121"/>
      </w:r>
      <w:r w:rsidR="00DD54D2" w:rsidRPr="006D6B01">
        <w:rPr>
          <w:rFonts w:asciiTheme="majorHAnsi" w:hAnsiTheme="majorHAnsi"/>
          <w:sz w:val="20"/>
          <w:szCs w:val="20"/>
        </w:rPr>
        <w:t>. T</w:t>
      </w:r>
      <w:r w:rsidR="00031AAC" w:rsidRPr="006D6B01">
        <w:rPr>
          <w:rFonts w:asciiTheme="majorHAnsi" w:hAnsiTheme="majorHAnsi"/>
          <w:sz w:val="20"/>
          <w:szCs w:val="20"/>
        </w:rPr>
        <w:t>he IACHR co</w:t>
      </w:r>
      <w:r w:rsidR="009D1E54" w:rsidRPr="006D6B01">
        <w:rPr>
          <w:rFonts w:asciiTheme="majorHAnsi" w:hAnsiTheme="majorHAnsi"/>
          <w:sz w:val="20"/>
          <w:szCs w:val="20"/>
        </w:rPr>
        <w:t xml:space="preserve">nsiders that to comply with these </w:t>
      </w:r>
      <w:r w:rsidR="00031AAC" w:rsidRPr="006D6B01">
        <w:rPr>
          <w:rFonts w:asciiTheme="majorHAnsi" w:hAnsiTheme="majorHAnsi"/>
          <w:sz w:val="20"/>
          <w:szCs w:val="20"/>
        </w:rPr>
        <w:t xml:space="preserve">obligations the States must adopt adequate </w:t>
      </w:r>
      <w:r w:rsidR="009D1E54" w:rsidRPr="006D6B01">
        <w:rPr>
          <w:rFonts w:asciiTheme="majorHAnsi" w:hAnsiTheme="majorHAnsi"/>
          <w:sz w:val="20"/>
          <w:szCs w:val="20"/>
        </w:rPr>
        <w:t xml:space="preserve">legislation not only </w:t>
      </w:r>
      <w:r w:rsidR="00C37E47" w:rsidRPr="006D6B01">
        <w:rPr>
          <w:rFonts w:asciiTheme="majorHAnsi" w:hAnsiTheme="majorHAnsi"/>
          <w:sz w:val="20"/>
          <w:szCs w:val="20"/>
        </w:rPr>
        <w:t xml:space="preserve">formally </w:t>
      </w:r>
      <w:r w:rsidR="009D1E54" w:rsidRPr="006D6B01">
        <w:rPr>
          <w:rFonts w:asciiTheme="majorHAnsi" w:hAnsiTheme="majorHAnsi"/>
          <w:sz w:val="20"/>
          <w:szCs w:val="20"/>
        </w:rPr>
        <w:t>recognizing the right to seek a</w:t>
      </w:r>
      <w:r w:rsidR="00C37E47" w:rsidRPr="006D6B01">
        <w:rPr>
          <w:rFonts w:asciiTheme="majorHAnsi" w:hAnsiTheme="majorHAnsi"/>
          <w:sz w:val="20"/>
          <w:szCs w:val="20"/>
        </w:rPr>
        <w:t>nd</w:t>
      </w:r>
      <w:r w:rsidR="00B40F5A">
        <w:rPr>
          <w:rFonts w:asciiTheme="majorHAnsi" w:hAnsiTheme="majorHAnsi"/>
          <w:sz w:val="20"/>
          <w:szCs w:val="20"/>
        </w:rPr>
        <w:t xml:space="preserve"> receive</w:t>
      </w:r>
      <w:r w:rsidR="00C37E47" w:rsidRPr="006D6B01">
        <w:rPr>
          <w:rFonts w:asciiTheme="majorHAnsi" w:hAnsiTheme="majorHAnsi"/>
          <w:sz w:val="20"/>
          <w:szCs w:val="20"/>
        </w:rPr>
        <w:t xml:space="preserve"> asylum but also enabling the necessary administrative and judiciary procedures to </w:t>
      </w:r>
      <w:r w:rsidR="00DD54D2" w:rsidRPr="006D6B01">
        <w:rPr>
          <w:rFonts w:asciiTheme="majorHAnsi" w:hAnsiTheme="majorHAnsi"/>
          <w:sz w:val="20"/>
          <w:szCs w:val="20"/>
        </w:rPr>
        <w:t xml:space="preserve">fully </w:t>
      </w:r>
      <w:r w:rsidR="00C37E47" w:rsidRPr="006D6B01">
        <w:rPr>
          <w:rFonts w:asciiTheme="majorHAnsi" w:hAnsiTheme="majorHAnsi"/>
          <w:sz w:val="20"/>
          <w:szCs w:val="20"/>
        </w:rPr>
        <w:t xml:space="preserve">ensure the </w:t>
      </w:r>
      <w:r w:rsidR="00DD54D2" w:rsidRPr="006D6B01">
        <w:rPr>
          <w:rFonts w:asciiTheme="majorHAnsi" w:hAnsiTheme="majorHAnsi"/>
          <w:sz w:val="20"/>
          <w:szCs w:val="20"/>
        </w:rPr>
        <w:t>effectiveness of the right, which includes in turn to derogate domestic legislation and/or internationa</w:t>
      </w:r>
      <w:r w:rsidR="00B40F5A">
        <w:rPr>
          <w:rFonts w:asciiTheme="majorHAnsi" w:hAnsiTheme="majorHAnsi"/>
          <w:sz w:val="20"/>
          <w:szCs w:val="20"/>
        </w:rPr>
        <w:t>l agreements that may endanger</w:t>
      </w:r>
      <w:r w:rsidR="00DD54D2" w:rsidRPr="006D6B01">
        <w:rPr>
          <w:rFonts w:asciiTheme="majorHAnsi" w:hAnsiTheme="majorHAnsi"/>
          <w:sz w:val="20"/>
          <w:szCs w:val="20"/>
        </w:rPr>
        <w:t xml:space="preserve"> the realization of the mobility rights. </w:t>
      </w:r>
    </w:p>
    <w:p w14:paraId="5681603B" w14:textId="77777777" w:rsidR="0076498B" w:rsidRPr="006D6B01" w:rsidRDefault="0076498B" w:rsidP="004311F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p>
    <w:p w14:paraId="776528BC" w14:textId="201D6F45" w:rsidR="000F3CD9" w:rsidRPr="009B05CB" w:rsidRDefault="0076498B"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color w:val="000000" w:themeColor="text1"/>
          <w:sz w:val="20"/>
          <w:szCs w:val="20"/>
        </w:rPr>
      </w:pPr>
      <w:r w:rsidRPr="006D6B01">
        <w:rPr>
          <w:rFonts w:asciiTheme="majorHAnsi" w:hAnsiTheme="majorHAnsi"/>
          <w:sz w:val="20"/>
          <w:szCs w:val="20"/>
        </w:rPr>
        <w:t xml:space="preserve">Accordingly, </w:t>
      </w:r>
      <w:r w:rsidR="00C37F53" w:rsidRPr="006D6B01">
        <w:rPr>
          <w:rFonts w:asciiTheme="majorHAnsi" w:hAnsiTheme="majorHAnsi"/>
          <w:sz w:val="20"/>
          <w:szCs w:val="20"/>
        </w:rPr>
        <w:t>the organs of the Inter-American</w:t>
      </w:r>
      <w:r w:rsidR="00F11B31" w:rsidRPr="006D6B01">
        <w:rPr>
          <w:rFonts w:asciiTheme="majorHAnsi" w:hAnsiTheme="majorHAnsi"/>
          <w:sz w:val="20"/>
          <w:szCs w:val="20"/>
        </w:rPr>
        <w:t xml:space="preserve"> system</w:t>
      </w:r>
      <w:r w:rsidR="00C37F53" w:rsidRPr="006D6B01">
        <w:rPr>
          <w:rFonts w:asciiTheme="majorHAnsi" w:hAnsiTheme="majorHAnsi"/>
          <w:sz w:val="20"/>
          <w:szCs w:val="20"/>
        </w:rPr>
        <w:t xml:space="preserve">, </w:t>
      </w:r>
      <w:r w:rsidR="00AD2EC2">
        <w:rPr>
          <w:rFonts w:asciiTheme="majorHAnsi" w:hAnsiTheme="majorHAnsi"/>
          <w:sz w:val="20"/>
          <w:szCs w:val="20"/>
        </w:rPr>
        <w:t>which are in accordance</w:t>
      </w:r>
      <w:r w:rsidR="008E6B02">
        <w:rPr>
          <w:rFonts w:asciiTheme="majorHAnsi" w:hAnsiTheme="majorHAnsi"/>
          <w:sz w:val="20"/>
          <w:szCs w:val="20"/>
        </w:rPr>
        <w:t xml:space="preserve"> with </w:t>
      </w:r>
      <w:r w:rsidR="00C37F53" w:rsidRPr="006D6B01">
        <w:rPr>
          <w:rFonts w:asciiTheme="majorHAnsi" w:hAnsiTheme="majorHAnsi"/>
          <w:sz w:val="20"/>
          <w:szCs w:val="20"/>
        </w:rPr>
        <w:t>th</w:t>
      </w:r>
      <w:r w:rsidR="00AE7F3E" w:rsidRPr="006D6B01">
        <w:rPr>
          <w:rFonts w:asciiTheme="majorHAnsi" w:hAnsiTheme="majorHAnsi"/>
          <w:sz w:val="20"/>
          <w:szCs w:val="20"/>
        </w:rPr>
        <w:t xml:space="preserve">e UNHCR guidelines and criteria, </w:t>
      </w:r>
      <w:r w:rsidR="00C37F53" w:rsidRPr="006D6B01">
        <w:rPr>
          <w:rFonts w:asciiTheme="majorHAnsi" w:hAnsiTheme="majorHAnsi"/>
          <w:sz w:val="20"/>
          <w:szCs w:val="20"/>
        </w:rPr>
        <w:t xml:space="preserve">hold </w:t>
      </w:r>
      <w:r w:rsidR="00D614B9" w:rsidRPr="006D6B01">
        <w:rPr>
          <w:rFonts w:asciiTheme="majorHAnsi" w:hAnsiTheme="majorHAnsi"/>
          <w:sz w:val="20"/>
          <w:szCs w:val="20"/>
        </w:rPr>
        <w:t xml:space="preserve">that the </w:t>
      </w:r>
      <w:r w:rsidR="00AE7F3E" w:rsidRPr="006D6B01">
        <w:rPr>
          <w:rFonts w:asciiTheme="majorHAnsi" w:hAnsiTheme="majorHAnsi"/>
          <w:sz w:val="20"/>
          <w:szCs w:val="20"/>
        </w:rPr>
        <w:t xml:space="preserve">proceedings to determine </w:t>
      </w:r>
      <w:r w:rsidR="00F11B31" w:rsidRPr="006D6B01">
        <w:rPr>
          <w:rFonts w:asciiTheme="majorHAnsi" w:hAnsiTheme="majorHAnsi"/>
          <w:sz w:val="20"/>
          <w:szCs w:val="20"/>
        </w:rPr>
        <w:t>refugee</w:t>
      </w:r>
      <w:r w:rsidR="00AE7F3E" w:rsidRPr="006D6B01">
        <w:rPr>
          <w:rFonts w:asciiTheme="majorHAnsi" w:hAnsiTheme="majorHAnsi"/>
          <w:sz w:val="20"/>
          <w:szCs w:val="20"/>
        </w:rPr>
        <w:t xml:space="preserve"> status </w:t>
      </w:r>
      <w:r w:rsidR="00D614B9" w:rsidRPr="006D6B01">
        <w:rPr>
          <w:rFonts w:asciiTheme="majorHAnsi" w:hAnsiTheme="majorHAnsi"/>
          <w:sz w:val="20"/>
          <w:szCs w:val="20"/>
        </w:rPr>
        <w:t>must include</w:t>
      </w:r>
      <w:r w:rsidR="00C772E6" w:rsidRPr="006D6B01">
        <w:rPr>
          <w:rFonts w:asciiTheme="majorHAnsi" w:hAnsiTheme="majorHAnsi"/>
          <w:color w:val="000000" w:themeColor="text1"/>
          <w:sz w:val="20"/>
          <w:szCs w:val="20"/>
        </w:rPr>
        <w:t xml:space="preserve"> </w:t>
      </w:r>
      <w:r w:rsidR="00AD2EC2">
        <w:rPr>
          <w:rFonts w:asciiTheme="majorHAnsi" w:hAnsiTheme="majorHAnsi"/>
          <w:color w:val="000000" w:themeColor="text1"/>
          <w:sz w:val="20"/>
          <w:szCs w:val="20"/>
        </w:rPr>
        <w:t xml:space="preserve">the following </w:t>
      </w:r>
      <w:r w:rsidR="00C772E6" w:rsidRPr="006D6B01">
        <w:rPr>
          <w:rFonts w:asciiTheme="majorHAnsi" w:hAnsiTheme="majorHAnsi"/>
          <w:color w:val="000000" w:themeColor="text1"/>
          <w:sz w:val="20"/>
          <w:szCs w:val="20"/>
        </w:rPr>
        <w:t>key procedural guarantees</w:t>
      </w:r>
      <w:r w:rsidR="000F3CD9" w:rsidRPr="006D6B01">
        <w:rPr>
          <w:rFonts w:asciiTheme="majorHAnsi" w:hAnsiTheme="majorHAnsi"/>
          <w:color w:val="000000" w:themeColor="text1"/>
          <w:sz w:val="20"/>
          <w:szCs w:val="20"/>
        </w:rPr>
        <w:t>:</w:t>
      </w:r>
      <w:r w:rsidR="000F3CD9" w:rsidRPr="006D6B01">
        <w:rPr>
          <w:rStyle w:val="FootnoteReference"/>
          <w:rFonts w:asciiTheme="majorHAnsi" w:hAnsiTheme="majorHAnsi"/>
          <w:color w:val="000000" w:themeColor="text1"/>
          <w:sz w:val="20"/>
          <w:szCs w:val="20"/>
          <w:lang w:val="es-ES_tradnl"/>
        </w:rPr>
        <w:footnoteReference w:id="122"/>
      </w:r>
    </w:p>
    <w:p w14:paraId="36997BCE" w14:textId="77777777" w:rsidR="000F3CD9" w:rsidRPr="009B05CB" w:rsidRDefault="000F3CD9" w:rsidP="004311F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color w:val="000000" w:themeColor="text1"/>
          <w:sz w:val="20"/>
          <w:szCs w:val="20"/>
        </w:rPr>
      </w:pPr>
    </w:p>
    <w:p w14:paraId="16507AA4" w14:textId="35849C4E" w:rsidR="000F3CD9" w:rsidRPr="004311FE" w:rsidRDefault="00D614B9" w:rsidP="004311F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color w:val="000000" w:themeColor="text1"/>
          <w:sz w:val="18"/>
          <w:szCs w:val="18"/>
        </w:rPr>
      </w:pPr>
      <w:r w:rsidRPr="004311FE">
        <w:rPr>
          <w:rFonts w:asciiTheme="majorHAnsi" w:hAnsiTheme="majorHAnsi"/>
          <w:color w:val="000000" w:themeColor="text1"/>
          <w:sz w:val="18"/>
          <w:szCs w:val="18"/>
        </w:rPr>
        <w:t>the right to prior notification in detail of the procedure for determining their legal status and, in the case of anyone who is detained, to be informed of the reasons for their detention and to be promptly notified of the charge or charges against them;</w:t>
      </w:r>
    </w:p>
    <w:p w14:paraId="15C402E4" w14:textId="38FE8352" w:rsidR="006E736C" w:rsidRPr="004311FE" w:rsidRDefault="006E736C" w:rsidP="004311F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rPr>
          <w:rFonts w:asciiTheme="majorHAnsi" w:eastAsia="Times New Roman" w:hAnsiTheme="majorHAnsi"/>
          <w:sz w:val="18"/>
          <w:szCs w:val="18"/>
          <w:bdr w:val="none" w:sz="0" w:space="0" w:color="auto"/>
        </w:rPr>
      </w:pPr>
      <w:r w:rsidRPr="004311FE">
        <w:rPr>
          <w:rFonts w:asciiTheme="majorHAnsi" w:eastAsia="Times New Roman" w:hAnsiTheme="majorHAnsi"/>
          <w:sz w:val="18"/>
          <w:szCs w:val="18"/>
          <w:bdr w:val="none" w:sz="0" w:space="0" w:color="auto"/>
        </w:rPr>
        <w:t>the right to receive the necessary guidance concerning the procedure to be followed, in words and in a way they can understand and, if appropriate, with the opportunity to contact UNHCR;</w:t>
      </w:r>
    </w:p>
    <w:p w14:paraId="2FB11F9B" w14:textId="36371232" w:rsidR="000F3CD9" w:rsidRPr="004311FE" w:rsidRDefault="000F3CD9" w:rsidP="004311F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rPr>
          <w:rFonts w:asciiTheme="majorHAnsi" w:eastAsia="Times New Roman" w:hAnsiTheme="majorHAnsi"/>
          <w:sz w:val="18"/>
          <w:szCs w:val="18"/>
          <w:bdr w:val="none" w:sz="0" w:space="0" w:color="auto"/>
        </w:rPr>
      </w:pPr>
      <w:r w:rsidRPr="004311FE">
        <w:rPr>
          <w:rFonts w:asciiTheme="majorHAnsi" w:eastAsia="Times New Roman" w:hAnsiTheme="majorHAnsi"/>
          <w:sz w:val="18"/>
          <w:szCs w:val="18"/>
          <w:bdr w:val="none" w:sz="0" w:space="0" w:color="auto"/>
        </w:rPr>
        <w:t xml:space="preserve">the right of any person detained to be brought promptly before a judge or other officer authorized by law to exercise judicial power and to a trial within a reasonable time or to be released without prejudice to the continuation of the proceedings. Their release may be subject to guarantees to </w:t>
      </w:r>
      <w:r w:rsidR="005D6859" w:rsidRPr="004311FE">
        <w:rPr>
          <w:rFonts w:asciiTheme="majorHAnsi" w:eastAsia="Times New Roman" w:hAnsiTheme="majorHAnsi"/>
          <w:sz w:val="18"/>
          <w:szCs w:val="18"/>
          <w:bdr w:val="none" w:sz="0" w:space="0" w:color="auto"/>
        </w:rPr>
        <w:t xml:space="preserve">assure his appearance for trial; </w:t>
      </w:r>
    </w:p>
    <w:p w14:paraId="3D4AE879" w14:textId="1E8F2BF6" w:rsidR="000F3CD9" w:rsidRPr="004311FE" w:rsidRDefault="000F3CD9" w:rsidP="004311F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rPr>
          <w:rFonts w:asciiTheme="majorHAnsi" w:eastAsia="Times New Roman" w:hAnsiTheme="majorHAnsi"/>
          <w:sz w:val="18"/>
          <w:szCs w:val="18"/>
          <w:bdr w:val="none" w:sz="0" w:space="0" w:color="auto"/>
        </w:rPr>
      </w:pPr>
      <w:r w:rsidRPr="004311FE">
        <w:rPr>
          <w:rFonts w:asciiTheme="majorHAnsi" w:eastAsia="Times New Roman" w:hAnsiTheme="majorHAnsi"/>
          <w:sz w:val="18"/>
          <w:szCs w:val="18"/>
          <w:bdr w:val="none" w:sz="0" w:space="0" w:color="auto"/>
        </w:rPr>
        <w:t>the right to a hearing without delay, to adequate time and means for the preparation of their defense, and to meet freely an</w:t>
      </w:r>
      <w:r w:rsidR="005D6859" w:rsidRPr="004311FE">
        <w:rPr>
          <w:rFonts w:asciiTheme="majorHAnsi" w:eastAsia="Times New Roman" w:hAnsiTheme="majorHAnsi"/>
          <w:sz w:val="18"/>
          <w:szCs w:val="18"/>
          <w:bdr w:val="none" w:sz="0" w:space="0" w:color="auto"/>
        </w:rPr>
        <w:t xml:space="preserve">d privately with their counsel; </w:t>
      </w:r>
    </w:p>
    <w:p w14:paraId="31AD5FDC" w14:textId="61533C25" w:rsidR="006E736C" w:rsidRPr="004311FE" w:rsidRDefault="006E736C" w:rsidP="004311F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rPr>
          <w:rFonts w:asciiTheme="majorHAnsi" w:eastAsia="Times New Roman" w:hAnsiTheme="majorHAnsi"/>
          <w:sz w:val="18"/>
          <w:szCs w:val="18"/>
          <w:bdr w:val="none" w:sz="0" w:space="0" w:color="auto"/>
        </w:rPr>
      </w:pPr>
      <w:r w:rsidRPr="004311FE">
        <w:rPr>
          <w:rFonts w:asciiTheme="majorHAnsi" w:eastAsia="Times New Roman" w:hAnsiTheme="majorHAnsi"/>
          <w:sz w:val="18"/>
          <w:szCs w:val="18"/>
          <w:bdr w:val="none" w:sz="0" w:space="0" w:color="auto"/>
        </w:rPr>
        <w:t xml:space="preserve">the right that the </w:t>
      </w:r>
      <w:r w:rsidR="003A064A" w:rsidRPr="004311FE">
        <w:rPr>
          <w:rFonts w:asciiTheme="majorHAnsi" w:eastAsia="Times New Roman" w:hAnsiTheme="majorHAnsi"/>
          <w:sz w:val="18"/>
          <w:szCs w:val="18"/>
          <w:bdr w:val="none" w:sz="0" w:space="0" w:color="auto"/>
        </w:rPr>
        <w:t>re</w:t>
      </w:r>
      <w:r w:rsidRPr="004311FE">
        <w:rPr>
          <w:rFonts w:asciiTheme="majorHAnsi" w:eastAsia="Times New Roman" w:hAnsiTheme="majorHAnsi"/>
          <w:sz w:val="18"/>
          <w:szCs w:val="18"/>
          <w:bdr w:val="none" w:sz="0" w:space="0" w:color="auto"/>
        </w:rPr>
        <w:t xml:space="preserve">quest is examined, objectively, within the framework of the relevant procedure, by  a competent </w:t>
      </w:r>
      <w:r w:rsidR="003A064A" w:rsidRPr="004311FE">
        <w:rPr>
          <w:rFonts w:asciiTheme="majorHAnsi" w:eastAsia="Times New Roman" w:hAnsiTheme="majorHAnsi"/>
          <w:sz w:val="18"/>
          <w:szCs w:val="18"/>
          <w:bdr w:val="none" w:sz="0" w:space="0" w:color="auto"/>
        </w:rPr>
        <w:t>and clearly identified authority, and requires a personal interview;</w:t>
      </w:r>
    </w:p>
    <w:p w14:paraId="091AE97A" w14:textId="6D5808F8" w:rsidR="000F3CD9" w:rsidRPr="004311FE" w:rsidRDefault="000F3CD9" w:rsidP="004311F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rPr>
          <w:rFonts w:asciiTheme="majorHAnsi" w:eastAsia="Times New Roman" w:hAnsiTheme="majorHAnsi"/>
          <w:sz w:val="18"/>
          <w:szCs w:val="18"/>
          <w:bdr w:val="none" w:sz="0" w:space="0" w:color="auto"/>
        </w:rPr>
      </w:pPr>
      <w:r w:rsidRPr="004311FE">
        <w:rPr>
          <w:rFonts w:asciiTheme="majorHAnsi" w:eastAsia="Times New Roman" w:hAnsiTheme="majorHAnsi"/>
          <w:sz w:val="18"/>
          <w:szCs w:val="18"/>
          <w:bdr w:val="none" w:sz="0" w:space="0" w:color="auto"/>
        </w:rPr>
        <w:t>the right to be assisted without charge</w:t>
      </w:r>
      <w:r w:rsidR="005D6859" w:rsidRPr="004311FE">
        <w:rPr>
          <w:rFonts w:asciiTheme="majorHAnsi" w:eastAsia="Times New Roman" w:hAnsiTheme="majorHAnsi"/>
          <w:sz w:val="18"/>
          <w:szCs w:val="18"/>
          <w:bdr w:val="none" w:sz="0" w:space="0" w:color="auto"/>
        </w:rPr>
        <w:t xml:space="preserve"> by a translator or interpreter; </w:t>
      </w:r>
    </w:p>
    <w:p w14:paraId="0E043E03" w14:textId="07FA2CC0" w:rsidR="000F3CD9" w:rsidRPr="004311FE" w:rsidRDefault="000F3CD9" w:rsidP="004311F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rPr>
          <w:rFonts w:asciiTheme="majorHAnsi" w:eastAsia="Times New Roman" w:hAnsiTheme="majorHAnsi"/>
          <w:sz w:val="18"/>
          <w:szCs w:val="18"/>
          <w:bdr w:val="none" w:sz="0" w:space="0" w:color="auto"/>
        </w:rPr>
      </w:pPr>
      <w:r w:rsidRPr="004311FE">
        <w:rPr>
          <w:rFonts w:asciiTheme="majorHAnsi" w:eastAsia="Times New Roman" w:hAnsiTheme="majorHAnsi"/>
          <w:sz w:val="18"/>
          <w:szCs w:val="18"/>
          <w:bdr w:val="none" w:sz="0" w:space="0" w:color="auto"/>
        </w:rPr>
        <w:t>the right to be assisted by legal counsel</w:t>
      </w:r>
      <w:r w:rsidR="005D6859" w:rsidRPr="004311FE">
        <w:rPr>
          <w:rFonts w:asciiTheme="majorHAnsi" w:eastAsia="Times New Roman" w:hAnsiTheme="majorHAnsi"/>
          <w:sz w:val="18"/>
          <w:szCs w:val="18"/>
          <w:bdr w:val="none" w:sz="0" w:space="0" w:color="auto"/>
        </w:rPr>
        <w:t xml:space="preserve">; </w:t>
      </w:r>
    </w:p>
    <w:p w14:paraId="452BB5F6" w14:textId="42604226" w:rsidR="00B17376" w:rsidRPr="004311FE" w:rsidRDefault="00B17376" w:rsidP="004311F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rPr>
          <w:rFonts w:asciiTheme="majorHAnsi" w:eastAsia="Times New Roman" w:hAnsiTheme="majorHAnsi"/>
          <w:sz w:val="18"/>
          <w:szCs w:val="18"/>
          <w:bdr w:val="none" w:sz="0" w:space="0" w:color="auto"/>
        </w:rPr>
      </w:pPr>
      <w:r w:rsidRPr="004311FE">
        <w:rPr>
          <w:rFonts w:asciiTheme="majorHAnsi" w:eastAsia="Times New Roman" w:hAnsiTheme="majorHAnsi"/>
          <w:sz w:val="18"/>
          <w:szCs w:val="18"/>
          <w:bdr w:val="none" w:sz="0" w:space="0" w:color="auto"/>
        </w:rPr>
        <w:t>the respect to the protection of the applicant’s personal information and the asylum application, and the principle of confidentiality</w:t>
      </w:r>
      <w:r w:rsidR="007C6FD0" w:rsidRPr="004311FE">
        <w:rPr>
          <w:rFonts w:asciiTheme="majorHAnsi" w:eastAsia="Times New Roman" w:hAnsiTheme="majorHAnsi"/>
          <w:sz w:val="18"/>
          <w:szCs w:val="18"/>
          <w:bdr w:val="none" w:sz="0" w:space="0" w:color="auto"/>
        </w:rPr>
        <w:t>;</w:t>
      </w:r>
    </w:p>
    <w:p w14:paraId="6890B689" w14:textId="655D08C7" w:rsidR="000F3CD9" w:rsidRPr="004311FE" w:rsidRDefault="000F3CD9" w:rsidP="004311F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rPr>
          <w:rFonts w:asciiTheme="majorHAnsi" w:eastAsia="Times New Roman" w:hAnsiTheme="majorHAnsi"/>
          <w:sz w:val="18"/>
          <w:szCs w:val="18"/>
          <w:bdr w:val="none" w:sz="0" w:space="0" w:color="auto"/>
        </w:rPr>
      </w:pPr>
      <w:r w:rsidRPr="004311FE">
        <w:rPr>
          <w:rFonts w:asciiTheme="majorHAnsi" w:eastAsia="Times New Roman" w:hAnsiTheme="majorHAnsi"/>
          <w:sz w:val="18"/>
          <w:szCs w:val="18"/>
          <w:bdr w:val="none" w:sz="0" w:space="0" w:color="auto"/>
        </w:rPr>
        <w:t>the right that the decision adopted is duly reasoned</w:t>
      </w:r>
      <w:r w:rsidR="005D6859" w:rsidRPr="004311FE">
        <w:rPr>
          <w:rFonts w:asciiTheme="majorHAnsi" w:eastAsia="Times New Roman" w:hAnsiTheme="majorHAnsi"/>
          <w:sz w:val="18"/>
          <w:szCs w:val="18"/>
          <w:bdr w:val="none" w:sz="0" w:space="0" w:color="auto"/>
        </w:rPr>
        <w:t xml:space="preserve">; </w:t>
      </w:r>
    </w:p>
    <w:p w14:paraId="364D9155" w14:textId="102F7E6F" w:rsidR="000F3CD9" w:rsidRPr="004311FE" w:rsidRDefault="000F3CD9" w:rsidP="004311F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rPr>
          <w:rFonts w:asciiTheme="majorHAnsi" w:eastAsia="Times New Roman" w:hAnsiTheme="majorHAnsi"/>
          <w:sz w:val="18"/>
          <w:szCs w:val="18"/>
          <w:bdr w:val="none" w:sz="0" w:space="0" w:color="auto"/>
        </w:rPr>
      </w:pPr>
      <w:r w:rsidRPr="004311FE">
        <w:rPr>
          <w:rFonts w:asciiTheme="majorHAnsi" w:eastAsia="Times New Roman" w:hAnsiTheme="majorHAnsi"/>
          <w:sz w:val="18"/>
          <w:szCs w:val="18"/>
          <w:bdr w:val="none" w:sz="0" w:space="0" w:color="auto"/>
        </w:rPr>
        <w:t>the right to be notified of the dec</w:t>
      </w:r>
      <w:r w:rsidR="005D6859" w:rsidRPr="004311FE">
        <w:rPr>
          <w:rFonts w:asciiTheme="majorHAnsi" w:eastAsia="Times New Roman" w:hAnsiTheme="majorHAnsi"/>
          <w:sz w:val="18"/>
          <w:szCs w:val="18"/>
          <w:bdr w:val="none" w:sz="0" w:space="0" w:color="auto"/>
        </w:rPr>
        <w:t xml:space="preserve">ision adopted in the proceeding; </w:t>
      </w:r>
    </w:p>
    <w:p w14:paraId="4D412433" w14:textId="5B184BDA" w:rsidR="000F3CD9" w:rsidRPr="004311FE" w:rsidRDefault="000F3CD9" w:rsidP="004311F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rPr>
          <w:rFonts w:asciiTheme="majorHAnsi" w:eastAsia="Times New Roman" w:hAnsiTheme="majorHAnsi"/>
          <w:sz w:val="18"/>
          <w:szCs w:val="18"/>
          <w:bdr w:val="none" w:sz="0" w:space="0" w:color="auto"/>
        </w:rPr>
      </w:pPr>
      <w:r w:rsidRPr="004311FE">
        <w:rPr>
          <w:rFonts w:asciiTheme="majorHAnsi" w:eastAsia="Times New Roman" w:hAnsiTheme="majorHAnsi"/>
          <w:sz w:val="18"/>
          <w:szCs w:val="18"/>
          <w:bdr w:val="none" w:sz="0" w:space="0" w:color="auto"/>
        </w:rPr>
        <w:t>the right to appeal the decision before a highe</w:t>
      </w:r>
      <w:r w:rsidR="005D6859" w:rsidRPr="004311FE">
        <w:rPr>
          <w:rFonts w:asciiTheme="majorHAnsi" w:eastAsia="Times New Roman" w:hAnsiTheme="majorHAnsi"/>
          <w:sz w:val="18"/>
          <w:szCs w:val="18"/>
          <w:bdr w:val="none" w:sz="0" w:space="0" w:color="auto"/>
        </w:rPr>
        <w:t>r court, with suspensive effect</w:t>
      </w:r>
      <w:r w:rsidR="00B17376" w:rsidRPr="004311FE">
        <w:rPr>
          <w:rFonts w:asciiTheme="majorHAnsi" w:eastAsia="Times New Roman" w:hAnsiTheme="majorHAnsi"/>
          <w:sz w:val="18"/>
          <w:szCs w:val="18"/>
          <w:bdr w:val="none" w:sz="0" w:space="0" w:color="auto"/>
        </w:rPr>
        <w:t xml:space="preserve"> and the right to remain in the country until the competent authority has adopted the required decision</w:t>
      </w:r>
      <w:r w:rsidR="005D6859" w:rsidRPr="004311FE">
        <w:rPr>
          <w:rFonts w:asciiTheme="majorHAnsi" w:eastAsia="Times New Roman" w:hAnsiTheme="majorHAnsi"/>
          <w:sz w:val="18"/>
          <w:szCs w:val="18"/>
          <w:bdr w:val="none" w:sz="0" w:space="0" w:color="auto"/>
        </w:rPr>
        <w:t xml:space="preserve">; </w:t>
      </w:r>
    </w:p>
    <w:p w14:paraId="66CAB8A5" w14:textId="3A97B173" w:rsidR="000F3CD9" w:rsidRPr="004311FE" w:rsidRDefault="000F3CD9" w:rsidP="004311F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rPr>
          <w:rFonts w:asciiTheme="majorHAnsi" w:eastAsia="Times New Roman" w:hAnsiTheme="majorHAnsi"/>
          <w:sz w:val="18"/>
          <w:szCs w:val="18"/>
          <w:bdr w:val="none" w:sz="0" w:space="0" w:color="auto"/>
        </w:rPr>
      </w:pPr>
      <w:r w:rsidRPr="004311FE">
        <w:rPr>
          <w:rFonts w:asciiTheme="majorHAnsi" w:eastAsia="Times New Roman" w:hAnsiTheme="majorHAnsi"/>
          <w:sz w:val="18"/>
          <w:szCs w:val="18"/>
          <w:bdr w:val="none" w:sz="0" w:space="0" w:color="auto"/>
        </w:rPr>
        <w:t xml:space="preserve">the right to information and </w:t>
      </w:r>
      <w:r w:rsidR="007C6FD0" w:rsidRPr="004311FE">
        <w:rPr>
          <w:rFonts w:asciiTheme="majorHAnsi" w:eastAsia="Times New Roman" w:hAnsiTheme="majorHAnsi"/>
          <w:sz w:val="18"/>
          <w:szCs w:val="18"/>
          <w:bdr w:val="none" w:sz="0" w:space="0" w:color="auto"/>
        </w:rPr>
        <w:t xml:space="preserve">the prohibition of </w:t>
      </w:r>
      <w:r w:rsidR="007E2A21" w:rsidRPr="004311FE">
        <w:rPr>
          <w:rFonts w:asciiTheme="majorHAnsi" w:eastAsia="Times New Roman" w:hAnsiTheme="majorHAnsi"/>
          <w:sz w:val="18"/>
          <w:szCs w:val="18"/>
          <w:bdr w:val="none" w:sz="0" w:space="0" w:color="auto"/>
        </w:rPr>
        <w:t>communication</w:t>
      </w:r>
      <w:r w:rsidR="007C6FD0" w:rsidRPr="004311FE">
        <w:rPr>
          <w:rFonts w:asciiTheme="majorHAnsi" w:eastAsia="Times New Roman" w:hAnsiTheme="majorHAnsi"/>
          <w:sz w:val="18"/>
          <w:szCs w:val="18"/>
          <w:bdr w:val="none" w:sz="0" w:space="0" w:color="auto"/>
        </w:rPr>
        <w:t xml:space="preserve"> with authorities of his, her country, unless </w:t>
      </w:r>
      <w:r w:rsidR="007E2A21" w:rsidRPr="004311FE">
        <w:rPr>
          <w:rFonts w:asciiTheme="majorHAnsi" w:eastAsia="Times New Roman" w:hAnsiTheme="majorHAnsi"/>
          <w:sz w:val="18"/>
          <w:szCs w:val="18"/>
          <w:bdr w:val="none" w:sz="0" w:space="0" w:color="auto"/>
        </w:rPr>
        <w:t>there is evidence of the person express consent</w:t>
      </w:r>
      <w:r w:rsidR="00A74727" w:rsidRPr="004311FE">
        <w:rPr>
          <w:rFonts w:asciiTheme="majorHAnsi" w:eastAsia="Times New Roman" w:hAnsiTheme="majorHAnsi"/>
          <w:sz w:val="18"/>
          <w:szCs w:val="18"/>
          <w:bdr w:val="none" w:sz="0" w:space="0" w:color="auto"/>
        </w:rPr>
        <w:t>;</w:t>
      </w:r>
    </w:p>
    <w:p w14:paraId="0A1A8629" w14:textId="77777777" w:rsidR="000F3CD9" w:rsidRPr="004D02C2" w:rsidRDefault="000F3CD9" w:rsidP="004311F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color w:val="000000" w:themeColor="text1"/>
          <w:sz w:val="20"/>
          <w:szCs w:val="20"/>
        </w:rPr>
      </w:pPr>
    </w:p>
    <w:p w14:paraId="5D9DF391" w14:textId="77777777" w:rsidR="00A41BCC" w:rsidRPr="006D6B01" w:rsidRDefault="000D0916"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color w:val="FF0000"/>
          <w:sz w:val="20"/>
          <w:szCs w:val="20"/>
        </w:rPr>
      </w:pPr>
      <w:r w:rsidRPr="006D6B01">
        <w:rPr>
          <w:rFonts w:asciiTheme="majorHAnsi" w:hAnsiTheme="majorHAnsi"/>
          <w:sz w:val="20"/>
          <w:szCs w:val="20"/>
        </w:rPr>
        <w:t>In addition, t</w:t>
      </w:r>
      <w:r w:rsidR="00371CFB" w:rsidRPr="006D6B01">
        <w:rPr>
          <w:rFonts w:asciiTheme="majorHAnsi" w:hAnsiTheme="majorHAnsi"/>
          <w:sz w:val="20"/>
          <w:szCs w:val="20"/>
        </w:rPr>
        <w:t xml:space="preserve">he Commission </w:t>
      </w:r>
      <w:r w:rsidR="00715CB7" w:rsidRPr="006D6B01">
        <w:rPr>
          <w:rFonts w:asciiTheme="majorHAnsi" w:hAnsiTheme="majorHAnsi"/>
          <w:sz w:val="20"/>
          <w:szCs w:val="20"/>
        </w:rPr>
        <w:t xml:space="preserve">has </w:t>
      </w:r>
      <w:r w:rsidR="00F11B31" w:rsidRPr="006D6B01">
        <w:rPr>
          <w:rFonts w:asciiTheme="majorHAnsi" w:hAnsiTheme="majorHAnsi"/>
          <w:sz w:val="20"/>
          <w:szCs w:val="20"/>
        </w:rPr>
        <w:t>previously found</w:t>
      </w:r>
      <w:r w:rsidR="00715CB7" w:rsidRPr="006D6B01">
        <w:rPr>
          <w:rFonts w:asciiTheme="majorHAnsi" w:hAnsiTheme="majorHAnsi"/>
          <w:sz w:val="20"/>
          <w:szCs w:val="20"/>
        </w:rPr>
        <w:t xml:space="preserve"> that summar</w:t>
      </w:r>
      <w:r w:rsidR="00371CFB" w:rsidRPr="006D6B01">
        <w:rPr>
          <w:rFonts w:asciiTheme="majorHAnsi" w:hAnsiTheme="majorHAnsi"/>
          <w:sz w:val="20"/>
          <w:szCs w:val="20"/>
        </w:rPr>
        <w:t>y interdic</w:t>
      </w:r>
      <w:r w:rsidR="00715CB7" w:rsidRPr="006D6B01">
        <w:rPr>
          <w:rFonts w:asciiTheme="majorHAnsi" w:hAnsiTheme="majorHAnsi"/>
          <w:sz w:val="20"/>
          <w:szCs w:val="20"/>
        </w:rPr>
        <w:t>tion an</w:t>
      </w:r>
      <w:r w:rsidR="00371CFB" w:rsidRPr="006D6B01">
        <w:rPr>
          <w:rFonts w:asciiTheme="majorHAnsi" w:hAnsiTheme="majorHAnsi"/>
          <w:sz w:val="20"/>
          <w:szCs w:val="20"/>
        </w:rPr>
        <w:t>d repatriat</w:t>
      </w:r>
      <w:r w:rsidR="00715CB7" w:rsidRPr="006D6B01">
        <w:rPr>
          <w:rFonts w:asciiTheme="majorHAnsi" w:hAnsiTheme="majorHAnsi"/>
          <w:sz w:val="20"/>
          <w:szCs w:val="20"/>
        </w:rPr>
        <w:t>ion</w:t>
      </w:r>
      <w:r w:rsidR="00371CFB" w:rsidRPr="006D6B01">
        <w:rPr>
          <w:rFonts w:asciiTheme="majorHAnsi" w:hAnsiTheme="majorHAnsi"/>
          <w:sz w:val="20"/>
          <w:szCs w:val="20"/>
        </w:rPr>
        <w:t xml:space="preserve"> </w:t>
      </w:r>
      <w:r w:rsidR="00715CB7" w:rsidRPr="006D6B01">
        <w:rPr>
          <w:rFonts w:asciiTheme="majorHAnsi" w:hAnsiTheme="majorHAnsi"/>
          <w:sz w:val="20"/>
          <w:szCs w:val="20"/>
        </w:rPr>
        <w:t xml:space="preserve">of applicants </w:t>
      </w:r>
      <w:r w:rsidR="00371CFB" w:rsidRPr="006D6B01">
        <w:rPr>
          <w:rFonts w:asciiTheme="majorHAnsi" w:hAnsiTheme="majorHAnsi"/>
          <w:sz w:val="20"/>
          <w:szCs w:val="20"/>
        </w:rPr>
        <w:t>without making an adequate determination of their status, and without granting them a hearing to ascertain whet</w:t>
      </w:r>
      <w:r w:rsidR="00715CB7" w:rsidRPr="006D6B01">
        <w:rPr>
          <w:rFonts w:asciiTheme="majorHAnsi" w:hAnsiTheme="majorHAnsi"/>
          <w:sz w:val="20"/>
          <w:szCs w:val="20"/>
        </w:rPr>
        <w:t>her they qualif</w:t>
      </w:r>
      <w:r w:rsidR="00F11B31" w:rsidRPr="006D6B01">
        <w:rPr>
          <w:rFonts w:asciiTheme="majorHAnsi" w:hAnsiTheme="majorHAnsi"/>
          <w:sz w:val="20"/>
          <w:szCs w:val="20"/>
        </w:rPr>
        <w:t>y</w:t>
      </w:r>
      <w:r w:rsidR="00715CB7" w:rsidRPr="006D6B01">
        <w:rPr>
          <w:rFonts w:asciiTheme="majorHAnsi" w:hAnsiTheme="majorHAnsi"/>
          <w:sz w:val="20"/>
          <w:szCs w:val="20"/>
        </w:rPr>
        <w:t xml:space="preserve"> as "refugees</w:t>
      </w:r>
      <w:r w:rsidR="00371CFB" w:rsidRPr="006D6B01">
        <w:rPr>
          <w:rFonts w:asciiTheme="majorHAnsi" w:hAnsiTheme="majorHAnsi"/>
          <w:sz w:val="20"/>
          <w:szCs w:val="20"/>
        </w:rPr>
        <w:t xml:space="preserve">" </w:t>
      </w:r>
      <w:r w:rsidR="00F11B31" w:rsidRPr="006D6B01">
        <w:rPr>
          <w:rFonts w:asciiTheme="majorHAnsi" w:hAnsiTheme="majorHAnsi"/>
          <w:sz w:val="20"/>
          <w:szCs w:val="20"/>
        </w:rPr>
        <w:t xml:space="preserve">constitutes </w:t>
      </w:r>
      <w:r w:rsidR="00715CB7" w:rsidRPr="006D6B01">
        <w:rPr>
          <w:rFonts w:asciiTheme="majorHAnsi" w:hAnsiTheme="majorHAnsi"/>
          <w:sz w:val="20"/>
          <w:szCs w:val="20"/>
        </w:rPr>
        <w:t xml:space="preserve">a breach </w:t>
      </w:r>
      <w:r w:rsidR="00494642" w:rsidRPr="006D6B01">
        <w:rPr>
          <w:rFonts w:asciiTheme="majorHAnsi" w:hAnsiTheme="majorHAnsi"/>
          <w:sz w:val="20"/>
          <w:szCs w:val="20"/>
        </w:rPr>
        <w:t xml:space="preserve">of </w:t>
      </w:r>
      <w:r w:rsidR="00371CFB" w:rsidRPr="006D6B01">
        <w:rPr>
          <w:rFonts w:asciiTheme="majorHAnsi" w:hAnsiTheme="majorHAnsi"/>
          <w:sz w:val="20"/>
          <w:szCs w:val="20"/>
        </w:rPr>
        <w:t>Article XX</w:t>
      </w:r>
      <w:r w:rsidR="00494642" w:rsidRPr="006D6B01">
        <w:rPr>
          <w:rFonts w:asciiTheme="majorHAnsi" w:hAnsiTheme="majorHAnsi"/>
          <w:sz w:val="20"/>
          <w:szCs w:val="20"/>
        </w:rPr>
        <w:t>VII of the American Declaration</w:t>
      </w:r>
      <w:r w:rsidR="00494642" w:rsidRPr="006D6B01">
        <w:rPr>
          <w:rStyle w:val="FootnoteReference"/>
          <w:rFonts w:asciiTheme="majorHAnsi" w:hAnsiTheme="majorHAnsi"/>
          <w:sz w:val="20"/>
          <w:szCs w:val="20"/>
        </w:rPr>
        <w:footnoteReference w:id="123"/>
      </w:r>
      <w:r w:rsidR="00494642" w:rsidRPr="006D6B01">
        <w:rPr>
          <w:rFonts w:asciiTheme="majorHAnsi" w:hAnsiTheme="majorHAnsi"/>
          <w:sz w:val="20"/>
          <w:szCs w:val="20"/>
        </w:rPr>
        <w:t>.</w:t>
      </w:r>
      <w:r w:rsidR="00F11B31" w:rsidRPr="006D6B01">
        <w:rPr>
          <w:rFonts w:asciiTheme="majorHAnsi" w:hAnsiTheme="majorHAnsi"/>
          <w:sz w:val="20"/>
          <w:szCs w:val="20"/>
        </w:rPr>
        <w:t xml:space="preserve"> T</w:t>
      </w:r>
      <w:r w:rsidRPr="006D6B01">
        <w:rPr>
          <w:rFonts w:asciiTheme="majorHAnsi" w:hAnsiTheme="majorHAnsi"/>
          <w:sz w:val="20"/>
          <w:szCs w:val="20"/>
        </w:rPr>
        <w:t xml:space="preserve">he obligation </w:t>
      </w:r>
      <w:r w:rsidR="00F11B31" w:rsidRPr="006D6B01">
        <w:rPr>
          <w:rFonts w:asciiTheme="majorHAnsi" w:hAnsiTheme="majorHAnsi"/>
          <w:sz w:val="20"/>
          <w:szCs w:val="20"/>
        </w:rPr>
        <w:t xml:space="preserve">to make </w:t>
      </w:r>
      <w:r w:rsidRPr="006D6B01">
        <w:rPr>
          <w:rFonts w:asciiTheme="majorHAnsi" w:hAnsiTheme="majorHAnsi"/>
          <w:sz w:val="20"/>
          <w:szCs w:val="20"/>
        </w:rPr>
        <w:t xml:space="preserve">an adequate </w:t>
      </w:r>
      <w:r w:rsidR="00F11B31" w:rsidRPr="006D6B01">
        <w:rPr>
          <w:rFonts w:asciiTheme="majorHAnsi" w:hAnsiTheme="majorHAnsi"/>
          <w:sz w:val="20"/>
          <w:szCs w:val="20"/>
        </w:rPr>
        <w:t xml:space="preserve">status </w:t>
      </w:r>
      <w:r w:rsidRPr="006D6B01">
        <w:rPr>
          <w:rFonts w:asciiTheme="majorHAnsi" w:hAnsiTheme="majorHAnsi"/>
          <w:sz w:val="20"/>
          <w:szCs w:val="20"/>
        </w:rPr>
        <w:t xml:space="preserve">determination </w:t>
      </w:r>
      <w:r w:rsidR="008504AC" w:rsidRPr="006D6B01">
        <w:rPr>
          <w:rFonts w:asciiTheme="majorHAnsi" w:hAnsiTheme="majorHAnsi"/>
          <w:sz w:val="20"/>
          <w:szCs w:val="20"/>
        </w:rPr>
        <w:t xml:space="preserve">is of </w:t>
      </w:r>
      <w:r w:rsidR="00F11B31" w:rsidRPr="006D6B01">
        <w:rPr>
          <w:rFonts w:asciiTheme="majorHAnsi" w:hAnsiTheme="majorHAnsi"/>
          <w:sz w:val="20"/>
          <w:szCs w:val="20"/>
        </w:rPr>
        <w:t>particular importance</w:t>
      </w:r>
      <w:r w:rsidR="008504AC" w:rsidRPr="006D6B01">
        <w:rPr>
          <w:rFonts w:asciiTheme="majorHAnsi" w:hAnsiTheme="majorHAnsi"/>
          <w:sz w:val="20"/>
          <w:szCs w:val="20"/>
        </w:rPr>
        <w:t xml:space="preserve"> in mixed migration</w:t>
      </w:r>
      <w:r w:rsidR="004A3CAC" w:rsidRPr="006D6B01">
        <w:rPr>
          <w:rFonts w:asciiTheme="majorHAnsi" w:hAnsiTheme="majorHAnsi"/>
          <w:sz w:val="20"/>
          <w:szCs w:val="20"/>
        </w:rPr>
        <w:t xml:space="preserve"> contexts</w:t>
      </w:r>
      <w:r w:rsidR="008504AC" w:rsidRPr="006D6B01">
        <w:rPr>
          <w:rFonts w:asciiTheme="majorHAnsi" w:hAnsiTheme="majorHAnsi"/>
          <w:sz w:val="20"/>
          <w:szCs w:val="20"/>
        </w:rPr>
        <w:t>. Indeed, the Commission has asserted that in order to respond appropriately to migratory movements involving individuals fle</w:t>
      </w:r>
      <w:r w:rsidR="00237482" w:rsidRPr="006D6B01">
        <w:rPr>
          <w:rFonts w:asciiTheme="majorHAnsi" w:hAnsiTheme="majorHAnsi"/>
          <w:sz w:val="20"/>
          <w:szCs w:val="20"/>
        </w:rPr>
        <w:t>eing their home countries</w:t>
      </w:r>
      <w:r w:rsidR="00F11B31" w:rsidRPr="006D6B01">
        <w:rPr>
          <w:rFonts w:asciiTheme="majorHAnsi" w:hAnsiTheme="majorHAnsi"/>
          <w:sz w:val="20"/>
          <w:szCs w:val="20"/>
        </w:rPr>
        <w:t>, for example due to</w:t>
      </w:r>
      <w:r w:rsidR="00237482" w:rsidRPr="006D6B01">
        <w:rPr>
          <w:rFonts w:asciiTheme="majorHAnsi" w:hAnsiTheme="majorHAnsi"/>
          <w:sz w:val="20"/>
          <w:szCs w:val="20"/>
        </w:rPr>
        <w:t xml:space="preserve"> </w:t>
      </w:r>
      <w:r w:rsidR="008504AC" w:rsidRPr="006D6B01">
        <w:rPr>
          <w:rFonts w:asciiTheme="majorHAnsi" w:hAnsiTheme="majorHAnsi"/>
          <w:sz w:val="20"/>
          <w:szCs w:val="20"/>
        </w:rPr>
        <w:t xml:space="preserve">violence or in search of better living conditions, States must establish </w:t>
      </w:r>
      <w:r w:rsidR="00F33B1F" w:rsidRPr="006D6B01">
        <w:rPr>
          <w:rFonts w:asciiTheme="majorHAnsi" w:hAnsiTheme="majorHAnsi"/>
          <w:sz w:val="20"/>
          <w:szCs w:val="20"/>
        </w:rPr>
        <w:t>better</w:t>
      </w:r>
      <w:r w:rsidR="008504AC" w:rsidRPr="006D6B01">
        <w:rPr>
          <w:rFonts w:asciiTheme="majorHAnsi" w:hAnsiTheme="majorHAnsi"/>
          <w:sz w:val="20"/>
          <w:szCs w:val="20"/>
        </w:rPr>
        <w:t xml:space="preserve"> measures to identify persons who </w:t>
      </w:r>
      <w:r w:rsidR="00F11B31" w:rsidRPr="006D6B01">
        <w:rPr>
          <w:rFonts w:asciiTheme="majorHAnsi" w:hAnsiTheme="majorHAnsi"/>
          <w:sz w:val="20"/>
          <w:szCs w:val="20"/>
        </w:rPr>
        <w:t>may be in need of international protection</w:t>
      </w:r>
      <w:r w:rsidR="00F33B1F" w:rsidRPr="006D6B01">
        <w:rPr>
          <w:rFonts w:asciiTheme="majorHAnsi" w:hAnsiTheme="majorHAnsi"/>
          <w:sz w:val="20"/>
          <w:szCs w:val="20"/>
        </w:rPr>
        <w:t xml:space="preserve"> or who, due to their vulnerable condition, may have special protection needs.</w:t>
      </w:r>
      <w:r w:rsidR="00F33B1F" w:rsidRPr="006D6B01">
        <w:rPr>
          <w:rStyle w:val="FootnoteReference"/>
          <w:rFonts w:asciiTheme="majorHAnsi" w:hAnsiTheme="majorHAnsi"/>
          <w:sz w:val="20"/>
          <w:szCs w:val="20"/>
        </w:rPr>
        <w:footnoteReference w:id="124"/>
      </w:r>
    </w:p>
    <w:p w14:paraId="0F95ECE7" w14:textId="77777777" w:rsidR="00A41BCC" w:rsidRPr="006D6B01" w:rsidRDefault="00A41BCC" w:rsidP="004311FE">
      <w:pPr>
        <w:pStyle w:val="ListParagraph"/>
        <w:tabs>
          <w:tab w:val="left" w:pos="360"/>
        </w:tabs>
        <w:ind w:left="0"/>
        <w:rPr>
          <w:rFonts w:asciiTheme="majorHAnsi" w:hAnsiTheme="majorHAnsi"/>
          <w:sz w:val="20"/>
          <w:szCs w:val="20"/>
        </w:rPr>
      </w:pPr>
    </w:p>
    <w:p w14:paraId="05AE0AA0" w14:textId="039C1B3A" w:rsidR="00350F9D" w:rsidRPr="006D6B01" w:rsidRDefault="00350F9D"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color w:val="FF0000"/>
          <w:sz w:val="20"/>
          <w:szCs w:val="20"/>
        </w:rPr>
      </w:pPr>
      <w:r w:rsidRPr="006D6B01">
        <w:rPr>
          <w:rFonts w:asciiTheme="majorHAnsi" w:hAnsiTheme="majorHAnsi" w:cs="Callibri"/>
          <w:sz w:val="20"/>
          <w:szCs w:val="20"/>
        </w:rPr>
        <w:t xml:space="preserve">In relation to the principle of </w:t>
      </w:r>
      <w:r w:rsidRPr="006D6B01">
        <w:rPr>
          <w:rFonts w:asciiTheme="majorHAnsi" w:hAnsiTheme="majorHAnsi" w:cs="Callibri"/>
          <w:i/>
          <w:sz w:val="20"/>
          <w:szCs w:val="20"/>
        </w:rPr>
        <w:t>non-refoulement</w:t>
      </w:r>
      <w:r w:rsidRPr="006D6B01">
        <w:rPr>
          <w:rFonts w:asciiTheme="majorHAnsi" w:hAnsiTheme="majorHAnsi" w:cs="Callibri"/>
          <w:sz w:val="20"/>
          <w:szCs w:val="20"/>
        </w:rPr>
        <w:t>, the Commission and the Court have affirmed that this principle is the cornerstone of the right of asylum and international law relating to refugees, and is also a custom</w:t>
      </w:r>
      <w:r w:rsidR="004B7619">
        <w:rPr>
          <w:rFonts w:asciiTheme="majorHAnsi" w:hAnsiTheme="majorHAnsi" w:cs="Callibri"/>
          <w:sz w:val="20"/>
          <w:szCs w:val="20"/>
        </w:rPr>
        <w:t xml:space="preserve">ary norm of international law which also shows a </w:t>
      </w:r>
      <w:r w:rsidRPr="006D6B01">
        <w:rPr>
          <w:rFonts w:asciiTheme="majorHAnsi" w:hAnsiTheme="majorHAnsi" w:cs="Callibri"/>
          <w:i/>
          <w:sz w:val="20"/>
          <w:szCs w:val="20"/>
        </w:rPr>
        <w:t xml:space="preserve">jus cogens </w:t>
      </w:r>
      <w:r w:rsidR="004B7619">
        <w:rPr>
          <w:rFonts w:asciiTheme="majorHAnsi" w:hAnsiTheme="majorHAnsi" w:cs="Callibri"/>
          <w:sz w:val="20"/>
          <w:szCs w:val="20"/>
        </w:rPr>
        <w:t>character originated on the prohibition against torture.</w:t>
      </w:r>
      <w:r w:rsidRPr="006D6B01">
        <w:rPr>
          <w:rStyle w:val="FootnoteReference"/>
          <w:rFonts w:asciiTheme="majorHAnsi" w:hAnsiTheme="majorHAnsi"/>
          <w:sz w:val="20"/>
          <w:szCs w:val="20"/>
          <w:lang w:val="es-MX"/>
        </w:rPr>
        <w:footnoteReference w:id="125"/>
      </w:r>
      <w:r w:rsidR="004B7619">
        <w:rPr>
          <w:rFonts w:asciiTheme="majorHAnsi" w:hAnsiTheme="majorHAnsi" w:cs="Callibri"/>
          <w:sz w:val="20"/>
          <w:szCs w:val="20"/>
        </w:rPr>
        <w:t xml:space="preserve"> </w:t>
      </w:r>
      <w:r w:rsidRPr="006D6B01">
        <w:rPr>
          <w:rFonts w:asciiTheme="majorHAnsi" w:hAnsiTheme="majorHAnsi" w:cs="Callibri"/>
          <w:sz w:val="20"/>
          <w:szCs w:val="20"/>
        </w:rPr>
        <w:t xml:space="preserve">This principle also includes the prohibition against indirect return, namely that a person </w:t>
      </w:r>
      <w:r w:rsidRPr="006D6B01">
        <w:rPr>
          <w:rFonts w:asciiTheme="majorHAnsi" w:hAnsiTheme="majorHAnsi" w:cs="Callibri"/>
          <w:sz w:val="20"/>
          <w:szCs w:val="20"/>
        </w:rPr>
        <w:lastRenderedPageBreak/>
        <w:t>applying for asylum in a State from which they can be returned to the country in which they felt the fear that motivated their exit cannot be returned or expelled</w:t>
      </w:r>
      <w:r w:rsidRPr="006D6B01">
        <w:rPr>
          <w:rStyle w:val="FootnoteReference"/>
          <w:rFonts w:asciiTheme="majorHAnsi" w:hAnsiTheme="majorHAnsi"/>
          <w:sz w:val="20"/>
          <w:szCs w:val="20"/>
          <w:lang w:val="es-MX"/>
        </w:rPr>
        <w:footnoteReference w:id="126"/>
      </w:r>
      <w:r w:rsidRPr="006D6B01">
        <w:rPr>
          <w:rFonts w:asciiTheme="majorHAnsi" w:hAnsiTheme="majorHAnsi" w:cs="Callibri"/>
          <w:sz w:val="20"/>
          <w:szCs w:val="20"/>
        </w:rPr>
        <w:t xml:space="preserve">. In addition, the principle of </w:t>
      </w:r>
      <w:r w:rsidRPr="006D6B01">
        <w:rPr>
          <w:rFonts w:asciiTheme="majorHAnsi" w:hAnsiTheme="majorHAnsi" w:cs="Callibri"/>
          <w:i/>
          <w:sz w:val="20"/>
          <w:szCs w:val="20"/>
        </w:rPr>
        <w:t>non-refoulement</w:t>
      </w:r>
      <w:r w:rsidRPr="006D6B01">
        <w:rPr>
          <w:rFonts w:asciiTheme="majorHAnsi" w:hAnsiTheme="majorHAnsi" w:cs="Callibri"/>
          <w:sz w:val="20"/>
          <w:szCs w:val="20"/>
        </w:rPr>
        <w:t xml:space="preserve"> provides protection in the face of expulsion or deportation decisions made in the absence of proper safeguards, which place </w:t>
      </w:r>
      <w:r w:rsidR="00E040AD" w:rsidRPr="006D6B01">
        <w:rPr>
          <w:rFonts w:asciiTheme="majorHAnsi" w:hAnsiTheme="majorHAnsi" w:cs="Callibri"/>
          <w:sz w:val="20"/>
          <w:szCs w:val="20"/>
        </w:rPr>
        <w:t xml:space="preserve">individuals </w:t>
      </w:r>
      <w:r w:rsidRPr="006D6B01">
        <w:rPr>
          <w:rFonts w:asciiTheme="majorHAnsi" w:hAnsiTheme="majorHAnsi" w:cs="Callibri"/>
          <w:sz w:val="20"/>
          <w:szCs w:val="20"/>
        </w:rPr>
        <w:t>in a situation where their fate or future are uncertain, and put their life, security, liberty or integrity at risk</w:t>
      </w:r>
      <w:r w:rsidRPr="006D6B01">
        <w:rPr>
          <w:rStyle w:val="FootnoteReference"/>
          <w:rFonts w:asciiTheme="majorHAnsi" w:hAnsiTheme="majorHAnsi"/>
          <w:sz w:val="20"/>
          <w:szCs w:val="20"/>
          <w:lang w:val="es-MX"/>
        </w:rPr>
        <w:footnoteReference w:id="127"/>
      </w:r>
      <w:r w:rsidRPr="006D6B01">
        <w:rPr>
          <w:rFonts w:asciiTheme="majorHAnsi" w:hAnsiTheme="majorHAnsi" w:cs="Callibri"/>
          <w:sz w:val="20"/>
          <w:szCs w:val="20"/>
        </w:rPr>
        <w:t xml:space="preserve">. </w:t>
      </w:r>
      <w:r w:rsidRPr="006D6B01">
        <w:rPr>
          <w:rFonts w:asciiTheme="majorHAnsi" w:hAnsiTheme="majorHAnsi"/>
          <w:sz w:val="20"/>
          <w:szCs w:val="20"/>
        </w:rPr>
        <w:t xml:space="preserve"> </w:t>
      </w:r>
    </w:p>
    <w:p w14:paraId="00DA5227" w14:textId="77777777" w:rsidR="00350F9D" w:rsidRPr="006D6B01" w:rsidRDefault="00350F9D" w:rsidP="004311FE">
      <w:pPr>
        <w:pStyle w:val="ListParagraph"/>
        <w:tabs>
          <w:tab w:val="left" w:pos="360"/>
        </w:tabs>
        <w:ind w:left="0"/>
        <w:rPr>
          <w:rFonts w:asciiTheme="majorHAnsi" w:hAnsiTheme="majorHAnsi"/>
          <w:color w:val="000000" w:themeColor="text1"/>
          <w:sz w:val="20"/>
          <w:szCs w:val="20"/>
        </w:rPr>
      </w:pPr>
    </w:p>
    <w:p w14:paraId="528E5438" w14:textId="1A16CDAD" w:rsidR="00350F9D" w:rsidRPr="006D6B01" w:rsidRDefault="00350F9D"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color w:val="000000" w:themeColor="text1"/>
          <w:sz w:val="20"/>
          <w:szCs w:val="20"/>
        </w:rPr>
      </w:pPr>
      <w:r w:rsidRPr="006D6B01">
        <w:rPr>
          <w:rFonts w:asciiTheme="majorHAnsi" w:hAnsiTheme="majorHAnsi"/>
          <w:color w:val="000000" w:themeColor="text1"/>
          <w:sz w:val="20"/>
          <w:szCs w:val="20"/>
        </w:rPr>
        <w:t>In this regard, the Commission has previously held that this guarantee is reflected in article XXVI of the American Declaration (non-imposition of cruel, infamous, or unusual punishment),</w:t>
      </w:r>
      <w:r w:rsidRPr="006D6B01">
        <w:rPr>
          <w:rStyle w:val="FootnoteReference"/>
          <w:rFonts w:asciiTheme="majorHAnsi" w:hAnsiTheme="majorHAnsi"/>
          <w:color w:val="000000" w:themeColor="text1"/>
          <w:sz w:val="20"/>
          <w:szCs w:val="20"/>
        </w:rPr>
        <w:footnoteReference w:id="128"/>
      </w:r>
      <w:r w:rsidRPr="006D6B01">
        <w:rPr>
          <w:rFonts w:asciiTheme="majorHAnsi" w:hAnsiTheme="majorHAnsi"/>
          <w:color w:val="000000" w:themeColor="text1"/>
          <w:sz w:val="20"/>
          <w:szCs w:val="20"/>
        </w:rPr>
        <w:t xml:space="preserve"> as well as article I where the individual’s right to life or personal integrity is violated upon return, and article XVIII where the right to due process is not respected in the process of return.</w:t>
      </w:r>
      <w:r w:rsidRPr="006D6B01">
        <w:rPr>
          <w:rStyle w:val="FootnoteReference"/>
          <w:rFonts w:asciiTheme="majorHAnsi" w:hAnsiTheme="majorHAnsi"/>
          <w:color w:val="000000" w:themeColor="text1"/>
          <w:sz w:val="20"/>
          <w:szCs w:val="20"/>
        </w:rPr>
        <w:footnoteReference w:id="129"/>
      </w:r>
      <w:r w:rsidRPr="006D6B01">
        <w:rPr>
          <w:rFonts w:asciiTheme="majorHAnsi" w:hAnsiTheme="majorHAnsi"/>
          <w:color w:val="000000" w:themeColor="text1"/>
          <w:sz w:val="20"/>
          <w:szCs w:val="20"/>
        </w:rPr>
        <w:t xml:space="preserve"> As the Inter-American Court has recognized, the determination of a </w:t>
      </w:r>
      <w:r w:rsidRPr="006D6B01">
        <w:rPr>
          <w:rFonts w:asciiTheme="majorHAnsi" w:hAnsiTheme="majorHAnsi"/>
          <w:i/>
          <w:color w:val="000000" w:themeColor="text1"/>
          <w:sz w:val="20"/>
          <w:szCs w:val="20"/>
        </w:rPr>
        <w:t>non-refoulement</w:t>
      </w:r>
      <w:r w:rsidRPr="006D6B01">
        <w:rPr>
          <w:rFonts w:asciiTheme="majorHAnsi" w:hAnsiTheme="majorHAnsi"/>
          <w:color w:val="000000" w:themeColor="text1"/>
          <w:sz w:val="20"/>
          <w:szCs w:val="20"/>
        </w:rPr>
        <w:t xml:space="preserve"> claim, like the determination of refugee status, “entails an assessment and decision on the possible risk of affecting [a person’s] most basic rights, such as life, and personal integrity and liberty. In this way, even if States may determine the proceedings and authorities to implement that right, in application of the principles of non-discrimination and due process they must ensure predictable proceedings, as well as coherence and objectivity in decision-making at each stage of the proceedings to avoid arbitrary decisions.”</w:t>
      </w:r>
      <w:r w:rsidRPr="006D6B01">
        <w:rPr>
          <w:rStyle w:val="FootnoteReference"/>
          <w:rFonts w:asciiTheme="majorHAnsi" w:hAnsiTheme="majorHAnsi"/>
          <w:color w:val="000000" w:themeColor="text1"/>
          <w:sz w:val="20"/>
          <w:szCs w:val="20"/>
        </w:rPr>
        <w:footnoteReference w:id="130"/>
      </w:r>
      <w:r w:rsidRPr="006D6B01">
        <w:rPr>
          <w:rFonts w:asciiTheme="majorHAnsi" w:hAnsiTheme="majorHAnsi"/>
          <w:color w:val="000000" w:themeColor="text1"/>
          <w:sz w:val="20"/>
          <w:szCs w:val="20"/>
        </w:rPr>
        <w:t xml:space="preserve"> In particular, compliance with the </w:t>
      </w:r>
      <w:r w:rsidRPr="006D6B01">
        <w:rPr>
          <w:rFonts w:asciiTheme="majorHAnsi" w:hAnsiTheme="majorHAnsi"/>
          <w:i/>
          <w:color w:val="000000" w:themeColor="text1"/>
          <w:sz w:val="20"/>
          <w:szCs w:val="20"/>
        </w:rPr>
        <w:t xml:space="preserve">non-refoulement </w:t>
      </w:r>
      <w:r w:rsidRPr="006D6B01">
        <w:rPr>
          <w:rFonts w:asciiTheme="majorHAnsi" w:hAnsiTheme="majorHAnsi"/>
          <w:color w:val="000000" w:themeColor="text1"/>
          <w:sz w:val="20"/>
          <w:szCs w:val="20"/>
        </w:rPr>
        <w:t>obligation “necessarily means that such persons cannot be […] expelled without an adequate and individualized analysis” of their case, which includes the right to review of any decision.</w:t>
      </w:r>
      <w:r w:rsidRPr="006D6B01">
        <w:rPr>
          <w:rStyle w:val="FootnoteReference"/>
          <w:rFonts w:asciiTheme="majorHAnsi" w:hAnsiTheme="majorHAnsi"/>
          <w:color w:val="000000" w:themeColor="text1"/>
          <w:sz w:val="20"/>
          <w:szCs w:val="20"/>
        </w:rPr>
        <w:footnoteReference w:id="131"/>
      </w:r>
    </w:p>
    <w:p w14:paraId="3941CF13" w14:textId="77777777" w:rsidR="00350F9D" w:rsidRPr="006D6B01" w:rsidRDefault="00350F9D" w:rsidP="004311F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color w:val="000000" w:themeColor="text1"/>
          <w:sz w:val="20"/>
          <w:szCs w:val="20"/>
        </w:rPr>
      </w:pPr>
    </w:p>
    <w:p w14:paraId="2CB1CBF8" w14:textId="78715867" w:rsidR="00931199" w:rsidRPr="006D6B01" w:rsidRDefault="00350F9D"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color w:val="000000" w:themeColor="text1"/>
          <w:sz w:val="20"/>
          <w:szCs w:val="20"/>
        </w:rPr>
      </w:pPr>
      <w:r w:rsidRPr="006D6B01">
        <w:rPr>
          <w:rFonts w:asciiTheme="majorHAnsi" w:hAnsiTheme="majorHAnsi"/>
          <w:color w:val="000000" w:themeColor="text1"/>
          <w:sz w:val="20"/>
          <w:szCs w:val="20"/>
        </w:rPr>
        <w:t xml:space="preserve">The Commission recalls that a State’s compliance with </w:t>
      </w:r>
      <w:r w:rsidR="00CD167A" w:rsidRPr="006D6B01">
        <w:rPr>
          <w:rFonts w:asciiTheme="majorHAnsi" w:hAnsiTheme="majorHAnsi"/>
          <w:color w:val="000000" w:themeColor="text1"/>
          <w:sz w:val="20"/>
          <w:szCs w:val="20"/>
        </w:rPr>
        <w:t>the</w:t>
      </w:r>
      <w:r w:rsidRPr="006D6B01">
        <w:rPr>
          <w:rFonts w:asciiTheme="majorHAnsi" w:hAnsiTheme="majorHAnsi"/>
          <w:color w:val="000000" w:themeColor="text1"/>
          <w:sz w:val="20"/>
          <w:szCs w:val="20"/>
        </w:rPr>
        <w:t xml:space="preserve"> procedural rights </w:t>
      </w:r>
      <w:r w:rsidR="00CD167A" w:rsidRPr="006D6B01">
        <w:rPr>
          <w:rFonts w:asciiTheme="majorHAnsi" w:hAnsiTheme="majorHAnsi"/>
          <w:color w:val="000000" w:themeColor="text1"/>
          <w:sz w:val="20"/>
          <w:szCs w:val="20"/>
        </w:rPr>
        <w:t xml:space="preserve">comprised in the right to seek and receive asylum </w:t>
      </w:r>
      <w:r w:rsidRPr="006D6B01">
        <w:rPr>
          <w:rFonts w:asciiTheme="majorHAnsi" w:hAnsiTheme="majorHAnsi"/>
          <w:color w:val="000000" w:themeColor="text1"/>
          <w:sz w:val="20"/>
          <w:szCs w:val="20"/>
        </w:rPr>
        <w:t xml:space="preserve">is essential to </w:t>
      </w:r>
      <w:r w:rsidR="00CD167A" w:rsidRPr="006D6B01">
        <w:rPr>
          <w:rFonts w:asciiTheme="majorHAnsi" w:hAnsiTheme="majorHAnsi"/>
          <w:color w:val="000000" w:themeColor="text1"/>
          <w:sz w:val="20"/>
          <w:szCs w:val="20"/>
        </w:rPr>
        <w:t xml:space="preserve">demonstrate that </w:t>
      </w:r>
      <w:r w:rsidRPr="006D6B01">
        <w:rPr>
          <w:rFonts w:asciiTheme="majorHAnsi" w:hAnsiTheme="majorHAnsi"/>
          <w:color w:val="000000" w:themeColor="text1"/>
          <w:sz w:val="20"/>
          <w:szCs w:val="20"/>
        </w:rPr>
        <w:t xml:space="preserve">an analysis of whether a decision to </w:t>
      </w:r>
      <w:r w:rsidR="00A01864" w:rsidRPr="006D6B01">
        <w:rPr>
          <w:rFonts w:asciiTheme="majorHAnsi" w:hAnsiTheme="majorHAnsi"/>
          <w:color w:val="000000" w:themeColor="text1"/>
          <w:sz w:val="20"/>
          <w:szCs w:val="20"/>
        </w:rPr>
        <w:t>e</w:t>
      </w:r>
      <w:r w:rsidRPr="006D6B01">
        <w:rPr>
          <w:rFonts w:asciiTheme="majorHAnsi" w:hAnsiTheme="majorHAnsi"/>
          <w:color w:val="000000" w:themeColor="text1"/>
          <w:sz w:val="20"/>
          <w:szCs w:val="20"/>
        </w:rPr>
        <w:t xml:space="preserve">ffect the return of a person to another country or territory is compatible with the principle of </w:t>
      </w:r>
      <w:r w:rsidRPr="006D6B01">
        <w:rPr>
          <w:rFonts w:asciiTheme="majorHAnsi" w:hAnsiTheme="majorHAnsi"/>
          <w:i/>
          <w:color w:val="000000" w:themeColor="text1"/>
          <w:sz w:val="20"/>
          <w:szCs w:val="20"/>
        </w:rPr>
        <w:t>non-refoulement</w:t>
      </w:r>
      <w:r w:rsidRPr="006D6B01">
        <w:rPr>
          <w:rFonts w:asciiTheme="majorHAnsi" w:hAnsiTheme="majorHAnsi"/>
          <w:color w:val="000000" w:themeColor="text1"/>
          <w:sz w:val="20"/>
          <w:szCs w:val="20"/>
        </w:rPr>
        <w:t xml:space="preserve">. That is, these procedural guarantees apply and may be sufficient to find a violation of the principle of </w:t>
      </w:r>
      <w:r w:rsidRPr="006D6B01">
        <w:rPr>
          <w:rFonts w:asciiTheme="majorHAnsi" w:hAnsiTheme="majorHAnsi"/>
          <w:i/>
          <w:color w:val="000000" w:themeColor="text1"/>
          <w:sz w:val="20"/>
          <w:szCs w:val="20"/>
        </w:rPr>
        <w:t>non-refoulement</w:t>
      </w:r>
      <w:r w:rsidRPr="006D6B01">
        <w:rPr>
          <w:rFonts w:asciiTheme="majorHAnsi" w:hAnsiTheme="majorHAnsi"/>
          <w:color w:val="000000" w:themeColor="text1"/>
          <w:sz w:val="20"/>
          <w:szCs w:val="20"/>
        </w:rPr>
        <w:t>, independent of any later finding that an act of torture, persecution, or violation of the right to life actually occurred.</w:t>
      </w:r>
      <w:r w:rsidRPr="006D6B01">
        <w:rPr>
          <w:rStyle w:val="FootnoteReference"/>
          <w:rFonts w:asciiTheme="majorHAnsi" w:hAnsiTheme="majorHAnsi"/>
          <w:color w:val="000000" w:themeColor="text1"/>
          <w:sz w:val="20"/>
          <w:szCs w:val="20"/>
        </w:rPr>
        <w:footnoteReference w:id="132"/>
      </w:r>
      <w:r w:rsidRPr="006D6B01">
        <w:rPr>
          <w:rFonts w:asciiTheme="majorHAnsi" w:hAnsiTheme="majorHAnsi"/>
          <w:color w:val="000000" w:themeColor="text1"/>
          <w:sz w:val="20"/>
          <w:szCs w:val="20"/>
        </w:rPr>
        <w:t xml:space="preserve"> Moreover, the Commission reiterates that where a likelihood of persecution, torture, or other CIDT exists, the sufficiency, clarity, and reliability of diplomatic or other assurances that an individual will not be subject to torture or CIDT must be fully assessed, taking into account the past behavior of the State in question.</w:t>
      </w:r>
      <w:r w:rsidRPr="006D6B01">
        <w:rPr>
          <w:rStyle w:val="FootnoteReference"/>
          <w:rFonts w:asciiTheme="majorHAnsi" w:hAnsiTheme="majorHAnsi"/>
          <w:color w:val="000000" w:themeColor="text1"/>
          <w:sz w:val="20"/>
          <w:szCs w:val="20"/>
        </w:rPr>
        <w:footnoteReference w:id="133"/>
      </w:r>
      <w:r w:rsidR="00CD167A" w:rsidRPr="006D6B01">
        <w:rPr>
          <w:rFonts w:asciiTheme="majorHAnsi" w:hAnsiTheme="majorHAnsi"/>
          <w:color w:val="000000" w:themeColor="text1"/>
          <w:sz w:val="20"/>
          <w:szCs w:val="20"/>
        </w:rPr>
        <w:t xml:space="preserve"> </w:t>
      </w:r>
    </w:p>
    <w:p w14:paraId="3BEAA82F" w14:textId="77777777" w:rsidR="00CD167A" w:rsidRPr="006D6B01" w:rsidRDefault="00CD167A" w:rsidP="004311FE">
      <w:pPr>
        <w:pStyle w:val="ListParagraph"/>
        <w:tabs>
          <w:tab w:val="left" w:pos="360"/>
        </w:tabs>
        <w:ind w:left="0"/>
        <w:rPr>
          <w:rFonts w:asciiTheme="majorHAnsi" w:hAnsiTheme="majorHAnsi"/>
          <w:color w:val="000000" w:themeColor="text1"/>
          <w:sz w:val="20"/>
          <w:szCs w:val="20"/>
        </w:rPr>
      </w:pPr>
    </w:p>
    <w:p w14:paraId="2931D7EC" w14:textId="200BBB8D" w:rsidR="00672F89" w:rsidRPr="006D6B01" w:rsidRDefault="00CD167A"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color w:val="000000" w:themeColor="text1"/>
          <w:sz w:val="20"/>
          <w:szCs w:val="20"/>
        </w:rPr>
      </w:pPr>
      <w:r w:rsidRPr="006D6B01">
        <w:rPr>
          <w:rFonts w:asciiTheme="majorHAnsi" w:hAnsiTheme="majorHAnsi"/>
          <w:color w:val="000000" w:themeColor="text1"/>
          <w:sz w:val="20"/>
          <w:szCs w:val="20"/>
        </w:rPr>
        <w:t xml:space="preserve">Lastly, </w:t>
      </w:r>
      <w:r w:rsidR="00672F89" w:rsidRPr="006D6B01">
        <w:rPr>
          <w:rFonts w:asciiTheme="majorHAnsi" w:hAnsiTheme="majorHAnsi"/>
          <w:color w:val="000000" w:themeColor="text1"/>
          <w:sz w:val="20"/>
          <w:szCs w:val="20"/>
        </w:rPr>
        <w:t>both the Commission and the Court have observed that the right to equal protection and non-discrimination is the “central, basic axis of the Inter-American human rights system”.</w:t>
      </w:r>
      <w:r w:rsidR="00672F89" w:rsidRPr="006D6B01">
        <w:rPr>
          <w:rStyle w:val="FootnoteReference"/>
          <w:rFonts w:asciiTheme="majorHAnsi" w:hAnsiTheme="majorHAnsi"/>
          <w:color w:val="000000" w:themeColor="text1"/>
          <w:sz w:val="20"/>
          <w:szCs w:val="20"/>
        </w:rPr>
        <w:footnoteReference w:id="134"/>
      </w:r>
      <w:r w:rsidR="00672F89" w:rsidRPr="006D6B01">
        <w:rPr>
          <w:rFonts w:asciiTheme="majorHAnsi" w:hAnsiTheme="majorHAnsi"/>
          <w:color w:val="000000" w:themeColor="text1"/>
          <w:sz w:val="20"/>
          <w:szCs w:val="20"/>
        </w:rPr>
        <w:t xml:space="preserve"> The right to equality before the law and the obligation not to discriminate against any person constitute the basic foundation of the Inter-American system of human rights. The American Declaration states in its preamble "all men are born free and equal in dignity and rights are endowed by nature with reason and conscience and shou</w:t>
      </w:r>
      <w:r w:rsidR="005D65FC" w:rsidRPr="006D6B01">
        <w:rPr>
          <w:rFonts w:asciiTheme="majorHAnsi" w:hAnsiTheme="majorHAnsi"/>
          <w:color w:val="000000" w:themeColor="text1"/>
          <w:sz w:val="20"/>
          <w:szCs w:val="20"/>
        </w:rPr>
        <w:t xml:space="preserve">ld behave towards one another" and also </w:t>
      </w:r>
      <w:r w:rsidR="00672F89" w:rsidRPr="006D6B01">
        <w:rPr>
          <w:rFonts w:asciiTheme="majorHAnsi" w:hAnsiTheme="majorHAnsi"/>
          <w:color w:val="000000" w:themeColor="text1"/>
          <w:sz w:val="20"/>
          <w:szCs w:val="20"/>
        </w:rPr>
        <w:t xml:space="preserve">provides in Article II that "all persons are equal before the law and have the rights and </w:t>
      </w:r>
      <w:r w:rsidR="00672F89" w:rsidRPr="006D6B01">
        <w:rPr>
          <w:rFonts w:asciiTheme="majorHAnsi" w:hAnsiTheme="majorHAnsi"/>
          <w:color w:val="000000" w:themeColor="text1"/>
          <w:sz w:val="20"/>
          <w:szCs w:val="20"/>
        </w:rPr>
        <w:lastRenderedPageBreak/>
        <w:t>duties in this Declaration, without distinction of race, sex, language, creed or any other condition." Furthermore, Article 3 of the OAS Charter includes among the principles reaffirmed by the American States the proclamation of “the fundamental rights of the human person without distinction of race, nationality, creed or sex”.</w:t>
      </w:r>
      <w:r w:rsidR="00672F89" w:rsidRPr="006D6B01">
        <w:rPr>
          <w:rStyle w:val="FootnoteReference"/>
          <w:rFonts w:asciiTheme="majorHAnsi" w:hAnsiTheme="majorHAnsi"/>
          <w:color w:val="000000" w:themeColor="text1"/>
          <w:sz w:val="20"/>
          <w:szCs w:val="20"/>
        </w:rPr>
        <w:footnoteReference w:id="135"/>
      </w:r>
    </w:p>
    <w:p w14:paraId="3FA7126D" w14:textId="77777777" w:rsidR="00672F89" w:rsidRPr="006D6B01" w:rsidRDefault="00672F89" w:rsidP="004311F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color w:val="000000" w:themeColor="text1"/>
          <w:sz w:val="20"/>
          <w:szCs w:val="20"/>
        </w:rPr>
      </w:pPr>
    </w:p>
    <w:p w14:paraId="3442EAAB" w14:textId="372A8B2D" w:rsidR="00CD167A" w:rsidRPr="006D6B01" w:rsidRDefault="005D65FC"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color w:val="000000" w:themeColor="text1"/>
          <w:sz w:val="20"/>
          <w:szCs w:val="20"/>
        </w:rPr>
      </w:pPr>
      <w:r w:rsidRPr="006D6B01">
        <w:rPr>
          <w:rFonts w:asciiTheme="majorHAnsi" w:eastAsia="Times New Roman" w:hAnsiTheme="majorHAnsi"/>
          <w:bCs/>
          <w:sz w:val="20"/>
          <w:szCs w:val="20"/>
          <w:bdr w:val="none" w:sz="0" w:space="0" w:color="auto"/>
        </w:rPr>
        <w:t xml:space="preserve">Accordingly, </w:t>
      </w:r>
      <w:r w:rsidR="00FF42CB" w:rsidRPr="006D6B01">
        <w:rPr>
          <w:rFonts w:asciiTheme="majorHAnsi" w:eastAsia="Times New Roman" w:hAnsiTheme="majorHAnsi"/>
          <w:bCs/>
          <w:sz w:val="20"/>
          <w:szCs w:val="20"/>
          <w:bdr w:val="none" w:sz="0" w:space="0" w:color="auto"/>
        </w:rPr>
        <w:t>Article II o</w:t>
      </w:r>
      <w:r w:rsidRPr="006D6B01">
        <w:rPr>
          <w:rFonts w:asciiTheme="majorHAnsi" w:eastAsia="Times New Roman" w:hAnsiTheme="majorHAnsi"/>
          <w:bCs/>
          <w:sz w:val="20"/>
          <w:szCs w:val="20"/>
          <w:bdr w:val="none" w:sz="0" w:space="0" w:color="auto"/>
        </w:rPr>
        <w:t xml:space="preserve">f the American Declaration </w:t>
      </w:r>
      <w:r w:rsidR="00FF42CB" w:rsidRPr="006D6B01">
        <w:rPr>
          <w:rFonts w:asciiTheme="majorHAnsi" w:eastAsia="Times New Roman" w:hAnsiTheme="majorHAnsi"/>
          <w:bCs/>
          <w:sz w:val="20"/>
          <w:szCs w:val="20"/>
          <w:bdr w:val="none" w:sz="0" w:space="0" w:color="auto"/>
        </w:rPr>
        <w:t>does require that any permissible distinctions be based on an objective and reasonable justification, that they further a legitimate objective, “regard being had to the principles which normally prevail in democratic societies, and that the means are reasonable and proportionate to the end sought.”</w:t>
      </w:r>
      <w:r w:rsidR="00FF42CB" w:rsidRPr="006D6B01">
        <w:rPr>
          <w:rStyle w:val="FootnoteReference"/>
          <w:rFonts w:asciiTheme="majorHAnsi" w:eastAsia="Times New Roman" w:hAnsiTheme="majorHAnsi"/>
          <w:bCs/>
          <w:sz w:val="20"/>
          <w:szCs w:val="20"/>
          <w:bdr w:val="none" w:sz="0" w:space="0" w:color="auto"/>
        </w:rPr>
        <w:footnoteReference w:id="136"/>
      </w:r>
      <w:r w:rsidR="00FF42CB" w:rsidRPr="006D6B01">
        <w:rPr>
          <w:rFonts w:asciiTheme="majorHAnsi" w:eastAsia="Times New Roman" w:hAnsiTheme="majorHAnsi"/>
          <w:bCs/>
          <w:sz w:val="20"/>
          <w:szCs w:val="20"/>
          <w:bdr w:val="none" w:sz="0" w:space="0" w:color="auto"/>
        </w:rPr>
        <w:t xml:space="preserve"> </w:t>
      </w:r>
      <w:r w:rsidR="00FF42CB" w:rsidRPr="006D6B01">
        <w:rPr>
          <w:rFonts w:asciiTheme="majorHAnsi" w:hAnsiTheme="majorHAnsi"/>
          <w:sz w:val="20"/>
          <w:szCs w:val="20"/>
        </w:rPr>
        <w:t>Further, distinctions based on grounds explicitly enumerated under pertinent articles of international human rights instruments are subject to a particularly strict level of scrutiny whereby States must provide an especially weighty interest and compelling justification for the distinction.</w:t>
      </w:r>
      <w:r w:rsidR="00FF42CB" w:rsidRPr="006D6B01">
        <w:rPr>
          <w:rStyle w:val="FootnoteReference"/>
          <w:rFonts w:asciiTheme="majorHAnsi" w:hAnsiTheme="majorHAnsi"/>
          <w:sz w:val="20"/>
          <w:szCs w:val="20"/>
        </w:rPr>
        <w:footnoteReference w:id="137"/>
      </w:r>
      <w:r w:rsidR="00FF42CB" w:rsidRPr="006D6B01">
        <w:rPr>
          <w:rFonts w:asciiTheme="majorHAnsi" w:hAnsiTheme="majorHAnsi"/>
          <w:sz w:val="20"/>
          <w:szCs w:val="20"/>
        </w:rPr>
        <w:t xml:space="preserve"> </w:t>
      </w:r>
      <w:r w:rsidR="00946A18" w:rsidRPr="006D6B01">
        <w:rPr>
          <w:rFonts w:asciiTheme="majorHAnsi" w:hAnsiTheme="majorHAnsi"/>
          <w:color w:val="000000" w:themeColor="text1"/>
          <w:sz w:val="20"/>
          <w:szCs w:val="20"/>
        </w:rPr>
        <w:t>In this sense</w:t>
      </w:r>
      <w:r w:rsidR="00FF42CB" w:rsidRPr="006D6B01">
        <w:rPr>
          <w:rFonts w:asciiTheme="majorHAnsi" w:hAnsiTheme="majorHAnsi"/>
          <w:color w:val="000000" w:themeColor="text1"/>
          <w:sz w:val="20"/>
          <w:szCs w:val="20"/>
        </w:rPr>
        <w:t>, t</w:t>
      </w:r>
      <w:r w:rsidR="00CD167A" w:rsidRPr="006D6B01">
        <w:rPr>
          <w:rFonts w:asciiTheme="majorHAnsi" w:hAnsiTheme="majorHAnsi"/>
          <w:color w:val="000000" w:themeColor="text1"/>
          <w:sz w:val="20"/>
          <w:szCs w:val="20"/>
        </w:rPr>
        <w:t xml:space="preserve">he mere allegation and/or existence of a legitimate purpose </w:t>
      </w:r>
      <w:r w:rsidR="00FF42CB" w:rsidRPr="006D6B01">
        <w:rPr>
          <w:rFonts w:asciiTheme="majorHAnsi" w:hAnsiTheme="majorHAnsi"/>
          <w:color w:val="000000" w:themeColor="text1"/>
          <w:sz w:val="20"/>
          <w:szCs w:val="20"/>
        </w:rPr>
        <w:t>are</w:t>
      </w:r>
      <w:r w:rsidR="00CD167A" w:rsidRPr="006D6B01">
        <w:rPr>
          <w:rFonts w:asciiTheme="majorHAnsi" w:hAnsiTheme="majorHAnsi"/>
          <w:color w:val="000000" w:themeColor="text1"/>
          <w:sz w:val="20"/>
          <w:szCs w:val="20"/>
        </w:rPr>
        <w:t xml:space="preserve"> not sufficient to justify a distinction based on a suspect category</w:t>
      </w:r>
      <w:r w:rsidR="00946A18" w:rsidRPr="006D6B01">
        <w:rPr>
          <w:rFonts w:asciiTheme="majorHAnsi" w:hAnsiTheme="majorHAnsi"/>
          <w:color w:val="000000" w:themeColor="text1"/>
          <w:sz w:val="20"/>
          <w:szCs w:val="20"/>
        </w:rPr>
        <w:t>, hence the right of access to and equality before the courts</w:t>
      </w:r>
      <w:r w:rsidRPr="006D6B01">
        <w:rPr>
          <w:rFonts w:asciiTheme="majorHAnsi" w:hAnsiTheme="majorHAnsi"/>
          <w:color w:val="000000" w:themeColor="text1"/>
          <w:sz w:val="20"/>
          <w:szCs w:val="20"/>
        </w:rPr>
        <w:t xml:space="preserve"> or special procedures for expedite repatriations</w:t>
      </w:r>
      <w:r w:rsidR="00946A18" w:rsidRPr="006D6B01">
        <w:rPr>
          <w:rFonts w:asciiTheme="majorHAnsi" w:hAnsiTheme="majorHAnsi"/>
          <w:color w:val="000000" w:themeColor="text1"/>
          <w:sz w:val="20"/>
          <w:szCs w:val="20"/>
        </w:rPr>
        <w:t>, cannot be</w:t>
      </w:r>
      <w:r w:rsidRPr="006D6B01">
        <w:rPr>
          <w:rFonts w:asciiTheme="majorHAnsi" w:hAnsiTheme="majorHAnsi"/>
          <w:color w:val="000000" w:themeColor="text1"/>
          <w:sz w:val="20"/>
          <w:szCs w:val="20"/>
        </w:rPr>
        <w:t xml:space="preserve"> automatically</w:t>
      </w:r>
      <w:r w:rsidR="00946A18" w:rsidRPr="006D6B01">
        <w:rPr>
          <w:rFonts w:asciiTheme="majorHAnsi" w:hAnsiTheme="majorHAnsi"/>
          <w:color w:val="000000" w:themeColor="text1"/>
          <w:sz w:val="20"/>
          <w:szCs w:val="20"/>
        </w:rPr>
        <w:t xml:space="preserve"> limited based on nationality</w:t>
      </w:r>
      <w:r w:rsidRPr="006D6B01">
        <w:rPr>
          <w:rFonts w:asciiTheme="majorHAnsi" w:hAnsiTheme="majorHAnsi"/>
          <w:color w:val="000000" w:themeColor="text1"/>
          <w:sz w:val="20"/>
          <w:szCs w:val="20"/>
        </w:rPr>
        <w:t xml:space="preserve"> or migratory status, which</w:t>
      </w:r>
      <w:r w:rsidRPr="006D6B01">
        <w:rPr>
          <w:rFonts w:asciiTheme="majorHAnsi" w:hAnsiTheme="majorHAnsi"/>
          <w:sz w:val="20"/>
          <w:szCs w:val="20"/>
        </w:rPr>
        <w:t xml:space="preserve"> are subject of a strict scrutiny to guarantee that the distinction is not based on the prejudices and/or stereotypes that generally surround suspect categories of distinction.</w:t>
      </w:r>
    </w:p>
    <w:p w14:paraId="06316290" w14:textId="77777777" w:rsidR="0070167B" w:rsidRPr="006D6B01" w:rsidRDefault="0070167B" w:rsidP="004311FE">
      <w:pPr>
        <w:pStyle w:val="ListParagraph"/>
        <w:tabs>
          <w:tab w:val="left" w:pos="360"/>
        </w:tabs>
        <w:ind w:left="0"/>
        <w:rPr>
          <w:rFonts w:asciiTheme="majorHAnsi" w:hAnsiTheme="majorHAnsi"/>
          <w:color w:val="000000" w:themeColor="text1"/>
          <w:sz w:val="20"/>
          <w:szCs w:val="20"/>
        </w:rPr>
      </w:pPr>
    </w:p>
    <w:p w14:paraId="2F9EE9E2" w14:textId="77777777" w:rsidR="0070167B" w:rsidRPr="006D6B01" w:rsidRDefault="00CD167A" w:rsidP="004311FE">
      <w:pPr>
        <w:pStyle w:val="Heading3"/>
        <w:tabs>
          <w:tab w:val="left" w:pos="360"/>
        </w:tabs>
        <w:ind w:left="0" w:firstLine="0"/>
      </w:pPr>
      <w:r w:rsidRPr="006D6B01">
        <w:rPr>
          <w:color w:val="000000" w:themeColor="text1"/>
        </w:rPr>
        <w:t xml:space="preserve"> </w:t>
      </w:r>
      <w:bookmarkStart w:id="27" w:name="_Toc90557419"/>
      <w:r w:rsidR="0070167B" w:rsidRPr="006D6B01">
        <w:t>Analysis of the case</w:t>
      </w:r>
      <w:bookmarkEnd w:id="27"/>
      <w:r w:rsidR="0070167B" w:rsidRPr="006D6B01">
        <w:t xml:space="preserve"> </w:t>
      </w:r>
    </w:p>
    <w:p w14:paraId="7E7F4615" w14:textId="77777777" w:rsidR="0070167B" w:rsidRPr="006D6B01" w:rsidRDefault="0070167B" w:rsidP="004311FE">
      <w:pPr>
        <w:tabs>
          <w:tab w:val="left" w:pos="360"/>
        </w:tabs>
        <w:rPr>
          <w:rFonts w:asciiTheme="majorHAnsi" w:hAnsiTheme="majorHAnsi"/>
          <w:sz w:val="20"/>
          <w:szCs w:val="20"/>
        </w:rPr>
      </w:pPr>
    </w:p>
    <w:p w14:paraId="73B0A2AA" w14:textId="77777777" w:rsidR="00455703" w:rsidRPr="006D6B01" w:rsidRDefault="0070167B"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6D6B01">
        <w:rPr>
          <w:rFonts w:asciiTheme="majorHAnsi" w:hAnsiTheme="majorHAnsi"/>
          <w:color w:val="000000" w:themeColor="text1"/>
          <w:sz w:val="20"/>
          <w:szCs w:val="20"/>
        </w:rPr>
        <w:t xml:space="preserve">In the present case, the State described </w:t>
      </w:r>
      <w:r w:rsidR="006B19E1" w:rsidRPr="006D6B01">
        <w:rPr>
          <w:rFonts w:asciiTheme="majorHAnsi" w:hAnsiTheme="majorHAnsi"/>
          <w:color w:val="000000" w:themeColor="text1"/>
          <w:sz w:val="20"/>
          <w:szCs w:val="20"/>
        </w:rPr>
        <w:t>its internal</w:t>
      </w:r>
      <w:r w:rsidR="00946A18" w:rsidRPr="006D6B01">
        <w:rPr>
          <w:rFonts w:asciiTheme="majorHAnsi" w:hAnsiTheme="majorHAnsi"/>
          <w:i/>
          <w:color w:val="000000" w:themeColor="text1"/>
          <w:sz w:val="20"/>
          <w:szCs w:val="20"/>
        </w:rPr>
        <w:t xml:space="preserve"> </w:t>
      </w:r>
      <w:r w:rsidRPr="006D6B01">
        <w:rPr>
          <w:rFonts w:asciiTheme="majorHAnsi" w:hAnsiTheme="majorHAnsi"/>
          <w:color w:val="000000" w:themeColor="text1"/>
          <w:sz w:val="20"/>
          <w:szCs w:val="20"/>
        </w:rPr>
        <w:t xml:space="preserve">policy </w:t>
      </w:r>
      <w:r w:rsidR="00946A18" w:rsidRPr="006D6B01">
        <w:rPr>
          <w:rFonts w:asciiTheme="majorHAnsi" w:hAnsiTheme="majorHAnsi"/>
          <w:color w:val="000000" w:themeColor="text1"/>
          <w:sz w:val="20"/>
          <w:szCs w:val="20"/>
        </w:rPr>
        <w:t xml:space="preserve">in relation to </w:t>
      </w:r>
      <w:r w:rsidR="006B19E1" w:rsidRPr="006D6B01">
        <w:rPr>
          <w:rFonts w:asciiTheme="majorHAnsi" w:hAnsiTheme="majorHAnsi"/>
          <w:color w:val="000000" w:themeColor="text1"/>
          <w:sz w:val="20"/>
          <w:szCs w:val="20"/>
        </w:rPr>
        <w:t>the determination of the status of undocumented immigrants</w:t>
      </w:r>
      <w:r w:rsidR="001E4E48" w:rsidRPr="006D6B01">
        <w:rPr>
          <w:rFonts w:asciiTheme="majorHAnsi" w:hAnsiTheme="majorHAnsi"/>
          <w:color w:val="000000" w:themeColor="text1"/>
          <w:sz w:val="20"/>
          <w:szCs w:val="20"/>
        </w:rPr>
        <w:t xml:space="preserve">. </w:t>
      </w:r>
      <w:r w:rsidR="00A01864" w:rsidRPr="006D6B01">
        <w:rPr>
          <w:rFonts w:asciiTheme="majorHAnsi" w:hAnsiTheme="majorHAnsi"/>
          <w:color w:val="000000" w:themeColor="text1"/>
          <w:sz w:val="20"/>
          <w:szCs w:val="20"/>
        </w:rPr>
        <w:t>In brief</w:t>
      </w:r>
      <w:r w:rsidR="001E4E48" w:rsidRPr="006D6B01">
        <w:rPr>
          <w:rFonts w:asciiTheme="majorHAnsi" w:hAnsiTheme="majorHAnsi"/>
          <w:color w:val="000000" w:themeColor="text1"/>
          <w:sz w:val="20"/>
          <w:szCs w:val="20"/>
        </w:rPr>
        <w:t xml:space="preserve">, upon detention, </w:t>
      </w:r>
      <w:r w:rsidR="009B5E6D" w:rsidRPr="006D6B01">
        <w:rPr>
          <w:rFonts w:asciiTheme="majorHAnsi" w:hAnsiTheme="majorHAnsi"/>
          <w:color w:val="000000" w:themeColor="text1"/>
          <w:sz w:val="20"/>
          <w:szCs w:val="20"/>
        </w:rPr>
        <w:t xml:space="preserve">all </w:t>
      </w:r>
      <w:r w:rsidR="00A007D4" w:rsidRPr="006D6B01">
        <w:rPr>
          <w:rFonts w:asciiTheme="majorHAnsi" w:hAnsiTheme="majorHAnsi"/>
          <w:color w:val="000000" w:themeColor="text1"/>
          <w:sz w:val="20"/>
          <w:szCs w:val="20"/>
        </w:rPr>
        <w:t xml:space="preserve">new arrivals </w:t>
      </w:r>
      <w:r w:rsidR="009B5E6D" w:rsidRPr="006D6B01">
        <w:rPr>
          <w:rFonts w:asciiTheme="majorHAnsi" w:hAnsiTheme="majorHAnsi"/>
          <w:color w:val="000000" w:themeColor="text1"/>
          <w:sz w:val="20"/>
          <w:szCs w:val="20"/>
        </w:rPr>
        <w:t xml:space="preserve">at Carmichael Center are subject </w:t>
      </w:r>
      <w:r w:rsidR="001E4E48" w:rsidRPr="006D6B01">
        <w:rPr>
          <w:rFonts w:asciiTheme="majorHAnsi" w:hAnsiTheme="majorHAnsi"/>
          <w:color w:val="000000" w:themeColor="text1"/>
          <w:sz w:val="20"/>
          <w:szCs w:val="20"/>
        </w:rPr>
        <w:t xml:space="preserve">to a profile for the purpose of providing personal data. Afterward, individuals are provided with </w:t>
      </w:r>
      <w:r w:rsidR="00A007D4" w:rsidRPr="006D6B01">
        <w:rPr>
          <w:rFonts w:asciiTheme="majorHAnsi" w:hAnsiTheme="majorHAnsi"/>
          <w:color w:val="000000" w:themeColor="text1"/>
          <w:sz w:val="20"/>
          <w:szCs w:val="20"/>
        </w:rPr>
        <w:t xml:space="preserve">the </w:t>
      </w:r>
      <w:r w:rsidR="001E4E48" w:rsidRPr="006D6B01">
        <w:rPr>
          <w:rFonts w:asciiTheme="majorHAnsi" w:hAnsiTheme="majorHAnsi"/>
          <w:color w:val="000000" w:themeColor="text1"/>
          <w:sz w:val="20"/>
          <w:szCs w:val="20"/>
        </w:rPr>
        <w:t xml:space="preserve">forms described </w:t>
      </w:r>
      <w:r w:rsidR="00FF32C5" w:rsidRPr="006D6B01">
        <w:rPr>
          <w:rFonts w:asciiTheme="majorHAnsi" w:hAnsiTheme="majorHAnsi"/>
          <w:color w:val="000000" w:themeColor="text1"/>
          <w:sz w:val="20"/>
          <w:szCs w:val="20"/>
        </w:rPr>
        <w:t xml:space="preserve">in the facts of the case </w:t>
      </w:r>
      <w:r w:rsidR="00A007D4" w:rsidRPr="006D6B01">
        <w:rPr>
          <w:rFonts w:asciiTheme="majorHAnsi" w:hAnsiTheme="majorHAnsi"/>
          <w:color w:val="000000" w:themeColor="text1"/>
          <w:sz w:val="20"/>
          <w:szCs w:val="20"/>
        </w:rPr>
        <w:t xml:space="preserve">in which </w:t>
      </w:r>
      <w:r w:rsidR="0017220F" w:rsidRPr="006D6B01">
        <w:rPr>
          <w:rFonts w:asciiTheme="majorHAnsi" w:hAnsiTheme="majorHAnsi"/>
          <w:color w:val="000000" w:themeColor="text1"/>
          <w:sz w:val="20"/>
          <w:szCs w:val="20"/>
        </w:rPr>
        <w:t>they</w:t>
      </w:r>
      <w:r w:rsidR="00A007D4" w:rsidRPr="006D6B01">
        <w:rPr>
          <w:rFonts w:asciiTheme="majorHAnsi" w:hAnsiTheme="majorHAnsi"/>
          <w:color w:val="000000" w:themeColor="text1"/>
          <w:sz w:val="20"/>
          <w:szCs w:val="20"/>
        </w:rPr>
        <w:t xml:space="preserve"> provide details as to w</w:t>
      </w:r>
      <w:r w:rsidR="00922097" w:rsidRPr="006D6B01">
        <w:rPr>
          <w:rFonts w:asciiTheme="majorHAnsi" w:hAnsiTheme="majorHAnsi"/>
          <w:color w:val="000000" w:themeColor="text1"/>
          <w:sz w:val="20"/>
          <w:szCs w:val="20"/>
        </w:rPr>
        <w:t xml:space="preserve">hy they left their home country, and other substantive information. </w:t>
      </w:r>
      <w:r w:rsidR="00A01864" w:rsidRPr="006D6B01">
        <w:rPr>
          <w:rFonts w:asciiTheme="majorHAnsi" w:hAnsiTheme="majorHAnsi"/>
          <w:color w:val="000000" w:themeColor="text1"/>
          <w:sz w:val="20"/>
          <w:szCs w:val="20"/>
        </w:rPr>
        <w:t>Finally</w:t>
      </w:r>
      <w:r w:rsidR="00922097" w:rsidRPr="006D6B01">
        <w:rPr>
          <w:rFonts w:asciiTheme="majorHAnsi" w:hAnsiTheme="majorHAnsi"/>
          <w:color w:val="000000" w:themeColor="text1"/>
          <w:sz w:val="20"/>
          <w:szCs w:val="20"/>
        </w:rPr>
        <w:t xml:space="preserve">, </w:t>
      </w:r>
      <w:r w:rsidR="0017220F" w:rsidRPr="006D6B01">
        <w:rPr>
          <w:rFonts w:asciiTheme="majorHAnsi" w:hAnsiTheme="majorHAnsi"/>
          <w:color w:val="000000" w:themeColor="text1"/>
          <w:sz w:val="20"/>
          <w:szCs w:val="20"/>
        </w:rPr>
        <w:t>at the</w:t>
      </w:r>
      <w:r w:rsidR="00FF32C5" w:rsidRPr="006D6B01">
        <w:rPr>
          <w:rFonts w:asciiTheme="majorHAnsi" w:hAnsiTheme="majorHAnsi"/>
          <w:color w:val="000000" w:themeColor="text1"/>
          <w:sz w:val="20"/>
          <w:szCs w:val="20"/>
        </w:rPr>
        <w:t xml:space="preserve"> suggestion of the Minister of Foreign Affairs </w:t>
      </w:r>
      <w:r w:rsidR="00922097" w:rsidRPr="006D6B01">
        <w:rPr>
          <w:rFonts w:asciiTheme="majorHAnsi" w:hAnsiTheme="majorHAnsi"/>
          <w:color w:val="000000" w:themeColor="text1"/>
          <w:sz w:val="20"/>
          <w:szCs w:val="20"/>
        </w:rPr>
        <w:t>the Cabinet of the Commonwealth of The Bahamas</w:t>
      </w:r>
      <w:r w:rsidR="00FF32C5" w:rsidRPr="006D6B01">
        <w:rPr>
          <w:rFonts w:asciiTheme="majorHAnsi" w:hAnsiTheme="majorHAnsi"/>
          <w:color w:val="000000" w:themeColor="text1"/>
          <w:sz w:val="20"/>
          <w:szCs w:val="20"/>
        </w:rPr>
        <w:t xml:space="preserve"> makes the final determination, in a case by case basis, of whether asylum will be granted or not. </w:t>
      </w:r>
      <w:r w:rsidR="00A01864" w:rsidRPr="006D6B01">
        <w:rPr>
          <w:rFonts w:asciiTheme="majorHAnsi" w:hAnsiTheme="majorHAnsi"/>
          <w:color w:val="000000" w:themeColor="text1"/>
          <w:sz w:val="20"/>
          <w:szCs w:val="20"/>
        </w:rPr>
        <w:t>Notwithstanding, the State does not yet have a law regarding the determination of refugee status</w:t>
      </w:r>
      <w:r w:rsidR="00572EAB" w:rsidRPr="006D6B01">
        <w:rPr>
          <w:rFonts w:asciiTheme="majorHAnsi" w:hAnsiTheme="majorHAnsi"/>
          <w:color w:val="000000" w:themeColor="text1"/>
          <w:sz w:val="20"/>
          <w:szCs w:val="20"/>
        </w:rPr>
        <w:t xml:space="preserve">. </w:t>
      </w:r>
      <w:r w:rsidR="00A01864" w:rsidRPr="006D6B01">
        <w:rPr>
          <w:rFonts w:asciiTheme="majorHAnsi" w:hAnsiTheme="majorHAnsi"/>
          <w:color w:val="000000" w:themeColor="text1"/>
          <w:sz w:val="20"/>
          <w:szCs w:val="20"/>
        </w:rPr>
        <w:t>In this regard</w:t>
      </w:r>
      <w:r w:rsidR="00FF32C5" w:rsidRPr="006D6B01">
        <w:rPr>
          <w:rFonts w:asciiTheme="majorHAnsi" w:hAnsiTheme="majorHAnsi"/>
          <w:color w:val="000000" w:themeColor="text1"/>
          <w:sz w:val="20"/>
          <w:szCs w:val="20"/>
        </w:rPr>
        <w:t xml:space="preserve">, the Commission will address the process of granting asylum </w:t>
      </w:r>
      <w:r w:rsidR="00545E58" w:rsidRPr="006D6B01">
        <w:rPr>
          <w:rFonts w:asciiTheme="majorHAnsi" w:hAnsiTheme="majorHAnsi"/>
          <w:color w:val="000000" w:themeColor="text1"/>
          <w:sz w:val="20"/>
          <w:szCs w:val="20"/>
        </w:rPr>
        <w:t>in The Bahamas in respect to the Inter-Americ</w:t>
      </w:r>
      <w:r w:rsidR="00455703" w:rsidRPr="006D6B01">
        <w:rPr>
          <w:rFonts w:asciiTheme="majorHAnsi" w:hAnsiTheme="majorHAnsi"/>
          <w:color w:val="000000" w:themeColor="text1"/>
          <w:sz w:val="20"/>
          <w:szCs w:val="20"/>
        </w:rPr>
        <w:t xml:space="preserve">an standards on </w:t>
      </w:r>
      <w:r w:rsidR="00A01864" w:rsidRPr="006D6B01">
        <w:rPr>
          <w:rFonts w:asciiTheme="majorHAnsi" w:hAnsiTheme="majorHAnsi"/>
          <w:color w:val="000000" w:themeColor="text1"/>
          <w:sz w:val="20"/>
          <w:szCs w:val="20"/>
        </w:rPr>
        <w:t>the right to seek and receive asylum</w:t>
      </w:r>
      <w:r w:rsidR="00455703" w:rsidRPr="006D6B01">
        <w:rPr>
          <w:rFonts w:asciiTheme="majorHAnsi" w:hAnsiTheme="majorHAnsi"/>
          <w:color w:val="000000" w:themeColor="text1"/>
          <w:sz w:val="20"/>
          <w:szCs w:val="20"/>
        </w:rPr>
        <w:t>.</w:t>
      </w:r>
    </w:p>
    <w:p w14:paraId="5A5D4A85" w14:textId="77777777" w:rsidR="008E2E7E" w:rsidRPr="006D6B01" w:rsidRDefault="008E2E7E" w:rsidP="004311F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p>
    <w:p w14:paraId="4800A669" w14:textId="77777777" w:rsidR="003370B8" w:rsidRPr="006D6B01" w:rsidRDefault="00455703"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6D6B01">
        <w:rPr>
          <w:rFonts w:asciiTheme="majorHAnsi" w:hAnsiTheme="majorHAnsi"/>
          <w:color w:val="000000" w:themeColor="text1"/>
          <w:sz w:val="20"/>
          <w:szCs w:val="20"/>
        </w:rPr>
        <w:t xml:space="preserve">First, the Commission notes that the current procedure for the determination of refugee status is based on customary practice, </w:t>
      </w:r>
      <w:r w:rsidR="00A01864" w:rsidRPr="006D6B01">
        <w:rPr>
          <w:rFonts w:asciiTheme="majorHAnsi" w:hAnsiTheme="majorHAnsi"/>
          <w:color w:val="000000" w:themeColor="text1"/>
          <w:sz w:val="20"/>
          <w:szCs w:val="20"/>
        </w:rPr>
        <w:t>as</w:t>
      </w:r>
      <w:r w:rsidRPr="006D6B01">
        <w:rPr>
          <w:rFonts w:asciiTheme="majorHAnsi" w:hAnsiTheme="majorHAnsi"/>
          <w:color w:val="000000" w:themeColor="text1"/>
          <w:sz w:val="20"/>
          <w:szCs w:val="20"/>
        </w:rPr>
        <w:t xml:space="preserve"> no enacted legislation regulating the matter is currently in place. In this sense, even though the Inter-American standards do not establish an exclusive or unique way to regulate the determination of the refugee status, the Commission</w:t>
      </w:r>
      <w:r w:rsidR="00A01864" w:rsidRPr="006D6B01">
        <w:rPr>
          <w:rFonts w:asciiTheme="majorHAnsi" w:hAnsiTheme="majorHAnsi"/>
          <w:color w:val="000000" w:themeColor="text1"/>
          <w:sz w:val="20"/>
          <w:szCs w:val="20"/>
        </w:rPr>
        <w:t xml:space="preserve"> considers that the State has not demonstrated that the system described comports with international standards. In particular, the Commission</w:t>
      </w:r>
      <w:r w:rsidRPr="006D6B01">
        <w:rPr>
          <w:rFonts w:asciiTheme="majorHAnsi" w:hAnsiTheme="majorHAnsi"/>
          <w:color w:val="000000" w:themeColor="text1"/>
          <w:sz w:val="20"/>
          <w:szCs w:val="20"/>
        </w:rPr>
        <w:t xml:space="preserve"> has no evidence </w:t>
      </w:r>
      <w:r w:rsidR="00A01864" w:rsidRPr="006D6B01">
        <w:rPr>
          <w:rFonts w:asciiTheme="majorHAnsi" w:hAnsiTheme="majorHAnsi"/>
          <w:color w:val="000000" w:themeColor="text1"/>
          <w:sz w:val="20"/>
          <w:szCs w:val="20"/>
        </w:rPr>
        <w:t>indicating the deliberative process by which</w:t>
      </w:r>
      <w:r w:rsidRPr="006D6B01">
        <w:rPr>
          <w:rFonts w:asciiTheme="majorHAnsi" w:hAnsiTheme="majorHAnsi"/>
          <w:color w:val="000000" w:themeColor="text1"/>
          <w:sz w:val="20"/>
          <w:szCs w:val="20"/>
        </w:rPr>
        <w:t xml:space="preserve"> the State </w:t>
      </w:r>
      <w:r w:rsidR="00D9632A" w:rsidRPr="006D6B01">
        <w:rPr>
          <w:rFonts w:asciiTheme="majorHAnsi" w:hAnsiTheme="majorHAnsi"/>
          <w:color w:val="000000" w:themeColor="text1"/>
          <w:sz w:val="20"/>
          <w:szCs w:val="20"/>
        </w:rPr>
        <w:t xml:space="preserve">decides to </w:t>
      </w:r>
      <w:r w:rsidRPr="006D6B01">
        <w:rPr>
          <w:rFonts w:asciiTheme="majorHAnsi" w:hAnsiTheme="majorHAnsi"/>
          <w:color w:val="000000" w:themeColor="text1"/>
          <w:sz w:val="20"/>
          <w:szCs w:val="20"/>
        </w:rPr>
        <w:t>grant</w:t>
      </w:r>
      <w:r w:rsidR="00D9632A" w:rsidRPr="006D6B01">
        <w:rPr>
          <w:rFonts w:asciiTheme="majorHAnsi" w:hAnsiTheme="majorHAnsi"/>
          <w:color w:val="000000" w:themeColor="text1"/>
          <w:sz w:val="20"/>
          <w:szCs w:val="20"/>
        </w:rPr>
        <w:t xml:space="preserve"> or deny</w:t>
      </w:r>
      <w:r w:rsidRPr="006D6B01">
        <w:rPr>
          <w:rFonts w:asciiTheme="majorHAnsi" w:hAnsiTheme="majorHAnsi"/>
          <w:color w:val="000000" w:themeColor="text1"/>
          <w:sz w:val="20"/>
          <w:szCs w:val="20"/>
        </w:rPr>
        <w:t xml:space="preserve"> international protection</w:t>
      </w:r>
      <w:r w:rsidR="00A01864" w:rsidRPr="006D6B01">
        <w:rPr>
          <w:rFonts w:asciiTheme="majorHAnsi" w:hAnsiTheme="majorHAnsi"/>
          <w:color w:val="000000" w:themeColor="text1"/>
          <w:sz w:val="20"/>
          <w:szCs w:val="20"/>
        </w:rPr>
        <w:t xml:space="preserve">, including the procedural protections in place to ensure adequate information about the right to seek asylum, interpretation and legal assistance, the factors it weighs in determining </w:t>
      </w:r>
      <w:r w:rsidR="00D9632A" w:rsidRPr="006D6B01">
        <w:rPr>
          <w:rFonts w:asciiTheme="majorHAnsi" w:hAnsiTheme="majorHAnsi"/>
          <w:color w:val="000000" w:themeColor="text1"/>
          <w:sz w:val="20"/>
          <w:szCs w:val="20"/>
        </w:rPr>
        <w:t>whether or not an individual meets the refugee definition</w:t>
      </w:r>
      <w:r w:rsidR="00A01864" w:rsidRPr="006D6B01">
        <w:rPr>
          <w:rFonts w:asciiTheme="majorHAnsi" w:hAnsiTheme="majorHAnsi"/>
          <w:color w:val="000000" w:themeColor="text1"/>
          <w:sz w:val="20"/>
          <w:szCs w:val="20"/>
        </w:rPr>
        <w:t>, burdens of proof</w:t>
      </w:r>
      <w:r w:rsidR="00D9632A" w:rsidRPr="006D6B01">
        <w:rPr>
          <w:rFonts w:asciiTheme="majorHAnsi" w:hAnsiTheme="majorHAnsi"/>
          <w:color w:val="000000" w:themeColor="text1"/>
          <w:sz w:val="20"/>
          <w:szCs w:val="20"/>
        </w:rPr>
        <w:t xml:space="preserve"> and evidentiary considerations</w:t>
      </w:r>
      <w:r w:rsidR="00A01864" w:rsidRPr="006D6B01">
        <w:rPr>
          <w:rFonts w:asciiTheme="majorHAnsi" w:hAnsiTheme="majorHAnsi"/>
          <w:color w:val="000000" w:themeColor="text1"/>
          <w:sz w:val="20"/>
          <w:szCs w:val="20"/>
        </w:rPr>
        <w:t>, and guarantees that decisions are duly motivated,</w:t>
      </w:r>
      <w:r w:rsidRPr="006D6B01">
        <w:rPr>
          <w:rFonts w:asciiTheme="majorHAnsi" w:hAnsiTheme="majorHAnsi"/>
          <w:color w:val="000000" w:themeColor="text1"/>
          <w:sz w:val="20"/>
          <w:szCs w:val="20"/>
        </w:rPr>
        <w:t xml:space="preserve"> </w:t>
      </w:r>
      <w:r w:rsidR="00A01864" w:rsidRPr="006D6B01">
        <w:rPr>
          <w:rFonts w:asciiTheme="majorHAnsi" w:hAnsiTheme="majorHAnsi"/>
          <w:color w:val="000000" w:themeColor="text1"/>
          <w:sz w:val="20"/>
          <w:szCs w:val="20"/>
        </w:rPr>
        <w:t xml:space="preserve">in line with </w:t>
      </w:r>
      <w:r w:rsidRPr="006D6B01">
        <w:rPr>
          <w:rFonts w:asciiTheme="majorHAnsi" w:hAnsiTheme="majorHAnsi"/>
          <w:color w:val="000000" w:themeColor="text1"/>
          <w:sz w:val="20"/>
          <w:szCs w:val="20"/>
        </w:rPr>
        <w:t>the guarantees of due process enshrined by the American Declaration. The procedure described onl</w:t>
      </w:r>
      <w:r w:rsidR="00F85322" w:rsidRPr="006D6B01">
        <w:rPr>
          <w:rFonts w:asciiTheme="majorHAnsi" w:hAnsiTheme="majorHAnsi"/>
          <w:color w:val="000000" w:themeColor="text1"/>
          <w:sz w:val="20"/>
          <w:szCs w:val="20"/>
        </w:rPr>
        <w:t>y explain</w:t>
      </w:r>
      <w:r w:rsidR="00A01864" w:rsidRPr="006D6B01">
        <w:rPr>
          <w:rFonts w:asciiTheme="majorHAnsi" w:hAnsiTheme="majorHAnsi"/>
          <w:color w:val="000000" w:themeColor="text1"/>
          <w:sz w:val="20"/>
          <w:szCs w:val="20"/>
        </w:rPr>
        <w:t>s</w:t>
      </w:r>
      <w:r w:rsidR="00F85322" w:rsidRPr="006D6B01">
        <w:rPr>
          <w:rFonts w:asciiTheme="majorHAnsi" w:hAnsiTheme="majorHAnsi"/>
          <w:color w:val="000000" w:themeColor="text1"/>
          <w:sz w:val="20"/>
          <w:szCs w:val="20"/>
        </w:rPr>
        <w:t xml:space="preserve"> the chain of decision-making</w:t>
      </w:r>
      <w:r w:rsidRPr="006D6B01">
        <w:rPr>
          <w:rFonts w:asciiTheme="majorHAnsi" w:hAnsiTheme="majorHAnsi"/>
          <w:color w:val="000000" w:themeColor="text1"/>
          <w:sz w:val="20"/>
          <w:szCs w:val="20"/>
        </w:rPr>
        <w:t xml:space="preserve"> in order to apply for asylum but does not demonstrate the realization of the guarantees as to which the applicants are entitled.</w:t>
      </w:r>
    </w:p>
    <w:p w14:paraId="5BFCD8AB" w14:textId="77777777" w:rsidR="003370B8" w:rsidRPr="006D6B01" w:rsidRDefault="003370B8" w:rsidP="004311F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p>
    <w:p w14:paraId="0E10FFC0" w14:textId="2D34D870" w:rsidR="00A139ED" w:rsidRPr="006D6B01" w:rsidRDefault="003370B8"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6D6B01">
        <w:rPr>
          <w:rFonts w:asciiTheme="majorHAnsi" w:hAnsiTheme="majorHAnsi"/>
          <w:sz w:val="20"/>
          <w:szCs w:val="20"/>
        </w:rPr>
        <w:t xml:space="preserve">Second, the Commission finds that the alleged victims were treated </w:t>
      </w:r>
      <w:r w:rsidR="00D9632A" w:rsidRPr="006D6B01">
        <w:rPr>
          <w:rFonts w:asciiTheme="majorHAnsi" w:hAnsiTheme="majorHAnsi"/>
          <w:sz w:val="20"/>
          <w:szCs w:val="20"/>
        </w:rPr>
        <w:t>collectively</w:t>
      </w:r>
      <w:r w:rsidRPr="006D6B01">
        <w:rPr>
          <w:rFonts w:asciiTheme="majorHAnsi" w:hAnsiTheme="majorHAnsi"/>
          <w:sz w:val="20"/>
          <w:szCs w:val="20"/>
        </w:rPr>
        <w:t>, disregarding the specific situations leading them to flee their home countries. In this way, the lack of information regarding the individualization of the alleged victims,</w:t>
      </w:r>
      <w:r w:rsidR="000C027A">
        <w:rPr>
          <w:rFonts w:asciiTheme="majorHAnsi" w:hAnsiTheme="majorHAnsi"/>
          <w:sz w:val="20"/>
          <w:szCs w:val="20"/>
        </w:rPr>
        <w:t xml:space="preserve"> which was the burden of the State to provide in the specific circumstances of the case,</w:t>
      </w:r>
      <w:r w:rsidRPr="006D6B01">
        <w:rPr>
          <w:rFonts w:asciiTheme="majorHAnsi" w:hAnsiTheme="majorHAnsi"/>
          <w:sz w:val="20"/>
          <w:szCs w:val="20"/>
        </w:rPr>
        <w:t xml:space="preserve"> </w:t>
      </w:r>
      <w:r w:rsidR="00D9632A" w:rsidRPr="006D6B01">
        <w:rPr>
          <w:rFonts w:asciiTheme="majorHAnsi" w:hAnsiTheme="majorHAnsi"/>
          <w:sz w:val="20"/>
          <w:szCs w:val="20"/>
        </w:rPr>
        <w:t xml:space="preserve">leads </w:t>
      </w:r>
      <w:r w:rsidRPr="006D6B01">
        <w:rPr>
          <w:rFonts w:asciiTheme="majorHAnsi" w:hAnsiTheme="majorHAnsi"/>
          <w:sz w:val="20"/>
          <w:szCs w:val="20"/>
        </w:rPr>
        <w:t>the IACHR to conclude that the State was not prepared to face the influx of groups</w:t>
      </w:r>
      <w:r w:rsidR="00D9632A" w:rsidRPr="006D6B01">
        <w:rPr>
          <w:rFonts w:asciiTheme="majorHAnsi" w:hAnsiTheme="majorHAnsi"/>
          <w:sz w:val="20"/>
          <w:szCs w:val="20"/>
        </w:rPr>
        <w:t xml:space="preserve"> of migrants</w:t>
      </w:r>
      <w:r w:rsidRPr="006D6B01">
        <w:rPr>
          <w:rFonts w:asciiTheme="majorHAnsi" w:hAnsiTheme="majorHAnsi"/>
          <w:sz w:val="20"/>
          <w:szCs w:val="20"/>
        </w:rPr>
        <w:t xml:space="preserve">, and consequently, no adequate effort was carried out in order to </w:t>
      </w:r>
      <w:r w:rsidR="00D9632A" w:rsidRPr="006D6B01">
        <w:rPr>
          <w:rFonts w:asciiTheme="majorHAnsi" w:hAnsiTheme="majorHAnsi"/>
          <w:sz w:val="20"/>
          <w:szCs w:val="20"/>
        </w:rPr>
        <w:t>screen detainees for possible international protection needs</w:t>
      </w:r>
      <w:r w:rsidRPr="006D6B01">
        <w:rPr>
          <w:rFonts w:asciiTheme="majorHAnsi" w:hAnsiTheme="majorHAnsi"/>
          <w:sz w:val="20"/>
          <w:szCs w:val="20"/>
        </w:rPr>
        <w:t xml:space="preserve">. This initial </w:t>
      </w:r>
      <w:r w:rsidR="00AD4E7C" w:rsidRPr="006D6B01">
        <w:rPr>
          <w:rFonts w:asciiTheme="majorHAnsi" w:hAnsiTheme="majorHAnsi"/>
          <w:sz w:val="20"/>
          <w:szCs w:val="20"/>
        </w:rPr>
        <w:t>flaw</w:t>
      </w:r>
      <w:r w:rsidRPr="006D6B01">
        <w:rPr>
          <w:rFonts w:asciiTheme="majorHAnsi" w:hAnsiTheme="majorHAnsi"/>
          <w:sz w:val="20"/>
          <w:szCs w:val="20"/>
        </w:rPr>
        <w:t xml:space="preserve"> prompted a collective decision </w:t>
      </w:r>
      <w:r w:rsidR="00D9632A" w:rsidRPr="006D6B01">
        <w:rPr>
          <w:rFonts w:asciiTheme="majorHAnsi" w:hAnsiTheme="majorHAnsi"/>
          <w:sz w:val="20"/>
          <w:szCs w:val="20"/>
        </w:rPr>
        <w:t xml:space="preserve">to </w:t>
      </w:r>
      <w:r w:rsidRPr="006D6B01">
        <w:rPr>
          <w:rFonts w:asciiTheme="majorHAnsi" w:hAnsiTheme="majorHAnsi"/>
          <w:sz w:val="20"/>
          <w:szCs w:val="20"/>
        </w:rPr>
        <w:t>repatriat</w:t>
      </w:r>
      <w:r w:rsidR="00D9632A" w:rsidRPr="006D6B01">
        <w:rPr>
          <w:rFonts w:asciiTheme="majorHAnsi" w:hAnsiTheme="majorHAnsi"/>
          <w:sz w:val="20"/>
          <w:szCs w:val="20"/>
        </w:rPr>
        <w:t>e</w:t>
      </w:r>
      <w:r w:rsidRPr="006D6B01">
        <w:rPr>
          <w:rFonts w:asciiTheme="majorHAnsi" w:hAnsiTheme="majorHAnsi"/>
          <w:sz w:val="20"/>
          <w:szCs w:val="20"/>
        </w:rPr>
        <w:t xml:space="preserve"> all </w:t>
      </w:r>
      <w:r w:rsidRPr="006D6B01">
        <w:rPr>
          <w:rFonts w:asciiTheme="majorHAnsi" w:hAnsiTheme="majorHAnsi"/>
          <w:sz w:val="20"/>
          <w:szCs w:val="20"/>
        </w:rPr>
        <w:lastRenderedPageBreak/>
        <w:t xml:space="preserve">detainees, denying them access to a fair determination process, and in doing so, preventing the Commission </w:t>
      </w:r>
      <w:r w:rsidR="00D9632A" w:rsidRPr="006D6B01">
        <w:rPr>
          <w:rFonts w:asciiTheme="majorHAnsi" w:hAnsiTheme="majorHAnsi"/>
          <w:sz w:val="20"/>
          <w:szCs w:val="20"/>
        </w:rPr>
        <w:t xml:space="preserve">from </w:t>
      </w:r>
      <w:r w:rsidRPr="006D6B01">
        <w:rPr>
          <w:rFonts w:asciiTheme="majorHAnsi" w:hAnsiTheme="majorHAnsi"/>
          <w:sz w:val="20"/>
          <w:szCs w:val="20"/>
        </w:rPr>
        <w:t>understand</w:t>
      </w:r>
      <w:r w:rsidR="00D9632A" w:rsidRPr="006D6B01">
        <w:rPr>
          <w:rFonts w:asciiTheme="majorHAnsi" w:hAnsiTheme="majorHAnsi"/>
          <w:sz w:val="20"/>
          <w:szCs w:val="20"/>
        </w:rPr>
        <w:t>ing</w:t>
      </w:r>
      <w:r w:rsidRPr="006D6B01">
        <w:rPr>
          <w:rFonts w:asciiTheme="majorHAnsi" w:hAnsiTheme="majorHAnsi"/>
          <w:sz w:val="20"/>
          <w:szCs w:val="20"/>
        </w:rPr>
        <w:t xml:space="preserve"> the exten</w:t>
      </w:r>
      <w:r w:rsidR="00D9632A" w:rsidRPr="006D6B01">
        <w:rPr>
          <w:rFonts w:asciiTheme="majorHAnsi" w:hAnsiTheme="majorHAnsi"/>
          <w:sz w:val="20"/>
          <w:szCs w:val="20"/>
        </w:rPr>
        <w:t>t</w:t>
      </w:r>
      <w:r w:rsidRPr="006D6B01">
        <w:rPr>
          <w:rFonts w:asciiTheme="majorHAnsi" w:hAnsiTheme="majorHAnsi"/>
          <w:sz w:val="20"/>
          <w:szCs w:val="20"/>
        </w:rPr>
        <w:t xml:space="preserve"> of the implication of their repatriations.</w:t>
      </w:r>
    </w:p>
    <w:p w14:paraId="3D30243E" w14:textId="77777777" w:rsidR="00A139ED" w:rsidRPr="006D6B01" w:rsidRDefault="00A139ED" w:rsidP="004311FE">
      <w:pPr>
        <w:pStyle w:val="ListParagraph"/>
        <w:tabs>
          <w:tab w:val="left" w:pos="360"/>
        </w:tabs>
        <w:ind w:left="0"/>
        <w:rPr>
          <w:rFonts w:asciiTheme="majorHAnsi" w:hAnsiTheme="majorHAnsi"/>
          <w:color w:val="000000" w:themeColor="text1"/>
          <w:sz w:val="20"/>
          <w:szCs w:val="20"/>
        </w:rPr>
      </w:pPr>
    </w:p>
    <w:p w14:paraId="7AEB40E7" w14:textId="77DD31F9" w:rsidR="00185186" w:rsidRPr="006D6B01" w:rsidRDefault="00A139ED"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6D6B01">
        <w:rPr>
          <w:rFonts w:asciiTheme="majorHAnsi" w:hAnsiTheme="majorHAnsi"/>
          <w:color w:val="000000" w:themeColor="text1"/>
          <w:sz w:val="20"/>
          <w:szCs w:val="20"/>
        </w:rPr>
        <w:t xml:space="preserve">Third, the IACHR observes that </w:t>
      </w:r>
      <w:r w:rsidR="00D9632A" w:rsidRPr="006D6B01">
        <w:rPr>
          <w:rFonts w:asciiTheme="majorHAnsi" w:hAnsiTheme="majorHAnsi"/>
          <w:color w:val="000000" w:themeColor="text1"/>
          <w:sz w:val="20"/>
          <w:szCs w:val="20"/>
        </w:rPr>
        <w:t xml:space="preserve">the State presented </w:t>
      </w:r>
      <w:r w:rsidRPr="006D6B01">
        <w:rPr>
          <w:rFonts w:asciiTheme="majorHAnsi" w:hAnsiTheme="majorHAnsi"/>
          <w:color w:val="000000" w:themeColor="text1"/>
          <w:sz w:val="20"/>
          <w:szCs w:val="20"/>
        </w:rPr>
        <w:t xml:space="preserve">no information regarding how the decision </w:t>
      </w:r>
      <w:r w:rsidR="00D9632A" w:rsidRPr="006D6B01">
        <w:rPr>
          <w:rFonts w:asciiTheme="majorHAnsi" w:hAnsiTheme="majorHAnsi"/>
          <w:color w:val="000000" w:themeColor="text1"/>
          <w:sz w:val="20"/>
          <w:szCs w:val="20"/>
        </w:rPr>
        <w:t>to repatriate</w:t>
      </w:r>
      <w:r w:rsidRPr="006D6B01">
        <w:rPr>
          <w:rFonts w:asciiTheme="majorHAnsi" w:hAnsiTheme="majorHAnsi"/>
          <w:color w:val="000000" w:themeColor="text1"/>
          <w:sz w:val="20"/>
          <w:szCs w:val="20"/>
        </w:rPr>
        <w:t xml:space="preserve"> the alleged victims could be subject to further judicia</w:t>
      </w:r>
      <w:r w:rsidR="00D9632A" w:rsidRPr="006D6B01">
        <w:rPr>
          <w:rFonts w:asciiTheme="majorHAnsi" w:hAnsiTheme="majorHAnsi"/>
          <w:color w:val="000000" w:themeColor="text1"/>
          <w:sz w:val="20"/>
          <w:szCs w:val="20"/>
        </w:rPr>
        <w:t>l</w:t>
      </w:r>
      <w:r w:rsidRPr="006D6B01">
        <w:rPr>
          <w:rFonts w:asciiTheme="majorHAnsi" w:hAnsiTheme="majorHAnsi"/>
          <w:color w:val="000000" w:themeColor="text1"/>
          <w:sz w:val="20"/>
          <w:szCs w:val="20"/>
        </w:rPr>
        <w:t xml:space="preserve"> review in order to challenge any particular violation of the fair trial guarantees</w:t>
      </w:r>
      <w:r w:rsidR="000C027A">
        <w:rPr>
          <w:rFonts w:asciiTheme="majorHAnsi" w:hAnsiTheme="majorHAnsi"/>
          <w:color w:val="000000" w:themeColor="text1"/>
          <w:sz w:val="20"/>
          <w:szCs w:val="20"/>
        </w:rPr>
        <w:t xml:space="preserve"> o</w:t>
      </w:r>
      <w:r w:rsidR="00E52779">
        <w:rPr>
          <w:rFonts w:asciiTheme="majorHAnsi" w:hAnsiTheme="majorHAnsi"/>
          <w:color w:val="000000" w:themeColor="text1"/>
          <w:sz w:val="20"/>
          <w:szCs w:val="20"/>
        </w:rPr>
        <w:t>r</w:t>
      </w:r>
      <w:r w:rsidR="000C027A">
        <w:rPr>
          <w:rFonts w:asciiTheme="majorHAnsi" w:hAnsiTheme="majorHAnsi"/>
          <w:color w:val="000000" w:themeColor="text1"/>
          <w:sz w:val="20"/>
          <w:szCs w:val="20"/>
        </w:rPr>
        <w:t xml:space="preserve"> regarding the substantive basis of the decision itself. </w:t>
      </w:r>
    </w:p>
    <w:p w14:paraId="2E25CAB7" w14:textId="77777777" w:rsidR="00185186" w:rsidRPr="006D6B01" w:rsidRDefault="00185186" w:rsidP="004311FE">
      <w:pPr>
        <w:pStyle w:val="ListParagraph"/>
        <w:tabs>
          <w:tab w:val="left" w:pos="360"/>
        </w:tabs>
        <w:ind w:left="0"/>
        <w:rPr>
          <w:rFonts w:asciiTheme="majorHAnsi" w:hAnsiTheme="majorHAnsi"/>
          <w:sz w:val="20"/>
          <w:szCs w:val="20"/>
        </w:rPr>
      </w:pPr>
    </w:p>
    <w:p w14:paraId="7ADE9E6D" w14:textId="77777777" w:rsidR="0070167B" w:rsidRPr="006D6B01" w:rsidRDefault="00185186"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6D6B01">
        <w:rPr>
          <w:rFonts w:asciiTheme="majorHAnsi" w:hAnsiTheme="majorHAnsi"/>
          <w:sz w:val="20"/>
          <w:szCs w:val="20"/>
        </w:rPr>
        <w:t xml:space="preserve">Fourth, the Commission finds a lack of evidence regarding a duly founded decision </w:t>
      </w:r>
      <w:r w:rsidR="00D9632A" w:rsidRPr="006D6B01">
        <w:rPr>
          <w:rFonts w:asciiTheme="majorHAnsi" w:hAnsiTheme="majorHAnsi"/>
          <w:sz w:val="20"/>
          <w:szCs w:val="20"/>
        </w:rPr>
        <w:t>to</w:t>
      </w:r>
      <w:r w:rsidRPr="006D6B01">
        <w:rPr>
          <w:rFonts w:asciiTheme="majorHAnsi" w:hAnsiTheme="majorHAnsi"/>
          <w:sz w:val="20"/>
          <w:szCs w:val="20"/>
        </w:rPr>
        <w:t xml:space="preserve"> repatriat</w:t>
      </w:r>
      <w:r w:rsidR="00D9632A" w:rsidRPr="006D6B01">
        <w:rPr>
          <w:rFonts w:asciiTheme="majorHAnsi" w:hAnsiTheme="majorHAnsi"/>
          <w:sz w:val="20"/>
          <w:szCs w:val="20"/>
        </w:rPr>
        <w:t>e</w:t>
      </w:r>
      <w:r w:rsidRPr="006D6B01">
        <w:rPr>
          <w:rFonts w:asciiTheme="majorHAnsi" w:hAnsiTheme="majorHAnsi"/>
          <w:sz w:val="20"/>
          <w:szCs w:val="20"/>
        </w:rPr>
        <w:t xml:space="preserve"> the alleged victims of the case. </w:t>
      </w:r>
      <w:r w:rsidR="00D9632A" w:rsidRPr="006D6B01">
        <w:rPr>
          <w:rFonts w:asciiTheme="majorHAnsi" w:hAnsiTheme="majorHAnsi"/>
          <w:sz w:val="20"/>
          <w:szCs w:val="20"/>
        </w:rPr>
        <w:t>Moreover</w:t>
      </w:r>
      <w:r w:rsidRPr="006D6B01">
        <w:rPr>
          <w:rFonts w:asciiTheme="majorHAnsi" w:hAnsiTheme="majorHAnsi"/>
          <w:sz w:val="20"/>
          <w:szCs w:val="20"/>
        </w:rPr>
        <w:t xml:space="preserve">, the State </w:t>
      </w:r>
      <w:r w:rsidR="00D9632A" w:rsidRPr="006D6B01">
        <w:rPr>
          <w:rFonts w:asciiTheme="majorHAnsi" w:hAnsiTheme="majorHAnsi"/>
          <w:sz w:val="20"/>
          <w:szCs w:val="20"/>
        </w:rPr>
        <w:t>that a refugee status determination process exists;</w:t>
      </w:r>
      <w:r w:rsidRPr="006D6B01">
        <w:rPr>
          <w:rFonts w:asciiTheme="majorHAnsi" w:hAnsiTheme="majorHAnsi"/>
          <w:sz w:val="20"/>
          <w:szCs w:val="20"/>
        </w:rPr>
        <w:t xml:space="preserve"> however, </w:t>
      </w:r>
      <w:r w:rsidR="00D9632A" w:rsidRPr="006D6B01">
        <w:rPr>
          <w:rFonts w:asciiTheme="majorHAnsi" w:hAnsiTheme="majorHAnsi"/>
          <w:sz w:val="20"/>
          <w:szCs w:val="20"/>
        </w:rPr>
        <w:t xml:space="preserve">no part of </w:t>
      </w:r>
      <w:r w:rsidRPr="006D6B01">
        <w:rPr>
          <w:rFonts w:asciiTheme="majorHAnsi" w:hAnsiTheme="majorHAnsi"/>
          <w:sz w:val="20"/>
          <w:szCs w:val="20"/>
        </w:rPr>
        <w:t>the case file indicates in which cases</w:t>
      </w:r>
      <w:r w:rsidR="00D9632A" w:rsidRPr="006D6B01">
        <w:rPr>
          <w:rFonts w:asciiTheme="majorHAnsi" w:hAnsiTheme="majorHAnsi"/>
          <w:sz w:val="20"/>
          <w:szCs w:val="20"/>
        </w:rPr>
        <w:t xml:space="preserve"> individuals’</w:t>
      </w:r>
      <w:r w:rsidRPr="006D6B01">
        <w:rPr>
          <w:rFonts w:asciiTheme="majorHAnsi" w:hAnsiTheme="majorHAnsi"/>
          <w:sz w:val="20"/>
          <w:szCs w:val="20"/>
        </w:rPr>
        <w:t xml:space="preserve"> </w:t>
      </w:r>
      <w:r w:rsidR="00D9632A" w:rsidRPr="006D6B01">
        <w:rPr>
          <w:rFonts w:asciiTheme="majorHAnsi" w:hAnsiTheme="majorHAnsi"/>
          <w:sz w:val="20"/>
          <w:szCs w:val="20"/>
        </w:rPr>
        <w:t>asylum</w:t>
      </w:r>
      <w:r w:rsidRPr="006D6B01">
        <w:rPr>
          <w:rFonts w:asciiTheme="majorHAnsi" w:hAnsiTheme="majorHAnsi"/>
          <w:sz w:val="20"/>
          <w:szCs w:val="20"/>
        </w:rPr>
        <w:t xml:space="preserve"> application</w:t>
      </w:r>
      <w:r w:rsidR="00D9632A" w:rsidRPr="006D6B01">
        <w:rPr>
          <w:rFonts w:asciiTheme="majorHAnsi" w:hAnsiTheme="majorHAnsi"/>
          <w:sz w:val="20"/>
          <w:szCs w:val="20"/>
        </w:rPr>
        <w:t>s were</w:t>
      </w:r>
      <w:r w:rsidRPr="006D6B01">
        <w:rPr>
          <w:rFonts w:asciiTheme="majorHAnsi" w:hAnsiTheme="majorHAnsi"/>
          <w:sz w:val="20"/>
          <w:szCs w:val="20"/>
        </w:rPr>
        <w:t xml:space="preserve"> denied and therefore the applicant was </w:t>
      </w:r>
      <w:r w:rsidR="00D9632A" w:rsidRPr="006D6B01">
        <w:rPr>
          <w:rFonts w:asciiTheme="majorHAnsi" w:hAnsiTheme="majorHAnsi"/>
          <w:sz w:val="20"/>
          <w:szCs w:val="20"/>
        </w:rPr>
        <w:t xml:space="preserve">lawfully </w:t>
      </w:r>
      <w:r w:rsidRPr="006D6B01">
        <w:rPr>
          <w:rFonts w:asciiTheme="majorHAnsi" w:hAnsiTheme="majorHAnsi"/>
          <w:sz w:val="20"/>
          <w:szCs w:val="20"/>
        </w:rPr>
        <w:t>repatriated. Given the information provided by the parties, the Commission understands that the repatriation of the alleged victims is the result of an automatic exercise based on international bilateral agreements engaging The Bahamas, with Cuba and Haiti</w:t>
      </w:r>
      <w:r w:rsidR="00F85322" w:rsidRPr="006D6B01">
        <w:rPr>
          <w:rFonts w:asciiTheme="majorHAnsi" w:hAnsiTheme="majorHAnsi"/>
          <w:sz w:val="20"/>
          <w:szCs w:val="20"/>
        </w:rPr>
        <w:t xml:space="preserve"> respectively</w:t>
      </w:r>
      <w:r w:rsidRPr="006D6B01">
        <w:rPr>
          <w:rFonts w:asciiTheme="majorHAnsi" w:hAnsiTheme="majorHAnsi"/>
          <w:sz w:val="20"/>
          <w:szCs w:val="20"/>
        </w:rPr>
        <w:t>.</w:t>
      </w:r>
    </w:p>
    <w:p w14:paraId="4970B488" w14:textId="77777777" w:rsidR="00185186" w:rsidRPr="006D6B01" w:rsidRDefault="00185186" w:rsidP="004311FE">
      <w:pPr>
        <w:pStyle w:val="ListParagraph"/>
        <w:tabs>
          <w:tab w:val="left" w:pos="360"/>
        </w:tabs>
        <w:ind w:left="0"/>
        <w:rPr>
          <w:rFonts w:asciiTheme="majorHAnsi" w:hAnsiTheme="majorHAnsi"/>
          <w:sz w:val="20"/>
          <w:szCs w:val="20"/>
        </w:rPr>
      </w:pPr>
    </w:p>
    <w:p w14:paraId="03CAA5D8" w14:textId="77777777" w:rsidR="00185186" w:rsidRPr="006D6B01" w:rsidRDefault="00185186"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6D6B01">
        <w:rPr>
          <w:rFonts w:asciiTheme="majorHAnsi" w:hAnsiTheme="majorHAnsi"/>
          <w:sz w:val="20"/>
          <w:szCs w:val="20"/>
        </w:rPr>
        <w:t xml:space="preserve">Fifth, given the lack of information as to </w:t>
      </w:r>
      <w:r w:rsidR="002D6C49" w:rsidRPr="006D6B01">
        <w:rPr>
          <w:rFonts w:asciiTheme="majorHAnsi" w:hAnsiTheme="majorHAnsi"/>
          <w:sz w:val="20"/>
          <w:szCs w:val="20"/>
        </w:rPr>
        <w:t>whom</w:t>
      </w:r>
      <w:r w:rsidR="00951C79" w:rsidRPr="006D6B01">
        <w:rPr>
          <w:rFonts w:asciiTheme="majorHAnsi" w:hAnsiTheme="majorHAnsi"/>
          <w:sz w:val="20"/>
          <w:szCs w:val="20"/>
        </w:rPr>
        <w:t xml:space="preserve"> amongst the alleged victims needed international protection, the Commission cannot analyze </w:t>
      </w:r>
      <w:r w:rsidR="009C0A29" w:rsidRPr="006D6B01">
        <w:rPr>
          <w:rFonts w:asciiTheme="majorHAnsi" w:hAnsiTheme="majorHAnsi"/>
          <w:sz w:val="20"/>
          <w:szCs w:val="20"/>
        </w:rPr>
        <w:t xml:space="preserve">in which cases the alleged victims were </w:t>
      </w:r>
      <w:r w:rsidR="009C0A29" w:rsidRPr="006D6B01">
        <w:rPr>
          <w:rFonts w:asciiTheme="majorHAnsi" w:hAnsiTheme="majorHAnsi"/>
          <w:i/>
          <w:sz w:val="20"/>
          <w:szCs w:val="20"/>
        </w:rPr>
        <w:t>refouled</w:t>
      </w:r>
      <w:r w:rsidR="009C0A29" w:rsidRPr="006D6B01">
        <w:rPr>
          <w:rFonts w:asciiTheme="majorHAnsi" w:hAnsiTheme="majorHAnsi"/>
          <w:sz w:val="20"/>
          <w:szCs w:val="20"/>
        </w:rPr>
        <w:t xml:space="preserve"> against the rules of international law. </w:t>
      </w:r>
      <w:r w:rsidR="00D9632A" w:rsidRPr="006D6B01">
        <w:rPr>
          <w:rFonts w:asciiTheme="majorHAnsi" w:hAnsiTheme="majorHAnsi"/>
          <w:sz w:val="20"/>
          <w:szCs w:val="20"/>
        </w:rPr>
        <w:t>However</w:t>
      </w:r>
      <w:r w:rsidR="009C0A29" w:rsidRPr="006D6B01">
        <w:rPr>
          <w:rFonts w:asciiTheme="majorHAnsi" w:hAnsiTheme="majorHAnsi"/>
          <w:sz w:val="20"/>
          <w:szCs w:val="20"/>
        </w:rPr>
        <w:t>, the IACHR understands that</w:t>
      </w:r>
      <w:r w:rsidR="00D9632A" w:rsidRPr="006D6B01">
        <w:rPr>
          <w:rFonts w:asciiTheme="majorHAnsi" w:hAnsiTheme="majorHAnsi"/>
          <w:sz w:val="20"/>
          <w:szCs w:val="20"/>
        </w:rPr>
        <w:t xml:space="preserve"> the observance of due process guarantees in an adequate process for the determination of</w:t>
      </w:r>
      <w:r w:rsidR="009C0A29" w:rsidRPr="006D6B01">
        <w:rPr>
          <w:rFonts w:asciiTheme="majorHAnsi" w:hAnsiTheme="majorHAnsi"/>
          <w:sz w:val="20"/>
          <w:szCs w:val="20"/>
        </w:rPr>
        <w:t xml:space="preserve"> international protection</w:t>
      </w:r>
      <w:r w:rsidR="00D9632A" w:rsidRPr="006D6B01">
        <w:rPr>
          <w:rFonts w:asciiTheme="majorHAnsi" w:hAnsiTheme="majorHAnsi"/>
          <w:sz w:val="20"/>
          <w:szCs w:val="20"/>
        </w:rPr>
        <w:t xml:space="preserve"> needs necessarily implies an appropriate </w:t>
      </w:r>
      <w:r w:rsidR="009C0A29" w:rsidRPr="006D6B01">
        <w:rPr>
          <w:rFonts w:asciiTheme="majorHAnsi" w:hAnsiTheme="majorHAnsi"/>
          <w:sz w:val="20"/>
          <w:szCs w:val="20"/>
        </w:rPr>
        <w:t xml:space="preserve">guarantee </w:t>
      </w:r>
      <w:r w:rsidR="00D9632A" w:rsidRPr="006D6B01">
        <w:rPr>
          <w:rFonts w:asciiTheme="majorHAnsi" w:hAnsiTheme="majorHAnsi"/>
          <w:sz w:val="20"/>
          <w:szCs w:val="20"/>
        </w:rPr>
        <w:t>against</w:t>
      </w:r>
      <w:r w:rsidR="00D9632A" w:rsidRPr="006D6B01">
        <w:rPr>
          <w:rFonts w:asciiTheme="majorHAnsi" w:hAnsiTheme="majorHAnsi"/>
          <w:i/>
          <w:sz w:val="20"/>
          <w:szCs w:val="20"/>
        </w:rPr>
        <w:t xml:space="preserve"> </w:t>
      </w:r>
      <w:r w:rsidR="009C0A29" w:rsidRPr="006D6B01">
        <w:rPr>
          <w:rFonts w:asciiTheme="majorHAnsi" w:hAnsiTheme="majorHAnsi"/>
          <w:i/>
          <w:sz w:val="20"/>
          <w:szCs w:val="20"/>
        </w:rPr>
        <w:t xml:space="preserve">refoulement. </w:t>
      </w:r>
      <w:r w:rsidR="009C0A29" w:rsidRPr="006D6B01">
        <w:rPr>
          <w:rFonts w:asciiTheme="majorHAnsi" w:hAnsiTheme="majorHAnsi"/>
          <w:sz w:val="20"/>
          <w:szCs w:val="20"/>
        </w:rPr>
        <w:t>In this sense, given the characteristics of the repatriation</w:t>
      </w:r>
      <w:r w:rsidR="008703B4" w:rsidRPr="006D6B01">
        <w:rPr>
          <w:rFonts w:asciiTheme="majorHAnsi" w:hAnsiTheme="majorHAnsi"/>
          <w:sz w:val="20"/>
          <w:szCs w:val="20"/>
        </w:rPr>
        <w:t xml:space="preserve"> already addressed</w:t>
      </w:r>
      <w:r w:rsidR="009C0A29" w:rsidRPr="006D6B01">
        <w:rPr>
          <w:rFonts w:asciiTheme="majorHAnsi" w:hAnsiTheme="majorHAnsi"/>
          <w:sz w:val="20"/>
          <w:szCs w:val="20"/>
        </w:rPr>
        <w:t>, and the lack of records of such decision</w:t>
      </w:r>
      <w:r w:rsidR="008703B4" w:rsidRPr="006D6B01">
        <w:rPr>
          <w:rFonts w:asciiTheme="majorHAnsi" w:hAnsiTheme="majorHAnsi"/>
          <w:sz w:val="20"/>
          <w:szCs w:val="20"/>
        </w:rPr>
        <w:t>s</w:t>
      </w:r>
      <w:r w:rsidR="009C0A29" w:rsidRPr="006D6B01">
        <w:rPr>
          <w:rFonts w:asciiTheme="majorHAnsi" w:hAnsiTheme="majorHAnsi"/>
          <w:sz w:val="20"/>
          <w:szCs w:val="20"/>
        </w:rPr>
        <w:t xml:space="preserve">, the Commission finds that the State </w:t>
      </w:r>
      <w:r w:rsidR="008703B4" w:rsidRPr="006D6B01">
        <w:rPr>
          <w:rFonts w:asciiTheme="majorHAnsi" w:hAnsiTheme="majorHAnsi"/>
          <w:sz w:val="20"/>
          <w:szCs w:val="20"/>
        </w:rPr>
        <w:t>failed to conduct a thorough case by case exam</w:t>
      </w:r>
      <w:r w:rsidR="00D9632A" w:rsidRPr="006D6B01">
        <w:rPr>
          <w:rFonts w:asciiTheme="majorHAnsi" w:hAnsiTheme="majorHAnsi"/>
          <w:sz w:val="20"/>
          <w:szCs w:val="20"/>
        </w:rPr>
        <w:t>ination</w:t>
      </w:r>
      <w:r w:rsidR="008703B4" w:rsidRPr="006D6B01">
        <w:rPr>
          <w:rFonts w:asciiTheme="majorHAnsi" w:hAnsiTheme="majorHAnsi"/>
          <w:sz w:val="20"/>
          <w:szCs w:val="20"/>
        </w:rPr>
        <w:t xml:space="preserve"> </w:t>
      </w:r>
      <w:r w:rsidR="001F023D" w:rsidRPr="006D6B01">
        <w:rPr>
          <w:rFonts w:asciiTheme="majorHAnsi" w:hAnsiTheme="majorHAnsi"/>
          <w:sz w:val="20"/>
          <w:szCs w:val="20"/>
        </w:rPr>
        <w:t xml:space="preserve">in order to rule out possible grounds </w:t>
      </w:r>
      <w:r w:rsidR="002D6C49" w:rsidRPr="006D6B01">
        <w:rPr>
          <w:rFonts w:asciiTheme="majorHAnsi" w:hAnsiTheme="majorHAnsi"/>
          <w:sz w:val="20"/>
          <w:szCs w:val="20"/>
        </w:rPr>
        <w:t xml:space="preserve">of </w:t>
      </w:r>
      <w:r w:rsidR="0087658E" w:rsidRPr="006D6B01">
        <w:rPr>
          <w:rFonts w:asciiTheme="majorHAnsi" w:hAnsiTheme="majorHAnsi"/>
          <w:sz w:val="20"/>
          <w:szCs w:val="20"/>
        </w:rPr>
        <w:t xml:space="preserve">persecution as required by </w:t>
      </w:r>
      <w:r w:rsidR="002D6C49" w:rsidRPr="006D6B01">
        <w:rPr>
          <w:rFonts w:asciiTheme="majorHAnsi" w:hAnsiTheme="majorHAnsi"/>
          <w:sz w:val="20"/>
          <w:szCs w:val="20"/>
        </w:rPr>
        <w:t xml:space="preserve">the obligation of </w:t>
      </w:r>
      <w:r w:rsidR="002D6C49" w:rsidRPr="006D6B01">
        <w:rPr>
          <w:rFonts w:asciiTheme="majorHAnsi" w:hAnsiTheme="majorHAnsi"/>
          <w:i/>
          <w:sz w:val="20"/>
          <w:szCs w:val="20"/>
        </w:rPr>
        <w:t>non-refoulement</w:t>
      </w:r>
      <w:r w:rsidR="002D6C49" w:rsidRPr="006D6B01">
        <w:rPr>
          <w:rFonts w:asciiTheme="majorHAnsi" w:hAnsiTheme="majorHAnsi"/>
          <w:sz w:val="20"/>
          <w:szCs w:val="20"/>
        </w:rPr>
        <w:t xml:space="preserve">. </w:t>
      </w:r>
    </w:p>
    <w:p w14:paraId="1048FA2E" w14:textId="77777777" w:rsidR="009C0A29" w:rsidRPr="006D6B01" w:rsidRDefault="009C0A29" w:rsidP="004311F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p>
    <w:p w14:paraId="5AB27EB7" w14:textId="74D19313" w:rsidR="0070167B" w:rsidRPr="006D6B01" w:rsidRDefault="0070743A"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6D6B01">
        <w:rPr>
          <w:rFonts w:asciiTheme="majorHAnsi" w:hAnsiTheme="majorHAnsi"/>
          <w:sz w:val="20"/>
          <w:szCs w:val="20"/>
        </w:rPr>
        <w:t xml:space="preserve">Sixth, </w:t>
      </w:r>
      <w:r w:rsidR="00176E68" w:rsidRPr="006D6B01">
        <w:rPr>
          <w:rFonts w:asciiTheme="majorHAnsi" w:hAnsiTheme="majorHAnsi"/>
          <w:sz w:val="20"/>
          <w:szCs w:val="20"/>
        </w:rPr>
        <w:t>t</w:t>
      </w:r>
      <w:r w:rsidR="00405CC1" w:rsidRPr="006D6B01">
        <w:rPr>
          <w:rFonts w:asciiTheme="majorHAnsi" w:hAnsiTheme="majorHAnsi"/>
          <w:sz w:val="20"/>
          <w:szCs w:val="20"/>
        </w:rPr>
        <w:t>he Comm</w:t>
      </w:r>
      <w:r w:rsidR="0054594A" w:rsidRPr="006D6B01">
        <w:rPr>
          <w:rFonts w:asciiTheme="majorHAnsi" w:hAnsiTheme="majorHAnsi"/>
          <w:sz w:val="20"/>
          <w:szCs w:val="20"/>
        </w:rPr>
        <w:t xml:space="preserve">ission finds </w:t>
      </w:r>
      <w:r w:rsidR="0045767E" w:rsidRPr="006D6B01">
        <w:rPr>
          <w:rFonts w:asciiTheme="majorHAnsi" w:hAnsiTheme="majorHAnsi"/>
          <w:sz w:val="20"/>
          <w:szCs w:val="20"/>
        </w:rPr>
        <w:t xml:space="preserve">a </w:t>
      </w:r>
      <w:r w:rsidR="0054594A" w:rsidRPr="006D6B01">
        <w:rPr>
          <w:rFonts w:asciiTheme="majorHAnsi" w:hAnsiTheme="majorHAnsi"/>
          <w:sz w:val="20"/>
          <w:szCs w:val="20"/>
        </w:rPr>
        <w:t>lack of judiciary standing of the alleged victims to access remedies in order to challen</w:t>
      </w:r>
      <w:r w:rsidR="0045767E" w:rsidRPr="006D6B01">
        <w:rPr>
          <w:rFonts w:asciiTheme="majorHAnsi" w:hAnsiTheme="majorHAnsi"/>
          <w:sz w:val="20"/>
          <w:szCs w:val="20"/>
        </w:rPr>
        <w:t>ge the decision of repatriation because of their migratory status. Also, observes that the alleged victims were subject to e</w:t>
      </w:r>
      <w:r w:rsidR="00247DF9" w:rsidRPr="006D6B01">
        <w:rPr>
          <w:rFonts w:asciiTheme="majorHAnsi" w:hAnsiTheme="majorHAnsi"/>
          <w:sz w:val="20"/>
          <w:szCs w:val="20"/>
        </w:rPr>
        <w:t>xpedite repatriation</w:t>
      </w:r>
      <w:r w:rsidR="00AB26CC" w:rsidRPr="006D6B01">
        <w:rPr>
          <w:rFonts w:asciiTheme="majorHAnsi" w:hAnsiTheme="majorHAnsi"/>
          <w:sz w:val="20"/>
          <w:szCs w:val="20"/>
        </w:rPr>
        <w:t xml:space="preserve">s </w:t>
      </w:r>
      <w:r w:rsidR="00BC052B" w:rsidRPr="006D6B01">
        <w:rPr>
          <w:rFonts w:asciiTheme="majorHAnsi" w:hAnsiTheme="majorHAnsi"/>
          <w:sz w:val="20"/>
          <w:szCs w:val="20"/>
        </w:rPr>
        <w:t>introduced</w:t>
      </w:r>
      <w:r w:rsidR="00AB26CC" w:rsidRPr="006D6B01">
        <w:rPr>
          <w:rFonts w:asciiTheme="majorHAnsi" w:hAnsiTheme="majorHAnsi"/>
          <w:sz w:val="20"/>
          <w:szCs w:val="20"/>
        </w:rPr>
        <w:t xml:space="preserve"> by</w:t>
      </w:r>
      <w:r w:rsidR="00380276" w:rsidRPr="006D6B01">
        <w:rPr>
          <w:rFonts w:asciiTheme="majorHAnsi" w:hAnsiTheme="majorHAnsi"/>
          <w:sz w:val="20"/>
          <w:szCs w:val="20"/>
        </w:rPr>
        <w:t xml:space="preserve"> </w:t>
      </w:r>
      <w:r w:rsidR="00AB26CC" w:rsidRPr="006D6B01">
        <w:rPr>
          <w:rFonts w:asciiTheme="majorHAnsi" w:hAnsiTheme="majorHAnsi"/>
          <w:sz w:val="20"/>
          <w:szCs w:val="20"/>
        </w:rPr>
        <w:t xml:space="preserve">the </w:t>
      </w:r>
      <w:r w:rsidR="00380276" w:rsidRPr="006D6B01">
        <w:rPr>
          <w:rFonts w:asciiTheme="majorHAnsi" w:hAnsiTheme="majorHAnsi"/>
          <w:sz w:val="20"/>
          <w:szCs w:val="20"/>
        </w:rPr>
        <w:t xml:space="preserve">bilateral international agreements </w:t>
      </w:r>
      <w:r w:rsidR="00AB26CC" w:rsidRPr="006D6B01">
        <w:rPr>
          <w:rFonts w:asciiTheme="majorHAnsi" w:hAnsiTheme="majorHAnsi"/>
          <w:sz w:val="20"/>
          <w:szCs w:val="20"/>
        </w:rPr>
        <w:t>integrating the case file only applicable to Cuban and Haitian nationals</w:t>
      </w:r>
      <w:r w:rsidR="0045767E" w:rsidRPr="006D6B01">
        <w:rPr>
          <w:rFonts w:asciiTheme="majorHAnsi" w:hAnsiTheme="majorHAnsi"/>
          <w:sz w:val="20"/>
          <w:szCs w:val="20"/>
        </w:rPr>
        <w:t xml:space="preserve">. </w:t>
      </w:r>
      <w:r w:rsidR="00BC052B" w:rsidRPr="006D6B01">
        <w:rPr>
          <w:rFonts w:asciiTheme="majorHAnsi" w:hAnsiTheme="majorHAnsi"/>
          <w:sz w:val="20"/>
          <w:szCs w:val="20"/>
        </w:rPr>
        <w:t xml:space="preserve">The State affirmed that its migratory policies in place respond to the need of protection of national interests, and its real possibility to provide with the material means every individual who wishes to stay in The Bahamas. </w:t>
      </w:r>
      <w:r w:rsidR="00C15B9A" w:rsidRPr="006D6B01">
        <w:rPr>
          <w:rFonts w:asciiTheme="majorHAnsi" w:hAnsiTheme="majorHAnsi"/>
          <w:sz w:val="20"/>
          <w:szCs w:val="20"/>
        </w:rPr>
        <w:t>Taking into consideration the State’s position, t</w:t>
      </w:r>
      <w:r w:rsidR="00BC052B" w:rsidRPr="006D6B01">
        <w:rPr>
          <w:rFonts w:asciiTheme="majorHAnsi" w:hAnsiTheme="majorHAnsi"/>
          <w:sz w:val="20"/>
          <w:szCs w:val="20"/>
        </w:rPr>
        <w:t xml:space="preserve">he Commission considers </w:t>
      </w:r>
      <w:r w:rsidR="00C15B9A" w:rsidRPr="006D6B01">
        <w:rPr>
          <w:rFonts w:asciiTheme="majorHAnsi" w:hAnsiTheme="majorHAnsi"/>
          <w:sz w:val="20"/>
          <w:szCs w:val="20"/>
        </w:rPr>
        <w:t>that it has</w:t>
      </w:r>
      <w:r w:rsidR="0045767E" w:rsidRPr="006D6B01">
        <w:rPr>
          <w:rFonts w:asciiTheme="majorHAnsi" w:hAnsiTheme="majorHAnsi"/>
          <w:sz w:val="20"/>
          <w:szCs w:val="20"/>
        </w:rPr>
        <w:t xml:space="preserve"> not met its burden of demonstrating its compelling interest in making the</w:t>
      </w:r>
      <w:r w:rsidR="00AB26CC" w:rsidRPr="006D6B01">
        <w:rPr>
          <w:rFonts w:asciiTheme="majorHAnsi" w:hAnsiTheme="majorHAnsi"/>
          <w:sz w:val="20"/>
          <w:szCs w:val="20"/>
        </w:rPr>
        <w:t>se</w:t>
      </w:r>
      <w:r w:rsidR="0045767E" w:rsidRPr="006D6B01">
        <w:rPr>
          <w:rFonts w:asciiTheme="majorHAnsi" w:hAnsiTheme="majorHAnsi"/>
          <w:sz w:val="20"/>
          <w:szCs w:val="20"/>
        </w:rPr>
        <w:t xml:space="preserve"> distinction</w:t>
      </w:r>
      <w:r w:rsidR="00AB26CC" w:rsidRPr="006D6B01">
        <w:rPr>
          <w:rFonts w:asciiTheme="majorHAnsi" w:hAnsiTheme="majorHAnsi"/>
          <w:sz w:val="20"/>
          <w:szCs w:val="20"/>
        </w:rPr>
        <w:t>s</w:t>
      </w:r>
      <w:r w:rsidR="0045767E" w:rsidRPr="006D6B01">
        <w:rPr>
          <w:rFonts w:asciiTheme="majorHAnsi" w:hAnsiTheme="majorHAnsi"/>
          <w:sz w:val="20"/>
          <w:szCs w:val="20"/>
        </w:rPr>
        <w:t>, the lack of less restrictive alternatives, and strict proportionality of the measure</w:t>
      </w:r>
      <w:r w:rsidR="00C15B9A" w:rsidRPr="006D6B01">
        <w:rPr>
          <w:rFonts w:asciiTheme="majorHAnsi" w:hAnsiTheme="majorHAnsi"/>
          <w:sz w:val="20"/>
          <w:szCs w:val="20"/>
        </w:rPr>
        <w:t>.</w:t>
      </w:r>
    </w:p>
    <w:p w14:paraId="0CB421AD" w14:textId="77777777" w:rsidR="0054594A" w:rsidRPr="006D6B01" w:rsidRDefault="0054594A" w:rsidP="004311F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p>
    <w:p w14:paraId="485E13CF" w14:textId="2D2F2546" w:rsidR="00FB1438" w:rsidRDefault="00405CC1"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b/>
          <w:color w:val="000000" w:themeColor="text1"/>
          <w:sz w:val="20"/>
          <w:szCs w:val="20"/>
        </w:rPr>
      </w:pPr>
      <w:r w:rsidRPr="006D6B01">
        <w:rPr>
          <w:rFonts w:asciiTheme="majorHAnsi" w:hAnsiTheme="majorHAnsi"/>
          <w:color w:val="000000" w:themeColor="text1"/>
          <w:sz w:val="20"/>
          <w:szCs w:val="20"/>
        </w:rPr>
        <w:t>In light of the foregoing, the Commission finds that the absence o</w:t>
      </w:r>
      <w:r w:rsidR="0054594A" w:rsidRPr="006D6B01">
        <w:rPr>
          <w:rFonts w:asciiTheme="majorHAnsi" w:hAnsiTheme="majorHAnsi"/>
          <w:color w:val="000000" w:themeColor="text1"/>
          <w:sz w:val="20"/>
          <w:szCs w:val="20"/>
        </w:rPr>
        <w:t xml:space="preserve">f </w:t>
      </w:r>
      <w:r w:rsidR="009923C8" w:rsidRPr="006D6B01">
        <w:rPr>
          <w:rFonts w:asciiTheme="majorHAnsi" w:hAnsiTheme="majorHAnsi"/>
          <w:color w:val="000000" w:themeColor="text1"/>
          <w:sz w:val="20"/>
          <w:szCs w:val="20"/>
        </w:rPr>
        <w:t xml:space="preserve">identification of applicants </w:t>
      </w:r>
      <w:r w:rsidR="007F2C61" w:rsidRPr="006D6B01">
        <w:rPr>
          <w:rFonts w:asciiTheme="majorHAnsi" w:hAnsiTheme="majorHAnsi"/>
          <w:color w:val="000000" w:themeColor="text1"/>
          <w:sz w:val="20"/>
          <w:szCs w:val="20"/>
        </w:rPr>
        <w:t xml:space="preserve">for </w:t>
      </w:r>
      <w:r w:rsidR="00380276" w:rsidRPr="006D6B01">
        <w:rPr>
          <w:rFonts w:asciiTheme="majorHAnsi" w:hAnsiTheme="majorHAnsi"/>
          <w:color w:val="000000" w:themeColor="text1"/>
          <w:sz w:val="20"/>
          <w:szCs w:val="20"/>
        </w:rPr>
        <w:t>international protection;</w:t>
      </w:r>
      <w:r w:rsidR="009923C8" w:rsidRPr="006D6B01">
        <w:rPr>
          <w:rFonts w:asciiTheme="majorHAnsi" w:hAnsiTheme="majorHAnsi"/>
          <w:color w:val="000000" w:themeColor="text1"/>
          <w:sz w:val="20"/>
          <w:szCs w:val="20"/>
        </w:rPr>
        <w:t xml:space="preserve"> the </w:t>
      </w:r>
      <w:r w:rsidR="007F2C61" w:rsidRPr="006D6B01">
        <w:rPr>
          <w:rFonts w:asciiTheme="majorHAnsi" w:hAnsiTheme="majorHAnsi"/>
          <w:color w:val="000000" w:themeColor="text1"/>
          <w:sz w:val="20"/>
          <w:szCs w:val="20"/>
        </w:rPr>
        <w:t xml:space="preserve">lack </w:t>
      </w:r>
      <w:r w:rsidR="009923C8" w:rsidRPr="006D6B01">
        <w:rPr>
          <w:rFonts w:asciiTheme="majorHAnsi" w:hAnsiTheme="majorHAnsi"/>
          <w:color w:val="000000" w:themeColor="text1"/>
          <w:sz w:val="20"/>
          <w:szCs w:val="20"/>
        </w:rPr>
        <w:t xml:space="preserve">of </w:t>
      </w:r>
      <w:r w:rsidR="00380276" w:rsidRPr="006D6B01">
        <w:rPr>
          <w:rFonts w:asciiTheme="majorHAnsi" w:hAnsiTheme="majorHAnsi"/>
          <w:color w:val="000000" w:themeColor="text1"/>
          <w:sz w:val="20"/>
          <w:szCs w:val="20"/>
        </w:rPr>
        <w:t xml:space="preserve">guarantees of due process in the repatriation determinations, namely a duly motivated decision, the provision of interpreters, </w:t>
      </w:r>
      <w:r w:rsidR="009923C8" w:rsidRPr="006D6B01">
        <w:rPr>
          <w:rFonts w:asciiTheme="majorHAnsi" w:hAnsiTheme="majorHAnsi"/>
          <w:color w:val="000000" w:themeColor="text1"/>
          <w:sz w:val="20"/>
          <w:szCs w:val="20"/>
        </w:rPr>
        <w:t xml:space="preserve">an examination of the guarantee of </w:t>
      </w:r>
      <w:r w:rsidR="009923C8" w:rsidRPr="006D6B01">
        <w:rPr>
          <w:rFonts w:asciiTheme="majorHAnsi" w:hAnsiTheme="majorHAnsi"/>
          <w:i/>
          <w:color w:val="000000" w:themeColor="text1"/>
          <w:sz w:val="20"/>
          <w:szCs w:val="20"/>
        </w:rPr>
        <w:t>non-refoulement</w:t>
      </w:r>
      <w:r w:rsidR="00380276" w:rsidRPr="006D6B01">
        <w:rPr>
          <w:rFonts w:asciiTheme="majorHAnsi" w:hAnsiTheme="majorHAnsi"/>
          <w:i/>
          <w:color w:val="000000" w:themeColor="text1"/>
          <w:sz w:val="20"/>
          <w:szCs w:val="20"/>
        </w:rPr>
        <w:t xml:space="preserve">, </w:t>
      </w:r>
      <w:r w:rsidR="00380276" w:rsidRPr="006D6B01">
        <w:rPr>
          <w:rFonts w:asciiTheme="majorHAnsi" w:hAnsiTheme="majorHAnsi"/>
          <w:color w:val="000000" w:themeColor="text1"/>
          <w:sz w:val="20"/>
          <w:szCs w:val="20"/>
        </w:rPr>
        <w:t>among others;</w:t>
      </w:r>
      <w:r w:rsidR="0054594A" w:rsidRPr="006D6B01">
        <w:rPr>
          <w:rFonts w:asciiTheme="majorHAnsi" w:hAnsiTheme="majorHAnsi"/>
          <w:color w:val="000000" w:themeColor="text1"/>
          <w:sz w:val="20"/>
          <w:szCs w:val="20"/>
        </w:rPr>
        <w:t xml:space="preserve"> </w:t>
      </w:r>
      <w:r w:rsidRPr="006D6B01">
        <w:rPr>
          <w:rFonts w:asciiTheme="majorHAnsi" w:hAnsiTheme="majorHAnsi"/>
          <w:color w:val="000000" w:themeColor="text1"/>
          <w:sz w:val="20"/>
          <w:szCs w:val="20"/>
        </w:rPr>
        <w:t>the lack of</w:t>
      </w:r>
      <w:r w:rsidR="00380276" w:rsidRPr="006D6B01">
        <w:rPr>
          <w:rFonts w:asciiTheme="majorHAnsi" w:hAnsiTheme="majorHAnsi"/>
          <w:color w:val="000000" w:themeColor="text1"/>
          <w:sz w:val="20"/>
          <w:szCs w:val="20"/>
        </w:rPr>
        <w:t xml:space="preserve"> effective judicial review of the </w:t>
      </w:r>
      <w:r w:rsidRPr="006D6B01">
        <w:rPr>
          <w:rFonts w:asciiTheme="majorHAnsi" w:hAnsiTheme="majorHAnsi"/>
          <w:color w:val="000000" w:themeColor="text1"/>
          <w:sz w:val="20"/>
          <w:szCs w:val="20"/>
        </w:rPr>
        <w:t xml:space="preserve">decision </w:t>
      </w:r>
      <w:r w:rsidR="0054594A" w:rsidRPr="006D6B01">
        <w:rPr>
          <w:rFonts w:asciiTheme="majorHAnsi" w:hAnsiTheme="majorHAnsi"/>
          <w:color w:val="000000" w:themeColor="text1"/>
          <w:sz w:val="20"/>
          <w:szCs w:val="20"/>
        </w:rPr>
        <w:t>of repatriations</w:t>
      </w:r>
      <w:r w:rsidR="000B214D" w:rsidRPr="006D6B01">
        <w:rPr>
          <w:rFonts w:asciiTheme="majorHAnsi" w:hAnsiTheme="majorHAnsi"/>
          <w:color w:val="000000" w:themeColor="text1"/>
          <w:sz w:val="20"/>
          <w:szCs w:val="20"/>
        </w:rPr>
        <w:t xml:space="preserve"> and the restriction of access based on grounds of their immigration status and/or nationality </w:t>
      </w:r>
      <w:r w:rsidRPr="006D6B01">
        <w:rPr>
          <w:rFonts w:asciiTheme="majorHAnsi" w:hAnsiTheme="majorHAnsi"/>
          <w:color w:val="000000" w:themeColor="text1"/>
          <w:sz w:val="20"/>
          <w:szCs w:val="20"/>
        </w:rPr>
        <w:t>constituted a violation</w:t>
      </w:r>
      <w:r w:rsidR="000B214D" w:rsidRPr="006D6B01">
        <w:rPr>
          <w:rFonts w:asciiTheme="majorHAnsi" w:hAnsiTheme="majorHAnsi"/>
          <w:color w:val="000000" w:themeColor="text1"/>
          <w:sz w:val="20"/>
          <w:szCs w:val="20"/>
        </w:rPr>
        <w:t xml:space="preserve"> to</w:t>
      </w:r>
      <w:r w:rsidRPr="006D6B01">
        <w:rPr>
          <w:rFonts w:asciiTheme="majorHAnsi" w:hAnsiTheme="majorHAnsi"/>
          <w:color w:val="000000" w:themeColor="text1"/>
          <w:sz w:val="20"/>
          <w:szCs w:val="20"/>
        </w:rPr>
        <w:t xml:space="preserve"> </w:t>
      </w:r>
      <w:r w:rsidR="000B214D" w:rsidRPr="006D6B01">
        <w:rPr>
          <w:rFonts w:asciiTheme="majorHAnsi" w:hAnsiTheme="majorHAnsi"/>
          <w:color w:val="000000" w:themeColor="text1"/>
          <w:sz w:val="20"/>
          <w:szCs w:val="20"/>
        </w:rPr>
        <w:t xml:space="preserve">the right to seek and receive asylum, in connection with the rights of due process, and to equality under the law, and the obligation of </w:t>
      </w:r>
      <w:r w:rsidR="000B214D" w:rsidRPr="006D6B01">
        <w:rPr>
          <w:rFonts w:asciiTheme="majorHAnsi" w:hAnsiTheme="majorHAnsi"/>
          <w:i/>
          <w:color w:val="000000" w:themeColor="text1"/>
          <w:sz w:val="20"/>
          <w:szCs w:val="20"/>
        </w:rPr>
        <w:t xml:space="preserve">non-refoulement, </w:t>
      </w:r>
      <w:r w:rsidR="000B214D" w:rsidRPr="006D6B01">
        <w:rPr>
          <w:rFonts w:asciiTheme="majorHAnsi" w:hAnsiTheme="majorHAnsi"/>
          <w:color w:val="000000" w:themeColor="text1"/>
          <w:sz w:val="20"/>
          <w:szCs w:val="20"/>
        </w:rPr>
        <w:t>of the American Declaration against the alleged victims.</w:t>
      </w:r>
      <w:r w:rsidR="000B214D" w:rsidRPr="006D6B01">
        <w:rPr>
          <w:rFonts w:asciiTheme="majorHAnsi" w:hAnsiTheme="majorHAnsi"/>
          <w:b/>
          <w:color w:val="000000" w:themeColor="text1"/>
          <w:sz w:val="20"/>
          <w:szCs w:val="20"/>
        </w:rPr>
        <w:t xml:space="preserve"> </w:t>
      </w:r>
    </w:p>
    <w:p w14:paraId="4BDCA618" w14:textId="77777777" w:rsidR="0070167B" w:rsidRPr="006D6B01" w:rsidRDefault="0070167B" w:rsidP="004311F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p>
    <w:p w14:paraId="6ADCD323" w14:textId="77777777" w:rsidR="005E3621" w:rsidRPr="003C2050" w:rsidRDefault="005E3621" w:rsidP="004311FE">
      <w:pPr>
        <w:pStyle w:val="Heading2"/>
        <w:tabs>
          <w:tab w:val="left" w:pos="360"/>
        </w:tabs>
        <w:ind w:left="0" w:firstLine="0"/>
        <w:jc w:val="both"/>
        <w:rPr>
          <w:lang w:val="en-US"/>
        </w:rPr>
      </w:pPr>
      <w:bookmarkStart w:id="28" w:name="_Toc90557420"/>
      <w:r w:rsidRPr="003C2050">
        <w:rPr>
          <w:lang w:val="en-US"/>
        </w:rPr>
        <w:t>Right to protection of honor, personal reputation, and private and family life</w:t>
      </w:r>
      <w:r w:rsidRPr="006D6B01">
        <w:rPr>
          <w:rStyle w:val="FootnoteReference"/>
          <w:color w:val="auto"/>
        </w:rPr>
        <w:footnoteReference w:id="138"/>
      </w:r>
      <w:r w:rsidRPr="003C2050">
        <w:rPr>
          <w:lang w:val="en-US"/>
        </w:rPr>
        <w:t>, to a family and to protection thereof</w:t>
      </w:r>
      <w:r w:rsidRPr="006D6B01">
        <w:rPr>
          <w:rStyle w:val="FootnoteReference"/>
          <w:color w:val="auto"/>
        </w:rPr>
        <w:footnoteReference w:id="139"/>
      </w:r>
      <w:r w:rsidRPr="003C2050">
        <w:rPr>
          <w:lang w:val="en-US"/>
        </w:rPr>
        <w:t xml:space="preserve"> and to protection for mothers and children</w:t>
      </w:r>
      <w:r w:rsidRPr="006D6B01">
        <w:rPr>
          <w:rStyle w:val="FootnoteReference"/>
          <w:color w:val="auto"/>
        </w:rPr>
        <w:footnoteReference w:id="140"/>
      </w:r>
      <w:r w:rsidRPr="003C2050">
        <w:rPr>
          <w:lang w:val="en-US"/>
        </w:rPr>
        <w:t xml:space="preserve"> of the American Declaration</w:t>
      </w:r>
      <w:r w:rsidR="006C7831" w:rsidRPr="003C2050">
        <w:rPr>
          <w:lang w:val="en-US"/>
        </w:rPr>
        <w:t xml:space="preserve"> </w:t>
      </w:r>
      <w:r w:rsidR="00405CC1" w:rsidRPr="003C2050">
        <w:rPr>
          <w:lang w:val="en-US"/>
        </w:rPr>
        <w:t xml:space="preserve">in connection with the obligation of </w:t>
      </w:r>
      <w:r w:rsidR="00405CC1" w:rsidRPr="003C2050">
        <w:rPr>
          <w:i/>
          <w:lang w:val="en-US"/>
        </w:rPr>
        <w:t xml:space="preserve">non-refoulement </w:t>
      </w:r>
      <w:r w:rsidR="006C7831" w:rsidRPr="003C2050">
        <w:rPr>
          <w:lang w:val="en-US"/>
        </w:rPr>
        <w:t>regarding the Escuela Family</w:t>
      </w:r>
      <w:bookmarkEnd w:id="28"/>
    </w:p>
    <w:p w14:paraId="349CDF8D" w14:textId="77777777" w:rsidR="004B1A29" w:rsidRPr="006D6B01" w:rsidRDefault="004B1A29" w:rsidP="004311FE">
      <w:pPr>
        <w:tabs>
          <w:tab w:val="left" w:pos="360"/>
        </w:tabs>
        <w:jc w:val="both"/>
        <w:rPr>
          <w:rFonts w:asciiTheme="majorHAnsi" w:hAnsiTheme="majorHAnsi"/>
          <w:sz w:val="20"/>
          <w:szCs w:val="20"/>
        </w:rPr>
      </w:pPr>
    </w:p>
    <w:p w14:paraId="0138E531" w14:textId="77777777" w:rsidR="007556D5" w:rsidRPr="006D6B01" w:rsidRDefault="00C6540B"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6D6B01">
        <w:rPr>
          <w:rFonts w:asciiTheme="majorHAnsi" w:hAnsiTheme="majorHAnsi"/>
          <w:color w:val="000000" w:themeColor="text1"/>
          <w:sz w:val="20"/>
          <w:szCs w:val="20"/>
        </w:rPr>
        <w:t xml:space="preserve">The Commission has asserted that while the state undoubtedly has the right and duty to maintain public order through the control of entry, residence and expulsion of </w:t>
      </w:r>
      <w:r w:rsidR="007F2C61" w:rsidRPr="006D6B01">
        <w:rPr>
          <w:rFonts w:asciiTheme="majorHAnsi" w:hAnsiTheme="majorHAnsi"/>
          <w:color w:val="000000" w:themeColor="text1"/>
          <w:sz w:val="20"/>
          <w:szCs w:val="20"/>
        </w:rPr>
        <w:t>foreigners</w:t>
      </w:r>
      <w:r w:rsidRPr="006D6B01">
        <w:rPr>
          <w:rFonts w:asciiTheme="majorHAnsi" w:hAnsiTheme="majorHAnsi"/>
          <w:color w:val="000000" w:themeColor="text1"/>
          <w:sz w:val="20"/>
          <w:szCs w:val="20"/>
        </w:rPr>
        <w:t xml:space="preserve">, that right must be balanced against the harm that may result to the rights of the individuals concerned in the particular case. In this regard, the Commission has </w:t>
      </w:r>
      <w:r w:rsidR="00D6318C" w:rsidRPr="006D6B01">
        <w:rPr>
          <w:rFonts w:asciiTheme="majorHAnsi" w:hAnsiTheme="majorHAnsi"/>
          <w:color w:val="000000" w:themeColor="text1"/>
          <w:sz w:val="20"/>
          <w:szCs w:val="20"/>
        </w:rPr>
        <w:t>considered situations in which</w:t>
      </w:r>
      <w:r w:rsidRPr="006D6B01">
        <w:rPr>
          <w:rFonts w:asciiTheme="majorHAnsi" w:hAnsiTheme="majorHAnsi"/>
          <w:color w:val="000000" w:themeColor="text1"/>
          <w:sz w:val="20"/>
          <w:szCs w:val="20"/>
        </w:rPr>
        <w:t xml:space="preserve"> the right to family life is not sufficiently taken into account in removal proceedings. Given the nature of Articles V, VI and VII of the American Declaration, interpreted in relation to </w:t>
      </w:r>
      <w:r w:rsidR="00D6318C" w:rsidRPr="006D6B01">
        <w:rPr>
          <w:rFonts w:asciiTheme="majorHAnsi" w:hAnsiTheme="majorHAnsi"/>
          <w:color w:val="000000" w:themeColor="text1"/>
          <w:sz w:val="20"/>
          <w:szCs w:val="20"/>
        </w:rPr>
        <w:t xml:space="preserve">the </w:t>
      </w:r>
      <w:r w:rsidR="00D6318C" w:rsidRPr="006D6B01">
        <w:rPr>
          <w:rFonts w:asciiTheme="majorHAnsi" w:hAnsiTheme="majorHAnsi"/>
          <w:i/>
          <w:color w:val="000000" w:themeColor="text1"/>
          <w:sz w:val="20"/>
          <w:szCs w:val="20"/>
        </w:rPr>
        <w:t xml:space="preserve">corpus </w:t>
      </w:r>
      <w:proofErr w:type="spellStart"/>
      <w:r w:rsidR="00D6318C" w:rsidRPr="006D6B01">
        <w:rPr>
          <w:rFonts w:asciiTheme="majorHAnsi" w:hAnsiTheme="majorHAnsi"/>
          <w:i/>
          <w:color w:val="000000" w:themeColor="text1"/>
          <w:sz w:val="20"/>
          <w:szCs w:val="20"/>
        </w:rPr>
        <w:t>iuris</w:t>
      </w:r>
      <w:proofErr w:type="spellEnd"/>
      <w:r w:rsidR="00D6318C" w:rsidRPr="006D6B01">
        <w:rPr>
          <w:rFonts w:asciiTheme="majorHAnsi" w:hAnsiTheme="majorHAnsi"/>
          <w:i/>
          <w:color w:val="000000" w:themeColor="text1"/>
          <w:sz w:val="20"/>
          <w:szCs w:val="20"/>
        </w:rPr>
        <w:t xml:space="preserve"> </w:t>
      </w:r>
      <w:r w:rsidR="00EE21B6" w:rsidRPr="006D6B01">
        <w:rPr>
          <w:rFonts w:asciiTheme="majorHAnsi" w:hAnsiTheme="majorHAnsi"/>
          <w:color w:val="000000" w:themeColor="text1"/>
          <w:sz w:val="20"/>
          <w:szCs w:val="20"/>
        </w:rPr>
        <w:t>of the r</w:t>
      </w:r>
      <w:r w:rsidRPr="006D6B01">
        <w:rPr>
          <w:rFonts w:asciiTheme="majorHAnsi" w:hAnsiTheme="majorHAnsi"/>
          <w:color w:val="000000" w:themeColor="text1"/>
          <w:sz w:val="20"/>
          <w:szCs w:val="20"/>
        </w:rPr>
        <w:t xml:space="preserve">ights of the </w:t>
      </w:r>
      <w:r w:rsidR="00EE21B6" w:rsidRPr="006D6B01">
        <w:rPr>
          <w:rFonts w:asciiTheme="majorHAnsi" w:hAnsiTheme="majorHAnsi"/>
          <w:color w:val="000000" w:themeColor="text1"/>
          <w:sz w:val="20"/>
          <w:szCs w:val="20"/>
        </w:rPr>
        <w:t>c</w:t>
      </w:r>
      <w:r w:rsidRPr="006D6B01">
        <w:rPr>
          <w:rFonts w:asciiTheme="majorHAnsi" w:hAnsiTheme="majorHAnsi"/>
          <w:color w:val="000000" w:themeColor="text1"/>
          <w:sz w:val="20"/>
          <w:szCs w:val="20"/>
        </w:rPr>
        <w:t xml:space="preserve">hild, where decision-making involves the potential separation </w:t>
      </w:r>
      <w:r w:rsidRPr="006D6B01">
        <w:rPr>
          <w:rFonts w:asciiTheme="majorHAnsi" w:hAnsiTheme="majorHAnsi"/>
          <w:color w:val="000000" w:themeColor="text1"/>
          <w:sz w:val="20"/>
          <w:szCs w:val="20"/>
        </w:rPr>
        <w:lastRenderedPageBreak/>
        <w:t xml:space="preserve">of a family, the resulting interference with family life may only be justified where necessary to meet a pressing need to protect public order, and where the means are proportional to that end. The application of these criteria by various human rights supervisory </w:t>
      </w:r>
      <w:r w:rsidR="00271A11" w:rsidRPr="006D6B01">
        <w:rPr>
          <w:rFonts w:asciiTheme="majorHAnsi" w:hAnsiTheme="majorHAnsi"/>
          <w:color w:val="000000" w:themeColor="text1"/>
          <w:sz w:val="20"/>
          <w:szCs w:val="20"/>
        </w:rPr>
        <w:t>bodies indicate</w:t>
      </w:r>
      <w:r w:rsidRPr="006D6B01">
        <w:rPr>
          <w:rFonts w:asciiTheme="majorHAnsi" w:hAnsiTheme="majorHAnsi"/>
          <w:color w:val="000000" w:themeColor="text1"/>
          <w:sz w:val="20"/>
          <w:szCs w:val="20"/>
        </w:rPr>
        <w:t xml:space="preserve"> that this balancing must be made on a case by case basis, and that the reasons justifying interference with family life must be very serious indeed</w:t>
      </w:r>
      <w:r w:rsidR="00EE21B6" w:rsidRPr="006D6B01">
        <w:rPr>
          <w:rStyle w:val="FootnoteReference"/>
          <w:rFonts w:asciiTheme="majorHAnsi" w:hAnsiTheme="majorHAnsi"/>
          <w:color w:val="000000" w:themeColor="text1"/>
          <w:sz w:val="20"/>
          <w:szCs w:val="20"/>
        </w:rPr>
        <w:footnoteReference w:id="141"/>
      </w:r>
      <w:r w:rsidR="00EE21B6" w:rsidRPr="006D6B01">
        <w:rPr>
          <w:rFonts w:asciiTheme="majorHAnsi" w:hAnsiTheme="majorHAnsi"/>
          <w:color w:val="000000" w:themeColor="text1"/>
          <w:sz w:val="20"/>
          <w:szCs w:val="20"/>
        </w:rPr>
        <w:t xml:space="preserve">. </w:t>
      </w:r>
    </w:p>
    <w:p w14:paraId="7EBD286B" w14:textId="77777777" w:rsidR="007556D5" w:rsidRPr="006D6B01" w:rsidRDefault="007556D5" w:rsidP="004311F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p>
    <w:p w14:paraId="39C483BD" w14:textId="77777777" w:rsidR="00C6540B" w:rsidRPr="006D6B01" w:rsidRDefault="007556D5"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color w:val="000000" w:themeColor="text1"/>
          <w:sz w:val="20"/>
          <w:szCs w:val="20"/>
        </w:rPr>
      </w:pPr>
      <w:r w:rsidRPr="006D6B01">
        <w:rPr>
          <w:rFonts w:asciiTheme="majorHAnsi" w:hAnsiTheme="majorHAnsi"/>
          <w:sz w:val="20"/>
          <w:szCs w:val="20"/>
        </w:rPr>
        <w:t xml:space="preserve">In addition, the IACHR notes that </w:t>
      </w:r>
      <w:r w:rsidR="007F2C61" w:rsidRPr="006D6B01">
        <w:rPr>
          <w:rFonts w:asciiTheme="majorHAnsi" w:hAnsiTheme="majorHAnsi"/>
          <w:sz w:val="20"/>
          <w:szCs w:val="20"/>
        </w:rPr>
        <w:t>a</w:t>
      </w:r>
      <w:r w:rsidRPr="006D6B01">
        <w:rPr>
          <w:rFonts w:asciiTheme="majorHAnsi" w:hAnsiTheme="majorHAnsi"/>
          <w:sz w:val="20"/>
          <w:szCs w:val="20"/>
        </w:rPr>
        <w:t>s a component of th</w:t>
      </w:r>
      <w:r w:rsidR="007F2C61" w:rsidRPr="006D6B01">
        <w:rPr>
          <w:rFonts w:asciiTheme="majorHAnsi" w:hAnsiTheme="majorHAnsi"/>
          <w:sz w:val="20"/>
          <w:szCs w:val="20"/>
        </w:rPr>
        <w:t>e</w:t>
      </w:r>
      <w:r w:rsidRPr="006D6B01">
        <w:rPr>
          <w:rFonts w:asciiTheme="majorHAnsi" w:hAnsiTheme="majorHAnsi"/>
          <w:sz w:val="20"/>
          <w:szCs w:val="20"/>
        </w:rPr>
        <w:t xml:space="preserve"> special protection afforded children</w:t>
      </w:r>
      <w:r w:rsidR="007F2C61" w:rsidRPr="006D6B01">
        <w:rPr>
          <w:rFonts w:asciiTheme="majorHAnsi" w:hAnsiTheme="majorHAnsi"/>
          <w:sz w:val="20"/>
          <w:szCs w:val="20"/>
        </w:rPr>
        <w:t xml:space="preserve"> under Article VII of the American Declaration</w:t>
      </w:r>
      <w:r w:rsidRPr="006D6B01">
        <w:rPr>
          <w:rFonts w:asciiTheme="majorHAnsi" w:hAnsiTheme="majorHAnsi"/>
          <w:sz w:val="20"/>
          <w:szCs w:val="20"/>
        </w:rPr>
        <w:t>, in the context of legal proceedings that may impact a child’s right to family life, “special protection” requires that the proceedings duly consider the best interests of the child</w:t>
      </w:r>
      <w:r w:rsidRPr="006D6B01">
        <w:rPr>
          <w:rStyle w:val="FootnoteReference"/>
          <w:rFonts w:asciiTheme="majorHAnsi" w:hAnsiTheme="majorHAnsi"/>
          <w:sz w:val="20"/>
          <w:szCs w:val="20"/>
        </w:rPr>
        <w:footnoteReference w:id="142"/>
      </w:r>
      <w:r w:rsidRPr="006D6B01">
        <w:rPr>
          <w:rFonts w:asciiTheme="majorHAnsi" w:hAnsiTheme="majorHAnsi"/>
          <w:sz w:val="20"/>
          <w:szCs w:val="20"/>
        </w:rPr>
        <w:t>.</w:t>
      </w:r>
      <w:r w:rsidRPr="006D6B01">
        <w:rPr>
          <w:rFonts w:asciiTheme="majorHAnsi" w:hAnsiTheme="majorHAnsi"/>
          <w:color w:val="FF0000"/>
          <w:sz w:val="20"/>
          <w:szCs w:val="20"/>
        </w:rPr>
        <w:t xml:space="preserve"> </w:t>
      </w:r>
    </w:p>
    <w:p w14:paraId="42FEBA35" w14:textId="77777777" w:rsidR="00C6540B" w:rsidRPr="006D6B01" w:rsidRDefault="00C6540B" w:rsidP="004311F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color w:val="000000" w:themeColor="text1"/>
          <w:sz w:val="20"/>
          <w:szCs w:val="20"/>
        </w:rPr>
      </w:pPr>
    </w:p>
    <w:p w14:paraId="413A6735" w14:textId="1D665334" w:rsidR="00402DE5" w:rsidRPr="006D6B01" w:rsidRDefault="007556D5"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color w:val="000000" w:themeColor="text1"/>
          <w:sz w:val="20"/>
          <w:szCs w:val="20"/>
        </w:rPr>
      </w:pPr>
      <w:r w:rsidRPr="006D6B01">
        <w:rPr>
          <w:rFonts w:asciiTheme="majorHAnsi" w:hAnsiTheme="majorHAnsi"/>
          <w:color w:val="000000" w:themeColor="text1"/>
          <w:sz w:val="20"/>
          <w:szCs w:val="20"/>
        </w:rPr>
        <w:t>In the instant case, the Commission observes that the Escuela Family found itself in</w:t>
      </w:r>
      <w:r w:rsidR="00E5728E" w:rsidRPr="006D6B01">
        <w:rPr>
          <w:rFonts w:asciiTheme="majorHAnsi" w:hAnsiTheme="majorHAnsi"/>
          <w:color w:val="000000" w:themeColor="text1"/>
          <w:sz w:val="20"/>
          <w:szCs w:val="20"/>
        </w:rPr>
        <w:t xml:space="preserve"> a</w:t>
      </w:r>
      <w:r w:rsidRPr="006D6B01">
        <w:rPr>
          <w:rFonts w:asciiTheme="majorHAnsi" w:hAnsiTheme="majorHAnsi"/>
          <w:color w:val="000000" w:themeColor="text1"/>
          <w:sz w:val="20"/>
          <w:szCs w:val="20"/>
        </w:rPr>
        <w:t xml:space="preserve"> very uncertain situation</w:t>
      </w:r>
      <w:r w:rsidR="007F2C61" w:rsidRPr="006D6B01">
        <w:rPr>
          <w:rFonts w:asciiTheme="majorHAnsi" w:hAnsiTheme="majorHAnsi"/>
          <w:color w:val="000000" w:themeColor="text1"/>
          <w:sz w:val="20"/>
          <w:szCs w:val="20"/>
        </w:rPr>
        <w:t>,</w:t>
      </w:r>
      <w:r w:rsidRPr="006D6B01">
        <w:rPr>
          <w:rFonts w:asciiTheme="majorHAnsi" w:hAnsiTheme="majorHAnsi"/>
          <w:color w:val="000000" w:themeColor="text1"/>
          <w:sz w:val="20"/>
          <w:szCs w:val="20"/>
        </w:rPr>
        <w:t xml:space="preserve"> </w:t>
      </w:r>
      <w:r w:rsidR="007F2C61" w:rsidRPr="006D6B01">
        <w:rPr>
          <w:rFonts w:asciiTheme="majorHAnsi" w:hAnsiTheme="majorHAnsi"/>
          <w:color w:val="000000" w:themeColor="text1"/>
          <w:sz w:val="20"/>
          <w:szCs w:val="20"/>
        </w:rPr>
        <w:t xml:space="preserve">as </w:t>
      </w:r>
      <w:r w:rsidRPr="006D6B01">
        <w:rPr>
          <w:rFonts w:asciiTheme="majorHAnsi" w:hAnsiTheme="majorHAnsi"/>
          <w:color w:val="000000" w:themeColor="text1"/>
          <w:sz w:val="20"/>
          <w:szCs w:val="20"/>
        </w:rPr>
        <w:t>Mrs. Escuela</w:t>
      </w:r>
      <w:r w:rsidR="00E5728E" w:rsidRPr="006D6B01">
        <w:rPr>
          <w:rFonts w:asciiTheme="majorHAnsi" w:hAnsiTheme="majorHAnsi"/>
          <w:color w:val="000000" w:themeColor="text1"/>
          <w:sz w:val="20"/>
          <w:szCs w:val="20"/>
        </w:rPr>
        <w:t>’s</w:t>
      </w:r>
      <w:r w:rsidRPr="006D6B01">
        <w:rPr>
          <w:rFonts w:asciiTheme="majorHAnsi" w:hAnsiTheme="majorHAnsi"/>
          <w:color w:val="000000" w:themeColor="text1"/>
          <w:sz w:val="20"/>
          <w:szCs w:val="20"/>
        </w:rPr>
        <w:t xml:space="preserve"> partner </w:t>
      </w:r>
      <w:r w:rsidR="007F2C61" w:rsidRPr="006D6B01">
        <w:rPr>
          <w:rFonts w:asciiTheme="majorHAnsi" w:hAnsiTheme="majorHAnsi"/>
          <w:color w:val="000000" w:themeColor="text1"/>
          <w:sz w:val="20"/>
          <w:szCs w:val="20"/>
        </w:rPr>
        <w:t xml:space="preserve">had been granted refugee status </w:t>
      </w:r>
      <w:r w:rsidR="00707885" w:rsidRPr="006D6B01">
        <w:rPr>
          <w:rFonts w:asciiTheme="majorHAnsi" w:hAnsiTheme="majorHAnsi"/>
          <w:color w:val="000000" w:themeColor="text1"/>
          <w:sz w:val="20"/>
          <w:szCs w:val="20"/>
        </w:rPr>
        <w:t xml:space="preserve">in a third country </w:t>
      </w:r>
      <w:r w:rsidR="00DA75A6" w:rsidRPr="006D6B01">
        <w:rPr>
          <w:rFonts w:asciiTheme="majorHAnsi" w:hAnsiTheme="majorHAnsi"/>
          <w:color w:val="000000" w:themeColor="text1"/>
          <w:sz w:val="20"/>
          <w:szCs w:val="20"/>
        </w:rPr>
        <w:t xml:space="preserve">and </w:t>
      </w:r>
      <w:r w:rsidR="007F2C61" w:rsidRPr="006D6B01">
        <w:rPr>
          <w:rFonts w:asciiTheme="majorHAnsi" w:hAnsiTheme="majorHAnsi"/>
          <w:color w:val="000000" w:themeColor="text1"/>
          <w:sz w:val="20"/>
          <w:szCs w:val="20"/>
        </w:rPr>
        <w:t xml:space="preserve">was </w:t>
      </w:r>
      <w:r w:rsidR="00DA75A6" w:rsidRPr="006D6B01">
        <w:rPr>
          <w:rFonts w:asciiTheme="majorHAnsi" w:hAnsiTheme="majorHAnsi"/>
          <w:color w:val="000000" w:themeColor="text1"/>
          <w:sz w:val="20"/>
          <w:szCs w:val="20"/>
        </w:rPr>
        <w:t>a</w:t>
      </w:r>
      <w:r w:rsidR="00707885" w:rsidRPr="006D6B01">
        <w:rPr>
          <w:rFonts w:asciiTheme="majorHAnsi" w:hAnsiTheme="majorHAnsi"/>
          <w:color w:val="000000" w:themeColor="text1"/>
          <w:sz w:val="20"/>
          <w:szCs w:val="20"/>
        </w:rPr>
        <w:t>waiting the proper documentation to bring along his family</w:t>
      </w:r>
      <w:r w:rsidR="00F1437B" w:rsidRPr="006D6B01">
        <w:rPr>
          <w:rFonts w:asciiTheme="majorHAnsi" w:hAnsiTheme="majorHAnsi"/>
          <w:color w:val="000000" w:themeColor="text1"/>
          <w:sz w:val="20"/>
          <w:szCs w:val="20"/>
        </w:rPr>
        <w:t xml:space="preserve"> while his family members were detained in </w:t>
      </w:r>
      <w:r w:rsidR="006D6B01" w:rsidRPr="006D6B01">
        <w:rPr>
          <w:rFonts w:asciiTheme="majorHAnsi" w:hAnsiTheme="majorHAnsi"/>
          <w:color w:val="000000" w:themeColor="text1"/>
          <w:sz w:val="20"/>
          <w:szCs w:val="20"/>
        </w:rPr>
        <w:t xml:space="preserve">The </w:t>
      </w:r>
      <w:r w:rsidR="00F1437B" w:rsidRPr="006D6B01">
        <w:rPr>
          <w:rFonts w:asciiTheme="majorHAnsi" w:hAnsiTheme="majorHAnsi"/>
          <w:color w:val="000000" w:themeColor="text1"/>
          <w:sz w:val="20"/>
          <w:szCs w:val="20"/>
        </w:rPr>
        <w:t>Bahamas</w:t>
      </w:r>
      <w:r w:rsidR="00707885" w:rsidRPr="006D6B01">
        <w:rPr>
          <w:rFonts w:asciiTheme="majorHAnsi" w:hAnsiTheme="majorHAnsi"/>
          <w:color w:val="000000" w:themeColor="text1"/>
          <w:sz w:val="20"/>
          <w:szCs w:val="20"/>
        </w:rPr>
        <w:t xml:space="preserve">. </w:t>
      </w:r>
      <w:r w:rsidR="007F2C61" w:rsidRPr="006D6B01">
        <w:rPr>
          <w:rFonts w:asciiTheme="majorHAnsi" w:hAnsiTheme="majorHAnsi"/>
          <w:color w:val="000000" w:themeColor="text1"/>
          <w:sz w:val="20"/>
          <w:szCs w:val="20"/>
        </w:rPr>
        <w:t>Despite a request to the State to refrain from deporting the Escuela family while Mrs. Escuela’s husband’s family reunification request was processed, Bahamas proceeded to deport the</w:t>
      </w:r>
      <w:r w:rsidR="00707885" w:rsidRPr="006D6B01">
        <w:rPr>
          <w:rFonts w:asciiTheme="majorHAnsi" w:hAnsiTheme="majorHAnsi"/>
          <w:color w:val="000000" w:themeColor="text1"/>
          <w:sz w:val="20"/>
          <w:szCs w:val="20"/>
        </w:rPr>
        <w:t xml:space="preserve"> family to Cuba, </w:t>
      </w:r>
      <w:r w:rsidR="007F2C61" w:rsidRPr="006D6B01">
        <w:rPr>
          <w:rFonts w:asciiTheme="majorHAnsi" w:hAnsiTheme="majorHAnsi"/>
          <w:color w:val="000000" w:themeColor="text1"/>
          <w:sz w:val="20"/>
          <w:szCs w:val="20"/>
        </w:rPr>
        <w:t xml:space="preserve">further </w:t>
      </w:r>
      <w:r w:rsidR="00707885" w:rsidRPr="006D6B01">
        <w:rPr>
          <w:rFonts w:asciiTheme="majorHAnsi" w:hAnsiTheme="majorHAnsi"/>
          <w:color w:val="000000" w:themeColor="text1"/>
          <w:sz w:val="20"/>
          <w:szCs w:val="20"/>
        </w:rPr>
        <w:t xml:space="preserve">disregarding </w:t>
      </w:r>
      <w:r w:rsidR="007F2C61" w:rsidRPr="006D6B01">
        <w:rPr>
          <w:rFonts w:asciiTheme="majorHAnsi" w:hAnsiTheme="majorHAnsi"/>
          <w:color w:val="000000" w:themeColor="text1"/>
          <w:sz w:val="20"/>
          <w:szCs w:val="20"/>
        </w:rPr>
        <w:t>Mrs. Escuela’s claim that the family would be persecuted there</w:t>
      </w:r>
      <w:r w:rsidR="00707885" w:rsidRPr="006D6B01">
        <w:rPr>
          <w:rFonts w:asciiTheme="majorHAnsi" w:hAnsiTheme="majorHAnsi"/>
          <w:color w:val="000000" w:themeColor="text1"/>
          <w:sz w:val="20"/>
          <w:szCs w:val="20"/>
        </w:rPr>
        <w:t xml:space="preserve">. </w:t>
      </w:r>
      <w:r w:rsidR="00F1437B" w:rsidRPr="006D6B01">
        <w:rPr>
          <w:rFonts w:asciiTheme="majorHAnsi" w:hAnsiTheme="majorHAnsi"/>
          <w:color w:val="000000" w:themeColor="text1"/>
          <w:sz w:val="20"/>
          <w:szCs w:val="20"/>
        </w:rPr>
        <w:t>T</w:t>
      </w:r>
      <w:r w:rsidR="00707885" w:rsidRPr="006D6B01">
        <w:rPr>
          <w:rFonts w:asciiTheme="majorHAnsi" w:hAnsiTheme="majorHAnsi"/>
          <w:color w:val="000000" w:themeColor="text1"/>
          <w:sz w:val="20"/>
          <w:szCs w:val="20"/>
        </w:rPr>
        <w:t xml:space="preserve">he Commission has already established </w:t>
      </w:r>
      <w:r w:rsidR="00E97E78" w:rsidRPr="006D6B01">
        <w:rPr>
          <w:rFonts w:asciiTheme="majorHAnsi" w:hAnsiTheme="majorHAnsi"/>
          <w:color w:val="000000" w:themeColor="text1"/>
          <w:sz w:val="20"/>
          <w:szCs w:val="20"/>
        </w:rPr>
        <w:t xml:space="preserve">the absence of </w:t>
      </w:r>
      <w:r w:rsidR="00F1437B" w:rsidRPr="006D6B01">
        <w:rPr>
          <w:rFonts w:asciiTheme="majorHAnsi" w:hAnsiTheme="majorHAnsi"/>
          <w:color w:val="000000" w:themeColor="text1"/>
          <w:sz w:val="20"/>
          <w:szCs w:val="20"/>
        </w:rPr>
        <w:t>an adequate</w:t>
      </w:r>
      <w:r w:rsidR="00E97E78" w:rsidRPr="006D6B01">
        <w:rPr>
          <w:rFonts w:asciiTheme="majorHAnsi" w:hAnsiTheme="majorHAnsi"/>
          <w:color w:val="000000" w:themeColor="text1"/>
          <w:sz w:val="20"/>
          <w:szCs w:val="20"/>
        </w:rPr>
        <w:t xml:space="preserve"> refug</w:t>
      </w:r>
      <w:r w:rsidR="00DA75A6" w:rsidRPr="006D6B01">
        <w:rPr>
          <w:rFonts w:asciiTheme="majorHAnsi" w:hAnsiTheme="majorHAnsi"/>
          <w:color w:val="000000" w:themeColor="text1"/>
          <w:sz w:val="20"/>
          <w:szCs w:val="20"/>
        </w:rPr>
        <w:t>e</w:t>
      </w:r>
      <w:r w:rsidR="00E97E78" w:rsidRPr="006D6B01">
        <w:rPr>
          <w:rFonts w:asciiTheme="majorHAnsi" w:hAnsiTheme="majorHAnsi"/>
          <w:color w:val="000000" w:themeColor="text1"/>
          <w:sz w:val="20"/>
          <w:szCs w:val="20"/>
        </w:rPr>
        <w:t>e status</w:t>
      </w:r>
      <w:r w:rsidR="00F1437B" w:rsidRPr="006D6B01">
        <w:rPr>
          <w:rFonts w:asciiTheme="majorHAnsi" w:hAnsiTheme="majorHAnsi"/>
          <w:color w:val="000000" w:themeColor="text1"/>
          <w:sz w:val="20"/>
          <w:szCs w:val="20"/>
        </w:rPr>
        <w:t xml:space="preserve"> determination procedure with due process guarantees in this case; here,</w:t>
      </w:r>
      <w:r w:rsidR="00E97E78" w:rsidRPr="006D6B01">
        <w:rPr>
          <w:rFonts w:asciiTheme="majorHAnsi" w:hAnsiTheme="majorHAnsi"/>
          <w:color w:val="000000" w:themeColor="text1"/>
          <w:sz w:val="20"/>
          <w:szCs w:val="20"/>
        </w:rPr>
        <w:t xml:space="preserve"> it finds that the Escuela Family </w:t>
      </w:r>
      <w:r w:rsidR="00F1437B" w:rsidRPr="006D6B01">
        <w:rPr>
          <w:rFonts w:asciiTheme="majorHAnsi" w:hAnsiTheme="majorHAnsi"/>
          <w:color w:val="000000" w:themeColor="text1"/>
          <w:sz w:val="20"/>
          <w:szCs w:val="20"/>
        </w:rPr>
        <w:t xml:space="preserve">was </w:t>
      </w:r>
      <w:r w:rsidR="00E97E78" w:rsidRPr="006D6B01">
        <w:rPr>
          <w:rFonts w:asciiTheme="majorHAnsi" w:hAnsiTheme="majorHAnsi"/>
          <w:color w:val="000000" w:themeColor="text1"/>
          <w:sz w:val="20"/>
          <w:szCs w:val="20"/>
        </w:rPr>
        <w:t xml:space="preserve">prevented </w:t>
      </w:r>
      <w:r w:rsidR="00F1437B" w:rsidRPr="006D6B01">
        <w:rPr>
          <w:rFonts w:asciiTheme="majorHAnsi" w:hAnsiTheme="majorHAnsi"/>
          <w:color w:val="000000" w:themeColor="text1"/>
          <w:sz w:val="20"/>
          <w:szCs w:val="20"/>
        </w:rPr>
        <w:t>from presenting</w:t>
      </w:r>
      <w:r w:rsidR="00E97E78" w:rsidRPr="006D6B01">
        <w:rPr>
          <w:rFonts w:asciiTheme="majorHAnsi" w:hAnsiTheme="majorHAnsi"/>
          <w:color w:val="000000" w:themeColor="text1"/>
          <w:sz w:val="20"/>
          <w:szCs w:val="20"/>
        </w:rPr>
        <w:t xml:space="preserve"> before a competent authority the elements indicating the actual existence of a substantial risk of persecution that a reasonable decisionmaker should have evaluated and could have formed the basis for</w:t>
      </w:r>
      <w:r w:rsidR="00E5728E" w:rsidRPr="006D6B01">
        <w:rPr>
          <w:rFonts w:asciiTheme="majorHAnsi" w:hAnsiTheme="majorHAnsi"/>
          <w:color w:val="000000" w:themeColor="text1"/>
          <w:sz w:val="20"/>
          <w:szCs w:val="20"/>
        </w:rPr>
        <w:t xml:space="preserve"> a decision, at least </w:t>
      </w:r>
      <w:r w:rsidR="00E97E78" w:rsidRPr="006D6B01">
        <w:rPr>
          <w:rFonts w:asciiTheme="majorHAnsi" w:hAnsiTheme="majorHAnsi"/>
          <w:color w:val="000000" w:themeColor="text1"/>
          <w:sz w:val="20"/>
          <w:szCs w:val="20"/>
        </w:rPr>
        <w:t xml:space="preserve">to </w:t>
      </w:r>
      <w:r w:rsidR="00E5728E" w:rsidRPr="006D6B01">
        <w:rPr>
          <w:rFonts w:asciiTheme="majorHAnsi" w:hAnsiTheme="majorHAnsi"/>
          <w:color w:val="000000" w:themeColor="text1"/>
          <w:sz w:val="20"/>
          <w:szCs w:val="20"/>
        </w:rPr>
        <w:t xml:space="preserve">not </w:t>
      </w:r>
      <w:r w:rsidR="00E97E78" w:rsidRPr="006D6B01">
        <w:rPr>
          <w:rFonts w:asciiTheme="majorHAnsi" w:hAnsiTheme="majorHAnsi"/>
          <w:i/>
          <w:color w:val="000000" w:themeColor="text1"/>
          <w:sz w:val="20"/>
          <w:szCs w:val="20"/>
        </w:rPr>
        <w:t>refouled</w:t>
      </w:r>
      <w:r w:rsidR="00E97E78" w:rsidRPr="006D6B01">
        <w:rPr>
          <w:rFonts w:asciiTheme="majorHAnsi" w:hAnsiTheme="majorHAnsi"/>
          <w:color w:val="000000" w:themeColor="text1"/>
          <w:sz w:val="20"/>
          <w:szCs w:val="20"/>
        </w:rPr>
        <w:t xml:space="preserve"> them.</w:t>
      </w:r>
    </w:p>
    <w:p w14:paraId="789641EE" w14:textId="77777777" w:rsidR="00402DE5" w:rsidRPr="006D6B01" w:rsidRDefault="00402DE5" w:rsidP="004311FE">
      <w:pPr>
        <w:pStyle w:val="ListParagraph"/>
        <w:tabs>
          <w:tab w:val="left" w:pos="360"/>
        </w:tabs>
        <w:ind w:left="0"/>
        <w:rPr>
          <w:rFonts w:asciiTheme="majorHAnsi" w:hAnsiTheme="majorHAnsi"/>
          <w:color w:val="000000" w:themeColor="text1"/>
          <w:sz w:val="20"/>
          <w:szCs w:val="20"/>
        </w:rPr>
      </w:pPr>
    </w:p>
    <w:p w14:paraId="376C33F5" w14:textId="20DB700C" w:rsidR="00402DE5" w:rsidRPr="006D6B01" w:rsidRDefault="00402DE5"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color w:val="000000" w:themeColor="text1"/>
          <w:sz w:val="20"/>
          <w:szCs w:val="20"/>
        </w:rPr>
      </w:pPr>
      <w:r w:rsidRPr="006D6B01">
        <w:rPr>
          <w:rFonts w:asciiTheme="majorHAnsi" w:hAnsiTheme="majorHAnsi"/>
          <w:color w:val="000000" w:themeColor="text1"/>
          <w:sz w:val="20"/>
          <w:szCs w:val="20"/>
        </w:rPr>
        <w:t>In addition, the Commission highlights</w:t>
      </w:r>
      <w:r w:rsidR="00F1437B" w:rsidRPr="006D6B01">
        <w:rPr>
          <w:rFonts w:asciiTheme="majorHAnsi" w:hAnsiTheme="majorHAnsi"/>
          <w:color w:val="000000" w:themeColor="text1"/>
          <w:sz w:val="20"/>
          <w:szCs w:val="20"/>
        </w:rPr>
        <w:t xml:space="preserve"> that</w:t>
      </w:r>
      <w:r w:rsidRPr="006D6B01">
        <w:rPr>
          <w:rFonts w:asciiTheme="majorHAnsi" w:hAnsiTheme="majorHAnsi"/>
          <w:color w:val="000000" w:themeColor="text1"/>
          <w:sz w:val="20"/>
          <w:szCs w:val="20"/>
        </w:rPr>
        <w:t xml:space="preserve"> the decision </w:t>
      </w:r>
      <w:r w:rsidR="00F1437B" w:rsidRPr="006D6B01">
        <w:rPr>
          <w:rFonts w:asciiTheme="majorHAnsi" w:hAnsiTheme="majorHAnsi"/>
          <w:color w:val="000000" w:themeColor="text1"/>
          <w:sz w:val="20"/>
          <w:szCs w:val="20"/>
        </w:rPr>
        <w:t>to repatriate the family</w:t>
      </w:r>
      <w:r w:rsidRPr="006D6B01">
        <w:rPr>
          <w:rFonts w:asciiTheme="majorHAnsi" w:hAnsiTheme="majorHAnsi"/>
          <w:color w:val="000000" w:themeColor="text1"/>
          <w:sz w:val="20"/>
          <w:szCs w:val="20"/>
        </w:rPr>
        <w:t xml:space="preserve">, despite the evident risks for their integrity, must be considered as well in light of the special protection of the children. In this way, the </w:t>
      </w:r>
      <w:r w:rsidR="006D6B01" w:rsidRPr="006D6B01">
        <w:rPr>
          <w:rFonts w:asciiTheme="majorHAnsi" w:hAnsiTheme="majorHAnsi"/>
          <w:color w:val="000000" w:themeColor="text1"/>
          <w:sz w:val="20"/>
          <w:szCs w:val="20"/>
        </w:rPr>
        <w:t>Commission finds an</w:t>
      </w:r>
      <w:r w:rsidR="00CF7E13" w:rsidRPr="006D6B01">
        <w:rPr>
          <w:rFonts w:asciiTheme="majorHAnsi" w:hAnsiTheme="majorHAnsi"/>
          <w:color w:val="000000" w:themeColor="text1"/>
          <w:sz w:val="20"/>
          <w:szCs w:val="20"/>
        </w:rPr>
        <w:t xml:space="preserve"> absence of a formal proceeding to present these claims before Bahamian authorities and receive a duly founded decision as to whether they should have been deported to Cuba, taking into account both the grounds alleged by Mrs. Escuela regarding persecution in her home country as well as their family’s particular situation as they awaited family reunification in a third country.</w:t>
      </w:r>
    </w:p>
    <w:p w14:paraId="4D121871" w14:textId="77777777" w:rsidR="00402DE5" w:rsidRPr="006D6B01" w:rsidRDefault="00402DE5" w:rsidP="004311FE">
      <w:pPr>
        <w:pStyle w:val="ListParagraph"/>
        <w:tabs>
          <w:tab w:val="left" w:pos="360"/>
        </w:tabs>
        <w:ind w:left="0"/>
        <w:rPr>
          <w:rFonts w:asciiTheme="majorHAnsi" w:hAnsiTheme="majorHAnsi"/>
          <w:sz w:val="20"/>
          <w:szCs w:val="20"/>
        </w:rPr>
      </w:pPr>
    </w:p>
    <w:p w14:paraId="33230CE7" w14:textId="77777777" w:rsidR="001C3875" w:rsidRDefault="00221CE2"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6D6B01">
        <w:rPr>
          <w:rFonts w:asciiTheme="majorHAnsi" w:hAnsiTheme="majorHAnsi"/>
          <w:sz w:val="20"/>
          <w:szCs w:val="20"/>
        </w:rPr>
        <w:t xml:space="preserve">Accordingly, the IACHR finds </w:t>
      </w:r>
      <w:r w:rsidR="00F1437B" w:rsidRPr="006D6B01">
        <w:rPr>
          <w:rFonts w:asciiTheme="majorHAnsi" w:hAnsiTheme="majorHAnsi"/>
          <w:sz w:val="20"/>
          <w:szCs w:val="20"/>
        </w:rPr>
        <w:t xml:space="preserve">that </w:t>
      </w:r>
      <w:r w:rsidRPr="006D6B01">
        <w:rPr>
          <w:rFonts w:asciiTheme="majorHAnsi" w:hAnsiTheme="majorHAnsi"/>
          <w:sz w:val="20"/>
          <w:szCs w:val="20"/>
        </w:rPr>
        <w:t xml:space="preserve">the State </w:t>
      </w:r>
      <w:r w:rsidR="00F1437B" w:rsidRPr="006D6B01">
        <w:rPr>
          <w:rFonts w:asciiTheme="majorHAnsi" w:hAnsiTheme="majorHAnsi"/>
          <w:sz w:val="20"/>
          <w:szCs w:val="20"/>
        </w:rPr>
        <w:t>violated</w:t>
      </w:r>
      <w:r w:rsidR="00402DE5" w:rsidRPr="006D6B01">
        <w:rPr>
          <w:rFonts w:asciiTheme="majorHAnsi" w:hAnsiTheme="majorHAnsi"/>
          <w:sz w:val="20"/>
          <w:szCs w:val="20"/>
        </w:rPr>
        <w:t xml:space="preserve"> the Escuela Family</w:t>
      </w:r>
      <w:r w:rsidR="00F1437B" w:rsidRPr="006D6B01">
        <w:rPr>
          <w:rFonts w:asciiTheme="majorHAnsi" w:hAnsiTheme="majorHAnsi"/>
          <w:sz w:val="20"/>
          <w:szCs w:val="20"/>
        </w:rPr>
        <w:t>’s</w:t>
      </w:r>
      <w:r w:rsidR="00402DE5" w:rsidRPr="006D6B01">
        <w:rPr>
          <w:rFonts w:asciiTheme="majorHAnsi" w:hAnsiTheme="majorHAnsi"/>
          <w:sz w:val="20"/>
          <w:szCs w:val="20"/>
        </w:rPr>
        <w:t xml:space="preserve"> </w:t>
      </w:r>
      <w:r w:rsidRPr="006D6B01">
        <w:rPr>
          <w:rFonts w:asciiTheme="majorHAnsi" w:hAnsiTheme="majorHAnsi"/>
          <w:sz w:val="20"/>
          <w:szCs w:val="20"/>
        </w:rPr>
        <w:t xml:space="preserve">rights under Articles V, VI, and VII </w:t>
      </w:r>
      <w:r w:rsidR="00402DE5" w:rsidRPr="006D6B01">
        <w:rPr>
          <w:rFonts w:asciiTheme="majorHAnsi" w:hAnsiTheme="majorHAnsi"/>
          <w:sz w:val="20"/>
          <w:szCs w:val="20"/>
        </w:rPr>
        <w:t xml:space="preserve">and the obligation of </w:t>
      </w:r>
      <w:r w:rsidR="0065707A" w:rsidRPr="006D6B01">
        <w:rPr>
          <w:rFonts w:asciiTheme="majorHAnsi" w:hAnsiTheme="majorHAnsi"/>
          <w:i/>
          <w:sz w:val="20"/>
          <w:szCs w:val="20"/>
        </w:rPr>
        <w:t>non-refoulement</w:t>
      </w:r>
      <w:r w:rsidR="00CF7E13" w:rsidRPr="006D6B01">
        <w:rPr>
          <w:rFonts w:asciiTheme="majorHAnsi" w:hAnsiTheme="majorHAnsi"/>
          <w:sz w:val="20"/>
          <w:szCs w:val="20"/>
        </w:rPr>
        <w:t>, along with article I</w:t>
      </w:r>
      <w:r w:rsidR="0065707A" w:rsidRPr="006D6B01">
        <w:rPr>
          <w:rFonts w:asciiTheme="majorHAnsi" w:hAnsiTheme="majorHAnsi"/>
          <w:i/>
          <w:sz w:val="20"/>
          <w:szCs w:val="20"/>
        </w:rPr>
        <w:t xml:space="preserve"> </w:t>
      </w:r>
      <w:r w:rsidRPr="006D6B01">
        <w:rPr>
          <w:rFonts w:asciiTheme="majorHAnsi" w:hAnsiTheme="majorHAnsi"/>
          <w:sz w:val="20"/>
          <w:szCs w:val="20"/>
        </w:rPr>
        <w:t xml:space="preserve">of the American Declaration by failing </w:t>
      </w:r>
      <w:r w:rsidR="0065707A" w:rsidRPr="006D6B01">
        <w:rPr>
          <w:rFonts w:asciiTheme="majorHAnsi" w:hAnsiTheme="majorHAnsi"/>
          <w:sz w:val="20"/>
          <w:szCs w:val="20"/>
        </w:rPr>
        <w:t>to</w:t>
      </w:r>
      <w:r w:rsidRPr="006D6B01">
        <w:rPr>
          <w:rFonts w:asciiTheme="majorHAnsi" w:hAnsiTheme="majorHAnsi"/>
          <w:sz w:val="20"/>
          <w:szCs w:val="20"/>
        </w:rPr>
        <w:t xml:space="preserve"> duly consider their right to family and the best interest of the</w:t>
      </w:r>
      <w:r w:rsidR="0065707A" w:rsidRPr="006D6B01">
        <w:rPr>
          <w:rFonts w:asciiTheme="majorHAnsi" w:hAnsiTheme="majorHAnsi"/>
          <w:sz w:val="20"/>
          <w:szCs w:val="20"/>
        </w:rPr>
        <w:t xml:space="preserve"> </w:t>
      </w:r>
      <w:r w:rsidRPr="006D6B01">
        <w:rPr>
          <w:rFonts w:asciiTheme="majorHAnsi" w:hAnsiTheme="majorHAnsi"/>
          <w:sz w:val="20"/>
          <w:szCs w:val="20"/>
        </w:rPr>
        <w:t>children on an individualized</w:t>
      </w:r>
      <w:r w:rsidR="00402DE5" w:rsidRPr="006D6B01">
        <w:rPr>
          <w:rFonts w:asciiTheme="majorHAnsi" w:hAnsiTheme="majorHAnsi"/>
          <w:color w:val="000000" w:themeColor="text1"/>
          <w:sz w:val="20"/>
          <w:szCs w:val="20"/>
        </w:rPr>
        <w:t xml:space="preserve"> </w:t>
      </w:r>
      <w:r w:rsidRPr="006D6B01">
        <w:rPr>
          <w:rFonts w:asciiTheme="majorHAnsi" w:hAnsiTheme="majorHAnsi"/>
          <w:sz w:val="20"/>
          <w:szCs w:val="20"/>
        </w:rPr>
        <w:t>basis</w:t>
      </w:r>
      <w:r w:rsidR="0065707A" w:rsidRPr="006D6B01">
        <w:rPr>
          <w:rFonts w:asciiTheme="majorHAnsi" w:hAnsiTheme="majorHAnsi"/>
          <w:sz w:val="20"/>
          <w:szCs w:val="20"/>
        </w:rPr>
        <w:t xml:space="preserve"> in their removal proceedings against the Escuela Family</w:t>
      </w:r>
      <w:r w:rsidR="00CF7E13" w:rsidRPr="006D6B01">
        <w:rPr>
          <w:rFonts w:asciiTheme="majorHAnsi" w:hAnsiTheme="majorHAnsi"/>
          <w:sz w:val="20"/>
          <w:szCs w:val="20"/>
        </w:rPr>
        <w:t xml:space="preserve">, and to protect them against the alleged persecution which was actually confirmed shortly after their repatriation by their testimonies.  </w:t>
      </w:r>
    </w:p>
    <w:p w14:paraId="4A408A1B" w14:textId="62B2C4FF" w:rsidR="0065707A" w:rsidRPr="006D6B01" w:rsidRDefault="00CF7E13" w:rsidP="004311F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r w:rsidRPr="006D6B01">
        <w:rPr>
          <w:rFonts w:asciiTheme="majorHAnsi" w:hAnsiTheme="majorHAnsi"/>
          <w:sz w:val="20"/>
          <w:szCs w:val="20"/>
        </w:rPr>
        <w:t xml:space="preserve"> </w:t>
      </w:r>
    </w:p>
    <w:p w14:paraId="092B3FE6" w14:textId="0915E214" w:rsidR="001C3875" w:rsidRPr="001A69A6" w:rsidRDefault="001C3875" w:rsidP="004311FE">
      <w:pPr>
        <w:pStyle w:val="Heading1"/>
        <w:keepNext/>
        <w:keepLines/>
        <w:tabs>
          <w:tab w:val="left" w:pos="360"/>
        </w:tabs>
        <w:suppressAutoHyphens w:val="0"/>
        <w:ind w:left="0" w:firstLine="0"/>
        <w:rPr>
          <w:color w:val="auto"/>
          <w:lang w:val="en-US"/>
        </w:rPr>
      </w:pPr>
      <w:bookmarkStart w:id="29" w:name="_Toc6226985"/>
      <w:bookmarkStart w:id="30" w:name="_Toc90557421"/>
      <w:r w:rsidRPr="001A69A6">
        <w:rPr>
          <w:color w:val="auto"/>
          <w:lang w:val="en-US"/>
        </w:rPr>
        <w:t>ACTI</w:t>
      </w:r>
      <w:r w:rsidR="00282B67" w:rsidRPr="001A69A6">
        <w:rPr>
          <w:color w:val="auto"/>
          <w:lang w:val="en-US"/>
        </w:rPr>
        <w:t>ONS SUBSEQUENT TO REPORT No. 9</w:t>
      </w:r>
      <w:r w:rsidRPr="001A69A6">
        <w:rPr>
          <w:color w:val="auto"/>
          <w:lang w:val="en-US"/>
        </w:rPr>
        <w:t>/1</w:t>
      </w:r>
      <w:bookmarkEnd w:id="29"/>
      <w:r w:rsidR="00282B67" w:rsidRPr="001A69A6">
        <w:rPr>
          <w:color w:val="auto"/>
          <w:lang w:val="en-US"/>
        </w:rPr>
        <w:t>9</w:t>
      </w:r>
      <w:bookmarkEnd w:id="30"/>
    </w:p>
    <w:p w14:paraId="5B3F075C" w14:textId="77777777" w:rsidR="001C3875" w:rsidRPr="001A69A6" w:rsidRDefault="001C3875" w:rsidP="004311FE">
      <w:pPr>
        <w:tabs>
          <w:tab w:val="left" w:pos="360"/>
        </w:tabs>
      </w:pPr>
    </w:p>
    <w:p w14:paraId="1C0A4617" w14:textId="6FB3D044" w:rsidR="001C3875" w:rsidRPr="001A69A6" w:rsidRDefault="001C3875"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ind w:left="0" w:firstLine="0"/>
        <w:jc w:val="both"/>
        <w:rPr>
          <w:rFonts w:ascii="Cambria" w:hAnsi="Cambria"/>
          <w:sz w:val="20"/>
          <w:szCs w:val="20"/>
        </w:rPr>
      </w:pPr>
      <w:r w:rsidRPr="001A69A6">
        <w:rPr>
          <w:rFonts w:ascii="Cambria" w:hAnsi="Cambria"/>
          <w:sz w:val="20"/>
          <w:szCs w:val="20"/>
        </w:rPr>
        <w:t xml:space="preserve">On </w:t>
      </w:r>
      <w:r w:rsidR="00282B67" w:rsidRPr="001A69A6">
        <w:rPr>
          <w:rFonts w:ascii="Cambria" w:hAnsi="Cambria"/>
          <w:sz w:val="20"/>
          <w:szCs w:val="20"/>
        </w:rPr>
        <w:t>February 12, 2019</w:t>
      </w:r>
      <w:r w:rsidRPr="001A69A6">
        <w:rPr>
          <w:rFonts w:ascii="Cambria" w:hAnsi="Cambria"/>
          <w:sz w:val="20"/>
          <w:szCs w:val="20"/>
        </w:rPr>
        <w:t>, the Co</w:t>
      </w:r>
      <w:r w:rsidR="00282B67" w:rsidRPr="001A69A6">
        <w:rPr>
          <w:rFonts w:ascii="Cambria" w:hAnsi="Cambria"/>
          <w:sz w:val="20"/>
          <w:szCs w:val="20"/>
        </w:rPr>
        <w:t>mmission approved Report No. 9/19</w:t>
      </w:r>
      <w:r w:rsidRPr="001A69A6">
        <w:rPr>
          <w:rFonts w:ascii="Cambria" w:hAnsi="Cambria"/>
          <w:sz w:val="20"/>
          <w:szCs w:val="20"/>
        </w:rPr>
        <w:t xml:space="preserve"> on the merits of the instant case, whic</w:t>
      </w:r>
      <w:r w:rsidR="00282B67" w:rsidRPr="001A69A6">
        <w:rPr>
          <w:rFonts w:ascii="Cambria" w:hAnsi="Cambria"/>
          <w:sz w:val="20"/>
          <w:szCs w:val="20"/>
        </w:rPr>
        <w:t>h encompasses paragraphs 1 to 90</w:t>
      </w:r>
      <w:r w:rsidRPr="001A69A6">
        <w:rPr>
          <w:rFonts w:ascii="Cambria" w:hAnsi="Cambria"/>
          <w:sz w:val="20"/>
          <w:szCs w:val="20"/>
        </w:rPr>
        <w:t xml:space="preserve"> </w:t>
      </w:r>
      <w:r w:rsidRPr="001A69A6">
        <w:rPr>
          <w:rFonts w:ascii="Cambria" w:hAnsi="Cambria"/>
          <w:i/>
          <w:sz w:val="20"/>
          <w:szCs w:val="20"/>
        </w:rPr>
        <w:t>supra</w:t>
      </w:r>
      <w:r w:rsidRPr="001A69A6">
        <w:rPr>
          <w:rFonts w:ascii="Cambria" w:hAnsi="Cambria"/>
          <w:sz w:val="20"/>
          <w:szCs w:val="20"/>
        </w:rPr>
        <w:t xml:space="preserve">, and issued the following recommendations to the State: </w:t>
      </w:r>
    </w:p>
    <w:p w14:paraId="4E98DF34" w14:textId="77777777" w:rsidR="00282B67" w:rsidRPr="000B44FC" w:rsidRDefault="00282B67" w:rsidP="004311F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jc w:val="both"/>
        <w:rPr>
          <w:rFonts w:ascii="Cambria" w:hAnsi="Cambria"/>
          <w:sz w:val="20"/>
          <w:szCs w:val="20"/>
          <w:highlight w:val="yellow"/>
        </w:rPr>
      </w:pPr>
    </w:p>
    <w:p w14:paraId="20517B1C" w14:textId="77777777" w:rsidR="00282B67" w:rsidRDefault="00282B67" w:rsidP="004311F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bdr w:val="none" w:sz="0" w:space="0" w:color="auto" w:frame="1"/>
        </w:rPr>
      </w:pPr>
      <w:r w:rsidRPr="00202485">
        <w:rPr>
          <w:rFonts w:asciiTheme="majorHAnsi" w:hAnsiTheme="majorHAnsi"/>
          <w:sz w:val="20"/>
          <w:szCs w:val="20"/>
          <w:bdr w:val="none" w:sz="0" w:space="0" w:color="auto" w:frame="1"/>
        </w:rPr>
        <w:t>Individualize the unidentified repatriated Cuban and Haitian nationals referred to in this report, consolidating a final list of victims. Arrange and deploy all the diplomatic efforts required to establish contact with all the victims in order to make adequate reparations, both material and moral, for the human rights violations recognized in this report, including both economic compensation and measures of satisfaction</w:t>
      </w:r>
      <w:r>
        <w:rPr>
          <w:rFonts w:asciiTheme="majorHAnsi" w:hAnsiTheme="majorHAnsi"/>
          <w:sz w:val="20"/>
          <w:szCs w:val="20"/>
          <w:bdr w:val="none" w:sz="0" w:space="0" w:color="auto" w:frame="1"/>
        </w:rPr>
        <w:t>.</w:t>
      </w:r>
    </w:p>
    <w:p w14:paraId="70EC9206" w14:textId="77777777" w:rsidR="00282B67" w:rsidRDefault="00282B67" w:rsidP="004311F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720"/>
        <w:jc w:val="both"/>
        <w:rPr>
          <w:rFonts w:asciiTheme="majorHAnsi" w:hAnsiTheme="majorHAnsi"/>
          <w:sz w:val="20"/>
          <w:szCs w:val="20"/>
          <w:bdr w:val="none" w:sz="0" w:space="0" w:color="auto" w:frame="1"/>
        </w:rPr>
      </w:pPr>
    </w:p>
    <w:p w14:paraId="3EAADA81" w14:textId="77777777" w:rsidR="00282B67" w:rsidRPr="00A86EF7" w:rsidRDefault="00282B67" w:rsidP="004311F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bdr w:val="none" w:sz="0" w:space="0" w:color="auto" w:frame="1"/>
        </w:rPr>
      </w:pPr>
      <w:r w:rsidRPr="00A86EF7">
        <w:rPr>
          <w:rFonts w:asciiTheme="majorHAnsi" w:hAnsiTheme="majorHAnsi"/>
          <w:sz w:val="20"/>
          <w:szCs w:val="20"/>
          <w:bdr w:val="none" w:sz="0" w:space="0" w:color="auto" w:frame="1"/>
        </w:rPr>
        <w:t>Adopt urgent measures in order to improve detention conditions in Carmichael Road Detention Center such that they are consistent with minimum Inter-American standards set forth in this report. The State must create a judicial or administrative mechanism to ensure accessible and effective means to facilitate the submission and processing of complaints in this regard</w:t>
      </w:r>
      <w:r w:rsidRPr="00A86EF7">
        <w:rPr>
          <w:rFonts w:asciiTheme="majorHAnsi" w:hAnsiTheme="majorHAnsi"/>
          <w:sz w:val="20"/>
          <w:szCs w:val="20"/>
          <w:lang w:val="en-GB"/>
        </w:rPr>
        <w:t xml:space="preserve">, including criminal complaints at the disposition of the detainees. </w:t>
      </w:r>
    </w:p>
    <w:p w14:paraId="3B8D571D" w14:textId="77777777" w:rsidR="00282B67" w:rsidRPr="00202485" w:rsidRDefault="00282B67" w:rsidP="004311F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firstLine="720"/>
        <w:jc w:val="both"/>
        <w:rPr>
          <w:rFonts w:asciiTheme="majorHAnsi" w:hAnsiTheme="majorHAnsi"/>
          <w:sz w:val="20"/>
          <w:szCs w:val="20"/>
          <w:bdr w:val="none" w:sz="0" w:space="0" w:color="auto" w:frame="1"/>
        </w:rPr>
      </w:pPr>
    </w:p>
    <w:p w14:paraId="0331A8AF" w14:textId="77777777" w:rsidR="004311FE" w:rsidRDefault="004311FE">
      <w:pPr>
        <w:rPr>
          <w:rFonts w:asciiTheme="majorHAnsi" w:hAnsiTheme="majorHAnsi"/>
          <w:sz w:val="20"/>
          <w:szCs w:val="20"/>
        </w:rPr>
      </w:pPr>
      <w:r>
        <w:rPr>
          <w:rFonts w:asciiTheme="majorHAnsi" w:hAnsiTheme="majorHAnsi"/>
          <w:sz w:val="20"/>
          <w:szCs w:val="20"/>
        </w:rPr>
        <w:br w:type="page"/>
      </w:r>
    </w:p>
    <w:p w14:paraId="3853BB9E" w14:textId="5C535005" w:rsidR="00282B67" w:rsidRPr="00202485" w:rsidRDefault="00282B67" w:rsidP="004311F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bdr w:val="none" w:sz="0" w:space="0" w:color="auto" w:frame="1"/>
        </w:rPr>
      </w:pPr>
      <w:r w:rsidRPr="00202485">
        <w:rPr>
          <w:rFonts w:asciiTheme="majorHAnsi" w:hAnsiTheme="majorHAnsi"/>
          <w:sz w:val="20"/>
          <w:szCs w:val="20"/>
        </w:rPr>
        <w:lastRenderedPageBreak/>
        <w:t>Implement mechanisms of non-repetition, including:</w:t>
      </w:r>
    </w:p>
    <w:p w14:paraId="7F516C32" w14:textId="77777777" w:rsidR="00282B67" w:rsidRPr="00202485" w:rsidRDefault="00282B67" w:rsidP="004311FE">
      <w:pPr>
        <w:pStyle w:val="ListParagraph"/>
        <w:tabs>
          <w:tab w:val="left" w:pos="360"/>
        </w:tabs>
        <w:rPr>
          <w:rFonts w:asciiTheme="majorHAnsi" w:hAnsiTheme="majorHAnsi"/>
          <w:color w:val="auto"/>
          <w:sz w:val="20"/>
          <w:szCs w:val="20"/>
        </w:rPr>
      </w:pPr>
    </w:p>
    <w:p w14:paraId="71B0A529" w14:textId="77777777" w:rsidR="00282B67" w:rsidRPr="004640CE" w:rsidRDefault="00282B67" w:rsidP="004311FE">
      <w:pPr>
        <w:pStyle w:val="ListParagraph"/>
        <w:numPr>
          <w:ilvl w:val="1"/>
          <w:numId w:val="59"/>
        </w:numPr>
        <w:tabs>
          <w:tab w:val="left" w:pos="360"/>
        </w:tabs>
        <w:ind w:left="0" w:firstLine="0"/>
        <w:jc w:val="both"/>
        <w:rPr>
          <w:rFonts w:asciiTheme="majorHAnsi" w:hAnsiTheme="majorHAnsi"/>
          <w:sz w:val="20"/>
          <w:szCs w:val="20"/>
          <w:bdr w:val="none" w:sz="0" w:space="0" w:color="auto" w:frame="1"/>
        </w:rPr>
      </w:pPr>
      <w:r w:rsidRPr="00202485">
        <w:rPr>
          <w:rFonts w:asciiTheme="majorHAnsi" w:hAnsiTheme="majorHAnsi"/>
          <w:sz w:val="20"/>
          <w:szCs w:val="20"/>
          <w:bdr w:val="none" w:sz="0" w:space="0" w:color="auto" w:frame="1"/>
        </w:rPr>
        <w:t xml:space="preserve">Adopt adequate legislation that will ensure non-repetition of the facts described in the present report, including the regulation of the determination of refugee status and/or other recognized complementary measures of international protection suitable for mixed migration contexts. This law must ensure the effectiveness of the obligation of </w:t>
      </w:r>
      <w:r w:rsidRPr="00202485">
        <w:rPr>
          <w:rFonts w:asciiTheme="majorHAnsi" w:hAnsiTheme="majorHAnsi"/>
          <w:i/>
          <w:iCs/>
          <w:sz w:val="20"/>
          <w:szCs w:val="20"/>
          <w:bdr w:val="none" w:sz="0" w:space="0" w:color="auto" w:frame="1"/>
        </w:rPr>
        <w:t>non-refoulement</w:t>
      </w:r>
      <w:r w:rsidRPr="00202485">
        <w:rPr>
          <w:rFonts w:asciiTheme="majorHAnsi" w:hAnsiTheme="majorHAnsi"/>
          <w:sz w:val="20"/>
          <w:szCs w:val="20"/>
          <w:bdr w:val="none" w:sz="0" w:space="0" w:color="auto" w:frame="1"/>
        </w:rPr>
        <w:t xml:space="preserve"> and the principle of the best interest of the child, as well as ensuring due process guarantees in immigration proceedings.</w:t>
      </w:r>
      <w:r>
        <w:rPr>
          <w:rFonts w:asciiTheme="majorHAnsi" w:hAnsiTheme="majorHAnsi"/>
          <w:sz w:val="20"/>
          <w:szCs w:val="20"/>
          <w:bdr w:val="none" w:sz="0" w:space="0" w:color="auto" w:frame="1"/>
        </w:rPr>
        <w:t xml:space="preserve"> The legislation adopted shall enshrined the following procedural guarantees, as stated in paragraph 71 of the present report: </w:t>
      </w:r>
      <w:r w:rsidRPr="004640CE">
        <w:rPr>
          <w:rFonts w:asciiTheme="majorHAnsi" w:hAnsiTheme="majorHAnsi"/>
          <w:sz w:val="20"/>
          <w:szCs w:val="20"/>
          <w:bdr w:val="none" w:sz="0" w:space="0" w:color="auto" w:frame="1"/>
        </w:rPr>
        <w:t xml:space="preserve">a) the right to prior notification in detail of the procedure for determining their legal status and, in the case of anyone who is detained, to be informed of the reasons for their detention and to be promptly notified of the charge or charges against them; b) the right to receive the necessary guidance concerning the procedure to be followed, in words and in a way they can understand and, if appropriate, with the opportunity to contact UNHCR; c) the right of any person detained to be brought promptly before a judge or other officer authorized by law to exercise judicial power and to a trial within a reasonable time or to be released without prejudice to the continuation of the proceedings. Their release may be subject to guarantees to assure his appearance for trial; d) the right to a hearing without delay, to adequate time and means for the preparation of their defense, and to meet freely and privately with their counsel; e) the right that the request is examined, objectively, within the framework of the relevant procedure, by a competent and clearly identified authority, and requires a personal interview; f) the right to be assisted without charge by a translator or interpreter; g) the right to be assisted by legal counsel; h) the respect to the protection of the applicant’s personal information and the asylum application, and the principle of confidentiality; </w:t>
      </w:r>
      <w:proofErr w:type="spellStart"/>
      <w:r w:rsidRPr="004640CE">
        <w:rPr>
          <w:rFonts w:asciiTheme="majorHAnsi" w:hAnsiTheme="majorHAnsi"/>
          <w:sz w:val="20"/>
          <w:szCs w:val="20"/>
          <w:bdr w:val="none" w:sz="0" w:space="0" w:color="auto" w:frame="1"/>
        </w:rPr>
        <w:t>i</w:t>
      </w:r>
      <w:proofErr w:type="spellEnd"/>
      <w:r w:rsidRPr="004640CE">
        <w:rPr>
          <w:rFonts w:asciiTheme="majorHAnsi" w:hAnsiTheme="majorHAnsi"/>
          <w:sz w:val="20"/>
          <w:szCs w:val="20"/>
          <w:bdr w:val="none" w:sz="0" w:space="0" w:color="auto" w:frame="1"/>
        </w:rPr>
        <w:t xml:space="preserve">) the right that the decision adopted is duly reasoned; j) the right to be notified of the decision adopted in the proceeding; k) the right to appeal the decision before a higher court, with suspensive effect and the right to remain in the country until the competent authority has adopted the required decision; l) the right to information and the prohibition of communication with authorities of his, her country, unless there is evidence of the person express consent; </w:t>
      </w:r>
    </w:p>
    <w:p w14:paraId="20BCFE6C" w14:textId="77777777" w:rsidR="00282B67" w:rsidRPr="00202485" w:rsidRDefault="00282B67" w:rsidP="004311F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1440"/>
        <w:jc w:val="both"/>
        <w:rPr>
          <w:rFonts w:asciiTheme="majorHAnsi" w:hAnsiTheme="majorHAnsi"/>
          <w:color w:val="auto"/>
          <w:sz w:val="20"/>
          <w:szCs w:val="20"/>
          <w:bdr w:val="none" w:sz="0" w:space="0" w:color="auto" w:frame="1"/>
        </w:rPr>
      </w:pPr>
    </w:p>
    <w:p w14:paraId="0D7937B3" w14:textId="77777777" w:rsidR="00282B67" w:rsidRPr="004640CE" w:rsidRDefault="00282B67" w:rsidP="004311FE">
      <w:pPr>
        <w:pStyle w:val="ListParagraph"/>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color w:val="auto"/>
          <w:sz w:val="20"/>
          <w:szCs w:val="20"/>
          <w:bdr w:val="none" w:sz="0" w:space="0" w:color="auto" w:frame="1"/>
        </w:rPr>
      </w:pPr>
      <w:r w:rsidRPr="00202485">
        <w:rPr>
          <w:rFonts w:asciiTheme="majorHAnsi" w:hAnsiTheme="majorHAnsi"/>
          <w:color w:val="auto"/>
          <w:sz w:val="20"/>
          <w:szCs w:val="20"/>
        </w:rPr>
        <w:t>Ensure access to information about applying for asylum in Bahamas and about the right to information regarding consular assistance, as well as access to interpreters and legal assistance.</w:t>
      </w:r>
    </w:p>
    <w:p w14:paraId="7E5A85EC" w14:textId="77777777" w:rsidR="00282B67" w:rsidRPr="004640CE" w:rsidRDefault="00282B67" w:rsidP="004311F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sz w:val="20"/>
          <w:szCs w:val="20"/>
          <w:bdr w:val="none" w:sz="0" w:space="0" w:color="auto" w:frame="1"/>
        </w:rPr>
      </w:pPr>
    </w:p>
    <w:p w14:paraId="71D09BE7" w14:textId="77777777" w:rsidR="00282B67" w:rsidRDefault="00282B67" w:rsidP="004311FE">
      <w:pPr>
        <w:pStyle w:val="ListParagraph"/>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color w:val="auto"/>
          <w:sz w:val="20"/>
          <w:szCs w:val="20"/>
          <w:bdr w:val="none" w:sz="0" w:space="0" w:color="auto" w:frame="1"/>
        </w:rPr>
      </w:pPr>
      <w:r w:rsidRPr="00202485">
        <w:rPr>
          <w:rFonts w:asciiTheme="majorHAnsi" w:hAnsiTheme="majorHAnsi"/>
          <w:sz w:val="20"/>
          <w:szCs w:val="20"/>
          <w:bdr w:val="none" w:sz="0" w:space="0" w:color="auto" w:frame="1"/>
        </w:rPr>
        <w:t xml:space="preserve">Ensure undocumented immigrants and/or asylum seekers adequate and effective access to tribunals to challenge administrative </w:t>
      </w:r>
      <w:r w:rsidRPr="00202485">
        <w:rPr>
          <w:rFonts w:asciiTheme="majorHAnsi" w:hAnsiTheme="majorHAnsi"/>
          <w:color w:val="auto"/>
          <w:sz w:val="20"/>
          <w:szCs w:val="20"/>
          <w:bdr w:val="none" w:sz="0" w:space="0" w:color="auto" w:frame="1"/>
        </w:rPr>
        <w:t>decisions regarding the determination of their status.</w:t>
      </w:r>
    </w:p>
    <w:p w14:paraId="6AF9DFC8" w14:textId="77777777" w:rsidR="00282B67" w:rsidRPr="004640CE" w:rsidRDefault="00282B67" w:rsidP="004311F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sz w:val="20"/>
          <w:szCs w:val="20"/>
          <w:bdr w:val="none" w:sz="0" w:space="0" w:color="auto" w:frame="1"/>
        </w:rPr>
      </w:pPr>
    </w:p>
    <w:p w14:paraId="0F0AE708" w14:textId="77777777" w:rsidR="00282B67" w:rsidRPr="004640CE" w:rsidRDefault="00282B67" w:rsidP="004311FE">
      <w:pPr>
        <w:pStyle w:val="ListParagraph"/>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color w:val="auto"/>
          <w:sz w:val="20"/>
          <w:szCs w:val="20"/>
          <w:bdr w:val="none" w:sz="0" w:space="0" w:color="auto" w:frame="1"/>
        </w:rPr>
      </w:pPr>
      <w:r>
        <w:rPr>
          <w:rFonts w:asciiTheme="majorHAnsi" w:hAnsiTheme="majorHAnsi"/>
          <w:color w:val="auto"/>
          <w:sz w:val="20"/>
          <w:szCs w:val="20"/>
        </w:rPr>
        <w:t>Refrain to implement and/or derogate any legal disposition, from a domestic or international</w:t>
      </w:r>
      <w:r w:rsidRPr="008D6B70">
        <w:rPr>
          <w:rFonts w:asciiTheme="majorHAnsi" w:hAnsiTheme="majorHAnsi"/>
          <w:color w:val="auto"/>
          <w:sz w:val="20"/>
          <w:szCs w:val="20"/>
        </w:rPr>
        <w:t xml:space="preserve"> </w:t>
      </w:r>
      <w:r>
        <w:rPr>
          <w:rFonts w:asciiTheme="majorHAnsi" w:hAnsiTheme="majorHAnsi"/>
          <w:color w:val="auto"/>
          <w:sz w:val="20"/>
          <w:szCs w:val="20"/>
        </w:rPr>
        <w:t xml:space="preserve">source of law that implies the </w:t>
      </w:r>
      <w:r w:rsidRPr="00202485">
        <w:rPr>
          <w:rFonts w:asciiTheme="majorHAnsi" w:hAnsiTheme="majorHAnsi"/>
          <w:color w:val="auto"/>
          <w:sz w:val="20"/>
          <w:szCs w:val="20"/>
        </w:rPr>
        <w:t>expedited removal</w:t>
      </w:r>
      <w:r>
        <w:rPr>
          <w:rFonts w:asciiTheme="majorHAnsi" w:hAnsiTheme="majorHAnsi"/>
          <w:color w:val="auto"/>
          <w:sz w:val="20"/>
          <w:szCs w:val="20"/>
        </w:rPr>
        <w:t xml:space="preserve"> of migrants. Attend closely the bilateral Agreements entered with </w:t>
      </w:r>
      <w:r w:rsidRPr="00202485">
        <w:rPr>
          <w:rFonts w:asciiTheme="majorHAnsi" w:hAnsiTheme="majorHAnsi"/>
          <w:color w:val="auto"/>
          <w:sz w:val="20"/>
          <w:szCs w:val="20"/>
        </w:rPr>
        <w:t xml:space="preserve">Cuba and Haiti, </w:t>
      </w:r>
      <w:r>
        <w:rPr>
          <w:rFonts w:asciiTheme="majorHAnsi" w:hAnsiTheme="majorHAnsi"/>
          <w:color w:val="auto"/>
          <w:sz w:val="20"/>
          <w:szCs w:val="20"/>
        </w:rPr>
        <w:t xml:space="preserve">or practices derived from previous agreements, </w:t>
      </w:r>
      <w:r w:rsidRPr="00202485">
        <w:rPr>
          <w:rFonts w:asciiTheme="majorHAnsi" w:hAnsiTheme="majorHAnsi"/>
          <w:color w:val="auto"/>
          <w:sz w:val="20"/>
          <w:szCs w:val="20"/>
        </w:rPr>
        <w:t>to the extent that they limit or prevent Cuban and Haitian nationals from presenting claims for international protection or receiving due process in the consideration of those claims.</w:t>
      </w:r>
    </w:p>
    <w:p w14:paraId="304DDC9F" w14:textId="77777777" w:rsidR="00282B67" w:rsidRPr="00202485" w:rsidRDefault="00282B67" w:rsidP="004311F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jc w:val="both"/>
        <w:rPr>
          <w:rFonts w:asciiTheme="majorHAnsi" w:hAnsiTheme="majorHAnsi"/>
          <w:color w:val="auto"/>
          <w:sz w:val="20"/>
          <w:szCs w:val="20"/>
          <w:bdr w:val="none" w:sz="0" w:space="0" w:color="auto" w:frame="1"/>
        </w:rPr>
      </w:pPr>
    </w:p>
    <w:p w14:paraId="36159AE0" w14:textId="77777777" w:rsidR="00282B67" w:rsidRPr="004640CE" w:rsidRDefault="00282B67" w:rsidP="004311FE">
      <w:pPr>
        <w:pStyle w:val="ListParagraph"/>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color w:val="auto"/>
          <w:sz w:val="20"/>
          <w:szCs w:val="20"/>
          <w:bdr w:val="none" w:sz="0" w:space="0" w:color="auto" w:frame="1"/>
        </w:rPr>
      </w:pPr>
      <w:r w:rsidRPr="00202485">
        <w:rPr>
          <w:rFonts w:asciiTheme="majorHAnsi" w:hAnsiTheme="majorHAnsi"/>
          <w:color w:val="auto"/>
          <w:sz w:val="20"/>
          <w:szCs w:val="20"/>
        </w:rPr>
        <w:t>Provide training for all migration officers in standards regarding asylum and international protection, as well as in the identification of possible international protection needs.</w:t>
      </w:r>
    </w:p>
    <w:p w14:paraId="75E3586A" w14:textId="77777777" w:rsidR="00282B67" w:rsidRPr="00202485" w:rsidRDefault="00282B67" w:rsidP="004311F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jc w:val="both"/>
        <w:rPr>
          <w:rFonts w:asciiTheme="majorHAnsi" w:hAnsiTheme="majorHAnsi"/>
          <w:color w:val="auto"/>
          <w:sz w:val="20"/>
          <w:szCs w:val="20"/>
          <w:bdr w:val="none" w:sz="0" w:space="0" w:color="auto" w:frame="1"/>
        </w:rPr>
      </w:pPr>
    </w:p>
    <w:p w14:paraId="2DC3E0EE" w14:textId="77777777" w:rsidR="00282B67" w:rsidRPr="007F6143" w:rsidRDefault="00282B67" w:rsidP="004311FE">
      <w:pPr>
        <w:pStyle w:val="ListParagraph"/>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color w:val="auto"/>
          <w:sz w:val="20"/>
          <w:szCs w:val="20"/>
          <w:bdr w:val="none" w:sz="0" w:space="0" w:color="auto" w:frame="1"/>
        </w:rPr>
      </w:pPr>
      <w:r w:rsidRPr="00202485">
        <w:rPr>
          <w:rFonts w:asciiTheme="majorHAnsi" w:hAnsiTheme="majorHAnsi"/>
          <w:color w:val="auto"/>
          <w:sz w:val="20"/>
          <w:szCs w:val="20"/>
        </w:rPr>
        <w:t>End the State’s policy of automatic detention of migrants. In this regard, detention should be treated as the exception, and only carried out pursuant to a duly founded decision consistent with international standards.</w:t>
      </w:r>
    </w:p>
    <w:p w14:paraId="13139885" w14:textId="77777777" w:rsidR="001C3875" w:rsidRPr="004A2280" w:rsidRDefault="001C3875" w:rsidP="004311FE">
      <w:pPr>
        <w:tabs>
          <w:tab w:val="left" w:pos="360"/>
        </w:tabs>
      </w:pPr>
    </w:p>
    <w:p w14:paraId="71CEEB2C" w14:textId="2ED34EC2" w:rsidR="001C3875" w:rsidRPr="001A69A6" w:rsidRDefault="001C3875"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ind w:left="0" w:firstLine="0"/>
        <w:jc w:val="both"/>
      </w:pPr>
      <w:r w:rsidRPr="001A69A6">
        <w:rPr>
          <w:rFonts w:ascii="Cambria" w:hAnsi="Cambria"/>
          <w:sz w:val="20"/>
          <w:szCs w:val="20"/>
        </w:rPr>
        <w:t>O</w:t>
      </w:r>
      <w:r w:rsidR="00282B67" w:rsidRPr="001A69A6">
        <w:rPr>
          <w:rFonts w:ascii="Cambria" w:hAnsi="Cambria"/>
          <w:sz w:val="20"/>
          <w:szCs w:val="20"/>
        </w:rPr>
        <w:t>n March 13</w:t>
      </w:r>
      <w:r w:rsidRPr="001A69A6">
        <w:rPr>
          <w:rFonts w:ascii="Cambria" w:hAnsi="Cambria"/>
          <w:sz w:val="20"/>
          <w:szCs w:val="20"/>
        </w:rPr>
        <w:t xml:space="preserve">, 2019, the Commission transmitted the report to the State with a time period of two months to inform the Inter-American Commission on the measures taken to comply with its recommendations. On </w:t>
      </w:r>
      <w:r w:rsidR="00282B67" w:rsidRPr="001A69A6">
        <w:rPr>
          <w:rFonts w:ascii="Cambria" w:hAnsi="Cambria"/>
          <w:sz w:val="20"/>
          <w:szCs w:val="20"/>
        </w:rPr>
        <w:t>March 20, 2019</w:t>
      </w:r>
      <w:r w:rsidRPr="001A69A6">
        <w:rPr>
          <w:rFonts w:ascii="Cambria" w:hAnsi="Cambria"/>
          <w:sz w:val="20"/>
          <w:szCs w:val="20"/>
        </w:rPr>
        <w:t xml:space="preserve"> the IACHR notified the petitioners about the adoption of the report. To date, the IACHR has not received any respo</w:t>
      </w:r>
      <w:r w:rsidR="00282B67" w:rsidRPr="001A69A6">
        <w:rPr>
          <w:rFonts w:ascii="Cambria" w:hAnsi="Cambria"/>
          <w:sz w:val="20"/>
          <w:szCs w:val="20"/>
        </w:rPr>
        <w:t>nse from The Commonwealth of The Bahamas regarding Report No. 9/19</w:t>
      </w:r>
      <w:r w:rsidRPr="001A69A6">
        <w:rPr>
          <w:rFonts w:ascii="Cambria" w:hAnsi="Cambria"/>
          <w:sz w:val="20"/>
          <w:szCs w:val="20"/>
        </w:rPr>
        <w:t>.</w:t>
      </w:r>
    </w:p>
    <w:p w14:paraId="55F1066E" w14:textId="77777777" w:rsidR="00396FB1" w:rsidRPr="001A69A6" w:rsidRDefault="00396FB1" w:rsidP="004311F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jc w:val="both"/>
      </w:pPr>
    </w:p>
    <w:p w14:paraId="2A3CEF36" w14:textId="66A8A3EE" w:rsidR="00396FB1" w:rsidRPr="001A69A6" w:rsidRDefault="00993388"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ind w:left="0" w:firstLine="0"/>
        <w:jc w:val="both"/>
      </w:pPr>
      <w:r w:rsidRPr="001A69A6">
        <w:rPr>
          <w:rFonts w:ascii="Cambria" w:hAnsi="Cambria"/>
          <w:sz w:val="20"/>
          <w:szCs w:val="20"/>
        </w:rPr>
        <w:t>During the discussion of the present Report, t</w:t>
      </w:r>
      <w:r w:rsidR="00396FB1" w:rsidRPr="001A69A6">
        <w:rPr>
          <w:rFonts w:ascii="Cambria" w:hAnsi="Cambria"/>
          <w:sz w:val="20"/>
          <w:szCs w:val="20"/>
        </w:rPr>
        <w:t>he Commission</w:t>
      </w:r>
      <w:r w:rsidR="00E26148" w:rsidRPr="001A69A6">
        <w:rPr>
          <w:rFonts w:ascii="Cambria" w:hAnsi="Cambria"/>
          <w:sz w:val="20"/>
          <w:szCs w:val="20"/>
        </w:rPr>
        <w:t xml:space="preserve"> noted that paragraphs 31 and 32 of the Merits Report 9/19 referenced the correspondent documents submitted by the State in which the names of the </w:t>
      </w:r>
      <w:r w:rsidRPr="001A69A6">
        <w:rPr>
          <w:rFonts w:ascii="Cambria" w:hAnsi="Cambria"/>
          <w:sz w:val="20"/>
          <w:szCs w:val="20"/>
        </w:rPr>
        <w:t>identified victims were listed. However, given the lack of response of the State, the Commission found necessary to annex to this Report a compile</w:t>
      </w:r>
      <w:r w:rsidR="005F58A6" w:rsidRPr="001A69A6">
        <w:rPr>
          <w:rFonts w:ascii="Cambria" w:hAnsi="Cambria"/>
          <w:sz w:val="20"/>
          <w:szCs w:val="20"/>
        </w:rPr>
        <w:t>d</w:t>
      </w:r>
      <w:r w:rsidRPr="001A69A6">
        <w:rPr>
          <w:rFonts w:ascii="Cambria" w:hAnsi="Cambria"/>
          <w:sz w:val="20"/>
          <w:szCs w:val="20"/>
        </w:rPr>
        <w:t xml:space="preserve"> list of the identified victims. </w:t>
      </w:r>
    </w:p>
    <w:p w14:paraId="4FED4B08" w14:textId="77777777" w:rsidR="00A22C99" w:rsidRPr="009F340C" w:rsidRDefault="00A22C99" w:rsidP="004311F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s="Arial"/>
          <w:sz w:val="20"/>
          <w:szCs w:val="20"/>
        </w:rPr>
      </w:pPr>
    </w:p>
    <w:p w14:paraId="5D6462E6" w14:textId="1EDA9CBC" w:rsidR="00A22C99" w:rsidRPr="004311FE" w:rsidRDefault="00A22C99" w:rsidP="004311FE">
      <w:pPr>
        <w:pStyle w:val="Heading1"/>
        <w:keepNext/>
        <w:keepLines/>
        <w:tabs>
          <w:tab w:val="left" w:pos="360"/>
        </w:tabs>
        <w:suppressAutoHyphens w:val="0"/>
        <w:ind w:left="720"/>
        <w:rPr>
          <w:color w:val="auto"/>
          <w:lang w:val="en-US"/>
        </w:rPr>
      </w:pPr>
      <w:bookmarkStart w:id="31" w:name="_Toc26550943"/>
      <w:bookmarkStart w:id="32" w:name="_Toc87522016"/>
      <w:bookmarkStart w:id="33" w:name="_Toc90557422"/>
      <w:r w:rsidRPr="004311FE">
        <w:rPr>
          <w:color w:val="auto"/>
          <w:lang w:val="en-US"/>
        </w:rPr>
        <w:lastRenderedPageBreak/>
        <w:t>ACTIONS SUBSEQUENT TO REPORT No. 124/</w:t>
      </w:r>
      <w:bookmarkEnd w:id="31"/>
      <w:bookmarkEnd w:id="32"/>
      <w:r w:rsidRPr="004311FE">
        <w:rPr>
          <w:color w:val="auto"/>
          <w:lang w:val="en-US"/>
        </w:rPr>
        <w:t>19</w:t>
      </w:r>
      <w:bookmarkEnd w:id="33"/>
    </w:p>
    <w:p w14:paraId="6F32E818" w14:textId="77777777" w:rsidR="00A22C99" w:rsidRPr="00136ECB" w:rsidRDefault="00A22C99" w:rsidP="004311FE">
      <w:pPr>
        <w:tabs>
          <w:tab w:val="left" w:pos="360"/>
        </w:tabs>
        <w:rPr>
          <w:sz w:val="20"/>
          <w:szCs w:val="20"/>
        </w:rPr>
      </w:pPr>
    </w:p>
    <w:p w14:paraId="0EFED90F" w14:textId="2F503251" w:rsidR="00A22C99" w:rsidRPr="00136ECB" w:rsidRDefault="00A22C99"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ind w:left="0" w:firstLine="0"/>
        <w:jc w:val="both"/>
        <w:rPr>
          <w:sz w:val="20"/>
          <w:szCs w:val="20"/>
        </w:rPr>
      </w:pPr>
      <w:r w:rsidRPr="00136ECB">
        <w:rPr>
          <w:rFonts w:ascii="Cambria" w:hAnsi="Cambria" w:cs="Arial"/>
          <w:sz w:val="20"/>
          <w:szCs w:val="20"/>
        </w:rPr>
        <w:t>On</w:t>
      </w:r>
      <w:r w:rsidRPr="00136ECB">
        <w:rPr>
          <w:rFonts w:ascii="Cambria" w:hAnsi="Cambria"/>
          <w:sz w:val="20"/>
          <w:szCs w:val="20"/>
        </w:rPr>
        <w:t xml:space="preserve"> August 6, 2019, the Commission approved Final Merits Report No. 124/19, which encompasses paragraphs 1 to 93 </w:t>
      </w:r>
      <w:r w:rsidRPr="00136ECB">
        <w:rPr>
          <w:rFonts w:ascii="Cambria" w:hAnsi="Cambria"/>
          <w:i/>
          <w:sz w:val="20"/>
          <w:szCs w:val="20"/>
        </w:rPr>
        <w:t>supra</w:t>
      </w:r>
      <w:r w:rsidRPr="00136ECB">
        <w:rPr>
          <w:rFonts w:ascii="Cambria" w:hAnsi="Cambria"/>
          <w:sz w:val="20"/>
          <w:szCs w:val="20"/>
        </w:rPr>
        <w:t xml:space="preserve">, and issued its final conclusions and recommendations to the State. On May 7, 2020, the Commission transmitted the report to the State and the petitioners with a time period of two months to inform the Inter-American Commission on the measures taken to comply with its recommendations. The State requested three extensions which were granted by the Commission, nonetheless the IACHR has not received any substantive response from </w:t>
      </w:r>
      <w:r w:rsidR="001D6034" w:rsidRPr="00136ECB">
        <w:rPr>
          <w:rFonts w:ascii="Cambria" w:hAnsi="Cambria"/>
          <w:sz w:val="20"/>
          <w:szCs w:val="20"/>
        </w:rPr>
        <w:t>the State</w:t>
      </w:r>
      <w:r w:rsidRPr="00136ECB">
        <w:rPr>
          <w:rFonts w:ascii="Cambria" w:hAnsi="Cambria"/>
          <w:sz w:val="20"/>
          <w:szCs w:val="20"/>
        </w:rPr>
        <w:t xml:space="preserve"> regarding Report No. 124/19.</w:t>
      </w:r>
    </w:p>
    <w:p w14:paraId="17D8FA76" w14:textId="77777777" w:rsidR="00A22C99" w:rsidRPr="00136ECB" w:rsidRDefault="00A22C99" w:rsidP="004311F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jc w:val="both"/>
        <w:rPr>
          <w:sz w:val="20"/>
          <w:szCs w:val="20"/>
        </w:rPr>
      </w:pPr>
    </w:p>
    <w:p w14:paraId="2999C628" w14:textId="4337F9C9" w:rsidR="00EE1B9B" w:rsidRPr="00136ECB" w:rsidRDefault="00A22C99"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ind w:left="0" w:firstLine="0"/>
        <w:jc w:val="both"/>
        <w:rPr>
          <w:rFonts w:ascii="Cambria" w:hAnsi="Cambria"/>
          <w:sz w:val="20"/>
          <w:szCs w:val="20"/>
        </w:rPr>
      </w:pPr>
      <w:r w:rsidRPr="00136ECB">
        <w:rPr>
          <w:rFonts w:ascii="Cambria" w:hAnsi="Cambria"/>
          <w:sz w:val="20"/>
          <w:szCs w:val="20"/>
        </w:rPr>
        <w:t xml:space="preserve">The petitioner party </w:t>
      </w:r>
      <w:r w:rsidR="00EE1B9B" w:rsidRPr="00136ECB">
        <w:rPr>
          <w:rFonts w:ascii="Cambria" w:hAnsi="Cambria"/>
          <w:sz w:val="20"/>
          <w:szCs w:val="20"/>
        </w:rPr>
        <w:t>submitted its</w:t>
      </w:r>
      <w:r w:rsidRPr="00136ECB">
        <w:rPr>
          <w:rFonts w:ascii="Cambria" w:hAnsi="Cambria"/>
          <w:sz w:val="20"/>
          <w:szCs w:val="20"/>
        </w:rPr>
        <w:t xml:space="preserve"> observations on compliance on July 20, 2020.</w:t>
      </w:r>
      <w:r w:rsidR="00EE1B9B" w:rsidRPr="00136ECB">
        <w:rPr>
          <w:rFonts w:ascii="Cambria" w:hAnsi="Cambria"/>
          <w:sz w:val="20"/>
          <w:szCs w:val="20"/>
        </w:rPr>
        <w:t xml:space="preserve"> </w:t>
      </w:r>
      <w:r w:rsidR="00EE1B9B" w:rsidRPr="00136ECB">
        <w:rPr>
          <w:rFonts w:ascii="Cambria" w:hAnsi="Cambria"/>
          <w:b/>
          <w:bCs/>
          <w:sz w:val="20"/>
          <w:szCs w:val="20"/>
        </w:rPr>
        <w:t>Regarding the first recommendation</w:t>
      </w:r>
      <w:r w:rsidR="00EE1B9B" w:rsidRPr="00136ECB">
        <w:rPr>
          <w:rFonts w:ascii="Cambria" w:hAnsi="Cambria"/>
          <w:sz w:val="20"/>
          <w:szCs w:val="20"/>
        </w:rPr>
        <w:t xml:space="preserve"> it indicated to have no information on any efforts taken by the State to comply with it.</w:t>
      </w:r>
    </w:p>
    <w:p w14:paraId="55766577" w14:textId="77777777" w:rsidR="008D728C" w:rsidRPr="00136ECB" w:rsidRDefault="008D728C" w:rsidP="004311F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jc w:val="both"/>
        <w:rPr>
          <w:rFonts w:ascii="Cambria" w:hAnsi="Cambria"/>
          <w:sz w:val="20"/>
          <w:szCs w:val="20"/>
        </w:rPr>
      </w:pPr>
    </w:p>
    <w:p w14:paraId="74373C4B" w14:textId="7AD83A77" w:rsidR="00EE1B9B" w:rsidRPr="00136ECB" w:rsidRDefault="00EE1B9B"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ind w:left="0" w:firstLine="0"/>
        <w:jc w:val="both"/>
        <w:rPr>
          <w:rFonts w:ascii="Cambria" w:hAnsi="Cambria"/>
          <w:sz w:val="20"/>
          <w:szCs w:val="20"/>
        </w:rPr>
      </w:pPr>
      <w:r w:rsidRPr="00136ECB">
        <w:rPr>
          <w:rFonts w:ascii="Cambria" w:hAnsi="Cambria"/>
          <w:b/>
          <w:bCs/>
          <w:sz w:val="20"/>
          <w:szCs w:val="20"/>
        </w:rPr>
        <w:t>Regarding the second recommendation</w:t>
      </w:r>
      <w:r w:rsidRPr="00136ECB">
        <w:rPr>
          <w:rFonts w:ascii="Cambria" w:hAnsi="Cambria"/>
          <w:sz w:val="20"/>
          <w:szCs w:val="20"/>
        </w:rPr>
        <w:t xml:space="preserve"> the petitioner party indicated that migrants and refugees continue to face arbitrary and indefinite detention at the Carmichael Road Detention Center. It informed that according to testimonies, detainees have been held for extended periods of time, some for a couple of weeks, months and up to several years.</w:t>
      </w:r>
      <w:r w:rsidRPr="00136ECB">
        <w:rPr>
          <w:rFonts w:asciiTheme="majorHAnsi" w:hAnsiTheme="majorHAnsi"/>
          <w:sz w:val="20"/>
          <w:szCs w:val="20"/>
          <w:vertAlign w:val="superscript"/>
        </w:rPr>
        <w:footnoteReference w:id="143"/>
      </w:r>
      <w:r w:rsidRPr="00136ECB">
        <w:rPr>
          <w:rFonts w:ascii="Cambria" w:hAnsi="Cambria"/>
          <w:sz w:val="20"/>
          <w:szCs w:val="20"/>
        </w:rPr>
        <w:t xml:space="preserve"> </w:t>
      </w:r>
      <w:r w:rsidR="0020548A" w:rsidRPr="00136ECB">
        <w:rPr>
          <w:rFonts w:ascii="Cambria" w:hAnsi="Cambria"/>
          <w:sz w:val="20"/>
          <w:szCs w:val="20"/>
        </w:rPr>
        <w:t xml:space="preserve">Among other situations it </w:t>
      </w:r>
      <w:r w:rsidRPr="00136ECB">
        <w:rPr>
          <w:rFonts w:ascii="Cambria" w:hAnsi="Cambria"/>
          <w:sz w:val="20"/>
          <w:szCs w:val="20"/>
        </w:rPr>
        <w:t xml:space="preserve">informed </w:t>
      </w:r>
      <w:r w:rsidR="0020548A" w:rsidRPr="00136ECB">
        <w:rPr>
          <w:rFonts w:ascii="Cambria" w:hAnsi="Cambria"/>
          <w:sz w:val="20"/>
          <w:szCs w:val="20"/>
        </w:rPr>
        <w:t xml:space="preserve">about </w:t>
      </w:r>
      <w:r w:rsidRPr="00136ECB">
        <w:rPr>
          <w:rFonts w:ascii="Cambria" w:hAnsi="Cambria"/>
          <w:sz w:val="20"/>
          <w:szCs w:val="20"/>
        </w:rPr>
        <w:t xml:space="preserve">the case of Matthew Sewell, a Jamaican national, </w:t>
      </w:r>
      <w:r w:rsidR="0020548A" w:rsidRPr="00136ECB">
        <w:rPr>
          <w:rFonts w:ascii="Cambria" w:hAnsi="Cambria"/>
          <w:sz w:val="20"/>
          <w:szCs w:val="20"/>
        </w:rPr>
        <w:t xml:space="preserve">who </w:t>
      </w:r>
      <w:r w:rsidRPr="00136ECB">
        <w:rPr>
          <w:rFonts w:ascii="Cambria" w:hAnsi="Cambria"/>
          <w:sz w:val="20"/>
          <w:szCs w:val="20"/>
        </w:rPr>
        <w:t>was shuffled between a regular prison and the Carmichael Road Detention Centre for over nine years without facing a hearing for the crimes he was accused of.</w:t>
      </w:r>
      <w:r w:rsidR="0020548A" w:rsidRPr="00136ECB">
        <w:rPr>
          <w:rFonts w:asciiTheme="majorHAnsi" w:hAnsiTheme="majorHAnsi"/>
          <w:sz w:val="20"/>
          <w:szCs w:val="20"/>
          <w:vertAlign w:val="superscript"/>
        </w:rPr>
        <w:footnoteReference w:id="144"/>
      </w:r>
      <w:r w:rsidRPr="00136ECB">
        <w:rPr>
          <w:rFonts w:ascii="Cambria" w:hAnsi="Cambria"/>
          <w:sz w:val="20"/>
          <w:szCs w:val="20"/>
        </w:rPr>
        <w:t xml:space="preserve"> Similarly, </w:t>
      </w:r>
      <w:r w:rsidR="0020548A" w:rsidRPr="00136ECB">
        <w:rPr>
          <w:rFonts w:ascii="Cambria" w:hAnsi="Cambria"/>
          <w:sz w:val="20"/>
          <w:szCs w:val="20"/>
        </w:rPr>
        <w:t xml:space="preserve">it informed that </w:t>
      </w:r>
      <w:r w:rsidRPr="00136ECB">
        <w:rPr>
          <w:rFonts w:ascii="Cambria" w:hAnsi="Cambria"/>
          <w:sz w:val="20"/>
          <w:szCs w:val="20"/>
        </w:rPr>
        <w:t>a stateless person accused of a crime was detained at a prison and later transferred to the Carmichael Road Detention Center.</w:t>
      </w:r>
      <w:r w:rsidR="0020548A" w:rsidRPr="00136ECB">
        <w:rPr>
          <w:rFonts w:asciiTheme="majorHAnsi" w:hAnsiTheme="majorHAnsi"/>
          <w:sz w:val="20"/>
          <w:szCs w:val="20"/>
          <w:vertAlign w:val="superscript"/>
        </w:rPr>
        <w:footnoteReference w:id="145"/>
      </w:r>
      <w:r w:rsidR="0020548A" w:rsidRPr="00136ECB">
        <w:rPr>
          <w:rFonts w:ascii="Cambria" w:hAnsi="Cambria"/>
          <w:sz w:val="20"/>
          <w:szCs w:val="20"/>
        </w:rPr>
        <w:t xml:space="preserve"> </w:t>
      </w:r>
      <w:r w:rsidRPr="00136ECB">
        <w:rPr>
          <w:rFonts w:ascii="Cambria" w:hAnsi="Cambria"/>
          <w:sz w:val="20"/>
          <w:szCs w:val="20"/>
        </w:rPr>
        <w:t xml:space="preserve">Regarding the conditions at the Carmichael Detention Center, </w:t>
      </w:r>
      <w:r w:rsidR="008D728C" w:rsidRPr="00136ECB">
        <w:rPr>
          <w:rFonts w:ascii="Cambria" w:hAnsi="Cambria"/>
          <w:sz w:val="20"/>
          <w:szCs w:val="20"/>
        </w:rPr>
        <w:t xml:space="preserve">it informed that </w:t>
      </w:r>
      <w:r w:rsidRPr="00136ECB">
        <w:rPr>
          <w:rFonts w:ascii="Cambria" w:hAnsi="Cambria"/>
          <w:sz w:val="20"/>
          <w:szCs w:val="20"/>
        </w:rPr>
        <w:t xml:space="preserve">former detainees have reported </w:t>
      </w:r>
      <w:r w:rsidR="008D728C" w:rsidRPr="00136ECB">
        <w:rPr>
          <w:rFonts w:ascii="Cambria" w:hAnsi="Cambria"/>
          <w:sz w:val="20"/>
          <w:szCs w:val="20"/>
        </w:rPr>
        <w:t xml:space="preserve">overcrowding, </w:t>
      </w:r>
      <w:r w:rsidRPr="00136ECB">
        <w:rPr>
          <w:rFonts w:ascii="Cambria" w:hAnsi="Cambria"/>
          <w:sz w:val="20"/>
          <w:szCs w:val="20"/>
        </w:rPr>
        <w:t xml:space="preserve">unsanitary bathroom conditions, </w:t>
      </w:r>
      <w:r w:rsidR="008D728C" w:rsidRPr="00136ECB">
        <w:rPr>
          <w:rFonts w:ascii="Cambria" w:hAnsi="Cambria"/>
          <w:sz w:val="20"/>
          <w:szCs w:val="20"/>
        </w:rPr>
        <w:t>and contracting contagious diseases. Also it reported receiving information on allegations of blood samples and fingerprints being taken from detained migrants without their consent.</w:t>
      </w:r>
      <w:r w:rsidR="008D728C" w:rsidRPr="00136ECB">
        <w:rPr>
          <w:rFonts w:ascii="Cambria" w:hAnsi="Cambria"/>
          <w:sz w:val="20"/>
          <w:szCs w:val="20"/>
          <w:vertAlign w:val="superscript"/>
        </w:rPr>
        <w:footnoteReference w:id="146"/>
      </w:r>
      <w:r w:rsidR="008D728C" w:rsidRPr="00136ECB">
        <w:rPr>
          <w:rFonts w:ascii="ArialMT" w:hAnsi="ArialMT"/>
        </w:rPr>
        <w:t xml:space="preserve"> </w:t>
      </w:r>
      <w:r w:rsidR="008D728C" w:rsidRPr="00136ECB">
        <w:rPr>
          <w:rFonts w:ascii="Cambria" w:hAnsi="Cambria"/>
          <w:sz w:val="20"/>
          <w:szCs w:val="20"/>
        </w:rPr>
        <w:t xml:space="preserve">Therefore, it considers the State has failed to comply with the Commission’s recommendation regarding the creation of a mechanisms to file complaints by detainees and improving the conditions at the Carmichael Road Detention and continues to fail to comply with minimum international standards regarding migratory detention. </w:t>
      </w:r>
    </w:p>
    <w:p w14:paraId="3730B37B" w14:textId="77777777" w:rsidR="000B2DE7" w:rsidRPr="00136ECB" w:rsidRDefault="000B2DE7" w:rsidP="004311F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jc w:val="both"/>
        <w:rPr>
          <w:rFonts w:ascii="Cambria" w:hAnsi="Cambria"/>
          <w:sz w:val="20"/>
          <w:szCs w:val="20"/>
        </w:rPr>
      </w:pPr>
    </w:p>
    <w:p w14:paraId="2F19AF61" w14:textId="206F47E3" w:rsidR="000B2DE7" w:rsidRPr="00136ECB" w:rsidRDefault="008D728C"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ind w:left="0" w:firstLine="0"/>
        <w:jc w:val="both"/>
        <w:rPr>
          <w:rFonts w:ascii="Cambria" w:hAnsi="Cambria"/>
          <w:sz w:val="20"/>
          <w:szCs w:val="20"/>
        </w:rPr>
      </w:pPr>
      <w:r w:rsidRPr="00136ECB">
        <w:rPr>
          <w:rFonts w:ascii="Cambria" w:hAnsi="Cambria"/>
          <w:b/>
          <w:bCs/>
          <w:sz w:val="20"/>
          <w:szCs w:val="20"/>
        </w:rPr>
        <w:t>Regarding the third recommendation</w:t>
      </w:r>
      <w:r w:rsidR="00003976" w:rsidRPr="00136ECB">
        <w:rPr>
          <w:rFonts w:ascii="Cambria" w:hAnsi="Cambria"/>
          <w:b/>
          <w:bCs/>
          <w:sz w:val="20"/>
          <w:szCs w:val="20"/>
        </w:rPr>
        <w:t xml:space="preserve">, </w:t>
      </w:r>
      <w:r w:rsidR="00003976" w:rsidRPr="00136ECB">
        <w:rPr>
          <w:rFonts w:ascii="Cambria" w:hAnsi="Cambria"/>
          <w:sz w:val="20"/>
          <w:szCs w:val="20"/>
        </w:rPr>
        <w:t>with respect to adopting adequate legislation,</w:t>
      </w:r>
      <w:r w:rsidRPr="00136ECB">
        <w:rPr>
          <w:rFonts w:ascii="Cambria" w:hAnsi="Cambria"/>
          <w:sz w:val="20"/>
          <w:szCs w:val="20"/>
        </w:rPr>
        <w:t xml:space="preserve"> the petitioner party informed that The Bahamas has not enacted any asylum procedures, refugee legislation, or any other complementary measures of international protection suitable for mixed migration contexts</w:t>
      </w:r>
      <w:r w:rsidR="000B2DE7" w:rsidRPr="00136ECB">
        <w:rPr>
          <w:rFonts w:ascii="Cambria" w:hAnsi="Cambria"/>
          <w:sz w:val="20"/>
          <w:szCs w:val="20"/>
        </w:rPr>
        <w:t xml:space="preserve">; that the </w:t>
      </w:r>
      <w:r w:rsidRPr="00136ECB">
        <w:rPr>
          <w:rFonts w:ascii="Cambria" w:hAnsi="Cambria"/>
          <w:sz w:val="20"/>
          <w:szCs w:val="20"/>
        </w:rPr>
        <w:t>path to accessing refugee status in the country is unregulated</w:t>
      </w:r>
      <w:r w:rsidR="000B2DE7" w:rsidRPr="00136ECB">
        <w:rPr>
          <w:rFonts w:ascii="Cambria" w:hAnsi="Cambria"/>
          <w:sz w:val="20"/>
          <w:szCs w:val="20"/>
        </w:rPr>
        <w:t>;</w:t>
      </w:r>
      <w:r w:rsidRPr="00136ECB">
        <w:rPr>
          <w:rFonts w:ascii="Cambria" w:hAnsi="Cambria"/>
          <w:sz w:val="20"/>
          <w:szCs w:val="20"/>
        </w:rPr>
        <w:t xml:space="preserve"> and </w:t>
      </w:r>
      <w:r w:rsidR="000B2DE7" w:rsidRPr="00136ECB">
        <w:rPr>
          <w:rFonts w:ascii="Cambria" w:hAnsi="Cambria"/>
          <w:sz w:val="20"/>
          <w:szCs w:val="20"/>
        </w:rPr>
        <w:t xml:space="preserve">that </w:t>
      </w:r>
      <w:r w:rsidRPr="00136ECB">
        <w:rPr>
          <w:rFonts w:ascii="Cambria" w:hAnsi="Cambria"/>
          <w:sz w:val="20"/>
          <w:szCs w:val="20"/>
        </w:rPr>
        <w:t xml:space="preserve">the Government responds on an ad-hoc basis. </w:t>
      </w:r>
      <w:r w:rsidR="000B2DE7" w:rsidRPr="00136ECB">
        <w:rPr>
          <w:rFonts w:ascii="Cambria" w:hAnsi="Cambria"/>
          <w:sz w:val="20"/>
          <w:szCs w:val="20"/>
        </w:rPr>
        <w:t>Petitioners stated that they are aware of the proposed bill, “The Nationality, Immigration and Asylum Act,” but have been unable to verify in what procedural stage the bill is currently in. While they consider a positive step that The Bahamas is making progress in adopting legislation to regulate asylum and migration procedures, they consider essential that such law addresses this particular recommendation made by the IACHR and that such law complies with applicable Inter-American standards. The petitioner party is of the opinion that the State has failed to comply with said recommendation.</w:t>
      </w:r>
    </w:p>
    <w:p w14:paraId="7EC1383D" w14:textId="77777777" w:rsidR="00003976" w:rsidRPr="00136ECB" w:rsidRDefault="00003976" w:rsidP="004311F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jc w:val="both"/>
        <w:rPr>
          <w:rFonts w:ascii="Cambria" w:hAnsi="Cambria"/>
          <w:sz w:val="20"/>
          <w:szCs w:val="20"/>
        </w:rPr>
      </w:pPr>
    </w:p>
    <w:p w14:paraId="315236A8" w14:textId="6F7D839F" w:rsidR="000F4E7C" w:rsidRPr="00136ECB" w:rsidRDefault="00003976"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ind w:left="0" w:firstLine="0"/>
        <w:jc w:val="both"/>
        <w:rPr>
          <w:rFonts w:ascii="Cambria" w:hAnsi="Cambria"/>
          <w:sz w:val="20"/>
          <w:szCs w:val="20"/>
        </w:rPr>
      </w:pPr>
      <w:r w:rsidRPr="00136ECB">
        <w:rPr>
          <w:rFonts w:ascii="Cambria" w:hAnsi="Cambria"/>
          <w:sz w:val="20"/>
          <w:szCs w:val="20"/>
        </w:rPr>
        <w:t>With respect to ensuring access to information about applying for asylum in Bahamas and about the right to information regarding consular assistance, as well as access to interpreters and legal assistance the petitioner party informed that, Civil society organizations have confirmed that access to this type of information for migrants and refugees is lacking in the country.</w:t>
      </w:r>
      <w:r w:rsidRPr="00136ECB">
        <w:rPr>
          <w:rFonts w:ascii="Cambria" w:hAnsi="Cambria"/>
          <w:sz w:val="20"/>
          <w:szCs w:val="20"/>
          <w:vertAlign w:val="superscript"/>
        </w:rPr>
        <w:footnoteReference w:id="147"/>
      </w:r>
      <w:r w:rsidRPr="00136ECB">
        <w:rPr>
          <w:rFonts w:ascii="Cambria" w:hAnsi="Cambria"/>
          <w:sz w:val="20"/>
          <w:szCs w:val="20"/>
        </w:rPr>
        <w:t xml:space="preserve"> </w:t>
      </w:r>
      <w:r w:rsidR="000F4E7C" w:rsidRPr="00136ECB">
        <w:rPr>
          <w:rFonts w:ascii="Cambria" w:hAnsi="Cambria"/>
          <w:sz w:val="20"/>
          <w:szCs w:val="20"/>
        </w:rPr>
        <w:t xml:space="preserve">It expressed its concern </w:t>
      </w:r>
      <w:r w:rsidRPr="00136ECB">
        <w:rPr>
          <w:rFonts w:ascii="Cambria" w:hAnsi="Cambria"/>
          <w:sz w:val="20"/>
          <w:szCs w:val="20"/>
        </w:rPr>
        <w:t xml:space="preserve">about Government initiatives which actively discourage immigration. </w:t>
      </w:r>
      <w:r w:rsidR="000F4E7C" w:rsidRPr="00136ECB">
        <w:rPr>
          <w:rFonts w:ascii="Cambria" w:hAnsi="Cambria"/>
          <w:sz w:val="20"/>
          <w:szCs w:val="20"/>
        </w:rPr>
        <w:t xml:space="preserve">The petitioners informed they found on </w:t>
      </w:r>
      <w:r w:rsidRPr="00136ECB">
        <w:rPr>
          <w:rFonts w:ascii="Cambria" w:hAnsi="Cambria"/>
          <w:sz w:val="20"/>
          <w:szCs w:val="20"/>
        </w:rPr>
        <w:t>a Government webpage a hotline for any “concerned citizens” to telephone any immigration concerns directly to the authorities</w:t>
      </w:r>
      <w:r w:rsidR="000F4E7C" w:rsidRPr="00136ECB">
        <w:rPr>
          <w:rFonts w:ascii="Cambria" w:hAnsi="Cambria"/>
          <w:sz w:val="20"/>
          <w:szCs w:val="20"/>
        </w:rPr>
        <w:t>.</w:t>
      </w:r>
      <w:r w:rsidR="000F4E7C" w:rsidRPr="00136ECB">
        <w:rPr>
          <w:rFonts w:ascii="Cambria" w:hAnsi="Cambria"/>
          <w:sz w:val="20"/>
          <w:szCs w:val="20"/>
          <w:vertAlign w:val="superscript"/>
        </w:rPr>
        <w:footnoteReference w:id="148"/>
      </w:r>
      <w:r w:rsidRPr="00136ECB">
        <w:rPr>
          <w:rFonts w:ascii="Cambria" w:hAnsi="Cambria"/>
          <w:sz w:val="20"/>
          <w:szCs w:val="20"/>
        </w:rPr>
        <w:t xml:space="preserve"> </w:t>
      </w:r>
      <w:r w:rsidR="000F4E7C" w:rsidRPr="00136ECB">
        <w:rPr>
          <w:rFonts w:ascii="Cambria" w:hAnsi="Cambria"/>
          <w:sz w:val="20"/>
          <w:szCs w:val="20"/>
        </w:rPr>
        <w:t xml:space="preserve">Also they informed of a testimony from 2019 reported after his release that detainees were being </w:t>
      </w:r>
      <w:r w:rsidR="000F4E7C" w:rsidRPr="00136ECB">
        <w:rPr>
          <w:rFonts w:ascii="Cambria" w:hAnsi="Cambria"/>
          <w:sz w:val="20"/>
          <w:szCs w:val="20"/>
        </w:rPr>
        <w:lastRenderedPageBreak/>
        <w:t>denied adequate access to information and communication with their families, preventing them from receiving funds for their release.</w:t>
      </w:r>
      <w:r w:rsidR="000F4E7C" w:rsidRPr="00136ECB">
        <w:rPr>
          <w:rFonts w:ascii="Cambria" w:hAnsi="Cambria"/>
          <w:sz w:val="20"/>
          <w:szCs w:val="20"/>
          <w:vertAlign w:val="superscript"/>
        </w:rPr>
        <w:footnoteReference w:id="149"/>
      </w:r>
      <w:r w:rsidR="000F4E7C" w:rsidRPr="00136ECB">
        <w:rPr>
          <w:rFonts w:ascii="Cambria" w:hAnsi="Cambria"/>
          <w:sz w:val="20"/>
          <w:szCs w:val="20"/>
        </w:rPr>
        <w:t xml:space="preserve"> </w:t>
      </w:r>
    </w:p>
    <w:p w14:paraId="128A7BA0" w14:textId="34A70B08" w:rsidR="00003976" w:rsidRPr="00136ECB" w:rsidRDefault="00003976" w:rsidP="004311F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jc w:val="both"/>
        <w:rPr>
          <w:rFonts w:ascii="Cambria" w:hAnsi="Cambria"/>
          <w:b/>
          <w:bCs/>
          <w:sz w:val="20"/>
          <w:szCs w:val="20"/>
        </w:rPr>
      </w:pPr>
    </w:p>
    <w:p w14:paraId="32F06A9B" w14:textId="715A2BAC" w:rsidR="008F5599" w:rsidRPr="00136ECB" w:rsidRDefault="000F4E7C"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ind w:left="0" w:firstLine="0"/>
        <w:jc w:val="both"/>
        <w:rPr>
          <w:rFonts w:ascii="Cambria" w:hAnsi="Cambria"/>
          <w:sz w:val="20"/>
          <w:szCs w:val="20"/>
        </w:rPr>
      </w:pPr>
      <w:r w:rsidRPr="00136ECB">
        <w:rPr>
          <w:rFonts w:ascii="Cambria" w:hAnsi="Cambria"/>
          <w:b/>
          <w:bCs/>
          <w:sz w:val="20"/>
          <w:szCs w:val="20"/>
        </w:rPr>
        <w:t>Regarding the fourth recommendation</w:t>
      </w:r>
      <w:r w:rsidRPr="00136ECB">
        <w:rPr>
          <w:rFonts w:ascii="Cambria" w:hAnsi="Cambria"/>
          <w:sz w:val="20"/>
          <w:szCs w:val="20"/>
        </w:rPr>
        <w:t xml:space="preserve">, the petitioner party informed that according to testimonies gather by the International Organization for Migration (OIM), migrants who have been deported from The Bahamas have reported they were mostly apprehended in the streets, in their places of </w:t>
      </w:r>
      <w:r w:rsidR="003B5615" w:rsidRPr="00136ECB">
        <w:rPr>
          <w:rFonts w:ascii="Cambria" w:hAnsi="Cambria"/>
          <w:sz w:val="20"/>
          <w:szCs w:val="20"/>
        </w:rPr>
        <w:t>employment</w:t>
      </w:r>
      <w:r w:rsidRPr="00136ECB">
        <w:rPr>
          <w:rFonts w:ascii="Cambria" w:hAnsi="Cambria"/>
          <w:sz w:val="20"/>
          <w:szCs w:val="20"/>
        </w:rPr>
        <w:t>, or wh</w:t>
      </w:r>
      <w:r w:rsidR="003B5615" w:rsidRPr="00136ECB">
        <w:rPr>
          <w:rFonts w:ascii="Cambria" w:hAnsi="Cambria"/>
          <w:sz w:val="20"/>
          <w:szCs w:val="20"/>
        </w:rPr>
        <w:t>i</w:t>
      </w:r>
      <w:r w:rsidRPr="00136ECB">
        <w:rPr>
          <w:rFonts w:ascii="Cambria" w:hAnsi="Cambria"/>
          <w:sz w:val="20"/>
          <w:szCs w:val="20"/>
        </w:rPr>
        <w:t xml:space="preserve">le in their homes during raids usually carried out </w:t>
      </w:r>
      <w:r w:rsidR="00CD242F" w:rsidRPr="00136ECB">
        <w:rPr>
          <w:rFonts w:ascii="Cambria" w:hAnsi="Cambria"/>
          <w:sz w:val="20"/>
          <w:szCs w:val="20"/>
        </w:rPr>
        <w:t>in the middle of the night by immigration officials.</w:t>
      </w:r>
      <w:r w:rsidR="00CD242F" w:rsidRPr="00136ECB">
        <w:rPr>
          <w:rFonts w:ascii="Cambria" w:hAnsi="Cambria"/>
          <w:sz w:val="20"/>
          <w:szCs w:val="20"/>
          <w:vertAlign w:val="superscript"/>
        </w:rPr>
        <w:footnoteReference w:id="150"/>
      </w:r>
      <w:r w:rsidR="00CD242F" w:rsidRPr="00136ECB">
        <w:rPr>
          <w:rFonts w:ascii="Cambria" w:hAnsi="Cambria"/>
          <w:sz w:val="20"/>
          <w:szCs w:val="20"/>
        </w:rPr>
        <w:t xml:space="preserve"> The returning migrants indicated that they remained in detention for 10 to 30</w:t>
      </w:r>
      <w:r w:rsidR="008F5599" w:rsidRPr="00136ECB">
        <w:rPr>
          <w:rFonts w:ascii="Cambria" w:hAnsi="Cambria"/>
          <w:sz w:val="20"/>
          <w:szCs w:val="20"/>
        </w:rPr>
        <w:t xml:space="preserve"> </w:t>
      </w:r>
      <w:r w:rsidR="00CD242F" w:rsidRPr="00136ECB">
        <w:rPr>
          <w:rFonts w:ascii="Cambria" w:hAnsi="Cambria"/>
          <w:sz w:val="20"/>
          <w:szCs w:val="20"/>
        </w:rPr>
        <w:t>days.</w:t>
      </w:r>
      <w:r w:rsidR="008F5599" w:rsidRPr="00136ECB">
        <w:rPr>
          <w:rFonts w:ascii="Cambria" w:hAnsi="Cambria"/>
          <w:sz w:val="20"/>
          <w:szCs w:val="20"/>
        </w:rPr>
        <w:t xml:space="preserve"> They stated that </w:t>
      </w:r>
      <w:r w:rsidRPr="00136ECB">
        <w:rPr>
          <w:rFonts w:ascii="Cambria" w:hAnsi="Cambria"/>
          <w:sz w:val="20"/>
          <w:szCs w:val="20"/>
        </w:rPr>
        <w:t>Public information shows that the policy of mass deportations intensified in the aftermath of hurricane Dorian in 2019</w:t>
      </w:r>
      <w:r w:rsidR="008F5599" w:rsidRPr="00136ECB">
        <w:rPr>
          <w:rFonts w:ascii="Cambria" w:hAnsi="Cambria"/>
          <w:sz w:val="20"/>
          <w:szCs w:val="20"/>
        </w:rPr>
        <w:t>.</w:t>
      </w:r>
      <w:r w:rsidR="008F5599" w:rsidRPr="00136ECB">
        <w:rPr>
          <w:rFonts w:ascii="Cambria" w:hAnsi="Cambria"/>
          <w:sz w:val="20"/>
          <w:szCs w:val="20"/>
          <w:vertAlign w:val="superscript"/>
        </w:rPr>
        <w:footnoteReference w:id="151"/>
      </w:r>
      <w:r w:rsidRPr="00136ECB">
        <w:rPr>
          <w:rFonts w:ascii="Cambria" w:hAnsi="Cambria"/>
          <w:sz w:val="20"/>
          <w:szCs w:val="20"/>
        </w:rPr>
        <w:t xml:space="preserve"> </w:t>
      </w:r>
      <w:r w:rsidR="008F5599" w:rsidRPr="00136ECB">
        <w:rPr>
          <w:rFonts w:ascii="Cambria" w:hAnsi="Cambria"/>
          <w:sz w:val="20"/>
          <w:szCs w:val="20"/>
        </w:rPr>
        <w:t>They added that reflecting statistics provided by the government, media sources state that a “total of 2,662 people were repatriated to their respective countries during the last fiscal year. And “[b]</w:t>
      </w:r>
      <w:proofErr w:type="spellStart"/>
      <w:r w:rsidR="008F5599" w:rsidRPr="00136ECB">
        <w:rPr>
          <w:rFonts w:ascii="Cambria" w:hAnsi="Cambria"/>
          <w:sz w:val="20"/>
          <w:szCs w:val="20"/>
        </w:rPr>
        <w:t>etween</w:t>
      </w:r>
      <w:proofErr w:type="spellEnd"/>
      <w:r w:rsidR="008F5599" w:rsidRPr="00136ECB">
        <w:rPr>
          <w:rFonts w:ascii="Cambria" w:hAnsi="Cambria"/>
          <w:sz w:val="20"/>
          <w:szCs w:val="20"/>
        </w:rPr>
        <w:t xml:space="preserve"> January an1, 2020 and May 2020, 489 people were repatriated”.</w:t>
      </w:r>
      <w:r w:rsidR="008F5599" w:rsidRPr="00136ECB">
        <w:rPr>
          <w:rFonts w:ascii="Cambria" w:hAnsi="Cambria"/>
          <w:sz w:val="20"/>
          <w:szCs w:val="20"/>
          <w:vertAlign w:val="superscript"/>
        </w:rPr>
        <w:footnoteReference w:id="152"/>
      </w:r>
      <w:r w:rsidR="008F5599" w:rsidRPr="00136ECB">
        <w:rPr>
          <w:rFonts w:ascii="Cambria" w:hAnsi="Cambria"/>
          <w:sz w:val="20"/>
          <w:szCs w:val="20"/>
        </w:rPr>
        <w:t xml:space="preserve"> Therefore, they consider that the State has failed to comply with this recommendation.</w:t>
      </w:r>
    </w:p>
    <w:p w14:paraId="3FA72BE0" w14:textId="77777777" w:rsidR="000343F7" w:rsidRPr="00136ECB" w:rsidRDefault="000343F7" w:rsidP="004311F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jc w:val="both"/>
        <w:rPr>
          <w:rFonts w:ascii="Cambria" w:hAnsi="Cambria"/>
          <w:sz w:val="20"/>
          <w:szCs w:val="20"/>
        </w:rPr>
      </w:pPr>
    </w:p>
    <w:p w14:paraId="264AB9F2" w14:textId="31E8DD6C" w:rsidR="000343F7" w:rsidRPr="00136ECB" w:rsidRDefault="008F5599"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ind w:left="0" w:firstLine="0"/>
        <w:jc w:val="both"/>
        <w:rPr>
          <w:rFonts w:ascii="Cambria" w:hAnsi="Cambria"/>
          <w:sz w:val="20"/>
          <w:szCs w:val="20"/>
        </w:rPr>
      </w:pPr>
      <w:r w:rsidRPr="00136ECB">
        <w:rPr>
          <w:rFonts w:ascii="Cambria" w:hAnsi="Cambria"/>
          <w:b/>
          <w:bCs/>
          <w:sz w:val="20"/>
          <w:szCs w:val="20"/>
        </w:rPr>
        <w:t>Regarding the fifth recommendation</w:t>
      </w:r>
      <w:r w:rsidRPr="00136ECB">
        <w:rPr>
          <w:rFonts w:ascii="Cambria" w:hAnsi="Cambria"/>
          <w:sz w:val="20"/>
          <w:szCs w:val="20"/>
        </w:rPr>
        <w:t xml:space="preserve">, the petitioner party informed that </w:t>
      </w:r>
      <w:r w:rsidR="000343F7" w:rsidRPr="00136ECB">
        <w:rPr>
          <w:rFonts w:ascii="Cambria" w:hAnsi="Cambria"/>
          <w:sz w:val="20"/>
          <w:szCs w:val="20"/>
        </w:rPr>
        <w:t xml:space="preserve">there is limited information to suggest that The Bahamas has adequately fulfilled its obligation to provide migration officers with specific and comprehensive training. </w:t>
      </w:r>
      <w:r w:rsidR="000D0295" w:rsidRPr="00136ECB">
        <w:rPr>
          <w:rFonts w:ascii="Cambria" w:hAnsi="Cambria"/>
          <w:sz w:val="20"/>
          <w:szCs w:val="20"/>
        </w:rPr>
        <w:t>They indicated that a</w:t>
      </w:r>
      <w:r w:rsidR="000343F7" w:rsidRPr="00136ECB">
        <w:rPr>
          <w:rFonts w:ascii="Cambria" w:hAnsi="Cambria"/>
          <w:sz w:val="20"/>
          <w:szCs w:val="20"/>
        </w:rPr>
        <w:t>ccording to The Bahamas’ government webpage on immigration, there has been one session of officer training,</w:t>
      </w:r>
      <w:r w:rsidR="000D0295" w:rsidRPr="00136ECB">
        <w:rPr>
          <w:rStyle w:val="FootnoteReference"/>
          <w:rFonts w:ascii="Cambria" w:hAnsi="Cambria"/>
          <w:sz w:val="20"/>
          <w:szCs w:val="20"/>
        </w:rPr>
        <w:footnoteReference w:id="153"/>
      </w:r>
      <w:r w:rsidR="000343F7" w:rsidRPr="00136ECB">
        <w:rPr>
          <w:rFonts w:ascii="Cambria" w:hAnsi="Cambria"/>
          <w:sz w:val="20"/>
          <w:szCs w:val="20"/>
        </w:rPr>
        <w:t xml:space="preserve"> but no further information about the kind of training the officers would undergo was offered. One released statement stated that it would “better equip officers in the execution of their daily duties as borders officers,” but offered no additional information explaining the specifics of the training.</w:t>
      </w:r>
      <w:r w:rsidR="000D0295" w:rsidRPr="00136ECB">
        <w:rPr>
          <w:rStyle w:val="FootnoteReference"/>
          <w:rFonts w:ascii="Cambria" w:hAnsi="Cambria"/>
          <w:sz w:val="20"/>
          <w:szCs w:val="20"/>
        </w:rPr>
        <w:footnoteReference w:id="154"/>
      </w:r>
    </w:p>
    <w:p w14:paraId="4D833680" w14:textId="77777777" w:rsidR="00CC4FB5" w:rsidRPr="00136ECB" w:rsidRDefault="00CC4FB5" w:rsidP="004311F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jc w:val="both"/>
        <w:rPr>
          <w:rFonts w:ascii="Cambria" w:hAnsi="Cambria"/>
          <w:sz w:val="20"/>
          <w:szCs w:val="20"/>
        </w:rPr>
      </w:pPr>
    </w:p>
    <w:p w14:paraId="22891BDB" w14:textId="4235C3A5" w:rsidR="000D0295" w:rsidRPr="00136ECB" w:rsidRDefault="000D0295"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ind w:left="0" w:firstLine="0"/>
        <w:jc w:val="both"/>
        <w:rPr>
          <w:rFonts w:ascii="Cambria" w:hAnsi="Cambria"/>
          <w:sz w:val="20"/>
          <w:szCs w:val="20"/>
        </w:rPr>
      </w:pPr>
      <w:r w:rsidRPr="00136ECB">
        <w:rPr>
          <w:rFonts w:ascii="Cambria" w:hAnsi="Cambria"/>
          <w:b/>
          <w:bCs/>
          <w:sz w:val="20"/>
          <w:szCs w:val="20"/>
        </w:rPr>
        <w:t>Regarding the sixth recommendation</w:t>
      </w:r>
      <w:r w:rsidRPr="00136ECB">
        <w:rPr>
          <w:rFonts w:ascii="Cambria" w:hAnsi="Cambria"/>
          <w:sz w:val="20"/>
          <w:szCs w:val="20"/>
        </w:rPr>
        <w:t>, the petitioner party informed that the automatic detention of migrants has not ended and that it does not have any information about the policy of automatic detention being reduced to any extend. The petitioners informed about testimonies from former detainees that continue to show the practice of automatic detention, were migrants and refugees are not brought promptly before a judge and who are detained without a warrant for their arrest.</w:t>
      </w:r>
      <w:r w:rsidRPr="00136ECB">
        <w:rPr>
          <w:rFonts w:ascii="Cambria" w:hAnsi="Cambria"/>
          <w:sz w:val="20"/>
          <w:szCs w:val="20"/>
          <w:vertAlign w:val="superscript"/>
        </w:rPr>
        <w:footnoteReference w:id="155"/>
      </w:r>
      <w:r w:rsidRPr="00136ECB">
        <w:rPr>
          <w:rFonts w:ascii="Cambria" w:hAnsi="Cambria"/>
          <w:sz w:val="20"/>
          <w:szCs w:val="20"/>
        </w:rPr>
        <w:t xml:space="preserve"> They </w:t>
      </w:r>
      <w:r w:rsidR="00F53909" w:rsidRPr="00136ECB">
        <w:rPr>
          <w:rFonts w:ascii="Cambria" w:hAnsi="Cambria"/>
          <w:sz w:val="20"/>
          <w:szCs w:val="20"/>
        </w:rPr>
        <w:t>stated</w:t>
      </w:r>
      <w:r w:rsidRPr="00136ECB">
        <w:rPr>
          <w:rFonts w:ascii="Cambria" w:hAnsi="Cambria"/>
          <w:sz w:val="20"/>
          <w:szCs w:val="20"/>
        </w:rPr>
        <w:t xml:space="preserve"> that </w:t>
      </w:r>
      <w:r w:rsidR="00F53909" w:rsidRPr="00136ECB">
        <w:rPr>
          <w:rFonts w:ascii="Cambria" w:hAnsi="Cambria"/>
          <w:sz w:val="20"/>
          <w:szCs w:val="20"/>
        </w:rPr>
        <w:t>t</w:t>
      </w:r>
      <w:r w:rsidRPr="00136ECB">
        <w:rPr>
          <w:rFonts w:ascii="Cambria" w:hAnsi="Cambria"/>
          <w:sz w:val="20"/>
          <w:szCs w:val="20"/>
        </w:rPr>
        <w:t>he policy of automatic detention is particularly worrying in the context of the COVID-19 pandemic</w:t>
      </w:r>
      <w:r w:rsidR="00F53909" w:rsidRPr="00136ECB">
        <w:rPr>
          <w:rFonts w:ascii="Cambria" w:hAnsi="Cambria"/>
          <w:sz w:val="20"/>
          <w:szCs w:val="20"/>
        </w:rPr>
        <w:t xml:space="preserve">, </w:t>
      </w:r>
      <w:r w:rsidR="00060574" w:rsidRPr="00136ECB">
        <w:rPr>
          <w:rFonts w:ascii="Cambria" w:hAnsi="Cambria"/>
          <w:sz w:val="20"/>
          <w:szCs w:val="20"/>
        </w:rPr>
        <w:t>considering</w:t>
      </w:r>
      <w:r w:rsidR="00F53909" w:rsidRPr="00136ECB">
        <w:rPr>
          <w:rFonts w:ascii="Cambria" w:hAnsi="Cambria"/>
          <w:sz w:val="20"/>
          <w:szCs w:val="20"/>
        </w:rPr>
        <w:t xml:space="preserve"> the guidelines issued by the IACHR,</w:t>
      </w:r>
      <w:r w:rsidR="00F53909" w:rsidRPr="00136ECB">
        <w:rPr>
          <w:rFonts w:ascii="Cambria" w:hAnsi="Cambria"/>
          <w:sz w:val="20"/>
          <w:szCs w:val="20"/>
          <w:vertAlign w:val="superscript"/>
        </w:rPr>
        <w:footnoteReference w:id="156"/>
      </w:r>
      <w:r w:rsidR="00F53909" w:rsidRPr="00136ECB">
        <w:rPr>
          <w:rFonts w:ascii="Cambria" w:hAnsi="Cambria"/>
          <w:sz w:val="20"/>
          <w:szCs w:val="20"/>
        </w:rPr>
        <w:t xml:space="preserve"> and U.N. Agencies.</w:t>
      </w:r>
      <w:r w:rsidR="00F53909" w:rsidRPr="00136ECB">
        <w:rPr>
          <w:rFonts w:ascii="Cambria" w:hAnsi="Cambria"/>
          <w:sz w:val="20"/>
          <w:szCs w:val="20"/>
          <w:vertAlign w:val="superscript"/>
        </w:rPr>
        <w:footnoteReference w:id="157"/>
      </w:r>
    </w:p>
    <w:p w14:paraId="4B3A5D6B" w14:textId="77777777" w:rsidR="00CC4FB5" w:rsidRPr="00136ECB" w:rsidRDefault="00CC4FB5" w:rsidP="004311F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jc w:val="both"/>
        <w:rPr>
          <w:rFonts w:ascii="Cambria" w:hAnsi="Cambria"/>
          <w:sz w:val="20"/>
          <w:szCs w:val="20"/>
        </w:rPr>
      </w:pPr>
    </w:p>
    <w:p w14:paraId="4B0265BA" w14:textId="77777777" w:rsidR="00CC4FB5" w:rsidRPr="00136ECB" w:rsidRDefault="00F53909"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ind w:left="0" w:firstLine="0"/>
        <w:jc w:val="both"/>
        <w:rPr>
          <w:rFonts w:ascii="Cambria" w:hAnsi="Cambria"/>
          <w:sz w:val="20"/>
          <w:szCs w:val="20"/>
        </w:rPr>
      </w:pPr>
      <w:r w:rsidRPr="00136ECB">
        <w:rPr>
          <w:rFonts w:ascii="Cambria" w:hAnsi="Cambria"/>
          <w:sz w:val="20"/>
          <w:szCs w:val="20"/>
        </w:rPr>
        <w:lastRenderedPageBreak/>
        <w:t>The petitioners also informed that, as a result of the fear and desperation of detainees at the Carmichael Road Detention Center during the COVID-19 pandemic, hunger strikes</w:t>
      </w:r>
      <w:r w:rsidRPr="00136ECB">
        <w:rPr>
          <w:rFonts w:ascii="Cambria" w:hAnsi="Cambria"/>
          <w:sz w:val="20"/>
          <w:szCs w:val="20"/>
          <w:vertAlign w:val="superscript"/>
        </w:rPr>
        <w:footnoteReference w:id="158"/>
      </w:r>
      <w:r w:rsidRPr="00136ECB">
        <w:rPr>
          <w:rFonts w:ascii="Cambria" w:hAnsi="Cambria"/>
          <w:sz w:val="20"/>
          <w:szCs w:val="20"/>
        </w:rPr>
        <w:t xml:space="preserve"> and protests</w:t>
      </w:r>
      <w:r w:rsidR="00CC4FB5" w:rsidRPr="00136ECB">
        <w:rPr>
          <w:rStyle w:val="FootnoteReference"/>
          <w:rFonts w:ascii="Cambria" w:hAnsi="Cambria"/>
          <w:sz w:val="20"/>
          <w:szCs w:val="20"/>
        </w:rPr>
        <w:footnoteReference w:id="159"/>
      </w:r>
      <w:r w:rsidRPr="00136ECB">
        <w:rPr>
          <w:rFonts w:ascii="Cambria" w:hAnsi="Cambria"/>
          <w:sz w:val="20"/>
          <w:szCs w:val="20"/>
        </w:rPr>
        <w:t xml:space="preserve"> took place inside the Detention Center. This came after detainees demanded to be set free and returned to their country. On June 3, 2020, some detainees were able to escape the Detention Center.</w:t>
      </w:r>
      <w:r w:rsidR="00CC4FB5" w:rsidRPr="00136ECB">
        <w:rPr>
          <w:rStyle w:val="FootnoteReference"/>
          <w:rFonts w:ascii="Cambria" w:hAnsi="Cambria"/>
          <w:sz w:val="20"/>
          <w:szCs w:val="20"/>
        </w:rPr>
        <w:footnoteReference w:id="160"/>
      </w:r>
    </w:p>
    <w:p w14:paraId="693781CA" w14:textId="0726A2F6" w:rsidR="00F53909" w:rsidRPr="00136ECB" w:rsidRDefault="00F53909" w:rsidP="004311F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jc w:val="both"/>
        <w:rPr>
          <w:rFonts w:ascii="Cambria" w:hAnsi="Cambria"/>
          <w:sz w:val="20"/>
          <w:szCs w:val="20"/>
        </w:rPr>
      </w:pPr>
    </w:p>
    <w:p w14:paraId="438AE594" w14:textId="5B098DD8" w:rsidR="00CC4FB5" w:rsidRPr="00136ECB" w:rsidRDefault="00CC4FB5"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ind w:left="0" w:firstLine="0"/>
        <w:jc w:val="both"/>
        <w:rPr>
          <w:rFonts w:ascii="Cambria" w:hAnsi="Cambria"/>
          <w:sz w:val="20"/>
          <w:szCs w:val="20"/>
        </w:rPr>
      </w:pPr>
      <w:r w:rsidRPr="00136ECB">
        <w:rPr>
          <w:rFonts w:ascii="Cambria" w:hAnsi="Cambria"/>
          <w:sz w:val="20"/>
          <w:szCs w:val="20"/>
        </w:rPr>
        <w:t>They informed that a</w:t>
      </w:r>
      <w:r w:rsidR="00F53909" w:rsidRPr="00136ECB">
        <w:rPr>
          <w:rFonts w:ascii="Cambria" w:hAnsi="Cambria"/>
          <w:sz w:val="20"/>
          <w:szCs w:val="20"/>
        </w:rPr>
        <w:t xml:space="preserve">ccording to the Government “there were 58 migrants at the detention center, though their nationalities were not provided.” And “as of June 1, there were 133 migrants detained at the Carmichael Road Detention </w:t>
      </w:r>
      <w:r w:rsidRPr="00136ECB">
        <w:rPr>
          <w:rFonts w:ascii="Cambria" w:hAnsi="Cambria"/>
          <w:sz w:val="20"/>
          <w:szCs w:val="20"/>
        </w:rPr>
        <w:t>Centre.”</w:t>
      </w:r>
      <w:r w:rsidR="00060574" w:rsidRPr="00136ECB">
        <w:rPr>
          <w:rStyle w:val="FootnoteReference"/>
          <w:rFonts w:ascii="Cambria" w:hAnsi="Cambria"/>
          <w:sz w:val="20"/>
          <w:szCs w:val="20"/>
        </w:rPr>
        <w:footnoteReference w:id="161"/>
      </w:r>
      <w:r w:rsidRPr="00136ECB">
        <w:rPr>
          <w:rFonts w:ascii="Cambria" w:hAnsi="Cambria"/>
          <w:sz w:val="20"/>
          <w:szCs w:val="20"/>
        </w:rPr>
        <w:t xml:space="preserve"> Petitioners have been unable to verify the real number of detainees at the Detention Center.</w:t>
      </w:r>
      <w:r w:rsidRPr="00136ECB">
        <w:rPr>
          <w:rStyle w:val="FootnoteReference"/>
          <w:rFonts w:ascii="Cambria" w:hAnsi="Cambria"/>
          <w:sz w:val="20"/>
          <w:szCs w:val="20"/>
        </w:rPr>
        <w:footnoteReference w:id="162"/>
      </w:r>
      <w:r w:rsidRPr="00136ECB">
        <w:rPr>
          <w:rFonts w:ascii="Cambria" w:hAnsi="Cambria"/>
          <w:sz w:val="20"/>
          <w:szCs w:val="20"/>
        </w:rPr>
        <w:t xml:space="preserve"> They added that since the start of the pandemic, it has been increasingly difficult to gain access to the detainees, leaving them unprotected at the Detention Center. Similarly, the inability to monitor detention conditions at the Carmichael Road Detention Center continued during the pandemic. Representatives do not have information on any measures taken within the detention facility to prevent the spread of COVID-19 or if State authorities have adopted any protocols to care for people carrying the virus or to reduce its spread. Consequently, they consider that the State of The Bahamas has failed to comply in its obligation to refrain from automatically detaining migrants and refugees. </w:t>
      </w:r>
    </w:p>
    <w:p w14:paraId="117B1DDE" w14:textId="42962A38" w:rsidR="00F53909" w:rsidRPr="00136ECB" w:rsidRDefault="00F53909" w:rsidP="004311F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jc w:val="both"/>
        <w:rPr>
          <w:rFonts w:ascii="Cambria" w:hAnsi="Cambria"/>
          <w:sz w:val="20"/>
          <w:szCs w:val="20"/>
        </w:rPr>
      </w:pPr>
    </w:p>
    <w:p w14:paraId="11507A3C" w14:textId="71DFC657" w:rsidR="000B2DE7" w:rsidRPr="00136ECB" w:rsidRDefault="00DF6932"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ind w:left="0" w:firstLine="0"/>
        <w:jc w:val="both"/>
        <w:rPr>
          <w:rFonts w:ascii="Cambria" w:hAnsi="Cambria"/>
          <w:sz w:val="20"/>
          <w:szCs w:val="20"/>
        </w:rPr>
      </w:pPr>
      <w:r w:rsidRPr="00136ECB">
        <w:rPr>
          <w:rFonts w:ascii="Cambria" w:hAnsi="Cambria" w:cs="Verdana"/>
          <w:sz w:val="20"/>
          <w:szCs w:val="20"/>
          <w:lang w:bidi="en-US"/>
        </w:rPr>
        <w:t>After evaluating the available information and taking into account that to date the State has not presented its response</w:t>
      </w:r>
      <w:r w:rsidR="00BF4F54" w:rsidRPr="00136ECB">
        <w:rPr>
          <w:rFonts w:ascii="Cambria" w:hAnsi="Cambria" w:cs="Verdana"/>
          <w:sz w:val="20"/>
          <w:szCs w:val="20"/>
          <w:lang w:bidi="en-US"/>
        </w:rPr>
        <w:t>,</w:t>
      </w:r>
      <w:r w:rsidRPr="00136ECB">
        <w:rPr>
          <w:rFonts w:ascii="Cambria" w:hAnsi="Cambria" w:cs="Verdana"/>
          <w:sz w:val="20"/>
          <w:szCs w:val="20"/>
          <w:lang w:bidi="en-US"/>
        </w:rPr>
        <w:t xml:space="preserve"> t</w:t>
      </w:r>
      <w:r w:rsidR="00BF4F54" w:rsidRPr="00136ECB">
        <w:rPr>
          <w:rFonts w:ascii="Cambria" w:hAnsi="Cambria"/>
          <w:sz w:val="20"/>
          <w:szCs w:val="20"/>
        </w:rPr>
        <w:t>he Commission calls for the necessary steps to be taken by the State to achieve full compliance with the recommendations.</w:t>
      </w:r>
    </w:p>
    <w:p w14:paraId="2610071B" w14:textId="77777777" w:rsidR="00A22C99" w:rsidRPr="00136ECB" w:rsidRDefault="00A22C99" w:rsidP="004311F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jc w:val="both"/>
        <w:rPr>
          <w:rFonts w:ascii="Cambria" w:hAnsi="Cambria"/>
          <w:sz w:val="20"/>
          <w:szCs w:val="20"/>
        </w:rPr>
      </w:pPr>
    </w:p>
    <w:p w14:paraId="4D4D630B" w14:textId="77777777" w:rsidR="001C3875" w:rsidRPr="001A69A6" w:rsidRDefault="001C3875" w:rsidP="004311FE">
      <w:pPr>
        <w:pStyle w:val="Heading1"/>
        <w:keepNext/>
        <w:keepLines/>
        <w:tabs>
          <w:tab w:val="left" w:pos="360"/>
        </w:tabs>
        <w:suppressAutoHyphens w:val="0"/>
        <w:ind w:left="0" w:firstLine="0"/>
        <w:rPr>
          <w:color w:val="auto"/>
        </w:rPr>
      </w:pPr>
      <w:bookmarkStart w:id="34" w:name="_Toc6226986"/>
      <w:bookmarkStart w:id="35" w:name="_Toc90557423"/>
      <w:r w:rsidRPr="001A69A6">
        <w:rPr>
          <w:color w:val="auto"/>
        </w:rPr>
        <w:t>FINAL CONCLUSIONS AND RECOMMENDATIONS</w:t>
      </w:r>
      <w:bookmarkEnd w:id="34"/>
      <w:bookmarkEnd w:id="35"/>
    </w:p>
    <w:p w14:paraId="2CDD835A" w14:textId="77777777" w:rsidR="001C3875" w:rsidRPr="001A69A6" w:rsidRDefault="001C3875" w:rsidP="004311FE">
      <w:pPr>
        <w:tabs>
          <w:tab w:val="left" w:pos="360"/>
        </w:tabs>
        <w:suppressAutoHyphens/>
        <w:ind w:left="1440" w:hanging="720"/>
        <w:rPr>
          <w:rFonts w:asciiTheme="majorHAnsi" w:hAnsiTheme="majorHAnsi"/>
          <w:b/>
          <w:sz w:val="20"/>
          <w:szCs w:val="20"/>
          <w:lang w:val="es-ES_tradnl"/>
        </w:rPr>
      </w:pPr>
    </w:p>
    <w:p w14:paraId="248D00A2" w14:textId="411CB165" w:rsidR="00282B67" w:rsidRPr="001A69A6" w:rsidRDefault="00282B67"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color w:val="000000" w:themeColor="text1"/>
          <w:sz w:val="20"/>
          <w:szCs w:val="20"/>
        </w:rPr>
      </w:pPr>
      <w:r w:rsidRPr="001A69A6">
        <w:rPr>
          <w:rFonts w:asciiTheme="majorHAnsi" w:hAnsiTheme="majorHAnsi"/>
          <w:color w:val="000000" w:themeColor="text1"/>
          <w:sz w:val="20"/>
          <w:szCs w:val="20"/>
        </w:rPr>
        <w:t>On the basis of determinations of fact and law, the Inter-American Commission concluded that the State is responsible for the violation of articles I (life, liberty, and security), II (equality before the law), V (protection of honor, personal reputation, and private and family life), VI (right to family and protection thereof), VII (right to protection of mothers and children) XVIII (fair trial), XXV (protection from arbitrary detention), and XXVIII (right od asylum) of the American Declaration on the Rights and Duties of Man. In consequence,</w:t>
      </w:r>
    </w:p>
    <w:p w14:paraId="049EEC09" w14:textId="77777777" w:rsidR="001C3875" w:rsidRPr="001A69A6" w:rsidRDefault="001C3875" w:rsidP="004311FE">
      <w:pPr>
        <w:tabs>
          <w:tab w:val="left" w:pos="360"/>
        </w:tabs>
        <w:rPr>
          <w:sz w:val="20"/>
          <w:szCs w:val="20"/>
        </w:rPr>
      </w:pPr>
    </w:p>
    <w:p w14:paraId="5FD1C67F" w14:textId="23210563" w:rsidR="001C3875" w:rsidRPr="001E28D1" w:rsidRDefault="001C3875" w:rsidP="004311FE">
      <w:pPr>
        <w:tabs>
          <w:tab w:val="left" w:pos="360"/>
        </w:tabs>
        <w:jc w:val="center"/>
        <w:rPr>
          <w:rFonts w:ascii="Cambria" w:hAnsi="Cambria"/>
          <w:b/>
          <w:sz w:val="20"/>
          <w:szCs w:val="20"/>
        </w:rPr>
      </w:pPr>
      <w:r w:rsidRPr="001A69A6">
        <w:rPr>
          <w:rFonts w:ascii="Cambria" w:hAnsi="Cambria"/>
          <w:b/>
          <w:sz w:val="20"/>
          <w:szCs w:val="20"/>
        </w:rPr>
        <w:t xml:space="preserve">THE INTER-AMERICAN COMMISSION ON HUMAN RIGHTS, REITERATES THAT THE </w:t>
      </w:r>
      <w:r w:rsidR="00282B67" w:rsidRPr="001A69A6">
        <w:rPr>
          <w:rFonts w:ascii="Cambria" w:hAnsi="Cambria"/>
          <w:b/>
          <w:sz w:val="20"/>
          <w:szCs w:val="20"/>
        </w:rPr>
        <w:t>COMMONWEALTH OF THE BAHAMAS</w:t>
      </w:r>
      <w:r w:rsidRPr="001A69A6">
        <w:rPr>
          <w:rFonts w:ascii="Cambria" w:hAnsi="Cambria"/>
          <w:b/>
          <w:sz w:val="20"/>
          <w:szCs w:val="20"/>
        </w:rPr>
        <w:t>,</w:t>
      </w:r>
    </w:p>
    <w:p w14:paraId="0DB8DCF1" w14:textId="77777777" w:rsidR="001C3875" w:rsidRPr="001E28D1" w:rsidRDefault="001C3875" w:rsidP="004311FE">
      <w:pPr>
        <w:tabs>
          <w:tab w:val="left" w:pos="360"/>
        </w:tabs>
        <w:ind w:firstLine="720"/>
        <w:jc w:val="both"/>
        <w:rPr>
          <w:rFonts w:ascii="Cambria" w:hAnsi="Cambria"/>
          <w:b/>
          <w:sz w:val="20"/>
          <w:szCs w:val="20"/>
        </w:rPr>
      </w:pPr>
    </w:p>
    <w:p w14:paraId="20848690" w14:textId="77777777" w:rsidR="00282B67" w:rsidRDefault="00282B67" w:rsidP="004311FE">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bdr w:val="none" w:sz="0" w:space="0" w:color="auto" w:frame="1"/>
        </w:rPr>
      </w:pPr>
      <w:r w:rsidRPr="00202485">
        <w:rPr>
          <w:rFonts w:asciiTheme="majorHAnsi" w:hAnsiTheme="majorHAnsi"/>
          <w:sz w:val="20"/>
          <w:szCs w:val="20"/>
          <w:bdr w:val="none" w:sz="0" w:space="0" w:color="auto" w:frame="1"/>
        </w:rPr>
        <w:t>Individualize the unidentified repatriated Cuban and Haitian nationals referred to in this report, consolidating a final list of victims. Arrange and deploy all the diplomatic efforts required to establish contact with all the victims in order to make adequate reparations, both material and moral, for the human rights violations recognized in this report, including both economic compensation and measures of satisfaction</w:t>
      </w:r>
      <w:r>
        <w:rPr>
          <w:rFonts w:asciiTheme="majorHAnsi" w:hAnsiTheme="majorHAnsi"/>
          <w:sz w:val="20"/>
          <w:szCs w:val="20"/>
          <w:bdr w:val="none" w:sz="0" w:space="0" w:color="auto" w:frame="1"/>
        </w:rPr>
        <w:t>.</w:t>
      </w:r>
    </w:p>
    <w:p w14:paraId="172AFBB6" w14:textId="77777777" w:rsidR="00282B67" w:rsidRDefault="00282B67" w:rsidP="004311F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bdr w:val="none" w:sz="0" w:space="0" w:color="auto" w:frame="1"/>
        </w:rPr>
      </w:pPr>
    </w:p>
    <w:p w14:paraId="67072DD6" w14:textId="77777777" w:rsidR="00282B67" w:rsidRPr="00A86EF7" w:rsidRDefault="00282B67" w:rsidP="004311FE">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bdr w:val="none" w:sz="0" w:space="0" w:color="auto" w:frame="1"/>
        </w:rPr>
      </w:pPr>
      <w:r w:rsidRPr="00A86EF7">
        <w:rPr>
          <w:rFonts w:asciiTheme="majorHAnsi" w:hAnsiTheme="majorHAnsi"/>
          <w:sz w:val="20"/>
          <w:szCs w:val="20"/>
          <w:bdr w:val="none" w:sz="0" w:space="0" w:color="auto" w:frame="1"/>
        </w:rPr>
        <w:t>Adopt urgent measures in order to improve detention conditions in Carmichael Road Detention Center such that they are consistent with minimum Inter-American standards set forth in this report. The State must create a judicial or administrative mechanism to ensure accessible and effective means to facilitate the submission and processing of complaints in this regard</w:t>
      </w:r>
      <w:r w:rsidRPr="00A86EF7">
        <w:rPr>
          <w:rFonts w:asciiTheme="majorHAnsi" w:hAnsiTheme="majorHAnsi"/>
          <w:sz w:val="20"/>
          <w:szCs w:val="20"/>
          <w:lang w:val="en-GB"/>
        </w:rPr>
        <w:t xml:space="preserve">, including criminal complaints at the disposition of the detainees. </w:t>
      </w:r>
    </w:p>
    <w:p w14:paraId="197657D7" w14:textId="77777777" w:rsidR="00282B67" w:rsidRPr="00202485" w:rsidRDefault="00282B67" w:rsidP="004311F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bdr w:val="none" w:sz="0" w:space="0" w:color="auto" w:frame="1"/>
        </w:rPr>
      </w:pPr>
    </w:p>
    <w:p w14:paraId="6C149890" w14:textId="77777777" w:rsidR="00282B67" w:rsidRPr="00202485" w:rsidRDefault="00282B67" w:rsidP="004311FE">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bdr w:val="none" w:sz="0" w:space="0" w:color="auto" w:frame="1"/>
        </w:rPr>
      </w:pPr>
      <w:r w:rsidRPr="00202485">
        <w:rPr>
          <w:rFonts w:asciiTheme="majorHAnsi" w:hAnsiTheme="majorHAnsi"/>
          <w:sz w:val="20"/>
          <w:szCs w:val="20"/>
        </w:rPr>
        <w:t>Implement mechanisms of non-repetition, including:</w:t>
      </w:r>
    </w:p>
    <w:p w14:paraId="6D2DB4C3" w14:textId="77777777" w:rsidR="00282B67" w:rsidRPr="00202485" w:rsidRDefault="00282B67" w:rsidP="004311FE">
      <w:pPr>
        <w:pStyle w:val="ListParagraph"/>
        <w:tabs>
          <w:tab w:val="left" w:pos="360"/>
        </w:tabs>
        <w:ind w:left="0"/>
        <w:rPr>
          <w:rFonts w:asciiTheme="majorHAnsi" w:hAnsiTheme="majorHAnsi"/>
          <w:color w:val="auto"/>
          <w:sz w:val="20"/>
          <w:szCs w:val="20"/>
        </w:rPr>
      </w:pPr>
    </w:p>
    <w:p w14:paraId="0D7C7EC6" w14:textId="77777777" w:rsidR="00282B67" w:rsidRPr="004640CE" w:rsidRDefault="00282B67" w:rsidP="004311FE">
      <w:pPr>
        <w:pStyle w:val="ListParagraph"/>
        <w:numPr>
          <w:ilvl w:val="0"/>
          <w:numId w:val="65"/>
        </w:numPr>
        <w:tabs>
          <w:tab w:val="left" w:pos="360"/>
        </w:tabs>
        <w:ind w:left="0" w:firstLine="0"/>
        <w:jc w:val="both"/>
        <w:rPr>
          <w:rFonts w:asciiTheme="majorHAnsi" w:hAnsiTheme="majorHAnsi"/>
          <w:sz w:val="20"/>
          <w:szCs w:val="20"/>
          <w:bdr w:val="none" w:sz="0" w:space="0" w:color="auto" w:frame="1"/>
        </w:rPr>
      </w:pPr>
      <w:r w:rsidRPr="00202485">
        <w:rPr>
          <w:rFonts w:asciiTheme="majorHAnsi" w:hAnsiTheme="majorHAnsi"/>
          <w:sz w:val="20"/>
          <w:szCs w:val="20"/>
          <w:bdr w:val="none" w:sz="0" w:space="0" w:color="auto" w:frame="1"/>
        </w:rPr>
        <w:t xml:space="preserve">Adopt adequate legislation that will ensure non-repetition of the facts described in the present report, including the regulation of the determination of refugee status and/or other recognized complementary </w:t>
      </w:r>
      <w:r w:rsidRPr="00202485">
        <w:rPr>
          <w:rFonts w:asciiTheme="majorHAnsi" w:hAnsiTheme="majorHAnsi"/>
          <w:sz w:val="20"/>
          <w:szCs w:val="20"/>
          <w:bdr w:val="none" w:sz="0" w:space="0" w:color="auto" w:frame="1"/>
        </w:rPr>
        <w:lastRenderedPageBreak/>
        <w:t xml:space="preserve">measures of international protection suitable for mixed migration contexts. This law must ensure the effectiveness of the obligation of </w:t>
      </w:r>
      <w:r w:rsidRPr="00202485">
        <w:rPr>
          <w:rFonts w:asciiTheme="majorHAnsi" w:hAnsiTheme="majorHAnsi"/>
          <w:i/>
          <w:iCs/>
          <w:sz w:val="20"/>
          <w:szCs w:val="20"/>
          <w:bdr w:val="none" w:sz="0" w:space="0" w:color="auto" w:frame="1"/>
        </w:rPr>
        <w:t>non-refoulement</w:t>
      </w:r>
      <w:r w:rsidRPr="00202485">
        <w:rPr>
          <w:rFonts w:asciiTheme="majorHAnsi" w:hAnsiTheme="majorHAnsi"/>
          <w:sz w:val="20"/>
          <w:szCs w:val="20"/>
          <w:bdr w:val="none" w:sz="0" w:space="0" w:color="auto" w:frame="1"/>
        </w:rPr>
        <w:t xml:space="preserve"> and the principle of the best interest of the child, as well as ensuring due process guarantees in immigration proceedings.</w:t>
      </w:r>
      <w:r>
        <w:rPr>
          <w:rFonts w:asciiTheme="majorHAnsi" w:hAnsiTheme="majorHAnsi"/>
          <w:sz w:val="20"/>
          <w:szCs w:val="20"/>
          <w:bdr w:val="none" w:sz="0" w:space="0" w:color="auto" w:frame="1"/>
        </w:rPr>
        <w:t xml:space="preserve"> The legislation adopted shall enshrined the following procedural guarantees, as stated in paragraph 71 of the present report: </w:t>
      </w:r>
      <w:r w:rsidRPr="004640CE">
        <w:rPr>
          <w:rFonts w:asciiTheme="majorHAnsi" w:hAnsiTheme="majorHAnsi"/>
          <w:sz w:val="20"/>
          <w:szCs w:val="20"/>
          <w:bdr w:val="none" w:sz="0" w:space="0" w:color="auto" w:frame="1"/>
        </w:rPr>
        <w:t xml:space="preserve">a) the right to prior notification in detail of the procedure for determining their legal status and, in the case of anyone who is detained, to be informed of the reasons for their detention and to be promptly notified of the charge or charges against them; b) the right to receive the necessary guidance concerning the procedure to be followed, in words and in a way they can understand and, if appropriate, with the opportunity to contact UNHCR; c) the right of any person detained to be brought promptly before a judge or other officer authorized by law to exercise judicial power and to a trial within a reasonable time or to be released without prejudice to the continuation of the proceedings. Their release may be subject to guarantees to assure his appearance for trial; d) the right to a hearing without delay, to adequate time and means for the preparation of their defense, and to meet freely and privately with their counsel; e) the right that the request is examined, objectively, within the framework of the relevant procedure, by a competent and clearly identified authority, and requires a personal interview; f) the right to be assisted without charge by a translator or interpreter; g) the right to be assisted by legal counsel; h) the respect to the protection of the applicant’s personal information and the asylum application, and the principle of confidentiality; </w:t>
      </w:r>
      <w:proofErr w:type="spellStart"/>
      <w:r w:rsidRPr="004640CE">
        <w:rPr>
          <w:rFonts w:asciiTheme="majorHAnsi" w:hAnsiTheme="majorHAnsi"/>
          <w:sz w:val="20"/>
          <w:szCs w:val="20"/>
          <w:bdr w:val="none" w:sz="0" w:space="0" w:color="auto" w:frame="1"/>
        </w:rPr>
        <w:t>i</w:t>
      </w:r>
      <w:proofErr w:type="spellEnd"/>
      <w:r w:rsidRPr="004640CE">
        <w:rPr>
          <w:rFonts w:asciiTheme="majorHAnsi" w:hAnsiTheme="majorHAnsi"/>
          <w:sz w:val="20"/>
          <w:szCs w:val="20"/>
          <w:bdr w:val="none" w:sz="0" w:space="0" w:color="auto" w:frame="1"/>
        </w:rPr>
        <w:t xml:space="preserve">) the right that the decision adopted is duly reasoned; j) the right to be notified of the decision adopted in the proceeding; k) the right to appeal the decision before a higher court, with suspensive effect and the right to remain in the country until the competent authority has adopted the required decision; l) the right to information and the prohibition of communication with authorities of his, her country, unless there is evidence of the person express consent; </w:t>
      </w:r>
    </w:p>
    <w:p w14:paraId="7C1834FD" w14:textId="77777777" w:rsidR="00282B67" w:rsidRPr="00202485" w:rsidRDefault="00282B67" w:rsidP="004311F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jc w:val="both"/>
        <w:rPr>
          <w:rFonts w:asciiTheme="majorHAnsi" w:hAnsiTheme="majorHAnsi"/>
          <w:color w:val="auto"/>
          <w:sz w:val="20"/>
          <w:szCs w:val="20"/>
          <w:bdr w:val="none" w:sz="0" w:space="0" w:color="auto" w:frame="1"/>
        </w:rPr>
      </w:pPr>
    </w:p>
    <w:p w14:paraId="47B5BD8E" w14:textId="77777777" w:rsidR="00282B67" w:rsidRPr="004640CE" w:rsidRDefault="00282B67" w:rsidP="004311FE">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color w:val="auto"/>
          <w:sz w:val="20"/>
          <w:szCs w:val="20"/>
          <w:bdr w:val="none" w:sz="0" w:space="0" w:color="auto" w:frame="1"/>
        </w:rPr>
      </w:pPr>
      <w:r w:rsidRPr="00202485">
        <w:rPr>
          <w:rFonts w:asciiTheme="majorHAnsi" w:hAnsiTheme="majorHAnsi"/>
          <w:color w:val="auto"/>
          <w:sz w:val="20"/>
          <w:szCs w:val="20"/>
        </w:rPr>
        <w:t>Ensure access to information about applying for asylum in Bahamas and about the right to information regarding consular assistance, as well as access to interpreters and legal assistance.</w:t>
      </w:r>
    </w:p>
    <w:p w14:paraId="2235BCF1" w14:textId="77777777" w:rsidR="00282B67" w:rsidRPr="004640CE" w:rsidRDefault="00282B67" w:rsidP="004311F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sz w:val="20"/>
          <w:szCs w:val="20"/>
          <w:bdr w:val="none" w:sz="0" w:space="0" w:color="auto" w:frame="1"/>
        </w:rPr>
      </w:pPr>
    </w:p>
    <w:p w14:paraId="029E208D" w14:textId="77777777" w:rsidR="00282B67" w:rsidRDefault="00282B67" w:rsidP="004311FE">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color w:val="auto"/>
          <w:sz w:val="20"/>
          <w:szCs w:val="20"/>
          <w:bdr w:val="none" w:sz="0" w:space="0" w:color="auto" w:frame="1"/>
        </w:rPr>
      </w:pPr>
      <w:r w:rsidRPr="00202485">
        <w:rPr>
          <w:rFonts w:asciiTheme="majorHAnsi" w:hAnsiTheme="majorHAnsi"/>
          <w:sz w:val="20"/>
          <w:szCs w:val="20"/>
          <w:bdr w:val="none" w:sz="0" w:space="0" w:color="auto" w:frame="1"/>
        </w:rPr>
        <w:t xml:space="preserve">Ensure undocumented immigrants and/or asylum seekers adequate and effective access to tribunals to challenge administrative </w:t>
      </w:r>
      <w:r w:rsidRPr="00202485">
        <w:rPr>
          <w:rFonts w:asciiTheme="majorHAnsi" w:hAnsiTheme="majorHAnsi"/>
          <w:color w:val="auto"/>
          <w:sz w:val="20"/>
          <w:szCs w:val="20"/>
          <w:bdr w:val="none" w:sz="0" w:space="0" w:color="auto" w:frame="1"/>
        </w:rPr>
        <w:t>decisions regarding the determination of their status.</w:t>
      </w:r>
    </w:p>
    <w:p w14:paraId="07538124" w14:textId="77777777" w:rsidR="00282B67" w:rsidRPr="004640CE" w:rsidRDefault="00282B67" w:rsidP="004311F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sz w:val="20"/>
          <w:szCs w:val="20"/>
          <w:bdr w:val="none" w:sz="0" w:space="0" w:color="auto" w:frame="1"/>
        </w:rPr>
      </w:pPr>
    </w:p>
    <w:p w14:paraId="298DF33C" w14:textId="77777777" w:rsidR="00282B67" w:rsidRPr="004640CE" w:rsidRDefault="00282B67" w:rsidP="004311FE">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color w:val="auto"/>
          <w:sz w:val="20"/>
          <w:szCs w:val="20"/>
          <w:bdr w:val="none" w:sz="0" w:space="0" w:color="auto" w:frame="1"/>
        </w:rPr>
      </w:pPr>
      <w:r>
        <w:rPr>
          <w:rFonts w:asciiTheme="majorHAnsi" w:hAnsiTheme="majorHAnsi"/>
          <w:color w:val="auto"/>
          <w:sz w:val="20"/>
          <w:szCs w:val="20"/>
        </w:rPr>
        <w:t>Refrain to implement and/or derogate any legal disposition, from a domestic or international</w:t>
      </w:r>
      <w:r w:rsidRPr="008D6B70">
        <w:rPr>
          <w:rFonts w:asciiTheme="majorHAnsi" w:hAnsiTheme="majorHAnsi"/>
          <w:color w:val="auto"/>
          <w:sz w:val="20"/>
          <w:szCs w:val="20"/>
        </w:rPr>
        <w:t xml:space="preserve"> </w:t>
      </w:r>
      <w:r>
        <w:rPr>
          <w:rFonts w:asciiTheme="majorHAnsi" w:hAnsiTheme="majorHAnsi"/>
          <w:color w:val="auto"/>
          <w:sz w:val="20"/>
          <w:szCs w:val="20"/>
        </w:rPr>
        <w:t xml:space="preserve">source of law that implies the </w:t>
      </w:r>
      <w:r w:rsidRPr="00202485">
        <w:rPr>
          <w:rFonts w:asciiTheme="majorHAnsi" w:hAnsiTheme="majorHAnsi"/>
          <w:color w:val="auto"/>
          <w:sz w:val="20"/>
          <w:szCs w:val="20"/>
        </w:rPr>
        <w:t>expedited removal</w:t>
      </w:r>
      <w:r>
        <w:rPr>
          <w:rFonts w:asciiTheme="majorHAnsi" w:hAnsiTheme="majorHAnsi"/>
          <w:color w:val="auto"/>
          <w:sz w:val="20"/>
          <w:szCs w:val="20"/>
        </w:rPr>
        <w:t xml:space="preserve"> of migrants. Attend closely the bilateral Agreements entered with </w:t>
      </w:r>
      <w:r w:rsidRPr="00202485">
        <w:rPr>
          <w:rFonts w:asciiTheme="majorHAnsi" w:hAnsiTheme="majorHAnsi"/>
          <w:color w:val="auto"/>
          <w:sz w:val="20"/>
          <w:szCs w:val="20"/>
        </w:rPr>
        <w:t xml:space="preserve">Cuba and Haiti, </w:t>
      </w:r>
      <w:r>
        <w:rPr>
          <w:rFonts w:asciiTheme="majorHAnsi" w:hAnsiTheme="majorHAnsi"/>
          <w:color w:val="auto"/>
          <w:sz w:val="20"/>
          <w:szCs w:val="20"/>
        </w:rPr>
        <w:t xml:space="preserve">or practices derived from previous agreements, </w:t>
      </w:r>
      <w:r w:rsidRPr="00202485">
        <w:rPr>
          <w:rFonts w:asciiTheme="majorHAnsi" w:hAnsiTheme="majorHAnsi"/>
          <w:color w:val="auto"/>
          <w:sz w:val="20"/>
          <w:szCs w:val="20"/>
        </w:rPr>
        <w:t>to the extent that they limit or prevent Cuban and Haitian nationals from presenting claims for international protection or receiving due process in the consideration of those claims.</w:t>
      </w:r>
    </w:p>
    <w:p w14:paraId="45B91543" w14:textId="77777777" w:rsidR="00282B67" w:rsidRPr="00202485" w:rsidRDefault="00282B67" w:rsidP="004311F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jc w:val="both"/>
        <w:rPr>
          <w:rFonts w:asciiTheme="majorHAnsi" w:hAnsiTheme="majorHAnsi"/>
          <w:color w:val="auto"/>
          <w:sz w:val="20"/>
          <w:szCs w:val="20"/>
          <w:bdr w:val="none" w:sz="0" w:space="0" w:color="auto" w:frame="1"/>
        </w:rPr>
      </w:pPr>
    </w:p>
    <w:p w14:paraId="68717913" w14:textId="77777777" w:rsidR="00282B67" w:rsidRPr="004640CE" w:rsidRDefault="00282B67" w:rsidP="004311FE">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color w:val="auto"/>
          <w:sz w:val="20"/>
          <w:szCs w:val="20"/>
          <w:bdr w:val="none" w:sz="0" w:space="0" w:color="auto" w:frame="1"/>
        </w:rPr>
      </w:pPr>
      <w:r w:rsidRPr="00202485">
        <w:rPr>
          <w:rFonts w:asciiTheme="majorHAnsi" w:hAnsiTheme="majorHAnsi"/>
          <w:color w:val="auto"/>
          <w:sz w:val="20"/>
          <w:szCs w:val="20"/>
        </w:rPr>
        <w:t>Provide training for all migration officers in standards regarding asylum and international protection, as well as in the identification of possible international protection needs.</w:t>
      </w:r>
    </w:p>
    <w:p w14:paraId="643ECC3B" w14:textId="77777777" w:rsidR="00282B67" w:rsidRPr="00202485" w:rsidRDefault="00282B67" w:rsidP="004311F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jc w:val="both"/>
        <w:rPr>
          <w:rFonts w:asciiTheme="majorHAnsi" w:hAnsiTheme="majorHAnsi"/>
          <w:color w:val="auto"/>
          <w:sz w:val="20"/>
          <w:szCs w:val="20"/>
          <w:bdr w:val="none" w:sz="0" w:space="0" w:color="auto" w:frame="1"/>
        </w:rPr>
      </w:pPr>
    </w:p>
    <w:p w14:paraId="582DD6B6" w14:textId="77777777" w:rsidR="00282B67" w:rsidRPr="00136ECB" w:rsidRDefault="00282B67" w:rsidP="004311FE">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color w:val="auto"/>
          <w:sz w:val="20"/>
          <w:szCs w:val="20"/>
          <w:bdr w:val="none" w:sz="0" w:space="0" w:color="auto" w:frame="1"/>
        </w:rPr>
      </w:pPr>
      <w:r w:rsidRPr="00A22C99">
        <w:rPr>
          <w:rFonts w:asciiTheme="majorHAnsi" w:hAnsiTheme="majorHAnsi"/>
          <w:color w:val="auto"/>
          <w:sz w:val="20"/>
          <w:szCs w:val="20"/>
        </w:rPr>
        <w:t>End the State’s policy of automatic detention of migrants. In this regard, detention should be treated as the exception, and only carried out pursuant to a duly founded decision cons</w:t>
      </w:r>
      <w:r w:rsidRPr="00136ECB">
        <w:rPr>
          <w:rFonts w:asciiTheme="majorHAnsi" w:hAnsiTheme="majorHAnsi"/>
          <w:color w:val="auto"/>
          <w:sz w:val="20"/>
          <w:szCs w:val="20"/>
        </w:rPr>
        <w:t>istent with international standards.</w:t>
      </w:r>
    </w:p>
    <w:p w14:paraId="28FF0C98" w14:textId="0B76D364" w:rsidR="0065707A" w:rsidRPr="00136ECB" w:rsidRDefault="0065707A" w:rsidP="004311FE">
      <w:pPr>
        <w:tabs>
          <w:tab w:val="left" w:pos="360"/>
        </w:tabs>
        <w:rPr>
          <w:rFonts w:asciiTheme="majorHAnsi" w:hAnsiTheme="majorHAnsi"/>
          <w:sz w:val="20"/>
          <w:szCs w:val="20"/>
        </w:rPr>
      </w:pPr>
    </w:p>
    <w:p w14:paraId="7EE8ECF4" w14:textId="77777777" w:rsidR="00A22C99" w:rsidRPr="00136ECB" w:rsidRDefault="00A22C99" w:rsidP="004311FE">
      <w:pPr>
        <w:pStyle w:val="Heading1"/>
        <w:keepNext/>
        <w:keepLines/>
        <w:tabs>
          <w:tab w:val="left" w:pos="360"/>
        </w:tabs>
        <w:suppressAutoHyphens w:val="0"/>
        <w:ind w:left="720"/>
        <w:rPr>
          <w:color w:val="auto"/>
          <w:lang w:val="en-US"/>
        </w:rPr>
      </w:pPr>
      <w:bookmarkStart w:id="36" w:name="_Toc26550945"/>
      <w:bookmarkStart w:id="37" w:name="_Toc87522018"/>
      <w:bookmarkStart w:id="38" w:name="_Toc90557424"/>
      <w:r w:rsidRPr="00136ECB">
        <w:rPr>
          <w:color w:val="auto"/>
          <w:lang w:val="en-US"/>
        </w:rPr>
        <w:t>PUBLICATION</w:t>
      </w:r>
      <w:bookmarkEnd w:id="36"/>
      <w:bookmarkEnd w:id="37"/>
      <w:bookmarkEnd w:id="38"/>
    </w:p>
    <w:p w14:paraId="48D74340" w14:textId="77777777" w:rsidR="00A22C99" w:rsidRPr="00136ECB" w:rsidRDefault="00A22C99" w:rsidP="004311FE">
      <w:pPr>
        <w:tabs>
          <w:tab w:val="left" w:pos="360"/>
        </w:tabs>
        <w:rPr>
          <w:rFonts w:asciiTheme="majorHAnsi" w:hAnsiTheme="majorHAnsi"/>
          <w:sz w:val="20"/>
          <w:szCs w:val="20"/>
        </w:rPr>
      </w:pPr>
    </w:p>
    <w:p w14:paraId="053BDCC6" w14:textId="77777777" w:rsidR="00A22C99" w:rsidRPr="00136ECB" w:rsidRDefault="00A22C99" w:rsidP="00431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eastAsia="Times New Roman" w:hAnsi="Cambria"/>
          <w:sz w:val="20"/>
          <w:szCs w:val="20"/>
        </w:rPr>
      </w:pPr>
      <w:r w:rsidRPr="00136ECB">
        <w:rPr>
          <w:rFonts w:asciiTheme="majorHAnsi" w:hAnsiTheme="majorHAnsi"/>
          <w:color w:val="000000" w:themeColor="text1"/>
          <w:sz w:val="20"/>
          <w:szCs w:val="20"/>
        </w:rPr>
        <w:t>In</w:t>
      </w:r>
      <w:r w:rsidRPr="00136ECB">
        <w:rPr>
          <w:rFonts w:ascii="Cambria" w:eastAsia="Times New Roman" w:hAnsi="Cambria"/>
          <w:sz w:val="20"/>
          <w:szCs w:val="20"/>
        </w:rPr>
        <w:t xml:space="preserve"> light of the above and in accordance with Article 47.3 of its Rules of Procedure, the IACHR decides to make this report public, and to include it in its Annual Report to the General Assembly of the Organization of American States. The Inter-American Commission, according to the norms contained in the instruments which govern its mandate, will continue evaluating the measures adopted by the United States with respect to the above recommendations until it determines there has been full compliance. </w:t>
      </w:r>
    </w:p>
    <w:p w14:paraId="689853CE" w14:textId="14F71D33" w:rsidR="00A22C99" w:rsidRDefault="00A22C99" w:rsidP="004311FE">
      <w:pPr>
        <w:tabs>
          <w:tab w:val="left" w:pos="360"/>
        </w:tabs>
        <w:rPr>
          <w:rFonts w:asciiTheme="majorHAnsi" w:hAnsiTheme="majorHAnsi"/>
          <w:sz w:val="20"/>
          <w:szCs w:val="20"/>
        </w:rPr>
      </w:pPr>
    </w:p>
    <w:p w14:paraId="7ECD6218" w14:textId="77777777" w:rsidR="004A5B1F" w:rsidRPr="00A525CC" w:rsidRDefault="004A5B1F" w:rsidP="004311F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eastAsia="Times New Roman" w:hAnsiTheme="majorHAnsi"/>
          <w:sz w:val="20"/>
          <w:szCs w:val="20"/>
        </w:rPr>
      </w:pPr>
      <w:r w:rsidRPr="00A525CC">
        <w:rPr>
          <w:rFonts w:asciiTheme="majorHAnsi" w:eastAsia="Times New Roman" w:hAnsiTheme="majorHAnsi"/>
          <w:sz w:val="20"/>
          <w:szCs w:val="20"/>
        </w:rPr>
        <w:t xml:space="preserve">Approved by the Inter-American Commission on Human Rights on the </w:t>
      </w:r>
      <w:r>
        <w:rPr>
          <w:rFonts w:asciiTheme="majorHAnsi" w:eastAsia="Times New Roman" w:hAnsiTheme="majorHAnsi"/>
          <w:sz w:val="20"/>
          <w:szCs w:val="20"/>
        </w:rPr>
        <w:t>31st</w:t>
      </w:r>
      <w:r w:rsidRPr="00A525CC">
        <w:rPr>
          <w:rFonts w:asciiTheme="majorHAnsi" w:eastAsia="Times New Roman" w:hAnsiTheme="majorHAnsi"/>
          <w:sz w:val="20"/>
          <w:szCs w:val="20"/>
        </w:rPr>
        <w:t xml:space="preserve"> day of </w:t>
      </w:r>
      <w:r>
        <w:rPr>
          <w:rFonts w:asciiTheme="majorHAnsi" w:eastAsia="Times New Roman" w:hAnsiTheme="majorHAnsi"/>
          <w:sz w:val="20"/>
          <w:szCs w:val="20"/>
        </w:rPr>
        <w:t>December</w:t>
      </w:r>
      <w:r w:rsidRPr="00A525CC">
        <w:rPr>
          <w:rFonts w:asciiTheme="majorHAnsi" w:eastAsia="Times New Roman" w:hAnsiTheme="majorHAnsi"/>
          <w:sz w:val="20"/>
          <w:szCs w:val="20"/>
        </w:rPr>
        <w:t xml:space="preserve"> 2021. (Signed):</w:t>
      </w:r>
      <w:r>
        <w:rPr>
          <w:rFonts w:asciiTheme="majorHAnsi" w:eastAsia="Times New Roman" w:hAnsiTheme="majorHAnsi"/>
        </w:rPr>
        <w:t xml:space="preserve"> </w:t>
      </w:r>
      <w:r w:rsidRPr="00A525CC">
        <w:rPr>
          <w:rFonts w:asciiTheme="majorHAnsi" w:eastAsia="Times New Roman" w:hAnsiTheme="majorHAnsi"/>
          <w:sz w:val="20"/>
          <w:szCs w:val="20"/>
        </w:rPr>
        <w:t xml:space="preserve">Antonia Urrejola </w:t>
      </w:r>
      <w:proofErr w:type="spellStart"/>
      <w:r w:rsidRPr="00A525CC">
        <w:rPr>
          <w:rFonts w:asciiTheme="majorHAnsi" w:eastAsia="Times New Roman" w:hAnsiTheme="majorHAnsi"/>
          <w:sz w:val="20"/>
          <w:szCs w:val="20"/>
        </w:rPr>
        <w:t>Noguera</w:t>
      </w:r>
      <w:proofErr w:type="spellEnd"/>
      <w:r w:rsidRPr="00A525CC">
        <w:rPr>
          <w:rFonts w:asciiTheme="majorHAnsi" w:eastAsia="Times New Roman" w:hAnsiTheme="majorHAnsi"/>
          <w:sz w:val="20"/>
          <w:szCs w:val="20"/>
        </w:rPr>
        <w:t>, President; Julissa Mantilla Falcón,</w:t>
      </w:r>
      <w:r>
        <w:rPr>
          <w:rFonts w:asciiTheme="majorHAnsi" w:eastAsia="Times New Roman" w:hAnsiTheme="majorHAnsi"/>
        </w:rPr>
        <w:t xml:space="preserve"> </w:t>
      </w:r>
      <w:r w:rsidRPr="00A525CC">
        <w:rPr>
          <w:rFonts w:asciiTheme="majorHAnsi" w:eastAsia="Times New Roman" w:hAnsiTheme="majorHAnsi"/>
          <w:sz w:val="20"/>
          <w:szCs w:val="20"/>
        </w:rPr>
        <w:t>First Vice President;</w:t>
      </w:r>
      <w:r>
        <w:rPr>
          <w:rFonts w:asciiTheme="majorHAnsi" w:eastAsia="Times New Roman" w:hAnsiTheme="majorHAnsi"/>
        </w:rPr>
        <w:t xml:space="preserve"> </w:t>
      </w:r>
      <w:proofErr w:type="spellStart"/>
      <w:r w:rsidRPr="00A525CC">
        <w:rPr>
          <w:rFonts w:asciiTheme="majorHAnsi" w:eastAsia="Times New Roman" w:hAnsiTheme="majorHAnsi"/>
          <w:sz w:val="20"/>
          <w:szCs w:val="20"/>
        </w:rPr>
        <w:t>Flávia</w:t>
      </w:r>
      <w:proofErr w:type="spellEnd"/>
      <w:r w:rsidRPr="00A525CC">
        <w:rPr>
          <w:rFonts w:asciiTheme="majorHAnsi" w:eastAsia="Times New Roman" w:hAnsiTheme="majorHAnsi"/>
          <w:sz w:val="20"/>
          <w:szCs w:val="20"/>
        </w:rPr>
        <w:t xml:space="preserve"> </w:t>
      </w:r>
      <w:proofErr w:type="spellStart"/>
      <w:r w:rsidRPr="00A525CC">
        <w:rPr>
          <w:rFonts w:asciiTheme="majorHAnsi" w:eastAsia="Times New Roman" w:hAnsiTheme="majorHAnsi"/>
          <w:sz w:val="20"/>
          <w:szCs w:val="20"/>
        </w:rPr>
        <w:t>Piovesan</w:t>
      </w:r>
      <w:proofErr w:type="spellEnd"/>
      <w:r w:rsidRPr="00A525CC">
        <w:rPr>
          <w:rFonts w:asciiTheme="majorHAnsi" w:eastAsia="Times New Roman" w:hAnsiTheme="majorHAnsi"/>
          <w:sz w:val="20"/>
          <w:szCs w:val="20"/>
        </w:rPr>
        <w:t>, Second Vice President; Margarette May Macaulay,</w:t>
      </w:r>
      <w:r>
        <w:rPr>
          <w:rFonts w:asciiTheme="majorHAnsi" w:eastAsia="Times New Roman" w:hAnsiTheme="majorHAnsi"/>
        </w:rPr>
        <w:t xml:space="preserve"> </w:t>
      </w:r>
      <w:r w:rsidRPr="00A525CC">
        <w:rPr>
          <w:rFonts w:asciiTheme="majorHAnsi" w:eastAsia="Times New Roman" w:hAnsiTheme="majorHAnsi"/>
          <w:sz w:val="20"/>
          <w:szCs w:val="20"/>
        </w:rPr>
        <w:t xml:space="preserve">Esmeralda E. </w:t>
      </w:r>
      <w:proofErr w:type="spellStart"/>
      <w:r w:rsidRPr="00A525CC">
        <w:rPr>
          <w:rFonts w:asciiTheme="majorHAnsi" w:eastAsia="Times New Roman" w:hAnsiTheme="majorHAnsi"/>
          <w:sz w:val="20"/>
          <w:szCs w:val="20"/>
        </w:rPr>
        <w:t>Arosemena</w:t>
      </w:r>
      <w:proofErr w:type="spellEnd"/>
      <w:r w:rsidRPr="00A525CC">
        <w:rPr>
          <w:rFonts w:asciiTheme="majorHAnsi" w:eastAsia="Times New Roman" w:hAnsiTheme="majorHAnsi"/>
          <w:sz w:val="20"/>
          <w:szCs w:val="20"/>
        </w:rPr>
        <w:t xml:space="preserve"> Bernal de </w:t>
      </w:r>
      <w:proofErr w:type="spellStart"/>
      <w:r w:rsidRPr="00A525CC">
        <w:rPr>
          <w:rFonts w:asciiTheme="majorHAnsi" w:eastAsia="Times New Roman" w:hAnsiTheme="majorHAnsi"/>
          <w:sz w:val="20"/>
          <w:szCs w:val="20"/>
        </w:rPr>
        <w:t>Troitiño</w:t>
      </w:r>
      <w:proofErr w:type="spellEnd"/>
      <w:r>
        <w:rPr>
          <w:rFonts w:asciiTheme="majorHAnsi" w:eastAsia="Times New Roman" w:hAnsiTheme="majorHAnsi"/>
          <w:sz w:val="20"/>
          <w:szCs w:val="20"/>
        </w:rPr>
        <w:t xml:space="preserve">, Joel Hernández García </w:t>
      </w:r>
      <w:r w:rsidRPr="00A525CC">
        <w:rPr>
          <w:rFonts w:asciiTheme="majorHAnsi" w:eastAsia="Times New Roman" w:hAnsiTheme="majorHAnsi"/>
          <w:sz w:val="20"/>
          <w:szCs w:val="20"/>
        </w:rPr>
        <w:t>and</w:t>
      </w:r>
      <w:r>
        <w:rPr>
          <w:rFonts w:asciiTheme="majorHAnsi" w:eastAsia="Times New Roman" w:hAnsiTheme="majorHAnsi"/>
        </w:rPr>
        <w:t xml:space="preserve"> </w:t>
      </w:r>
      <w:r w:rsidRPr="00A525CC">
        <w:rPr>
          <w:rFonts w:asciiTheme="majorHAnsi" w:eastAsia="Times New Roman" w:hAnsiTheme="majorHAnsi"/>
          <w:sz w:val="20"/>
          <w:szCs w:val="20"/>
        </w:rPr>
        <w:t xml:space="preserve">Edgar </w:t>
      </w:r>
      <w:proofErr w:type="spellStart"/>
      <w:r w:rsidRPr="00A525CC">
        <w:rPr>
          <w:rFonts w:asciiTheme="majorHAnsi" w:eastAsia="Times New Roman" w:hAnsiTheme="majorHAnsi"/>
          <w:sz w:val="20"/>
          <w:szCs w:val="20"/>
        </w:rPr>
        <w:t>Stuardo</w:t>
      </w:r>
      <w:proofErr w:type="spellEnd"/>
      <w:r w:rsidRPr="00A525CC">
        <w:rPr>
          <w:rFonts w:asciiTheme="majorHAnsi" w:eastAsia="Times New Roman" w:hAnsiTheme="majorHAnsi"/>
          <w:sz w:val="20"/>
          <w:szCs w:val="20"/>
        </w:rPr>
        <w:t xml:space="preserve"> </w:t>
      </w:r>
      <w:proofErr w:type="spellStart"/>
      <w:r w:rsidRPr="00A525CC">
        <w:rPr>
          <w:rFonts w:asciiTheme="majorHAnsi" w:eastAsia="Times New Roman" w:hAnsiTheme="majorHAnsi"/>
          <w:sz w:val="20"/>
          <w:szCs w:val="20"/>
        </w:rPr>
        <w:t>Ralón</w:t>
      </w:r>
      <w:proofErr w:type="spellEnd"/>
      <w:r w:rsidRPr="00A525CC">
        <w:rPr>
          <w:rFonts w:asciiTheme="majorHAnsi" w:eastAsia="Times New Roman" w:hAnsiTheme="majorHAnsi"/>
          <w:sz w:val="20"/>
          <w:szCs w:val="20"/>
        </w:rPr>
        <w:t xml:space="preserve"> Orellana, Commissioners.</w:t>
      </w:r>
    </w:p>
    <w:p w14:paraId="28392CB4" w14:textId="77777777" w:rsidR="004A5B1F" w:rsidRPr="00A525CC" w:rsidRDefault="004A5B1F" w:rsidP="004311F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eastAsia="Times New Roman" w:hAnsiTheme="majorHAnsi"/>
          <w:sz w:val="20"/>
          <w:szCs w:val="20"/>
        </w:rPr>
      </w:pPr>
    </w:p>
    <w:sectPr w:rsidR="004A5B1F" w:rsidRPr="00A525CC" w:rsidSect="00C61FCB">
      <w:type w:val="oddPage"/>
      <w:pgSz w:w="12240" w:h="15840"/>
      <w:pgMar w:top="1440" w:right="1440" w:bottom="1276"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93A08" w14:textId="77777777" w:rsidR="009C7672" w:rsidRDefault="009C7672">
      <w:r>
        <w:separator/>
      </w:r>
    </w:p>
  </w:endnote>
  <w:endnote w:type="continuationSeparator" w:id="0">
    <w:p w14:paraId="4D9D13C1" w14:textId="77777777" w:rsidR="009C7672" w:rsidRDefault="009C7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Univers">
    <w:panose1 w:val="020B0603020202030204"/>
    <w:charset w:val="00"/>
    <w:family w:val="swiss"/>
    <w:pitch w:val="variable"/>
    <w:sig w:usb0="8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libri">
    <w:altName w:val="Times New Roman"/>
    <w:panose1 w:val="00000000000000000000"/>
    <w:charset w:val="00"/>
    <w:family w:val="roman"/>
    <w:notTrueType/>
    <w:pitch w:val="default"/>
  </w:font>
  <w:font w:name="ArialM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7BB10251" w14:textId="77777777" w:rsidR="003B5615" w:rsidRPr="00934A2C" w:rsidRDefault="003B5615">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50B2D190" w14:textId="77777777" w:rsidR="003B5615" w:rsidRDefault="003B56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094A0" w14:textId="77777777" w:rsidR="003B5615" w:rsidRPr="00934A2C" w:rsidRDefault="003B5615">
    <w:pPr>
      <w:pStyle w:val="Footer"/>
      <w:jc w:val="center"/>
      <w:rPr>
        <w:sz w:val="16"/>
        <w:szCs w:val="22"/>
      </w:rPr>
    </w:pPr>
  </w:p>
  <w:p w14:paraId="2812BB08" w14:textId="77777777" w:rsidR="003B5615" w:rsidRDefault="003B5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D42AB" w14:textId="77777777" w:rsidR="009C7672" w:rsidRPr="000F35ED" w:rsidRDefault="009C767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79D7713" w14:textId="77777777" w:rsidR="009C7672" w:rsidRPr="000F35ED" w:rsidRDefault="009C7672" w:rsidP="000F35ED">
      <w:pPr>
        <w:rPr>
          <w:rFonts w:asciiTheme="majorHAnsi" w:hAnsiTheme="majorHAnsi"/>
          <w:sz w:val="16"/>
          <w:szCs w:val="16"/>
        </w:rPr>
      </w:pPr>
      <w:r w:rsidRPr="000F35ED">
        <w:rPr>
          <w:rFonts w:asciiTheme="majorHAnsi" w:hAnsiTheme="majorHAnsi"/>
          <w:sz w:val="16"/>
          <w:szCs w:val="16"/>
        </w:rPr>
        <w:separator/>
      </w:r>
    </w:p>
    <w:p w14:paraId="7EEDE7E5" w14:textId="77777777" w:rsidR="009C7672" w:rsidRPr="000F35ED" w:rsidRDefault="009C7672"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24773995" w14:textId="77777777" w:rsidR="009C7672" w:rsidRPr="000F35ED" w:rsidRDefault="009C7672"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DAB335A" w14:textId="15160A3A"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w:t>
      </w:r>
      <w:r>
        <w:rPr>
          <w:rFonts w:asciiTheme="majorHAnsi" w:hAnsiTheme="majorHAnsi"/>
          <w:color w:val="auto"/>
          <w:szCs w:val="16"/>
        </w:rPr>
        <w:t>Second</w:t>
      </w:r>
      <w:r w:rsidRPr="00BC213E">
        <w:rPr>
          <w:rFonts w:asciiTheme="majorHAnsi" w:hAnsiTheme="majorHAnsi"/>
          <w:color w:val="auto"/>
          <w:szCs w:val="16"/>
        </w:rPr>
        <w:t xml:space="preserve"> petition of May 15, 2000. The IACHR, transmitted this second petition to the State on May 16, 2000.</w:t>
      </w:r>
    </w:p>
  </w:footnote>
  <w:footnote w:id="3">
    <w:p w14:paraId="2BDE1129" w14:textId="77777777"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IACHR. Report No. 6/02. Case 12.071. Admissibility. 120 Cuban nationals and 8 Haitian nationals detained at the Carmichael Road Detention Center. February 27, 2002. Alleged violations admissible: Articles I, II, V, VI, VII, XVII, XVIII, XXV, and XXVII of the American Declaration. </w:t>
      </w:r>
    </w:p>
  </w:footnote>
  <w:footnote w:id="4">
    <w:p w14:paraId="332FC966" w14:textId="47B945C6" w:rsidR="003B5615" w:rsidRPr="00BC213E" w:rsidRDefault="003B5615" w:rsidP="003C2050">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In accordance with Article 37(3) of the Rules of Procedure applicable at the time.</w:t>
      </w:r>
    </w:p>
  </w:footnote>
  <w:footnote w:id="5">
    <w:p w14:paraId="59DB28CE" w14:textId="29B68CBB" w:rsidR="003B5615" w:rsidRPr="00BC213E" w:rsidRDefault="003B5615" w:rsidP="003C2050">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IACHR. Letter from the Commission to State of July 12, 2005. </w:t>
      </w:r>
    </w:p>
  </w:footnote>
  <w:footnote w:id="6">
    <w:p w14:paraId="554FA11B" w14:textId="77777777"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A request for precautionary measures was received on August 13, 1998, and these were granted on August 14, 1998. Under these measures the State was requested to stay the deportation of Cuban nationals from The Bahamas to Cuba until the Commission has had the opportunity to investigate the claims raised by the petitioners. The precautionary measures were lifted on July 30, 2013 owing to the fact that the actual deportation of these individuals removed the relevant risk of irreparable harm identified in the petitioners’ request.</w:t>
      </w:r>
    </w:p>
  </w:footnote>
  <w:footnote w:id="7">
    <w:p w14:paraId="6AE472FB" w14:textId="798CEE83"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UNHCR. Submission by the United Nations High Commissioner for Refugees or the Office of the High Commissioner for Human Rights' Compilation Report - Universal Periodic Review: Commonwealth of the Bahamas, June 2012, p.1.</w:t>
      </w:r>
    </w:p>
  </w:footnote>
  <w:footnote w:id="8">
    <w:p w14:paraId="591BFB3F" w14:textId="2EA723C8"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UNHCR. Submission by the United Nations High Commissioner for Refugees or the Office of the High Commissioner for Human Rights' Compilation Report - Universal Periodic Review: Commonwealth of the Bahamas, June 2012, p.1.</w:t>
      </w:r>
    </w:p>
  </w:footnote>
  <w:footnote w:id="9">
    <w:p w14:paraId="218287AA" w14:textId="5D1483CD"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United States Department of State, U.S. Department of State Country Report on Human Rights Practices 1999 - Bahamas , 25 February 2000, section 2.d.</w:t>
      </w:r>
    </w:p>
  </w:footnote>
  <w:footnote w:id="10">
    <w:p w14:paraId="279B4E30" w14:textId="771128A2"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UNHCR. Submission on the Bahamas: 29th UPR session, January 2018, p. 2.</w:t>
      </w:r>
    </w:p>
  </w:footnote>
  <w:footnote w:id="11">
    <w:p w14:paraId="0C136194" w14:textId="299AEF1D"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UNHCR. Submission on the Bahamas: 29th UPR session, January 2018, p. 1.</w:t>
      </w:r>
    </w:p>
  </w:footnote>
  <w:footnote w:id="12">
    <w:p w14:paraId="5E9331F2" w14:textId="37D3F557"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UNHCR. Submission on the Bahamas: 29th UPR session, January 2018, p. 2.</w:t>
      </w:r>
    </w:p>
  </w:footnote>
  <w:footnote w:id="13">
    <w:p w14:paraId="4FF0002F" w14:textId="7A3D1CAA"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CERD. UN Committee on the Elimination of Racial Discrimination: Concluding Observations, Bahamas, 28 April 2004, CERD/C/64/CO/1, para. 19.</w:t>
      </w:r>
    </w:p>
  </w:footnote>
  <w:footnote w:id="14">
    <w:p w14:paraId="4543DACC" w14:textId="1581ACB5"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UNHCR. Submission by the United Nations High Commissioner for Refugees or the Office of the High Commissioner for Human Rights' Compilation Report - Universal Periodic Review: Commonwealth of the Bahamas, June 2012, p.3.</w:t>
      </w:r>
    </w:p>
  </w:footnote>
  <w:footnote w:id="15">
    <w:p w14:paraId="572DA823" w14:textId="2ACB547A"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UNHCR Submission on the Bahamas: 29th UPR session, January 2018, p. 2.</w:t>
      </w:r>
    </w:p>
  </w:footnote>
  <w:footnote w:id="16">
    <w:p w14:paraId="0D98335D" w14:textId="095D13A4"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Annex </w:t>
      </w:r>
      <w:r>
        <w:rPr>
          <w:rFonts w:asciiTheme="majorHAnsi" w:hAnsiTheme="majorHAnsi"/>
          <w:color w:val="auto"/>
          <w:szCs w:val="16"/>
        </w:rPr>
        <w:t>1</w:t>
      </w:r>
      <w:r w:rsidRPr="00BC213E">
        <w:rPr>
          <w:rFonts w:asciiTheme="majorHAnsi" w:hAnsiTheme="majorHAnsi"/>
          <w:color w:val="auto"/>
          <w:szCs w:val="16"/>
        </w:rPr>
        <w:t>. Memorandum of Understanding Between the Government of the Commonwealth of the Bahamas and the Government of the Republic of Cuba of January 12, 1996 and Protocol to the Memorandum of Understanding of January 12, 1996 Between the Government of the Republic of Cuba and the Government of the Commonwealth of the Bahamas, annexed to State reply 23 October 1998.</w:t>
      </w:r>
    </w:p>
  </w:footnote>
  <w:footnote w:id="17">
    <w:p w14:paraId="22F738CD" w14:textId="743A458B"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United States Department of State, U.S. Department of State Country Report on Human Rights Practices 1999 - Bahamas , 25 February 2000, section 2.d.</w:t>
      </w:r>
    </w:p>
  </w:footnote>
  <w:footnote w:id="18">
    <w:p w14:paraId="014AC4ED" w14:textId="6C1F192E"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UNHCR. Submission by the United Nations High Commissioner for Refugees or the Office of the High Commissioner for Human Rights' Compilation Report - Universal Periodic Review: Commonwealth of the Bahamas, June 2012, p.2.</w:t>
      </w:r>
    </w:p>
  </w:footnote>
  <w:footnote w:id="19">
    <w:p w14:paraId="2C717145" w14:textId="05F5ABA0"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UNHCR. Submission on the Bahamas: 29th UPR session, January 2018, p. 3.</w:t>
      </w:r>
    </w:p>
  </w:footnote>
  <w:footnote w:id="20">
    <w:p w14:paraId="17132E40" w14:textId="41F5B35E"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United States Committee for Refugees and Immigrants, U.S. Committee for Refugees World Refugee Survey 1998 - Bahamas, 1 January 1998.</w:t>
      </w:r>
    </w:p>
  </w:footnote>
  <w:footnote w:id="21">
    <w:p w14:paraId="55E2057C" w14:textId="09EEF2B8"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CERD. UN Committee on the Elimination of Racial Discrimination: State Party Report, Bahamas (Add.1), 16 September 2003, CERD/C/428/Add.1, para. 172.</w:t>
      </w:r>
    </w:p>
  </w:footnote>
  <w:footnote w:id="22">
    <w:p w14:paraId="5AF93907" w14:textId="2EE240F4"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UNHCR Country Profiles – The Bahamas, September 1999, annexed to revised petition 12.282 of May 15, 2000.</w:t>
      </w:r>
    </w:p>
  </w:footnote>
  <w:footnote w:id="23">
    <w:p w14:paraId="260DB4EF" w14:textId="38E2AEC0"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UNHCR. Submission by the United Nations High Commissioner for Refugees or the Office of the High Commissioner for Human Rights' Compilation Report - Universal Periodic Review: Commonwealth of the Bahamas, June 2012,  p.4.</w:t>
      </w:r>
    </w:p>
  </w:footnote>
  <w:footnote w:id="24">
    <w:p w14:paraId="76E3042C" w14:textId="6B56DAFB"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UNHCR. Submission by the United Nations High Commissioner for Refugees or the Office of the High Commissioner for Human Rights' Compilation Report - Universal Periodic Review: Commonwealth of the Bahamas, June 2012,  p.4.</w:t>
      </w:r>
    </w:p>
  </w:footnote>
  <w:footnote w:id="25">
    <w:p w14:paraId="7E23F388" w14:textId="7E1BCA36"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CERD. UN Committee on the Elimination of Racial Discrimination: Concluding Observations, Bahamas, 28 April 2004, CERD/C/64/CO/1, para. 20.</w:t>
      </w:r>
    </w:p>
  </w:footnote>
  <w:footnote w:id="26">
    <w:p w14:paraId="4442A9CF" w14:textId="77777777"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UN Human Rights Council, Compilation Prepared by the Office of the High Commissioner for Human Rights, in accordance with paragraph 15(b) of the Annex to Human Rights Council Resolution 5/1 - Bahamas, 29 September 2008, A/HRC/WG.6/3/BHS/2, para. 23.</w:t>
      </w:r>
    </w:p>
  </w:footnote>
  <w:footnote w:id="27">
    <w:p w14:paraId="4C793859" w14:textId="4F0E40E5"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UNHCR. Submission on the Bahamas: 29th UPR session, January 2018, p.14.</w:t>
      </w:r>
    </w:p>
  </w:footnote>
  <w:footnote w:id="28">
    <w:p w14:paraId="6173997A" w14:textId="52AEADF7"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UNHCR. Submission by the United Nations High Commissioner for Refugees or the Office of the High Commissioner for Human Rights' Compilation Report - Universal Periodic Review: Commonwealth of the Bahamas, June 2012,  p.4.</w:t>
      </w:r>
    </w:p>
  </w:footnote>
  <w:footnote w:id="29">
    <w:p w14:paraId="2AD3D3C9" w14:textId="1254B633"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UN Human Rights Council, Compilation: [Universal Periodic Review]: Bahamas / prepared by the Office of the High Commissioner for Human Rights in accordance with paragraph 5 of the annex to Human Rights Council resolution 16/21, 9 November 2012, A/HRC/WG.6/15/BHS/2, para. 37.</w:t>
      </w:r>
    </w:p>
  </w:footnote>
  <w:footnote w:id="30">
    <w:p w14:paraId="1B70802B" w14:textId="56DE715B"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UNHCR. Submission by the United Nations High Commissioner for Refugees or the Office of the High Commissioner for Human Rights' Compilation Report - Universal Periodic Review: Commonwealth of the Bahamas, June 2012, p.3-4.</w:t>
      </w:r>
    </w:p>
  </w:footnote>
  <w:footnote w:id="31">
    <w:p w14:paraId="45F1A34C" w14:textId="2EAF9E0E"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CERD. UN Committee on the Elimination of Racial Discrimination: Concluding Observations, Bahamas, 28 April 2004, CERD/C/64/CO/1, para. 17.</w:t>
      </w:r>
    </w:p>
  </w:footnote>
  <w:footnote w:id="32">
    <w:p w14:paraId="621284DB" w14:textId="0BA01D9D"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UNHCR. Submission on the Bahamas: 29th UPR session, January 2018, p.14.</w:t>
      </w:r>
    </w:p>
  </w:footnote>
  <w:footnote w:id="33">
    <w:p w14:paraId="13893415" w14:textId="482638FF" w:rsidR="003B5615" w:rsidRPr="005D1D4E" w:rsidRDefault="003B5615">
      <w:pPr>
        <w:pStyle w:val="FootnoteText"/>
      </w:pPr>
      <w:r>
        <w:rPr>
          <w:rStyle w:val="FootnoteReference"/>
        </w:rPr>
        <w:footnoteRef/>
      </w:r>
      <w:r>
        <w:t xml:space="preserve"> IACHR.</w:t>
      </w:r>
      <w:r w:rsidRPr="005D1D4E">
        <w:t xml:space="preserve"> PM 535/14 – Persons in Immigration Detention at Carmichael Road Detention Center, The Bahamas, </w:t>
      </w:r>
      <w:r>
        <w:t>13 February 2015.</w:t>
      </w:r>
    </w:p>
  </w:footnote>
  <w:footnote w:id="34">
    <w:p w14:paraId="03231F60" w14:textId="16B292E4" w:rsidR="003B5615" w:rsidRPr="00EF5147" w:rsidRDefault="003B5615">
      <w:pPr>
        <w:pStyle w:val="FootnoteText"/>
      </w:pPr>
      <w:r>
        <w:rPr>
          <w:rStyle w:val="FootnoteReference"/>
        </w:rPr>
        <w:footnoteRef/>
      </w:r>
      <w:r>
        <w:t xml:space="preserve"> IACHR. 154 Period of Sessions,</w:t>
      </w:r>
      <w:r w:rsidRPr="00EF5147">
        <w:t xml:space="preserve"> Human Rights Situation of Migrant </w:t>
      </w:r>
      <w:r>
        <w:t>Persons in the Bahamas, March, 20, 2015.</w:t>
      </w:r>
    </w:p>
  </w:footnote>
  <w:footnote w:id="35">
    <w:p w14:paraId="5110EFD6" w14:textId="099D1055" w:rsidR="003B5615" w:rsidRPr="00DA2C8B" w:rsidRDefault="003B5615">
      <w:pPr>
        <w:pStyle w:val="FootnoteText"/>
      </w:pPr>
      <w:r>
        <w:rPr>
          <w:rStyle w:val="FootnoteReference"/>
        </w:rPr>
        <w:footnoteRef/>
      </w:r>
      <w:r>
        <w:t xml:space="preserve"> IACHR. </w:t>
      </w:r>
      <w:r w:rsidRPr="00DA2C8B">
        <w:t xml:space="preserve">Request for follow-up information on new </w:t>
      </w:r>
      <w:r>
        <w:t>immigration policy in The Bahamas, January 7, 2015.</w:t>
      </w:r>
    </w:p>
  </w:footnote>
  <w:footnote w:id="36">
    <w:p w14:paraId="31ED8C90" w14:textId="73524088" w:rsidR="003B5615" w:rsidRPr="002A40A7" w:rsidRDefault="003B5615">
      <w:pPr>
        <w:pStyle w:val="FootnoteText"/>
      </w:pPr>
      <w:r>
        <w:rPr>
          <w:rStyle w:val="FootnoteReference"/>
        </w:rPr>
        <w:footnoteRef/>
      </w:r>
      <w:r>
        <w:t xml:space="preserve"> </w:t>
      </w:r>
      <w:r w:rsidRPr="002A40A7">
        <w:t xml:space="preserve">Permanent Mission of the Commonwealth of the Bahamas </w:t>
      </w:r>
      <w:r>
        <w:t xml:space="preserve">to the Organization of American States, Re: Request for follow-up information on new immigration policy in the Bahamas, January 22, 2015. </w:t>
      </w:r>
    </w:p>
  </w:footnote>
  <w:footnote w:id="37">
    <w:p w14:paraId="7B7FB520" w14:textId="3FF17DFC"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CERD. UN Committee on the Elimination of Racial Discrimination: Concluding Observations, Bahamas, 28 April 2004, CERD/C/64/CO/1, para. 17.</w:t>
      </w:r>
    </w:p>
  </w:footnote>
  <w:footnote w:id="38">
    <w:p w14:paraId="6D547838" w14:textId="4AB66F8D"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UNHCR Submission on the Bahamas: 29th UPR session, January 2018, p. 3.</w:t>
      </w:r>
    </w:p>
  </w:footnote>
  <w:footnote w:id="39">
    <w:p w14:paraId="5C94F640" w14:textId="3F5B33F4" w:rsidR="003B5615" w:rsidRPr="00BC213E" w:rsidRDefault="003B5615" w:rsidP="00202485">
      <w:pPr>
        <w:pStyle w:val="FootnoteText"/>
        <w:tabs>
          <w:tab w:val="left" w:pos="5387"/>
        </w:tabs>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Annex </w:t>
      </w:r>
      <w:r>
        <w:rPr>
          <w:rFonts w:asciiTheme="majorHAnsi" w:hAnsiTheme="majorHAnsi"/>
          <w:color w:val="auto"/>
          <w:szCs w:val="16"/>
        </w:rPr>
        <w:t>2</w:t>
      </w:r>
      <w:r w:rsidRPr="00BC213E">
        <w:rPr>
          <w:rFonts w:asciiTheme="majorHAnsi" w:hAnsiTheme="majorHAnsi"/>
          <w:color w:val="auto"/>
          <w:szCs w:val="16"/>
        </w:rPr>
        <w:t>. List of CEJIL interviews, p. 1-2, annexed to the communication of the petitioners dated December 10, 1998.</w:t>
      </w:r>
    </w:p>
  </w:footnote>
  <w:footnote w:id="40">
    <w:p w14:paraId="59B7E378" w14:textId="2C32A97A"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Annex </w:t>
      </w:r>
      <w:r>
        <w:rPr>
          <w:rFonts w:asciiTheme="majorHAnsi" w:hAnsiTheme="majorHAnsi"/>
          <w:color w:val="auto"/>
          <w:szCs w:val="16"/>
        </w:rPr>
        <w:t>3</w:t>
      </w:r>
      <w:r w:rsidRPr="00BC213E">
        <w:rPr>
          <w:rFonts w:asciiTheme="majorHAnsi" w:hAnsiTheme="majorHAnsi"/>
          <w:color w:val="auto"/>
          <w:szCs w:val="16"/>
        </w:rPr>
        <w:t>. Manuel Ramon Reyes interview, List of CEJIL interviews, p. 1-2, annexed to the communication of the petitioners dated December 10, 1998.</w:t>
      </w:r>
    </w:p>
  </w:footnote>
  <w:footnote w:id="41">
    <w:p w14:paraId="7E9E53D9" w14:textId="4402F833"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Annex </w:t>
      </w:r>
      <w:r>
        <w:rPr>
          <w:rFonts w:asciiTheme="majorHAnsi" w:hAnsiTheme="majorHAnsi"/>
          <w:color w:val="auto"/>
          <w:szCs w:val="16"/>
        </w:rPr>
        <w:t>1</w:t>
      </w:r>
      <w:r w:rsidRPr="00BC213E">
        <w:rPr>
          <w:rFonts w:asciiTheme="majorHAnsi" w:hAnsiTheme="majorHAnsi"/>
          <w:color w:val="auto"/>
          <w:szCs w:val="16"/>
        </w:rPr>
        <w:t>. Memorandum of Understanding Between the Government of the Commonwealth of the Bahamas and the Government of the Republic of Cuba of January 12, 1996 and Protocol to the Memorandum of Understanding of January 12, 1996 Between the Government of the Republic of Cuba and the Government of the Commonwealth of the Bahamas, annexed to State reply 23 October 1998.</w:t>
      </w:r>
    </w:p>
  </w:footnote>
  <w:footnote w:id="42">
    <w:p w14:paraId="1B03A332" w14:textId="4E4B64C3"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w:t>
      </w:r>
      <w:r>
        <w:rPr>
          <w:rFonts w:asciiTheme="majorHAnsi" w:hAnsiTheme="majorHAnsi"/>
          <w:color w:val="auto"/>
          <w:szCs w:val="16"/>
        </w:rPr>
        <w:t xml:space="preserve">The </w:t>
      </w:r>
      <w:r w:rsidRPr="00BC213E">
        <w:rPr>
          <w:rFonts w:asciiTheme="majorHAnsi" w:hAnsiTheme="majorHAnsi"/>
          <w:color w:val="auto"/>
          <w:szCs w:val="16"/>
        </w:rPr>
        <w:t>names of the Cuban nationals are as they appear in the repatriat</w:t>
      </w:r>
      <w:r>
        <w:rPr>
          <w:rFonts w:asciiTheme="majorHAnsi" w:hAnsiTheme="majorHAnsi"/>
          <w:color w:val="auto"/>
          <w:szCs w:val="16"/>
        </w:rPr>
        <w:t xml:space="preserve">ion lists of the Bahamas Immigration Department. </w:t>
      </w:r>
    </w:p>
  </w:footnote>
  <w:footnote w:id="43">
    <w:p w14:paraId="75987646" w14:textId="3EC26223"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Annex </w:t>
      </w:r>
      <w:r>
        <w:rPr>
          <w:rFonts w:asciiTheme="majorHAnsi" w:hAnsiTheme="majorHAnsi"/>
          <w:color w:val="auto"/>
          <w:szCs w:val="16"/>
        </w:rPr>
        <w:t>4</w:t>
      </w:r>
      <w:r w:rsidRPr="00BC213E">
        <w:rPr>
          <w:rFonts w:asciiTheme="majorHAnsi" w:hAnsiTheme="majorHAnsi"/>
          <w:color w:val="auto"/>
          <w:szCs w:val="16"/>
        </w:rPr>
        <w:t>. Bahamas Immigration Department, Approved Cuban nationals for repatriation 11</w:t>
      </w:r>
      <w:r w:rsidRPr="00BC213E">
        <w:rPr>
          <w:rFonts w:asciiTheme="majorHAnsi" w:hAnsiTheme="majorHAnsi"/>
          <w:color w:val="auto"/>
          <w:szCs w:val="16"/>
          <w:vertAlign w:val="superscript"/>
        </w:rPr>
        <w:t>th</w:t>
      </w:r>
      <w:r w:rsidRPr="00BC213E">
        <w:rPr>
          <w:rFonts w:asciiTheme="majorHAnsi" w:hAnsiTheme="majorHAnsi"/>
          <w:color w:val="auto"/>
          <w:szCs w:val="16"/>
        </w:rPr>
        <w:t xml:space="preserve"> August 1998 annexed to State reply October 23, 1998.</w:t>
      </w:r>
    </w:p>
  </w:footnote>
  <w:footnote w:id="44">
    <w:p w14:paraId="74FE55B6" w14:textId="085496B8"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Annex </w:t>
      </w:r>
      <w:r>
        <w:rPr>
          <w:rFonts w:asciiTheme="majorHAnsi" w:hAnsiTheme="majorHAnsi"/>
          <w:color w:val="auto"/>
          <w:szCs w:val="16"/>
        </w:rPr>
        <w:t>5</w:t>
      </w:r>
      <w:r w:rsidRPr="00BC213E">
        <w:rPr>
          <w:rFonts w:asciiTheme="majorHAnsi" w:hAnsiTheme="majorHAnsi"/>
          <w:color w:val="auto"/>
          <w:szCs w:val="16"/>
        </w:rPr>
        <w:t>. Bahamas Immigration Department, Approved Cuban nationals for repatriation 18</w:t>
      </w:r>
      <w:r w:rsidRPr="00BC213E">
        <w:rPr>
          <w:rFonts w:asciiTheme="majorHAnsi" w:hAnsiTheme="majorHAnsi"/>
          <w:color w:val="auto"/>
          <w:szCs w:val="16"/>
          <w:vertAlign w:val="superscript"/>
        </w:rPr>
        <w:t>th</w:t>
      </w:r>
      <w:r w:rsidRPr="00BC213E">
        <w:rPr>
          <w:rFonts w:asciiTheme="majorHAnsi" w:hAnsiTheme="majorHAnsi"/>
          <w:color w:val="auto"/>
          <w:szCs w:val="16"/>
        </w:rPr>
        <w:t xml:space="preserve"> August 1998 annexed to State reply October 23, 1998. </w:t>
      </w:r>
    </w:p>
  </w:footnote>
  <w:footnote w:id="45">
    <w:p w14:paraId="5C2B11BD" w14:textId="57CB0C0A"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Annex </w:t>
      </w:r>
      <w:r>
        <w:rPr>
          <w:rFonts w:asciiTheme="majorHAnsi" w:hAnsiTheme="majorHAnsi"/>
          <w:color w:val="auto"/>
          <w:szCs w:val="16"/>
        </w:rPr>
        <w:t>6</w:t>
      </w:r>
      <w:r w:rsidRPr="00BC213E">
        <w:rPr>
          <w:rFonts w:asciiTheme="majorHAnsi" w:hAnsiTheme="majorHAnsi"/>
          <w:color w:val="auto"/>
          <w:szCs w:val="16"/>
        </w:rPr>
        <w:t>. Bahamas Immigration Department, Approved Cuban nationals for repatriation 20</w:t>
      </w:r>
      <w:r w:rsidRPr="00BC213E">
        <w:rPr>
          <w:rFonts w:asciiTheme="majorHAnsi" w:hAnsiTheme="majorHAnsi"/>
          <w:color w:val="auto"/>
          <w:szCs w:val="16"/>
          <w:vertAlign w:val="superscript"/>
        </w:rPr>
        <w:t>th</w:t>
      </w:r>
      <w:r w:rsidRPr="00BC213E">
        <w:rPr>
          <w:rFonts w:asciiTheme="majorHAnsi" w:hAnsiTheme="majorHAnsi"/>
          <w:color w:val="auto"/>
          <w:szCs w:val="16"/>
        </w:rPr>
        <w:t xml:space="preserve"> October 1998 annexed to S</w:t>
      </w:r>
      <w:r>
        <w:rPr>
          <w:rFonts w:asciiTheme="majorHAnsi" w:hAnsiTheme="majorHAnsi"/>
          <w:color w:val="auto"/>
          <w:szCs w:val="16"/>
        </w:rPr>
        <w:t xml:space="preserve">tate reply October 23, 1998. </w:t>
      </w:r>
      <w:r w:rsidRPr="00BC213E">
        <w:rPr>
          <w:rFonts w:asciiTheme="majorHAnsi" w:hAnsiTheme="majorHAnsi"/>
          <w:color w:val="auto"/>
          <w:szCs w:val="16"/>
        </w:rPr>
        <w:t>.</w:t>
      </w:r>
    </w:p>
  </w:footnote>
  <w:footnote w:id="46">
    <w:p w14:paraId="7B546BC7" w14:textId="13E7C13A" w:rsidR="003B5615" w:rsidRPr="00BC213E" w:rsidRDefault="003B5615" w:rsidP="00DE251A">
      <w:pPr>
        <w:pStyle w:val="FootnoteText"/>
        <w:jc w:val="both"/>
        <w:rPr>
          <w:rFonts w:asciiTheme="majorHAnsi" w:hAnsiTheme="majorHAnsi"/>
          <w:b/>
          <w:color w:val="auto"/>
          <w:szCs w:val="16"/>
          <w:u w:val="single"/>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Annex </w:t>
      </w:r>
      <w:r>
        <w:rPr>
          <w:rFonts w:asciiTheme="majorHAnsi" w:hAnsiTheme="majorHAnsi"/>
          <w:color w:val="auto"/>
          <w:szCs w:val="16"/>
        </w:rPr>
        <w:t>7</w:t>
      </w:r>
      <w:r w:rsidRPr="00BC213E">
        <w:rPr>
          <w:rFonts w:asciiTheme="majorHAnsi" w:hAnsiTheme="majorHAnsi"/>
          <w:color w:val="auto"/>
          <w:szCs w:val="16"/>
        </w:rPr>
        <w:t>. Memo identifying new potential victims from St. Thomas University Human Rights Institute to CEJIL of December 2, 1998 annexed to the communication of the petitioners dated December 10, 1998.</w:t>
      </w:r>
    </w:p>
  </w:footnote>
  <w:footnote w:id="47">
    <w:p w14:paraId="70B7B59D" w14:textId="77777777"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Precautionary measures were granted on August 14, 1998 under which the State was requested to stay the deportation of Cuban nationals from The Bahamas to Cuba until the Commission has had the opportunity to investigate the claims raised by the petitioners.</w:t>
      </w:r>
    </w:p>
  </w:footnote>
  <w:footnote w:id="48">
    <w:p w14:paraId="52BF3FD8" w14:textId="7696BBFC"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Annex </w:t>
      </w:r>
      <w:r>
        <w:rPr>
          <w:rFonts w:asciiTheme="majorHAnsi" w:hAnsiTheme="majorHAnsi"/>
          <w:color w:val="auto"/>
          <w:szCs w:val="16"/>
        </w:rPr>
        <w:t>6</w:t>
      </w:r>
      <w:r w:rsidRPr="00BC213E">
        <w:rPr>
          <w:rFonts w:asciiTheme="majorHAnsi" w:hAnsiTheme="majorHAnsi"/>
          <w:color w:val="auto"/>
          <w:szCs w:val="16"/>
        </w:rPr>
        <w:t>. Bahamas Immigration Department, Approved Cuban nationals for repatriation 20</w:t>
      </w:r>
      <w:r w:rsidRPr="00BC213E">
        <w:rPr>
          <w:rFonts w:asciiTheme="majorHAnsi" w:hAnsiTheme="majorHAnsi"/>
          <w:color w:val="auto"/>
          <w:szCs w:val="16"/>
          <w:vertAlign w:val="superscript"/>
        </w:rPr>
        <w:t>th</w:t>
      </w:r>
      <w:r w:rsidRPr="00BC213E">
        <w:rPr>
          <w:rFonts w:asciiTheme="majorHAnsi" w:hAnsiTheme="majorHAnsi"/>
          <w:color w:val="auto"/>
          <w:szCs w:val="16"/>
        </w:rPr>
        <w:t xml:space="preserve"> October 1998 annexed to State reply October 23, 1998, no. 10 to 12.</w:t>
      </w:r>
    </w:p>
  </w:footnote>
  <w:footnote w:id="49">
    <w:p w14:paraId="0E012C65" w14:textId="6B8788DD"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Annex </w:t>
      </w:r>
      <w:r>
        <w:rPr>
          <w:rFonts w:asciiTheme="majorHAnsi" w:hAnsiTheme="majorHAnsi"/>
          <w:color w:val="auto"/>
          <w:szCs w:val="16"/>
        </w:rPr>
        <w:t>8</w:t>
      </w:r>
      <w:r w:rsidRPr="00BC213E">
        <w:rPr>
          <w:rFonts w:asciiTheme="majorHAnsi" w:hAnsiTheme="majorHAnsi"/>
          <w:color w:val="auto"/>
          <w:szCs w:val="16"/>
        </w:rPr>
        <w:t>. Interviews with persons in Miami, formerly in Bahamas at the Little Nutritional Center and St. Thomas University, Miami, Florida on 17-18 November 1998, annexed to the communication of the petitioners dated December 10, 1998.</w:t>
      </w:r>
    </w:p>
  </w:footnote>
  <w:footnote w:id="50">
    <w:p w14:paraId="5E10D9E2" w14:textId="19D6FF6E"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Pr>
          <w:rFonts w:asciiTheme="majorHAnsi" w:hAnsiTheme="majorHAnsi"/>
          <w:color w:val="auto"/>
          <w:szCs w:val="16"/>
        </w:rPr>
        <w:t xml:space="preserve"> Annex 8</w:t>
      </w:r>
      <w:r w:rsidRPr="00BC213E">
        <w:rPr>
          <w:rFonts w:asciiTheme="majorHAnsi" w:hAnsiTheme="majorHAnsi"/>
          <w:color w:val="auto"/>
          <w:szCs w:val="16"/>
        </w:rPr>
        <w:t>. Interviews with persons in Miami, formerly in Bahamas at the Little Nutritional Center and St. Thomas University, Miami, Florida on 17-18 November 1998, annexed to the communication of the petitioners dated December 10, 1998.</w:t>
      </w:r>
    </w:p>
  </w:footnote>
  <w:footnote w:id="51">
    <w:p w14:paraId="47839FF9" w14:textId="0E80C756"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Annex </w:t>
      </w:r>
      <w:r>
        <w:rPr>
          <w:rFonts w:asciiTheme="majorHAnsi" w:hAnsiTheme="majorHAnsi"/>
          <w:color w:val="auto"/>
          <w:szCs w:val="16"/>
        </w:rPr>
        <w:t>8</w:t>
      </w:r>
      <w:r w:rsidRPr="00BC213E">
        <w:rPr>
          <w:rFonts w:asciiTheme="majorHAnsi" w:hAnsiTheme="majorHAnsi"/>
          <w:color w:val="auto"/>
          <w:szCs w:val="16"/>
        </w:rPr>
        <w:t>. Interviews with persons in Miami, formerly in Bahamas at the Little Nutritional Center and St. Thomas University, Miami, Florida on 17-18 November 1998, annexed to the communication of the petitioners dated December 10, 1998.</w:t>
      </w:r>
    </w:p>
  </w:footnote>
  <w:footnote w:id="52">
    <w:p w14:paraId="1F9CEA60" w14:textId="3018D2BA"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Pr>
          <w:rFonts w:asciiTheme="majorHAnsi" w:hAnsiTheme="majorHAnsi"/>
          <w:color w:val="auto"/>
          <w:szCs w:val="16"/>
        </w:rPr>
        <w:t xml:space="preserve"> Annex 9</w:t>
      </w:r>
      <w:r w:rsidRPr="00BC213E">
        <w:rPr>
          <w:rFonts w:asciiTheme="majorHAnsi" w:hAnsiTheme="majorHAnsi"/>
          <w:color w:val="auto"/>
          <w:szCs w:val="16"/>
        </w:rPr>
        <w:t xml:space="preserve">. Letter from U.S. Department of Justice to Mr. </w:t>
      </w:r>
      <w:proofErr w:type="spellStart"/>
      <w:r w:rsidRPr="00BC213E">
        <w:rPr>
          <w:rFonts w:asciiTheme="majorHAnsi" w:hAnsiTheme="majorHAnsi"/>
          <w:color w:val="auto"/>
          <w:szCs w:val="16"/>
        </w:rPr>
        <w:t>Rochela</w:t>
      </w:r>
      <w:proofErr w:type="spellEnd"/>
      <w:r w:rsidRPr="00BC213E">
        <w:rPr>
          <w:rFonts w:asciiTheme="majorHAnsi" w:hAnsiTheme="majorHAnsi"/>
          <w:color w:val="auto"/>
          <w:szCs w:val="16"/>
        </w:rPr>
        <w:t xml:space="preserve"> dated August 24, 1998 annexed to the communication of the petitioners dated December 10, 1998.</w:t>
      </w:r>
    </w:p>
  </w:footnote>
  <w:footnote w:id="53">
    <w:p w14:paraId="61D83353" w14:textId="1CAC096F"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Annex </w:t>
      </w:r>
      <w:r>
        <w:rPr>
          <w:rFonts w:asciiTheme="majorHAnsi" w:hAnsiTheme="majorHAnsi"/>
          <w:color w:val="auto"/>
          <w:szCs w:val="16"/>
        </w:rPr>
        <w:t>10</w:t>
      </w:r>
      <w:r w:rsidRPr="00BC213E">
        <w:rPr>
          <w:rFonts w:asciiTheme="majorHAnsi" w:hAnsiTheme="majorHAnsi"/>
          <w:color w:val="auto"/>
          <w:szCs w:val="16"/>
        </w:rPr>
        <w:t xml:space="preserve">. Refugee/Asylee Relative Petition completed by Jorge Juan </w:t>
      </w:r>
      <w:proofErr w:type="spellStart"/>
      <w:r w:rsidRPr="00BC213E">
        <w:rPr>
          <w:rFonts w:asciiTheme="majorHAnsi" w:hAnsiTheme="majorHAnsi"/>
          <w:color w:val="auto"/>
          <w:szCs w:val="16"/>
        </w:rPr>
        <w:t>Rochela</w:t>
      </w:r>
      <w:proofErr w:type="spellEnd"/>
      <w:r w:rsidRPr="00BC213E">
        <w:rPr>
          <w:rFonts w:asciiTheme="majorHAnsi" w:hAnsiTheme="majorHAnsi"/>
          <w:color w:val="auto"/>
          <w:szCs w:val="16"/>
        </w:rPr>
        <w:t xml:space="preserve"> dated August 28, 1998 annexed to the communication of the petitioners dated December 10, 1998; </w:t>
      </w:r>
      <w:r w:rsidRPr="00BC213E">
        <w:rPr>
          <w:rFonts w:asciiTheme="majorHAnsi" w:hAnsiTheme="majorHAnsi"/>
          <w:i/>
          <w:color w:val="auto"/>
          <w:szCs w:val="16"/>
        </w:rPr>
        <w:t xml:space="preserve">see also </w:t>
      </w:r>
      <w:r w:rsidRPr="00BC213E">
        <w:rPr>
          <w:rFonts w:asciiTheme="majorHAnsi" w:hAnsiTheme="majorHAnsi"/>
          <w:color w:val="auto"/>
          <w:szCs w:val="16"/>
        </w:rPr>
        <w:t xml:space="preserve">Annex </w:t>
      </w:r>
      <w:r>
        <w:rPr>
          <w:rFonts w:asciiTheme="majorHAnsi" w:hAnsiTheme="majorHAnsi"/>
          <w:color w:val="auto"/>
          <w:szCs w:val="16"/>
        </w:rPr>
        <w:t xml:space="preserve">11. </w:t>
      </w:r>
      <w:r w:rsidRPr="00BC213E">
        <w:rPr>
          <w:rFonts w:asciiTheme="majorHAnsi" w:hAnsiTheme="majorHAnsi"/>
          <w:color w:val="auto"/>
          <w:szCs w:val="16"/>
        </w:rPr>
        <w:t xml:space="preserve">Letter from St. Thomas University Human Rights Institute to Deputy Permanent Secretary of the Bahamian Ministry of </w:t>
      </w:r>
      <w:proofErr w:type="spellStart"/>
      <w:r w:rsidRPr="00BC213E">
        <w:rPr>
          <w:rFonts w:asciiTheme="majorHAnsi" w:hAnsiTheme="majorHAnsi"/>
          <w:color w:val="auto"/>
          <w:szCs w:val="16"/>
        </w:rPr>
        <w:t>Labour</w:t>
      </w:r>
      <w:proofErr w:type="spellEnd"/>
      <w:r w:rsidRPr="00BC213E">
        <w:rPr>
          <w:rFonts w:asciiTheme="majorHAnsi" w:hAnsiTheme="majorHAnsi"/>
          <w:color w:val="auto"/>
          <w:szCs w:val="16"/>
        </w:rPr>
        <w:t>, Immigration, Secretary dated August 28, 1998 annexed to the communication of the petitioners dated December 10, 1998. The request was received by the U.S. Immigration and Naturalization Servi</w:t>
      </w:r>
      <w:r>
        <w:rPr>
          <w:rFonts w:asciiTheme="majorHAnsi" w:hAnsiTheme="majorHAnsi"/>
          <w:color w:val="auto"/>
          <w:szCs w:val="16"/>
        </w:rPr>
        <w:t>ce on September 3, 1998. Annex 12</w:t>
      </w:r>
      <w:r w:rsidRPr="00BC213E">
        <w:rPr>
          <w:rFonts w:asciiTheme="majorHAnsi" w:hAnsiTheme="majorHAnsi"/>
          <w:color w:val="auto"/>
          <w:szCs w:val="16"/>
        </w:rPr>
        <w:t xml:space="preserve">. Notice of Action, the United States of America, Beneficiary </w:t>
      </w:r>
      <w:proofErr w:type="spellStart"/>
      <w:r w:rsidRPr="00BC213E">
        <w:rPr>
          <w:rFonts w:asciiTheme="majorHAnsi" w:hAnsiTheme="majorHAnsi"/>
          <w:color w:val="auto"/>
          <w:szCs w:val="16"/>
        </w:rPr>
        <w:t>Mildrey</w:t>
      </w:r>
      <w:proofErr w:type="spellEnd"/>
      <w:r w:rsidRPr="00BC213E">
        <w:rPr>
          <w:rFonts w:asciiTheme="majorHAnsi" w:hAnsiTheme="majorHAnsi"/>
          <w:color w:val="auto"/>
          <w:szCs w:val="16"/>
        </w:rPr>
        <w:t xml:space="preserve"> Martin, Jorge </w:t>
      </w:r>
      <w:proofErr w:type="spellStart"/>
      <w:r w:rsidRPr="00BC213E">
        <w:rPr>
          <w:rFonts w:asciiTheme="majorHAnsi" w:hAnsiTheme="majorHAnsi"/>
          <w:color w:val="auto"/>
          <w:szCs w:val="16"/>
        </w:rPr>
        <w:t>Rochela</w:t>
      </w:r>
      <w:proofErr w:type="spellEnd"/>
      <w:r w:rsidRPr="00BC213E">
        <w:rPr>
          <w:rFonts w:asciiTheme="majorHAnsi" w:hAnsiTheme="majorHAnsi"/>
          <w:color w:val="auto"/>
          <w:szCs w:val="16"/>
        </w:rPr>
        <w:t>, Nieves Marlen Escuela, dated September 3, 1998 annexed to the communication of the petitioners dated December 10, 1998.</w:t>
      </w:r>
    </w:p>
  </w:footnote>
  <w:footnote w:id="54">
    <w:p w14:paraId="3E35D7CF" w14:textId="5A1038C1"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Annex </w:t>
      </w:r>
      <w:r>
        <w:rPr>
          <w:rFonts w:asciiTheme="majorHAnsi" w:hAnsiTheme="majorHAnsi"/>
          <w:color w:val="auto"/>
          <w:szCs w:val="16"/>
        </w:rPr>
        <w:t>8</w:t>
      </w:r>
      <w:r w:rsidRPr="00BC213E">
        <w:rPr>
          <w:rFonts w:asciiTheme="majorHAnsi" w:hAnsiTheme="majorHAnsi"/>
          <w:color w:val="auto"/>
          <w:szCs w:val="16"/>
        </w:rPr>
        <w:t>. Interviews with persons in Miami, formerly in Bahamas at the Little Nutritional Center and St. Thomas University, Miami, Florida on 17-18 November 1998, annexed to the communication of the petitioners dated December 10, 1998.</w:t>
      </w:r>
    </w:p>
  </w:footnote>
  <w:footnote w:id="55">
    <w:p w14:paraId="32A5062E" w14:textId="26EBF194"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Annex </w:t>
      </w:r>
      <w:r>
        <w:rPr>
          <w:rFonts w:asciiTheme="majorHAnsi" w:hAnsiTheme="majorHAnsi"/>
          <w:color w:val="auto"/>
          <w:szCs w:val="16"/>
        </w:rPr>
        <w:t>11</w:t>
      </w:r>
      <w:r w:rsidRPr="00BC213E">
        <w:rPr>
          <w:rFonts w:asciiTheme="majorHAnsi" w:hAnsiTheme="majorHAnsi"/>
          <w:color w:val="auto"/>
          <w:szCs w:val="16"/>
        </w:rPr>
        <w:t xml:space="preserve">. Letter from St. Thomas University Human Rights Institute to Deputy Permanent Secretary of the Bahamian Ministry of </w:t>
      </w:r>
      <w:proofErr w:type="spellStart"/>
      <w:r w:rsidRPr="00BC213E">
        <w:rPr>
          <w:rFonts w:asciiTheme="majorHAnsi" w:hAnsiTheme="majorHAnsi"/>
          <w:color w:val="auto"/>
          <w:szCs w:val="16"/>
        </w:rPr>
        <w:t>Labour</w:t>
      </w:r>
      <w:proofErr w:type="spellEnd"/>
      <w:r w:rsidRPr="00BC213E">
        <w:rPr>
          <w:rFonts w:asciiTheme="majorHAnsi" w:hAnsiTheme="majorHAnsi"/>
          <w:color w:val="auto"/>
          <w:szCs w:val="16"/>
        </w:rPr>
        <w:t>, Immigration, Secretary dated August 28, 1998 annexed to the communication of the petitioners dated December 10, 1998.</w:t>
      </w:r>
    </w:p>
  </w:footnote>
  <w:footnote w:id="56">
    <w:p w14:paraId="7FEACE5A" w14:textId="08D2E248"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Annex </w:t>
      </w:r>
      <w:r>
        <w:rPr>
          <w:rFonts w:asciiTheme="majorHAnsi" w:hAnsiTheme="majorHAnsi"/>
          <w:color w:val="auto"/>
          <w:szCs w:val="16"/>
        </w:rPr>
        <w:t>6</w:t>
      </w:r>
      <w:r w:rsidRPr="00BC213E">
        <w:rPr>
          <w:rFonts w:asciiTheme="majorHAnsi" w:hAnsiTheme="majorHAnsi"/>
          <w:color w:val="auto"/>
          <w:szCs w:val="16"/>
        </w:rPr>
        <w:t>. Bahamas Immigration Department, Approved Cuban nationals for repatriation 20</w:t>
      </w:r>
      <w:r w:rsidRPr="00BC213E">
        <w:rPr>
          <w:rFonts w:asciiTheme="majorHAnsi" w:hAnsiTheme="majorHAnsi"/>
          <w:color w:val="auto"/>
          <w:szCs w:val="16"/>
          <w:vertAlign w:val="superscript"/>
        </w:rPr>
        <w:t>th</w:t>
      </w:r>
      <w:r w:rsidRPr="00BC213E">
        <w:rPr>
          <w:rFonts w:asciiTheme="majorHAnsi" w:hAnsiTheme="majorHAnsi"/>
          <w:color w:val="auto"/>
          <w:szCs w:val="16"/>
        </w:rPr>
        <w:t xml:space="preserve"> October 1998 annexed to State reply October 23, 1998, no. 10 to 12.</w:t>
      </w:r>
    </w:p>
  </w:footnote>
  <w:footnote w:id="57">
    <w:p w14:paraId="6DFB4303" w14:textId="2B165A1F"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Annex </w:t>
      </w:r>
      <w:r>
        <w:rPr>
          <w:rFonts w:asciiTheme="majorHAnsi" w:hAnsiTheme="majorHAnsi"/>
          <w:color w:val="auto"/>
          <w:szCs w:val="16"/>
        </w:rPr>
        <w:t>8</w:t>
      </w:r>
      <w:r w:rsidRPr="00BC213E">
        <w:rPr>
          <w:rFonts w:asciiTheme="majorHAnsi" w:hAnsiTheme="majorHAnsi"/>
          <w:color w:val="auto"/>
          <w:szCs w:val="16"/>
        </w:rPr>
        <w:t>. Interviews with persons in Miami, formerly in Bahamas at the Little Nutritional Center and St. Thomas University, Miami, Florida on 17-18 November 1998, annexed to the communication of the petitioners dated December 10, 1998.</w:t>
      </w:r>
    </w:p>
  </w:footnote>
  <w:footnote w:id="58">
    <w:p w14:paraId="5B46AEB8" w14:textId="0133C76D"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Annex </w:t>
      </w:r>
      <w:r>
        <w:rPr>
          <w:rFonts w:asciiTheme="majorHAnsi" w:hAnsiTheme="majorHAnsi"/>
          <w:color w:val="auto"/>
          <w:szCs w:val="16"/>
        </w:rPr>
        <w:t>8</w:t>
      </w:r>
      <w:r w:rsidRPr="00BC213E">
        <w:rPr>
          <w:rFonts w:asciiTheme="majorHAnsi" w:hAnsiTheme="majorHAnsi"/>
          <w:color w:val="auto"/>
          <w:szCs w:val="16"/>
        </w:rPr>
        <w:t>. Interviews with persons in Miami, formerly in Bahamas at the Little Nutritional Center and St. Thomas University, Miami, Florida on 17-18 November 1998, annexed to the communication of the petitioners dated December 10, 1998.</w:t>
      </w:r>
    </w:p>
  </w:footnote>
  <w:footnote w:id="59">
    <w:p w14:paraId="41A9A096" w14:textId="6A52F9C0"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Annex </w:t>
      </w:r>
      <w:r>
        <w:rPr>
          <w:rFonts w:asciiTheme="majorHAnsi" w:hAnsiTheme="majorHAnsi"/>
          <w:color w:val="auto"/>
          <w:szCs w:val="16"/>
        </w:rPr>
        <w:t>13</w:t>
      </w:r>
      <w:r w:rsidRPr="00BC213E">
        <w:rPr>
          <w:rFonts w:asciiTheme="majorHAnsi" w:hAnsiTheme="majorHAnsi"/>
          <w:color w:val="auto"/>
          <w:szCs w:val="16"/>
        </w:rPr>
        <w:t>. Memo from St. Thomas University Human Rights Institute to CEJIL dated December 1, 1998, annexed to the communication of the petitioners dated December 10, 1998.</w:t>
      </w:r>
    </w:p>
  </w:footnote>
  <w:footnote w:id="60">
    <w:p w14:paraId="238268DF" w14:textId="308AF4D5"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Annex </w:t>
      </w:r>
      <w:r>
        <w:rPr>
          <w:rFonts w:asciiTheme="majorHAnsi" w:hAnsiTheme="majorHAnsi"/>
          <w:color w:val="auto"/>
          <w:szCs w:val="16"/>
        </w:rPr>
        <w:t>13</w:t>
      </w:r>
      <w:r w:rsidRPr="00BC213E">
        <w:rPr>
          <w:rFonts w:asciiTheme="majorHAnsi" w:hAnsiTheme="majorHAnsi"/>
          <w:color w:val="auto"/>
          <w:szCs w:val="16"/>
        </w:rPr>
        <w:t>. Memo from St. Thomas University Human Rights Institute to CEJIL dated December 1, 1998, annexed to the communication of the petitioners dated December 10, 1998.</w:t>
      </w:r>
    </w:p>
  </w:footnote>
  <w:footnote w:id="61">
    <w:p w14:paraId="5CFDE656" w14:textId="5B7BC18E"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Annex </w:t>
      </w:r>
      <w:r>
        <w:rPr>
          <w:rFonts w:asciiTheme="majorHAnsi" w:hAnsiTheme="majorHAnsi"/>
          <w:color w:val="auto"/>
          <w:szCs w:val="16"/>
        </w:rPr>
        <w:t>13</w:t>
      </w:r>
      <w:r w:rsidRPr="00BC213E">
        <w:rPr>
          <w:rFonts w:asciiTheme="majorHAnsi" w:hAnsiTheme="majorHAnsi"/>
          <w:color w:val="auto"/>
          <w:szCs w:val="16"/>
        </w:rPr>
        <w:t>. Memo from St. Thomas University Human Rights Institute to CEJIL dated December 1, 1998, annexed to the communication of the petitioners dated December 10, 1998.</w:t>
      </w:r>
    </w:p>
  </w:footnote>
  <w:footnote w:id="62">
    <w:p w14:paraId="137A5B58" w14:textId="3810AD45"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Annex </w:t>
      </w:r>
      <w:r>
        <w:rPr>
          <w:rFonts w:asciiTheme="majorHAnsi" w:hAnsiTheme="majorHAnsi"/>
          <w:color w:val="auto"/>
          <w:szCs w:val="16"/>
        </w:rPr>
        <w:t>13</w:t>
      </w:r>
      <w:r w:rsidRPr="00BC213E">
        <w:rPr>
          <w:rFonts w:asciiTheme="majorHAnsi" w:hAnsiTheme="majorHAnsi"/>
          <w:color w:val="auto"/>
          <w:szCs w:val="16"/>
        </w:rPr>
        <w:t>. Memo from St. Thomas University Human Rights Institute to CEJIL dated December 1, 1998, annexed to the communication of the petitioners dated December 10, 1998.</w:t>
      </w:r>
    </w:p>
  </w:footnote>
  <w:footnote w:id="63">
    <w:p w14:paraId="580EFA3C" w14:textId="0E0587E7"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Annex </w:t>
      </w:r>
      <w:r>
        <w:rPr>
          <w:rFonts w:asciiTheme="majorHAnsi" w:hAnsiTheme="majorHAnsi"/>
          <w:color w:val="auto"/>
          <w:szCs w:val="16"/>
        </w:rPr>
        <w:t>8</w:t>
      </w:r>
      <w:r w:rsidRPr="00BC213E">
        <w:rPr>
          <w:rFonts w:asciiTheme="majorHAnsi" w:hAnsiTheme="majorHAnsi"/>
          <w:color w:val="auto"/>
          <w:szCs w:val="16"/>
        </w:rPr>
        <w:t xml:space="preserve">. Interviews with persons in Miami, formerly in Bahamas at the Little Nutritional Center and St. Thomas University, Miami, Florida on 17-18 November 1998 – </w:t>
      </w:r>
      <w:proofErr w:type="spellStart"/>
      <w:r w:rsidRPr="00BC213E">
        <w:rPr>
          <w:rFonts w:asciiTheme="majorHAnsi" w:hAnsiTheme="majorHAnsi"/>
          <w:color w:val="auto"/>
          <w:szCs w:val="16"/>
        </w:rPr>
        <w:t>Magalis</w:t>
      </w:r>
      <w:proofErr w:type="spellEnd"/>
      <w:r w:rsidRPr="00BC213E">
        <w:rPr>
          <w:rFonts w:asciiTheme="majorHAnsi" w:hAnsiTheme="majorHAnsi"/>
          <w:color w:val="auto"/>
          <w:szCs w:val="16"/>
        </w:rPr>
        <w:t xml:space="preserve"> Montero and Angel Gonzalez, annexed to the communication of the petitioners dated December 10, 1998.</w:t>
      </w:r>
    </w:p>
  </w:footnote>
  <w:footnote w:id="64">
    <w:p w14:paraId="51A2C3A3" w14:textId="515A201B"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Annex </w:t>
      </w:r>
      <w:r>
        <w:rPr>
          <w:rFonts w:asciiTheme="majorHAnsi" w:hAnsiTheme="majorHAnsi"/>
          <w:color w:val="auto"/>
          <w:szCs w:val="16"/>
        </w:rPr>
        <w:t>14</w:t>
      </w:r>
      <w:r w:rsidRPr="00BC213E">
        <w:rPr>
          <w:rFonts w:asciiTheme="majorHAnsi" w:hAnsiTheme="majorHAnsi"/>
          <w:color w:val="auto"/>
          <w:szCs w:val="16"/>
        </w:rPr>
        <w:t>. Open Society Institute Interviewer Sheet – Alberto Medina Fuentes, April 28, 1998, annexed to revised petition of May 15, 1998.</w:t>
      </w:r>
    </w:p>
  </w:footnote>
  <w:footnote w:id="65">
    <w:p w14:paraId="6C381702" w14:textId="77E306BF"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Pr>
          <w:rFonts w:asciiTheme="majorHAnsi" w:hAnsiTheme="majorHAnsi"/>
          <w:color w:val="auto"/>
          <w:szCs w:val="16"/>
        </w:rPr>
        <w:t xml:space="preserve"> Annex 15</w:t>
      </w:r>
      <w:r w:rsidRPr="00BC213E">
        <w:rPr>
          <w:rFonts w:asciiTheme="majorHAnsi" w:hAnsiTheme="majorHAnsi"/>
          <w:color w:val="auto"/>
          <w:szCs w:val="16"/>
        </w:rPr>
        <w:t xml:space="preserve">. Open Society Institute Interviewer Sheet – Jose </w:t>
      </w:r>
      <w:proofErr w:type="spellStart"/>
      <w:r w:rsidRPr="00BC213E">
        <w:rPr>
          <w:rFonts w:asciiTheme="majorHAnsi" w:hAnsiTheme="majorHAnsi"/>
          <w:color w:val="auto"/>
          <w:szCs w:val="16"/>
        </w:rPr>
        <w:t>Raol</w:t>
      </w:r>
      <w:proofErr w:type="spellEnd"/>
      <w:r w:rsidRPr="00BC213E">
        <w:rPr>
          <w:rFonts w:asciiTheme="majorHAnsi" w:hAnsiTheme="majorHAnsi"/>
          <w:color w:val="auto"/>
          <w:szCs w:val="16"/>
        </w:rPr>
        <w:t xml:space="preserve"> Gonzalez Gomez, April 28, 1998, annexed to revised petition of May 15, 1998.</w:t>
      </w:r>
    </w:p>
  </w:footnote>
  <w:footnote w:id="66">
    <w:p w14:paraId="3ED79CEA" w14:textId="380EC147"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Pr>
          <w:rFonts w:asciiTheme="majorHAnsi" w:hAnsiTheme="majorHAnsi"/>
          <w:color w:val="auto"/>
          <w:szCs w:val="16"/>
        </w:rPr>
        <w:t xml:space="preserve"> Annex 8</w:t>
      </w:r>
      <w:r w:rsidRPr="00BC213E">
        <w:rPr>
          <w:rFonts w:asciiTheme="majorHAnsi" w:hAnsiTheme="majorHAnsi"/>
          <w:color w:val="auto"/>
          <w:szCs w:val="16"/>
        </w:rPr>
        <w:t xml:space="preserve">. Interviews with persons in Miami, formerly in Bahamas at the Little Nutritional Center and St. Thomas University, Miami, Florida on 17-18 November 1998 – </w:t>
      </w:r>
      <w:proofErr w:type="spellStart"/>
      <w:r w:rsidRPr="00BC213E">
        <w:rPr>
          <w:rFonts w:asciiTheme="majorHAnsi" w:hAnsiTheme="majorHAnsi"/>
          <w:color w:val="auto"/>
          <w:szCs w:val="16"/>
        </w:rPr>
        <w:t>Magalis</w:t>
      </w:r>
      <w:proofErr w:type="spellEnd"/>
      <w:r w:rsidRPr="00BC213E">
        <w:rPr>
          <w:rFonts w:asciiTheme="majorHAnsi" w:hAnsiTheme="majorHAnsi"/>
          <w:color w:val="auto"/>
          <w:szCs w:val="16"/>
        </w:rPr>
        <w:t xml:space="preserve"> Montero and Angel Gonzalez, annexed to the communication of the petitioners dated December 10, 1998.</w:t>
      </w:r>
    </w:p>
  </w:footnote>
  <w:footnote w:id="67">
    <w:p w14:paraId="70AB9A24" w14:textId="52405936"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Annex </w:t>
      </w:r>
      <w:r>
        <w:rPr>
          <w:rFonts w:asciiTheme="majorHAnsi" w:hAnsiTheme="majorHAnsi"/>
          <w:color w:val="auto"/>
          <w:szCs w:val="16"/>
        </w:rPr>
        <w:t>8</w:t>
      </w:r>
      <w:r w:rsidRPr="00BC213E">
        <w:rPr>
          <w:rFonts w:asciiTheme="majorHAnsi" w:hAnsiTheme="majorHAnsi"/>
          <w:color w:val="auto"/>
          <w:szCs w:val="16"/>
        </w:rPr>
        <w:t xml:space="preserve">. Interviews with persons in Miami, formerly in Bahamas at the Little Nutritional Center and St. Thomas University, Miami, Florida on 17-18 November 1998 – </w:t>
      </w:r>
      <w:proofErr w:type="spellStart"/>
      <w:r w:rsidRPr="00BC213E">
        <w:rPr>
          <w:rFonts w:asciiTheme="majorHAnsi" w:hAnsiTheme="majorHAnsi"/>
          <w:color w:val="auto"/>
          <w:szCs w:val="16"/>
        </w:rPr>
        <w:t>Magalis</w:t>
      </w:r>
      <w:proofErr w:type="spellEnd"/>
      <w:r w:rsidRPr="00BC213E">
        <w:rPr>
          <w:rFonts w:asciiTheme="majorHAnsi" w:hAnsiTheme="majorHAnsi"/>
          <w:color w:val="auto"/>
          <w:szCs w:val="16"/>
        </w:rPr>
        <w:t xml:space="preserve"> Montero and Angel Gonzalez, and Yuri Delgado, annexed to the communication of the petitioners dated December 10, 1998.</w:t>
      </w:r>
    </w:p>
  </w:footnote>
  <w:footnote w:id="68">
    <w:p w14:paraId="02454ED1" w14:textId="21966A24"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Annex </w:t>
      </w:r>
      <w:r>
        <w:rPr>
          <w:rFonts w:asciiTheme="majorHAnsi" w:hAnsiTheme="majorHAnsi"/>
          <w:color w:val="auto"/>
          <w:szCs w:val="16"/>
        </w:rPr>
        <w:t>8</w:t>
      </w:r>
      <w:r w:rsidRPr="00BC213E">
        <w:rPr>
          <w:rFonts w:asciiTheme="majorHAnsi" w:hAnsiTheme="majorHAnsi"/>
          <w:color w:val="auto"/>
          <w:szCs w:val="16"/>
        </w:rPr>
        <w:t xml:space="preserve">. Interviews with persons in Miami, formerly in Bahamas at the Little Nutritional Center and St. Thomas University, Miami, Florida on 17-18 November 1998 – </w:t>
      </w:r>
      <w:proofErr w:type="spellStart"/>
      <w:r w:rsidRPr="00BC213E">
        <w:rPr>
          <w:rFonts w:asciiTheme="majorHAnsi" w:hAnsiTheme="majorHAnsi"/>
          <w:color w:val="auto"/>
          <w:szCs w:val="16"/>
        </w:rPr>
        <w:t>Magalis</w:t>
      </w:r>
      <w:proofErr w:type="spellEnd"/>
      <w:r w:rsidRPr="00BC213E">
        <w:rPr>
          <w:rFonts w:asciiTheme="majorHAnsi" w:hAnsiTheme="majorHAnsi"/>
          <w:color w:val="auto"/>
          <w:szCs w:val="16"/>
        </w:rPr>
        <w:t xml:space="preserve"> Montero and Angel Gonzalez, annexed to the communication of the petitioners dated December 10, 1998.</w:t>
      </w:r>
    </w:p>
  </w:footnote>
  <w:footnote w:id="69">
    <w:p w14:paraId="37ED6598" w14:textId="6F2B7EA3"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Annex </w:t>
      </w:r>
      <w:r>
        <w:rPr>
          <w:rFonts w:asciiTheme="majorHAnsi" w:hAnsiTheme="majorHAnsi"/>
          <w:color w:val="auto"/>
          <w:szCs w:val="16"/>
        </w:rPr>
        <w:t>16</w:t>
      </w:r>
      <w:r w:rsidRPr="00BC213E">
        <w:rPr>
          <w:rFonts w:asciiTheme="majorHAnsi" w:hAnsiTheme="majorHAnsi"/>
          <w:color w:val="auto"/>
          <w:szCs w:val="16"/>
        </w:rPr>
        <w:t xml:space="preserve">. Open Society Institute Interviewer Sheet – Tania </w:t>
      </w:r>
      <w:proofErr w:type="spellStart"/>
      <w:r w:rsidRPr="00BC213E">
        <w:rPr>
          <w:rFonts w:asciiTheme="majorHAnsi" w:hAnsiTheme="majorHAnsi"/>
          <w:color w:val="auto"/>
          <w:szCs w:val="16"/>
        </w:rPr>
        <w:t>Varona</w:t>
      </w:r>
      <w:proofErr w:type="spellEnd"/>
      <w:r w:rsidRPr="00BC213E">
        <w:rPr>
          <w:rFonts w:asciiTheme="majorHAnsi" w:hAnsiTheme="majorHAnsi"/>
          <w:color w:val="auto"/>
          <w:szCs w:val="16"/>
        </w:rPr>
        <w:t xml:space="preserve"> </w:t>
      </w:r>
      <w:proofErr w:type="spellStart"/>
      <w:r w:rsidRPr="00BC213E">
        <w:rPr>
          <w:rFonts w:asciiTheme="majorHAnsi" w:hAnsiTheme="majorHAnsi"/>
          <w:color w:val="auto"/>
          <w:szCs w:val="16"/>
        </w:rPr>
        <w:t>Donet</w:t>
      </w:r>
      <w:proofErr w:type="spellEnd"/>
      <w:r w:rsidRPr="00BC213E">
        <w:rPr>
          <w:rFonts w:asciiTheme="majorHAnsi" w:hAnsiTheme="majorHAnsi"/>
          <w:color w:val="auto"/>
          <w:szCs w:val="16"/>
        </w:rPr>
        <w:t>, April 28, 1998, annexed to revised petition of May 15, 1998.</w:t>
      </w:r>
    </w:p>
  </w:footnote>
  <w:footnote w:id="70">
    <w:p w14:paraId="295F3E81" w14:textId="6D6B5D7A"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Annex </w:t>
      </w:r>
      <w:r>
        <w:rPr>
          <w:rFonts w:asciiTheme="majorHAnsi" w:hAnsiTheme="majorHAnsi"/>
          <w:color w:val="auto"/>
          <w:szCs w:val="16"/>
        </w:rPr>
        <w:t>8</w:t>
      </w:r>
      <w:r w:rsidRPr="00BC213E">
        <w:rPr>
          <w:rFonts w:asciiTheme="majorHAnsi" w:hAnsiTheme="majorHAnsi"/>
          <w:color w:val="auto"/>
          <w:szCs w:val="16"/>
        </w:rPr>
        <w:t xml:space="preserve">. Interviews with persons in Miami, formerly in Bahamas at the Little Nutritional Center and St. Thomas University, Miami, Florida on 17-18 November 1998 – </w:t>
      </w:r>
      <w:proofErr w:type="spellStart"/>
      <w:r w:rsidRPr="00BC213E">
        <w:rPr>
          <w:rFonts w:asciiTheme="majorHAnsi" w:hAnsiTheme="majorHAnsi"/>
          <w:color w:val="auto"/>
          <w:szCs w:val="16"/>
        </w:rPr>
        <w:t>Magalis</w:t>
      </w:r>
      <w:proofErr w:type="spellEnd"/>
      <w:r w:rsidRPr="00BC213E">
        <w:rPr>
          <w:rFonts w:asciiTheme="majorHAnsi" w:hAnsiTheme="majorHAnsi"/>
          <w:color w:val="auto"/>
          <w:szCs w:val="16"/>
        </w:rPr>
        <w:t xml:space="preserve"> Montero and Angel Gonzalez, and Yuri Delgado, annexed to the communication of the petitioners dated December 10, 1998.</w:t>
      </w:r>
    </w:p>
  </w:footnote>
  <w:footnote w:id="71">
    <w:p w14:paraId="45EDB3E1" w14:textId="6A75D4E7"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Annex </w:t>
      </w:r>
      <w:r>
        <w:rPr>
          <w:rFonts w:asciiTheme="majorHAnsi" w:hAnsiTheme="majorHAnsi"/>
          <w:color w:val="auto"/>
          <w:szCs w:val="16"/>
        </w:rPr>
        <w:t>17</w:t>
      </w:r>
      <w:r w:rsidRPr="00BC213E">
        <w:rPr>
          <w:rFonts w:asciiTheme="majorHAnsi" w:hAnsiTheme="majorHAnsi"/>
          <w:color w:val="auto"/>
          <w:szCs w:val="16"/>
        </w:rPr>
        <w:t xml:space="preserve">. Open Society Institute Interviewer Sheet – </w:t>
      </w:r>
      <w:proofErr w:type="spellStart"/>
      <w:r w:rsidRPr="00BC213E">
        <w:rPr>
          <w:rFonts w:asciiTheme="majorHAnsi" w:hAnsiTheme="majorHAnsi"/>
          <w:color w:val="auto"/>
          <w:szCs w:val="16"/>
        </w:rPr>
        <w:t>Zoraya</w:t>
      </w:r>
      <w:proofErr w:type="spellEnd"/>
      <w:r w:rsidRPr="00BC213E">
        <w:rPr>
          <w:rFonts w:asciiTheme="majorHAnsi" w:hAnsiTheme="majorHAnsi"/>
          <w:color w:val="auto"/>
          <w:szCs w:val="16"/>
        </w:rPr>
        <w:t xml:space="preserve"> </w:t>
      </w:r>
      <w:proofErr w:type="spellStart"/>
      <w:r w:rsidRPr="00BC213E">
        <w:rPr>
          <w:rFonts w:asciiTheme="majorHAnsi" w:hAnsiTheme="majorHAnsi"/>
          <w:color w:val="auto"/>
          <w:szCs w:val="16"/>
        </w:rPr>
        <w:t>Ferral</w:t>
      </w:r>
      <w:proofErr w:type="spellEnd"/>
      <w:r w:rsidRPr="00BC213E">
        <w:rPr>
          <w:rFonts w:asciiTheme="majorHAnsi" w:hAnsiTheme="majorHAnsi"/>
          <w:color w:val="auto"/>
          <w:szCs w:val="16"/>
        </w:rPr>
        <w:t xml:space="preserve"> Toledano, April 28, 1998, annexed to revised petition of May 15, 1998;</w:t>
      </w:r>
      <w:r>
        <w:rPr>
          <w:rFonts w:asciiTheme="majorHAnsi" w:hAnsiTheme="majorHAnsi"/>
          <w:color w:val="auto"/>
          <w:szCs w:val="16"/>
        </w:rPr>
        <w:t xml:space="preserve"> Annex 18.</w:t>
      </w:r>
      <w:r w:rsidRPr="00BC213E">
        <w:rPr>
          <w:rFonts w:asciiTheme="majorHAnsi" w:hAnsiTheme="majorHAnsi"/>
          <w:color w:val="auto"/>
          <w:szCs w:val="16"/>
        </w:rPr>
        <w:t xml:space="preserve"> Open Society Institute Interviewer Sheet – Tania </w:t>
      </w:r>
      <w:proofErr w:type="spellStart"/>
      <w:r w:rsidRPr="00BC213E">
        <w:rPr>
          <w:rFonts w:asciiTheme="majorHAnsi" w:hAnsiTheme="majorHAnsi"/>
          <w:color w:val="auto"/>
          <w:szCs w:val="16"/>
        </w:rPr>
        <w:t>Varona</w:t>
      </w:r>
      <w:proofErr w:type="spellEnd"/>
      <w:r w:rsidRPr="00BC213E">
        <w:rPr>
          <w:rFonts w:asciiTheme="majorHAnsi" w:hAnsiTheme="majorHAnsi"/>
          <w:color w:val="auto"/>
          <w:szCs w:val="16"/>
        </w:rPr>
        <w:t xml:space="preserve"> </w:t>
      </w:r>
      <w:proofErr w:type="spellStart"/>
      <w:r w:rsidRPr="00BC213E">
        <w:rPr>
          <w:rFonts w:asciiTheme="majorHAnsi" w:hAnsiTheme="majorHAnsi"/>
          <w:color w:val="auto"/>
          <w:szCs w:val="16"/>
        </w:rPr>
        <w:t>Donet</w:t>
      </w:r>
      <w:proofErr w:type="spellEnd"/>
      <w:r w:rsidRPr="00BC213E">
        <w:rPr>
          <w:rFonts w:asciiTheme="majorHAnsi" w:hAnsiTheme="majorHAnsi"/>
          <w:color w:val="auto"/>
          <w:szCs w:val="16"/>
        </w:rPr>
        <w:t xml:space="preserve">, April 28, 1998, annexed to revised petition of May 15, 1998 ; </w:t>
      </w:r>
      <w:r>
        <w:rPr>
          <w:rFonts w:asciiTheme="majorHAnsi" w:hAnsiTheme="majorHAnsi"/>
          <w:color w:val="auto"/>
          <w:szCs w:val="16"/>
        </w:rPr>
        <w:t>Annex 19.</w:t>
      </w:r>
      <w:r w:rsidRPr="00BC213E">
        <w:rPr>
          <w:rFonts w:asciiTheme="majorHAnsi" w:hAnsiTheme="majorHAnsi"/>
          <w:color w:val="auto"/>
          <w:szCs w:val="16"/>
        </w:rPr>
        <w:t xml:space="preserve"> Open Society Institute Interviewer Sheet – Alberto Medina Fuentes, April 28, 1998, annexed to revised petition of May 15, 1998.</w:t>
      </w:r>
    </w:p>
  </w:footnote>
  <w:footnote w:id="72">
    <w:p w14:paraId="4B1A907C" w14:textId="3A56ACF7"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State reply dated September 19, 2000.</w:t>
      </w:r>
    </w:p>
  </w:footnote>
  <w:footnote w:id="73">
    <w:p w14:paraId="5525C567" w14:textId="5F9646AF"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Annex </w:t>
      </w:r>
      <w:r>
        <w:rPr>
          <w:rFonts w:asciiTheme="majorHAnsi" w:hAnsiTheme="majorHAnsi"/>
          <w:color w:val="auto"/>
          <w:szCs w:val="16"/>
        </w:rPr>
        <w:t>20</w:t>
      </w:r>
      <w:r w:rsidRPr="00BC213E">
        <w:rPr>
          <w:rFonts w:asciiTheme="majorHAnsi" w:hAnsiTheme="majorHAnsi"/>
          <w:color w:val="auto"/>
          <w:szCs w:val="16"/>
        </w:rPr>
        <w:t xml:space="preserve">. Draft Act [or Regulation] on Refugee Status and Asylum, annexed to State reply September 19, 2000. This Act establishes a Refugee and Asylum Committee, outlines the determination of refugee status and granting of asylum criteria and procedures and the processing of applications, and identifies the rights and duties of asylum-seekers and asylees, the termination of asylum criteria and administrative and judicial recourses. </w:t>
      </w:r>
    </w:p>
  </w:footnote>
  <w:footnote w:id="74">
    <w:p w14:paraId="2512F0E3" w14:textId="48BEE157"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Annex </w:t>
      </w:r>
      <w:r>
        <w:rPr>
          <w:rFonts w:asciiTheme="majorHAnsi" w:hAnsiTheme="majorHAnsi"/>
          <w:color w:val="auto"/>
          <w:szCs w:val="16"/>
        </w:rPr>
        <w:t>21</w:t>
      </w:r>
      <w:r w:rsidRPr="00BC213E">
        <w:rPr>
          <w:rFonts w:asciiTheme="majorHAnsi" w:hAnsiTheme="majorHAnsi"/>
          <w:color w:val="auto"/>
          <w:szCs w:val="16"/>
        </w:rPr>
        <w:t>. Bahamas Immigration Department, Cuban Profile Form (Spanish), annexed to State reply September 19, 2000.</w:t>
      </w:r>
    </w:p>
  </w:footnote>
  <w:footnote w:id="75">
    <w:p w14:paraId="62B00097" w14:textId="709A420F"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Annex </w:t>
      </w:r>
      <w:r>
        <w:rPr>
          <w:rFonts w:asciiTheme="majorHAnsi" w:hAnsiTheme="majorHAnsi"/>
          <w:color w:val="auto"/>
          <w:szCs w:val="16"/>
        </w:rPr>
        <w:t>22</w:t>
      </w:r>
      <w:r w:rsidRPr="00BC213E">
        <w:rPr>
          <w:rFonts w:asciiTheme="majorHAnsi" w:hAnsiTheme="majorHAnsi"/>
          <w:color w:val="auto"/>
          <w:szCs w:val="16"/>
        </w:rPr>
        <w:t>. Prescreening Form (English) – Personal History Form, annexed to State reply dated September 19, 2000; Annex</w:t>
      </w:r>
      <w:r>
        <w:rPr>
          <w:rFonts w:asciiTheme="majorHAnsi" w:hAnsiTheme="majorHAnsi"/>
          <w:color w:val="auto"/>
          <w:szCs w:val="16"/>
        </w:rPr>
        <w:t xml:space="preserve"> 23</w:t>
      </w:r>
      <w:r w:rsidRPr="00BC213E">
        <w:rPr>
          <w:rFonts w:asciiTheme="majorHAnsi" w:hAnsiTheme="majorHAnsi"/>
          <w:color w:val="auto"/>
          <w:szCs w:val="16"/>
        </w:rPr>
        <w:t xml:space="preserve">. Prescreening Form (Spanish) – </w:t>
      </w:r>
      <w:proofErr w:type="spellStart"/>
      <w:r w:rsidRPr="00BC213E">
        <w:rPr>
          <w:rFonts w:asciiTheme="majorHAnsi" w:hAnsiTheme="majorHAnsi"/>
          <w:color w:val="auto"/>
          <w:szCs w:val="16"/>
        </w:rPr>
        <w:t>Formulario</w:t>
      </w:r>
      <w:proofErr w:type="spellEnd"/>
      <w:r w:rsidRPr="00BC213E">
        <w:rPr>
          <w:rFonts w:asciiTheme="majorHAnsi" w:hAnsiTheme="majorHAnsi"/>
          <w:color w:val="auto"/>
          <w:szCs w:val="16"/>
        </w:rPr>
        <w:t xml:space="preserve"> de </w:t>
      </w:r>
      <w:proofErr w:type="spellStart"/>
      <w:r w:rsidRPr="00BC213E">
        <w:rPr>
          <w:rFonts w:asciiTheme="majorHAnsi" w:hAnsiTheme="majorHAnsi"/>
          <w:color w:val="auto"/>
          <w:szCs w:val="16"/>
        </w:rPr>
        <w:t>Información</w:t>
      </w:r>
      <w:proofErr w:type="spellEnd"/>
      <w:r w:rsidRPr="00BC213E">
        <w:rPr>
          <w:rFonts w:asciiTheme="majorHAnsi" w:hAnsiTheme="majorHAnsi"/>
          <w:color w:val="auto"/>
          <w:szCs w:val="16"/>
        </w:rPr>
        <w:t xml:space="preserve"> Personal, annexed to State reply dated September 19, 2000; Annex </w:t>
      </w:r>
      <w:r>
        <w:rPr>
          <w:rFonts w:asciiTheme="majorHAnsi" w:hAnsiTheme="majorHAnsi"/>
          <w:color w:val="auto"/>
          <w:szCs w:val="16"/>
        </w:rPr>
        <w:t>24</w:t>
      </w:r>
      <w:r w:rsidRPr="00BC213E">
        <w:rPr>
          <w:rFonts w:asciiTheme="majorHAnsi" w:hAnsiTheme="majorHAnsi"/>
          <w:color w:val="auto"/>
          <w:szCs w:val="16"/>
        </w:rPr>
        <w:t xml:space="preserve">. Prescreening Form (French) – </w:t>
      </w:r>
      <w:proofErr w:type="spellStart"/>
      <w:r w:rsidRPr="00BC213E">
        <w:rPr>
          <w:rFonts w:asciiTheme="majorHAnsi" w:hAnsiTheme="majorHAnsi"/>
          <w:color w:val="auto"/>
          <w:szCs w:val="16"/>
        </w:rPr>
        <w:t>Formulaire</w:t>
      </w:r>
      <w:proofErr w:type="spellEnd"/>
      <w:r w:rsidRPr="00BC213E">
        <w:rPr>
          <w:rFonts w:asciiTheme="majorHAnsi" w:hAnsiTheme="majorHAnsi"/>
          <w:color w:val="auto"/>
          <w:szCs w:val="16"/>
        </w:rPr>
        <w:t xml:space="preserve"> de </w:t>
      </w:r>
      <w:proofErr w:type="spellStart"/>
      <w:r w:rsidRPr="00BC213E">
        <w:rPr>
          <w:rFonts w:asciiTheme="majorHAnsi" w:hAnsiTheme="majorHAnsi"/>
          <w:color w:val="auto"/>
          <w:szCs w:val="16"/>
        </w:rPr>
        <w:t>Renseignements</w:t>
      </w:r>
      <w:proofErr w:type="spellEnd"/>
      <w:r w:rsidRPr="00BC213E">
        <w:rPr>
          <w:rFonts w:asciiTheme="majorHAnsi" w:hAnsiTheme="majorHAnsi"/>
          <w:color w:val="auto"/>
          <w:szCs w:val="16"/>
        </w:rPr>
        <w:t xml:space="preserve"> </w:t>
      </w:r>
      <w:proofErr w:type="spellStart"/>
      <w:r w:rsidRPr="00BC213E">
        <w:rPr>
          <w:rFonts w:asciiTheme="majorHAnsi" w:hAnsiTheme="majorHAnsi"/>
          <w:color w:val="auto"/>
          <w:szCs w:val="16"/>
        </w:rPr>
        <w:t>Personnels</w:t>
      </w:r>
      <w:proofErr w:type="spellEnd"/>
      <w:r w:rsidRPr="00BC213E">
        <w:rPr>
          <w:rFonts w:asciiTheme="majorHAnsi" w:hAnsiTheme="majorHAnsi"/>
          <w:color w:val="auto"/>
          <w:szCs w:val="16"/>
        </w:rPr>
        <w:t xml:space="preserve">, annexed to State reply dated September 19, 2000; Annex </w:t>
      </w:r>
      <w:r>
        <w:rPr>
          <w:rFonts w:asciiTheme="majorHAnsi" w:hAnsiTheme="majorHAnsi"/>
          <w:color w:val="auto"/>
          <w:szCs w:val="16"/>
        </w:rPr>
        <w:t>25</w:t>
      </w:r>
      <w:r w:rsidRPr="00BC213E">
        <w:rPr>
          <w:rFonts w:asciiTheme="majorHAnsi" w:hAnsiTheme="majorHAnsi"/>
          <w:color w:val="auto"/>
          <w:szCs w:val="16"/>
        </w:rPr>
        <w:t xml:space="preserve">. Prescreening Form (Creole) – </w:t>
      </w:r>
      <w:proofErr w:type="spellStart"/>
      <w:r w:rsidRPr="00BC213E">
        <w:rPr>
          <w:rFonts w:asciiTheme="majorHAnsi" w:hAnsiTheme="majorHAnsi"/>
          <w:color w:val="auto"/>
          <w:szCs w:val="16"/>
        </w:rPr>
        <w:t>Fomile</w:t>
      </w:r>
      <w:proofErr w:type="spellEnd"/>
      <w:r w:rsidRPr="00BC213E">
        <w:rPr>
          <w:rFonts w:asciiTheme="majorHAnsi" w:hAnsiTheme="majorHAnsi"/>
          <w:color w:val="auto"/>
          <w:szCs w:val="16"/>
        </w:rPr>
        <w:t xml:space="preserve"> </w:t>
      </w:r>
      <w:proofErr w:type="spellStart"/>
      <w:r w:rsidRPr="00BC213E">
        <w:rPr>
          <w:rFonts w:asciiTheme="majorHAnsi" w:hAnsiTheme="majorHAnsi"/>
          <w:color w:val="auto"/>
          <w:szCs w:val="16"/>
        </w:rPr>
        <w:t>Enfomasyon</w:t>
      </w:r>
      <w:proofErr w:type="spellEnd"/>
      <w:r w:rsidRPr="00BC213E">
        <w:rPr>
          <w:rFonts w:asciiTheme="majorHAnsi" w:hAnsiTheme="majorHAnsi"/>
          <w:color w:val="auto"/>
          <w:szCs w:val="16"/>
        </w:rPr>
        <w:t xml:space="preserve"> </w:t>
      </w:r>
      <w:proofErr w:type="spellStart"/>
      <w:r w:rsidRPr="00BC213E">
        <w:rPr>
          <w:rFonts w:asciiTheme="majorHAnsi" w:hAnsiTheme="majorHAnsi"/>
          <w:color w:val="auto"/>
          <w:szCs w:val="16"/>
        </w:rPr>
        <w:t>Personel</w:t>
      </w:r>
      <w:proofErr w:type="spellEnd"/>
      <w:r w:rsidRPr="00BC213E">
        <w:rPr>
          <w:rFonts w:asciiTheme="majorHAnsi" w:hAnsiTheme="majorHAnsi"/>
          <w:color w:val="auto"/>
          <w:szCs w:val="16"/>
        </w:rPr>
        <w:t>, annexed to State reply dated September 19, 2000.</w:t>
      </w:r>
    </w:p>
  </w:footnote>
  <w:footnote w:id="76">
    <w:p w14:paraId="2A7BAC20" w14:textId="456ABC9C" w:rsidR="003B5615" w:rsidRPr="00BC213E" w:rsidRDefault="003B5615" w:rsidP="00DE251A">
      <w:pPr>
        <w:pStyle w:val="FootnoteText"/>
        <w:jc w:val="both"/>
        <w:rPr>
          <w:rFonts w:asciiTheme="majorHAnsi" w:hAnsiTheme="majorHAnsi"/>
          <w:b/>
          <w:color w:val="auto"/>
          <w:szCs w:val="16"/>
          <w:u w:val="single"/>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Annex </w:t>
      </w:r>
      <w:r>
        <w:rPr>
          <w:rFonts w:asciiTheme="majorHAnsi" w:hAnsiTheme="majorHAnsi"/>
          <w:color w:val="auto"/>
          <w:szCs w:val="16"/>
        </w:rPr>
        <w:t>26</w:t>
      </w:r>
      <w:r w:rsidRPr="00BC213E">
        <w:rPr>
          <w:rFonts w:asciiTheme="majorHAnsi" w:hAnsiTheme="majorHAnsi"/>
          <w:color w:val="auto"/>
          <w:szCs w:val="16"/>
        </w:rPr>
        <w:t xml:space="preserve">. Questions for the refugees, annexed to State reply dated September 19, 2000; Annex </w:t>
      </w:r>
      <w:r>
        <w:rPr>
          <w:rFonts w:asciiTheme="majorHAnsi" w:hAnsiTheme="majorHAnsi"/>
          <w:color w:val="auto"/>
          <w:szCs w:val="16"/>
        </w:rPr>
        <w:t>27</w:t>
      </w:r>
      <w:r w:rsidRPr="00BC213E">
        <w:rPr>
          <w:rFonts w:asciiTheme="majorHAnsi" w:hAnsiTheme="majorHAnsi"/>
          <w:color w:val="auto"/>
          <w:szCs w:val="16"/>
        </w:rPr>
        <w:t xml:space="preserve">. </w:t>
      </w:r>
      <w:proofErr w:type="spellStart"/>
      <w:r w:rsidRPr="00BC213E">
        <w:rPr>
          <w:rFonts w:asciiTheme="majorHAnsi" w:hAnsiTheme="majorHAnsi"/>
          <w:color w:val="auto"/>
          <w:szCs w:val="16"/>
        </w:rPr>
        <w:t>Preguntas</w:t>
      </w:r>
      <w:proofErr w:type="spellEnd"/>
      <w:r w:rsidRPr="00BC213E">
        <w:rPr>
          <w:rFonts w:asciiTheme="majorHAnsi" w:hAnsiTheme="majorHAnsi"/>
          <w:color w:val="auto"/>
          <w:szCs w:val="16"/>
        </w:rPr>
        <w:t xml:space="preserve"> para </w:t>
      </w:r>
      <w:proofErr w:type="spellStart"/>
      <w:r w:rsidRPr="00BC213E">
        <w:rPr>
          <w:rFonts w:asciiTheme="majorHAnsi" w:hAnsiTheme="majorHAnsi"/>
          <w:color w:val="auto"/>
          <w:szCs w:val="16"/>
        </w:rPr>
        <w:t>los</w:t>
      </w:r>
      <w:proofErr w:type="spellEnd"/>
      <w:r w:rsidRPr="00BC213E">
        <w:rPr>
          <w:rFonts w:asciiTheme="majorHAnsi" w:hAnsiTheme="majorHAnsi"/>
          <w:color w:val="auto"/>
          <w:szCs w:val="16"/>
        </w:rPr>
        <w:t xml:space="preserve"> </w:t>
      </w:r>
      <w:proofErr w:type="spellStart"/>
      <w:r w:rsidRPr="00BC213E">
        <w:rPr>
          <w:rFonts w:asciiTheme="majorHAnsi" w:hAnsiTheme="majorHAnsi"/>
          <w:color w:val="auto"/>
          <w:szCs w:val="16"/>
        </w:rPr>
        <w:t>refugiados</w:t>
      </w:r>
      <w:proofErr w:type="spellEnd"/>
      <w:r w:rsidRPr="00BC213E">
        <w:rPr>
          <w:rFonts w:asciiTheme="majorHAnsi" w:hAnsiTheme="majorHAnsi"/>
          <w:color w:val="auto"/>
          <w:szCs w:val="16"/>
        </w:rPr>
        <w:t xml:space="preserve">, annexed to State reply dated September 19, 2000; Annex </w:t>
      </w:r>
      <w:r>
        <w:rPr>
          <w:rFonts w:asciiTheme="majorHAnsi" w:hAnsiTheme="majorHAnsi"/>
          <w:color w:val="auto"/>
          <w:szCs w:val="16"/>
        </w:rPr>
        <w:t>28</w:t>
      </w:r>
      <w:r w:rsidRPr="00BC213E">
        <w:rPr>
          <w:rFonts w:asciiTheme="majorHAnsi" w:hAnsiTheme="majorHAnsi"/>
          <w:color w:val="auto"/>
          <w:szCs w:val="16"/>
        </w:rPr>
        <w:t xml:space="preserve">. </w:t>
      </w:r>
      <w:proofErr w:type="spellStart"/>
      <w:r w:rsidRPr="00BC213E">
        <w:rPr>
          <w:rFonts w:asciiTheme="majorHAnsi" w:hAnsiTheme="majorHAnsi"/>
          <w:color w:val="auto"/>
          <w:szCs w:val="16"/>
        </w:rPr>
        <w:t>Keksyon</w:t>
      </w:r>
      <w:proofErr w:type="spellEnd"/>
      <w:r w:rsidRPr="00BC213E">
        <w:rPr>
          <w:rFonts w:asciiTheme="majorHAnsi" w:hAnsiTheme="majorHAnsi"/>
          <w:color w:val="auto"/>
          <w:szCs w:val="16"/>
        </w:rPr>
        <w:t xml:space="preserve"> </w:t>
      </w:r>
      <w:proofErr w:type="spellStart"/>
      <w:r w:rsidRPr="00BC213E">
        <w:rPr>
          <w:rFonts w:asciiTheme="majorHAnsi" w:hAnsiTheme="majorHAnsi"/>
          <w:color w:val="auto"/>
          <w:szCs w:val="16"/>
        </w:rPr>
        <w:t>pou</w:t>
      </w:r>
      <w:proofErr w:type="spellEnd"/>
      <w:r w:rsidRPr="00BC213E">
        <w:rPr>
          <w:rFonts w:asciiTheme="majorHAnsi" w:hAnsiTheme="majorHAnsi"/>
          <w:color w:val="auto"/>
          <w:szCs w:val="16"/>
        </w:rPr>
        <w:t xml:space="preserve"> </w:t>
      </w:r>
      <w:proofErr w:type="spellStart"/>
      <w:r w:rsidRPr="00BC213E">
        <w:rPr>
          <w:rFonts w:asciiTheme="majorHAnsi" w:hAnsiTheme="majorHAnsi"/>
          <w:color w:val="auto"/>
          <w:szCs w:val="16"/>
        </w:rPr>
        <w:t>refijye</w:t>
      </w:r>
      <w:proofErr w:type="spellEnd"/>
      <w:r w:rsidRPr="00BC213E">
        <w:rPr>
          <w:rFonts w:asciiTheme="majorHAnsi" w:hAnsiTheme="majorHAnsi"/>
          <w:color w:val="auto"/>
          <w:szCs w:val="16"/>
        </w:rPr>
        <w:t xml:space="preserve"> </w:t>
      </w:r>
      <w:proofErr w:type="spellStart"/>
      <w:r w:rsidRPr="00BC213E">
        <w:rPr>
          <w:rFonts w:asciiTheme="majorHAnsi" w:hAnsiTheme="majorHAnsi"/>
          <w:color w:val="auto"/>
          <w:szCs w:val="16"/>
        </w:rPr>
        <w:t>yo</w:t>
      </w:r>
      <w:proofErr w:type="spellEnd"/>
      <w:r w:rsidRPr="00BC213E">
        <w:rPr>
          <w:rFonts w:asciiTheme="majorHAnsi" w:hAnsiTheme="majorHAnsi"/>
          <w:color w:val="auto"/>
          <w:szCs w:val="16"/>
        </w:rPr>
        <w:t>, annexed to State reply dated September 19, 2000.</w:t>
      </w:r>
    </w:p>
  </w:footnote>
  <w:footnote w:id="77">
    <w:p w14:paraId="65871E04" w14:textId="76F7DD60" w:rsidR="003B5615" w:rsidRPr="00CF3008" w:rsidRDefault="003B5615" w:rsidP="00DE251A">
      <w:pPr>
        <w:pStyle w:val="FootnoteText"/>
        <w:jc w:val="both"/>
        <w:rPr>
          <w:rFonts w:asciiTheme="majorHAnsi" w:hAnsiTheme="majorHAnsi"/>
          <w:b/>
          <w:color w:val="auto"/>
          <w:szCs w:val="16"/>
          <w:u w:val="single"/>
          <w:lang w:val="fr-CA"/>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Annex </w:t>
      </w:r>
      <w:r>
        <w:rPr>
          <w:rFonts w:asciiTheme="majorHAnsi" w:hAnsiTheme="majorHAnsi"/>
          <w:color w:val="auto"/>
          <w:szCs w:val="16"/>
        </w:rPr>
        <w:t>29</w:t>
      </w:r>
      <w:r w:rsidRPr="00BC213E">
        <w:rPr>
          <w:rFonts w:asciiTheme="majorHAnsi" w:hAnsiTheme="majorHAnsi"/>
          <w:color w:val="auto"/>
          <w:szCs w:val="16"/>
        </w:rPr>
        <w:t xml:space="preserve">. Questionnaire for the determination of refugee status, annexed to State reply dated September 19, 2000; Annex </w:t>
      </w:r>
      <w:r>
        <w:rPr>
          <w:rFonts w:asciiTheme="majorHAnsi" w:hAnsiTheme="majorHAnsi"/>
          <w:color w:val="auto"/>
          <w:szCs w:val="16"/>
        </w:rPr>
        <w:t>30</w:t>
      </w:r>
      <w:r w:rsidRPr="00BC213E">
        <w:rPr>
          <w:rFonts w:asciiTheme="majorHAnsi" w:hAnsiTheme="majorHAnsi"/>
          <w:color w:val="auto"/>
          <w:szCs w:val="16"/>
        </w:rPr>
        <w:t xml:space="preserve">. </w:t>
      </w:r>
      <w:r w:rsidRPr="004A4A8C">
        <w:rPr>
          <w:rFonts w:asciiTheme="majorHAnsi" w:hAnsiTheme="majorHAnsi"/>
          <w:color w:val="auto"/>
          <w:szCs w:val="16"/>
          <w:lang w:val="es-ES"/>
        </w:rPr>
        <w:t xml:space="preserve">Cuestionario para la determinación de la condición de refugiado, </w:t>
      </w:r>
      <w:proofErr w:type="spellStart"/>
      <w:r w:rsidRPr="004A4A8C">
        <w:rPr>
          <w:rFonts w:asciiTheme="majorHAnsi" w:hAnsiTheme="majorHAnsi"/>
          <w:color w:val="auto"/>
          <w:szCs w:val="16"/>
          <w:lang w:val="es-ES"/>
        </w:rPr>
        <w:t>annexed</w:t>
      </w:r>
      <w:proofErr w:type="spellEnd"/>
      <w:r w:rsidRPr="004A4A8C">
        <w:rPr>
          <w:rFonts w:asciiTheme="majorHAnsi" w:hAnsiTheme="majorHAnsi"/>
          <w:color w:val="auto"/>
          <w:szCs w:val="16"/>
          <w:lang w:val="es-ES"/>
        </w:rPr>
        <w:t xml:space="preserve"> </w:t>
      </w:r>
      <w:proofErr w:type="spellStart"/>
      <w:r w:rsidRPr="004A4A8C">
        <w:rPr>
          <w:rFonts w:asciiTheme="majorHAnsi" w:hAnsiTheme="majorHAnsi"/>
          <w:color w:val="auto"/>
          <w:szCs w:val="16"/>
          <w:lang w:val="es-ES"/>
        </w:rPr>
        <w:t>to</w:t>
      </w:r>
      <w:proofErr w:type="spellEnd"/>
      <w:r w:rsidRPr="004A4A8C">
        <w:rPr>
          <w:rFonts w:asciiTheme="majorHAnsi" w:hAnsiTheme="majorHAnsi"/>
          <w:color w:val="auto"/>
          <w:szCs w:val="16"/>
          <w:lang w:val="es-ES"/>
        </w:rPr>
        <w:t xml:space="preserve"> </w:t>
      </w:r>
      <w:proofErr w:type="spellStart"/>
      <w:r w:rsidRPr="004A4A8C">
        <w:rPr>
          <w:rFonts w:asciiTheme="majorHAnsi" w:hAnsiTheme="majorHAnsi"/>
          <w:color w:val="auto"/>
          <w:szCs w:val="16"/>
          <w:lang w:val="es-ES"/>
        </w:rPr>
        <w:t>State</w:t>
      </w:r>
      <w:proofErr w:type="spellEnd"/>
      <w:r w:rsidRPr="004A4A8C">
        <w:rPr>
          <w:rFonts w:asciiTheme="majorHAnsi" w:hAnsiTheme="majorHAnsi"/>
          <w:color w:val="auto"/>
          <w:szCs w:val="16"/>
          <w:lang w:val="es-ES"/>
        </w:rPr>
        <w:t xml:space="preserve"> </w:t>
      </w:r>
      <w:proofErr w:type="spellStart"/>
      <w:r w:rsidRPr="004A4A8C">
        <w:rPr>
          <w:rFonts w:asciiTheme="majorHAnsi" w:hAnsiTheme="majorHAnsi"/>
          <w:color w:val="auto"/>
          <w:szCs w:val="16"/>
          <w:lang w:val="es-ES"/>
        </w:rPr>
        <w:t>reply</w:t>
      </w:r>
      <w:proofErr w:type="spellEnd"/>
      <w:r w:rsidRPr="004A4A8C">
        <w:rPr>
          <w:rFonts w:asciiTheme="majorHAnsi" w:hAnsiTheme="majorHAnsi"/>
          <w:color w:val="auto"/>
          <w:szCs w:val="16"/>
          <w:lang w:val="es-ES"/>
        </w:rPr>
        <w:t xml:space="preserve"> </w:t>
      </w:r>
      <w:proofErr w:type="spellStart"/>
      <w:r w:rsidRPr="004A4A8C">
        <w:rPr>
          <w:rFonts w:asciiTheme="majorHAnsi" w:hAnsiTheme="majorHAnsi"/>
          <w:color w:val="auto"/>
          <w:szCs w:val="16"/>
          <w:lang w:val="es-ES"/>
        </w:rPr>
        <w:t>dated</w:t>
      </w:r>
      <w:proofErr w:type="spellEnd"/>
      <w:r w:rsidRPr="004A4A8C">
        <w:rPr>
          <w:rFonts w:asciiTheme="majorHAnsi" w:hAnsiTheme="majorHAnsi"/>
          <w:color w:val="auto"/>
          <w:szCs w:val="16"/>
          <w:lang w:val="es-ES"/>
        </w:rPr>
        <w:t xml:space="preserve"> </w:t>
      </w:r>
      <w:proofErr w:type="spellStart"/>
      <w:r w:rsidRPr="004A4A8C">
        <w:rPr>
          <w:rFonts w:asciiTheme="majorHAnsi" w:hAnsiTheme="majorHAnsi"/>
          <w:color w:val="auto"/>
          <w:szCs w:val="16"/>
          <w:lang w:val="es-ES"/>
        </w:rPr>
        <w:t>September</w:t>
      </w:r>
      <w:proofErr w:type="spellEnd"/>
      <w:r w:rsidRPr="004A4A8C">
        <w:rPr>
          <w:rFonts w:asciiTheme="majorHAnsi" w:hAnsiTheme="majorHAnsi"/>
          <w:color w:val="auto"/>
          <w:szCs w:val="16"/>
          <w:lang w:val="es-ES"/>
        </w:rPr>
        <w:t xml:space="preserve"> 19, 2000; </w:t>
      </w:r>
      <w:proofErr w:type="spellStart"/>
      <w:r w:rsidRPr="004A4A8C">
        <w:rPr>
          <w:rFonts w:asciiTheme="majorHAnsi" w:hAnsiTheme="majorHAnsi"/>
          <w:color w:val="auto"/>
          <w:szCs w:val="16"/>
          <w:lang w:val="es-ES"/>
        </w:rPr>
        <w:t>Annex</w:t>
      </w:r>
      <w:proofErr w:type="spellEnd"/>
      <w:r w:rsidRPr="004A4A8C">
        <w:rPr>
          <w:rFonts w:asciiTheme="majorHAnsi" w:hAnsiTheme="majorHAnsi"/>
          <w:color w:val="auto"/>
          <w:szCs w:val="16"/>
          <w:lang w:val="es-ES"/>
        </w:rPr>
        <w:t xml:space="preserve"> 31. </w:t>
      </w:r>
      <w:proofErr w:type="spellStart"/>
      <w:r w:rsidRPr="00BC213E">
        <w:rPr>
          <w:rFonts w:asciiTheme="majorHAnsi" w:hAnsiTheme="majorHAnsi"/>
          <w:color w:val="auto"/>
          <w:szCs w:val="16"/>
        </w:rPr>
        <w:t>Kesyone</w:t>
      </w:r>
      <w:proofErr w:type="spellEnd"/>
      <w:r w:rsidRPr="00BC213E">
        <w:rPr>
          <w:rFonts w:asciiTheme="majorHAnsi" w:hAnsiTheme="majorHAnsi"/>
          <w:color w:val="auto"/>
          <w:szCs w:val="16"/>
        </w:rPr>
        <w:t xml:space="preserve"> </w:t>
      </w:r>
      <w:proofErr w:type="spellStart"/>
      <w:r w:rsidRPr="00BC213E">
        <w:rPr>
          <w:rFonts w:asciiTheme="majorHAnsi" w:hAnsiTheme="majorHAnsi"/>
          <w:color w:val="auto"/>
          <w:szCs w:val="16"/>
        </w:rPr>
        <w:t>pou</w:t>
      </w:r>
      <w:proofErr w:type="spellEnd"/>
      <w:r w:rsidRPr="00BC213E">
        <w:rPr>
          <w:rFonts w:asciiTheme="majorHAnsi" w:hAnsiTheme="majorHAnsi"/>
          <w:color w:val="auto"/>
          <w:szCs w:val="16"/>
        </w:rPr>
        <w:t xml:space="preserve"> determine </w:t>
      </w:r>
      <w:proofErr w:type="spellStart"/>
      <w:r w:rsidRPr="00BC213E">
        <w:rPr>
          <w:rFonts w:asciiTheme="majorHAnsi" w:hAnsiTheme="majorHAnsi"/>
          <w:color w:val="auto"/>
          <w:szCs w:val="16"/>
        </w:rPr>
        <w:t>kondisyon</w:t>
      </w:r>
      <w:proofErr w:type="spellEnd"/>
      <w:r w:rsidRPr="00BC213E">
        <w:rPr>
          <w:rFonts w:asciiTheme="majorHAnsi" w:hAnsiTheme="majorHAnsi"/>
          <w:color w:val="auto"/>
          <w:szCs w:val="16"/>
        </w:rPr>
        <w:t xml:space="preserve"> </w:t>
      </w:r>
      <w:proofErr w:type="spellStart"/>
      <w:r w:rsidRPr="00BC213E">
        <w:rPr>
          <w:rFonts w:asciiTheme="majorHAnsi" w:hAnsiTheme="majorHAnsi"/>
          <w:color w:val="auto"/>
          <w:szCs w:val="16"/>
        </w:rPr>
        <w:t>refijie</w:t>
      </w:r>
      <w:proofErr w:type="spellEnd"/>
      <w:r w:rsidRPr="00BC213E">
        <w:rPr>
          <w:rFonts w:asciiTheme="majorHAnsi" w:hAnsiTheme="majorHAnsi"/>
          <w:color w:val="auto"/>
          <w:szCs w:val="16"/>
        </w:rPr>
        <w:t xml:space="preserve"> yon </w:t>
      </w:r>
      <w:proofErr w:type="spellStart"/>
      <w:r w:rsidRPr="00BC213E">
        <w:rPr>
          <w:rFonts w:asciiTheme="majorHAnsi" w:hAnsiTheme="majorHAnsi"/>
          <w:color w:val="auto"/>
          <w:szCs w:val="16"/>
        </w:rPr>
        <w:t>moun</w:t>
      </w:r>
      <w:proofErr w:type="spellEnd"/>
      <w:r w:rsidRPr="00BC213E">
        <w:rPr>
          <w:rFonts w:asciiTheme="majorHAnsi" w:hAnsiTheme="majorHAnsi"/>
          <w:color w:val="auto"/>
          <w:szCs w:val="16"/>
        </w:rPr>
        <w:t xml:space="preserve">, annexed to State reply dated September 19, 2000; Annex </w:t>
      </w:r>
      <w:r>
        <w:rPr>
          <w:rFonts w:asciiTheme="majorHAnsi" w:hAnsiTheme="majorHAnsi"/>
          <w:color w:val="auto"/>
          <w:szCs w:val="16"/>
        </w:rPr>
        <w:t>32</w:t>
      </w:r>
      <w:r w:rsidRPr="00BC213E">
        <w:rPr>
          <w:rFonts w:asciiTheme="majorHAnsi" w:hAnsiTheme="majorHAnsi"/>
          <w:color w:val="auto"/>
          <w:szCs w:val="16"/>
        </w:rPr>
        <w:t xml:space="preserve">. </w:t>
      </w:r>
      <w:r w:rsidRPr="00CF3008">
        <w:rPr>
          <w:rFonts w:asciiTheme="majorHAnsi" w:hAnsiTheme="majorHAnsi"/>
          <w:color w:val="auto"/>
          <w:szCs w:val="16"/>
          <w:lang w:val="fr-CA"/>
        </w:rPr>
        <w:t xml:space="preserve">Questionnaire pour la </w:t>
      </w:r>
      <w:proofErr w:type="spellStart"/>
      <w:r w:rsidRPr="00CF3008">
        <w:rPr>
          <w:rFonts w:asciiTheme="majorHAnsi" w:hAnsiTheme="majorHAnsi"/>
          <w:color w:val="auto"/>
          <w:szCs w:val="16"/>
          <w:lang w:val="fr-CA"/>
        </w:rPr>
        <w:t>determination</w:t>
      </w:r>
      <w:proofErr w:type="spellEnd"/>
      <w:r w:rsidRPr="00CF3008">
        <w:rPr>
          <w:rFonts w:asciiTheme="majorHAnsi" w:hAnsiTheme="majorHAnsi"/>
          <w:color w:val="auto"/>
          <w:szCs w:val="16"/>
          <w:lang w:val="fr-CA"/>
        </w:rPr>
        <w:t xml:space="preserve"> du statut de refugie, </w:t>
      </w:r>
      <w:proofErr w:type="spellStart"/>
      <w:r w:rsidRPr="00CF3008">
        <w:rPr>
          <w:rFonts w:asciiTheme="majorHAnsi" w:hAnsiTheme="majorHAnsi"/>
          <w:color w:val="auto"/>
          <w:szCs w:val="16"/>
          <w:lang w:val="fr-CA"/>
        </w:rPr>
        <w:t>annexed</w:t>
      </w:r>
      <w:proofErr w:type="spellEnd"/>
      <w:r w:rsidRPr="00CF3008">
        <w:rPr>
          <w:rFonts w:asciiTheme="majorHAnsi" w:hAnsiTheme="majorHAnsi"/>
          <w:color w:val="auto"/>
          <w:szCs w:val="16"/>
          <w:lang w:val="fr-CA"/>
        </w:rPr>
        <w:t xml:space="preserve"> to State </w:t>
      </w:r>
      <w:proofErr w:type="spellStart"/>
      <w:r w:rsidRPr="00CF3008">
        <w:rPr>
          <w:rFonts w:asciiTheme="majorHAnsi" w:hAnsiTheme="majorHAnsi"/>
          <w:color w:val="auto"/>
          <w:szCs w:val="16"/>
          <w:lang w:val="fr-CA"/>
        </w:rPr>
        <w:t>reply</w:t>
      </w:r>
      <w:proofErr w:type="spellEnd"/>
      <w:r w:rsidRPr="00CF3008">
        <w:rPr>
          <w:rFonts w:asciiTheme="majorHAnsi" w:hAnsiTheme="majorHAnsi"/>
          <w:color w:val="auto"/>
          <w:szCs w:val="16"/>
          <w:lang w:val="fr-CA"/>
        </w:rPr>
        <w:t xml:space="preserve"> </w:t>
      </w:r>
      <w:proofErr w:type="spellStart"/>
      <w:r w:rsidRPr="00CF3008">
        <w:rPr>
          <w:rFonts w:asciiTheme="majorHAnsi" w:hAnsiTheme="majorHAnsi"/>
          <w:color w:val="auto"/>
          <w:szCs w:val="16"/>
          <w:lang w:val="fr-CA"/>
        </w:rPr>
        <w:t>dated</w:t>
      </w:r>
      <w:proofErr w:type="spellEnd"/>
      <w:r w:rsidRPr="00CF3008">
        <w:rPr>
          <w:rFonts w:asciiTheme="majorHAnsi" w:hAnsiTheme="majorHAnsi"/>
          <w:color w:val="auto"/>
          <w:szCs w:val="16"/>
          <w:lang w:val="fr-CA"/>
        </w:rPr>
        <w:t xml:space="preserve"> </w:t>
      </w:r>
      <w:proofErr w:type="spellStart"/>
      <w:r w:rsidRPr="00CF3008">
        <w:rPr>
          <w:rFonts w:asciiTheme="majorHAnsi" w:hAnsiTheme="majorHAnsi"/>
          <w:color w:val="auto"/>
          <w:szCs w:val="16"/>
          <w:lang w:val="fr-CA"/>
        </w:rPr>
        <w:t>September</w:t>
      </w:r>
      <w:proofErr w:type="spellEnd"/>
      <w:r w:rsidRPr="00CF3008">
        <w:rPr>
          <w:rFonts w:asciiTheme="majorHAnsi" w:hAnsiTheme="majorHAnsi"/>
          <w:color w:val="auto"/>
          <w:szCs w:val="16"/>
          <w:lang w:val="fr-CA"/>
        </w:rPr>
        <w:t xml:space="preserve"> 19, 2000.</w:t>
      </w:r>
    </w:p>
  </w:footnote>
  <w:footnote w:id="78">
    <w:p w14:paraId="0B9769DB" w14:textId="612E3DB3"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State reply dated September 19, 2000.</w:t>
      </w:r>
    </w:p>
  </w:footnote>
  <w:footnote w:id="79">
    <w:p w14:paraId="4AC4A756" w14:textId="7952EAC3"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Pr>
          <w:rFonts w:asciiTheme="majorHAnsi" w:hAnsiTheme="majorHAnsi"/>
          <w:color w:val="auto"/>
          <w:szCs w:val="16"/>
        </w:rPr>
        <w:t>Annexes 5 &amp; 6</w:t>
      </w:r>
      <w:r w:rsidRPr="00BC213E">
        <w:rPr>
          <w:rFonts w:asciiTheme="majorHAnsi" w:hAnsiTheme="majorHAnsi"/>
          <w:color w:val="auto"/>
          <w:szCs w:val="16"/>
        </w:rPr>
        <w:t>.  Bahamas Immigration Department, Approved Cuban nationals for repatriation 18</w:t>
      </w:r>
      <w:r w:rsidRPr="00BC213E">
        <w:rPr>
          <w:rFonts w:asciiTheme="majorHAnsi" w:hAnsiTheme="majorHAnsi"/>
          <w:color w:val="auto"/>
          <w:szCs w:val="16"/>
          <w:vertAlign w:val="superscript"/>
        </w:rPr>
        <w:t>th</w:t>
      </w:r>
      <w:r w:rsidRPr="00BC213E">
        <w:rPr>
          <w:rFonts w:asciiTheme="majorHAnsi" w:hAnsiTheme="majorHAnsi"/>
          <w:color w:val="auto"/>
          <w:szCs w:val="16"/>
        </w:rPr>
        <w:t xml:space="preserve"> August 1998 and 20</w:t>
      </w:r>
      <w:r w:rsidRPr="00BC213E">
        <w:rPr>
          <w:rFonts w:asciiTheme="majorHAnsi" w:hAnsiTheme="majorHAnsi"/>
          <w:color w:val="auto"/>
          <w:szCs w:val="16"/>
          <w:vertAlign w:val="superscript"/>
        </w:rPr>
        <w:t>th</w:t>
      </w:r>
      <w:r w:rsidRPr="00BC213E">
        <w:rPr>
          <w:rFonts w:asciiTheme="majorHAnsi" w:hAnsiTheme="majorHAnsi"/>
          <w:color w:val="auto"/>
          <w:szCs w:val="16"/>
        </w:rPr>
        <w:t xml:space="preserve"> October 1998 annexed to State reply October 23, 1998.</w:t>
      </w:r>
    </w:p>
  </w:footnote>
  <w:footnote w:id="80">
    <w:p w14:paraId="75547198" w14:textId="5D58BA5B"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Annex </w:t>
      </w:r>
      <w:r>
        <w:rPr>
          <w:rFonts w:asciiTheme="majorHAnsi" w:hAnsiTheme="majorHAnsi"/>
          <w:color w:val="auto"/>
          <w:szCs w:val="16"/>
        </w:rPr>
        <w:t>33</w:t>
      </w:r>
      <w:r w:rsidRPr="00BC213E">
        <w:rPr>
          <w:rFonts w:asciiTheme="majorHAnsi" w:hAnsiTheme="majorHAnsi"/>
          <w:color w:val="auto"/>
          <w:szCs w:val="16"/>
        </w:rPr>
        <w:t>. List of CEJIL questionnaires, annexed to the communication of the petitioners dated December 10, 1998.</w:t>
      </w:r>
    </w:p>
  </w:footnote>
  <w:footnote w:id="81">
    <w:p w14:paraId="4396CEE0" w14:textId="528985CB"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Pr>
          <w:rFonts w:asciiTheme="majorHAnsi" w:hAnsiTheme="majorHAnsi"/>
          <w:color w:val="auto"/>
          <w:szCs w:val="16"/>
        </w:rPr>
        <w:t xml:space="preserve"> Annex 8.</w:t>
      </w:r>
      <w:r w:rsidRPr="00BC213E">
        <w:rPr>
          <w:rFonts w:asciiTheme="majorHAnsi" w:hAnsiTheme="majorHAnsi"/>
          <w:color w:val="auto"/>
          <w:szCs w:val="16"/>
        </w:rPr>
        <w:t xml:space="preserve"> Interviews with persons in Miami, formerly in Bahamas at the Little Nutritional Center and St. Thomas University, Miami, Florida on 17-18 November 1998 – Yuri Delgado, annexed to the communication of the petitioners dated December 10, 1998; Annex </w:t>
      </w:r>
      <w:r>
        <w:rPr>
          <w:rFonts w:asciiTheme="majorHAnsi" w:hAnsiTheme="majorHAnsi"/>
          <w:color w:val="auto"/>
          <w:szCs w:val="16"/>
        </w:rPr>
        <w:t>8</w:t>
      </w:r>
      <w:r w:rsidRPr="00BC213E">
        <w:rPr>
          <w:rFonts w:asciiTheme="majorHAnsi" w:hAnsiTheme="majorHAnsi"/>
          <w:color w:val="auto"/>
          <w:szCs w:val="16"/>
        </w:rPr>
        <w:t xml:space="preserve">. Interviews with persons in Miami, formerly in Bahamas at the Little Nutritional Center and St. Thomas University, Miami, Florida on 17-18 November 1998 – </w:t>
      </w:r>
      <w:proofErr w:type="spellStart"/>
      <w:r w:rsidRPr="00BC213E">
        <w:rPr>
          <w:rFonts w:asciiTheme="majorHAnsi" w:hAnsiTheme="majorHAnsi"/>
          <w:color w:val="auto"/>
          <w:szCs w:val="16"/>
        </w:rPr>
        <w:t>Magalis</w:t>
      </w:r>
      <w:proofErr w:type="spellEnd"/>
      <w:r w:rsidRPr="00BC213E">
        <w:rPr>
          <w:rFonts w:asciiTheme="majorHAnsi" w:hAnsiTheme="majorHAnsi"/>
          <w:color w:val="auto"/>
          <w:szCs w:val="16"/>
        </w:rPr>
        <w:t xml:space="preserve"> Montero and Angel Gonzalez, annexed to the communication of the petitioners </w:t>
      </w:r>
      <w:r>
        <w:rPr>
          <w:rFonts w:asciiTheme="majorHAnsi" w:hAnsiTheme="majorHAnsi"/>
          <w:color w:val="auto"/>
          <w:szCs w:val="16"/>
        </w:rPr>
        <w:t>dated December 10, 1998; Annex 34</w:t>
      </w:r>
      <w:r w:rsidRPr="00BC213E">
        <w:rPr>
          <w:rFonts w:asciiTheme="majorHAnsi" w:hAnsiTheme="majorHAnsi"/>
          <w:color w:val="auto"/>
          <w:szCs w:val="16"/>
        </w:rPr>
        <w:t xml:space="preserve">. Letter from Dr. Eduardo </w:t>
      </w:r>
      <w:proofErr w:type="spellStart"/>
      <w:r w:rsidRPr="00BC213E">
        <w:rPr>
          <w:rFonts w:asciiTheme="majorHAnsi" w:hAnsiTheme="majorHAnsi"/>
          <w:color w:val="auto"/>
          <w:szCs w:val="16"/>
        </w:rPr>
        <w:t>Villasuso</w:t>
      </w:r>
      <w:proofErr w:type="spellEnd"/>
      <w:r w:rsidRPr="00BC213E">
        <w:rPr>
          <w:rFonts w:asciiTheme="majorHAnsi" w:hAnsiTheme="majorHAnsi"/>
          <w:color w:val="auto"/>
          <w:szCs w:val="16"/>
        </w:rPr>
        <w:t xml:space="preserve"> Morales to Claudia Hernandez of the Open Society Institute, July 13, 1998, annexed to the communication of the petitioners dated December 10, 1998; Annex </w:t>
      </w:r>
      <w:r>
        <w:rPr>
          <w:rFonts w:asciiTheme="majorHAnsi" w:hAnsiTheme="majorHAnsi"/>
          <w:color w:val="auto"/>
          <w:szCs w:val="16"/>
        </w:rPr>
        <w:t>35</w:t>
      </w:r>
      <w:r w:rsidRPr="00BC213E">
        <w:rPr>
          <w:rFonts w:asciiTheme="majorHAnsi" w:hAnsiTheme="majorHAnsi"/>
          <w:color w:val="auto"/>
          <w:szCs w:val="16"/>
        </w:rPr>
        <w:t xml:space="preserve">. Open Society Institute Interviewer Sheet –  Jose Eduardo </w:t>
      </w:r>
      <w:proofErr w:type="spellStart"/>
      <w:r w:rsidRPr="00BC213E">
        <w:rPr>
          <w:rFonts w:asciiTheme="majorHAnsi" w:hAnsiTheme="majorHAnsi"/>
          <w:color w:val="auto"/>
          <w:szCs w:val="16"/>
        </w:rPr>
        <w:t>Villasuso</w:t>
      </w:r>
      <w:proofErr w:type="spellEnd"/>
      <w:r w:rsidRPr="00BC213E">
        <w:rPr>
          <w:rFonts w:asciiTheme="majorHAnsi" w:hAnsiTheme="majorHAnsi"/>
          <w:color w:val="auto"/>
          <w:szCs w:val="16"/>
        </w:rPr>
        <w:t xml:space="preserve"> Morales, April 28, 1998, annexed to revised petition of May 15, 1998; Annex </w:t>
      </w:r>
      <w:r>
        <w:rPr>
          <w:rFonts w:asciiTheme="majorHAnsi" w:hAnsiTheme="majorHAnsi"/>
          <w:color w:val="auto"/>
          <w:szCs w:val="16"/>
        </w:rPr>
        <w:t>17</w:t>
      </w:r>
      <w:r w:rsidRPr="00BC213E">
        <w:rPr>
          <w:rFonts w:asciiTheme="majorHAnsi" w:hAnsiTheme="majorHAnsi"/>
          <w:color w:val="auto"/>
          <w:szCs w:val="16"/>
        </w:rPr>
        <w:t xml:space="preserve">. Open Society Institute Interviewer Sheet – </w:t>
      </w:r>
      <w:proofErr w:type="spellStart"/>
      <w:r w:rsidRPr="00BC213E">
        <w:rPr>
          <w:rFonts w:asciiTheme="majorHAnsi" w:hAnsiTheme="majorHAnsi"/>
          <w:color w:val="auto"/>
          <w:szCs w:val="16"/>
        </w:rPr>
        <w:t>Zoraya</w:t>
      </w:r>
      <w:proofErr w:type="spellEnd"/>
      <w:r w:rsidRPr="00BC213E">
        <w:rPr>
          <w:rFonts w:asciiTheme="majorHAnsi" w:hAnsiTheme="majorHAnsi"/>
          <w:color w:val="auto"/>
          <w:szCs w:val="16"/>
        </w:rPr>
        <w:t xml:space="preserve"> </w:t>
      </w:r>
      <w:proofErr w:type="spellStart"/>
      <w:r w:rsidRPr="00BC213E">
        <w:rPr>
          <w:rFonts w:asciiTheme="majorHAnsi" w:hAnsiTheme="majorHAnsi"/>
          <w:color w:val="auto"/>
          <w:szCs w:val="16"/>
        </w:rPr>
        <w:t>Ferral</w:t>
      </w:r>
      <w:proofErr w:type="spellEnd"/>
      <w:r w:rsidRPr="00BC213E">
        <w:rPr>
          <w:rFonts w:asciiTheme="majorHAnsi" w:hAnsiTheme="majorHAnsi"/>
          <w:color w:val="auto"/>
          <w:szCs w:val="16"/>
        </w:rPr>
        <w:t xml:space="preserve"> Toledano, April 28, 1998, annexed to revised petition of May 15, 1998; Communication of the petitioners, namely Claudia Hernandez, Open Society Institute, dated October 1, 1999; Annex </w:t>
      </w:r>
      <w:r>
        <w:rPr>
          <w:rFonts w:asciiTheme="majorHAnsi" w:hAnsiTheme="majorHAnsi"/>
          <w:color w:val="auto"/>
          <w:szCs w:val="16"/>
        </w:rPr>
        <w:t>36</w:t>
      </w:r>
      <w:r w:rsidRPr="00BC213E">
        <w:rPr>
          <w:rFonts w:asciiTheme="majorHAnsi" w:hAnsiTheme="majorHAnsi"/>
          <w:color w:val="auto"/>
          <w:szCs w:val="16"/>
        </w:rPr>
        <w:t xml:space="preserve">. Letter from Pedro A. Beckford M.D. to the American Consul, American Embassy, Nassau, Bahamas, January 10, 1998, annexed to the communication of the petitioners dated October 15, 1999; and Annex </w:t>
      </w:r>
      <w:r>
        <w:rPr>
          <w:rFonts w:asciiTheme="majorHAnsi" w:hAnsiTheme="majorHAnsi"/>
          <w:color w:val="auto"/>
          <w:szCs w:val="16"/>
        </w:rPr>
        <w:t>37</w:t>
      </w:r>
      <w:r w:rsidRPr="00BC213E">
        <w:rPr>
          <w:rFonts w:asciiTheme="majorHAnsi" w:hAnsiTheme="majorHAnsi"/>
          <w:color w:val="auto"/>
          <w:szCs w:val="16"/>
        </w:rPr>
        <w:t xml:space="preserve">. Letter from Cynthia </w:t>
      </w:r>
      <w:proofErr w:type="spellStart"/>
      <w:r w:rsidRPr="00BC213E">
        <w:rPr>
          <w:rFonts w:asciiTheme="majorHAnsi" w:hAnsiTheme="majorHAnsi"/>
          <w:color w:val="auto"/>
          <w:szCs w:val="16"/>
        </w:rPr>
        <w:t>Zemel</w:t>
      </w:r>
      <w:proofErr w:type="spellEnd"/>
      <w:r w:rsidRPr="00BC213E">
        <w:rPr>
          <w:rFonts w:asciiTheme="majorHAnsi" w:hAnsiTheme="majorHAnsi"/>
          <w:color w:val="auto"/>
          <w:szCs w:val="16"/>
        </w:rPr>
        <w:t xml:space="preserve">, Teacher, Harding School, </w:t>
      </w:r>
      <w:proofErr w:type="spellStart"/>
      <w:r w:rsidRPr="00BC213E">
        <w:rPr>
          <w:rFonts w:asciiTheme="majorHAnsi" w:hAnsiTheme="majorHAnsi"/>
          <w:color w:val="auto"/>
          <w:szCs w:val="16"/>
        </w:rPr>
        <w:t>Kenliworth</w:t>
      </w:r>
      <w:proofErr w:type="spellEnd"/>
      <w:r w:rsidRPr="00BC213E">
        <w:rPr>
          <w:rFonts w:asciiTheme="majorHAnsi" w:hAnsiTheme="majorHAnsi"/>
          <w:color w:val="auto"/>
          <w:szCs w:val="16"/>
        </w:rPr>
        <w:t>, NJ, January 12, 1998, annexed to the communication of the petitioners dated October 15, 1999.</w:t>
      </w:r>
    </w:p>
  </w:footnote>
  <w:footnote w:id="82">
    <w:p w14:paraId="09A37E67" w14:textId="77777777" w:rsidR="003B5615" w:rsidRPr="00BC213E" w:rsidRDefault="003B5615" w:rsidP="00DE251A">
      <w:pPr>
        <w:pStyle w:val="FootnoteText"/>
        <w:jc w:val="both"/>
        <w:rPr>
          <w:rFonts w:asciiTheme="majorHAnsi" w:hAnsiTheme="majorHAnsi"/>
          <w:color w:val="auto"/>
          <w:szCs w:val="16"/>
          <w:lang w:val="pt-BR"/>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See IACHR, Case 12.250, Report Nº 34/01, Massacre of </w:t>
      </w:r>
      <w:proofErr w:type="spellStart"/>
      <w:r w:rsidRPr="00BC213E">
        <w:rPr>
          <w:rFonts w:asciiTheme="majorHAnsi" w:hAnsiTheme="majorHAnsi"/>
          <w:color w:val="auto"/>
          <w:szCs w:val="16"/>
        </w:rPr>
        <w:t>Mapiripan</w:t>
      </w:r>
      <w:proofErr w:type="spellEnd"/>
      <w:r w:rsidRPr="00BC213E">
        <w:rPr>
          <w:rFonts w:asciiTheme="majorHAnsi" w:hAnsiTheme="majorHAnsi"/>
          <w:color w:val="auto"/>
          <w:szCs w:val="16"/>
        </w:rPr>
        <w:t xml:space="preserve"> (Colombia), Annual Report of the IACHR, 2000, paragraph. </w:t>
      </w:r>
      <w:r w:rsidRPr="00BC213E">
        <w:rPr>
          <w:rFonts w:asciiTheme="majorHAnsi" w:hAnsiTheme="majorHAnsi"/>
          <w:color w:val="auto"/>
          <w:szCs w:val="16"/>
          <w:lang w:val="pt-BR"/>
        </w:rPr>
        <w:t>27.</w:t>
      </w:r>
    </w:p>
  </w:footnote>
  <w:footnote w:id="83">
    <w:p w14:paraId="6034F7CE" w14:textId="77777777" w:rsidR="003B5615" w:rsidRPr="00BC213E" w:rsidRDefault="003B5615" w:rsidP="00DE251A">
      <w:pPr>
        <w:pStyle w:val="FootnoteText"/>
        <w:jc w:val="both"/>
        <w:rPr>
          <w:rFonts w:asciiTheme="majorHAnsi" w:hAnsiTheme="majorHAnsi"/>
          <w:color w:val="auto"/>
          <w:szCs w:val="16"/>
          <w:lang w:val="pt-BR"/>
        </w:rPr>
      </w:pPr>
      <w:r w:rsidRPr="00BC213E">
        <w:rPr>
          <w:rStyle w:val="FootnoteReference"/>
          <w:rFonts w:asciiTheme="majorHAnsi" w:hAnsiTheme="majorHAnsi"/>
          <w:color w:val="auto"/>
          <w:szCs w:val="16"/>
        </w:rPr>
        <w:footnoteRef/>
      </w:r>
      <w:r w:rsidRPr="00BC213E">
        <w:rPr>
          <w:rFonts w:asciiTheme="majorHAnsi" w:hAnsiTheme="majorHAnsi"/>
          <w:color w:val="auto"/>
          <w:szCs w:val="16"/>
          <w:lang w:val="pt-BR"/>
        </w:rPr>
        <w:t xml:space="preserve"> IACHR. </w:t>
      </w:r>
      <w:r w:rsidRPr="00BC213E">
        <w:rPr>
          <w:rFonts w:asciiTheme="majorHAnsi" w:hAnsiTheme="majorHAnsi"/>
          <w:bCs/>
          <w:color w:val="auto"/>
          <w:szCs w:val="16"/>
          <w:lang w:val="pt-BR"/>
        </w:rPr>
        <w:t xml:space="preserve">Report Nº 44/00, </w:t>
      </w:r>
      <w:r w:rsidRPr="00BC213E">
        <w:rPr>
          <w:rFonts w:asciiTheme="majorHAnsi" w:hAnsiTheme="majorHAnsi"/>
          <w:color w:val="auto"/>
          <w:szCs w:val="16"/>
          <w:lang w:val="pt-BR"/>
        </w:rPr>
        <w:t>Case 10.820. Américo Zavala Martinez. Peru, April 13, 2000, par. 19.</w:t>
      </w:r>
    </w:p>
  </w:footnote>
  <w:footnote w:id="84">
    <w:p w14:paraId="6B137120" w14:textId="77777777"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United Nations, Economic and Social Council, “Specific Groups and Individuals: Migrant Workers. Human Rights of Migrants,” Report of the Special Rapporteur, Mrs. Gabriela Rodriguez Pizarro, submitted in accordance with Order 1999/44 of the Commission on Human Rights, E/CN.4/2000/82, of January 6, 2000, para. 73; Juridical Condition and Rights of Undocumented Immigrants. I/A Court H.R., Advisory Opinion OC-18/03 of September 17, 2003, Series A N.18, para. 112; I/A Court H.R., Case of </w:t>
      </w:r>
      <w:proofErr w:type="spellStart"/>
      <w:r w:rsidRPr="00BC213E">
        <w:rPr>
          <w:rFonts w:asciiTheme="majorHAnsi" w:hAnsiTheme="majorHAnsi"/>
          <w:color w:val="auto"/>
          <w:szCs w:val="16"/>
        </w:rPr>
        <w:t>Vélez</w:t>
      </w:r>
      <w:proofErr w:type="spellEnd"/>
      <w:r w:rsidRPr="00BC213E">
        <w:rPr>
          <w:rFonts w:asciiTheme="majorHAnsi" w:hAnsiTheme="majorHAnsi"/>
          <w:color w:val="auto"/>
          <w:szCs w:val="16"/>
        </w:rPr>
        <w:t xml:space="preserve"> </w:t>
      </w:r>
      <w:proofErr w:type="spellStart"/>
      <w:r w:rsidRPr="00BC213E">
        <w:rPr>
          <w:rFonts w:asciiTheme="majorHAnsi" w:hAnsiTheme="majorHAnsi"/>
          <w:color w:val="auto"/>
          <w:szCs w:val="16"/>
        </w:rPr>
        <w:t>Loor</w:t>
      </w:r>
      <w:proofErr w:type="spellEnd"/>
      <w:r w:rsidRPr="00BC213E">
        <w:rPr>
          <w:rFonts w:asciiTheme="majorHAnsi" w:hAnsiTheme="majorHAnsi"/>
          <w:color w:val="auto"/>
          <w:szCs w:val="16"/>
        </w:rPr>
        <w:t xml:space="preserve"> v. Panama. Preliminary Objections, Merits, Reparations, and Costs. Judgment of November 23, 2010 Series C No. 218, para. 98</w:t>
      </w:r>
    </w:p>
  </w:footnote>
  <w:footnote w:id="85">
    <w:p w14:paraId="63E7C9EA" w14:textId="4A7AE067"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Pr>
          <w:rFonts w:asciiTheme="majorHAnsi" w:hAnsiTheme="majorHAnsi"/>
          <w:color w:val="auto"/>
          <w:szCs w:val="16"/>
        </w:rPr>
        <w:t xml:space="preserve"> I/A Ct. H.R.</w:t>
      </w:r>
      <w:r w:rsidRPr="00BC213E">
        <w:rPr>
          <w:rFonts w:asciiTheme="majorHAnsi" w:hAnsiTheme="majorHAnsi"/>
          <w:color w:val="auto"/>
          <w:szCs w:val="16"/>
        </w:rPr>
        <w:t xml:space="preserve"> </w:t>
      </w:r>
      <w:r w:rsidRPr="00BC213E">
        <w:rPr>
          <w:rFonts w:asciiTheme="majorHAnsi" w:hAnsiTheme="majorHAnsi"/>
          <w:i/>
          <w:color w:val="auto"/>
          <w:szCs w:val="16"/>
        </w:rPr>
        <w:t>Interpretation of the American Declaration of the Rights and Duties of Man within the Framework of Article 64 of the American Convention on Human Rights</w:t>
      </w:r>
      <w:r w:rsidRPr="00BC213E">
        <w:rPr>
          <w:rFonts w:asciiTheme="majorHAnsi" w:hAnsiTheme="majorHAnsi"/>
          <w:color w:val="auto"/>
          <w:szCs w:val="16"/>
        </w:rPr>
        <w:t>. Advisory Opinion OC-10/89 of July 14, 1989. [hereinafter “</w:t>
      </w:r>
      <w:r w:rsidRPr="00BC213E">
        <w:rPr>
          <w:rFonts w:asciiTheme="majorHAnsi" w:hAnsiTheme="majorHAnsi"/>
          <w:i/>
          <w:color w:val="auto"/>
          <w:szCs w:val="16"/>
        </w:rPr>
        <w:t>Interpretation of the American Declaration</w:t>
      </w:r>
      <w:r w:rsidRPr="00BC213E">
        <w:rPr>
          <w:rFonts w:asciiTheme="majorHAnsi" w:hAnsiTheme="majorHAnsi"/>
          <w:color w:val="auto"/>
          <w:szCs w:val="16"/>
        </w:rPr>
        <w:t xml:space="preserve">”], para. 47 (“[T]he </w:t>
      </w:r>
      <w:r w:rsidRPr="00BC213E">
        <w:rPr>
          <w:rFonts w:asciiTheme="majorHAnsi" w:hAnsiTheme="majorHAnsi"/>
          <w:color w:val="auto"/>
          <w:szCs w:val="16"/>
          <w:lang w:val="en"/>
        </w:rPr>
        <w:t>member states of the [OAS] have signaled their agreement that the Declaration contains and defines the fundamental human rights referred to in the Charter. Thus the Charter of the [OAS] cannot be interpreted and applied as far as human rights are concerned without relating its norms, consistent with the practice of the organs of the OAS, to the corresponding provisions of the Declaration.”)</w:t>
      </w:r>
    </w:p>
  </w:footnote>
  <w:footnote w:id="86">
    <w:p w14:paraId="4E3A086C" w14:textId="77777777" w:rsidR="003B5615" w:rsidRPr="00BC213E" w:rsidRDefault="003B5615" w:rsidP="00DE251A">
      <w:pPr>
        <w:pStyle w:val="Footnotes"/>
        <w:spacing w:after="0"/>
        <w:ind w:firstLine="0"/>
        <w:rPr>
          <w:rFonts w:asciiTheme="majorHAnsi" w:hAnsiTheme="majorHAnsi"/>
          <w:b/>
          <w:sz w:val="16"/>
          <w:szCs w:val="16"/>
        </w:rPr>
      </w:pPr>
      <w:r w:rsidRPr="00BC213E">
        <w:rPr>
          <w:rStyle w:val="FootnoteReference"/>
          <w:rFonts w:asciiTheme="majorHAnsi" w:hAnsiTheme="majorHAnsi"/>
          <w:sz w:val="16"/>
          <w:szCs w:val="16"/>
        </w:rPr>
        <w:footnoteRef/>
      </w:r>
      <w:r w:rsidRPr="00BC213E">
        <w:rPr>
          <w:rFonts w:asciiTheme="majorHAnsi" w:hAnsiTheme="majorHAnsi"/>
          <w:sz w:val="16"/>
          <w:szCs w:val="16"/>
        </w:rPr>
        <w:t xml:space="preserve"> IACHR, Report No. 50/16, Case 12.834, Merits (Publication), Undocumented Workers, United States, Nov. 30, 2016, para. 68. </w:t>
      </w:r>
      <w:r w:rsidRPr="00BC213E">
        <w:rPr>
          <w:rFonts w:asciiTheme="majorHAnsi" w:hAnsiTheme="majorHAnsi"/>
          <w:i/>
          <w:sz w:val="16"/>
          <w:szCs w:val="16"/>
        </w:rPr>
        <w:t>See</w:t>
      </w:r>
      <w:r w:rsidRPr="00BC213E">
        <w:rPr>
          <w:rFonts w:asciiTheme="majorHAnsi" w:hAnsiTheme="majorHAnsi"/>
          <w:sz w:val="16"/>
          <w:szCs w:val="16"/>
        </w:rPr>
        <w:t xml:space="preserve"> I/A Ct. H.R., </w:t>
      </w:r>
      <w:r w:rsidRPr="00BC213E">
        <w:rPr>
          <w:rFonts w:asciiTheme="majorHAnsi" w:hAnsiTheme="majorHAnsi"/>
          <w:i/>
          <w:sz w:val="16"/>
          <w:szCs w:val="16"/>
        </w:rPr>
        <w:t>Interpretation of the American Declaration</w:t>
      </w:r>
      <w:r w:rsidRPr="00BC213E">
        <w:rPr>
          <w:rFonts w:asciiTheme="majorHAnsi" w:hAnsiTheme="majorHAnsi"/>
          <w:sz w:val="16"/>
          <w:szCs w:val="16"/>
        </w:rPr>
        <w:t xml:space="preserve">. Advisory Opinion OC-10/89 of July 14, 1989, para. 37. </w:t>
      </w:r>
      <w:r w:rsidRPr="00BC213E">
        <w:rPr>
          <w:rFonts w:asciiTheme="majorHAnsi" w:hAnsiTheme="majorHAnsi"/>
          <w:i/>
          <w:sz w:val="16"/>
          <w:szCs w:val="16"/>
        </w:rPr>
        <w:t xml:space="preserve">See also </w:t>
      </w:r>
      <w:r w:rsidRPr="00BC213E">
        <w:rPr>
          <w:rFonts w:asciiTheme="majorHAnsi" w:hAnsiTheme="majorHAnsi"/>
          <w:sz w:val="16"/>
          <w:szCs w:val="16"/>
        </w:rPr>
        <w:t>ICJ, Legal Consequences for States of the Continued Presence of South Africa in Namibia (South West Africa) notwithstanding Security Council Resolution 276 (1970), Advisory Opinion, I.C.J. Reports 1971, p. 16 ad 31 ("an international instrument must be interpreted and applied within the overall framework of the juridical system in force at the time of the interpretation").</w:t>
      </w:r>
    </w:p>
  </w:footnote>
  <w:footnote w:id="87">
    <w:p w14:paraId="2361FF16" w14:textId="77777777" w:rsidR="003B5615" w:rsidRPr="00BC213E" w:rsidRDefault="003B5615" w:rsidP="00DE251A">
      <w:pPr>
        <w:pStyle w:val="Footnotes"/>
        <w:spacing w:after="0"/>
        <w:ind w:firstLine="0"/>
        <w:rPr>
          <w:rFonts w:asciiTheme="majorHAnsi" w:hAnsiTheme="majorHAnsi"/>
          <w:sz w:val="16"/>
          <w:szCs w:val="16"/>
        </w:rPr>
      </w:pPr>
      <w:r w:rsidRPr="00BC213E">
        <w:rPr>
          <w:rStyle w:val="FootnoteReference"/>
          <w:rFonts w:asciiTheme="majorHAnsi" w:hAnsiTheme="majorHAnsi"/>
          <w:sz w:val="16"/>
          <w:szCs w:val="16"/>
        </w:rPr>
        <w:footnoteRef/>
      </w:r>
      <w:r w:rsidRPr="00BC213E">
        <w:rPr>
          <w:rFonts w:asciiTheme="majorHAnsi" w:hAnsiTheme="majorHAnsi"/>
          <w:sz w:val="16"/>
          <w:szCs w:val="16"/>
        </w:rPr>
        <w:t xml:space="preserve"> </w:t>
      </w:r>
      <w:r w:rsidRPr="00BC213E">
        <w:rPr>
          <w:rFonts w:asciiTheme="majorHAnsi" w:hAnsiTheme="majorHAnsi"/>
          <w:i/>
          <w:sz w:val="16"/>
          <w:szCs w:val="16"/>
        </w:rPr>
        <w:t xml:space="preserve">See </w:t>
      </w:r>
      <w:r w:rsidRPr="00BC213E">
        <w:rPr>
          <w:rFonts w:asciiTheme="majorHAnsi" w:hAnsiTheme="majorHAnsi"/>
          <w:sz w:val="16"/>
          <w:szCs w:val="16"/>
        </w:rPr>
        <w:t xml:space="preserve">IACHR, </w:t>
      </w:r>
      <w:r w:rsidRPr="00BC213E">
        <w:rPr>
          <w:rFonts w:asciiTheme="majorHAnsi" w:hAnsiTheme="majorHAnsi"/>
          <w:i/>
          <w:sz w:val="16"/>
          <w:szCs w:val="16"/>
        </w:rPr>
        <w:t>Report of the Situation of Human Rights of Asylum Seekers within the Canadian Refugee Determination System</w:t>
      </w:r>
      <w:r w:rsidRPr="00BC213E">
        <w:rPr>
          <w:rFonts w:asciiTheme="majorHAnsi" w:hAnsiTheme="majorHAnsi"/>
          <w:sz w:val="16"/>
          <w:szCs w:val="16"/>
        </w:rPr>
        <w:t xml:space="preserve"> (2000), para. 38; IACHR, </w:t>
      </w:r>
      <w:r w:rsidRPr="00BC213E">
        <w:rPr>
          <w:rFonts w:asciiTheme="majorHAnsi" w:hAnsiTheme="majorHAnsi"/>
          <w:i/>
          <w:sz w:val="16"/>
          <w:szCs w:val="16"/>
        </w:rPr>
        <w:t>Garza v. United States</w:t>
      </w:r>
      <w:r w:rsidRPr="00BC213E">
        <w:rPr>
          <w:rFonts w:asciiTheme="majorHAnsi" w:hAnsiTheme="majorHAnsi"/>
          <w:sz w:val="16"/>
          <w:szCs w:val="16"/>
        </w:rPr>
        <w:t>, Case No. 12.275, Annual Report of the IACHR 2000, paras. 88-89.</w:t>
      </w:r>
    </w:p>
  </w:footnote>
  <w:footnote w:id="88">
    <w:p w14:paraId="0183BF65" w14:textId="77777777"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Art. I states, “Every human being has the right to life, liberty, and the security of his person.” </w:t>
      </w:r>
    </w:p>
    <w:p w14:paraId="36523559" w14:textId="77777777" w:rsidR="003B5615" w:rsidRPr="00BC213E" w:rsidRDefault="003B5615" w:rsidP="00DE251A">
      <w:pPr>
        <w:pStyle w:val="FootnoteText"/>
        <w:jc w:val="both"/>
        <w:rPr>
          <w:rFonts w:asciiTheme="majorHAnsi" w:hAnsiTheme="majorHAnsi"/>
          <w:color w:val="auto"/>
          <w:szCs w:val="16"/>
        </w:rPr>
      </w:pPr>
      <w:r w:rsidRPr="00BC213E">
        <w:rPr>
          <w:rFonts w:asciiTheme="majorHAnsi" w:hAnsiTheme="majorHAnsi"/>
          <w:color w:val="auto"/>
          <w:szCs w:val="16"/>
        </w:rPr>
        <w:t>Art. XXV states, in relevant part: “No person may be deprived of his liberty except in the cases and according to the procedures established by pre-existing law. […] Every individual who has been deprived of his liberty has the right to have the legality of his detention ascertained without delay by a court, and the right to be tried without undue delay or, otherwise, to be released. […].” “[…] Every individual who has been deprived of his liberty […] has the right to humane treatment during the time he is in custody.”</w:t>
      </w:r>
    </w:p>
  </w:footnote>
  <w:footnote w:id="89">
    <w:p w14:paraId="0AD55EE5" w14:textId="77777777"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IACHR., Human Rights of Migrants, Refugees, Stateless Persons, Victims of Human Trafficking and Internally Displaced Persons: Norms and Standards of the Inter-American Human Rights System. OEA/</w:t>
      </w:r>
      <w:proofErr w:type="spellStart"/>
      <w:r w:rsidRPr="00BC213E">
        <w:rPr>
          <w:rFonts w:asciiTheme="majorHAnsi" w:hAnsiTheme="majorHAnsi"/>
          <w:color w:val="auto"/>
          <w:szCs w:val="16"/>
        </w:rPr>
        <w:t>Ser.L</w:t>
      </w:r>
      <w:proofErr w:type="spellEnd"/>
      <w:r w:rsidRPr="00BC213E">
        <w:rPr>
          <w:rFonts w:asciiTheme="majorHAnsi" w:hAnsiTheme="majorHAnsi"/>
          <w:color w:val="auto"/>
          <w:szCs w:val="16"/>
        </w:rPr>
        <w:t>/V/II.Doc. 46/15, para. 381 – 384.</w:t>
      </w:r>
    </w:p>
  </w:footnote>
  <w:footnote w:id="90">
    <w:p w14:paraId="36A621AD" w14:textId="77777777"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w:t>
      </w:r>
      <w:r w:rsidRPr="00BC213E">
        <w:rPr>
          <w:rFonts w:asciiTheme="majorHAnsi" w:hAnsiTheme="majorHAnsi"/>
          <w:i/>
          <w:color w:val="auto"/>
          <w:szCs w:val="16"/>
        </w:rPr>
        <w:t>See</w:t>
      </w:r>
      <w:r w:rsidRPr="00BC213E">
        <w:rPr>
          <w:rFonts w:asciiTheme="majorHAnsi" w:hAnsiTheme="majorHAnsi"/>
          <w:color w:val="auto"/>
          <w:szCs w:val="16"/>
        </w:rPr>
        <w:t xml:space="preserve"> I/A Court H.R., Case of </w:t>
      </w:r>
      <w:proofErr w:type="spellStart"/>
      <w:r w:rsidRPr="00BC213E">
        <w:rPr>
          <w:rFonts w:asciiTheme="majorHAnsi" w:hAnsiTheme="majorHAnsi"/>
          <w:color w:val="auto"/>
          <w:szCs w:val="16"/>
        </w:rPr>
        <w:t>Vélez</w:t>
      </w:r>
      <w:proofErr w:type="spellEnd"/>
      <w:r w:rsidRPr="00BC213E">
        <w:rPr>
          <w:rFonts w:asciiTheme="majorHAnsi" w:hAnsiTheme="majorHAnsi"/>
          <w:color w:val="auto"/>
          <w:szCs w:val="16"/>
        </w:rPr>
        <w:t xml:space="preserve"> </w:t>
      </w:r>
      <w:proofErr w:type="spellStart"/>
      <w:r w:rsidRPr="00BC213E">
        <w:rPr>
          <w:rFonts w:asciiTheme="majorHAnsi" w:hAnsiTheme="majorHAnsi"/>
          <w:color w:val="auto"/>
          <w:szCs w:val="16"/>
        </w:rPr>
        <w:t>Loor</w:t>
      </w:r>
      <w:proofErr w:type="spellEnd"/>
      <w:r w:rsidRPr="00BC213E">
        <w:rPr>
          <w:rFonts w:asciiTheme="majorHAnsi" w:hAnsiTheme="majorHAnsi"/>
          <w:color w:val="auto"/>
          <w:szCs w:val="16"/>
        </w:rPr>
        <w:t xml:space="preserve"> v. Panama. Preliminary Objections, Merits, Reparations, and Costs. Judgment of November 23, 2010 Series C No. 218, para. 116.</w:t>
      </w:r>
    </w:p>
  </w:footnote>
  <w:footnote w:id="91">
    <w:p w14:paraId="1E66C350" w14:textId="77777777"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I/A Court H.R., Case of </w:t>
      </w:r>
      <w:proofErr w:type="spellStart"/>
      <w:r w:rsidRPr="00BC213E">
        <w:rPr>
          <w:rFonts w:asciiTheme="majorHAnsi" w:hAnsiTheme="majorHAnsi"/>
          <w:color w:val="auto"/>
          <w:szCs w:val="16"/>
        </w:rPr>
        <w:t>Vélez</w:t>
      </w:r>
      <w:proofErr w:type="spellEnd"/>
      <w:r w:rsidRPr="00BC213E">
        <w:rPr>
          <w:rFonts w:asciiTheme="majorHAnsi" w:hAnsiTheme="majorHAnsi"/>
          <w:color w:val="auto"/>
          <w:szCs w:val="16"/>
        </w:rPr>
        <w:t xml:space="preserve"> </w:t>
      </w:r>
      <w:proofErr w:type="spellStart"/>
      <w:r w:rsidRPr="00BC213E">
        <w:rPr>
          <w:rFonts w:asciiTheme="majorHAnsi" w:hAnsiTheme="majorHAnsi"/>
          <w:color w:val="auto"/>
          <w:szCs w:val="16"/>
        </w:rPr>
        <w:t>Loor</w:t>
      </w:r>
      <w:proofErr w:type="spellEnd"/>
      <w:r w:rsidRPr="00BC213E">
        <w:rPr>
          <w:rFonts w:asciiTheme="majorHAnsi" w:hAnsiTheme="majorHAnsi"/>
          <w:color w:val="auto"/>
          <w:szCs w:val="16"/>
        </w:rPr>
        <w:t xml:space="preserve"> v. Panama. Preliminary Objections, Merits, Reparations and Costs. Judgment of November 23, 2010. Series C No. 218, para. 166.</w:t>
      </w:r>
    </w:p>
  </w:footnote>
  <w:footnote w:id="92">
    <w:p w14:paraId="675FA941" w14:textId="77777777"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IACHR, Report on Immigration in the United States: Detention and Due Process, OEA/</w:t>
      </w:r>
      <w:proofErr w:type="spellStart"/>
      <w:r w:rsidRPr="00BC213E">
        <w:rPr>
          <w:rFonts w:asciiTheme="majorHAnsi" w:hAnsiTheme="majorHAnsi"/>
          <w:color w:val="auto"/>
          <w:szCs w:val="16"/>
        </w:rPr>
        <w:t>Ser.L</w:t>
      </w:r>
      <w:proofErr w:type="spellEnd"/>
      <w:r w:rsidRPr="00BC213E">
        <w:rPr>
          <w:rFonts w:asciiTheme="majorHAnsi" w:hAnsiTheme="majorHAnsi"/>
          <w:color w:val="auto"/>
          <w:szCs w:val="16"/>
        </w:rPr>
        <w:t>/V/II, December 30, 2010, para. 38</w:t>
      </w:r>
    </w:p>
  </w:footnote>
  <w:footnote w:id="93">
    <w:p w14:paraId="5BED109B" w14:textId="62C1064A"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I/A Court H.R., Advisory Opinion OC21/14 Rights and Guarantees of Children in the Context of Migration and/or in Need of International Protection, August 19, 2014 , para. 154.</w:t>
      </w:r>
    </w:p>
  </w:footnote>
  <w:footnote w:id="94">
    <w:p w14:paraId="13201825" w14:textId="5CD7D8A0" w:rsidR="003B5615" w:rsidRPr="001F2F25" w:rsidRDefault="003B5615">
      <w:pPr>
        <w:pStyle w:val="FootnoteText"/>
      </w:pPr>
      <w:r>
        <w:rPr>
          <w:rStyle w:val="FootnoteReference"/>
        </w:rPr>
        <w:footnoteRef/>
      </w:r>
      <w:r>
        <w:t xml:space="preserve"> </w:t>
      </w:r>
      <w:r w:rsidRPr="00BC213E">
        <w:rPr>
          <w:rFonts w:asciiTheme="majorHAnsi" w:hAnsiTheme="majorHAnsi"/>
          <w:color w:val="auto"/>
          <w:szCs w:val="16"/>
        </w:rPr>
        <w:t>I/A Court H.R., Advisory Opinion OC21/14 Rights and Guarantees of Children in the Context of Migration and/or in Need of International Protect</w:t>
      </w:r>
      <w:r>
        <w:rPr>
          <w:rFonts w:asciiTheme="majorHAnsi" w:hAnsiTheme="majorHAnsi"/>
          <w:color w:val="auto"/>
          <w:szCs w:val="16"/>
        </w:rPr>
        <w:t>ion, August 19, 2014 , para. 283.6</w:t>
      </w:r>
      <w:r w:rsidRPr="00BC213E">
        <w:rPr>
          <w:rFonts w:asciiTheme="majorHAnsi" w:hAnsiTheme="majorHAnsi"/>
          <w:color w:val="auto"/>
          <w:szCs w:val="16"/>
        </w:rPr>
        <w:t>.</w:t>
      </w:r>
    </w:p>
  </w:footnote>
  <w:footnote w:id="95">
    <w:p w14:paraId="30A2FD06" w14:textId="77777777"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584C19">
        <w:rPr>
          <w:rFonts w:asciiTheme="majorHAnsi" w:hAnsiTheme="majorHAnsi"/>
          <w:color w:val="auto"/>
          <w:szCs w:val="16"/>
        </w:rPr>
        <w:t xml:space="preserve"> IACHR, Rafael Ferrer</w:t>
      </w:r>
      <w:r w:rsidRPr="00584C19">
        <w:rPr>
          <w:rFonts w:asciiTheme="majorHAnsi" w:hAnsiTheme="majorHAnsi" w:cs="Cambria Math"/>
          <w:color w:val="auto"/>
          <w:szCs w:val="16"/>
        </w:rPr>
        <w:t>‐</w:t>
      </w:r>
      <w:proofErr w:type="spellStart"/>
      <w:r w:rsidRPr="00584C19">
        <w:rPr>
          <w:rFonts w:asciiTheme="majorHAnsi" w:hAnsiTheme="majorHAnsi"/>
          <w:color w:val="auto"/>
          <w:szCs w:val="16"/>
        </w:rPr>
        <w:t>Mazorra</w:t>
      </w:r>
      <w:proofErr w:type="spellEnd"/>
      <w:r w:rsidRPr="00584C19">
        <w:rPr>
          <w:rFonts w:asciiTheme="majorHAnsi" w:hAnsiTheme="majorHAnsi"/>
          <w:color w:val="auto"/>
          <w:szCs w:val="16"/>
        </w:rPr>
        <w:t xml:space="preserve"> et al. </w:t>
      </w:r>
      <w:r w:rsidRPr="00BC213E">
        <w:rPr>
          <w:rFonts w:asciiTheme="majorHAnsi" w:hAnsiTheme="majorHAnsi"/>
          <w:color w:val="auto"/>
          <w:szCs w:val="16"/>
        </w:rPr>
        <w:t>(United States), Report No. 51/01 (Merits), Case No. 9903, para. 219 (April 4, 2001). See also IACHR, Principles and Best Practices on the Protection of Persons Deprived of Liberty in the Americas (“Inter</w:t>
      </w:r>
      <w:r w:rsidRPr="00BC213E">
        <w:rPr>
          <w:rFonts w:asciiTheme="majorHAnsi" w:hAnsiTheme="majorHAnsi" w:cs="Cambria Math"/>
          <w:color w:val="auto"/>
          <w:szCs w:val="16"/>
        </w:rPr>
        <w:t>‐</w:t>
      </w:r>
      <w:r w:rsidRPr="00BC213E">
        <w:rPr>
          <w:rFonts w:asciiTheme="majorHAnsi" w:hAnsiTheme="majorHAnsi"/>
          <w:color w:val="auto"/>
          <w:szCs w:val="16"/>
        </w:rPr>
        <w:t>American Principles on Detention</w:t>
      </w:r>
      <w:r w:rsidRPr="00BC213E">
        <w:rPr>
          <w:rFonts w:asciiTheme="majorHAnsi" w:hAnsiTheme="majorHAnsi" w:cs="Times New Roman"/>
          <w:color w:val="auto"/>
          <w:szCs w:val="16"/>
        </w:rPr>
        <w:t>”</w:t>
      </w:r>
      <w:r w:rsidRPr="00BC213E">
        <w:rPr>
          <w:rFonts w:asciiTheme="majorHAnsi" w:hAnsiTheme="majorHAnsi"/>
          <w:color w:val="auto"/>
          <w:szCs w:val="16"/>
        </w:rPr>
        <w:t>), Principle III(2) (2008). Principle III of the Inter</w:t>
      </w:r>
      <w:r w:rsidRPr="00BC213E">
        <w:rPr>
          <w:rFonts w:asciiTheme="majorHAnsi" w:hAnsiTheme="majorHAnsi" w:cs="Cambria Math"/>
          <w:color w:val="auto"/>
          <w:szCs w:val="16"/>
        </w:rPr>
        <w:t>‐</w:t>
      </w:r>
      <w:r w:rsidRPr="00BC213E">
        <w:rPr>
          <w:rFonts w:asciiTheme="majorHAnsi" w:hAnsiTheme="majorHAnsi"/>
          <w:color w:val="auto"/>
          <w:szCs w:val="16"/>
        </w:rPr>
        <w:t>American Principles on Detention</w:t>
      </w:r>
      <w:r w:rsidRPr="00BC213E">
        <w:rPr>
          <w:rFonts w:asciiTheme="majorHAnsi" w:hAnsiTheme="majorHAnsi" w:cs="Times New Roman"/>
          <w:color w:val="auto"/>
          <w:szCs w:val="16"/>
        </w:rPr>
        <w:t>  </w:t>
      </w:r>
      <w:r w:rsidRPr="00BC213E">
        <w:rPr>
          <w:rFonts w:asciiTheme="majorHAnsi" w:hAnsiTheme="majorHAnsi"/>
          <w:color w:val="auto"/>
          <w:szCs w:val="16"/>
        </w:rPr>
        <w:t xml:space="preserve">provides the following as the underlying premise: </w:t>
      </w:r>
      <w:r w:rsidRPr="00BC213E">
        <w:rPr>
          <w:rFonts w:asciiTheme="majorHAnsi" w:hAnsiTheme="majorHAnsi" w:cs="Times New Roman"/>
          <w:color w:val="auto"/>
          <w:szCs w:val="16"/>
        </w:rPr>
        <w:t>“</w:t>
      </w:r>
      <w:r w:rsidRPr="00BC213E">
        <w:rPr>
          <w:rFonts w:asciiTheme="majorHAnsi" w:hAnsiTheme="majorHAnsi"/>
          <w:color w:val="auto"/>
          <w:szCs w:val="16"/>
        </w:rPr>
        <w:t>The law shall ensure that personal liberty is the general rule in judicial and administrative procedures, and that preventive deprivation of liberty is applied as an exception, in accordance with international human rights instrument. . . .”</w:t>
      </w:r>
    </w:p>
  </w:footnote>
  <w:footnote w:id="96">
    <w:p w14:paraId="77D1AC8A" w14:textId="77777777"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4311FE">
        <w:rPr>
          <w:rFonts w:asciiTheme="majorHAnsi" w:hAnsiTheme="majorHAnsi"/>
          <w:color w:val="auto"/>
          <w:szCs w:val="16"/>
          <w:lang w:val="es-US"/>
        </w:rPr>
        <w:t xml:space="preserve"> IACHR, Rafael Ferrer</w:t>
      </w:r>
      <w:r w:rsidRPr="004311FE">
        <w:rPr>
          <w:rFonts w:asciiTheme="majorHAnsi" w:hAnsiTheme="majorHAnsi" w:cs="Cambria Math"/>
          <w:color w:val="auto"/>
          <w:szCs w:val="16"/>
          <w:lang w:val="es-US"/>
        </w:rPr>
        <w:t>‐</w:t>
      </w:r>
      <w:proofErr w:type="spellStart"/>
      <w:r w:rsidRPr="004311FE">
        <w:rPr>
          <w:rFonts w:asciiTheme="majorHAnsi" w:hAnsiTheme="majorHAnsi"/>
          <w:color w:val="auto"/>
          <w:szCs w:val="16"/>
          <w:lang w:val="es-US"/>
        </w:rPr>
        <w:t>Mazorra</w:t>
      </w:r>
      <w:proofErr w:type="spellEnd"/>
      <w:r w:rsidRPr="004311FE">
        <w:rPr>
          <w:rFonts w:asciiTheme="majorHAnsi" w:hAnsiTheme="majorHAnsi"/>
          <w:color w:val="auto"/>
          <w:szCs w:val="16"/>
          <w:lang w:val="es-US"/>
        </w:rPr>
        <w:t xml:space="preserve"> et al. </w:t>
      </w:r>
      <w:r w:rsidRPr="00BC213E">
        <w:rPr>
          <w:rFonts w:asciiTheme="majorHAnsi" w:hAnsiTheme="majorHAnsi"/>
          <w:color w:val="auto"/>
          <w:szCs w:val="16"/>
        </w:rPr>
        <w:t>(United States), Report No. 51/01 (Merits), Case No. 9903, para. 242 (April 4, 2001); See also IACHR, Inter</w:t>
      </w:r>
      <w:r w:rsidRPr="00BC213E">
        <w:rPr>
          <w:rFonts w:asciiTheme="majorHAnsi" w:hAnsiTheme="majorHAnsi" w:cs="Cambria Math"/>
          <w:color w:val="auto"/>
          <w:szCs w:val="16"/>
        </w:rPr>
        <w:t>‐</w:t>
      </w:r>
      <w:r w:rsidRPr="00BC213E">
        <w:rPr>
          <w:rFonts w:asciiTheme="majorHAnsi" w:hAnsiTheme="majorHAnsi"/>
          <w:color w:val="auto"/>
          <w:szCs w:val="16"/>
        </w:rPr>
        <w:t>American Principles on Detention, Principle III, Principle III which states that “preventive deprivation of liberty is a precautionary measure, not a punitive one, which shall additionally comply with the principles of legality, the presumption of innocence, need, and proportionality, to the extent strictly necessary in a democratic society.”</w:t>
      </w:r>
    </w:p>
  </w:footnote>
  <w:footnote w:id="97">
    <w:p w14:paraId="41D51069" w14:textId="2523A015"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4311FE">
        <w:rPr>
          <w:rFonts w:asciiTheme="majorHAnsi" w:hAnsiTheme="majorHAnsi"/>
          <w:color w:val="auto"/>
          <w:szCs w:val="16"/>
          <w:lang w:val="es-US"/>
        </w:rPr>
        <w:t xml:space="preserve"> IACHR, Rafael Ferrer</w:t>
      </w:r>
      <w:r w:rsidRPr="004311FE">
        <w:rPr>
          <w:rFonts w:asciiTheme="majorHAnsi" w:hAnsiTheme="majorHAnsi" w:cs="Cambria Math"/>
          <w:color w:val="auto"/>
          <w:szCs w:val="16"/>
          <w:lang w:val="es-US"/>
        </w:rPr>
        <w:t>‐</w:t>
      </w:r>
      <w:proofErr w:type="spellStart"/>
      <w:r w:rsidRPr="004311FE">
        <w:rPr>
          <w:rFonts w:asciiTheme="majorHAnsi" w:hAnsiTheme="majorHAnsi"/>
          <w:color w:val="auto"/>
          <w:szCs w:val="16"/>
          <w:lang w:val="es-US"/>
        </w:rPr>
        <w:t>Mazorra</w:t>
      </w:r>
      <w:proofErr w:type="spellEnd"/>
      <w:r w:rsidRPr="004311FE">
        <w:rPr>
          <w:rFonts w:asciiTheme="majorHAnsi" w:hAnsiTheme="majorHAnsi"/>
          <w:color w:val="auto"/>
          <w:szCs w:val="16"/>
          <w:lang w:val="es-US"/>
        </w:rPr>
        <w:t xml:space="preserve"> et al. </w:t>
      </w:r>
      <w:r w:rsidRPr="00BC213E">
        <w:rPr>
          <w:rFonts w:asciiTheme="majorHAnsi" w:hAnsiTheme="majorHAnsi"/>
          <w:color w:val="auto"/>
          <w:szCs w:val="16"/>
        </w:rPr>
        <w:t>(United States), Report No. 51/01 (Merits), Case No. 9903, para. 221 (April 4, 2001).</w:t>
      </w:r>
    </w:p>
  </w:footnote>
  <w:footnote w:id="98">
    <w:p w14:paraId="25E363BD" w14:textId="4A13EB74"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United Nations, Working Group on Arbitrary Detention, Group Report, Annex II, Deliberation No. 5: Situation regarding immigrants and asylum-seekers, 1999, E/CN.4/2000/4, Principle 7; I/A Court H.R., Case of </w:t>
      </w:r>
      <w:proofErr w:type="spellStart"/>
      <w:r w:rsidRPr="00BC213E">
        <w:rPr>
          <w:rFonts w:asciiTheme="majorHAnsi" w:hAnsiTheme="majorHAnsi"/>
          <w:color w:val="auto"/>
          <w:szCs w:val="16"/>
        </w:rPr>
        <w:t>Vélez</w:t>
      </w:r>
      <w:proofErr w:type="spellEnd"/>
      <w:r w:rsidRPr="00BC213E">
        <w:rPr>
          <w:rFonts w:asciiTheme="majorHAnsi" w:hAnsiTheme="majorHAnsi"/>
          <w:color w:val="auto"/>
          <w:szCs w:val="16"/>
        </w:rPr>
        <w:t xml:space="preserve"> </w:t>
      </w:r>
      <w:proofErr w:type="spellStart"/>
      <w:r w:rsidRPr="00BC213E">
        <w:rPr>
          <w:rFonts w:asciiTheme="majorHAnsi" w:hAnsiTheme="majorHAnsi"/>
          <w:color w:val="auto"/>
          <w:szCs w:val="16"/>
        </w:rPr>
        <w:t>Loor</w:t>
      </w:r>
      <w:proofErr w:type="spellEnd"/>
      <w:r w:rsidRPr="00BC213E">
        <w:rPr>
          <w:rFonts w:asciiTheme="majorHAnsi" w:hAnsiTheme="majorHAnsi"/>
          <w:color w:val="auto"/>
          <w:szCs w:val="16"/>
        </w:rPr>
        <w:t xml:space="preserve"> v. Panama. Preliminary Objections, Merits, Reparations, and Costs. Judgment of November 23, 2010 Series C No. 218, para. 117.</w:t>
      </w:r>
    </w:p>
  </w:footnote>
  <w:footnote w:id="99">
    <w:p w14:paraId="1F760A1A" w14:textId="793C9B6D"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I/A Court H.R., Case of </w:t>
      </w:r>
      <w:proofErr w:type="spellStart"/>
      <w:r w:rsidRPr="00BC213E">
        <w:rPr>
          <w:rFonts w:asciiTheme="majorHAnsi" w:hAnsiTheme="majorHAnsi"/>
          <w:color w:val="auto"/>
          <w:szCs w:val="16"/>
        </w:rPr>
        <w:t>Vélez</w:t>
      </w:r>
      <w:proofErr w:type="spellEnd"/>
      <w:r w:rsidRPr="00BC213E">
        <w:rPr>
          <w:rFonts w:asciiTheme="majorHAnsi" w:hAnsiTheme="majorHAnsi"/>
          <w:color w:val="auto"/>
          <w:szCs w:val="16"/>
        </w:rPr>
        <w:t xml:space="preserve"> </w:t>
      </w:r>
      <w:proofErr w:type="spellStart"/>
      <w:r w:rsidRPr="00BC213E">
        <w:rPr>
          <w:rFonts w:asciiTheme="majorHAnsi" w:hAnsiTheme="majorHAnsi"/>
          <w:color w:val="auto"/>
          <w:szCs w:val="16"/>
        </w:rPr>
        <w:t>Loor</w:t>
      </w:r>
      <w:proofErr w:type="spellEnd"/>
      <w:r w:rsidRPr="00BC213E">
        <w:rPr>
          <w:rFonts w:asciiTheme="majorHAnsi" w:hAnsiTheme="majorHAnsi"/>
          <w:color w:val="auto"/>
          <w:szCs w:val="16"/>
        </w:rPr>
        <w:t xml:space="preserve"> v. Panama. Preliminary Objections, Merits, Reparations, and Costs. Judgment of November 23, 2010 Series C No. 218, para. 117.</w:t>
      </w:r>
    </w:p>
  </w:footnote>
  <w:footnote w:id="100">
    <w:p w14:paraId="0E6E4304" w14:textId="77777777"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IACHR, </w:t>
      </w:r>
      <w:r w:rsidRPr="00BC213E">
        <w:rPr>
          <w:rFonts w:asciiTheme="majorHAnsi" w:hAnsiTheme="majorHAnsi"/>
          <w:i/>
          <w:color w:val="auto"/>
          <w:szCs w:val="16"/>
        </w:rPr>
        <w:t>Report on Terrorism and Human Rights</w:t>
      </w:r>
      <w:r w:rsidRPr="00BC213E">
        <w:rPr>
          <w:rFonts w:asciiTheme="majorHAnsi" w:hAnsiTheme="majorHAnsi"/>
          <w:color w:val="auto"/>
          <w:szCs w:val="16"/>
        </w:rPr>
        <w:t xml:space="preserve">, para. 167 (citing </w:t>
      </w:r>
      <w:r w:rsidRPr="00BC213E">
        <w:rPr>
          <w:rFonts w:asciiTheme="majorHAnsi" w:hAnsiTheme="majorHAnsi" w:cs="Arial"/>
          <w:color w:val="auto"/>
          <w:szCs w:val="16"/>
        </w:rPr>
        <w:t xml:space="preserve">UN Standard Minimum Rules for the Treatment of Prisoners, Rules 8-34; </w:t>
      </w:r>
      <w:r w:rsidRPr="00BC213E">
        <w:rPr>
          <w:rFonts w:asciiTheme="majorHAnsi" w:hAnsiTheme="majorHAnsi" w:cs="Arial"/>
          <w:i/>
          <w:color w:val="auto"/>
          <w:szCs w:val="16"/>
        </w:rPr>
        <w:t xml:space="preserve">see also </w:t>
      </w:r>
      <w:r w:rsidRPr="00BC213E">
        <w:rPr>
          <w:rFonts w:asciiTheme="majorHAnsi" w:hAnsiTheme="majorHAnsi"/>
          <w:color w:val="auto"/>
          <w:szCs w:val="16"/>
        </w:rPr>
        <w:t xml:space="preserve">IACHR, </w:t>
      </w:r>
      <w:r w:rsidRPr="00BC213E">
        <w:rPr>
          <w:rFonts w:asciiTheme="majorHAnsi" w:hAnsiTheme="majorHAnsi"/>
          <w:i/>
          <w:color w:val="auto"/>
          <w:szCs w:val="16"/>
        </w:rPr>
        <w:t>Report on Persons Deprived of Liberty</w:t>
      </w:r>
      <w:r w:rsidRPr="00BC213E">
        <w:rPr>
          <w:rFonts w:asciiTheme="majorHAnsi" w:hAnsiTheme="majorHAnsi"/>
          <w:color w:val="auto"/>
          <w:szCs w:val="16"/>
        </w:rPr>
        <w:t xml:space="preserve"> (2011), para. 432</w:t>
      </w:r>
      <w:r w:rsidRPr="00BC213E">
        <w:rPr>
          <w:rFonts w:asciiTheme="majorHAnsi" w:hAnsiTheme="majorHAnsi" w:cs="Arial"/>
          <w:color w:val="auto"/>
          <w:szCs w:val="16"/>
        </w:rPr>
        <w:t xml:space="preserve">). </w:t>
      </w:r>
    </w:p>
  </w:footnote>
  <w:footnote w:id="101">
    <w:p w14:paraId="370DB371" w14:textId="77777777" w:rsidR="003B5615" w:rsidRPr="00BC213E" w:rsidRDefault="003B5615" w:rsidP="00DE251A">
      <w:pPr>
        <w:jc w:val="both"/>
        <w:rPr>
          <w:rFonts w:asciiTheme="majorHAnsi" w:hAnsiTheme="majorHAnsi"/>
          <w:sz w:val="16"/>
          <w:szCs w:val="16"/>
        </w:rPr>
      </w:pPr>
      <w:r w:rsidRPr="00BC213E">
        <w:rPr>
          <w:rStyle w:val="FootnoteReference"/>
          <w:rFonts w:asciiTheme="majorHAnsi" w:hAnsiTheme="majorHAnsi"/>
          <w:sz w:val="16"/>
          <w:szCs w:val="16"/>
        </w:rPr>
        <w:footnoteRef/>
      </w:r>
      <w:r w:rsidRPr="00BC213E">
        <w:rPr>
          <w:rFonts w:asciiTheme="majorHAnsi" w:hAnsiTheme="majorHAnsi"/>
          <w:sz w:val="16"/>
          <w:szCs w:val="16"/>
        </w:rPr>
        <w:t xml:space="preserve"> IACHR, </w:t>
      </w:r>
      <w:r w:rsidRPr="00BC213E">
        <w:rPr>
          <w:rFonts w:asciiTheme="majorHAnsi" w:hAnsiTheme="majorHAnsi"/>
          <w:i/>
          <w:sz w:val="16"/>
          <w:szCs w:val="16"/>
        </w:rPr>
        <w:t>Report on Persons Deprived of Liberty</w:t>
      </w:r>
      <w:r w:rsidRPr="00BC213E">
        <w:rPr>
          <w:rFonts w:asciiTheme="majorHAnsi" w:hAnsiTheme="majorHAnsi"/>
          <w:sz w:val="16"/>
          <w:szCs w:val="16"/>
        </w:rPr>
        <w:t xml:space="preserve"> (2011), para. 432 (citing IACHR, Report No. 28/09, Case 12.269, Merits, Dexter </w:t>
      </w:r>
      <w:proofErr w:type="spellStart"/>
      <w:r w:rsidRPr="00BC213E">
        <w:rPr>
          <w:rFonts w:asciiTheme="majorHAnsi" w:hAnsiTheme="majorHAnsi"/>
          <w:sz w:val="16"/>
          <w:szCs w:val="16"/>
        </w:rPr>
        <w:t>Lendore</w:t>
      </w:r>
      <w:proofErr w:type="spellEnd"/>
      <w:r w:rsidRPr="00BC213E">
        <w:rPr>
          <w:rFonts w:asciiTheme="majorHAnsi" w:hAnsiTheme="majorHAnsi"/>
          <w:sz w:val="16"/>
          <w:szCs w:val="16"/>
        </w:rPr>
        <w:t xml:space="preserve">, Trinidad y Tobago, Mar. 20, 2009, paras. 30-31; Report No. 78/07, Case 12.265, Merits, Chad Roger Goodman, Bahamas, Oct. 15, 2007, paras. 86-87; Report No. 67/06, Case 12.476, Merits, Oscar Elías </w:t>
      </w:r>
      <w:proofErr w:type="spellStart"/>
      <w:r w:rsidRPr="00BC213E">
        <w:rPr>
          <w:rFonts w:asciiTheme="majorHAnsi" w:hAnsiTheme="majorHAnsi"/>
          <w:sz w:val="16"/>
          <w:szCs w:val="16"/>
        </w:rPr>
        <w:t>Bicet</w:t>
      </w:r>
      <w:proofErr w:type="spellEnd"/>
      <w:r w:rsidRPr="00BC213E">
        <w:rPr>
          <w:rFonts w:asciiTheme="majorHAnsi" w:hAnsiTheme="majorHAnsi"/>
          <w:sz w:val="16"/>
          <w:szCs w:val="16"/>
        </w:rPr>
        <w:t xml:space="preserve"> </w:t>
      </w:r>
      <w:r w:rsidRPr="00BC213E">
        <w:rPr>
          <w:rFonts w:asciiTheme="majorHAnsi" w:hAnsiTheme="majorHAnsi"/>
          <w:i/>
          <w:sz w:val="16"/>
          <w:szCs w:val="16"/>
        </w:rPr>
        <w:t>et al</w:t>
      </w:r>
      <w:r w:rsidRPr="00BC213E">
        <w:rPr>
          <w:rFonts w:asciiTheme="majorHAnsi" w:hAnsiTheme="majorHAnsi"/>
          <w:sz w:val="16"/>
          <w:szCs w:val="16"/>
        </w:rPr>
        <w:t xml:space="preserve">., Cuba, Oct. 21, 2006, para. 152; Report No. 76/02, Case 12.347, Merits, Dave Sewell, Jamaica, Dec. 27, 2002, paras. 114- 115). </w:t>
      </w:r>
    </w:p>
  </w:footnote>
  <w:footnote w:id="102">
    <w:p w14:paraId="23A9B85D" w14:textId="77777777" w:rsidR="003B5615" w:rsidRPr="00BC213E" w:rsidRDefault="003B5615" w:rsidP="00DE251A">
      <w:pPr>
        <w:pStyle w:val="FootnoteText"/>
        <w:jc w:val="both"/>
        <w:rPr>
          <w:rFonts w:asciiTheme="majorHAnsi" w:hAnsiTheme="majorHAnsi"/>
          <w:color w:val="auto"/>
          <w:szCs w:val="16"/>
          <w:lang w:val="en-GB"/>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Report of the Working Group on Arbitrary Detention, UN Doc. A/HRC/10/21, Feb. 16, 2009. Ch. III: Thematic considerations, para. 46. </w:t>
      </w:r>
    </w:p>
  </w:footnote>
  <w:footnote w:id="103">
    <w:p w14:paraId="4112981C" w14:textId="77777777"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IACHR, Special Report on the Human Rights Situation at the </w:t>
      </w:r>
      <w:proofErr w:type="spellStart"/>
      <w:r w:rsidRPr="00BC213E">
        <w:rPr>
          <w:rFonts w:asciiTheme="majorHAnsi" w:hAnsiTheme="majorHAnsi"/>
          <w:color w:val="auto"/>
          <w:szCs w:val="16"/>
        </w:rPr>
        <w:t>Challapalca</w:t>
      </w:r>
      <w:proofErr w:type="spellEnd"/>
      <w:r w:rsidRPr="00BC213E">
        <w:rPr>
          <w:rFonts w:asciiTheme="majorHAnsi" w:hAnsiTheme="majorHAnsi"/>
          <w:color w:val="auto"/>
          <w:szCs w:val="16"/>
        </w:rPr>
        <w:t xml:space="preserve"> prison in Peru, para. 113; IACHR, Report No. 41/99, Merits, Minors in Detention, Honduras, March 10 1999, para. 135. </w:t>
      </w:r>
    </w:p>
  </w:footnote>
  <w:footnote w:id="104">
    <w:p w14:paraId="0162393A" w14:textId="7B56C015"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I/A Court H.R., Case of </w:t>
      </w:r>
      <w:proofErr w:type="spellStart"/>
      <w:r w:rsidRPr="00BC213E">
        <w:rPr>
          <w:rFonts w:asciiTheme="majorHAnsi" w:hAnsiTheme="majorHAnsi"/>
          <w:color w:val="auto"/>
          <w:szCs w:val="16"/>
        </w:rPr>
        <w:t>Vélez</w:t>
      </w:r>
      <w:proofErr w:type="spellEnd"/>
      <w:r w:rsidRPr="00BC213E">
        <w:rPr>
          <w:rFonts w:asciiTheme="majorHAnsi" w:hAnsiTheme="majorHAnsi"/>
          <w:color w:val="auto"/>
          <w:szCs w:val="16"/>
        </w:rPr>
        <w:t xml:space="preserve"> </w:t>
      </w:r>
      <w:proofErr w:type="spellStart"/>
      <w:r w:rsidRPr="00BC213E">
        <w:rPr>
          <w:rFonts w:asciiTheme="majorHAnsi" w:hAnsiTheme="majorHAnsi"/>
          <w:color w:val="auto"/>
          <w:szCs w:val="16"/>
        </w:rPr>
        <w:t>Loor</w:t>
      </w:r>
      <w:proofErr w:type="spellEnd"/>
      <w:r w:rsidRPr="00BC213E">
        <w:rPr>
          <w:rFonts w:asciiTheme="majorHAnsi" w:hAnsiTheme="majorHAnsi"/>
          <w:color w:val="auto"/>
          <w:szCs w:val="16"/>
        </w:rPr>
        <w:t xml:space="preserve"> v. Panama. Preliminary Objections, Merits, Reparations, and Costs. Judgment of November 23, 2010 Series C No. 218, para. 209.</w:t>
      </w:r>
    </w:p>
  </w:footnote>
  <w:footnote w:id="105">
    <w:p w14:paraId="303A0B63" w14:textId="0257DD5F"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IACHR, Report No. 28/09, Case 12.269, Merits, Dexter </w:t>
      </w:r>
      <w:proofErr w:type="spellStart"/>
      <w:r w:rsidRPr="00BC213E">
        <w:rPr>
          <w:rFonts w:asciiTheme="majorHAnsi" w:hAnsiTheme="majorHAnsi"/>
          <w:color w:val="auto"/>
          <w:szCs w:val="16"/>
        </w:rPr>
        <w:t>Lendore</w:t>
      </w:r>
      <w:proofErr w:type="spellEnd"/>
      <w:r w:rsidRPr="00BC213E">
        <w:rPr>
          <w:rFonts w:asciiTheme="majorHAnsi" w:hAnsiTheme="majorHAnsi"/>
          <w:color w:val="auto"/>
          <w:szCs w:val="16"/>
        </w:rPr>
        <w:t xml:space="preserve">, Trinidad y Tobago, Mar. 20, 2009, para. 34; Report No. 76/02, Case 12.347, Merits, Dave Sewell, Jamaica, Dec. 27, 2002, para. 116; Report No. 56/02, Case 12.158, Merits, Benedict Jacob, Grenada, Oct. 21, 2002, para. 94; Report No. 41/04, Case 12.417, Merits, Whitley </w:t>
      </w:r>
      <w:proofErr w:type="spellStart"/>
      <w:r w:rsidRPr="00BC213E">
        <w:rPr>
          <w:rFonts w:asciiTheme="majorHAnsi" w:hAnsiTheme="majorHAnsi"/>
          <w:color w:val="auto"/>
          <w:szCs w:val="16"/>
        </w:rPr>
        <w:t>Myrie</w:t>
      </w:r>
      <w:proofErr w:type="spellEnd"/>
      <w:r w:rsidRPr="00BC213E">
        <w:rPr>
          <w:rFonts w:asciiTheme="majorHAnsi" w:hAnsiTheme="majorHAnsi"/>
          <w:color w:val="auto"/>
          <w:szCs w:val="16"/>
        </w:rPr>
        <w:t xml:space="preserve">, Jamaica, Oct. 12, 2004, para. 46. </w:t>
      </w:r>
    </w:p>
  </w:footnote>
  <w:footnote w:id="106">
    <w:p w14:paraId="3DD399FA" w14:textId="0CA387B1" w:rsidR="003B5615" w:rsidRPr="00BC213E" w:rsidRDefault="003B5615" w:rsidP="00DE251A">
      <w:pPr>
        <w:jc w:val="both"/>
        <w:rPr>
          <w:rFonts w:asciiTheme="majorHAnsi" w:hAnsiTheme="majorHAnsi"/>
          <w:sz w:val="16"/>
          <w:szCs w:val="16"/>
        </w:rPr>
      </w:pPr>
      <w:r w:rsidRPr="00BC213E">
        <w:rPr>
          <w:rStyle w:val="FootnoteReference"/>
          <w:rFonts w:asciiTheme="majorHAnsi" w:hAnsiTheme="majorHAnsi"/>
          <w:sz w:val="16"/>
          <w:szCs w:val="16"/>
        </w:rPr>
        <w:footnoteRef/>
      </w:r>
      <w:r w:rsidRPr="00BC213E">
        <w:rPr>
          <w:rFonts w:asciiTheme="majorHAnsi" w:hAnsiTheme="majorHAnsi"/>
          <w:sz w:val="16"/>
          <w:szCs w:val="16"/>
        </w:rPr>
        <w:t xml:space="preserve"> See, </w:t>
      </w:r>
      <w:r w:rsidRPr="00BC213E">
        <w:rPr>
          <w:rFonts w:asciiTheme="majorHAnsi" w:hAnsiTheme="majorHAnsi"/>
          <w:i/>
          <w:sz w:val="16"/>
          <w:szCs w:val="16"/>
        </w:rPr>
        <w:t>e.g.</w:t>
      </w:r>
      <w:r w:rsidRPr="00BC213E">
        <w:rPr>
          <w:rFonts w:asciiTheme="majorHAnsi" w:hAnsiTheme="majorHAnsi"/>
          <w:sz w:val="16"/>
          <w:szCs w:val="16"/>
        </w:rPr>
        <w:t xml:space="preserve">, I/A Ct. H.R., </w:t>
      </w:r>
      <w:r w:rsidRPr="00BC213E">
        <w:rPr>
          <w:rFonts w:asciiTheme="majorHAnsi" w:hAnsiTheme="majorHAnsi"/>
          <w:bCs/>
          <w:i/>
          <w:sz w:val="16"/>
          <w:szCs w:val="16"/>
        </w:rPr>
        <w:t xml:space="preserve">Case of </w:t>
      </w:r>
      <w:proofErr w:type="spellStart"/>
      <w:r w:rsidRPr="00BC213E">
        <w:rPr>
          <w:rFonts w:asciiTheme="majorHAnsi" w:hAnsiTheme="majorHAnsi"/>
          <w:bCs/>
          <w:i/>
          <w:sz w:val="16"/>
          <w:szCs w:val="16"/>
        </w:rPr>
        <w:t>Vélez</w:t>
      </w:r>
      <w:proofErr w:type="spellEnd"/>
      <w:r w:rsidRPr="00BC213E">
        <w:rPr>
          <w:rFonts w:asciiTheme="majorHAnsi" w:hAnsiTheme="majorHAnsi"/>
          <w:bCs/>
          <w:i/>
          <w:sz w:val="16"/>
          <w:szCs w:val="16"/>
        </w:rPr>
        <w:t xml:space="preserve"> </w:t>
      </w:r>
      <w:proofErr w:type="spellStart"/>
      <w:r w:rsidRPr="00BC213E">
        <w:rPr>
          <w:rFonts w:asciiTheme="majorHAnsi" w:hAnsiTheme="majorHAnsi"/>
          <w:bCs/>
          <w:i/>
          <w:sz w:val="16"/>
          <w:szCs w:val="16"/>
        </w:rPr>
        <w:t>Loor</w:t>
      </w:r>
      <w:proofErr w:type="spellEnd"/>
      <w:r w:rsidRPr="00BC213E">
        <w:rPr>
          <w:rFonts w:asciiTheme="majorHAnsi" w:hAnsiTheme="majorHAnsi"/>
          <w:bCs/>
          <w:i/>
          <w:sz w:val="16"/>
          <w:szCs w:val="16"/>
        </w:rPr>
        <w:t xml:space="preserve"> V. Panama</w:t>
      </w:r>
      <w:r w:rsidRPr="00BC213E">
        <w:rPr>
          <w:rFonts w:asciiTheme="majorHAnsi" w:hAnsiTheme="majorHAnsi"/>
          <w:bCs/>
          <w:sz w:val="16"/>
          <w:szCs w:val="16"/>
        </w:rPr>
        <w:t xml:space="preserve">. </w:t>
      </w:r>
      <w:r w:rsidRPr="00BC213E">
        <w:rPr>
          <w:rFonts w:asciiTheme="majorHAnsi" w:hAnsiTheme="majorHAnsi"/>
          <w:sz w:val="16"/>
          <w:szCs w:val="16"/>
        </w:rPr>
        <w:t xml:space="preserve">Judgment of Nov. 23, 2010, para. 227; </w:t>
      </w:r>
      <w:r w:rsidRPr="00BC213E">
        <w:rPr>
          <w:rFonts w:asciiTheme="majorHAnsi" w:hAnsiTheme="majorHAnsi"/>
          <w:i/>
          <w:sz w:val="16"/>
          <w:szCs w:val="16"/>
        </w:rPr>
        <w:t>Boyce et al. V. Barbados</w:t>
      </w:r>
      <w:r w:rsidRPr="00BC213E">
        <w:rPr>
          <w:rFonts w:asciiTheme="majorHAnsi" w:hAnsiTheme="majorHAnsi"/>
          <w:sz w:val="16"/>
          <w:szCs w:val="16"/>
        </w:rPr>
        <w:t xml:space="preserve">. Judgment of Nov. 20, 2007, para. 94. </w:t>
      </w:r>
    </w:p>
  </w:footnote>
  <w:footnote w:id="107">
    <w:p w14:paraId="79C6D5F5" w14:textId="7FD43FE1"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IACHR, </w:t>
      </w:r>
      <w:r w:rsidRPr="00BC213E">
        <w:rPr>
          <w:rFonts w:asciiTheme="majorHAnsi" w:hAnsiTheme="majorHAnsi"/>
          <w:i/>
          <w:color w:val="auto"/>
          <w:szCs w:val="16"/>
        </w:rPr>
        <w:t>Report on Persons Deprived of Liberty</w:t>
      </w:r>
      <w:r w:rsidRPr="00BC213E">
        <w:rPr>
          <w:rFonts w:asciiTheme="majorHAnsi" w:hAnsiTheme="majorHAnsi"/>
          <w:color w:val="auto"/>
          <w:szCs w:val="16"/>
        </w:rPr>
        <w:t xml:space="preserve"> (2011), para. 434. </w:t>
      </w:r>
    </w:p>
  </w:footnote>
  <w:footnote w:id="108">
    <w:p w14:paraId="5C0B211F" w14:textId="0067BF7B" w:rsidR="003B5615" w:rsidRPr="00BC213E" w:rsidRDefault="003B5615" w:rsidP="00DE251A">
      <w:pPr>
        <w:jc w:val="both"/>
        <w:rPr>
          <w:rFonts w:asciiTheme="majorHAnsi" w:hAnsiTheme="majorHAnsi"/>
          <w:sz w:val="16"/>
          <w:szCs w:val="16"/>
        </w:rPr>
      </w:pPr>
      <w:r w:rsidRPr="00BC213E">
        <w:rPr>
          <w:rStyle w:val="FootnoteReference"/>
          <w:rFonts w:asciiTheme="majorHAnsi" w:hAnsiTheme="majorHAnsi"/>
          <w:sz w:val="16"/>
          <w:szCs w:val="16"/>
          <w:lang w:val="es-ES"/>
        </w:rPr>
        <w:footnoteRef/>
      </w:r>
      <w:r w:rsidRPr="00BC213E">
        <w:rPr>
          <w:rFonts w:asciiTheme="majorHAnsi" w:hAnsiTheme="majorHAnsi"/>
          <w:sz w:val="16"/>
          <w:szCs w:val="16"/>
        </w:rPr>
        <w:t xml:space="preserve"> IACHR, </w:t>
      </w:r>
      <w:r w:rsidRPr="00BC213E">
        <w:rPr>
          <w:rFonts w:asciiTheme="majorHAnsi" w:hAnsiTheme="majorHAnsi"/>
          <w:i/>
          <w:sz w:val="16"/>
          <w:szCs w:val="16"/>
        </w:rPr>
        <w:t>Report on Persons Deprived of Liberty</w:t>
      </w:r>
      <w:r w:rsidRPr="00BC213E">
        <w:rPr>
          <w:rFonts w:asciiTheme="majorHAnsi" w:hAnsiTheme="majorHAnsi"/>
          <w:sz w:val="16"/>
          <w:szCs w:val="16"/>
        </w:rPr>
        <w:t xml:space="preserve"> (2011), para. </w:t>
      </w:r>
      <w:r w:rsidRPr="00BC213E">
        <w:rPr>
          <w:rFonts w:asciiTheme="majorHAnsi" w:hAnsiTheme="majorHAnsi"/>
          <w:sz w:val="16"/>
          <w:szCs w:val="16"/>
          <w:lang w:val="pt-BR"/>
        </w:rPr>
        <w:t xml:space="preserve">434 (citing, </w:t>
      </w:r>
      <w:r w:rsidRPr="00BC213E">
        <w:rPr>
          <w:rFonts w:asciiTheme="majorHAnsi" w:hAnsiTheme="majorHAnsi"/>
          <w:i/>
          <w:sz w:val="16"/>
          <w:szCs w:val="16"/>
          <w:lang w:val="pt-BR"/>
        </w:rPr>
        <w:t>inter alia</w:t>
      </w:r>
      <w:r w:rsidRPr="00BC213E">
        <w:rPr>
          <w:rFonts w:asciiTheme="majorHAnsi" w:hAnsiTheme="majorHAnsi"/>
          <w:sz w:val="16"/>
          <w:szCs w:val="16"/>
          <w:lang w:val="pt-BR"/>
        </w:rPr>
        <w:t>, I/A Ct. H.R.,</w:t>
      </w:r>
      <w:r w:rsidRPr="00BC213E">
        <w:rPr>
          <w:rFonts w:asciiTheme="majorHAnsi" w:hAnsiTheme="majorHAnsi"/>
          <w:i/>
          <w:sz w:val="16"/>
          <w:szCs w:val="16"/>
          <w:lang w:val="pt-BR"/>
        </w:rPr>
        <w:t xml:space="preserve"> Loayza Tamayo V. Peru</w:t>
      </w:r>
      <w:r w:rsidRPr="00BC213E">
        <w:rPr>
          <w:rFonts w:asciiTheme="majorHAnsi" w:hAnsiTheme="majorHAnsi"/>
          <w:sz w:val="16"/>
          <w:szCs w:val="16"/>
          <w:lang w:val="pt-BR"/>
        </w:rPr>
        <w:t xml:space="preserve">, para. 89; </w:t>
      </w:r>
      <w:r w:rsidRPr="00BC213E">
        <w:rPr>
          <w:rFonts w:asciiTheme="majorHAnsi" w:hAnsiTheme="majorHAnsi"/>
          <w:i/>
          <w:sz w:val="16"/>
          <w:szCs w:val="16"/>
          <w:lang w:val="pt-BR"/>
        </w:rPr>
        <w:t>Cantoral Benavides V. Peru</w:t>
      </w:r>
      <w:r w:rsidRPr="00BC213E">
        <w:rPr>
          <w:rFonts w:asciiTheme="majorHAnsi" w:hAnsiTheme="majorHAnsi"/>
          <w:sz w:val="16"/>
          <w:szCs w:val="16"/>
          <w:lang w:val="pt-BR"/>
        </w:rPr>
        <w:t xml:space="preserve">, para. 85; </w:t>
      </w:r>
      <w:r w:rsidRPr="00BC213E">
        <w:rPr>
          <w:rFonts w:asciiTheme="majorHAnsi" w:hAnsiTheme="majorHAnsi"/>
          <w:i/>
          <w:sz w:val="16"/>
          <w:szCs w:val="16"/>
          <w:lang w:val="pt-BR"/>
        </w:rPr>
        <w:t>Hilaire, et al. V. Trinidad and Tobago</w:t>
      </w:r>
      <w:r w:rsidRPr="00BC213E">
        <w:rPr>
          <w:rFonts w:asciiTheme="majorHAnsi" w:hAnsiTheme="majorHAnsi"/>
          <w:sz w:val="16"/>
          <w:szCs w:val="16"/>
          <w:lang w:val="pt-BR"/>
        </w:rPr>
        <w:t xml:space="preserve">, para. 76.b; </w:t>
      </w:r>
      <w:r w:rsidRPr="00BC213E">
        <w:rPr>
          <w:rFonts w:asciiTheme="majorHAnsi" w:hAnsiTheme="majorHAnsi"/>
          <w:i/>
          <w:sz w:val="16"/>
          <w:szCs w:val="16"/>
          <w:lang w:val="pt-BR"/>
        </w:rPr>
        <w:t>Caesar V. Trinidad and Tobago</w:t>
      </w:r>
      <w:r w:rsidRPr="00BC213E">
        <w:rPr>
          <w:rFonts w:asciiTheme="majorHAnsi" w:hAnsiTheme="majorHAnsi"/>
          <w:sz w:val="16"/>
          <w:szCs w:val="16"/>
          <w:lang w:val="pt-BR"/>
        </w:rPr>
        <w:t xml:space="preserve">, para 99; </w:t>
      </w:r>
      <w:r w:rsidRPr="00BC213E">
        <w:rPr>
          <w:rFonts w:asciiTheme="majorHAnsi" w:hAnsiTheme="majorHAnsi"/>
          <w:i/>
          <w:sz w:val="16"/>
          <w:szCs w:val="16"/>
          <w:lang w:val="pt-BR"/>
        </w:rPr>
        <w:t>Tibi V. Ecuador</w:t>
      </w:r>
      <w:r w:rsidRPr="00BC213E">
        <w:rPr>
          <w:rFonts w:asciiTheme="majorHAnsi" w:hAnsiTheme="majorHAnsi"/>
          <w:sz w:val="16"/>
          <w:szCs w:val="16"/>
          <w:lang w:val="pt-BR"/>
        </w:rPr>
        <w:t xml:space="preserve">, para. 151; </w:t>
      </w:r>
      <w:r w:rsidRPr="00BC213E">
        <w:rPr>
          <w:rFonts w:asciiTheme="majorHAnsi" w:hAnsiTheme="majorHAnsi"/>
          <w:i/>
          <w:sz w:val="16"/>
          <w:szCs w:val="16"/>
          <w:lang w:val="pt-BR"/>
        </w:rPr>
        <w:t>Suárez Rosero V. Ecuador</w:t>
      </w:r>
      <w:r w:rsidRPr="00BC213E">
        <w:rPr>
          <w:rFonts w:asciiTheme="majorHAnsi" w:hAnsiTheme="majorHAnsi"/>
          <w:sz w:val="16"/>
          <w:szCs w:val="16"/>
          <w:lang w:val="pt-BR"/>
        </w:rPr>
        <w:t xml:space="preserve">, para. 91; </w:t>
      </w:r>
      <w:r w:rsidRPr="00BC213E">
        <w:rPr>
          <w:rFonts w:asciiTheme="majorHAnsi" w:hAnsiTheme="majorHAnsi"/>
          <w:i/>
          <w:sz w:val="16"/>
          <w:szCs w:val="16"/>
          <w:lang w:val="pt-BR"/>
        </w:rPr>
        <w:t>“Juvenile Reeducation Institute” V. Paraguay</w:t>
      </w:r>
      <w:r w:rsidRPr="00BC213E">
        <w:rPr>
          <w:rFonts w:asciiTheme="majorHAnsi" w:hAnsiTheme="majorHAnsi"/>
          <w:sz w:val="16"/>
          <w:szCs w:val="16"/>
          <w:lang w:val="pt-BR"/>
        </w:rPr>
        <w:t xml:space="preserve">, paras. 165-171; </w:t>
      </w:r>
      <w:r w:rsidRPr="00BC213E">
        <w:rPr>
          <w:rFonts w:asciiTheme="majorHAnsi" w:hAnsiTheme="majorHAnsi"/>
          <w:i/>
          <w:sz w:val="16"/>
          <w:szCs w:val="16"/>
          <w:lang w:val="pt-BR"/>
        </w:rPr>
        <w:t>Fermín Ramírez V. Guatemala</w:t>
      </w:r>
      <w:r w:rsidRPr="00BC213E">
        <w:rPr>
          <w:rFonts w:asciiTheme="majorHAnsi" w:hAnsiTheme="majorHAnsi"/>
          <w:sz w:val="16"/>
          <w:szCs w:val="16"/>
          <w:lang w:val="pt-BR"/>
        </w:rPr>
        <w:t xml:space="preserve">, paras. 54.55-.57; </w:t>
      </w:r>
      <w:r w:rsidRPr="00BC213E">
        <w:rPr>
          <w:rFonts w:asciiTheme="majorHAnsi" w:hAnsiTheme="majorHAnsi"/>
          <w:i/>
          <w:sz w:val="16"/>
          <w:szCs w:val="16"/>
          <w:lang w:val="pt-BR"/>
        </w:rPr>
        <w:t>Raxcacó Reyes V. Guatemala</w:t>
      </w:r>
      <w:r w:rsidRPr="00BC213E">
        <w:rPr>
          <w:rFonts w:asciiTheme="majorHAnsi" w:hAnsiTheme="majorHAnsi"/>
          <w:sz w:val="16"/>
          <w:szCs w:val="16"/>
          <w:lang w:val="pt-BR"/>
        </w:rPr>
        <w:t xml:space="preserve">, para. 43.23; </w:t>
      </w:r>
      <w:r w:rsidRPr="00BC213E">
        <w:rPr>
          <w:rFonts w:asciiTheme="majorHAnsi" w:hAnsiTheme="majorHAnsi"/>
          <w:i/>
          <w:sz w:val="16"/>
          <w:szCs w:val="16"/>
          <w:lang w:val="pt-BR"/>
        </w:rPr>
        <w:t>García Asto and Ramírez Rojas V. Peru</w:t>
      </w:r>
      <w:r w:rsidRPr="00BC213E">
        <w:rPr>
          <w:rFonts w:asciiTheme="majorHAnsi" w:hAnsiTheme="majorHAnsi"/>
          <w:sz w:val="16"/>
          <w:szCs w:val="16"/>
          <w:lang w:val="pt-BR"/>
        </w:rPr>
        <w:t xml:space="preserve">, paras. 97.55-.57; </w:t>
      </w:r>
      <w:r w:rsidRPr="00BC213E">
        <w:rPr>
          <w:rFonts w:asciiTheme="majorHAnsi" w:hAnsiTheme="majorHAnsi"/>
          <w:i/>
          <w:sz w:val="16"/>
          <w:szCs w:val="16"/>
          <w:lang w:val="pt-BR"/>
        </w:rPr>
        <w:t>López Álvarez V. Honduras</w:t>
      </w:r>
      <w:r w:rsidRPr="00BC213E">
        <w:rPr>
          <w:rFonts w:asciiTheme="majorHAnsi" w:hAnsiTheme="majorHAnsi"/>
          <w:sz w:val="16"/>
          <w:szCs w:val="16"/>
          <w:lang w:val="pt-BR"/>
        </w:rPr>
        <w:t xml:space="preserve">, paras. 54.48 y 108; </w:t>
      </w:r>
      <w:r w:rsidRPr="00BC213E">
        <w:rPr>
          <w:rFonts w:asciiTheme="majorHAnsi" w:hAnsiTheme="majorHAnsi"/>
          <w:i/>
          <w:sz w:val="16"/>
          <w:szCs w:val="16"/>
          <w:lang w:val="pt-BR"/>
        </w:rPr>
        <w:t>Miguel Castro-Castro Prison V. Peru</w:t>
      </w:r>
      <w:r w:rsidRPr="00BC213E">
        <w:rPr>
          <w:rFonts w:asciiTheme="majorHAnsi" w:hAnsiTheme="majorHAnsi"/>
          <w:sz w:val="16"/>
          <w:szCs w:val="16"/>
          <w:lang w:val="pt-BR"/>
        </w:rPr>
        <w:t xml:space="preserve">, paras. </w:t>
      </w:r>
      <w:r w:rsidRPr="00BC213E">
        <w:rPr>
          <w:rFonts w:asciiTheme="majorHAnsi" w:hAnsiTheme="majorHAnsi"/>
          <w:sz w:val="16"/>
          <w:szCs w:val="16"/>
          <w:lang w:val="es-US"/>
        </w:rPr>
        <w:t xml:space="preserve">296 y 297; </w:t>
      </w:r>
      <w:r w:rsidRPr="00BC213E">
        <w:rPr>
          <w:rFonts w:asciiTheme="majorHAnsi" w:hAnsiTheme="majorHAnsi"/>
          <w:i/>
          <w:sz w:val="16"/>
          <w:szCs w:val="16"/>
          <w:lang w:val="es-US"/>
        </w:rPr>
        <w:t>Montero Aranguren et al. V. Venezuela</w:t>
      </w:r>
      <w:r w:rsidRPr="00BC213E">
        <w:rPr>
          <w:rFonts w:asciiTheme="majorHAnsi" w:hAnsiTheme="majorHAnsi"/>
          <w:sz w:val="16"/>
          <w:szCs w:val="16"/>
          <w:lang w:val="es-US"/>
        </w:rPr>
        <w:t xml:space="preserve">, paras. 90-99 y 104; </w:t>
      </w:r>
      <w:r w:rsidRPr="00BC213E">
        <w:rPr>
          <w:rFonts w:asciiTheme="majorHAnsi" w:hAnsiTheme="majorHAnsi"/>
          <w:i/>
          <w:sz w:val="16"/>
          <w:szCs w:val="16"/>
          <w:lang w:val="es-US"/>
        </w:rPr>
        <w:t>Boyce et al. V. Barbados</w:t>
      </w:r>
      <w:r w:rsidRPr="00BC213E">
        <w:rPr>
          <w:rFonts w:asciiTheme="majorHAnsi" w:hAnsiTheme="majorHAnsi"/>
          <w:sz w:val="16"/>
          <w:szCs w:val="16"/>
          <w:lang w:val="es-US"/>
        </w:rPr>
        <w:t xml:space="preserve">, paras. </w:t>
      </w:r>
      <w:r w:rsidRPr="00BC213E">
        <w:rPr>
          <w:rFonts w:asciiTheme="majorHAnsi" w:hAnsiTheme="majorHAnsi"/>
          <w:sz w:val="16"/>
          <w:szCs w:val="16"/>
        </w:rPr>
        <w:t xml:space="preserve">94-102). </w:t>
      </w:r>
    </w:p>
  </w:footnote>
  <w:footnote w:id="109">
    <w:p w14:paraId="645D505B" w14:textId="35FB8DE1" w:rsidR="003B5615" w:rsidRPr="00613430" w:rsidRDefault="003B5615" w:rsidP="00FD47EA">
      <w:pPr>
        <w:pStyle w:val="FootnoteText"/>
      </w:pPr>
      <w:r w:rsidRPr="00613430">
        <w:rPr>
          <w:rStyle w:val="FootnoteReference"/>
        </w:rPr>
        <w:footnoteRef/>
      </w:r>
      <w:r>
        <w:t xml:space="preserve"> </w:t>
      </w:r>
      <w:r w:rsidRPr="00613430">
        <w:t>Art.1 UNCAT.</w:t>
      </w:r>
    </w:p>
  </w:footnote>
  <w:footnote w:id="110">
    <w:p w14:paraId="6AE0A0E7" w14:textId="31176279" w:rsidR="003B5615" w:rsidRPr="00613430" w:rsidRDefault="003B5615" w:rsidP="00FD47EA">
      <w:pPr>
        <w:pStyle w:val="FootnoteText"/>
      </w:pPr>
      <w:r w:rsidRPr="00613430">
        <w:rPr>
          <w:rStyle w:val="FootnoteReference"/>
        </w:rPr>
        <w:footnoteRef/>
      </w:r>
      <w:r>
        <w:t xml:space="preserve"> </w:t>
      </w:r>
      <w:r w:rsidRPr="00613430">
        <w:t xml:space="preserve">ECtHR, </w:t>
      </w:r>
      <w:proofErr w:type="spellStart"/>
      <w:r w:rsidRPr="00554C0B">
        <w:rPr>
          <w:i/>
        </w:rPr>
        <w:t>Hode_and_Abdi_v._UK</w:t>
      </w:r>
      <w:proofErr w:type="spellEnd"/>
      <w:r>
        <w:rPr>
          <w:i/>
        </w:rPr>
        <w:t>_</w:t>
      </w:r>
      <w:r w:rsidRPr="00613430">
        <w:t>(No.22341/09),_06.11.2012, §56.</w:t>
      </w:r>
    </w:p>
  </w:footnote>
  <w:footnote w:id="111">
    <w:p w14:paraId="2349D6A3" w14:textId="4D653056" w:rsidR="003B5615" w:rsidRPr="00060839" w:rsidRDefault="003B5615">
      <w:pPr>
        <w:pStyle w:val="FootnoteText"/>
      </w:pPr>
      <w:r>
        <w:rPr>
          <w:rStyle w:val="FootnoteReference"/>
        </w:rPr>
        <w:footnoteRef/>
      </w:r>
      <w:r>
        <w:t xml:space="preserve"> </w:t>
      </w:r>
      <w:r w:rsidRPr="00F4612E">
        <w:rPr>
          <w:rFonts w:eastAsia="Arial Unicode MS"/>
        </w:rPr>
        <w:t xml:space="preserve">Special Rapporteur on </w:t>
      </w:r>
      <w:r w:rsidRPr="00F4612E">
        <w:t>torture and other cruel, inhuman or degrading treatment or punishment</w:t>
      </w:r>
      <w:r>
        <w:t xml:space="preserve">, </w:t>
      </w:r>
      <w:r w:rsidRPr="00F4612E">
        <w:rPr>
          <w:rFonts w:eastAsia="Arial Unicode MS"/>
        </w:rPr>
        <w:t xml:space="preserve">Report of the Special Rapporteur on </w:t>
      </w:r>
      <w:r w:rsidRPr="00F4612E">
        <w:t>torture and other cruel, inhuman or degrading treatment or punishment</w:t>
      </w:r>
      <w:r>
        <w:t>, 26 February- 23 March 2018, parr. 20.</w:t>
      </w:r>
    </w:p>
  </w:footnote>
  <w:footnote w:id="112">
    <w:p w14:paraId="76F4A185" w14:textId="77777777" w:rsidR="003B5615" w:rsidRPr="00060839" w:rsidRDefault="003B5615" w:rsidP="00D87F70">
      <w:pPr>
        <w:pStyle w:val="FootnoteText"/>
      </w:pPr>
      <w:r>
        <w:rPr>
          <w:rStyle w:val="FootnoteReference"/>
        </w:rPr>
        <w:footnoteRef/>
      </w:r>
      <w:r>
        <w:t xml:space="preserve"> </w:t>
      </w:r>
      <w:r w:rsidRPr="00F4612E">
        <w:rPr>
          <w:rFonts w:eastAsia="Arial Unicode MS"/>
        </w:rPr>
        <w:t xml:space="preserve">Special Rapporteur on </w:t>
      </w:r>
      <w:r w:rsidRPr="00F4612E">
        <w:t>torture and other cruel, inhuman or degrading treatment or punishment</w:t>
      </w:r>
      <w:r>
        <w:t xml:space="preserve">, </w:t>
      </w:r>
      <w:r w:rsidRPr="00F4612E">
        <w:rPr>
          <w:rFonts w:eastAsia="Arial Unicode MS"/>
        </w:rPr>
        <w:t xml:space="preserve">Report of the Special Rapporteur on </w:t>
      </w:r>
      <w:r w:rsidRPr="00F4612E">
        <w:t>torture and other cruel, inhuman or degrading treatment or punishment</w:t>
      </w:r>
      <w:r>
        <w:t>, 26 February- 23 March 2018, parr. 26.</w:t>
      </w:r>
    </w:p>
  </w:footnote>
  <w:footnote w:id="113">
    <w:p w14:paraId="1B48FDDB" w14:textId="77777777" w:rsidR="003B5615" w:rsidRPr="00060839" w:rsidRDefault="003B5615" w:rsidP="00536C77">
      <w:pPr>
        <w:pStyle w:val="FootnoteText"/>
      </w:pPr>
      <w:r>
        <w:rPr>
          <w:rStyle w:val="FootnoteReference"/>
        </w:rPr>
        <w:footnoteRef/>
      </w:r>
      <w:r>
        <w:t xml:space="preserve"> </w:t>
      </w:r>
      <w:r w:rsidRPr="00F4612E">
        <w:rPr>
          <w:rFonts w:eastAsia="Arial Unicode MS"/>
        </w:rPr>
        <w:t xml:space="preserve">Special Rapporteur on </w:t>
      </w:r>
      <w:r w:rsidRPr="00F4612E">
        <w:t>torture and other cruel, inhuman or degrading treatment or punishment</w:t>
      </w:r>
      <w:r>
        <w:t xml:space="preserve">, </w:t>
      </w:r>
      <w:r w:rsidRPr="00F4612E">
        <w:rPr>
          <w:rFonts w:eastAsia="Arial Unicode MS"/>
        </w:rPr>
        <w:t xml:space="preserve">Report of the Special Rapporteur on </w:t>
      </w:r>
      <w:r w:rsidRPr="00F4612E">
        <w:t>torture and other cruel, inhuman or degrading treatment or punishment</w:t>
      </w:r>
      <w:r>
        <w:t>, 26 February- 23 March 2018, parr. 20.</w:t>
      </w:r>
    </w:p>
  </w:footnote>
  <w:footnote w:id="114">
    <w:p w14:paraId="794C942D" w14:textId="77777777" w:rsidR="003B5615" w:rsidRPr="00060839" w:rsidRDefault="003B5615" w:rsidP="00C165EF">
      <w:pPr>
        <w:pStyle w:val="FootnoteText"/>
      </w:pPr>
      <w:r>
        <w:rPr>
          <w:rStyle w:val="FootnoteReference"/>
        </w:rPr>
        <w:footnoteRef/>
      </w:r>
      <w:r>
        <w:t xml:space="preserve"> </w:t>
      </w:r>
      <w:r w:rsidRPr="00F4612E">
        <w:rPr>
          <w:rFonts w:eastAsia="Arial Unicode MS"/>
        </w:rPr>
        <w:t xml:space="preserve">Special Rapporteur on </w:t>
      </w:r>
      <w:r w:rsidRPr="00F4612E">
        <w:t>torture and other cruel, inhuman or degrading treatment or punishment</w:t>
      </w:r>
      <w:r>
        <w:t xml:space="preserve">, </w:t>
      </w:r>
      <w:r w:rsidRPr="00F4612E">
        <w:rPr>
          <w:rFonts w:eastAsia="Arial Unicode MS"/>
        </w:rPr>
        <w:t xml:space="preserve">Report of the Special Rapporteur on </w:t>
      </w:r>
      <w:r w:rsidRPr="00F4612E">
        <w:t>torture and other cruel, inhuman or degrading treatment or punishment</w:t>
      </w:r>
      <w:r>
        <w:t>, 26 February- 23 March 2018, parr. 20.</w:t>
      </w:r>
    </w:p>
  </w:footnote>
  <w:footnote w:id="115">
    <w:p w14:paraId="32028BB0" w14:textId="221B3BB9" w:rsidR="003B5615" w:rsidRPr="00BC213E" w:rsidRDefault="003B5615" w:rsidP="00DE251A">
      <w:pPr>
        <w:jc w:val="both"/>
        <w:rPr>
          <w:rFonts w:asciiTheme="majorHAnsi" w:hAnsiTheme="majorHAnsi"/>
          <w:sz w:val="16"/>
          <w:szCs w:val="16"/>
        </w:rPr>
      </w:pPr>
      <w:r w:rsidRPr="00BC213E">
        <w:rPr>
          <w:rStyle w:val="FootnoteReference"/>
          <w:rFonts w:asciiTheme="majorHAnsi" w:hAnsiTheme="majorHAnsi"/>
          <w:sz w:val="16"/>
          <w:szCs w:val="16"/>
        </w:rPr>
        <w:footnoteRef/>
      </w:r>
      <w:r w:rsidRPr="00BC213E">
        <w:rPr>
          <w:rFonts w:asciiTheme="majorHAnsi" w:hAnsiTheme="majorHAnsi"/>
          <w:sz w:val="16"/>
          <w:szCs w:val="16"/>
        </w:rPr>
        <w:t xml:space="preserve"> Annex X. Immigration Act, Chapter 179 of the Revised statute law of The Bahamas 1987 annexed to State reply September 19, 2000.</w:t>
      </w:r>
    </w:p>
  </w:footnote>
  <w:footnote w:id="116">
    <w:p w14:paraId="26B5A838" w14:textId="09CEDED5" w:rsidR="003B5615" w:rsidRPr="00BC213E" w:rsidRDefault="003B5615" w:rsidP="00DE251A">
      <w:pPr>
        <w:jc w:val="both"/>
        <w:rPr>
          <w:rFonts w:asciiTheme="majorHAnsi" w:hAnsiTheme="majorHAnsi"/>
          <w:sz w:val="16"/>
          <w:szCs w:val="16"/>
        </w:rPr>
      </w:pPr>
      <w:r w:rsidRPr="00BC213E">
        <w:rPr>
          <w:rStyle w:val="FootnoteReference"/>
          <w:rFonts w:asciiTheme="majorHAnsi" w:hAnsiTheme="majorHAnsi"/>
          <w:sz w:val="16"/>
          <w:szCs w:val="16"/>
        </w:rPr>
        <w:footnoteRef/>
      </w:r>
      <w:r w:rsidRPr="00BC213E">
        <w:rPr>
          <w:rFonts w:asciiTheme="majorHAnsi" w:hAnsiTheme="majorHAnsi"/>
          <w:sz w:val="16"/>
          <w:szCs w:val="16"/>
        </w:rPr>
        <w:t xml:space="preserve"> Annex X. Immigration Act, Chapter 179 of the Revised statute law of The Bahamas 1987 annexed to State reply September 19, 2000.</w:t>
      </w:r>
    </w:p>
  </w:footnote>
  <w:footnote w:id="117">
    <w:p w14:paraId="573912AD" w14:textId="4B55D617" w:rsidR="003B5615" w:rsidRPr="00BC213E" w:rsidRDefault="003B5615" w:rsidP="00DE251A">
      <w:pPr>
        <w:shd w:val="clear" w:color="auto" w:fill="FFFFFF"/>
        <w:tabs>
          <w:tab w:val="num" w:pos="720"/>
          <w:tab w:val="left" w:pos="1440"/>
          <w:tab w:val="num" w:pos="2040"/>
        </w:tabs>
        <w:jc w:val="both"/>
        <w:rPr>
          <w:rFonts w:asciiTheme="majorHAnsi" w:hAnsiTheme="majorHAnsi"/>
          <w:sz w:val="16"/>
          <w:szCs w:val="16"/>
        </w:rPr>
      </w:pPr>
      <w:r w:rsidRPr="00BC213E">
        <w:rPr>
          <w:rStyle w:val="FootnoteReference"/>
          <w:rFonts w:asciiTheme="majorHAnsi" w:hAnsiTheme="majorHAnsi"/>
          <w:sz w:val="16"/>
          <w:szCs w:val="16"/>
        </w:rPr>
        <w:footnoteRef/>
      </w:r>
      <w:r w:rsidRPr="00FD47EA">
        <w:rPr>
          <w:rFonts w:asciiTheme="majorHAnsi" w:hAnsiTheme="majorHAnsi"/>
          <w:sz w:val="16"/>
          <w:szCs w:val="16"/>
          <w:lang w:val="fr-CA"/>
        </w:rPr>
        <w:t xml:space="preserve"> Article XVII </w:t>
      </w:r>
      <w:proofErr w:type="spellStart"/>
      <w:r w:rsidRPr="00FD47EA">
        <w:rPr>
          <w:rFonts w:asciiTheme="majorHAnsi" w:hAnsiTheme="majorHAnsi"/>
          <w:sz w:val="16"/>
          <w:szCs w:val="16"/>
          <w:lang w:val="fr-CA"/>
        </w:rPr>
        <w:t>establishes</w:t>
      </w:r>
      <w:proofErr w:type="spellEnd"/>
      <w:r w:rsidRPr="00FD47EA">
        <w:rPr>
          <w:rFonts w:asciiTheme="majorHAnsi" w:hAnsiTheme="majorHAnsi"/>
          <w:sz w:val="16"/>
          <w:szCs w:val="16"/>
          <w:lang w:val="fr-CA"/>
        </w:rPr>
        <w:t xml:space="preserve">: </w:t>
      </w:r>
      <w:r w:rsidRPr="00FD47EA">
        <w:rPr>
          <w:rFonts w:asciiTheme="majorHAnsi" w:hAnsiTheme="majorHAnsi" w:cs="Tahoma"/>
          <w:sz w:val="16"/>
          <w:szCs w:val="16"/>
          <w:lang w:val="fr-CA"/>
        </w:rPr>
        <w:t xml:space="preserve">Article XXVII.  </w:t>
      </w:r>
      <w:r w:rsidRPr="00BC213E">
        <w:rPr>
          <w:rFonts w:asciiTheme="majorHAnsi" w:hAnsiTheme="majorHAnsi" w:cs="Tahoma"/>
          <w:sz w:val="16"/>
          <w:szCs w:val="16"/>
        </w:rPr>
        <w:t>Every person has the right, in case of pursuit not resulting from ordinary crimes, to seek and receive asylum in foreign territory, in accordance with the laws of each country and with international agreements.</w:t>
      </w:r>
    </w:p>
  </w:footnote>
  <w:footnote w:id="118">
    <w:p w14:paraId="438E4DB1" w14:textId="4939ED3C" w:rsidR="003B5615" w:rsidRPr="00BC213E" w:rsidRDefault="003B5615" w:rsidP="00DE251A">
      <w:pPr>
        <w:shd w:val="clear" w:color="auto" w:fill="FFFFFF"/>
        <w:tabs>
          <w:tab w:val="num" w:pos="720"/>
          <w:tab w:val="left" w:pos="1440"/>
          <w:tab w:val="num" w:pos="2040"/>
        </w:tabs>
        <w:jc w:val="both"/>
        <w:rPr>
          <w:rFonts w:asciiTheme="majorHAnsi" w:hAnsiTheme="majorHAnsi"/>
          <w:sz w:val="16"/>
          <w:szCs w:val="16"/>
        </w:rPr>
      </w:pPr>
      <w:r w:rsidRPr="00BC213E">
        <w:rPr>
          <w:rStyle w:val="FootnoteReference"/>
          <w:rFonts w:asciiTheme="majorHAnsi" w:hAnsiTheme="majorHAnsi"/>
          <w:sz w:val="16"/>
          <w:szCs w:val="16"/>
        </w:rPr>
        <w:footnoteRef/>
      </w:r>
      <w:r w:rsidRPr="00FD47EA">
        <w:rPr>
          <w:rFonts w:asciiTheme="majorHAnsi" w:hAnsiTheme="majorHAnsi"/>
          <w:sz w:val="16"/>
          <w:szCs w:val="16"/>
          <w:lang w:val="fr-CA"/>
        </w:rPr>
        <w:t xml:space="preserve"> Article XVI </w:t>
      </w:r>
      <w:proofErr w:type="spellStart"/>
      <w:r w:rsidRPr="00FD47EA">
        <w:rPr>
          <w:rFonts w:asciiTheme="majorHAnsi" w:hAnsiTheme="majorHAnsi"/>
          <w:sz w:val="16"/>
          <w:szCs w:val="16"/>
          <w:lang w:val="fr-CA"/>
        </w:rPr>
        <w:t>establishes</w:t>
      </w:r>
      <w:proofErr w:type="spellEnd"/>
      <w:r w:rsidRPr="00FD47EA">
        <w:rPr>
          <w:rFonts w:asciiTheme="majorHAnsi" w:hAnsiTheme="majorHAnsi"/>
          <w:sz w:val="16"/>
          <w:szCs w:val="16"/>
          <w:lang w:val="fr-CA"/>
        </w:rPr>
        <w:t xml:space="preserve">: </w:t>
      </w:r>
      <w:r w:rsidRPr="00FD47EA">
        <w:rPr>
          <w:rFonts w:asciiTheme="majorHAnsi" w:hAnsiTheme="majorHAnsi" w:cs="Tahoma"/>
          <w:sz w:val="16"/>
          <w:szCs w:val="16"/>
          <w:lang w:val="fr-CA"/>
        </w:rPr>
        <w:t xml:space="preserve">Article XXVI.  </w:t>
      </w:r>
      <w:r w:rsidRPr="00BC213E">
        <w:rPr>
          <w:rFonts w:asciiTheme="majorHAnsi" w:hAnsiTheme="majorHAnsi" w:cs="Tahoma"/>
          <w:sz w:val="16"/>
          <w:szCs w:val="16"/>
        </w:rPr>
        <w:t>Every accused person is presumed to be innocent until proved guilty. Every person accused of an offense has the right to be given an impartial and public hearing, and to be tried by courts previously established in accordance with pre-existing laws, and not to receive cruel, infamous or unusual punishment.</w:t>
      </w:r>
    </w:p>
  </w:footnote>
  <w:footnote w:id="119">
    <w:p w14:paraId="35C70E38" w14:textId="3BF77F2E" w:rsidR="003B5615" w:rsidRPr="00BC213E" w:rsidRDefault="003B5615" w:rsidP="00DE251A">
      <w:pPr>
        <w:shd w:val="clear" w:color="auto" w:fill="FFFFFF"/>
        <w:tabs>
          <w:tab w:val="num" w:pos="720"/>
          <w:tab w:val="left" w:pos="1440"/>
          <w:tab w:val="num" w:pos="2040"/>
        </w:tabs>
        <w:jc w:val="both"/>
        <w:rPr>
          <w:rFonts w:asciiTheme="majorHAnsi" w:hAnsiTheme="majorHAnsi"/>
          <w:sz w:val="16"/>
          <w:szCs w:val="16"/>
        </w:rPr>
      </w:pPr>
      <w:r w:rsidRPr="00BC213E">
        <w:rPr>
          <w:rStyle w:val="FootnoteReference"/>
          <w:rFonts w:asciiTheme="majorHAnsi" w:hAnsiTheme="majorHAnsi"/>
          <w:sz w:val="16"/>
          <w:szCs w:val="16"/>
        </w:rPr>
        <w:footnoteRef/>
      </w:r>
      <w:r w:rsidRPr="00BC213E">
        <w:rPr>
          <w:rFonts w:asciiTheme="majorHAnsi" w:hAnsiTheme="majorHAnsi"/>
          <w:sz w:val="16"/>
          <w:szCs w:val="16"/>
        </w:rPr>
        <w:t xml:space="preserve"> Article II of the American Declaration establishes: </w:t>
      </w:r>
      <w:r w:rsidRPr="00634DED">
        <w:rPr>
          <w:rFonts w:asciiTheme="majorHAnsi" w:eastAsia="Times New Roman" w:hAnsiTheme="majorHAnsi" w:cs="Tahoma"/>
          <w:sz w:val="16"/>
          <w:szCs w:val="16"/>
          <w:bdr w:val="none" w:sz="0" w:space="0" w:color="auto"/>
        </w:rPr>
        <w:t>All persons are equal before the law and have the rights and duties established in this Declaration, without distinction as to race, sex, language, creed or any other factor.</w:t>
      </w:r>
    </w:p>
    <w:p w14:paraId="454746C8" w14:textId="5D98461F" w:rsidR="003B5615" w:rsidRPr="00BC213E" w:rsidRDefault="003B5615" w:rsidP="00DE251A">
      <w:pPr>
        <w:shd w:val="clear" w:color="auto" w:fill="FFFFFF"/>
        <w:tabs>
          <w:tab w:val="num" w:pos="720"/>
          <w:tab w:val="left" w:pos="1440"/>
          <w:tab w:val="num" w:pos="2040"/>
        </w:tabs>
        <w:jc w:val="both"/>
        <w:rPr>
          <w:rFonts w:asciiTheme="majorHAnsi" w:hAnsiTheme="majorHAnsi"/>
          <w:sz w:val="16"/>
          <w:szCs w:val="16"/>
        </w:rPr>
      </w:pPr>
      <w:r w:rsidRPr="00BC213E">
        <w:rPr>
          <w:rFonts w:asciiTheme="majorHAnsi" w:hAnsiTheme="majorHAnsi"/>
          <w:sz w:val="16"/>
          <w:szCs w:val="16"/>
        </w:rPr>
        <w:t xml:space="preserve"> establishes, [in relevant part]: CITAR EL ARTICULO</w:t>
      </w:r>
    </w:p>
  </w:footnote>
  <w:footnote w:id="120">
    <w:p w14:paraId="5A734B6F" w14:textId="49A175BA"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IACHR, Report No. 51/96, Case 10.675, Merits, Haitian Interdiction – Haitian Boat People (United States), March 13, 1997, para. 155. </w:t>
      </w:r>
    </w:p>
  </w:footnote>
  <w:footnote w:id="121">
    <w:p w14:paraId="1421C6EE" w14:textId="0D0E347E"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w:t>
      </w:r>
      <w:proofErr w:type="spellStart"/>
      <w:r w:rsidRPr="00BC213E">
        <w:rPr>
          <w:rFonts w:asciiTheme="majorHAnsi" w:hAnsiTheme="majorHAnsi"/>
          <w:color w:val="auto"/>
          <w:szCs w:val="16"/>
        </w:rPr>
        <w:t>Cfr</w:t>
      </w:r>
      <w:proofErr w:type="spellEnd"/>
      <w:r w:rsidRPr="00BC213E">
        <w:rPr>
          <w:rFonts w:asciiTheme="majorHAnsi" w:hAnsiTheme="majorHAnsi"/>
          <w:color w:val="auto"/>
          <w:szCs w:val="16"/>
        </w:rPr>
        <w:t xml:space="preserve">. </w:t>
      </w:r>
      <w:r w:rsidRPr="00BC213E">
        <w:rPr>
          <w:rFonts w:asciiTheme="majorHAnsi" w:hAnsiTheme="majorHAnsi" w:cs="Verdana"/>
          <w:color w:val="auto"/>
          <w:szCs w:val="16"/>
        </w:rPr>
        <w:t>IACHR. The human rights of migrants, refugees, stateless people, human trafficking victims and internally displaced people: Norms and Standards of the Inter-American System of Human Rights. OEA/</w:t>
      </w:r>
      <w:proofErr w:type="spellStart"/>
      <w:r w:rsidRPr="00BC213E">
        <w:rPr>
          <w:rFonts w:asciiTheme="majorHAnsi" w:hAnsiTheme="majorHAnsi" w:cs="Verdana"/>
          <w:color w:val="auto"/>
          <w:szCs w:val="16"/>
        </w:rPr>
        <w:t>Ser.L</w:t>
      </w:r>
      <w:proofErr w:type="spellEnd"/>
      <w:r w:rsidRPr="00BC213E">
        <w:rPr>
          <w:rFonts w:asciiTheme="majorHAnsi" w:hAnsiTheme="majorHAnsi" w:cs="Verdana"/>
          <w:color w:val="auto"/>
          <w:szCs w:val="16"/>
        </w:rPr>
        <w:t>/V/II. Doc. 46/15, December 31, 2015, para. 179 – 183.</w:t>
      </w:r>
    </w:p>
  </w:footnote>
  <w:footnote w:id="122">
    <w:p w14:paraId="28268FDF" w14:textId="6B0B2A29"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w:t>
      </w:r>
      <w:r w:rsidRPr="00BC213E">
        <w:rPr>
          <w:rFonts w:asciiTheme="majorHAnsi" w:hAnsiTheme="majorHAnsi" w:cs="Verdana"/>
          <w:color w:val="auto"/>
          <w:szCs w:val="16"/>
        </w:rPr>
        <w:t>IACHR. The human rights of migrants, refugees, stateless people, human trafficking victims and internally displaced people: Norms and Standards of the Inter-American System of Human Rights. OEA/</w:t>
      </w:r>
      <w:proofErr w:type="spellStart"/>
      <w:r w:rsidRPr="00BC213E">
        <w:rPr>
          <w:rFonts w:asciiTheme="majorHAnsi" w:hAnsiTheme="majorHAnsi" w:cs="Verdana"/>
          <w:color w:val="auto"/>
          <w:szCs w:val="16"/>
        </w:rPr>
        <w:t>Ser.L</w:t>
      </w:r>
      <w:proofErr w:type="spellEnd"/>
      <w:r w:rsidRPr="00BC213E">
        <w:rPr>
          <w:rFonts w:asciiTheme="majorHAnsi" w:hAnsiTheme="majorHAnsi" w:cs="Verdana"/>
          <w:color w:val="auto"/>
          <w:szCs w:val="16"/>
        </w:rPr>
        <w:t>/V/II. Doc. 46/15, December 31, 2015, para. 300-334.</w:t>
      </w:r>
    </w:p>
  </w:footnote>
  <w:footnote w:id="123">
    <w:p w14:paraId="1D15D6AA" w14:textId="77777777"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IACHR. Report No. 51/96. </w:t>
      </w:r>
      <w:r w:rsidRPr="00BC213E">
        <w:rPr>
          <w:rFonts w:asciiTheme="majorHAnsi" w:hAnsiTheme="majorHAnsi"/>
          <w:i/>
          <w:iCs/>
          <w:color w:val="auto"/>
          <w:szCs w:val="16"/>
        </w:rPr>
        <w:t xml:space="preserve">Decision of the Commission as to the Merits of Case 10.675 v. United States </w:t>
      </w:r>
      <w:r w:rsidRPr="00BC213E">
        <w:rPr>
          <w:rFonts w:asciiTheme="majorHAnsi" w:hAnsiTheme="majorHAnsi"/>
          <w:iCs/>
          <w:color w:val="auto"/>
          <w:szCs w:val="16"/>
        </w:rPr>
        <w:t>[“Interdiction of Haitians on the High Seas”]</w:t>
      </w:r>
      <w:r w:rsidRPr="00BC213E">
        <w:rPr>
          <w:rFonts w:asciiTheme="majorHAnsi" w:hAnsiTheme="majorHAnsi"/>
          <w:color w:val="auto"/>
          <w:szCs w:val="16"/>
        </w:rPr>
        <w:t>. Mar. 13, 1997, para. 163.</w:t>
      </w:r>
    </w:p>
  </w:footnote>
  <w:footnote w:id="124">
    <w:p w14:paraId="69D8EEFA" w14:textId="77777777"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IACHR. Human Rights Situation of Refugee and Migrant Families and Unaccompanied Children in the United States of America. OEA/</w:t>
      </w:r>
      <w:proofErr w:type="spellStart"/>
      <w:r w:rsidRPr="00BC213E">
        <w:rPr>
          <w:rFonts w:asciiTheme="majorHAnsi" w:hAnsiTheme="majorHAnsi"/>
          <w:color w:val="auto"/>
          <w:szCs w:val="16"/>
        </w:rPr>
        <w:t>Ser.L</w:t>
      </w:r>
      <w:proofErr w:type="spellEnd"/>
      <w:r w:rsidRPr="00BC213E">
        <w:rPr>
          <w:rFonts w:asciiTheme="majorHAnsi" w:hAnsiTheme="majorHAnsi"/>
          <w:color w:val="auto"/>
          <w:szCs w:val="16"/>
        </w:rPr>
        <w:t>/V/II.155 Doc.</w:t>
      </w:r>
      <w:r w:rsidRPr="00BC213E">
        <w:rPr>
          <w:rFonts w:asciiTheme="majorHAnsi" w:hAnsiTheme="majorHAnsi"/>
          <w:b/>
          <w:bCs/>
          <w:color w:val="auto"/>
          <w:szCs w:val="16"/>
        </w:rPr>
        <w:t xml:space="preserve"> </w:t>
      </w:r>
      <w:r w:rsidRPr="00BC213E">
        <w:rPr>
          <w:rFonts w:asciiTheme="majorHAnsi" w:hAnsiTheme="majorHAnsi"/>
          <w:color w:val="auto"/>
          <w:szCs w:val="16"/>
        </w:rPr>
        <w:t>16., para 220.</w:t>
      </w:r>
    </w:p>
  </w:footnote>
  <w:footnote w:id="125">
    <w:p w14:paraId="4254E801" w14:textId="77777777" w:rsidR="003B5615" w:rsidRPr="00BC213E" w:rsidRDefault="003B5615" w:rsidP="00DE251A">
      <w:pPr>
        <w:pStyle w:val="FootnoteText"/>
        <w:jc w:val="both"/>
        <w:rPr>
          <w:rFonts w:asciiTheme="majorHAnsi" w:hAnsiTheme="majorHAnsi" w:cs="Verdana"/>
          <w:color w:val="auto"/>
          <w:szCs w:val="16"/>
        </w:rPr>
      </w:pPr>
      <w:r w:rsidRPr="00BC213E">
        <w:rPr>
          <w:rStyle w:val="FootnoteReference"/>
          <w:rFonts w:asciiTheme="majorHAnsi" w:hAnsiTheme="majorHAnsi"/>
          <w:color w:val="auto"/>
          <w:szCs w:val="16"/>
        </w:rPr>
        <w:footnoteRef/>
      </w:r>
      <w:r w:rsidRPr="00BC213E">
        <w:rPr>
          <w:rFonts w:asciiTheme="majorHAnsi" w:hAnsiTheme="majorHAnsi" w:cs="Verdana"/>
          <w:color w:val="auto"/>
          <w:szCs w:val="16"/>
        </w:rPr>
        <w:t xml:space="preserve"> IACHR. The human rights of migrants, refugees, stateless people, human trafficking victims and internally displaced people: Norms and Standards of the Inter-American System of Human Rights. OEA/</w:t>
      </w:r>
      <w:proofErr w:type="spellStart"/>
      <w:r w:rsidRPr="00BC213E">
        <w:rPr>
          <w:rFonts w:asciiTheme="majorHAnsi" w:hAnsiTheme="majorHAnsi" w:cs="Verdana"/>
          <w:color w:val="auto"/>
          <w:szCs w:val="16"/>
        </w:rPr>
        <w:t>Ser.L</w:t>
      </w:r>
      <w:proofErr w:type="spellEnd"/>
      <w:r w:rsidRPr="00BC213E">
        <w:rPr>
          <w:rFonts w:asciiTheme="majorHAnsi" w:hAnsiTheme="majorHAnsi" w:cs="Verdana"/>
          <w:color w:val="auto"/>
          <w:szCs w:val="16"/>
        </w:rPr>
        <w:t>/V/II. Doc. 46/15, December 31, 2015, paragraph 438; I/A Court H.R. Advisory Opinion OC-25/18 of May 20, 2018. The institution of asylum, and its recognition as a human right under the Inter-American system of protection (interpretation and scope of Articles 5, 22(7) and 22(8) in relation to Article 1(1) of the American Convention on Human Rights), paragraph 179. See also: UNHCR Executive Committee. 42</w:t>
      </w:r>
      <w:r w:rsidRPr="00BC213E">
        <w:rPr>
          <w:rFonts w:asciiTheme="majorHAnsi" w:hAnsiTheme="majorHAnsi" w:cs="Verdana"/>
          <w:color w:val="auto"/>
          <w:szCs w:val="16"/>
          <w:vertAlign w:val="superscript"/>
        </w:rPr>
        <w:t>nd</w:t>
      </w:r>
      <w:r w:rsidRPr="00BC213E">
        <w:rPr>
          <w:rFonts w:asciiTheme="majorHAnsi" w:hAnsiTheme="majorHAnsi" w:cs="Verdana"/>
          <w:color w:val="auto"/>
          <w:szCs w:val="16"/>
        </w:rPr>
        <w:t xml:space="preserve"> Period of Sessions. No. 65 (XVLL). General conclusions, paragraph c. The Committee indicated that the principle of non-refoulement has been characterized as a “cardinal principal” of the protection of refugees, which “encourages the States to redouble their efforts to protect the rights of refugees”; Declaration of States Parties to the 1951 Convention and/or its 1967 Protocol relating to the Status of Refugees in its paragraph 4 indicates that: “Acknowledging the continuing relevance and resilience of this international regime of rights and principles, including at its core the principle of non-refoulement, whose applicability is embedded in customary international law”.</w:t>
      </w:r>
    </w:p>
  </w:footnote>
  <w:footnote w:id="126">
    <w:p w14:paraId="4E553984" w14:textId="77777777"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I/A Court H.R. </w:t>
      </w:r>
      <w:r w:rsidRPr="00BC213E">
        <w:rPr>
          <w:rFonts w:asciiTheme="majorHAnsi" w:hAnsiTheme="majorHAnsi"/>
          <w:i/>
          <w:color w:val="auto"/>
          <w:szCs w:val="16"/>
        </w:rPr>
        <w:t>Case of Pacheco Family v. Bolivia</w:t>
      </w:r>
      <w:r w:rsidRPr="00BC213E">
        <w:rPr>
          <w:rFonts w:asciiTheme="majorHAnsi" w:hAnsiTheme="majorHAnsi"/>
          <w:color w:val="auto"/>
          <w:szCs w:val="16"/>
        </w:rPr>
        <w:t>. Preliminary Objections, Merits, Reparations and Costs. Judgment of November 25, 2013. Series C. No. 272, paragraph 153; I/A Court H.R. Advisory Opinion OC-25/18 of May 30, 2018. The institution of asylum, and its recognition as a human right under the Inter-American system of protection (interpretation and scope of Articles 5, 22(7) and 22(8) in relation to Article 1(1) of the American Convention on Human Rights), paragraph 190.</w:t>
      </w:r>
    </w:p>
  </w:footnote>
  <w:footnote w:id="127">
    <w:p w14:paraId="368C5DE9" w14:textId="77777777"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IACHR. Report on the Situation of Human Rights of Asylum Seekers Within the Canadian Refugee Determination System, OEA/</w:t>
      </w:r>
      <w:proofErr w:type="spellStart"/>
      <w:r w:rsidRPr="00BC213E">
        <w:rPr>
          <w:rFonts w:asciiTheme="majorHAnsi" w:hAnsiTheme="majorHAnsi"/>
          <w:color w:val="auto"/>
          <w:szCs w:val="16"/>
        </w:rPr>
        <w:t>Ser.L</w:t>
      </w:r>
      <w:proofErr w:type="spellEnd"/>
      <w:r w:rsidRPr="00BC213E">
        <w:rPr>
          <w:rFonts w:asciiTheme="majorHAnsi" w:hAnsiTheme="majorHAnsi"/>
          <w:color w:val="auto"/>
          <w:szCs w:val="16"/>
        </w:rPr>
        <w:t>/V/II.106, of February 28, 2000, paragraph 154.</w:t>
      </w:r>
    </w:p>
  </w:footnote>
  <w:footnote w:id="128">
    <w:p w14:paraId="41FB8F22" w14:textId="77777777"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IACHR. Report Nº 63/08. Case 12.534. Admissibility and Merits (Publication). Andrea </w:t>
      </w:r>
      <w:proofErr w:type="spellStart"/>
      <w:r w:rsidRPr="00BC213E">
        <w:rPr>
          <w:rFonts w:asciiTheme="majorHAnsi" w:hAnsiTheme="majorHAnsi"/>
          <w:color w:val="auto"/>
          <w:szCs w:val="16"/>
        </w:rPr>
        <w:t>Mortlock</w:t>
      </w:r>
      <w:proofErr w:type="spellEnd"/>
      <w:r w:rsidRPr="00BC213E">
        <w:rPr>
          <w:rFonts w:asciiTheme="majorHAnsi" w:hAnsiTheme="majorHAnsi"/>
          <w:color w:val="auto"/>
          <w:szCs w:val="16"/>
        </w:rPr>
        <w:t>. United States. July 25, 2008, para. 83.</w:t>
      </w:r>
    </w:p>
  </w:footnote>
  <w:footnote w:id="129">
    <w:p w14:paraId="6AAEDCDF" w14:textId="77777777" w:rsidR="003B5615" w:rsidRPr="00BC213E" w:rsidRDefault="003B5615" w:rsidP="00DE251A">
      <w:pPr>
        <w:pStyle w:val="FootnoteText"/>
        <w:jc w:val="both"/>
        <w:rPr>
          <w:rFonts w:asciiTheme="majorHAnsi" w:hAnsiTheme="majorHAnsi"/>
          <w:color w:val="auto"/>
          <w:szCs w:val="16"/>
          <w:lang w:val="pt-BR"/>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IACHR. Report No. 51/96. </w:t>
      </w:r>
      <w:r w:rsidRPr="00BC213E">
        <w:rPr>
          <w:rFonts w:asciiTheme="majorHAnsi" w:hAnsiTheme="majorHAnsi"/>
          <w:i/>
          <w:iCs/>
          <w:color w:val="auto"/>
          <w:szCs w:val="16"/>
        </w:rPr>
        <w:t xml:space="preserve">Decision of the Commission as to the Merits of Case 10.675 v. United States </w:t>
      </w:r>
      <w:r w:rsidRPr="00BC213E">
        <w:rPr>
          <w:rFonts w:asciiTheme="majorHAnsi" w:hAnsiTheme="majorHAnsi"/>
          <w:iCs/>
          <w:color w:val="auto"/>
          <w:szCs w:val="16"/>
        </w:rPr>
        <w:t>[“Interdiction of Haitians on the High Seas”]</w:t>
      </w:r>
      <w:r w:rsidRPr="00BC213E">
        <w:rPr>
          <w:rFonts w:asciiTheme="majorHAnsi" w:hAnsiTheme="majorHAnsi"/>
          <w:color w:val="auto"/>
          <w:szCs w:val="16"/>
        </w:rPr>
        <w:t>. </w:t>
      </w:r>
      <w:r w:rsidRPr="00BC213E">
        <w:rPr>
          <w:rFonts w:asciiTheme="majorHAnsi" w:hAnsiTheme="majorHAnsi"/>
          <w:color w:val="auto"/>
          <w:szCs w:val="16"/>
          <w:lang w:val="pt-BR"/>
        </w:rPr>
        <w:t>Mar. 13, 1997, paras. 167-171, 180.</w:t>
      </w:r>
    </w:p>
  </w:footnote>
  <w:footnote w:id="130">
    <w:p w14:paraId="515C48D4" w14:textId="77777777"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lang w:val="pt-BR"/>
        </w:rPr>
        <w:t xml:space="preserve"> I/A </w:t>
      </w:r>
      <w:r w:rsidRPr="00BC213E">
        <w:rPr>
          <w:rFonts w:asciiTheme="majorHAnsi" w:hAnsiTheme="majorHAnsi"/>
          <w:color w:val="auto"/>
          <w:szCs w:val="16"/>
          <w:lang w:val="pt-BR"/>
        </w:rPr>
        <w:t xml:space="preserve">Ct. H.R. </w:t>
      </w:r>
      <w:r w:rsidRPr="00BC213E">
        <w:rPr>
          <w:rFonts w:asciiTheme="majorHAnsi" w:hAnsiTheme="majorHAnsi"/>
          <w:i/>
          <w:color w:val="auto"/>
          <w:szCs w:val="16"/>
          <w:lang w:val="pt-BR"/>
        </w:rPr>
        <w:t>Pacheco Tineo Family v. Bolivia</w:t>
      </w:r>
      <w:r w:rsidRPr="00BC213E">
        <w:rPr>
          <w:rFonts w:asciiTheme="majorHAnsi" w:hAnsiTheme="majorHAnsi"/>
          <w:color w:val="auto"/>
          <w:szCs w:val="16"/>
          <w:lang w:val="pt-BR"/>
        </w:rPr>
        <w:t xml:space="preserve">. </w:t>
      </w:r>
      <w:r w:rsidRPr="00BC213E">
        <w:rPr>
          <w:rFonts w:asciiTheme="majorHAnsi" w:hAnsiTheme="majorHAnsi"/>
          <w:color w:val="auto"/>
          <w:szCs w:val="16"/>
        </w:rPr>
        <w:t>Judgment of Nov. 25, 2013, para. 157.</w:t>
      </w:r>
    </w:p>
  </w:footnote>
  <w:footnote w:id="131">
    <w:p w14:paraId="5C62C37B" w14:textId="77777777"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7C6FD0">
        <w:rPr>
          <w:rFonts w:asciiTheme="majorHAnsi" w:hAnsiTheme="majorHAnsi"/>
          <w:color w:val="auto"/>
          <w:szCs w:val="16"/>
        </w:rPr>
        <w:t xml:space="preserve"> I/A Ct. H.R. </w:t>
      </w:r>
      <w:r w:rsidRPr="007C6FD0">
        <w:rPr>
          <w:rFonts w:asciiTheme="majorHAnsi" w:hAnsiTheme="majorHAnsi"/>
          <w:i/>
          <w:color w:val="auto"/>
          <w:szCs w:val="16"/>
        </w:rPr>
        <w:t xml:space="preserve">Pacheco </w:t>
      </w:r>
      <w:proofErr w:type="spellStart"/>
      <w:r w:rsidRPr="007C6FD0">
        <w:rPr>
          <w:rFonts w:asciiTheme="majorHAnsi" w:hAnsiTheme="majorHAnsi"/>
          <w:i/>
          <w:color w:val="auto"/>
          <w:szCs w:val="16"/>
        </w:rPr>
        <w:t>Tineo</w:t>
      </w:r>
      <w:proofErr w:type="spellEnd"/>
      <w:r w:rsidRPr="007C6FD0">
        <w:rPr>
          <w:rFonts w:asciiTheme="majorHAnsi" w:hAnsiTheme="majorHAnsi"/>
          <w:i/>
          <w:color w:val="auto"/>
          <w:szCs w:val="16"/>
        </w:rPr>
        <w:t xml:space="preserve"> Family v. Bolivia</w:t>
      </w:r>
      <w:r w:rsidRPr="007C6FD0">
        <w:rPr>
          <w:rFonts w:asciiTheme="majorHAnsi" w:hAnsiTheme="majorHAnsi"/>
          <w:color w:val="auto"/>
          <w:szCs w:val="16"/>
        </w:rPr>
        <w:t xml:space="preserve">. </w:t>
      </w:r>
      <w:r w:rsidRPr="00BC213E">
        <w:rPr>
          <w:rFonts w:asciiTheme="majorHAnsi" w:hAnsiTheme="majorHAnsi"/>
          <w:color w:val="auto"/>
          <w:szCs w:val="16"/>
        </w:rPr>
        <w:t xml:space="preserve">Judgment of Nov. 25, 2013, para. 153, 159 (citing IACHR. </w:t>
      </w:r>
      <w:r w:rsidRPr="00BC213E">
        <w:rPr>
          <w:rFonts w:asciiTheme="majorHAnsi" w:hAnsiTheme="majorHAnsi"/>
          <w:i/>
          <w:color w:val="auto"/>
          <w:szCs w:val="16"/>
        </w:rPr>
        <w:t>Report on the situation of the human rights of applicants for asylum under the Canadian system for the determination of refugee status</w:t>
      </w:r>
      <w:r w:rsidRPr="00BC213E">
        <w:rPr>
          <w:rFonts w:asciiTheme="majorHAnsi" w:hAnsiTheme="majorHAnsi"/>
          <w:color w:val="auto"/>
          <w:szCs w:val="16"/>
        </w:rPr>
        <w:t xml:space="preserve"> (2000), para. 111). </w:t>
      </w:r>
    </w:p>
  </w:footnote>
  <w:footnote w:id="132">
    <w:p w14:paraId="53F2370D" w14:textId="77777777"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w:t>
      </w:r>
      <w:r w:rsidRPr="00BC213E">
        <w:rPr>
          <w:rFonts w:asciiTheme="majorHAnsi" w:hAnsiTheme="majorHAnsi"/>
          <w:i/>
          <w:color w:val="auto"/>
          <w:szCs w:val="16"/>
        </w:rPr>
        <w:t xml:space="preserve">See </w:t>
      </w:r>
      <w:r w:rsidRPr="00BC213E">
        <w:rPr>
          <w:rFonts w:asciiTheme="majorHAnsi" w:hAnsiTheme="majorHAnsi"/>
          <w:color w:val="auto"/>
          <w:szCs w:val="16"/>
        </w:rPr>
        <w:t xml:space="preserve">IACHR. Report No. 136/11. Case 12.474. Merits. Members of the Pacheco </w:t>
      </w:r>
      <w:proofErr w:type="spellStart"/>
      <w:r w:rsidRPr="00BC213E">
        <w:rPr>
          <w:rFonts w:asciiTheme="majorHAnsi" w:hAnsiTheme="majorHAnsi"/>
          <w:color w:val="auto"/>
          <w:szCs w:val="16"/>
        </w:rPr>
        <w:t>Tineo</w:t>
      </w:r>
      <w:proofErr w:type="spellEnd"/>
      <w:r w:rsidRPr="00BC213E">
        <w:rPr>
          <w:rFonts w:asciiTheme="majorHAnsi" w:hAnsiTheme="majorHAnsi"/>
          <w:color w:val="auto"/>
          <w:szCs w:val="16"/>
        </w:rPr>
        <w:t xml:space="preserve"> Family. Bolivia. Oct. 31, 2011, para. 152.</w:t>
      </w:r>
    </w:p>
  </w:footnote>
  <w:footnote w:id="133">
    <w:p w14:paraId="0E36C0BF" w14:textId="77777777"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w:t>
      </w:r>
      <w:r w:rsidRPr="00BC213E">
        <w:rPr>
          <w:rFonts w:asciiTheme="majorHAnsi" w:hAnsiTheme="majorHAnsi"/>
          <w:i/>
          <w:color w:val="auto"/>
          <w:szCs w:val="16"/>
        </w:rPr>
        <w:t>See</w:t>
      </w:r>
      <w:r w:rsidRPr="00BC213E">
        <w:rPr>
          <w:rFonts w:asciiTheme="majorHAnsi" w:hAnsiTheme="majorHAnsi"/>
          <w:color w:val="auto"/>
          <w:szCs w:val="16"/>
        </w:rPr>
        <w:t xml:space="preserve"> IACHR. Report No. 78/13. Case 12.794. Merits. Wong Ho Wing. Peru. July 18, 2013, para. 251.</w:t>
      </w:r>
    </w:p>
  </w:footnote>
  <w:footnote w:id="134">
    <w:p w14:paraId="4F526714" w14:textId="5BF07178"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See, inter alia, IACHR, Report No. 64/12, Case 12.271, Benito Tide Méndez et al. v. Dominican Republic, Report on the Merits, March 29, 2012, para. 226 (Citing, IACHR, Application before the Inter-American Court of Human Rights, Case of Karen Atala and Daughters against the State of Chile, September 17, 2010, para. 74.</w:t>
      </w:r>
    </w:p>
  </w:footnote>
  <w:footnote w:id="135">
    <w:p w14:paraId="6C4CD13A" w14:textId="28E448A3"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IACHR, Report No. 56/10, Case 12.469, Merits, Margarita Cecilia </w:t>
      </w:r>
      <w:proofErr w:type="spellStart"/>
      <w:r w:rsidRPr="00BC213E">
        <w:rPr>
          <w:rFonts w:asciiTheme="majorHAnsi" w:hAnsiTheme="majorHAnsi"/>
          <w:color w:val="auto"/>
          <w:szCs w:val="16"/>
        </w:rPr>
        <w:t>Barbería</w:t>
      </w:r>
      <w:proofErr w:type="spellEnd"/>
      <w:r w:rsidRPr="00BC213E">
        <w:rPr>
          <w:rFonts w:asciiTheme="majorHAnsi" w:hAnsiTheme="majorHAnsi"/>
          <w:color w:val="auto"/>
          <w:szCs w:val="16"/>
        </w:rPr>
        <w:t xml:space="preserve"> Miranda (Chile), March 18th, 2010, para. 28.</w:t>
      </w:r>
    </w:p>
  </w:footnote>
  <w:footnote w:id="136">
    <w:p w14:paraId="7194E8E2" w14:textId="77777777" w:rsidR="003B5615" w:rsidRPr="00BC213E" w:rsidRDefault="003B5615" w:rsidP="00DE251A">
      <w:pPr>
        <w:pStyle w:val="Footnotes"/>
        <w:spacing w:after="0"/>
        <w:ind w:firstLine="0"/>
        <w:rPr>
          <w:rFonts w:asciiTheme="majorHAnsi" w:hAnsiTheme="majorHAnsi"/>
          <w:sz w:val="16"/>
          <w:szCs w:val="16"/>
        </w:rPr>
      </w:pPr>
      <w:r w:rsidRPr="00BC213E">
        <w:rPr>
          <w:rStyle w:val="FootnoteReference"/>
          <w:rFonts w:asciiTheme="majorHAnsi" w:hAnsiTheme="majorHAnsi"/>
          <w:sz w:val="16"/>
          <w:szCs w:val="16"/>
        </w:rPr>
        <w:footnoteRef/>
      </w:r>
      <w:r w:rsidRPr="00BC213E">
        <w:rPr>
          <w:rFonts w:asciiTheme="majorHAnsi" w:hAnsiTheme="majorHAnsi"/>
          <w:sz w:val="16"/>
          <w:szCs w:val="16"/>
        </w:rPr>
        <w:t xml:space="preserve"> IACHR, Report No. 50/16, Case 12.834, Merits (Publication), Undocumented Workers, United States, Nov. 30, 2016, para. 74; IACHR, Report No. 51/01, Case 9903, </w:t>
      </w:r>
      <w:r w:rsidRPr="00BC213E">
        <w:rPr>
          <w:rFonts w:asciiTheme="majorHAnsi" w:hAnsiTheme="majorHAnsi"/>
          <w:i/>
          <w:sz w:val="16"/>
          <w:szCs w:val="16"/>
        </w:rPr>
        <w:t>Rafael Ferrer-</w:t>
      </w:r>
      <w:proofErr w:type="spellStart"/>
      <w:r w:rsidRPr="00BC213E">
        <w:rPr>
          <w:rFonts w:asciiTheme="majorHAnsi" w:hAnsiTheme="majorHAnsi"/>
          <w:i/>
          <w:sz w:val="16"/>
          <w:szCs w:val="16"/>
        </w:rPr>
        <w:t>Mazorra</w:t>
      </w:r>
      <w:proofErr w:type="spellEnd"/>
      <w:r w:rsidRPr="00BC213E">
        <w:rPr>
          <w:rFonts w:asciiTheme="majorHAnsi" w:hAnsiTheme="majorHAnsi"/>
          <w:i/>
          <w:sz w:val="16"/>
          <w:szCs w:val="16"/>
        </w:rPr>
        <w:t xml:space="preserve"> et al.</w:t>
      </w:r>
      <w:r w:rsidRPr="00BC213E">
        <w:rPr>
          <w:rFonts w:asciiTheme="majorHAnsi" w:hAnsiTheme="majorHAnsi"/>
          <w:sz w:val="16"/>
          <w:szCs w:val="16"/>
        </w:rPr>
        <w:t xml:space="preserve">, United States, Apr. 4, 2001, para. 238 (citing </w:t>
      </w:r>
      <w:r w:rsidRPr="00BC213E">
        <w:rPr>
          <w:rFonts w:asciiTheme="majorHAnsi" w:eastAsia="Times New Roman" w:hAnsiTheme="majorHAnsi"/>
          <w:iCs/>
          <w:sz w:val="16"/>
          <w:szCs w:val="16"/>
        </w:rPr>
        <w:t xml:space="preserve">as support of its position </w:t>
      </w:r>
      <w:r w:rsidRPr="00BC213E">
        <w:rPr>
          <w:rFonts w:asciiTheme="majorHAnsi" w:eastAsia="Times New Roman" w:hAnsiTheme="majorHAnsi"/>
          <w:sz w:val="16"/>
          <w:szCs w:val="16"/>
        </w:rPr>
        <w:t>Eur. Ct. H.R., </w:t>
      </w:r>
      <w:r w:rsidRPr="00BC213E">
        <w:rPr>
          <w:rFonts w:asciiTheme="majorHAnsi" w:eastAsia="Times New Roman" w:hAnsiTheme="majorHAnsi"/>
          <w:i/>
          <w:iCs/>
          <w:sz w:val="16"/>
          <w:szCs w:val="16"/>
        </w:rPr>
        <w:t>Belgian Linguistics Case</w:t>
      </w:r>
      <w:r w:rsidRPr="00BC213E">
        <w:rPr>
          <w:rFonts w:asciiTheme="majorHAnsi" w:eastAsia="Times New Roman" w:hAnsiTheme="majorHAnsi"/>
          <w:sz w:val="16"/>
          <w:szCs w:val="16"/>
        </w:rPr>
        <w:t xml:space="preserve">, July 23, 1968, Series A Nº 6, 1 E.H.R.R. 252, p. 35, para. 10). </w:t>
      </w:r>
    </w:p>
  </w:footnote>
  <w:footnote w:id="137">
    <w:p w14:paraId="78B71EF5" w14:textId="77777777"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IACHR, </w:t>
      </w:r>
      <w:r w:rsidRPr="00BC213E">
        <w:rPr>
          <w:rFonts w:asciiTheme="majorHAnsi" w:hAnsiTheme="majorHAnsi"/>
          <w:i/>
          <w:color w:val="auto"/>
          <w:szCs w:val="16"/>
        </w:rPr>
        <w:t xml:space="preserve">Report on Terrorism and Human Rights </w:t>
      </w:r>
      <w:r w:rsidRPr="00BC213E">
        <w:rPr>
          <w:rFonts w:asciiTheme="majorHAnsi" w:hAnsiTheme="majorHAnsi"/>
          <w:color w:val="auto"/>
          <w:szCs w:val="16"/>
        </w:rPr>
        <w:t>(2002), para. 338 (citing, </w:t>
      </w:r>
      <w:r w:rsidRPr="00BC213E">
        <w:rPr>
          <w:rFonts w:asciiTheme="majorHAnsi" w:hAnsiTheme="majorHAnsi"/>
          <w:i/>
          <w:iCs/>
          <w:color w:val="auto"/>
          <w:szCs w:val="16"/>
        </w:rPr>
        <w:t>inter alia</w:t>
      </w:r>
      <w:r w:rsidRPr="00BC213E">
        <w:rPr>
          <w:rFonts w:asciiTheme="majorHAnsi" w:hAnsiTheme="majorHAnsi"/>
          <w:color w:val="auto"/>
          <w:szCs w:val="16"/>
        </w:rPr>
        <w:t xml:space="preserve">, Repetto, Inés, Supreme Court of Justice (Argentina), November 8, 1988, Judges </w:t>
      </w:r>
      <w:proofErr w:type="spellStart"/>
      <w:r w:rsidRPr="00BC213E">
        <w:rPr>
          <w:rFonts w:asciiTheme="majorHAnsi" w:hAnsiTheme="majorHAnsi"/>
          <w:color w:val="auto"/>
          <w:szCs w:val="16"/>
        </w:rPr>
        <w:t>Petracchi</w:t>
      </w:r>
      <w:proofErr w:type="spellEnd"/>
      <w:r w:rsidRPr="00BC213E">
        <w:rPr>
          <w:rFonts w:asciiTheme="majorHAnsi" w:hAnsiTheme="majorHAnsi"/>
          <w:color w:val="auto"/>
          <w:szCs w:val="16"/>
        </w:rPr>
        <w:t xml:space="preserve"> and </w:t>
      </w:r>
      <w:proofErr w:type="spellStart"/>
      <w:r w:rsidRPr="00BC213E">
        <w:rPr>
          <w:rFonts w:asciiTheme="majorHAnsi" w:hAnsiTheme="majorHAnsi"/>
          <w:color w:val="auto"/>
          <w:szCs w:val="16"/>
        </w:rPr>
        <w:t>Bacqué</w:t>
      </w:r>
      <w:proofErr w:type="spellEnd"/>
      <w:r w:rsidRPr="00BC213E">
        <w:rPr>
          <w:rFonts w:asciiTheme="majorHAnsi" w:hAnsiTheme="majorHAnsi"/>
          <w:color w:val="auto"/>
          <w:szCs w:val="16"/>
        </w:rPr>
        <w:t xml:space="preserve">, para. 6; Loving v. Virginia, 388 US 1, 87 (1967) Eur. Court H.R., </w:t>
      </w:r>
      <w:proofErr w:type="spellStart"/>
      <w:r w:rsidRPr="00BC213E">
        <w:rPr>
          <w:rFonts w:asciiTheme="majorHAnsi" w:hAnsiTheme="majorHAnsi"/>
          <w:color w:val="auto"/>
          <w:szCs w:val="16"/>
        </w:rPr>
        <w:t>Abdulaziz</w:t>
      </w:r>
      <w:proofErr w:type="spellEnd"/>
      <w:r w:rsidRPr="00BC213E">
        <w:rPr>
          <w:rFonts w:asciiTheme="majorHAnsi" w:hAnsiTheme="majorHAnsi"/>
          <w:color w:val="auto"/>
          <w:szCs w:val="16"/>
        </w:rPr>
        <w:t xml:space="preserve"> v. United Kingdom, Judgment of 28 May 1985, Ser. A Nº 94, para. 79).</w:t>
      </w:r>
    </w:p>
  </w:footnote>
  <w:footnote w:id="138">
    <w:p w14:paraId="38298CC7" w14:textId="44AEB9B1" w:rsidR="003B5615" w:rsidRPr="00BC213E" w:rsidRDefault="003B5615" w:rsidP="00DE251A">
      <w:pPr>
        <w:shd w:val="clear" w:color="auto" w:fill="FFFFFF"/>
        <w:tabs>
          <w:tab w:val="num" w:pos="720"/>
          <w:tab w:val="left" w:pos="1440"/>
          <w:tab w:val="num" w:pos="2040"/>
        </w:tabs>
        <w:jc w:val="both"/>
        <w:rPr>
          <w:rFonts w:asciiTheme="majorHAnsi" w:hAnsiTheme="majorHAnsi"/>
          <w:sz w:val="16"/>
          <w:szCs w:val="16"/>
        </w:rPr>
      </w:pPr>
      <w:r w:rsidRPr="00BC213E">
        <w:rPr>
          <w:rStyle w:val="FootnoteReference"/>
          <w:rFonts w:asciiTheme="majorHAnsi" w:hAnsiTheme="majorHAnsi"/>
          <w:sz w:val="16"/>
          <w:szCs w:val="16"/>
        </w:rPr>
        <w:footnoteRef/>
      </w:r>
      <w:r w:rsidRPr="00BC213E">
        <w:rPr>
          <w:rFonts w:asciiTheme="majorHAnsi" w:hAnsiTheme="majorHAnsi"/>
          <w:sz w:val="16"/>
          <w:szCs w:val="16"/>
        </w:rPr>
        <w:t xml:space="preserve"> Article V of the American Declaration establishes:</w:t>
      </w:r>
      <w:r w:rsidRPr="00BC213E">
        <w:rPr>
          <w:rFonts w:asciiTheme="majorHAnsi" w:hAnsiTheme="majorHAnsi" w:cs="Tahoma"/>
          <w:color w:val="333333"/>
          <w:sz w:val="16"/>
          <w:szCs w:val="16"/>
        </w:rPr>
        <w:t xml:space="preserve"> Every person has the right to the protection of the law against abusive attacks upon his honor, his reputation, and his private and family life.</w:t>
      </w:r>
    </w:p>
  </w:footnote>
  <w:footnote w:id="139">
    <w:p w14:paraId="2D0A8104" w14:textId="7FA88E09" w:rsidR="003B5615" w:rsidRPr="00BC213E" w:rsidRDefault="003B5615" w:rsidP="00DE251A">
      <w:pPr>
        <w:shd w:val="clear" w:color="auto" w:fill="FFFFFF"/>
        <w:tabs>
          <w:tab w:val="num" w:pos="720"/>
          <w:tab w:val="left" w:pos="1440"/>
          <w:tab w:val="num" w:pos="2040"/>
        </w:tabs>
        <w:jc w:val="both"/>
        <w:rPr>
          <w:rFonts w:asciiTheme="majorHAnsi" w:hAnsiTheme="majorHAnsi"/>
          <w:sz w:val="16"/>
          <w:szCs w:val="16"/>
        </w:rPr>
      </w:pPr>
      <w:r w:rsidRPr="00BC213E">
        <w:rPr>
          <w:rStyle w:val="FootnoteReference"/>
          <w:rFonts w:asciiTheme="majorHAnsi" w:hAnsiTheme="majorHAnsi"/>
          <w:sz w:val="16"/>
          <w:szCs w:val="16"/>
        </w:rPr>
        <w:footnoteRef/>
      </w:r>
      <w:r w:rsidRPr="00BC213E">
        <w:rPr>
          <w:rFonts w:asciiTheme="majorHAnsi" w:hAnsiTheme="majorHAnsi"/>
          <w:sz w:val="16"/>
          <w:szCs w:val="16"/>
        </w:rPr>
        <w:t xml:space="preserve"> Article VI of the American Declaration establishes: </w:t>
      </w:r>
      <w:r w:rsidRPr="00BC213E">
        <w:rPr>
          <w:rFonts w:asciiTheme="majorHAnsi" w:hAnsiTheme="majorHAnsi" w:cs="Tahoma"/>
          <w:color w:val="333333"/>
          <w:sz w:val="16"/>
          <w:szCs w:val="16"/>
        </w:rPr>
        <w:t>Every person has the right to establish a family, the basic element of society, and to receive protection therefore.</w:t>
      </w:r>
    </w:p>
  </w:footnote>
  <w:footnote w:id="140">
    <w:p w14:paraId="07043E50" w14:textId="3F9D36F2" w:rsidR="003B5615" w:rsidRPr="00BC213E" w:rsidRDefault="003B5615" w:rsidP="00DE251A">
      <w:pPr>
        <w:shd w:val="clear" w:color="auto" w:fill="FFFFFF"/>
        <w:tabs>
          <w:tab w:val="num" w:pos="720"/>
          <w:tab w:val="left" w:pos="1440"/>
          <w:tab w:val="num" w:pos="2040"/>
        </w:tabs>
        <w:jc w:val="both"/>
        <w:rPr>
          <w:rFonts w:asciiTheme="majorHAnsi" w:hAnsiTheme="majorHAnsi"/>
          <w:sz w:val="16"/>
          <w:szCs w:val="16"/>
        </w:rPr>
      </w:pPr>
      <w:r w:rsidRPr="00BC213E">
        <w:rPr>
          <w:rStyle w:val="FootnoteReference"/>
          <w:rFonts w:asciiTheme="majorHAnsi" w:hAnsiTheme="majorHAnsi"/>
          <w:sz w:val="16"/>
          <w:szCs w:val="16"/>
        </w:rPr>
        <w:footnoteRef/>
      </w:r>
      <w:r w:rsidRPr="00BC213E">
        <w:rPr>
          <w:rFonts w:asciiTheme="majorHAnsi" w:hAnsiTheme="majorHAnsi"/>
          <w:sz w:val="16"/>
          <w:szCs w:val="16"/>
        </w:rPr>
        <w:t xml:space="preserve"> Article VII of the American Declaration establishes: </w:t>
      </w:r>
      <w:r w:rsidRPr="00BC213E">
        <w:rPr>
          <w:rFonts w:asciiTheme="majorHAnsi" w:hAnsiTheme="majorHAnsi" w:cs="Tahoma"/>
          <w:color w:val="333333"/>
          <w:sz w:val="16"/>
          <w:szCs w:val="16"/>
        </w:rPr>
        <w:t>Article VII.  All women, during pregnancy and the nursing period, and all children have the right to special protection, care and aid.</w:t>
      </w:r>
      <w:r w:rsidRPr="00BC213E">
        <w:rPr>
          <w:rFonts w:asciiTheme="majorHAnsi" w:hAnsiTheme="majorHAnsi"/>
          <w:sz w:val="16"/>
          <w:szCs w:val="16"/>
        </w:rPr>
        <w:t xml:space="preserve"> </w:t>
      </w:r>
    </w:p>
  </w:footnote>
  <w:footnote w:id="141">
    <w:p w14:paraId="48D73DF5" w14:textId="77777777"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IACHR. </w:t>
      </w:r>
      <w:r w:rsidRPr="00BC213E">
        <w:rPr>
          <w:rFonts w:asciiTheme="majorHAnsi" w:hAnsiTheme="majorHAnsi"/>
          <w:i/>
          <w:iCs/>
          <w:color w:val="auto"/>
          <w:szCs w:val="16"/>
        </w:rPr>
        <w:t>Report on the Situation of Human Rights of Asylum Seekers Within the Canadian Refugee Determination System</w:t>
      </w:r>
      <w:r w:rsidRPr="00BC213E">
        <w:rPr>
          <w:rFonts w:asciiTheme="majorHAnsi" w:hAnsiTheme="majorHAnsi"/>
          <w:color w:val="auto"/>
          <w:szCs w:val="16"/>
        </w:rPr>
        <w:t>. OEA/</w:t>
      </w:r>
      <w:proofErr w:type="spellStart"/>
      <w:r w:rsidRPr="00BC213E">
        <w:rPr>
          <w:rFonts w:asciiTheme="majorHAnsi" w:hAnsiTheme="majorHAnsi"/>
          <w:color w:val="auto"/>
          <w:szCs w:val="16"/>
        </w:rPr>
        <w:t>Ser.L</w:t>
      </w:r>
      <w:proofErr w:type="spellEnd"/>
      <w:r w:rsidRPr="00BC213E">
        <w:rPr>
          <w:rFonts w:asciiTheme="majorHAnsi" w:hAnsiTheme="majorHAnsi"/>
          <w:color w:val="auto"/>
          <w:szCs w:val="16"/>
        </w:rPr>
        <w:t>/V/II.106, Doc. 40 rev. February 28, 2000, para 166.</w:t>
      </w:r>
    </w:p>
  </w:footnote>
  <w:footnote w:id="142">
    <w:p w14:paraId="0470B101" w14:textId="77777777" w:rsidR="003B5615" w:rsidRPr="00BC213E" w:rsidRDefault="003B5615" w:rsidP="00DE251A">
      <w:pPr>
        <w:pStyle w:val="FootnoteText"/>
        <w:jc w:val="both"/>
        <w:rPr>
          <w:rFonts w:asciiTheme="majorHAnsi" w:hAnsiTheme="majorHAnsi"/>
          <w:color w:val="auto"/>
          <w:szCs w:val="16"/>
        </w:rPr>
      </w:pPr>
      <w:r w:rsidRPr="00BC213E">
        <w:rPr>
          <w:rStyle w:val="FootnoteReference"/>
          <w:rFonts w:asciiTheme="majorHAnsi" w:hAnsiTheme="majorHAnsi"/>
          <w:color w:val="auto"/>
          <w:szCs w:val="16"/>
        </w:rPr>
        <w:footnoteRef/>
      </w:r>
      <w:r w:rsidRPr="00BC213E">
        <w:rPr>
          <w:rFonts w:asciiTheme="majorHAnsi" w:hAnsiTheme="majorHAnsi"/>
          <w:color w:val="auto"/>
          <w:szCs w:val="16"/>
        </w:rPr>
        <w:t xml:space="preserve"> IACHR. Report No. 81/10. Case 12.562. Publication Wayne Smith et al. United States. July 12, 2010, para 56.</w:t>
      </w:r>
    </w:p>
  </w:footnote>
  <w:footnote w:id="143">
    <w:p w14:paraId="2492E9A8" w14:textId="29FA5F38" w:rsidR="003B5615" w:rsidRPr="004311FE" w:rsidRDefault="003B5615" w:rsidP="00BF4F54">
      <w:pPr>
        <w:pStyle w:val="NormalWeb"/>
        <w:spacing w:before="0" w:beforeAutospacing="0" w:after="0" w:afterAutospacing="0"/>
        <w:jc w:val="both"/>
        <w:rPr>
          <w:lang w:eastAsia="zh-CN"/>
        </w:rPr>
      </w:pPr>
      <w:r w:rsidRPr="00BF4F54">
        <w:rPr>
          <w:rStyle w:val="FootnoteReference"/>
          <w:rFonts w:asciiTheme="majorHAnsi" w:hAnsiTheme="majorHAnsi"/>
          <w:sz w:val="16"/>
          <w:szCs w:val="16"/>
        </w:rPr>
        <w:footnoteRef/>
      </w:r>
      <w:r>
        <w:t xml:space="preserve"> </w:t>
      </w:r>
      <w:r w:rsidRPr="00BF4F54">
        <w:rPr>
          <w:rFonts w:asciiTheme="majorHAnsi" w:eastAsia="Calibri" w:hAnsiTheme="majorHAnsi" w:cs="Calibri"/>
          <w:sz w:val="16"/>
          <w:szCs w:val="16"/>
          <w:u w:color="000000"/>
          <w:bdr w:val="nil"/>
          <w:lang w:eastAsia="es-ES"/>
        </w:rPr>
        <w:t>Telephone Interview by Caribbean Institute for Human Rights and Robert F. Kennedy Human Rights with Joey Cinque (Sept. 5, 2019). Petitioners’ brief July 20, 2020.</w:t>
      </w:r>
    </w:p>
  </w:footnote>
  <w:footnote w:id="144">
    <w:p w14:paraId="68A2A6A3" w14:textId="7156FA4A" w:rsidR="003B5615" w:rsidRPr="004311FE" w:rsidRDefault="003B5615" w:rsidP="00BF4F54">
      <w:pPr>
        <w:pStyle w:val="NormalWeb"/>
        <w:spacing w:before="0" w:beforeAutospacing="0" w:after="0" w:afterAutospacing="0"/>
        <w:jc w:val="both"/>
        <w:rPr>
          <w:lang w:eastAsia="zh-CN"/>
        </w:rPr>
      </w:pPr>
      <w:r w:rsidRPr="00BF4F54">
        <w:rPr>
          <w:rFonts w:asciiTheme="majorHAnsi" w:eastAsia="Calibri" w:hAnsiTheme="majorHAnsi" w:cs="Calibri"/>
          <w:sz w:val="16"/>
          <w:szCs w:val="16"/>
          <w:u w:color="000000"/>
          <w:bdr w:val="nil"/>
          <w:vertAlign w:val="superscript"/>
          <w:lang w:eastAsia="es-ES"/>
        </w:rPr>
        <w:footnoteRef/>
      </w:r>
      <w:r w:rsidRPr="00BF4F54">
        <w:rPr>
          <w:rFonts w:asciiTheme="majorHAnsi" w:eastAsia="Calibri" w:hAnsiTheme="majorHAnsi" w:cs="Calibri"/>
          <w:sz w:val="16"/>
          <w:szCs w:val="16"/>
          <w:u w:color="000000"/>
          <w:bdr w:val="nil"/>
          <w:vertAlign w:val="superscript"/>
          <w:lang w:eastAsia="es-ES"/>
        </w:rPr>
        <w:t xml:space="preserve"> </w:t>
      </w:r>
      <w:r w:rsidRPr="00BF4F54">
        <w:rPr>
          <w:rFonts w:asciiTheme="majorHAnsi" w:eastAsia="Calibri" w:hAnsiTheme="majorHAnsi" w:cs="Calibri"/>
          <w:sz w:val="16"/>
          <w:szCs w:val="16"/>
          <w:u w:color="000000"/>
          <w:bdr w:val="nil"/>
          <w:lang w:eastAsia="es-ES"/>
        </w:rPr>
        <w:t xml:space="preserve">Tanya Smith-Cartwright, Jamaican Man Wins New $60k Payout Over Detention, THE TRIBUNE, (June 8, 2020), </w:t>
      </w:r>
      <w:hyperlink r:id="rId1" w:history="1">
        <w:r w:rsidRPr="00BF4F54">
          <w:rPr>
            <w:rFonts w:asciiTheme="majorHAnsi" w:eastAsia="Calibri" w:hAnsiTheme="majorHAnsi" w:cs="Calibri"/>
            <w:sz w:val="16"/>
            <w:szCs w:val="16"/>
            <w:u w:color="000000"/>
            <w:bdr w:val="nil"/>
            <w:lang w:eastAsia="es-ES"/>
          </w:rPr>
          <w:t>http://www.tribune242.com/news/2020/jun/08/jamaican-man-wins-new-60k-payout-over-detention/</w:t>
        </w:r>
      </w:hyperlink>
      <w:r w:rsidRPr="00BF4F54">
        <w:rPr>
          <w:rFonts w:asciiTheme="majorHAnsi" w:eastAsia="Calibri" w:hAnsiTheme="majorHAnsi" w:cs="Calibri"/>
          <w:sz w:val="16"/>
          <w:szCs w:val="16"/>
          <w:u w:color="000000"/>
          <w:bdr w:val="nil"/>
          <w:lang w:eastAsia="es-ES"/>
        </w:rPr>
        <w:t>. Petitioners’ brief July 20, 2020.</w:t>
      </w:r>
    </w:p>
  </w:footnote>
  <w:footnote w:id="145">
    <w:p w14:paraId="08A5A156" w14:textId="38A1AC85" w:rsidR="003B5615" w:rsidRPr="00BF4F54" w:rsidRDefault="003B5615" w:rsidP="00BF4F54">
      <w:pPr>
        <w:pStyle w:val="NormalWeb"/>
        <w:spacing w:before="0" w:beforeAutospacing="0" w:after="0" w:afterAutospacing="0"/>
        <w:jc w:val="both"/>
        <w:rPr>
          <w:rFonts w:asciiTheme="majorHAnsi" w:eastAsia="Calibri" w:hAnsiTheme="majorHAnsi" w:cs="Calibri"/>
          <w:sz w:val="16"/>
          <w:szCs w:val="16"/>
          <w:u w:color="000000"/>
          <w:bdr w:val="nil"/>
          <w:lang w:eastAsia="es-ES"/>
        </w:rPr>
      </w:pPr>
      <w:r w:rsidRPr="00BF4F54">
        <w:rPr>
          <w:rFonts w:asciiTheme="majorHAnsi" w:eastAsia="Calibri" w:hAnsiTheme="majorHAnsi" w:cs="Calibri"/>
          <w:sz w:val="16"/>
          <w:szCs w:val="16"/>
          <w:u w:color="000000"/>
          <w:bdr w:val="nil"/>
          <w:vertAlign w:val="superscript"/>
          <w:lang w:eastAsia="es-ES"/>
        </w:rPr>
        <w:footnoteRef/>
      </w:r>
      <w:r w:rsidRPr="00BF4F54">
        <w:rPr>
          <w:rFonts w:asciiTheme="majorHAnsi" w:eastAsia="Calibri" w:hAnsiTheme="majorHAnsi" w:cs="Calibri"/>
          <w:sz w:val="16"/>
          <w:szCs w:val="16"/>
          <w:u w:color="000000"/>
          <w:bdr w:val="nil"/>
          <w:lang w:eastAsia="es-ES"/>
        </w:rPr>
        <w:t xml:space="preserve"> Sloan Smith, Stateless Man Sues Over </w:t>
      </w:r>
      <w:proofErr w:type="gramStart"/>
      <w:r w:rsidRPr="00BF4F54">
        <w:rPr>
          <w:rFonts w:asciiTheme="majorHAnsi" w:eastAsia="Calibri" w:hAnsiTheme="majorHAnsi" w:cs="Calibri"/>
          <w:sz w:val="16"/>
          <w:szCs w:val="16"/>
          <w:u w:color="000000"/>
          <w:bdr w:val="nil"/>
          <w:lang w:eastAsia="es-ES"/>
        </w:rPr>
        <w:t>Long Term</w:t>
      </w:r>
      <w:proofErr w:type="gramEnd"/>
      <w:r w:rsidRPr="00BF4F54">
        <w:rPr>
          <w:rFonts w:asciiTheme="majorHAnsi" w:eastAsia="Calibri" w:hAnsiTheme="majorHAnsi" w:cs="Calibri"/>
          <w:sz w:val="16"/>
          <w:szCs w:val="16"/>
          <w:u w:color="000000"/>
          <w:bdr w:val="nil"/>
          <w:lang w:eastAsia="es-ES"/>
        </w:rPr>
        <w:t xml:space="preserve"> Detention, EYEWITNESS NEWS (Feb. 27, 2020), </w:t>
      </w:r>
      <w:hyperlink r:id="rId2" w:history="1">
        <w:r w:rsidRPr="00BF4F54">
          <w:rPr>
            <w:rFonts w:asciiTheme="majorHAnsi" w:eastAsia="Calibri" w:hAnsiTheme="majorHAnsi" w:cs="Calibri"/>
            <w:sz w:val="16"/>
            <w:szCs w:val="16"/>
            <w:u w:color="000000"/>
            <w:bdr w:val="nil"/>
            <w:lang w:eastAsia="es-ES"/>
          </w:rPr>
          <w:t>https://ewnews.com/stateless-man-sues-over-long-term-detention</w:t>
        </w:r>
      </w:hyperlink>
      <w:r w:rsidRPr="00BF4F54">
        <w:rPr>
          <w:rFonts w:asciiTheme="majorHAnsi" w:eastAsia="Calibri" w:hAnsiTheme="majorHAnsi" w:cs="Calibri"/>
          <w:sz w:val="16"/>
          <w:szCs w:val="16"/>
          <w:u w:color="000000"/>
          <w:bdr w:val="nil"/>
          <w:lang w:eastAsia="es-ES"/>
        </w:rPr>
        <w:t>.  Petitioners’ brief July 20, 2020.</w:t>
      </w:r>
    </w:p>
  </w:footnote>
  <w:footnote w:id="146">
    <w:p w14:paraId="744991E7" w14:textId="6CFFF2B8" w:rsidR="003B5615" w:rsidRPr="004311FE" w:rsidRDefault="003B5615" w:rsidP="00BF4F54">
      <w:pPr>
        <w:pStyle w:val="NormalWeb"/>
        <w:spacing w:before="0" w:beforeAutospacing="0" w:after="0" w:afterAutospacing="0"/>
        <w:jc w:val="both"/>
        <w:rPr>
          <w:rFonts w:asciiTheme="majorHAnsi" w:hAnsiTheme="majorHAnsi"/>
          <w:sz w:val="16"/>
          <w:szCs w:val="16"/>
          <w:lang w:eastAsia="zh-CN"/>
        </w:rPr>
      </w:pPr>
      <w:r w:rsidRPr="00BF4F54">
        <w:rPr>
          <w:rStyle w:val="FootnoteReference"/>
          <w:rFonts w:asciiTheme="majorHAnsi" w:hAnsiTheme="majorHAnsi"/>
          <w:sz w:val="16"/>
          <w:szCs w:val="16"/>
        </w:rPr>
        <w:footnoteRef/>
      </w:r>
      <w:r w:rsidRPr="00BF4F54">
        <w:rPr>
          <w:rFonts w:asciiTheme="majorHAnsi" w:hAnsiTheme="majorHAnsi"/>
          <w:sz w:val="16"/>
          <w:szCs w:val="16"/>
        </w:rPr>
        <w:t xml:space="preserve"> </w:t>
      </w:r>
      <w:r w:rsidRPr="00BF4F54">
        <w:rPr>
          <w:rFonts w:asciiTheme="majorHAnsi" w:hAnsiTheme="majorHAnsi" w:cs="Arial"/>
          <w:i/>
          <w:iCs/>
          <w:sz w:val="16"/>
          <w:szCs w:val="16"/>
        </w:rPr>
        <w:t xml:space="preserve">IOM Calls for Govt. to Investigate Migrant Abuse Claims, </w:t>
      </w:r>
      <w:r w:rsidRPr="00BF4F54">
        <w:rPr>
          <w:rFonts w:asciiTheme="majorHAnsi" w:hAnsiTheme="majorHAnsi"/>
          <w:sz w:val="16"/>
          <w:szCs w:val="16"/>
        </w:rPr>
        <w:t xml:space="preserve">EYEWITNESS NEWS (Nov. 18, 2019), </w:t>
      </w:r>
      <w:hyperlink r:id="rId3" w:history="1">
        <w:r w:rsidRPr="00BF4F54">
          <w:rPr>
            <w:rStyle w:val="Hyperlink"/>
            <w:rFonts w:asciiTheme="majorHAnsi" w:hAnsiTheme="majorHAnsi"/>
            <w:sz w:val="16"/>
            <w:szCs w:val="16"/>
          </w:rPr>
          <w:t>https://ewnews.com/iom-calls-for-govt-to-investigate-migrant-abuse-claims</w:t>
        </w:r>
      </w:hyperlink>
      <w:r w:rsidRPr="00BF4F54">
        <w:rPr>
          <w:rFonts w:asciiTheme="majorHAnsi" w:hAnsiTheme="majorHAnsi"/>
          <w:color w:val="0000FF"/>
          <w:sz w:val="16"/>
          <w:szCs w:val="16"/>
        </w:rPr>
        <w:t>.</w:t>
      </w:r>
      <w:r w:rsidRPr="00BF4F54">
        <w:rPr>
          <w:rFonts w:asciiTheme="majorHAnsi" w:hAnsiTheme="majorHAnsi"/>
          <w:sz w:val="16"/>
          <w:szCs w:val="16"/>
        </w:rPr>
        <w:t xml:space="preserve"> Petitioners’ brief July 20, 2020.</w:t>
      </w:r>
    </w:p>
  </w:footnote>
  <w:footnote w:id="147">
    <w:p w14:paraId="7C649BF7" w14:textId="66B7EC21" w:rsidR="003B5615" w:rsidRPr="004311FE" w:rsidRDefault="003B5615" w:rsidP="00BF4F54">
      <w:pPr>
        <w:pStyle w:val="NormalWeb"/>
        <w:spacing w:before="0" w:beforeAutospacing="0" w:after="0" w:afterAutospacing="0"/>
        <w:jc w:val="both"/>
        <w:rPr>
          <w:rFonts w:asciiTheme="majorHAnsi" w:hAnsiTheme="majorHAnsi"/>
          <w:sz w:val="16"/>
          <w:szCs w:val="16"/>
          <w:lang w:eastAsia="zh-CN"/>
        </w:rPr>
      </w:pPr>
      <w:r w:rsidRPr="00BF4F54">
        <w:rPr>
          <w:rStyle w:val="FootnoteReference"/>
          <w:rFonts w:asciiTheme="majorHAnsi" w:hAnsiTheme="majorHAnsi"/>
          <w:sz w:val="16"/>
          <w:szCs w:val="16"/>
        </w:rPr>
        <w:footnoteRef/>
      </w:r>
      <w:r w:rsidRPr="00BF4F54">
        <w:rPr>
          <w:rFonts w:asciiTheme="majorHAnsi" w:hAnsiTheme="majorHAnsi"/>
          <w:sz w:val="16"/>
          <w:szCs w:val="16"/>
        </w:rPr>
        <w:t xml:space="preserve"> Telephone Interview with Rights Bahamas (June 16, 2020). Petitioners’ brief July 20, 2020.</w:t>
      </w:r>
    </w:p>
  </w:footnote>
  <w:footnote w:id="148">
    <w:p w14:paraId="2BAB0082" w14:textId="3710EBE8" w:rsidR="003B5615" w:rsidRPr="004311FE" w:rsidRDefault="003B5615" w:rsidP="00BF4F54">
      <w:pPr>
        <w:pStyle w:val="NormalWeb"/>
        <w:spacing w:before="0" w:beforeAutospacing="0" w:after="0" w:afterAutospacing="0"/>
        <w:jc w:val="both"/>
        <w:rPr>
          <w:rFonts w:asciiTheme="majorHAnsi" w:hAnsiTheme="majorHAnsi"/>
          <w:sz w:val="16"/>
          <w:szCs w:val="16"/>
          <w:lang w:eastAsia="zh-CN"/>
        </w:rPr>
      </w:pPr>
      <w:r w:rsidRPr="00BF4F54">
        <w:rPr>
          <w:rStyle w:val="FootnoteReference"/>
          <w:rFonts w:asciiTheme="majorHAnsi" w:hAnsiTheme="majorHAnsi"/>
          <w:sz w:val="16"/>
          <w:szCs w:val="16"/>
        </w:rPr>
        <w:footnoteRef/>
      </w:r>
      <w:r w:rsidRPr="00BF4F54">
        <w:rPr>
          <w:rFonts w:asciiTheme="majorHAnsi" w:hAnsiTheme="majorHAnsi"/>
          <w:sz w:val="16"/>
          <w:szCs w:val="16"/>
        </w:rPr>
        <w:t xml:space="preserve"> Contact Form for Immigration Complaints, THE GOV’T OF THE BAH., DEP’T OF IMMIGR., https://www.immigration.gov.bs/contact-us/; Information Brochure for Bahamas Immigration Department Public Hotline/Tipsters, THE GOV’T OF THE BAH., DEP’T OF IMMIGR., http://www.bahamas.gov.bs/wps/wcm/connect/3aeba1b8-49f6-49a1-9ba2- 1d9e63dff340/</w:t>
      </w:r>
      <w:proofErr w:type="spellStart"/>
      <w:r w:rsidRPr="00BF4F54">
        <w:rPr>
          <w:rFonts w:asciiTheme="majorHAnsi" w:hAnsiTheme="majorHAnsi"/>
          <w:sz w:val="16"/>
          <w:szCs w:val="16"/>
        </w:rPr>
        <w:t>Hotline+Brochure.pdf?MOD</w:t>
      </w:r>
      <w:proofErr w:type="spellEnd"/>
      <w:r w:rsidRPr="00BF4F54">
        <w:rPr>
          <w:rFonts w:asciiTheme="majorHAnsi" w:hAnsiTheme="majorHAnsi"/>
          <w:sz w:val="16"/>
          <w:szCs w:val="16"/>
        </w:rPr>
        <w:t>=AJPERES. Petitioners’ brief July 20, 2020.</w:t>
      </w:r>
    </w:p>
  </w:footnote>
  <w:footnote w:id="149">
    <w:p w14:paraId="3D2F4DBE" w14:textId="2D8F0E62" w:rsidR="003B5615" w:rsidRPr="004311FE" w:rsidRDefault="003B5615" w:rsidP="00BF4F54">
      <w:pPr>
        <w:pStyle w:val="NormalWeb"/>
        <w:spacing w:before="0" w:beforeAutospacing="0" w:after="0" w:afterAutospacing="0"/>
        <w:jc w:val="both"/>
        <w:rPr>
          <w:rFonts w:asciiTheme="majorHAnsi" w:hAnsiTheme="majorHAnsi"/>
          <w:sz w:val="16"/>
          <w:szCs w:val="16"/>
          <w:lang w:eastAsia="zh-CN"/>
        </w:rPr>
      </w:pPr>
      <w:r w:rsidRPr="00BF4F54">
        <w:rPr>
          <w:rStyle w:val="FootnoteReference"/>
          <w:rFonts w:asciiTheme="majorHAnsi" w:hAnsiTheme="majorHAnsi"/>
          <w:sz w:val="16"/>
          <w:szCs w:val="16"/>
        </w:rPr>
        <w:footnoteRef/>
      </w:r>
      <w:r w:rsidRPr="00BF4F54">
        <w:rPr>
          <w:rFonts w:asciiTheme="majorHAnsi" w:hAnsiTheme="majorHAnsi"/>
          <w:sz w:val="16"/>
          <w:szCs w:val="16"/>
        </w:rPr>
        <w:t xml:space="preserve"> Brief from Robert F. Kennedy Human Rights and The Caribbean Institute for Human Rights to The Inter-American Commission on Human Rights, Updates on PM 535-14, Persons in immigration detention at Carmichael Road Detention Center, The Bahamas, (unpublished manuscript) (Sept. 24, 2019). Petitioners’ brief July 20, 2020.</w:t>
      </w:r>
    </w:p>
  </w:footnote>
  <w:footnote w:id="150">
    <w:p w14:paraId="12F16EE1" w14:textId="64278091" w:rsidR="003B5615" w:rsidRPr="004311FE" w:rsidRDefault="003B5615" w:rsidP="00BF4F54">
      <w:pPr>
        <w:pStyle w:val="NormalWeb"/>
        <w:spacing w:before="0" w:beforeAutospacing="0" w:after="0" w:afterAutospacing="0"/>
        <w:jc w:val="both"/>
        <w:rPr>
          <w:lang w:eastAsia="zh-CN"/>
        </w:rPr>
      </w:pPr>
      <w:r w:rsidRPr="00BF4F54">
        <w:rPr>
          <w:rStyle w:val="FootnoteReference"/>
          <w:rFonts w:asciiTheme="majorHAnsi" w:hAnsiTheme="majorHAnsi"/>
          <w:sz w:val="16"/>
          <w:szCs w:val="16"/>
        </w:rPr>
        <w:footnoteRef/>
      </w:r>
      <w:r w:rsidRPr="00BF4F54">
        <w:rPr>
          <w:rFonts w:asciiTheme="majorHAnsi" w:hAnsiTheme="majorHAnsi"/>
          <w:sz w:val="16"/>
          <w:szCs w:val="16"/>
        </w:rPr>
        <w:t xml:space="preserve"> Press Release, IOM U.N. Migration, IOM Tracks Repatriations of Haitian Migrants from The Bahamas, https://www.iom.int/news/iom-tracks-repatriations-haitian-migrants-bahamas. Petitioners’ brief July 20, 2020.</w:t>
      </w:r>
    </w:p>
  </w:footnote>
  <w:footnote w:id="151">
    <w:p w14:paraId="34F99B1A" w14:textId="02FBFEA5" w:rsidR="003B5615" w:rsidRPr="004311FE" w:rsidRDefault="003B5615" w:rsidP="00BF4F54">
      <w:pPr>
        <w:pStyle w:val="NormalWeb"/>
        <w:spacing w:before="0" w:beforeAutospacing="0" w:after="0" w:afterAutospacing="0"/>
        <w:jc w:val="both"/>
        <w:rPr>
          <w:rFonts w:asciiTheme="majorHAnsi" w:hAnsiTheme="majorHAnsi"/>
          <w:sz w:val="16"/>
          <w:szCs w:val="16"/>
          <w:lang w:eastAsia="zh-CN"/>
        </w:rPr>
      </w:pPr>
      <w:r w:rsidRPr="00BF4F54">
        <w:rPr>
          <w:rStyle w:val="FootnoteReference"/>
          <w:rFonts w:asciiTheme="majorHAnsi" w:hAnsiTheme="majorHAnsi"/>
          <w:sz w:val="16"/>
          <w:szCs w:val="16"/>
        </w:rPr>
        <w:footnoteRef/>
      </w:r>
      <w:r w:rsidRPr="00BF4F54">
        <w:rPr>
          <w:rFonts w:asciiTheme="majorHAnsi" w:hAnsiTheme="majorHAnsi"/>
          <w:sz w:val="16"/>
          <w:szCs w:val="16"/>
        </w:rPr>
        <w:t xml:space="preserve"> Bert Wilkinson, </w:t>
      </w:r>
      <w:r w:rsidRPr="00BF4F54">
        <w:rPr>
          <w:rFonts w:asciiTheme="majorHAnsi" w:hAnsiTheme="majorHAnsi" w:cs="Arial"/>
          <w:i/>
          <w:iCs/>
          <w:sz w:val="16"/>
          <w:szCs w:val="16"/>
        </w:rPr>
        <w:t>Bahamas to Continue Deporting Illegals</w:t>
      </w:r>
      <w:r w:rsidRPr="00BF4F54">
        <w:rPr>
          <w:rFonts w:asciiTheme="majorHAnsi" w:hAnsiTheme="majorHAnsi"/>
          <w:sz w:val="16"/>
          <w:szCs w:val="16"/>
        </w:rPr>
        <w:t xml:space="preserve">, AMSTERDAM NEWS (Oct. 24, 2019), </w:t>
      </w:r>
      <w:hyperlink r:id="rId4" w:history="1">
        <w:r w:rsidRPr="00BF4F54">
          <w:rPr>
            <w:rStyle w:val="Hyperlink"/>
            <w:rFonts w:asciiTheme="majorHAnsi" w:hAnsiTheme="majorHAnsi"/>
            <w:sz w:val="16"/>
            <w:szCs w:val="16"/>
          </w:rPr>
          <w:t>http://amsterdamnews.com/news/2019/oct/24/bahamas-continue-deporting-illegals/</w:t>
        </w:r>
      </w:hyperlink>
      <w:r w:rsidRPr="00BF4F54">
        <w:rPr>
          <w:rFonts w:asciiTheme="majorHAnsi" w:hAnsiTheme="majorHAnsi"/>
          <w:color w:val="0000FF"/>
          <w:sz w:val="16"/>
          <w:szCs w:val="16"/>
        </w:rPr>
        <w:t>;</w:t>
      </w:r>
      <w:r w:rsidRPr="00BF4F54">
        <w:rPr>
          <w:rFonts w:asciiTheme="majorHAnsi" w:hAnsiTheme="majorHAnsi"/>
          <w:sz w:val="16"/>
          <w:szCs w:val="16"/>
        </w:rPr>
        <w:t xml:space="preserve"> </w:t>
      </w:r>
      <w:proofErr w:type="spellStart"/>
      <w:r w:rsidRPr="00BF4F54">
        <w:rPr>
          <w:rFonts w:asciiTheme="majorHAnsi" w:hAnsiTheme="majorHAnsi"/>
          <w:sz w:val="16"/>
          <w:szCs w:val="16"/>
        </w:rPr>
        <w:t>Bertin</w:t>
      </w:r>
      <w:proofErr w:type="spellEnd"/>
      <w:r w:rsidRPr="00BF4F54">
        <w:rPr>
          <w:rFonts w:asciiTheme="majorHAnsi" w:hAnsiTheme="majorHAnsi"/>
          <w:sz w:val="16"/>
          <w:szCs w:val="16"/>
        </w:rPr>
        <w:t xml:space="preserve"> M. </w:t>
      </w:r>
      <w:proofErr w:type="spellStart"/>
      <w:r w:rsidRPr="00BF4F54">
        <w:rPr>
          <w:rFonts w:asciiTheme="majorHAnsi" w:hAnsiTheme="majorHAnsi"/>
          <w:sz w:val="16"/>
          <w:szCs w:val="16"/>
        </w:rPr>
        <w:t>Loouis</w:t>
      </w:r>
      <w:proofErr w:type="spellEnd"/>
      <w:r w:rsidRPr="00BF4F54">
        <w:rPr>
          <w:rFonts w:asciiTheme="majorHAnsi" w:hAnsiTheme="majorHAnsi"/>
          <w:sz w:val="16"/>
          <w:szCs w:val="16"/>
        </w:rPr>
        <w:t xml:space="preserve">, Jr., </w:t>
      </w:r>
      <w:r w:rsidRPr="00BF4F54">
        <w:rPr>
          <w:rFonts w:asciiTheme="majorHAnsi" w:hAnsiTheme="majorHAnsi" w:cs="Arial"/>
          <w:i/>
          <w:iCs/>
          <w:sz w:val="16"/>
          <w:szCs w:val="16"/>
        </w:rPr>
        <w:t>Haitian Migrants Face Deportation and Stigma in Hurricane-Ravaged Bahamas</w:t>
      </w:r>
      <w:r w:rsidRPr="00BF4F54">
        <w:rPr>
          <w:rFonts w:asciiTheme="majorHAnsi" w:hAnsiTheme="majorHAnsi"/>
          <w:sz w:val="16"/>
          <w:szCs w:val="16"/>
        </w:rPr>
        <w:t xml:space="preserve">, THE CONVERSATION (Dec. 3, 2019), </w:t>
      </w:r>
      <w:hyperlink r:id="rId5" w:history="1">
        <w:r w:rsidRPr="00BF4F54">
          <w:rPr>
            <w:rStyle w:val="Hyperlink"/>
            <w:rFonts w:asciiTheme="majorHAnsi" w:hAnsiTheme="majorHAnsi"/>
            <w:sz w:val="16"/>
            <w:szCs w:val="16"/>
          </w:rPr>
          <w:t>https://theconversation.com/haitian-migrants-face-deportation-and-stigma-in-hurricane-ravaged- bahamas-127008</w:t>
        </w:r>
      </w:hyperlink>
      <w:r w:rsidRPr="00BF4F54">
        <w:rPr>
          <w:rFonts w:asciiTheme="majorHAnsi" w:hAnsiTheme="majorHAnsi"/>
          <w:sz w:val="16"/>
          <w:szCs w:val="16"/>
        </w:rPr>
        <w:t xml:space="preserve">. Petitioners’ brief July 20, 2020. </w:t>
      </w:r>
    </w:p>
  </w:footnote>
  <w:footnote w:id="152">
    <w:p w14:paraId="35D7A0F5" w14:textId="64AE6337" w:rsidR="003B5615" w:rsidRPr="00BF4F54" w:rsidRDefault="003B5615" w:rsidP="00BF4F54">
      <w:pPr>
        <w:pStyle w:val="FootnoteText"/>
        <w:jc w:val="both"/>
        <w:rPr>
          <w:rFonts w:asciiTheme="majorHAnsi" w:hAnsiTheme="majorHAnsi"/>
          <w:szCs w:val="16"/>
        </w:rPr>
      </w:pPr>
      <w:r w:rsidRPr="00BF4F54">
        <w:rPr>
          <w:rStyle w:val="FootnoteReference"/>
          <w:rFonts w:asciiTheme="majorHAnsi" w:hAnsiTheme="majorHAnsi"/>
          <w:szCs w:val="16"/>
        </w:rPr>
        <w:footnoteRef/>
      </w:r>
      <w:r w:rsidRPr="00BF4F54">
        <w:rPr>
          <w:rFonts w:asciiTheme="majorHAnsi" w:hAnsiTheme="majorHAnsi"/>
          <w:szCs w:val="16"/>
        </w:rPr>
        <w:t xml:space="preserve"> Royston Jones Jr., </w:t>
      </w:r>
      <w:r w:rsidRPr="00BF4F54">
        <w:rPr>
          <w:rFonts w:asciiTheme="majorHAnsi" w:hAnsiTheme="majorHAnsi" w:cs="Arial"/>
          <w:i/>
          <w:iCs/>
          <w:szCs w:val="16"/>
        </w:rPr>
        <w:t xml:space="preserve">Despite Cuts, Promotions and New Hires Planned for Immigration Dept., </w:t>
      </w:r>
      <w:r w:rsidRPr="00BF4F54">
        <w:rPr>
          <w:rFonts w:asciiTheme="majorHAnsi" w:hAnsiTheme="majorHAnsi"/>
          <w:szCs w:val="16"/>
        </w:rPr>
        <w:t xml:space="preserve">EYEWITNESS NEWS (June 16, 2020), </w:t>
      </w:r>
      <w:r w:rsidRPr="00BF4F54">
        <w:rPr>
          <w:rFonts w:asciiTheme="majorHAnsi" w:hAnsiTheme="majorHAnsi"/>
          <w:color w:val="0000FF"/>
          <w:szCs w:val="16"/>
        </w:rPr>
        <w:t xml:space="preserve">https://ewnews.com/despite-cuts-promotions-and-new-hires-planned- for-immigration-dept. </w:t>
      </w:r>
      <w:r w:rsidRPr="00BF4F54">
        <w:rPr>
          <w:rFonts w:asciiTheme="majorHAnsi" w:hAnsiTheme="majorHAnsi"/>
          <w:szCs w:val="16"/>
        </w:rPr>
        <w:t>Petitioners’ brief July 20, 2020.</w:t>
      </w:r>
    </w:p>
  </w:footnote>
  <w:footnote w:id="153">
    <w:p w14:paraId="42269C80" w14:textId="31249E1D" w:rsidR="003B5615" w:rsidRPr="004311FE" w:rsidRDefault="003B5615" w:rsidP="00BF4F54">
      <w:pPr>
        <w:pStyle w:val="NormalWeb"/>
        <w:spacing w:before="0" w:beforeAutospacing="0" w:after="0" w:afterAutospacing="0"/>
        <w:jc w:val="both"/>
        <w:rPr>
          <w:rFonts w:asciiTheme="majorHAnsi" w:hAnsiTheme="majorHAnsi"/>
          <w:sz w:val="16"/>
          <w:szCs w:val="16"/>
          <w:lang w:eastAsia="zh-CN"/>
        </w:rPr>
      </w:pPr>
      <w:r w:rsidRPr="00BF4F54">
        <w:rPr>
          <w:rStyle w:val="FootnoteReference"/>
          <w:rFonts w:asciiTheme="majorHAnsi" w:hAnsiTheme="majorHAnsi"/>
          <w:sz w:val="16"/>
          <w:szCs w:val="16"/>
        </w:rPr>
        <w:footnoteRef/>
      </w:r>
      <w:r w:rsidRPr="00BF4F54">
        <w:rPr>
          <w:rFonts w:asciiTheme="majorHAnsi" w:hAnsiTheme="majorHAnsi"/>
          <w:sz w:val="16"/>
          <w:szCs w:val="16"/>
        </w:rPr>
        <w:t xml:space="preserve"> </w:t>
      </w:r>
      <w:r w:rsidRPr="00BF4F54">
        <w:rPr>
          <w:rFonts w:asciiTheme="majorHAnsi" w:hAnsiTheme="majorHAnsi" w:cs="Arial"/>
          <w:i/>
          <w:iCs/>
          <w:sz w:val="16"/>
          <w:szCs w:val="16"/>
        </w:rPr>
        <w:t>Continued Training &amp; Education for Immigration Officers at the Border Program</w:t>
      </w:r>
      <w:r w:rsidRPr="00BF4F54">
        <w:rPr>
          <w:rFonts w:asciiTheme="majorHAnsi" w:hAnsiTheme="majorHAnsi"/>
          <w:sz w:val="16"/>
          <w:szCs w:val="16"/>
        </w:rPr>
        <w:t>, THE GOV’T OF THE BAH. DEP’T OF IMMIGR., https://www.immigration.gov.bs/continued-training-education-for-immigration-officers-at- the-border-program/ (last visited June 8, 2020). Petitioners’ brief July 20, 2020.</w:t>
      </w:r>
    </w:p>
  </w:footnote>
  <w:footnote w:id="154">
    <w:p w14:paraId="7B2FCEF2" w14:textId="5817DA7F" w:rsidR="003B5615" w:rsidRPr="00BF4F54" w:rsidRDefault="003B5615" w:rsidP="00BF4F54">
      <w:pPr>
        <w:pStyle w:val="FootnoteText"/>
        <w:jc w:val="both"/>
        <w:rPr>
          <w:rFonts w:asciiTheme="majorHAnsi" w:hAnsiTheme="majorHAnsi"/>
          <w:szCs w:val="16"/>
        </w:rPr>
      </w:pPr>
      <w:r w:rsidRPr="00BF4F54">
        <w:rPr>
          <w:rStyle w:val="FootnoteReference"/>
          <w:rFonts w:asciiTheme="majorHAnsi" w:hAnsiTheme="majorHAnsi"/>
          <w:szCs w:val="16"/>
        </w:rPr>
        <w:footnoteRef/>
      </w:r>
      <w:r w:rsidRPr="00BF4F54">
        <w:rPr>
          <w:rFonts w:asciiTheme="majorHAnsi" w:hAnsiTheme="majorHAnsi"/>
          <w:szCs w:val="16"/>
        </w:rPr>
        <w:t xml:space="preserve"> </w:t>
      </w:r>
      <w:r w:rsidRPr="00BF4F54">
        <w:rPr>
          <w:rFonts w:asciiTheme="majorHAnsi" w:hAnsiTheme="majorHAnsi" w:cs="Arial"/>
          <w:i/>
          <w:iCs/>
          <w:szCs w:val="16"/>
        </w:rPr>
        <w:t>Continued Training &amp; Education for Immigration Officers at the Border Program</w:t>
      </w:r>
      <w:r w:rsidRPr="00BF4F54">
        <w:rPr>
          <w:rFonts w:asciiTheme="majorHAnsi" w:hAnsiTheme="majorHAnsi"/>
          <w:szCs w:val="16"/>
        </w:rPr>
        <w:t>, THE GOV’T OF THE BAH. DEP’T OF IMMIGR., https://www.immigration.gov.bs/continued-training-education-for-immigration-officers-at- the-border-program/ (last visited June 8, 2020). Petitioners’ brief July 20, 2020.</w:t>
      </w:r>
    </w:p>
  </w:footnote>
  <w:footnote w:id="155">
    <w:p w14:paraId="230C6086" w14:textId="7BA66031" w:rsidR="003B5615" w:rsidRPr="004311FE" w:rsidRDefault="003B5615" w:rsidP="00BF4F54">
      <w:pPr>
        <w:pStyle w:val="NormalWeb"/>
        <w:spacing w:before="0" w:beforeAutospacing="0" w:after="0" w:afterAutospacing="0"/>
        <w:jc w:val="both"/>
        <w:rPr>
          <w:rFonts w:asciiTheme="majorHAnsi" w:hAnsiTheme="majorHAnsi"/>
          <w:sz w:val="16"/>
          <w:szCs w:val="16"/>
          <w:lang w:eastAsia="zh-CN"/>
        </w:rPr>
      </w:pPr>
      <w:r w:rsidRPr="00BF4F54">
        <w:rPr>
          <w:rStyle w:val="FootnoteReference"/>
          <w:rFonts w:asciiTheme="majorHAnsi" w:hAnsiTheme="majorHAnsi"/>
          <w:sz w:val="16"/>
          <w:szCs w:val="16"/>
        </w:rPr>
        <w:footnoteRef/>
      </w:r>
      <w:r w:rsidRPr="00BF4F54">
        <w:rPr>
          <w:rFonts w:asciiTheme="majorHAnsi" w:hAnsiTheme="majorHAnsi"/>
          <w:sz w:val="16"/>
          <w:szCs w:val="16"/>
        </w:rPr>
        <w:t xml:space="preserve"> Sloan Smith, </w:t>
      </w:r>
      <w:r w:rsidRPr="00BF4F54">
        <w:rPr>
          <w:rFonts w:asciiTheme="majorHAnsi" w:hAnsiTheme="majorHAnsi" w:cs="Arial"/>
          <w:i/>
          <w:iCs/>
          <w:sz w:val="16"/>
          <w:szCs w:val="16"/>
        </w:rPr>
        <w:t>Stateless Man Sues Over Long Term Detention</w:t>
      </w:r>
      <w:r w:rsidRPr="00BF4F54">
        <w:rPr>
          <w:rFonts w:asciiTheme="majorHAnsi" w:hAnsiTheme="majorHAnsi"/>
          <w:sz w:val="16"/>
          <w:szCs w:val="16"/>
        </w:rPr>
        <w:t>, EYEWITNESS NEWS (FEB. 27, 2020), https://ewnews.com/stateless-man-sues-over-long-term-detention. Petitioners’ brief July 20, 2020.</w:t>
      </w:r>
    </w:p>
  </w:footnote>
  <w:footnote w:id="156">
    <w:p w14:paraId="7E3EC146" w14:textId="21950448" w:rsidR="003B5615" w:rsidRPr="004311FE" w:rsidRDefault="003B5615" w:rsidP="00BF4F54">
      <w:pPr>
        <w:pStyle w:val="NormalWeb"/>
        <w:spacing w:before="0" w:beforeAutospacing="0" w:after="0" w:afterAutospacing="0"/>
        <w:jc w:val="both"/>
        <w:rPr>
          <w:rFonts w:asciiTheme="majorHAnsi" w:hAnsiTheme="majorHAnsi"/>
          <w:sz w:val="16"/>
          <w:szCs w:val="16"/>
          <w:lang w:eastAsia="zh-CN"/>
        </w:rPr>
      </w:pPr>
      <w:r w:rsidRPr="00BF4F54">
        <w:rPr>
          <w:rStyle w:val="FootnoteReference"/>
          <w:rFonts w:asciiTheme="majorHAnsi" w:hAnsiTheme="majorHAnsi"/>
          <w:sz w:val="16"/>
          <w:szCs w:val="16"/>
        </w:rPr>
        <w:footnoteRef/>
      </w:r>
      <w:r w:rsidRPr="00BF4F54">
        <w:rPr>
          <w:rFonts w:asciiTheme="majorHAnsi" w:hAnsiTheme="majorHAnsi"/>
          <w:sz w:val="16"/>
          <w:szCs w:val="16"/>
        </w:rPr>
        <w:t xml:space="preserve"> IACHR, Press release, The IACHR urges States to protect the human rights of migrants, refugees and displaced persons in the face of the COVID-19 pandemic (Apr. 17, 2020) and Pandemic and Human Rights in the Americas, Res. No. 1/2020, ¶ 58 (Apr. 10, 2020), </w:t>
      </w:r>
      <w:hyperlink r:id="rId6" w:history="1">
        <w:r w:rsidRPr="00BF4F54">
          <w:rPr>
            <w:rStyle w:val="Hyperlink"/>
            <w:rFonts w:asciiTheme="majorHAnsi" w:hAnsiTheme="majorHAnsi"/>
            <w:sz w:val="16"/>
            <w:szCs w:val="16"/>
          </w:rPr>
          <w:t>https://www.oas.org/en/iachr/decisions/pdf/Resolution-1-20-en.pdf</w:t>
        </w:r>
      </w:hyperlink>
      <w:r w:rsidRPr="00BF4F54">
        <w:rPr>
          <w:rFonts w:asciiTheme="majorHAnsi" w:hAnsiTheme="majorHAnsi"/>
          <w:sz w:val="16"/>
          <w:szCs w:val="16"/>
        </w:rPr>
        <w:t>.</w:t>
      </w:r>
      <w:r w:rsidRPr="004311FE">
        <w:rPr>
          <w:rFonts w:asciiTheme="majorHAnsi" w:hAnsiTheme="majorHAnsi"/>
          <w:sz w:val="16"/>
          <w:szCs w:val="16"/>
          <w:lang w:eastAsia="zh-CN"/>
        </w:rPr>
        <w:t xml:space="preserve"> </w:t>
      </w:r>
      <w:r w:rsidRPr="00BF4F54">
        <w:rPr>
          <w:rFonts w:asciiTheme="majorHAnsi" w:hAnsiTheme="majorHAnsi"/>
          <w:sz w:val="16"/>
          <w:szCs w:val="16"/>
        </w:rPr>
        <w:t>Petitioners’ brief July 20, 2020.</w:t>
      </w:r>
    </w:p>
  </w:footnote>
  <w:footnote w:id="157">
    <w:p w14:paraId="7B131E0F" w14:textId="6A730F29" w:rsidR="003B5615" w:rsidRPr="004311FE" w:rsidRDefault="003B5615" w:rsidP="00BF4F54">
      <w:pPr>
        <w:pStyle w:val="NormalWeb"/>
        <w:spacing w:before="0" w:beforeAutospacing="0" w:after="0" w:afterAutospacing="0"/>
        <w:jc w:val="both"/>
        <w:rPr>
          <w:rFonts w:asciiTheme="majorHAnsi" w:hAnsiTheme="majorHAnsi"/>
          <w:sz w:val="16"/>
          <w:szCs w:val="16"/>
          <w:lang w:eastAsia="zh-CN"/>
        </w:rPr>
      </w:pPr>
      <w:r w:rsidRPr="00BF4F54">
        <w:rPr>
          <w:rStyle w:val="FootnoteReference"/>
          <w:rFonts w:asciiTheme="majorHAnsi" w:hAnsiTheme="majorHAnsi"/>
          <w:sz w:val="16"/>
          <w:szCs w:val="16"/>
        </w:rPr>
        <w:footnoteRef/>
      </w:r>
      <w:r w:rsidRPr="00BF4F54">
        <w:rPr>
          <w:rFonts w:asciiTheme="majorHAnsi" w:hAnsiTheme="majorHAnsi"/>
          <w:sz w:val="16"/>
          <w:szCs w:val="16"/>
        </w:rPr>
        <w:t xml:space="preserve"> U.N. Human Rights, Office of the High Comm’r, Urgent action needed to prevent COVID-19 “rampaging though places of detention” – Bachelet, </w:t>
      </w:r>
      <w:hyperlink r:id="rId7" w:history="1">
        <w:r w:rsidRPr="00BF4F54">
          <w:rPr>
            <w:rStyle w:val="Hyperlink"/>
            <w:rFonts w:asciiTheme="majorHAnsi" w:hAnsiTheme="majorHAnsi"/>
            <w:sz w:val="16"/>
            <w:szCs w:val="16"/>
          </w:rPr>
          <w:t>https://www.ohchr.org/EN/NewsEvents/Pages/DisplayNews.aspx?NewsID=25745&amp;LangID=E</w:t>
        </w:r>
      </w:hyperlink>
      <w:r w:rsidRPr="00BF4F54">
        <w:rPr>
          <w:rFonts w:asciiTheme="majorHAnsi" w:hAnsiTheme="majorHAnsi"/>
          <w:sz w:val="16"/>
          <w:szCs w:val="16"/>
        </w:rPr>
        <w:t xml:space="preserve">; U.N. Human Rights, Office of the High Comm’r, Newsletter, COVID-19 and the Human Rights of Migrants: Guidance (Apr. 7, 2020), </w:t>
      </w:r>
      <w:hyperlink r:id="rId8" w:history="1">
        <w:r w:rsidRPr="00BF4F54">
          <w:rPr>
            <w:rStyle w:val="Hyperlink"/>
            <w:rFonts w:asciiTheme="majorHAnsi" w:hAnsiTheme="majorHAnsi"/>
            <w:sz w:val="16"/>
            <w:szCs w:val="16"/>
          </w:rPr>
          <w:t>https://www.ohchr.org/Documents/Issues/Migration/OHCHRGuidance_COVID19_Migrants.pdf</w:t>
        </w:r>
      </w:hyperlink>
      <w:r w:rsidRPr="00BF4F54">
        <w:rPr>
          <w:rFonts w:asciiTheme="majorHAnsi" w:hAnsiTheme="majorHAnsi"/>
          <w:sz w:val="16"/>
          <w:szCs w:val="16"/>
        </w:rPr>
        <w:t>;</w:t>
      </w:r>
      <w:r w:rsidRPr="00BF4F54">
        <w:rPr>
          <w:rFonts w:asciiTheme="majorHAnsi" w:hAnsiTheme="majorHAnsi"/>
          <w:position w:val="6"/>
          <w:sz w:val="16"/>
          <w:szCs w:val="16"/>
        </w:rPr>
        <w:t xml:space="preserve"> </w:t>
      </w:r>
      <w:r w:rsidRPr="00BF4F54">
        <w:rPr>
          <w:rFonts w:asciiTheme="majorHAnsi" w:hAnsiTheme="majorHAnsi"/>
          <w:sz w:val="16"/>
          <w:szCs w:val="16"/>
        </w:rPr>
        <w:t xml:space="preserve">U.N. High Comm’r for Refugees (UNHCR), </w:t>
      </w:r>
      <w:r w:rsidRPr="00BF4F54">
        <w:rPr>
          <w:rFonts w:asciiTheme="majorHAnsi" w:hAnsiTheme="majorHAnsi" w:cs="Arial"/>
          <w:i/>
          <w:iCs/>
          <w:sz w:val="16"/>
          <w:szCs w:val="16"/>
        </w:rPr>
        <w:t>Key Legal Considerations on access to territory for persons in need of international protection in the context of the COVID-19 response</w:t>
      </w:r>
      <w:r w:rsidRPr="00BF4F54">
        <w:rPr>
          <w:rFonts w:asciiTheme="majorHAnsi" w:hAnsiTheme="majorHAnsi"/>
          <w:sz w:val="16"/>
          <w:szCs w:val="16"/>
        </w:rPr>
        <w:t xml:space="preserve">, ¶ 7, (Mar. 16, 2020), </w:t>
      </w:r>
      <w:hyperlink r:id="rId9" w:history="1">
        <w:r w:rsidRPr="00BF4F54">
          <w:rPr>
            <w:rStyle w:val="Hyperlink"/>
            <w:rFonts w:asciiTheme="majorHAnsi" w:hAnsiTheme="majorHAnsi"/>
            <w:sz w:val="16"/>
            <w:szCs w:val="16"/>
          </w:rPr>
          <w:t>https://www.refworld.org/docid/5e7132834.html</w:t>
        </w:r>
      </w:hyperlink>
      <w:r w:rsidRPr="00BF4F54">
        <w:rPr>
          <w:rFonts w:asciiTheme="majorHAnsi" w:hAnsiTheme="majorHAnsi"/>
          <w:sz w:val="16"/>
          <w:szCs w:val="16"/>
        </w:rPr>
        <w:t>; Petitioners’ brief July 20, 2020.</w:t>
      </w:r>
    </w:p>
  </w:footnote>
  <w:footnote w:id="158">
    <w:p w14:paraId="1FD3714B" w14:textId="4905B6E1" w:rsidR="003B5615" w:rsidRPr="004311FE" w:rsidRDefault="003B5615" w:rsidP="00BF4F54">
      <w:pPr>
        <w:pStyle w:val="NormalWeb"/>
        <w:spacing w:before="0" w:beforeAutospacing="0" w:after="0" w:afterAutospacing="0"/>
        <w:jc w:val="both"/>
        <w:rPr>
          <w:rFonts w:asciiTheme="majorHAnsi" w:hAnsiTheme="majorHAnsi"/>
          <w:sz w:val="16"/>
          <w:szCs w:val="16"/>
          <w:lang w:eastAsia="zh-CN"/>
        </w:rPr>
      </w:pPr>
      <w:r w:rsidRPr="00BF4F54">
        <w:rPr>
          <w:rStyle w:val="FootnoteReference"/>
          <w:rFonts w:asciiTheme="majorHAnsi" w:hAnsiTheme="majorHAnsi"/>
          <w:sz w:val="16"/>
          <w:szCs w:val="16"/>
        </w:rPr>
        <w:footnoteRef/>
      </w:r>
      <w:r w:rsidRPr="00BF4F54">
        <w:rPr>
          <w:rFonts w:asciiTheme="majorHAnsi" w:hAnsiTheme="majorHAnsi"/>
          <w:sz w:val="16"/>
          <w:szCs w:val="16"/>
        </w:rPr>
        <w:t xml:space="preserve"> Rashad Rolle, </w:t>
      </w:r>
      <w:r w:rsidRPr="00BF4F54">
        <w:rPr>
          <w:rFonts w:asciiTheme="majorHAnsi" w:hAnsiTheme="majorHAnsi" w:cs="Arial"/>
          <w:i/>
          <w:iCs/>
          <w:sz w:val="16"/>
          <w:szCs w:val="16"/>
        </w:rPr>
        <w:t xml:space="preserve">Activists Call For Better Treatment Of Migrants At Detention Centre, </w:t>
      </w:r>
      <w:r w:rsidRPr="00BF4F54">
        <w:rPr>
          <w:rFonts w:asciiTheme="majorHAnsi" w:hAnsiTheme="majorHAnsi"/>
          <w:sz w:val="16"/>
          <w:szCs w:val="16"/>
        </w:rPr>
        <w:t xml:space="preserve">THE TRIBUNE (June 4, 2020), </w:t>
      </w:r>
      <w:hyperlink r:id="rId10" w:history="1">
        <w:r w:rsidRPr="00BF4F54">
          <w:rPr>
            <w:rStyle w:val="Hyperlink"/>
            <w:rFonts w:asciiTheme="majorHAnsi" w:hAnsiTheme="majorHAnsi"/>
            <w:sz w:val="16"/>
            <w:szCs w:val="16"/>
          </w:rPr>
          <w:t>http://www.tribune242.com/news/2020/jun/04/activists-call-better-treatment-migrants-detention/</w:t>
        </w:r>
      </w:hyperlink>
      <w:r w:rsidRPr="00BF4F54">
        <w:rPr>
          <w:rFonts w:asciiTheme="majorHAnsi" w:hAnsiTheme="majorHAnsi"/>
          <w:sz w:val="16"/>
          <w:szCs w:val="16"/>
        </w:rPr>
        <w:t xml:space="preserve"> ; Petitioners’ brief July 20, 2020.</w:t>
      </w:r>
    </w:p>
  </w:footnote>
  <w:footnote w:id="159">
    <w:p w14:paraId="4EC2DB0C" w14:textId="693F5D4F" w:rsidR="003B5615" w:rsidRPr="004311FE" w:rsidRDefault="003B5615" w:rsidP="00BF4F54">
      <w:pPr>
        <w:pStyle w:val="FootnoteText"/>
        <w:jc w:val="both"/>
        <w:rPr>
          <w:rFonts w:asciiTheme="majorHAnsi" w:hAnsiTheme="majorHAnsi"/>
          <w:szCs w:val="16"/>
        </w:rPr>
      </w:pPr>
      <w:r w:rsidRPr="00BF4F54">
        <w:rPr>
          <w:rStyle w:val="FootnoteReference"/>
          <w:rFonts w:asciiTheme="majorHAnsi" w:hAnsiTheme="majorHAnsi"/>
          <w:szCs w:val="16"/>
        </w:rPr>
        <w:footnoteRef/>
      </w:r>
      <w:r w:rsidRPr="00BF4F54">
        <w:rPr>
          <w:rFonts w:asciiTheme="majorHAnsi" w:hAnsiTheme="majorHAnsi"/>
          <w:szCs w:val="16"/>
        </w:rPr>
        <w:t xml:space="preserve"> </w:t>
      </w:r>
      <w:r w:rsidRPr="00BF4F54">
        <w:rPr>
          <w:rFonts w:asciiTheme="majorHAnsi" w:hAnsiTheme="majorHAnsi" w:cs="Arial"/>
          <w:i/>
          <w:iCs/>
          <w:szCs w:val="16"/>
        </w:rPr>
        <w:t>Bahamas: Haitian Detainees Protest, Want to go Home</w:t>
      </w:r>
      <w:r w:rsidRPr="00BF4F54">
        <w:rPr>
          <w:rFonts w:asciiTheme="majorHAnsi" w:hAnsiTheme="majorHAnsi"/>
          <w:szCs w:val="16"/>
        </w:rPr>
        <w:t xml:space="preserve">, THE ST. KITTS &amp; NEVIS OBSERVER (June 4, 2020), </w:t>
      </w:r>
      <w:hyperlink r:id="rId11" w:history="1">
        <w:r w:rsidRPr="00BF4F54">
          <w:rPr>
            <w:rStyle w:val="Hyperlink"/>
            <w:rFonts w:asciiTheme="majorHAnsi" w:hAnsiTheme="majorHAnsi"/>
            <w:szCs w:val="16"/>
          </w:rPr>
          <w:t>https://www.thestkittsnevisobserver.com/bahamas-haitian-detainees-protest-want-to-go-home/</w:t>
        </w:r>
      </w:hyperlink>
      <w:r w:rsidRPr="00BF4F54">
        <w:rPr>
          <w:rFonts w:asciiTheme="majorHAnsi" w:hAnsiTheme="majorHAnsi"/>
          <w:szCs w:val="16"/>
        </w:rPr>
        <w:t>; Petitioners’ brief July 20, 2020.</w:t>
      </w:r>
    </w:p>
  </w:footnote>
  <w:footnote w:id="160">
    <w:p w14:paraId="44E00B5F" w14:textId="63674630" w:rsidR="003B5615" w:rsidRPr="004311FE" w:rsidRDefault="003B5615" w:rsidP="00BF4F54">
      <w:pPr>
        <w:pStyle w:val="NormalWeb"/>
        <w:spacing w:before="0" w:beforeAutospacing="0" w:after="0" w:afterAutospacing="0"/>
        <w:jc w:val="both"/>
        <w:rPr>
          <w:rFonts w:asciiTheme="majorHAnsi" w:hAnsiTheme="majorHAnsi"/>
          <w:sz w:val="16"/>
          <w:szCs w:val="16"/>
          <w:lang w:eastAsia="zh-CN"/>
        </w:rPr>
      </w:pPr>
      <w:r w:rsidRPr="00BF4F54">
        <w:rPr>
          <w:rStyle w:val="FootnoteReference"/>
          <w:rFonts w:asciiTheme="majorHAnsi" w:hAnsiTheme="majorHAnsi"/>
          <w:sz w:val="16"/>
          <w:szCs w:val="16"/>
        </w:rPr>
        <w:footnoteRef/>
      </w:r>
      <w:r w:rsidRPr="00BF4F54">
        <w:rPr>
          <w:rFonts w:asciiTheme="majorHAnsi" w:hAnsiTheme="majorHAnsi"/>
          <w:sz w:val="16"/>
          <w:szCs w:val="16"/>
        </w:rPr>
        <w:t xml:space="preserve"> </w:t>
      </w:r>
      <w:r w:rsidRPr="00BF4F54">
        <w:rPr>
          <w:rFonts w:asciiTheme="majorHAnsi" w:hAnsiTheme="majorHAnsi" w:cs="Arial"/>
          <w:i/>
          <w:iCs/>
          <w:sz w:val="16"/>
          <w:szCs w:val="16"/>
        </w:rPr>
        <w:t xml:space="preserve">Detainees escape dorms, destroy fences at Carmichael Road Detention Center, </w:t>
      </w:r>
      <w:r w:rsidRPr="00BF4F54">
        <w:rPr>
          <w:rFonts w:asciiTheme="majorHAnsi" w:hAnsiTheme="majorHAnsi"/>
          <w:sz w:val="16"/>
          <w:szCs w:val="16"/>
        </w:rPr>
        <w:t>EYEWITNESS NEWS (June 3, 2020), https://ewnews.com/detainees-escape-dorms-destroy-fences-at-carmichael-road- detention-center; Petitioners’ brief July 20, 2020.</w:t>
      </w:r>
    </w:p>
  </w:footnote>
  <w:footnote w:id="161">
    <w:p w14:paraId="18938CA9" w14:textId="60572652" w:rsidR="003B5615" w:rsidRPr="00136ECB" w:rsidRDefault="003B5615">
      <w:pPr>
        <w:pStyle w:val="FootnoteText"/>
        <w:rPr>
          <w:color w:val="auto"/>
        </w:rPr>
      </w:pPr>
      <w:r>
        <w:rPr>
          <w:rStyle w:val="FootnoteReference"/>
        </w:rPr>
        <w:footnoteRef/>
      </w:r>
      <w:r>
        <w:t xml:space="preserve"> </w:t>
      </w:r>
      <w:r w:rsidR="00CF553A" w:rsidRPr="00BF4F54">
        <w:rPr>
          <w:rFonts w:asciiTheme="majorHAnsi" w:hAnsiTheme="majorHAnsi"/>
          <w:szCs w:val="16"/>
        </w:rPr>
        <w:t xml:space="preserve">Royston James Jr., </w:t>
      </w:r>
      <w:r w:rsidR="00CF553A" w:rsidRPr="00BF4F54">
        <w:rPr>
          <w:rFonts w:asciiTheme="majorHAnsi" w:hAnsiTheme="majorHAnsi" w:cs="Arial"/>
          <w:i/>
          <w:iCs/>
          <w:szCs w:val="16"/>
        </w:rPr>
        <w:t>Despite Cuts, Promotions and New Hires Planned for Immigration Dept.</w:t>
      </w:r>
      <w:r w:rsidR="00CF553A" w:rsidRPr="00BF4F54">
        <w:rPr>
          <w:rFonts w:asciiTheme="majorHAnsi" w:hAnsiTheme="majorHAnsi"/>
          <w:szCs w:val="16"/>
        </w:rPr>
        <w:t xml:space="preserve">, EYEWITNESS NEWS (June 16, </w:t>
      </w:r>
      <w:r w:rsidR="00CF553A" w:rsidRPr="00136ECB">
        <w:rPr>
          <w:rFonts w:asciiTheme="majorHAnsi" w:hAnsiTheme="majorHAnsi"/>
          <w:color w:val="auto"/>
          <w:szCs w:val="16"/>
        </w:rPr>
        <w:t>2020), https://ewnews.com/despite-cuts-promotions-and-new-hires-planned- for-immigration-dept; Petitioners’ brief July 20, 2020.</w:t>
      </w:r>
    </w:p>
  </w:footnote>
  <w:footnote w:id="162">
    <w:p w14:paraId="6301F5FB" w14:textId="38C52AF7" w:rsidR="003B5615" w:rsidRPr="004311FE" w:rsidRDefault="003B5615" w:rsidP="00BF4F54">
      <w:pPr>
        <w:pStyle w:val="NormalWeb"/>
        <w:spacing w:before="0" w:beforeAutospacing="0" w:after="0" w:afterAutospacing="0"/>
        <w:jc w:val="both"/>
        <w:rPr>
          <w:rFonts w:asciiTheme="majorHAnsi" w:hAnsiTheme="majorHAnsi"/>
          <w:sz w:val="16"/>
          <w:szCs w:val="16"/>
          <w:lang w:eastAsia="zh-CN"/>
        </w:rPr>
      </w:pPr>
      <w:r w:rsidRPr="00136ECB">
        <w:rPr>
          <w:rStyle w:val="FootnoteReference"/>
          <w:rFonts w:asciiTheme="majorHAnsi" w:hAnsiTheme="majorHAnsi"/>
          <w:sz w:val="16"/>
          <w:szCs w:val="16"/>
        </w:rPr>
        <w:footnoteRef/>
      </w:r>
      <w:r w:rsidRPr="00136ECB">
        <w:rPr>
          <w:rFonts w:asciiTheme="majorHAnsi" w:hAnsiTheme="majorHAnsi"/>
          <w:sz w:val="16"/>
          <w:szCs w:val="16"/>
        </w:rPr>
        <w:t xml:space="preserve"> Royston James Jr., </w:t>
      </w:r>
      <w:r w:rsidRPr="00136ECB">
        <w:rPr>
          <w:rFonts w:asciiTheme="majorHAnsi" w:hAnsiTheme="majorHAnsi" w:cs="Arial"/>
          <w:i/>
          <w:iCs/>
          <w:sz w:val="16"/>
          <w:szCs w:val="16"/>
        </w:rPr>
        <w:t>Despite Cuts, Promotions and New Hires Planned for Immigration Dept.</w:t>
      </w:r>
      <w:r w:rsidRPr="00136ECB">
        <w:rPr>
          <w:rFonts w:asciiTheme="majorHAnsi" w:hAnsiTheme="majorHAnsi"/>
          <w:sz w:val="16"/>
          <w:szCs w:val="16"/>
        </w:rPr>
        <w:t>, EYEWITNESS NEWS (June 16, 2020), https://ewnews.com/despite-cuts-promotions-and-new-hires-planned- for-immigration-dept; Petitioners’ brief July 20,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B9696" w14:textId="77777777" w:rsidR="003B5615" w:rsidRDefault="003B5615" w:rsidP="00754F1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7FCD016" w14:textId="77777777" w:rsidR="003B5615" w:rsidRDefault="003B56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09E4" w14:textId="77777777" w:rsidR="003B5615" w:rsidRDefault="003B5615" w:rsidP="00A50FCF">
    <w:pPr>
      <w:pStyle w:val="Header"/>
      <w:tabs>
        <w:tab w:val="clear" w:pos="4320"/>
        <w:tab w:val="clear" w:pos="8640"/>
      </w:tabs>
      <w:jc w:val="center"/>
      <w:rPr>
        <w:sz w:val="22"/>
        <w:szCs w:val="22"/>
      </w:rPr>
    </w:pPr>
    <w:r>
      <w:rPr>
        <w:noProof/>
        <w:sz w:val="22"/>
        <w:szCs w:val="22"/>
        <w:lang w:val="es-ES" w:eastAsia="es-ES"/>
      </w:rPr>
      <w:drawing>
        <wp:inline distT="0" distB="0" distL="0" distR="0" wp14:anchorId="015ACA66" wp14:editId="131358EA">
          <wp:extent cx="2209800" cy="117396"/>
          <wp:effectExtent l="0" t="0" r="0" b="0"/>
          <wp:docPr id="3" name="Picture 3"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778D592D" w14:textId="77777777" w:rsidR="003B5615" w:rsidRPr="00EC7D62" w:rsidRDefault="009C7672" w:rsidP="00A50FCF">
    <w:pPr>
      <w:pStyle w:val="Header"/>
      <w:tabs>
        <w:tab w:val="clear" w:pos="4320"/>
        <w:tab w:val="clear" w:pos="8640"/>
      </w:tabs>
      <w:jc w:val="center"/>
      <w:rPr>
        <w:sz w:val="22"/>
        <w:szCs w:val="22"/>
      </w:rPr>
    </w:pPr>
    <w:r>
      <w:rPr>
        <w:noProof/>
        <w:sz w:val="22"/>
        <w:szCs w:val="22"/>
        <w:bdr w:val="nil"/>
      </w:rPr>
      <w:pict w14:anchorId="5767864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322AA3"/>
    <w:multiLevelType w:val="hybridMultilevel"/>
    <w:tmpl w:val="5ADE4DC2"/>
    <w:lvl w:ilvl="0" w:tplc="028C10D6">
      <w:start w:val="8"/>
      <w:numFmt w:val="decimal"/>
      <w:lvlText w:val="%1."/>
      <w:lvlJc w:val="left"/>
      <w:pPr>
        <w:tabs>
          <w:tab w:val="num" w:pos="1080"/>
        </w:tabs>
        <w:ind w:left="360" w:firstLine="720"/>
      </w:pPr>
      <w:rPr>
        <w:rFonts w:hint="default"/>
        <w:color w:val="auto"/>
      </w:rPr>
    </w:lvl>
    <w:lvl w:ilvl="1" w:tplc="739EDB44">
      <w:start w:val="7"/>
      <w:numFmt w:val="decimal"/>
      <w:lvlText w:val="%2."/>
      <w:lvlJc w:val="left"/>
      <w:pPr>
        <w:tabs>
          <w:tab w:val="num" w:pos="1440"/>
        </w:tabs>
        <w:ind w:left="720" w:firstLine="720"/>
      </w:pPr>
      <w:rPr>
        <w:rFonts w:ascii="Univers" w:hAnsi="Univers" w:hint="default"/>
        <w:color w:val="auto"/>
        <w:sz w:val="20"/>
      </w:rPr>
    </w:lvl>
    <w:lvl w:ilvl="2" w:tplc="64C66088">
      <w:start w:val="4"/>
      <w:numFmt w:val="upperRoman"/>
      <w:lvlText w:val="%3."/>
      <w:lvlJc w:val="left"/>
      <w:pPr>
        <w:tabs>
          <w:tab w:val="num" w:pos="3060"/>
        </w:tabs>
        <w:ind w:left="3060" w:hanging="72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1B68F9"/>
    <w:multiLevelType w:val="hybridMultilevel"/>
    <w:tmpl w:val="C7520D8E"/>
    <w:lvl w:ilvl="0" w:tplc="5C40750A">
      <w:start w:val="1"/>
      <w:numFmt w:val="upperLetter"/>
      <w:pStyle w:val="Heading2"/>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72A0BA1"/>
    <w:multiLevelType w:val="hybridMultilevel"/>
    <w:tmpl w:val="7460F1B2"/>
    <w:lvl w:ilvl="0" w:tplc="E0302304">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3B264F86"/>
    <w:multiLevelType w:val="hybridMultilevel"/>
    <w:tmpl w:val="214826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224C96"/>
    <w:multiLevelType w:val="hybridMultilevel"/>
    <w:tmpl w:val="AC40BE76"/>
    <w:lvl w:ilvl="0" w:tplc="27A89DB0">
      <w:start w:val="1"/>
      <w:numFmt w:val="decimal"/>
      <w:lvlText w:val="%1."/>
      <w:lvlJc w:val="left"/>
      <w:pPr>
        <w:ind w:left="360" w:hanging="360"/>
      </w:pPr>
      <w:rPr>
        <w:rFonts w:ascii="Cambria" w:hAnsi="Cambria" w:hint="default"/>
        <w:b w:val="0"/>
        <w:color w:val="auto"/>
        <w:sz w:val="20"/>
        <w:szCs w:val="20"/>
      </w:rPr>
    </w:lvl>
    <w:lvl w:ilvl="1" w:tplc="04090019" w:tentative="1">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F924D9"/>
    <w:multiLevelType w:val="hybridMultilevel"/>
    <w:tmpl w:val="7F960276"/>
    <w:lvl w:ilvl="0" w:tplc="04090019">
      <w:start w:val="1"/>
      <w:numFmt w:val="lowerLetter"/>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5" w15:restartNumberingAfterBreak="0">
    <w:nsid w:val="5A681F10"/>
    <w:multiLevelType w:val="hybridMultilevel"/>
    <w:tmpl w:val="41F4A2C8"/>
    <w:lvl w:ilvl="0" w:tplc="529A4590">
      <w:start w:val="1"/>
      <w:numFmt w:val="decimal"/>
      <w:lvlText w:val="%1."/>
      <w:lvlJc w:val="left"/>
      <w:pPr>
        <w:ind w:left="1425" w:hanging="705"/>
      </w:pPr>
      <w:rPr>
        <w:rFonts w:hint="default"/>
        <w:sz w:val="20"/>
        <w:szCs w:val="20"/>
      </w:rPr>
    </w:lvl>
    <w:lvl w:ilvl="1" w:tplc="04090019">
      <w:start w:val="1"/>
      <w:numFmt w:val="lowerLetter"/>
      <w:lvlText w:val="%2."/>
      <w:lvlJc w:val="left"/>
      <w:pPr>
        <w:ind w:left="928"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D7D4B9D"/>
    <w:multiLevelType w:val="hybridMultilevel"/>
    <w:tmpl w:val="AC40BE76"/>
    <w:lvl w:ilvl="0" w:tplc="27A89DB0">
      <w:start w:val="1"/>
      <w:numFmt w:val="decimal"/>
      <w:lvlText w:val="%1."/>
      <w:lvlJc w:val="left"/>
      <w:pPr>
        <w:ind w:left="450" w:hanging="360"/>
      </w:pPr>
      <w:rPr>
        <w:rFonts w:ascii="Cambria" w:hAnsi="Cambria" w:hint="default"/>
        <w:b w:val="0"/>
        <w:color w:val="auto"/>
        <w:sz w:val="20"/>
        <w:szCs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9093C2C"/>
    <w:multiLevelType w:val="hybridMultilevel"/>
    <w:tmpl w:val="2340B4D8"/>
    <w:lvl w:ilvl="0" w:tplc="3BF2036E">
      <w:start w:val="1"/>
      <w:numFmt w:val="decimal"/>
      <w:lvlText w:val="%1."/>
      <w:lvlJc w:val="left"/>
      <w:pPr>
        <w:ind w:left="1350" w:hanging="360"/>
      </w:pPr>
      <w:rPr>
        <w:rFonts w:ascii="Cambria" w:hAnsi="Cambri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C1239B4"/>
    <w:multiLevelType w:val="hybridMultilevel"/>
    <w:tmpl w:val="8D22F90E"/>
    <w:lvl w:ilvl="0" w:tplc="525610C8">
      <w:start w:val="1"/>
      <w:numFmt w:val="decimal"/>
      <w:pStyle w:val="Heading3"/>
      <w:lvlText w:val="%1."/>
      <w:lvlJc w:val="left"/>
      <w:pPr>
        <w:ind w:left="1350" w:hanging="360"/>
      </w:pPr>
      <w:rPr>
        <w:rFonts w:ascii="Cambria" w:hAnsi="Cambri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24A48C0"/>
    <w:multiLevelType w:val="hybridMultilevel"/>
    <w:tmpl w:val="7E8E78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060998"/>
    <w:multiLevelType w:val="hybridMultilevel"/>
    <w:tmpl w:val="AC40BE76"/>
    <w:lvl w:ilvl="0" w:tplc="27A89DB0">
      <w:start w:val="1"/>
      <w:numFmt w:val="decimal"/>
      <w:lvlText w:val="%1."/>
      <w:lvlJc w:val="left"/>
      <w:pPr>
        <w:ind w:left="360" w:hanging="360"/>
      </w:pPr>
      <w:rPr>
        <w:rFonts w:ascii="Cambria" w:hAnsi="Cambria" w:hint="default"/>
        <w:b w:val="0"/>
        <w:color w:val="auto"/>
        <w:sz w:val="20"/>
        <w:szCs w:val="20"/>
      </w:rPr>
    </w:lvl>
    <w:lvl w:ilvl="1" w:tplc="04090019" w:tentative="1">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8"/>
  </w:num>
  <w:num w:numId="4">
    <w:abstractNumId w:val="21"/>
  </w:num>
  <w:num w:numId="5">
    <w:abstractNumId w:val="50"/>
  </w:num>
  <w:num w:numId="6">
    <w:abstractNumId w:val="27"/>
  </w:num>
  <w:num w:numId="7">
    <w:abstractNumId w:val="6"/>
  </w:num>
  <w:num w:numId="8">
    <w:abstractNumId w:val="17"/>
  </w:num>
  <w:num w:numId="9">
    <w:abstractNumId w:val="43"/>
  </w:num>
  <w:num w:numId="10">
    <w:abstractNumId w:val="0"/>
  </w:num>
  <w:num w:numId="11">
    <w:abstractNumId w:val="38"/>
  </w:num>
  <w:num w:numId="12">
    <w:abstractNumId w:val="39"/>
  </w:num>
  <w:num w:numId="13">
    <w:abstractNumId w:val="46"/>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8"/>
  </w:num>
  <w:num w:numId="26">
    <w:abstractNumId w:val="19"/>
  </w:num>
  <w:num w:numId="27">
    <w:abstractNumId w:val="22"/>
  </w:num>
  <w:num w:numId="28">
    <w:abstractNumId w:val="23"/>
  </w:num>
  <w:num w:numId="29">
    <w:abstractNumId w:val="24"/>
  </w:num>
  <w:num w:numId="30">
    <w:abstractNumId w:val="26"/>
  </w:num>
  <w:num w:numId="31">
    <w:abstractNumId w:val="28"/>
  </w:num>
  <w:num w:numId="32">
    <w:abstractNumId w:val="30"/>
  </w:num>
  <w:num w:numId="33">
    <w:abstractNumId w:val="31"/>
  </w:num>
  <w:num w:numId="34">
    <w:abstractNumId w:val="32"/>
  </w:num>
  <w:num w:numId="35">
    <w:abstractNumId w:val="33"/>
  </w:num>
  <w:num w:numId="36">
    <w:abstractNumId w:val="35"/>
  </w:num>
  <w:num w:numId="37">
    <w:abstractNumId w:val="36"/>
  </w:num>
  <w:num w:numId="38">
    <w:abstractNumId w:val="37"/>
  </w:num>
  <w:num w:numId="39">
    <w:abstractNumId w:val="40"/>
  </w:num>
  <w:num w:numId="40">
    <w:abstractNumId w:val="41"/>
  </w:num>
  <w:num w:numId="41">
    <w:abstractNumId w:val="49"/>
  </w:num>
  <w:num w:numId="42">
    <w:abstractNumId w:val="52"/>
  </w:num>
  <w:num w:numId="43">
    <w:abstractNumId w:val="54"/>
  </w:num>
  <w:num w:numId="44">
    <w:abstractNumId w:val="56"/>
  </w:num>
  <w:num w:numId="45">
    <w:abstractNumId w:val="57"/>
  </w:num>
  <w:num w:numId="46">
    <w:abstractNumId w:val="59"/>
  </w:num>
  <w:num w:numId="47">
    <w:abstractNumId w:val="60"/>
  </w:num>
  <w:num w:numId="48">
    <w:abstractNumId w:val="61"/>
  </w:num>
  <w:num w:numId="49">
    <w:abstractNumId w:val="63"/>
  </w:num>
  <w:num w:numId="50">
    <w:abstractNumId w:val="64"/>
  </w:num>
  <w:num w:numId="51">
    <w:abstractNumId w:val="20"/>
  </w:num>
  <w:num w:numId="52">
    <w:abstractNumId w:val="42"/>
  </w:num>
  <w:num w:numId="53">
    <w:abstractNumId w:val="47"/>
  </w:num>
  <w:num w:numId="54">
    <w:abstractNumId w:val="25"/>
  </w:num>
  <w:num w:numId="55">
    <w:abstractNumId w:val="16"/>
  </w:num>
  <w:num w:numId="56">
    <w:abstractNumId w:val="48"/>
  </w:num>
  <w:num w:numId="57">
    <w:abstractNumId w:val="51"/>
    <w:lvlOverride w:ilvl="0">
      <w:startOverride w:val="1"/>
    </w:lvlOverride>
  </w:num>
  <w:num w:numId="58">
    <w:abstractNumId w:val="53"/>
  </w:num>
  <w:num w:numId="5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2"/>
  </w:num>
  <w:num w:numId="61">
    <w:abstractNumId w:val="16"/>
    <w:lvlOverride w:ilvl="0">
      <w:startOverride w:val="1"/>
    </w:lvlOverride>
  </w:num>
  <w:num w:numId="62">
    <w:abstractNumId w:val="16"/>
    <w:lvlOverride w:ilvl="0">
      <w:startOverride w:val="1"/>
    </w:lvlOverride>
  </w:num>
  <w:num w:numId="63">
    <w:abstractNumId w:val="53"/>
    <w:lvlOverride w:ilvl="0">
      <w:startOverride w:val="1"/>
    </w:lvlOverride>
  </w:num>
  <w:num w:numId="64">
    <w:abstractNumId w:val="34"/>
  </w:num>
  <w:num w:numId="65">
    <w:abstractNumId w:val="44"/>
  </w:num>
  <w:num w:numId="66">
    <w:abstractNumId w:val="29"/>
  </w:num>
  <w:num w:numId="67">
    <w:abstractNumId w:val="55"/>
  </w:num>
  <w:num w:numId="68">
    <w:abstractNumId w:val="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2031"/>
    <w:rsid w:val="00002869"/>
    <w:rsid w:val="000035D0"/>
    <w:rsid w:val="00003976"/>
    <w:rsid w:val="00004960"/>
    <w:rsid w:val="00006896"/>
    <w:rsid w:val="00006E1F"/>
    <w:rsid w:val="000070D7"/>
    <w:rsid w:val="00013B83"/>
    <w:rsid w:val="00014CCD"/>
    <w:rsid w:val="000153B0"/>
    <w:rsid w:val="000158FD"/>
    <w:rsid w:val="00016F6F"/>
    <w:rsid w:val="0001788C"/>
    <w:rsid w:val="00020E2A"/>
    <w:rsid w:val="000218BC"/>
    <w:rsid w:val="00022827"/>
    <w:rsid w:val="00023DF6"/>
    <w:rsid w:val="0002432E"/>
    <w:rsid w:val="00027F3D"/>
    <w:rsid w:val="00031075"/>
    <w:rsid w:val="0003134E"/>
    <w:rsid w:val="00031AAC"/>
    <w:rsid w:val="000343F7"/>
    <w:rsid w:val="00034E99"/>
    <w:rsid w:val="00035B10"/>
    <w:rsid w:val="000367AF"/>
    <w:rsid w:val="00036A8E"/>
    <w:rsid w:val="00037B82"/>
    <w:rsid w:val="00037DB8"/>
    <w:rsid w:val="00040C3A"/>
    <w:rsid w:val="000413EC"/>
    <w:rsid w:val="00042458"/>
    <w:rsid w:val="000436F8"/>
    <w:rsid w:val="00045989"/>
    <w:rsid w:val="00045BCF"/>
    <w:rsid w:val="00046847"/>
    <w:rsid w:val="000474CB"/>
    <w:rsid w:val="00052567"/>
    <w:rsid w:val="00054DA5"/>
    <w:rsid w:val="00055CF9"/>
    <w:rsid w:val="00056954"/>
    <w:rsid w:val="00060574"/>
    <w:rsid w:val="00060839"/>
    <w:rsid w:val="0006247A"/>
    <w:rsid w:val="00063453"/>
    <w:rsid w:val="00063C93"/>
    <w:rsid w:val="00064698"/>
    <w:rsid w:val="00067A5D"/>
    <w:rsid w:val="00067D40"/>
    <w:rsid w:val="000716C5"/>
    <w:rsid w:val="00073374"/>
    <w:rsid w:val="00075E23"/>
    <w:rsid w:val="00076AE6"/>
    <w:rsid w:val="00080DA0"/>
    <w:rsid w:val="00083A58"/>
    <w:rsid w:val="00084A56"/>
    <w:rsid w:val="0008669F"/>
    <w:rsid w:val="0008676D"/>
    <w:rsid w:val="00086782"/>
    <w:rsid w:val="00086A30"/>
    <w:rsid w:val="000874C8"/>
    <w:rsid w:val="0008768F"/>
    <w:rsid w:val="000904F8"/>
    <w:rsid w:val="0009148E"/>
    <w:rsid w:val="0009344A"/>
    <w:rsid w:val="0009356A"/>
    <w:rsid w:val="00094031"/>
    <w:rsid w:val="000946DD"/>
    <w:rsid w:val="00096185"/>
    <w:rsid w:val="000961E5"/>
    <w:rsid w:val="00097B13"/>
    <w:rsid w:val="000A0489"/>
    <w:rsid w:val="000A1528"/>
    <w:rsid w:val="000A392E"/>
    <w:rsid w:val="000A3AD5"/>
    <w:rsid w:val="000A575F"/>
    <w:rsid w:val="000A576A"/>
    <w:rsid w:val="000B0C71"/>
    <w:rsid w:val="000B0F95"/>
    <w:rsid w:val="000B145E"/>
    <w:rsid w:val="000B214D"/>
    <w:rsid w:val="000B2DE7"/>
    <w:rsid w:val="000B71FC"/>
    <w:rsid w:val="000C027A"/>
    <w:rsid w:val="000C1502"/>
    <w:rsid w:val="000C1957"/>
    <w:rsid w:val="000C256A"/>
    <w:rsid w:val="000C3269"/>
    <w:rsid w:val="000D0295"/>
    <w:rsid w:val="000D076B"/>
    <w:rsid w:val="000D0916"/>
    <w:rsid w:val="000D10DB"/>
    <w:rsid w:val="000D2B8B"/>
    <w:rsid w:val="000D34A1"/>
    <w:rsid w:val="000D5AC6"/>
    <w:rsid w:val="000D5F23"/>
    <w:rsid w:val="000D647E"/>
    <w:rsid w:val="000D78B5"/>
    <w:rsid w:val="000E06FB"/>
    <w:rsid w:val="000E0E33"/>
    <w:rsid w:val="000E5EB5"/>
    <w:rsid w:val="000E65D6"/>
    <w:rsid w:val="000E6F21"/>
    <w:rsid w:val="000F3435"/>
    <w:rsid w:val="000F35ED"/>
    <w:rsid w:val="000F3CD9"/>
    <w:rsid w:val="000F4E7C"/>
    <w:rsid w:val="000F5C7E"/>
    <w:rsid w:val="000F642B"/>
    <w:rsid w:val="000F68D0"/>
    <w:rsid w:val="000F78B0"/>
    <w:rsid w:val="001014B0"/>
    <w:rsid w:val="00102493"/>
    <w:rsid w:val="0010267A"/>
    <w:rsid w:val="00104FAA"/>
    <w:rsid w:val="00107131"/>
    <w:rsid w:val="0010736F"/>
    <w:rsid w:val="0011096C"/>
    <w:rsid w:val="00110BA7"/>
    <w:rsid w:val="0011311B"/>
    <w:rsid w:val="00113F73"/>
    <w:rsid w:val="00115333"/>
    <w:rsid w:val="00115B61"/>
    <w:rsid w:val="00115EEF"/>
    <w:rsid w:val="001164B6"/>
    <w:rsid w:val="00116588"/>
    <w:rsid w:val="0011762D"/>
    <w:rsid w:val="001178A6"/>
    <w:rsid w:val="00120586"/>
    <w:rsid w:val="00121354"/>
    <w:rsid w:val="001215E1"/>
    <w:rsid w:val="001219C7"/>
    <w:rsid w:val="00121CC2"/>
    <w:rsid w:val="001259B3"/>
    <w:rsid w:val="0012608E"/>
    <w:rsid w:val="00126340"/>
    <w:rsid w:val="001307BB"/>
    <w:rsid w:val="00133AF0"/>
    <w:rsid w:val="00133EE5"/>
    <w:rsid w:val="00134E70"/>
    <w:rsid w:val="0013515F"/>
    <w:rsid w:val="00135D8D"/>
    <w:rsid w:val="00136ECB"/>
    <w:rsid w:val="00141092"/>
    <w:rsid w:val="001461A5"/>
    <w:rsid w:val="0014633A"/>
    <w:rsid w:val="001467B4"/>
    <w:rsid w:val="00146D9D"/>
    <w:rsid w:val="00147CB2"/>
    <w:rsid w:val="00152C27"/>
    <w:rsid w:val="00160022"/>
    <w:rsid w:val="00161882"/>
    <w:rsid w:val="00162134"/>
    <w:rsid w:val="001636F3"/>
    <w:rsid w:val="001637A9"/>
    <w:rsid w:val="00166189"/>
    <w:rsid w:val="00167A34"/>
    <w:rsid w:val="00167B5D"/>
    <w:rsid w:val="00167FB3"/>
    <w:rsid w:val="0017012F"/>
    <w:rsid w:val="00170340"/>
    <w:rsid w:val="0017120B"/>
    <w:rsid w:val="0017220F"/>
    <w:rsid w:val="0017515D"/>
    <w:rsid w:val="00176C96"/>
    <w:rsid w:val="00176E68"/>
    <w:rsid w:val="00177625"/>
    <w:rsid w:val="00181F34"/>
    <w:rsid w:val="00182CBE"/>
    <w:rsid w:val="001837B8"/>
    <w:rsid w:val="0018400F"/>
    <w:rsid w:val="00184EC1"/>
    <w:rsid w:val="00185186"/>
    <w:rsid w:val="001851B1"/>
    <w:rsid w:val="0018632A"/>
    <w:rsid w:val="001864E6"/>
    <w:rsid w:val="001866A1"/>
    <w:rsid w:val="0018689A"/>
    <w:rsid w:val="00190289"/>
    <w:rsid w:val="00190554"/>
    <w:rsid w:val="00193C48"/>
    <w:rsid w:val="0019617B"/>
    <w:rsid w:val="001A136F"/>
    <w:rsid w:val="001A4621"/>
    <w:rsid w:val="001A69A6"/>
    <w:rsid w:val="001A7870"/>
    <w:rsid w:val="001A7D18"/>
    <w:rsid w:val="001B179E"/>
    <w:rsid w:val="001B194E"/>
    <w:rsid w:val="001B423D"/>
    <w:rsid w:val="001B5577"/>
    <w:rsid w:val="001B6CEE"/>
    <w:rsid w:val="001B711F"/>
    <w:rsid w:val="001B7319"/>
    <w:rsid w:val="001C103F"/>
    <w:rsid w:val="001C1B41"/>
    <w:rsid w:val="001C1EAE"/>
    <w:rsid w:val="001C3875"/>
    <w:rsid w:val="001C3A3D"/>
    <w:rsid w:val="001C5482"/>
    <w:rsid w:val="001C6ABE"/>
    <w:rsid w:val="001D0C5D"/>
    <w:rsid w:val="001D18C7"/>
    <w:rsid w:val="001D2B07"/>
    <w:rsid w:val="001D3701"/>
    <w:rsid w:val="001D4BE2"/>
    <w:rsid w:val="001D6034"/>
    <w:rsid w:val="001D65EF"/>
    <w:rsid w:val="001E15B6"/>
    <w:rsid w:val="001E1B10"/>
    <w:rsid w:val="001E28D1"/>
    <w:rsid w:val="001E490E"/>
    <w:rsid w:val="001E4E48"/>
    <w:rsid w:val="001E64CB"/>
    <w:rsid w:val="001E77B4"/>
    <w:rsid w:val="001F023D"/>
    <w:rsid w:val="001F2F25"/>
    <w:rsid w:val="001F301B"/>
    <w:rsid w:val="001F349F"/>
    <w:rsid w:val="001F509F"/>
    <w:rsid w:val="001F69F7"/>
    <w:rsid w:val="001F7FFE"/>
    <w:rsid w:val="00202485"/>
    <w:rsid w:val="00203C2A"/>
    <w:rsid w:val="0020472F"/>
    <w:rsid w:val="00204B61"/>
    <w:rsid w:val="0020548A"/>
    <w:rsid w:val="00210042"/>
    <w:rsid w:val="0021362A"/>
    <w:rsid w:val="0021363B"/>
    <w:rsid w:val="002142DF"/>
    <w:rsid w:val="00214451"/>
    <w:rsid w:val="002203E1"/>
    <w:rsid w:val="00221C0E"/>
    <w:rsid w:val="00221CE2"/>
    <w:rsid w:val="002250A3"/>
    <w:rsid w:val="0022512B"/>
    <w:rsid w:val="002257C5"/>
    <w:rsid w:val="00225D1F"/>
    <w:rsid w:val="00226E1D"/>
    <w:rsid w:val="0023150D"/>
    <w:rsid w:val="002333D7"/>
    <w:rsid w:val="00233C0C"/>
    <w:rsid w:val="00235217"/>
    <w:rsid w:val="002352F5"/>
    <w:rsid w:val="0023658A"/>
    <w:rsid w:val="00237482"/>
    <w:rsid w:val="00241FD5"/>
    <w:rsid w:val="00246529"/>
    <w:rsid w:val="00246D1F"/>
    <w:rsid w:val="00247403"/>
    <w:rsid w:val="00247542"/>
    <w:rsid w:val="00247DF9"/>
    <w:rsid w:val="002501B4"/>
    <w:rsid w:val="00254764"/>
    <w:rsid w:val="00254A0D"/>
    <w:rsid w:val="00254F93"/>
    <w:rsid w:val="002561B2"/>
    <w:rsid w:val="002564CD"/>
    <w:rsid w:val="0025694A"/>
    <w:rsid w:val="00257F65"/>
    <w:rsid w:val="002620C2"/>
    <w:rsid w:val="0026397A"/>
    <w:rsid w:val="00264A4E"/>
    <w:rsid w:val="002663B5"/>
    <w:rsid w:val="002663DD"/>
    <w:rsid w:val="00266A81"/>
    <w:rsid w:val="00266B61"/>
    <w:rsid w:val="0026712A"/>
    <w:rsid w:val="002704DB"/>
    <w:rsid w:val="002705B1"/>
    <w:rsid w:val="00270CB8"/>
    <w:rsid w:val="002710B3"/>
    <w:rsid w:val="002716A5"/>
    <w:rsid w:val="00271A11"/>
    <w:rsid w:val="00272951"/>
    <w:rsid w:val="00276DF8"/>
    <w:rsid w:val="00277025"/>
    <w:rsid w:val="00277EF9"/>
    <w:rsid w:val="00281C67"/>
    <w:rsid w:val="002827DD"/>
    <w:rsid w:val="00282B67"/>
    <w:rsid w:val="00283573"/>
    <w:rsid w:val="00283F40"/>
    <w:rsid w:val="0028436A"/>
    <w:rsid w:val="002867FF"/>
    <w:rsid w:val="0029021F"/>
    <w:rsid w:val="00290AEB"/>
    <w:rsid w:val="0029602A"/>
    <w:rsid w:val="00297453"/>
    <w:rsid w:val="002A0AAE"/>
    <w:rsid w:val="002A1B5D"/>
    <w:rsid w:val="002A40A7"/>
    <w:rsid w:val="002A5820"/>
    <w:rsid w:val="002A5D6D"/>
    <w:rsid w:val="002A6A44"/>
    <w:rsid w:val="002B0682"/>
    <w:rsid w:val="002B106E"/>
    <w:rsid w:val="002B3FF6"/>
    <w:rsid w:val="002B5222"/>
    <w:rsid w:val="002B5293"/>
    <w:rsid w:val="002B59A4"/>
    <w:rsid w:val="002B5DC4"/>
    <w:rsid w:val="002B6CE1"/>
    <w:rsid w:val="002B7F72"/>
    <w:rsid w:val="002B7F77"/>
    <w:rsid w:val="002C173A"/>
    <w:rsid w:val="002C26C2"/>
    <w:rsid w:val="002C567B"/>
    <w:rsid w:val="002C5A5D"/>
    <w:rsid w:val="002C632D"/>
    <w:rsid w:val="002C7C80"/>
    <w:rsid w:val="002D11F7"/>
    <w:rsid w:val="002D1D1D"/>
    <w:rsid w:val="002D2B26"/>
    <w:rsid w:val="002D3124"/>
    <w:rsid w:val="002D4515"/>
    <w:rsid w:val="002D6C49"/>
    <w:rsid w:val="002D72F5"/>
    <w:rsid w:val="002D7EA2"/>
    <w:rsid w:val="002E0A1E"/>
    <w:rsid w:val="002E15AE"/>
    <w:rsid w:val="002E187C"/>
    <w:rsid w:val="002E4AEA"/>
    <w:rsid w:val="002E5CBB"/>
    <w:rsid w:val="002E6AD9"/>
    <w:rsid w:val="002F0695"/>
    <w:rsid w:val="002F2B49"/>
    <w:rsid w:val="002F2C58"/>
    <w:rsid w:val="002F5D3E"/>
    <w:rsid w:val="002F75CC"/>
    <w:rsid w:val="003019E9"/>
    <w:rsid w:val="00302733"/>
    <w:rsid w:val="0030393B"/>
    <w:rsid w:val="00303D52"/>
    <w:rsid w:val="00304F03"/>
    <w:rsid w:val="00307ABC"/>
    <w:rsid w:val="003111CE"/>
    <w:rsid w:val="003116EC"/>
    <w:rsid w:val="0031174C"/>
    <w:rsid w:val="00311E9B"/>
    <w:rsid w:val="00312603"/>
    <w:rsid w:val="00314078"/>
    <w:rsid w:val="0031503D"/>
    <w:rsid w:val="0031535D"/>
    <w:rsid w:val="00316011"/>
    <w:rsid w:val="00316A66"/>
    <w:rsid w:val="0031753E"/>
    <w:rsid w:val="00317CA1"/>
    <w:rsid w:val="0032054F"/>
    <w:rsid w:val="003205A1"/>
    <w:rsid w:val="00320D32"/>
    <w:rsid w:val="00327F54"/>
    <w:rsid w:val="0033028D"/>
    <w:rsid w:val="003306E6"/>
    <w:rsid w:val="0033111A"/>
    <w:rsid w:val="003311CC"/>
    <w:rsid w:val="0033169F"/>
    <w:rsid w:val="00331715"/>
    <w:rsid w:val="00331FFC"/>
    <w:rsid w:val="003370B8"/>
    <w:rsid w:val="00337DEB"/>
    <w:rsid w:val="003400E5"/>
    <w:rsid w:val="003420D8"/>
    <w:rsid w:val="00342487"/>
    <w:rsid w:val="00343B82"/>
    <w:rsid w:val="00345789"/>
    <w:rsid w:val="00345882"/>
    <w:rsid w:val="00346C95"/>
    <w:rsid w:val="00347923"/>
    <w:rsid w:val="00350704"/>
    <w:rsid w:val="00350EB9"/>
    <w:rsid w:val="00350F9D"/>
    <w:rsid w:val="00351B7A"/>
    <w:rsid w:val="00352715"/>
    <w:rsid w:val="00354C2C"/>
    <w:rsid w:val="00355099"/>
    <w:rsid w:val="00356185"/>
    <w:rsid w:val="00356E41"/>
    <w:rsid w:val="00357EA7"/>
    <w:rsid w:val="00360380"/>
    <w:rsid w:val="00361415"/>
    <w:rsid w:val="00365872"/>
    <w:rsid w:val="0036638A"/>
    <w:rsid w:val="0036789E"/>
    <w:rsid w:val="00371CFB"/>
    <w:rsid w:val="00371D40"/>
    <w:rsid w:val="00372ABC"/>
    <w:rsid w:val="00373767"/>
    <w:rsid w:val="00374A22"/>
    <w:rsid w:val="0037519E"/>
    <w:rsid w:val="00380276"/>
    <w:rsid w:val="00381ACF"/>
    <w:rsid w:val="00384635"/>
    <w:rsid w:val="00385821"/>
    <w:rsid w:val="00386CF0"/>
    <w:rsid w:val="00393AF4"/>
    <w:rsid w:val="00396FB1"/>
    <w:rsid w:val="00397642"/>
    <w:rsid w:val="003A064A"/>
    <w:rsid w:val="003A0991"/>
    <w:rsid w:val="003A10DF"/>
    <w:rsid w:val="003A19B5"/>
    <w:rsid w:val="003A2CE8"/>
    <w:rsid w:val="003A6118"/>
    <w:rsid w:val="003A616F"/>
    <w:rsid w:val="003A708B"/>
    <w:rsid w:val="003B0B09"/>
    <w:rsid w:val="003B0D23"/>
    <w:rsid w:val="003B122E"/>
    <w:rsid w:val="003B55EF"/>
    <w:rsid w:val="003B5615"/>
    <w:rsid w:val="003B5F9C"/>
    <w:rsid w:val="003B6901"/>
    <w:rsid w:val="003B7FBD"/>
    <w:rsid w:val="003C179F"/>
    <w:rsid w:val="003C2050"/>
    <w:rsid w:val="003C2FD9"/>
    <w:rsid w:val="003C361E"/>
    <w:rsid w:val="003C676B"/>
    <w:rsid w:val="003C7A90"/>
    <w:rsid w:val="003C7BAB"/>
    <w:rsid w:val="003D0B0D"/>
    <w:rsid w:val="003D1018"/>
    <w:rsid w:val="003D2453"/>
    <w:rsid w:val="003D330D"/>
    <w:rsid w:val="003D3544"/>
    <w:rsid w:val="003D3BC2"/>
    <w:rsid w:val="003D4E2B"/>
    <w:rsid w:val="003D57F7"/>
    <w:rsid w:val="003D67C7"/>
    <w:rsid w:val="003D6B96"/>
    <w:rsid w:val="003D7C03"/>
    <w:rsid w:val="003D7C0B"/>
    <w:rsid w:val="003E11EA"/>
    <w:rsid w:val="003E33B8"/>
    <w:rsid w:val="003E432F"/>
    <w:rsid w:val="003E48EF"/>
    <w:rsid w:val="003E5724"/>
    <w:rsid w:val="003E6CA1"/>
    <w:rsid w:val="003E74A4"/>
    <w:rsid w:val="003F1FEA"/>
    <w:rsid w:val="003F38B5"/>
    <w:rsid w:val="003F4475"/>
    <w:rsid w:val="004022D1"/>
    <w:rsid w:val="00402DE5"/>
    <w:rsid w:val="00404876"/>
    <w:rsid w:val="004052BE"/>
    <w:rsid w:val="00405CC1"/>
    <w:rsid w:val="004079CE"/>
    <w:rsid w:val="00410EF5"/>
    <w:rsid w:val="00414D90"/>
    <w:rsid w:val="004164D7"/>
    <w:rsid w:val="004165C2"/>
    <w:rsid w:val="0041693E"/>
    <w:rsid w:val="00417A4A"/>
    <w:rsid w:val="00420DEA"/>
    <w:rsid w:val="0042209F"/>
    <w:rsid w:val="0042424E"/>
    <w:rsid w:val="00425B10"/>
    <w:rsid w:val="00426114"/>
    <w:rsid w:val="004311FE"/>
    <w:rsid w:val="00434DA4"/>
    <w:rsid w:val="00436601"/>
    <w:rsid w:val="004372AC"/>
    <w:rsid w:val="00437655"/>
    <w:rsid w:val="00437775"/>
    <w:rsid w:val="00440FB2"/>
    <w:rsid w:val="00441ECB"/>
    <w:rsid w:val="00443362"/>
    <w:rsid w:val="00444B9E"/>
    <w:rsid w:val="00455703"/>
    <w:rsid w:val="0045767E"/>
    <w:rsid w:val="00461F9E"/>
    <w:rsid w:val="00462057"/>
    <w:rsid w:val="0046281B"/>
    <w:rsid w:val="004640CE"/>
    <w:rsid w:val="00466D8D"/>
    <w:rsid w:val="00467B7E"/>
    <w:rsid w:val="00471C6A"/>
    <w:rsid w:val="00472B3B"/>
    <w:rsid w:val="004747C8"/>
    <w:rsid w:val="00474C71"/>
    <w:rsid w:val="00476C93"/>
    <w:rsid w:val="00477592"/>
    <w:rsid w:val="00480388"/>
    <w:rsid w:val="00480ED4"/>
    <w:rsid w:val="00482B76"/>
    <w:rsid w:val="00482EC8"/>
    <w:rsid w:val="00483060"/>
    <w:rsid w:val="00486F1C"/>
    <w:rsid w:val="00490032"/>
    <w:rsid w:val="0049263A"/>
    <w:rsid w:val="0049419D"/>
    <w:rsid w:val="00494642"/>
    <w:rsid w:val="00494DD0"/>
    <w:rsid w:val="0049779D"/>
    <w:rsid w:val="004A04F5"/>
    <w:rsid w:val="004A0AFE"/>
    <w:rsid w:val="004A263C"/>
    <w:rsid w:val="004A2EEB"/>
    <w:rsid w:val="004A3971"/>
    <w:rsid w:val="004A3CAC"/>
    <w:rsid w:val="004A4A8C"/>
    <w:rsid w:val="004A5B1F"/>
    <w:rsid w:val="004A5D14"/>
    <w:rsid w:val="004A68CC"/>
    <w:rsid w:val="004B0892"/>
    <w:rsid w:val="004B169E"/>
    <w:rsid w:val="004B1A29"/>
    <w:rsid w:val="004B2669"/>
    <w:rsid w:val="004B27BC"/>
    <w:rsid w:val="004B2EB0"/>
    <w:rsid w:val="004B3D72"/>
    <w:rsid w:val="004B42BD"/>
    <w:rsid w:val="004B599A"/>
    <w:rsid w:val="004B739C"/>
    <w:rsid w:val="004B7619"/>
    <w:rsid w:val="004C02C0"/>
    <w:rsid w:val="004C20D2"/>
    <w:rsid w:val="004C2E6D"/>
    <w:rsid w:val="004C392E"/>
    <w:rsid w:val="004C492D"/>
    <w:rsid w:val="004C4B62"/>
    <w:rsid w:val="004C54C9"/>
    <w:rsid w:val="004C790D"/>
    <w:rsid w:val="004D02C2"/>
    <w:rsid w:val="004D0542"/>
    <w:rsid w:val="004D0EAE"/>
    <w:rsid w:val="004D195F"/>
    <w:rsid w:val="004D2720"/>
    <w:rsid w:val="004D298D"/>
    <w:rsid w:val="004D3290"/>
    <w:rsid w:val="004D55B0"/>
    <w:rsid w:val="004D6025"/>
    <w:rsid w:val="004D6618"/>
    <w:rsid w:val="004D757F"/>
    <w:rsid w:val="004E012B"/>
    <w:rsid w:val="004E1CEB"/>
    <w:rsid w:val="004E2649"/>
    <w:rsid w:val="004E39C7"/>
    <w:rsid w:val="004E52E1"/>
    <w:rsid w:val="004E6704"/>
    <w:rsid w:val="004F47A6"/>
    <w:rsid w:val="004F5CF4"/>
    <w:rsid w:val="004F61B0"/>
    <w:rsid w:val="004F627D"/>
    <w:rsid w:val="004F76BD"/>
    <w:rsid w:val="00501399"/>
    <w:rsid w:val="00502577"/>
    <w:rsid w:val="005035C9"/>
    <w:rsid w:val="00504A28"/>
    <w:rsid w:val="0050633D"/>
    <w:rsid w:val="00506C07"/>
    <w:rsid w:val="00506F09"/>
    <w:rsid w:val="00507721"/>
    <w:rsid w:val="00507BC4"/>
    <w:rsid w:val="00510AD7"/>
    <w:rsid w:val="00511592"/>
    <w:rsid w:val="00511A8E"/>
    <w:rsid w:val="005128E4"/>
    <w:rsid w:val="005131DF"/>
    <w:rsid w:val="005133DB"/>
    <w:rsid w:val="00514148"/>
    <w:rsid w:val="005143A8"/>
    <w:rsid w:val="00515977"/>
    <w:rsid w:val="00515F47"/>
    <w:rsid w:val="005208DF"/>
    <w:rsid w:val="00521553"/>
    <w:rsid w:val="005218A0"/>
    <w:rsid w:val="00525560"/>
    <w:rsid w:val="00525BFD"/>
    <w:rsid w:val="00527940"/>
    <w:rsid w:val="00527C10"/>
    <w:rsid w:val="005354F3"/>
    <w:rsid w:val="0053691B"/>
    <w:rsid w:val="00536923"/>
    <w:rsid w:val="00536C77"/>
    <w:rsid w:val="00540EE7"/>
    <w:rsid w:val="00541B4B"/>
    <w:rsid w:val="005430CE"/>
    <w:rsid w:val="005434F6"/>
    <w:rsid w:val="00543556"/>
    <w:rsid w:val="00544C49"/>
    <w:rsid w:val="0054594A"/>
    <w:rsid w:val="00545E58"/>
    <w:rsid w:val="0054712E"/>
    <w:rsid w:val="005474EF"/>
    <w:rsid w:val="00550321"/>
    <w:rsid w:val="00550EB5"/>
    <w:rsid w:val="005516A1"/>
    <w:rsid w:val="00554507"/>
    <w:rsid w:val="00556DD9"/>
    <w:rsid w:val="00560076"/>
    <w:rsid w:val="00560B43"/>
    <w:rsid w:val="0056338A"/>
    <w:rsid w:val="00564817"/>
    <w:rsid w:val="00565141"/>
    <w:rsid w:val="00565744"/>
    <w:rsid w:val="00567FED"/>
    <w:rsid w:val="005710F7"/>
    <w:rsid w:val="00571B88"/>
    <w:rsid w:val="00572EAB"/>
    <w:rsid w:val="0057402A"/>
    <w:rsid w:val="005771D0"/>
    <w:rsid w:val="00584C19"/>
    <w:rsid w:val="00587357"/>
    <w:rsid w:val="00587752"/>
    <w:rsid w:val="005910CA"/>
    <w:rsid w:val="0059191A"/>
    <w:rsid w:val="005921FF"/>
    <w:rsid w:val="00592639"/>
    <w:rsid w:val="005937F1"/>
    <w:rsid w:val="0059435E"/>
    <w:rsid w:val="005957FD"/>
    <w:rsid w:val="00595C1D"/>
    <w:rsid w:val="005964DB"/>
    <w:rsid w:val="0059784F"/>
    <w:rsid w:val="005978C4"/>
    <w:rsid w:val="005A02E7"/>
    <w:rsid w:val="005A1302"/>
    <w:rsid w:val="005A136F"/>
    <w:rsid w:val="005A35DE"/>
    <w:rsid w:val="005A383E"/>
    <w:rsid w:val="005A418D"/>
    <w:rsid w:val="005A432C"/>
    <w:rsid w:val="005A5D49"/>
    <w:rsid w:val="005A6C08"/>
    <w:rsid w:val="005A6D0E"/>
    <w:rsid w:val="005B017B"/>
    <w:rsid w:val="005B499A"/>
    <w:rsid w:val="005B52B0"/>
    <w:rsid w:val="005B5F89"/>
    <w:rsid w:val="005B6806"/>
    <w:rsid w:val="005B6A84"/>
    <w:rsid w:val="005B6B2B"/>
    <w:rsid w:val="005B7262"/>
    <w:rsid w:val="005C0A95"/>
    <w:rsid w:val="005C17A1"/>
    <w:rsid w:val="005C4225"/>
    <w:rsid w:val="005C4CA5"/>
    <w:rsid w:val="005C4D52"/>
    <w:rsid w:val="005C6177"/>
    <w:rsid w:val="005C6675"/>
    <w:rsid w:val="005C6D92"/>
    <w:rsid w:val="005C7676"/>
    <w:rsid w:val="005C7722"/>
    <w:rsid w:val="005D063F"/>
    <w:rsid w:val="005D0DB1"/>
    <w:rsid w:val="005D19AA"/>
    <w:rsid w:val="005D1D4E"/>
    <w:rsid w:val="005D6304"/>
    <w:rsid w:val="005D65FC"/>
    <w:rsid w:val="005D6859"/>
    <w:rsid w:val="005D7400"/>
    <w:rsid w:val="005D77E3"/>
    <w:rsid w:val="005D7E48"/>
    <w:rsid w:val="005E0C58"/>
    <w:rsid w:val="005E0C72"/>
    <w:rsid w:val="005E1A6D"/>
    <w:rsid w:val="005E3621"/>
    <w:rsid w:val="005E378A"/>
    <w:rsid w:val="005E4137"/>
    <w:rsid w:val="005E49AA"/>
    <w:rsid w:val="005E5B9E"/>
    <w:rsid w:val="005E6E81"/>
    <w:rsid w:val="005F0DAD"/>
    <w:rsid w:val="005F0F33"/>
    <w:rsid w:val="005F25FA"/>
    <w:rsid w:val="005F309E"/>
    <w:rsid w:val="005F4DA6"/>
    <w:rsid w:val="005F58A6"/>
    <w:rsid w:val="005F5E7F"/>
    <w:rsid w:val="00600DEB"/>
    <w:rsid w:val="00602A29"/>
    <w:rsid w:val="0060438C"/>
    <w:rsid w:val="00604F88"/>
    <w:rsid w:val="00607692"/>
    <w:rsid w:val="00610D19"/>
    <w:rsid w:val="006125C3"/>
    <w:rsid w:val="0061340E"/>
    <w:rsid w:val="00613E0B"/>
    <w:rsid w:val="006159DC"/>
    <w:rsid w:val="00616B1D"/>
    <w:rsid w:val="00616D08"/>
    <w:rsid w:val="006172DD"/>
    <w:rsid w:val="00617A11"/>
    <w:rsid w:val="00620B27"/>
    <w:rsid w:val="006229F7"/>
    <w:rsid w:val="00626F27"/>
    <w:rsid w:val="00627C9F"/>
    <w:rsid w:val="006311E9"/>
    <w:rsid w:val="00632354"/>
    <w:rsid w:val="00633B67"/>
    <w:rsid w:val="00634DED"/>
    <w:rsid w:val="006370FA"/>
    <w:rsid w:val="00637C87"/>
    <w:rsid w:val="00641585"/>
    <w:rsid w:val="00641970"/>
    <w:rsid w:val="00641A00"/>
    <w:rsid w:val="00642810"/>
    <w:rsid w:val="00642A53"/>
    <w:rsid w:val="00645823"/>
    <w:rsid w:val="00646992"/>
    <w:rsid w:val="006508CF"/>
    <w:rsid w:val="0065117A"/>
    <w:rsid w:val="00652333"/>
    <w:rsid w:val="00654855"/>
    <w:rsid w:val="00655983"/>
    <w:rsid w:val="0065707A"/>
    <w:rsid w:val="0066176A"/>
    <w:rsid w:val="00661956"/>
    <w:rsid w:val="00663C87"/>
    <w:rsid w:val="00671F35"/>
    <w:rsid w:val="00672165"/>
    <w:rsid w:val="006723F7"/>
    <w:rsid w:val="00672F89"/>
    <w:rsid w:val="00674563"/>
    <w:rsid w:val="0067538C"/>
    <w:rsid w:val="0067732E"/>
    <w:rsid w:val="006774EB"/>
    <w:rsid w:val="0068009E"/>
    <w:rsid w:val="00682FA9"/>
    <w:rsid w:val="006830B5"/>
    <w:rsid w:val="0068442B"/>
    <w:rsid w:val="00685BF4"/>
    <w:rsid w:val="00690020"/>
    <w:rsid w:val="006920BC"/>
    <w:rsid w:val="00692219"/>
    <w:rsid w:val="00694827"/>
    <w:rsid w:val="006A09E0"/>
    <w:rsid w:val="006A17D2"/>
    <w:rsid w:val="006A2434"/>
    <w:rsid w:val="006A31A6"/>
    <w:rsid w:val="006A4B39"/>
    <w:rsid w:val="006A73E6"/>
    <w:rsid w:val="006A7DE6"/>
    <w:rsid w:val="006B006B"/>
    <w:rsid w:val="006B0EEB"/>
    <w:rsid w:val="006B19E1"/>
    <w:rsid w:val="006B2D5C"/>
    <w:rsid w:val="006B2E89"/>
    <w:rsid w:val="006B35BB"/>
    <w:rsid w:val="006B4808"/>
    <w:rsid w:val="006B49D6"/>
    <w:rsid w:val="006B4D40"/>
    <w:rsid w:val="006B56D7"/>
    <w:rsid w:val="006B6703"/>
    <w:rsid w:val="006C1A20"/>
    <w:rsid w:val="006C1B67"/>
    <w:rsid w:val="006C277C"/>
    <w:rsid w:val="006C2B06"/>
    <w:rsid w:val="006C3B0C"/>
    <w:rsid w:val="006C47E0"/>
    <w:rsid w:val="006C4EB1"/>
    <w:rsid w:val="006C5B40"/>
    <w:rsid w:val="006C7009"/>
    <w:rsid w:val="006C7831"/>
    <w:rsid w:val="006D06ED"/>
    <w:rsid w:val="006D1220"/>
    <w:rsid w:val="006D23DD"/>
    <w:rsid w:val="006D6B01"/>
    <w:rsid w:val="006D7755"/>
    <w:rsid w:val="006E010C"/>
    <w:rsid w:val="006E0166"/>
    <w:rsid w:val="006E0F80"/>
    <w:rsid w:val="006E46A5"/>
    <w:rsid w:val="006E58D8"/>
    <w:rsid w:val="006E736C"/>
    <w:rsid w:val="006E7B34"/>
    <w:rsid w:val="006E7C9E"/>
    <w:rsid w:val="006F10A7"/>
    <w:rsid w:val="006F4258"/>
    <w:rsid w:val="006F44F2"/>
    <w:rsid w:val="006F6B9A"/>
    <w:rsid w:val="006F7D1D"/>
    <w:rsid w:val="0070167B"/>
    <w:rsid w:val="00702D53"/>
    <w:rsid w:val="00703D45"/>
    <w:rsid w:val="00704ADF"/>
    <w:rsid w:val="00704E82"/>
    <w:rsid w:val="0070697F"/>
    <w:rsid w:val="0070743A"/>
    <w:rsid w:val="00707885"/>
    <w:rsid w:val="00710847"/>
    <w:rsid w:val="00712D70"/>
    <w:rsid w:val="0071335F"/>
    <w:rsid w:val="00714BE9"/>
    <w:rsid w:val="00715CB7"/>
    <w:rsid w:val="0071690A"/>
    <w:rsid w:val="0071704D"/>
    <w:rsid w:val="00717CFA"/>
    <w:rsid w:val="0072178D"/>
    <w:rsid w:val="00721798"/>
    <w:rsid w:val="0072199C"/>
    <w:rsid w:val="00722C9F"/>
    <w:rsid w:val="00723C8B"/>
    <w:rsid w:val="007253B8"/>
    <w:rsid w:val="00725E5B"/>
    <w:rsid w:val="007276D5"/>
    <w:rsid w:val="00730280"/>
    <w:rsid w:val="0073199F"/>
    <w:rsid w:val="00731C77"/>
    <w:rsid w:val="007325A0"/>
    <w:rsid w:val="0073631B"/>
    <w:rsid w:val="0073741F"/>
    <w:rsid w:val="00737F2E"/>
    <w:rsid w:val="00741072"/>
    <w:rsid w:val="00745E01"/>
    <w:rsid w:val="00745FA2"/>
    <w:rsid w:val="0074722E"/>
    <w:rsid w:val="0075093A"/>
    <w:rsid w:val="00750A19"/>
    <w:rsid w:val="007517E4"/>
    <w:rsid w:val="007522BD"/>
    <w:rsid w:val="00754F1F"/>
    <w:rsid w:val="007556D5"/>
    <w:rsid w:val="00757959"/>
    <w:rsid w:val="00757D07"/>
    <w:rsid w:val="00760FB6"/>
    <w:rsid w:val="007627ED"/>
    <w:rsid w:val="00764568"/>
    <w:rsid w:val="0076498B"/>
    <w:rsid w:val="00764F87"/>
    <w:rsid w:val="0076643F"/>
    <w:rsid w:val="00767FF7"/>
    <w:rsid w:val="007704C5"/>
    <w:rsid w:val="007719CA"/>
    <w:rsid w:val="00771A2A"/>
    <w:rsid w:val="00772340"/>
    <w:rsid w:val="0077372C"/>
    <w:rsid w:val="00773F65"/>
    <w:rsid w:val="007743E7"/>
    <w:rsid w:val="00777F63"/>
    <w:rsid w:val="0078005F"/>
    <w:rsid w:val="00781A85"/>
    <w:rsid w:val="00781BCF"/>
    <w:rsid w:val="007838CC"/>
    <w:rsid w:val="00783FD5"/>
    <w:rsid w:val="00790C2B"/>
    <w:rsid w:val="007914F9"/>
    <w:rsid w:val="00792C7D"/>
    <w:rsid w:val="00793BE8"/>
    <w:rsid w:val="00793D28"/>
    <w:rsid w:val="00794E3D"/>
    <w:rsid w:val="00795DCF"/>
    <w:rsid w:val="00796F4A"/>
    <w:rsid w:val="007A4BD3"/>
    <w:rsid w:val="007A5350"/>
    <w:rsid w:val="007A5817"/>
    <w:rsid w:val="007A65B5"/>
    <w:rsid w:val="007B03F2"/>
    <w:rsid w:val="007B234B"/>
    <w:rsid w:val="007B2EF1"/>
    <w:rsid w:val="007B5F1F"/>
    <w:rsid w:val="007B60E9"/>
    <w:rsid w:val="007B6CC3"/>
    <w:rsid w:val="007B7285"/>
    <w:rsid w:val="007B75B1"/>
    <w:rsid w:val="007C012C"/>
    <w:rsid w:val="007C21A7"/>
    <w:rsid w:val="007C24D1"/>
    <w:rsid w:val="007C3334"/>
    <w:rsid w:val="007C38E2"/>
    <w:rsid w:val="007C6FD0"/>
    <w:rsid w:val="007C7058"/>
    <w:rsid w:val="007C756A"/>
    <w:rsid w:val="007D1702"/>
    <w:rsid w:val="007D2B98"/>
    <w:rsid w:val="007D4156"/>
    <w:rsid w:val="007D517B"/>
    <w:rsid w:val="007D6935"/>
    <w:rsid w:val="007E1810"/>
    <w:rsid w:val="007E1D9F"/>
    <w:rsid w:val="007E21BC"/>
    <w:rsid w:val="007E2A21"/>
    <w:rsid w:val="007E3FFF"/>
    <w:rsid w:val="007E6E94"/>
    <w:rsid w:val="007E733E"/>
    <w:rsid w:val="007E7D50"/>
    <w:rsid w:val="007E7EDC"/>
    <w:rsid w:val="007F13BC"/>
    <w:rsid w:val="007F2C61"/>
    <w:rsid w:val="007F362F"/>
    <w:rsid w:val="007F38D1"/>
    <w:rsid w:val="007F6143"/>
    <w:rsid w:val="007F7AA9"/>
    <w:rsid w:val="007F7E9A"/>
    <w:rsid w:val="008000C0"/>
    <w:rsid w:val="00802C29"/>
    <w:rsid w:val="00803F1C"/>
    <w:rsid w:val="00805F8A"/>
    <w:rsid w:val="0080600E"/>
    <w:rsid w:val="00806221"/>
    <w:rsid w:val="00807BEB"/>
    <w:rsid w:val="008106B7"/>
    <w:rsid w:val="00810A1C"/>
    <w:rsid w:val="008114FA"/>
    <w:rsid w:val="00815021"/>
    <w:rsid w:val="00815EB7"/>
    <w:rsid w:val="0081639B"/>
    <w:rsid w:val="00816EBD"/>
    <w:rsid w:val="0081700A"/>
    <w:rsid w:val="0081741E"/>
    <w:rsid w:val="00817612"/>
    <w:rsid w:val="00817765"/>
    <w:rsid w:val="008217E6"/>
    <w:rsid w:val="0082387E"/>
    <w:rsid w:val="00823EDD"/>
    <w:rsid w:val="00825FCC"/>
    <w:rsid w:val="008263E8"/>
    <w:rsid w:val="008266A7"/>
    <w:rsid w:val="00827968"/>
    <w:rsid w:val="00827B5D"/>
    <w:rsid w:val="008316B1"/>
    <w:rsid w:val="008338A4"/>
    <w:rsid w:val="00833E69"/>
    <w:rsid w:val="00834753"/>
    <w:rsid w:val="00834FC8"/>
    <w:rsid w:val="008358CF"/>
    <w:rsid w:val="00836AFE"/>
    <w:rsid w:val="00837C45"/>
    <w:rsid w:val="0084043F"/>
    <w:rsid w:val="00843E04"/>
    <w:rsid w:val="00844730"/>
    <w:rsid w:val="00844AA5"/>
    <w:rsid w:val="008457C2"/>
    <w:rsid w:val="00846186"/>
    <w:rsid w:val="00850106"/>
    <w:rsid w:val="008504AC"/>
    <w:rsid w:val="008517A0"/>
    <w:rsid w:val="008522A4"/>
    <w:rsid w:val="00852328"/>
    <w:rsid w:val="008538A0"/>
    <w:rsid w:val="00855A66"/>
    <w:rsid w:val="008568E6"/>
    <w:rsid w:val="00857A82"/>
    <w:rsid w:val="00860C59"/>
    <w:rsid w:val="00860E5D"/>
    <w:rsid w:val="00861CCB"/>
    <w:rsid w:val="00867426"/>
    <w:rsid w:val="008703B4"/>
    <w:rsid w:val="00870504"/>
    <w:rsid w:val="00873836"/>
    <w:rsid w:val="00875441"/>
    <w:rsid w:val="00876263"/>
    <w:rsid w:val="008764C3"/>
    <w:rsid w:val="0087658E"/>
    <w:rsid w:val="00877D66"/>
    <w:rsid w:val="00883397"/>
    <w:rsid w:val="0088342B"/>
    <w:rsid w:val="00885000"/>
    <w:rsid w:val="00885737"/>
    <w:rsid w:val="00885C31"/>
    <w:rsid w:val="008901A6"/>
    <w:rsid w:val="00890650"/>
    <w:rsid w:val="00890BC9"/>
    <w:rsid w:val="008915F0"/>
    <w:rsid w:val="00893036"/>
    <w:rsid w:val="0089633D"/>
    <w:rsid w:val="00897E12"/>
    <w:rsid w:val="008A0C6E"/>
    <w:rsid w:val="008A4C31"/>
    <w:rsid w:val="008A53C0"/>
    <w:rsid w:val="008A7E0F"/>
    <w:rsid w:val="008B0DF8"/>
    <w:rsid w:val="008B12F5"/>
    <w:rsid w:val="008B26B4"/>
    <w:rsid w:val="008C132B"/>
    <w:rsid w:val="008C20F5"/>
    <w:rsid w:val="008C255C"/>
    <w:rsid w:val="008C27BC"/>
    <w:rsid w:val="008C2AC4"/>
    <w:rsid w:val="008C2F7F"/>
    <w:rsid w:val="008C3098"/>
    <w:rsid w:val="008C4992"/>
    <w:rsid w:val="008C4EB1"/>
    <w:rsid w:val="008C56F5"/>
    <w:rsid w:val="008D1182"/>
    <w:rsid w:val="008D3AC3"/>
    <w:rsid w:val="008D3B3C"/>
    <w:rsid w:val="008D47B0"/>
    <w:rsid w:val="008D6251"/>
    <w:rsid w:val="008D6B70"/>
    <w:rsid w:val="008D6E74"/>
    <w:rsid w:val="008D728C"/>
    <w:rsid w:val="008D7519"/>
    <w:rsid w:val="008D768D"/>
    <w:rsid w:val="008E0207"/>
    <w:rsid w:val="008E2E7E"/>
    <w:rsid w:val="008E3759"/>
    <w:rsid w:val="008E5FE2"/>
    <w:rsid w:val="008E6334"/>
    <w:rsid w:val="008E6B02"/>
    <w:rsid w:val="008F1912"/>
    <w:rsid w:val="008F1B28"/>
    <w:rsid w:val="008F2579"/>
    <w:rsid w:val="008F31B0"/>
    <w:rsid w:val="008F5146"/>
    <w:rsid w:val="008F5599"/>
    <w:rsid w:val="008F604B"/>
    <w:rsid w:val="008F6255"/>
    <w:rsid w:val="008F7754"/>
    <w:rsid w:val="009014A4"/>
    <w:rsid w:val="0090270B"/>
    <w:rsid w:val="0090415B"/>
    <w:rsid w:val="009041DC"/>
    <w:rsid w:val="009048BA"/>
    <w:rsid w:val="00906045"/>
    <w:rsid w:val="00911C03"/>
    <w:rsid w:val="009121B3"/>
    <w:rsid w:val="00912E1F"/>
    <w:rsid w:val="009157C7"/>
    <w:rsid w:val="00915A7F"/>
    <w:rsid w:val="00917B5A"/>
    <w:rsid w:val="00920321"/>
    <w:rsid w:val="00920A58"/>
    <w:rsid w:val="00920A8C"/>
    <w:rsid w:val="00920B8E"/>
    <w:rsid w:val="0092111F"/>
    <w:rsid w:val="00922097"/>
    <w:rsid w:val="00924923"/>
    <w:rsid w:val="00925780"/>
    <w:rsid w:val="009261B2"/>
    <w:rsid w:val="00926A3C"/>
    <w:rsid w:val="00927814"/>
    <w:rsid w:val="00931199"/>
    <w:rsid w:val="00934A2C"/>
    <w:rsid w:val="009352EA"/>
    <w:rsid w:val="009355D2"/>
    <w:rsid w:val="00936DC9"/>
    <w:rsid w:val="00940976"/>
    <w:rsid w:val="009438AF"/>
    <w:rsid w:val="009440A6"/>
    <w:rsid w:val="00945047"/>
    <w:rsid w:val="00945946"/>
    <w:rsid w:val="009462AA"/>
    <w:rsid w:val="00946A18"/>
    <w:rsid w:val="00947FD0"/>
    <w:rsid w:val="009501A8"/>
    <w:rsid w:val="00951C79"/>
    <w:rsid w:val="00951CBC"/>
    <w:rsid w:val="00952F38"/>
    <w:rsid w:val="009547FD"/>
    <w:rsid w:val="009609E8"/>
    <w:rsid w:val="00960B60"/>
    <w:rsid w:val="00960FD9"/>
    <w:rsid w:val="009612CC"/>
    <w:rsid w:val="009621E3"/>
    <w:rsid w:val="009648D2"/>
    <w:rsid w:val="0096706E"/>
    <w:rsid w:val="00970813"/>
    <w:rsid w:val="009711F1"/>
    <w:rsid w:val="0097295A"/>
    <w:rsid w:val="009730EF"/>
    <w:rsid w:val="00974380"/>
    <w:rsid w:val="00974B01"/>
    <w:rsid w:val="00975C4E"/>
    <w:rsid w:val="00976884"/>
    <w:rsid w:val="00976E30"/>
    <w:rsid w:val="00976F7C"/>
    <w:rsid w:val="00977C16"/>
    <w:rsid w:val="009809C3"/>
    <w:rsid w:val="00981E6A"/>
    <w:rsid w:val="00981FBA"/>
    <w:rsid w:val="0098411B"/>
    <w:rsid w:val="0098670E"/>
    <w:rsid w:val="00986783"/>
    <w:rsid w:val="00987877"/>
    <w:rsid w:val="00990715"/>
    <w:rsid w:val="00990A8D"/>
    <w:rsid w:val="0099133D"/>
    <w:rsid w:val="009923C8"/>
    <w:rsid w:val="00992797"/>
    <w:rsid w:val="00993388"/>
    <w:rsid w:val="009934CE"/>
    <w:rsid w:val="009944BD"/>
    <w:rsid w:val="0099547A"/>
    <w:rsid w:val="0099698E"/>
    <w:rsid w:val="00997374"/>
    <w:rsid w:val="00997B8B"/>
    <w:rsid w:val="00997BC5"/>
    <w:rsid w:val="009A0BE3"/>
    <w:rsid w:val="009A1055"/>
    <w:rsid w:val="009A1D13"/>
    <w:rsid w:val="009A227F"/>
    <w:rsid w:val="009A3B15"/>
    <w:rsid w:val="009A4198"/>
    <w:rsid w:val="009A4F41"/>
    <w:rsid w:val="009A5231"/>
    <w:rsid w:val="009A71E4"/>
    <w:rsid w:val="009B05CB"/>
    <w:rsid w:val="009B22E9"/>
    <w:rsid w:val="009B37B2"/>
    <w:rsid w:val="009B381B"/>
    <w:rsid w:val="009B4E9B"/>
    <w:rsid w:val="009B5E6D"/>
    <w:rsid w:val="009C0A29"/>
    <w:rsid w:val="009C11D3"/>
    <w:rsid w:val="009C2152"/>
    <w:rsid w:val="009C22C3"/>
    <w:rsid w:val="009C342B"/>
    <w:rsid w:val="009C3A55"/>
    <w:rsid w:val="009C3D2D"/>
    <w:rsid w:val="009C449E"/>
    <w:rsid w:val="009C4DB6"/>
    <w:rsid w:val="009C4EAA"/>
    <w:rsid w:val="009C5174"/>
    <w:rsid w:val="009C7672"/>
    <w:rsid w:val="009C7E20"/>
    <w:rsid w:val="009D1753"/>
    <w:rsid w:val="009D1882"/>
    <w:rsid w:val="009D1E54"/>
    <w:rsid w:val="009D3724"/>
    <w:rsid w:val="009D3E57"/>
    <w:rsid w:val="009D57F1"/>
    <w:rsid w:val="009D7319"/>
    <w:rsid w:val="009D7611"/>
    <w:rsid w:val="009E0B61"/>
    <w:rsid w:val="009E1CBF"/>
    <w:rsid w:val="009E3352"/>
    <w:rsid w:val="009E3865"/>
    <w:rsid w:val="009E436F"/>
    <w:rsid w:val="009E47FB"/>
    <w:rsid w:val="009E4C92"/>
    <w:rsid w:val="009E53DE"/>
    <w:rsid w:val="009E7BA6"/>
    <w:rsid w:val="009F1955"/>
    <w:rsid w:val="009F27D1"/>
    <w:rsid w:val="009F699C"/>
    <w:rsid w:val="009F6A89"/>
    <w:rsid w:val="00A007D4"/>
    <w:rsid w:val="00A00DE8"/>
    <w:rsid w:val="00A01864"/>
    <w:rsid w:val="00A02795"/>
    <w:rsid w:val="00A03A6C"/>
    <w:rsid w:val="00A04A91"/>
    <w:rsid w:val="00A118AA"/>
    <w:rsid w:val="00A128A9"/>
    <w:rsid w:val="00A12A95"/>
    <w:rsid w:val="00A12F71"/>
    <w:rsid w:val="00A138D8"/>
    <w:rsid w:val="00A139ED"/>
    <w:rsid w:val="00A14BFF"/>
    <w:rsid w:val="00A1577A"/>
    <w:rsid w:val="00A16C07"/>
    <w:rsid w:val="00A21F9B"/>
    <w:rsid w:val="00A22B0B"/>
    <w:rsid w:val="00A22C99"/>
    <w:rsid w:val="00A23C10"/>
    <w:rsid w:val="00A23E7F"/>
    <w:rsid w:val="00A246C6"/>
    <w:rsid w:val="00A2598E"/>
    <w:rsid w:val="00A270B9"/>
    <w:rsid w:val="00A328B3"/>
    <w:rsid w:val="00A32C3C"/>
    <w:rsid w:val="00A33282"/>
    <w:rsid w:val="00A33B1E"/>
    <w:rsid w:val="00A36660"/>
    <w:rsid w:val="00A36EBF"/>
    <w:rsid w:val="00A375B6"/>
    <w:rsid w:val="00A41BCC"/>
    <w:rsid w:val="00A421DF"/>
    <w:rsid w:val="00A425D1"/>
    <w:rsid w:val="00A42933"/>
    <w:rsid w:val="00A4433F"/>
    <w:rsid w:val="00A4464B"/>
    <w:rsid w:val="00A468D9"/>
    <w:rsid w:val="00A47364"/>
    <w:rsid w:val="00A50949"/>
    <w:rsid w:val="00A50FCF"/>
    <w:rsid w:val="00A51B30"/>
    <w:rsid w:val="00A528D1"/>
    <w:rsid w:val="00A54148"/>
    <w:rsid w:val="00A54E6E"/>
    <w:rsid w:val="00A610CD"/>
    <w:rsid w:val="00A6224F"/>
    <w:rsid w:val="00A628F6"/>
    <w:rsid w:val="00A643C1"/>
    <w:rsid w:val="00A6631D"/>
    <w:rsid w:val="00A676CC"/>
    <w:rsid w:val="00A71308"/>
    <w:rsid w:val="00A72241"/>
    <w:rsid w:val="00A74727"/>
    <w:rsid w:val="00A75E63"/>
    <w:rsid w:val="00A814FA"/>
    <w:rsid w:val="00A81759"/>
    <w:rsid w:val="00A832E6"/>
    <w:rsid w:val="00A86A5D"/>
    <w:rsid w:val="00A86EF7"/>
    <w:rsid w:val="00A93276"/>
    <w:rsid w:val="00A94874"/>
    <w:rsid w:val="00AA067C"/>
    <w:rsid w:val="00AA09A2"/>
    <w:rsid w:val="00AA1F97"/>
    <w:rsid w:val="00AA6540"/>
    <w:rsid w:val="00AA7996"/>
    <w:rsid w:val="00AA7A6C"/>
    <w:rsid w:val="00AB26CC"/>
    <w:rsid w:val="00AB6472"/>
    <w:rsid w:val="00AB6711"/>
    <w:rsid w:val="00AC0301"/>
    <w:rsid w:val="00AC19CB"/>
    <w:rsid w:val="00AC2BBE"/>
    <w:rsid w:val="00AC419F"/>
    <w:rsid w:val="00AC458B"/>
    <w:rsid w:val="00AC55D4"/>
    <w:rsid w:val="00AC5B2D"/>
    <w:rsid w:val="00AC622D"/>
    <w:rsid w:val="00AC7D5A"/>
    <w:rsid w:val="00AD044F"/>
    <w:rsid w:val="00AD209B"/>
    <w:rsid w:val="00AD2EC2"/>
    <w:rsid w:val="00AD33D5"/>
    <w:rsid w:val="00AD4E7C"/>
    <w:rsid w:val="00AE0BA7"/>
    <w:rsid w:val="00AE207A"/>
    <w:rsid w:val="00AE5488"/>
    <w:rsid w:val="00AE6F91"/>
    <w:rsid w:val="00AE7F3E"/>
    <w:rsid w:val="00AF005B"/>
    <w:rsid w:val="00AF0B07"/>
    <w:rsid w:val="00AF5334"/>
    <w:rsid w:val="00AF5571"/>
    <w:rsid w:val="00AF60CA"/>
    <w:rsid w:val="00AF7988"/>
    <w:rsid w:val="00B004C0"/>
    <w:rsid w:val="00B034F0"/>
    <w:rsid w:val="00B03B2E"/>
    <w:rsid w:val="00B04058"/>
    <w:rsid w:val="00B06A56"/>
    <w:rsid w:val="00B06DCB"/>
    <w:rsid w:val="00B07184"/>
    <w:rsid w:val="00B07341"/>
    <w:rsid w:val="00B11682"/>
    <w:rsid w:val="00B13441"/>
    <w:rsid w:val="00B153AC"/>
    <w:rsid w:val="00B1636A"/>
    <w:rsid w:val="00B16F60"/>
    <w:rsid w:val="00B17376"/>
    <w:rsid w:val="00B202A5"/>
    <w:rsid w:val="00B253CA"/>
    <w:rsid w:val="00B254A4"/>
    <w:rsid w:val="00B30539"/>
    <w:rsid w:val="00B309A4"/>
    <w:rsid w:val="00B314DB"/>
    <w:rsid w:val="00B322C8"/>
    <w:rsid w:val="00B34CE7"/>
    <w:rsid w:val="00B352E4"/>
    <w:rsid w:val="00B361F2"/>
    <w:rsid w:val="00B3718B"/>
    <w:rsid w:val="00B40039"/>
    <w:rsid w:val="00B405AB"/>
    <w:rsid w:val="00B40F5A"/>
    <w:rsid w:val="00B418BD"/>
    <w:rsid w:val="00B45470"/>
    <w:rsid w:val="00B45B83"/>
    <w:rsid w:val="00B45C02"/>
    <w:rsid w:val="00B4632A"/>
    <w:rsid w:val="00B47E56"/>
    <w:rsid w:val="00B513B1"/>
    <w:rsid w:val="00B52AB1"/>
    <w:rsid w:val="00B530B2"/>
    <w:rsid w:val="00B530F1"/>
    <w:rsid w:val="00B53319"/>
    <w:rsid w:val="00B53449"/>
    <w:rsid w:val="00B54A0C"/>
    <w:rsid w:val="00B5503C"/>
    <w:rsid w:val="00B55175"/>
    <w:rsid w:val="00B554DB"/>
    <w:rsid w:val="00B60691"/>
    <w:rsid w:val="00B6073B"/>
    <w:rsid w:val="00B618C0"/>
    <w:rsid w:val="00B632D6"/>
    <w:rsid w:val="00B63D82"/>
    <w:rsid w:val="00B67999"/>
    <w:rsid w:val="00B7136F"/>
    <w:rsid w:val="00B726AD"/>
    <w:rsid w:val="00B72858"/>
    <w:rsid w:val="00B72916"/>
    <w:rsid w:val="00B7414B"/>
    <w:rsid w:val="00B74D4B"/>
    <w:rsid w:val="00B74E7B"/>
    <w:rsid w:val="00B758B3"/>
    <w:rsid w:val="00B82368"/>
    <w:rsid w:val="00B83C1C"/>
    <w:rsid w:val="00B8495C"/>
    <w:rsid w:val="00B84F9D"/>
    <w:rsid w:val="00B862CB"/>
    <w:rsid w:val="00B8661F"/>
    <w:rsid w:val="00B86F92"/>
    <w:rsid w:val="00B876F9"/>
    <w:rsid w:val="00B87AD6"/>
    <w:rsid w:val="00B90D3F"/>
    <w:rsid w:val="00B916CF"/>
    <w:rsid w:val="00B91B08"/>
    <w:rsid w:val="00B9279C"/>
    <w:rsid w:val="00B92F2F"/>
    <w:rsid w:val="00B938AB"/>
    <w:rsid w:val="00BA276C"/>
    <w:rsid w:val="00BA34DD"/>
    <w:rsid w:val="00BA461E"/>
    <w:rsid w:val="00BA48B7"/>
    <w:rsid w:val="00BA4B3F"/>
    <w:rsid w:val="00BA7420"/>
    <w:rsid w:val="00BA7440"/>
    <w:rsid w:val="00BA7C92"/>
    <w:rsid w:val="00BB03B2"/>
    <w:rsid w:val="00BB2F53"/>
    <w:rsid w:val="00BB306F"/>
    <w:rsid w:val="00BB4FCD"/>
    <w:rsid w:val="00BB5B6E"/>
    <w:rsid w:val="00BB642E"/>
    <w:rsid w:val="00BC052B"/>
    <w:rsid w:val="00BC1180"/>
    <w:rsid w:val="00BC18DF"/>
    <w:rsid w:val="00BC213E"/>
    <w:rsid w:val="00BC29B2"/>
    <w:rsid w:val="00BC3ADA"/>
    <w:rsid w:val="00BC5142"/>
    <w:rsid w:val="00BC57E9"/>
    <w:rsid w:val="00BC5AB3"/>
    <w:rsid w:val="00BC6D82"/>
    <w:rsid w:val="00BC70D1"/>
    <w:rsid w:val="00BD08C0"/>
    <w:rsid w:val="00BD0A6B"/>
    <w:rsid w:val="00BD1904"/>
    <w:rsid w:val="00BD4676"/>
    <w:rsid w:val="00BD4B89"/>
    <w:rsid w:val="00BD575F"/>
    <w:rsid w:val="00BD7433"/>
    <w:rsid w:val="00BE16D5"/>
    <w:rsid w:val="00BE1E79"/>
    <w:rsid w:val="00BE3133"/>
    <w:rsid w:val="00BF02CB"/>
    <w:rsid w:val="00BF11D3"/>
    <w:rsid w:val="00BF14FA"/>
    <w:rsid w:val="00BF1664"/>
    <w:rsid w:val="00BF3808"/>
    <w:rsid w:val="00BF4F54"/>
    <w:rsid w:val="00BF6FD8"/>
    <w:rsid w:val="00BF795A"/>
    <w:rsid w:val="00C03680"/>
    <w:rsid w:val="00C05352"/>
    <w:rsid w:val="00C054DF"/>
    <w:rsid w:val="00C1241D"/>
    <w:rsid w:val="00C12DE4"/>
    <w:rsid w:val="00C15B9A"/>
    <w:rsid w:val="00C15FFA"/>
    <w:rsid w:val="00C165EF"/>
    <w:rsid w:val="00C17CE2"/>
    <w:rsid w:val="00C207F7"/>
    <w:rsid w:val="00C21402"/>
    <w:rsid w:val="00C21762"/>
    <w:rsid w:val="00C22D9D"/>
    <w:rsid w:val="00C23A3F"/>
    <w:rsid w:val="00C24543"/>
    <w:rsid w:val="00C24B78"/>
    <w:rsid w:val="00C256A2"/>
    <w:rsid w:val="00C26ADC"/>
    <w:rsid w:val="00C27632"/>
    <w:rsid w:val="00C306A2"/>
    <w:rsid w:val="00C313A5"/>
    <w:rsid w:val="00C32233"/>
    <w:rsid w:val="00C33A66"/>
    <w:rsid w:val="00C33F3C"/>
    <w:rsid w:val="00C34482"/>
    <w:rsid w:val="00C34513"/>
    <w:rsid w:val="00C3506B"/>
    <w:rsid w:val="00C35400"/>
    <w:rsid w:val="00C35FFF"/>
    <w:rsid w:val="00C36F52"/>
    <w:rsid w:val="00C37235"/>
    <w:rsid w:val="00C37E47"/>
    <w:rsid w:val="00C37F53"/>
    <w:rsid w:val="00C40789"/>
    <w:rsid w:val="00C42686"/>
    <w:rsid w:val="00C42D73"/>
    <w:rsid w:val="00C445D0"/>
    <w:rsid w:val="00C46312"/>
    <w:rsid w:val="00C46960"/>
    <w:rsid w:val="00C46EE5"/>
    <w:rsid w:val="00C47D81"/>
    <w:rsid w:val="00C51515"/>
    <w:rsid w:val="00C5389C"/>
    <w:rsid w:val="00C539C4"/>
    <w:rsid w:val="00C54586"/>
    <w:rsid w:val="00C54A80"/>
    <w:rsid w:val="00C54BFE"/>
    <w:rsid w:val="00C54EBB"/>
    <w:rsid w:val="00C553D8"/>
    <w:rsid w:val="00C5660B"/>
    <w:rsid w:val="00C579F2"/>
    <w:rsid w:val="00C60888"/>
    <w:rsid w:val="00C61FCB"/>
    <w:rsid w:val="00C6254A"/>
    <w:rsid w:val="00C62A75"/>
    <w:rsid w:val="00C6490F"/>
    <w:rsid w:val="00C6540B"/>
    <w:rsid w:val="00C65F8A"/>
    <w:rsid w:val="00C66B72"/>
    <w:rsid w:val="00C67637"/>
    <w:rsid w:val="00C7247C"/>
    <w:rsid w:val="00C7386F"/>
    <w:rsid w:val="00C75282"/>
    <w:rsid w:val="00C772E6"/>
    <w:rsid w:val="00C80839"/>
    <w:rsid w:val="00C810D8"/>
    <w:rsid w:val="00C81313"/>
    <w:rsid w:val="00C81FDB"/>
    <w:rsid w:val="00C856E9"/>
    <w:rsid w:val="00C85F79"/>
    <w:rsid w:val="00C86243"/>
    <w:rsid w:val="00C86FC5"/>
    <w:rsid w:val="00C870E6"/>
    <w:rsid w:val="00C905E4"/>
    <w:rsid w:val="00C9110A"/>
    <w:rsid w:val="00C9140B"/>
    <w:rsid w:val="00C950AD"/>
    <w:rsid w:val="00C952AC"/>
    <w:rsid w:val="00C9567A"/>
    <w:rsid w:val="00C95E39"/>
    <w:rsid w:val="00C97129"/>
    <w:rsid w:val="00C973A8"/>
    <w:rsid w:val="00CA66B2"/>
    <w:rsid w:val="00CB1FCE"/>
    <w:rsid w:val="00CB212D"/>
    <w:rsid w:val="00CB2583"/>
    <w:rsid w:val="00CB2660"/>
    <w:rsid w:val="00CB27E4"/>
    <w:rsid w:val="00CB3897"/>
    <w:rsid w:val="00CB4241"/>
    <w:rsid w:val="00CB52BC"/>
    <w:rsid w:val="00CB5EFC"/>
    <w:rsid w:val="00CB7E6A"/>
    <w:rsid w:val="00CC12FD"/>
    <w:rsid w:val="00CC1FA5"/>
    <w:rsid w:val="00CC38BF"/>
    <w:rsid w:val="00CC4FB5"/>
    <w:rsid w:val="00CC5E90"/>
    <w:rsid w:val="00CC63CF"/>
    <w:rsid w:val="00CC6777"/>
    <w:rsid w:val="00CC7BA4"/>
    <w:rsid w:val="00CD0349"/>
    <w:rsid w:val="00CD046C"/>
    <w:rsid w:val="00CD1541"/>
    <w:rsid w:val="00CD15FF"/>
    <w:rsid w:val="00CD167A"/>
    <w:rsid w:val="00CD242F"/>
    <w:rsid w:val="00CE076C"/>
    <w:rsid w:val="00CE12FC"/>
    <w:rsid w:val="00CE3DD8"/>
    <w:rsid w:val="00CE480C"/>
    <w:rsid w:val="00CE5199"/>
    <w:rsid w:val="00CE55A6"/>
    <w:rsid w:val="00CE66D5"/>
    <w:rsid w:val="00CE71FB"/>
    <w:rsid w:val="00CE7622"/>
    <w:rsid w:val="00CF079E"/>
    <w:rsid w:val="00CF3008"/>
    <w:rsid w:val="00CF4F5A"/>
    <w:rsid w:val="00CF553A"/>
    <w:rsid w:val="00CF637A"/>
    <w:rsid w:val="00CF7E13"/>
    <w:rsid w:val="00CF7F47"/>
    <w:rsid w:val="00D00111"/>
    <w:rsid w:val="00D00825"/>
    <w:rsid w:val="00D016D9"/>
    <w:rsid w:val="00D02B18"/>
    <w:rsid w:val="00D03842"/>
    <w:rsid w:val="00D059DE"/>
    <w:rsid w:val="00D05AC1"/>
    <w:rsid w:val="00D077E0"/>
    <w:rsid w:val="00D07DC5"/>
    <w:rsid w:val="00D10016"/>
    <w:rsid w:val="00D113F9"/>
    <w:rsid w:val="00D1143F"/>
    <w:rsid w:val="00D12193"/>
    <w:rsid w:val="00D12DA5"/>
    <w:rsid w:val="00D131E8"/>
    <w:rsid w:val="00D13FCE"/>
    <w:rsid w:val="00D14625"/>
    <w:rsid w:val="00D1502E"/>
    <w:rsid w:val="00D155F5"/>
    <w:rsid w:val="00D16E43"/>
    <w:rsid w:val="00D204AC"/>
    <w:rsid w:val="00D2342C"/>
    <w:rsid w:val="00D23DD1"/>
    <w:rsid w:val="00D24DE1"/>
    <w:rsid w:val="00D26F12"/>
    <w:rsid w:val="00D27461"/>
    <w:rsid w:val="00D306D1"/>
    <w:rsid w:val="00D30870"/>
    <w:rsid w:val="00D33A25"/>
    <w:rsid w:val="00D33AB9"/>
    <w:rsid w:val="00D34298"/>
    <w:rsid w:val="00D34786"/>
    <w:rsid w:val="00D361C7"/>
    <w:rsid w:val="00D37851"/>
    <w:rsid w:val="00D37BFC"/>
    <w:rsid w:val="00D437E3"/>
    <w:rsid w:val="00D456E6"/>
    <w:rsid w:val="00D47A8E"/>
    <w:rsid w:val="00D52D14"/>
    <w:rsid w:val="00D549BD"/>
    <w:rsid w:val="00D55B40"/>
    <w:rsid w:val="00D56A16"/>
    <w:rsid w:val="00D5763D"/>
    <w:rsid w:val="00D614B9"/>
    <w:rsid w:val="00D6318C"/>
    <w:rsid w:val="00D6393E"/>
    <w:rsid w:val="00D63BC8"/>
    <w:rsid w:val="00D65BCF"/>
    <w:rsid w:val="00D66F4D"/>
    <w:rsid w:val="00D712D3"/>
    <w:rsid w:val="00D71422"/>
    <w:rsid w:val="00D72DC6"/>
    <w:rsid w:val="00D73E3B"/>
    <w:rsid w:val="00D744D2"/>
    <w:rsid w:val="00D7558D"/>
    <w:rsid w:val="00D75658"/>
    <w:rsid w:val="00D7754C"/>
    <w:rsid w:val="00D77CAC"/>
    <w:rsid w:val="00D80187"/>
    <w:rsid w:val="00D80440"/>
    <w:rsid w:val="00D818DD"/>
    <w:rsid w:val="00D81D92"/>
    <w:rsid w:val="00D83D73"/>
    <w:rsid w:val="00D840F0"/>
    <w:rsid w:val="00D85314"/>
    <w:rsid w:val="00D85C69"/>
    <w:rsid w:val="00D86A59"/>
    <w:rsid w:val="00D8787F"/>
    <w:rsid w:val="00D87F70"/>
    <w:rsid w:val="00D90178"/>
    <w:rsid w:val="00D903ED"/>
    <w:rsid w:val="00D928B8"/>
    <w:rsid w:val="00D93ED2"/>
    <w:rsid w:val="00D9632A"/>
    <w:rsid w:val="00D96AFE"/>
    <w:rsid w:val="00D96E66"/>
    <w:rsid w:val="00DA0349"/>
    <w:rsid w:val="00DA2163"/>
    <w:rsid w:val="00DA2C8B"/>
    <w:rsid w:val="00DA389D"/>
    <w:rsid w:val="00DA4AB3"/>
    <w:rsid w:val="00DA4CCF"/>
    <w:rsid w:val="00DA5189"/>
    <w:rsid w:val="00DA601F"/>
    <w:rsid w:val="00DA75A6"/>
    <w:rsid w:val="00DA7B5F"/>
    <w:rsid w:val="00DB1191"/>
    <w:rsid w:val="00DB24A9"/>
    <w:rsid w:val="00DB26D5"/>
    <w:rsid w:val="00DB3C7C"/>
    <w:rsid w:val="00DB614C"/>
    <w:rsid w:val="00DB6410"/>
    <w:rsid w:val="00DB7B18"/>
    <w:rsid w:val="00DC0767"/>
    <w:rsid w:val="00DC11E7"/>
    <w:rsid w:val="00DC22D0"/>
    <w:rsid w:val="00DC5314"/>
    <w:rsid w:val="00DC56E2"/>
    <w:rsid w:val="00DC7023"/>
    <w:rsid w:val="00DC707A"/>
    <w:rsid w:val="00DC769A"/>
    <w:rsid w:val="00DD0217"/>
    <w:rsid w:val="00DD0768"/>
    <w:rsid w:val="00DD1D1A"/>
    <w:rsid w:val="00DD1F78"/>
    <w:rsid w:val="00DD3D86"/>
    <w:rsid w:val="00DD3E2F"/>
    <w:rsid w:val="00DD54D2"/>
    <w:rsid w:val="00DD70D8"/>
    <w:rsid w:val="00DE10CF"/>
    <w:rsid w:val="00DE21CB"/>
    <w:rsid w:val="00DE251A"/>
    <w:rsid w:val="00DE2BBA"/>
    <w:rsid w:val="00DE2CCC"/>
    <w:rsid w:val="00DE2FFA"/>
    <w:rsid w:val="00DE4AB6"/>
    <w:rsid w:val="00DF1418"/>
    <w:rsid w:val="00DF1EC4"/>
    <w:rsid w:val="00DF3E56"/>
    <w:rsid w:val="00DF55B4"/>
    <w:rsid w:val="00DF6932"/>
    <w:rsid w:val="00DF6A78"/>
    <w:rsid w:val="00DF7A4D"/>
    <w:rsid w:val="00E015A3"/>
    <w:rsid w:val="00E0340B"/>
    <w:rsid w:val="00E03675"/>
    <w:rsid w:val="00E040AD"/>
    <w:rsid w:val="00E04A90"/>
    <w:rsid w:val="00E06486"/>
    <w:rsid w:val="00E06809"/>
    <w:rsid w:val="00E06AD2"/>
    <w:rsid w:val="00E07B8A"/>
    <w:rsid w:val="00E11CC9"/>
    <w:rsid w:val="00E145AF"/>
    <w:rsid w:val="00E213D1"/>
    <w:rsid w:val="00E219C7"/>
    <w:rsid w:val="00E21D05"/>
    <w:rsid w:val="00E25935"/>
    <w:rsid w:val="00E25A17"/>
    <w:rsid w:val="00E26148"/>
    <w:rsid w:val="00E26E67"/>
    <w:rsid w:val="00E3195A"/>
    <w:rsid w:val="00E35147"/>
    <w:rsid w:val="00E35494"/>
    <w:rsid w:val="00E35813"/>
    <w:rsid w:val="00E3585A"/>
    <w:rsid w:val="00E37504"/>
    <w:rsid w:val="00E424F4"/>
    <w:rsid w:val="00E426C4"/>
    <w:rsid w:val="00E43157"/>
    <w:rsid w:val="00E45705"/>
    <w:rsid w:val="00E461CE"/>
    <w:rsid w:val="00E501A0"/>
    <w:rsid w:val="00E511B7"/>
    <w:rsid w:val="00E52394"/>
    <w:rsid w:val="00E52779"/>
    <w:rsid w:val="00E53F1B"/>
    <w:rsid w:val="00E55C6C"/>
    <w:rsid w:val="00E5728E"/>
    <w:rsid w:val="00E60D57"/>
    <w:rsid w:val="00E62062"/>
    <w:rsid w:val="00E631B7"/>
    <w:rsid w:val="00E6369B"/>
    <w:rsid w:val="00E64784"/>
    <w:rsid w:val="00E660A0"/>
    <w:rsid w:val="00E67881"/>
    <w:rsid w:val="00E71B37"/>
    <w:rsid w:val="00E720CA"/>
    <w:rsid w:val="00E752C6"/>
    <w:rsid w:val="00E76CF2"/>
    <w:rsid w:val="00E8074A"/>
    <w:rsid w:val="00E810C3"/>
    <w:rsid w:val="00E81B83"/>
    <w:rsid w:val="00E83AB0"/>
    <w:rsid w:val="00E844AB"/>
    <w:rsid w:val="00E84EB5"/>
    <w:rsid w:val="00E85662"/>
    <w:rsid w:val="00E86943"/>
    <w:rsid w:val="00E8789F"/>
    <w:rsid w:val="00E904D3"/>
    <w:rsid w:val="00E9064C"/>
    <w:rsid w:val="00E909AA"/>
    <w:rsid w:val="00E917A8"/>
    <w:rsid w:val="00E92496"/>
    <w:rsid w:val="00E92A2D"/>
    <w:rsid w:val="00E97B71"/>
    <w:rsid w:val="00E97E64"/>
    <w:rsid w:val="00E97E78"/>
    <w:rsid w:val="00E97F65"/>
    <w:rsid w:val="00EA00BC"/>
    <w:rsid w:val="00EA1294"/>
    <w:rsid w:val="00EA14F9"/>
    <w:rsid w:val="00EA35A4"/>
    <w:rsid w:val="00EA3755"/>
    <w:rsid w:val="00EA3D34"/>
    <w:rsid w:val="00EA4EA5"/>
    <w:rsid w:val="00EA719F"/>
    <w:rsid w:val="00EA7C9F"/>
    <w:rsid w:val="00EB171F"/>
    <w:rsid w:val="00EB2CE0"/>
    <w:rsid w:val="00EB3663"/>
    <w:rsid w:val="00EB3935"/>
    <w:rsid w:val="00EB3B9E"/>
    <w:rsid w:val="00EB454D"/>
    <w:rsid w:val="00EB4738"/>
    <w:rsid w:val="00EB483C"/>
    <w:rsid w:val="00EB6506"/>
    <w:rsid w:val="00EB6B5E"/>
    <w:rsid w:val="00EC0322"/>
    <w:rsid w:val="00EC2DB3"/>
    <w:rsid w:val="00EC393C"/>
    <w:rsid w:val="00EC6525"/>
    <w:rsid w:val="00EC741A"/>
    <w:rsid w:val="00EC7582"/>
    <w:rsid w:val="00EC7DFE"/>
    <w:rsid w:val="00ED5A71"/>
    <w:rsid w:val="00ED5D83"/>
    <w:rsid w:val="00ED76BE"/>
    <w:rsid w:val="00EE1218"/>
    <w:rsid w:val="00EE1B07"/>
    <w:rsid w:val="00EE1B9B"/>
    <w:rsid w:val="00EE21B6"/>
    <w:rsid w:val="00EE282D"/>
    <w:rsid w:val="00EE37C3"/>
    <w:rsid w:val="00EE4215"/>
    <w:rsid w:val="00EE62C4"/>
    <w:rsid w:val="00EE702F"/>
    <w:rsid w:val="00EE7552"/>
    <w:rsid w:val="00EE7726"/>
    <w:rsid w:val="00EE7E14"/>
    <w:rsid w:val="00EF01ED"/>
    <w:rsid w:val="00EF3840"/>
    <w:rsid w:val="00EF39AA"/>
    <w:rsid w:val="00EF5147"/>
    <w:rsid w:val="00EF5472"/>
    <w:rsid w:val="00EF568F"/>
    <w:rsid w:val="00EF5AB8"/>
    <w:rsid w:val="00EF619B"/>
    <w:rsid w:val="00F00B55"/>
    <w:rsid w:val="00F01736"/>
    <w:rsid w:val="00F01A37"/>
    <w:rsid w:val="00F02975"/>
    <w:rsid w:val="00F02AD1"/>
    <w:rsid w:val="00F0662C"/>
    <w:rsid w:val="00F06BAD"/>
    <w:rsid w:val="00F076BF"/>
    <w:rsid w:val="00F11B31"/>
    <w:rsid w:val="00F130C8"/>
    <w:rsid w:val="00F1437B"/>
    <w:rsid w:val="00F152BF"/>
    <w:rsid w:val="00F16254"/>
    <w:rsid w:val="00F178B9"/>
    <w:rsid w:val="00F241C7"/>
    <w:rsid w:val="00F253CC"/>
    <w:rsid w:val="00F31F07"/>
    <w:rsid w:val="00F33B1F"/>
    <w:rsid w:val="00F33F21"/>
    <w:rsid w:val="00F36A92"/>
    <w:rsid w:val="00F37106"/>
    <w:rsid w:val="00F4232C"/>
    <w:rsid w:val="00F42A12"/>
    <w:rsid w:val="00F4491C"/>
    <w:rsid w:val="00F45EA0"/>
    <w:rsid w:val="00F516E2"/>
    <w:rsid w:val="00F519CF"/>
    <w:rsid w:val="00F52A60"/>
    <w:rsid w:val="00F53909"/>
    <w:rsid w:val="00F54058"/>
    <w:rsid w:val="00F564E5"/>
    <w:rsid w:val="00F56BA5"/>
    <w:rsid w:val="00F60D10"/>
    <w:rsid w:val="00F60E22"/>
    <w:rsid w:val="00F6333A"/>
    <w:rsid w:val="00F660A5"/>
    <w:rsid w:val="00F67BBB"/>
    <w:rsid w:val="00F70889"/>
    <w:rsid w:val="00F72431"/>
    <w:rsid w:val="00F73104"/>
    <w:rsid w:val="00F7492C"/>
    <w:rsid w:val="00F750B7"/>
    <w:rsid w:val="00F75CEB"/>
    <w:rsid w:val="00F75D2B"/>
    <w:rsid w:val="00F76FEC"/>
    <w:rsid w:val="00F77036"/>
    <w:rsid w:val="00F772A6"/>
    <w:rsid w:val="00F805FB"/>
    <w:rsid w:val="00F81395"/>
    <w:rsid w:val="00F831FA"/>
    <w:rsid w:val="00F83435"/>
    <w:rsid w:val="00F85322"/>
    <w:rsid w:val="00F85A76"/>
    <w:rsid w:val="00F902EB"/>
    <w:rsid w:val="00F90834"/>
    <w:rsid w:val="00F917D1"/>
    <w:rsid w:val="00F94D13"/>
    <w:rsid w:val="00F963F2"/>
    <w:rsid w:val="00F9653B"/>
    <w:rsid w:val="00FA0C0D"/>
    <w:rsid w:val="00FA13E7"/>
    <w:rsid w:val="00FA2960"/>
    <w:rsid w:val="00FA5797"/>
    <w:rsid w:val="00FB1151"/>
    <w:rsid w:val="00FB1348"/>
    <w:rsid w:val="00FB1438"/>
    <w:rsid w:val="00FB20C4"/>
    <w:rsid w:val="00FB2269"/>
    <w:rsid w:val="00FB4BF7"/>
    <w:rsid w:val="00FB62CF"/>
    <w:rsid w:val="00FC17A7"/>
    <w:rsid w:val="00FC1BD4"/>
    <w:rsid w:val="00FC5B3B"/>
    <w:rsid w:val="00FC75C4"/>
    <w:rsid w:val="00FC7E55"/>
    <w:rsid w:val="00FD07E7"/>
    <w:rsid w:val="00FD1310"/>
    <w:rsid w:val="00FD1C09"/>
    <w:rsid w:val="00FD330B"/>
    <w:rsid w:val="00FD33C0"/>
    <w:rsid w:val="00FD3C3B"/>
    <w:rsid w:val="00FD47EA"/>
    <w:rsid w:val="00FD5A32"/>
    <w:rsid w:val="00FD5A99"/>
    <w:rsid w:val="00FD7279"/>
    <w:rsid w:val="00FE07DD"/>
    <w:rsid w:val="00FE0A98"/>
    <w:rsid w:val="00FE2F9B"/>
    <w:rsid w:val="00FE5B25"/>
    <w:rsid w:val="00FE5CBD"/>
    <w:rsid w:val="00FE6B45"/>
    <w:rsid w:val="00FF050E"/>
    <w:rsid w:val="00FF10C4"/>
    <w:rsid w:val="00FF32C5"/>
    <w:rsid w:val="00FF3382"/>
    <w:rsid w:val="00FF42CB"/>
    <w:rsid w:val="00FF43C1"/>
    <w:rsid w:val="00FF55F3"/>
    <w:rsid w:val="00FF5851"/>
    <w:rsid w:val="00FF6283"/>
    <w:rsid w:val="00FF629E"/>
    <w:rsid w:val="00FF6402"/>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C64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E16D5"/>
    <w:rPr>
      <w:sz w:val="24"/>
      <w:szCs w:val="24"/>
      <w:lang w:val="en-US" w:eastAsia="en-US"/>
    </w:rPr>
  </w:style>
  <w:style w:type="paragraph" w:styleId="Heading1">
    <w:name w:val="heading 1"/>
    <w:basedOn w:val="ListParagraph"/>
    <w:next w:val="Normal"/>
    <w:link w:val="Heading1Char"/>
    <w:uiPriority w:val="9"/>
    <w:qFormat/>
    <w:rsid w:val="001F2F25"/>
    <w:pPr>
      <w:numPr>
        <w:numId w:val="54"/>
      </w:numPr>
      <w:suppressAutoHyphens/>
      <w:ind w:left="1440"/>
      <w:outlineLvl w:val="0"/>
    </w:pPr>
    <w:rPr>
      <w:rFonts w:asciiTheme="majorHAnsi" w:hAnsiTheme="majorHAnsi"/>
      <w:b/>
      <w:sz w:val="20"/>
      <w:szCs w:val="20"/>
      <w:lang w:val="es-ES_tradnl"/>
    </w:rPr>
  </w:style>
  <w:style w:type="paragraph" w:styleId="Heading2">
    <w:name w:val="heading 2"/>
    <w:basedOn w:val="ListParagraph"/>
    <w:next w:val="Normal"/>
    <w:link w:val="Heading2Char"/>
    <w:qFormat/>
    <w:rsid w:val="001F2F25"/>
    <w:pPr>
      <w:numPr>
        <w:numId w:val="55"/>
      </w:numPr>
      <w:suppressAutoHyphens/>
      <w:ind w:hanging="720"/>
      <w:outlineLvl w:val="1"/>
    </w:pPr>
    <w:rPr>
      <w:rFonts w:asciiTheme="majorHAnsi" w:hAnsiTheme="majorHAnsi"/>
      <w:b/>
      <w:sz w:val="20"/>
      <w:szCs w:val="20"/>
      <w:lang w:val="es-ES_tradnl"/>
    </w:rPr>
  </w:style>
  <w:style w:type="paragraph" w:styleId="Heading3">
    <w:name w:val="heading 3"/>
    <w:basedOn w:val="ListParagraph"/>
    <w:next w:val="Normal"/>
    <w:link w:val="Heading3Char"/>
    <w:qFormat/>
    <w:rsid w:val="007B234B"/>
    <w:pPr>
      <w:numPr>
        <w:numId w:val="58"/>
      </w:numPr>
      <w:ind w:left="1440" w:hanging="720"/>
      <w:jc w:val="both"/>
      <w:outlineLvl w:val="2"/>
    </w:pPr>
    <w:rPr>
      <w:rFonts w:asciiTheme="majorHAnsi" w:hAnsiTheme="majorHAnsi"/>
      <w:b/>
      <w:sz w:val="20"/>
      <w:szCs w:val="20"/>
    </w:rPr>
  </w:style>
  <w:style w:type="paragraph" w:styleId="Heading4">
    <w:name w:val="heading 4"/>
    <w:basedOn w:val="ListParagraph"/>
    <w:next w:val="Normal"/>
    <w:link w:val="Heading4Char"/>
    <w:uiPriority w:val="9"/>
    <w:unhideWhenUsed/>
    <w:qFormat/>
    <w:rsid w:val="00BD7433"/>
    <w:pPr>
      <w:ind w:left="1800" w:hanging="360"/>
      <w:jc w:val="both"/>
      <w:outlineLvl w:val="3"/>
    </w:pPr>
    <w:rPr>
      <w:b/>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sid w:val="00685BF4"/>
    <w:rPr>
      <w:rFonts w:ascii="Cambria" w:eastAsia="Calibri" w:hAnsi="Cambria" w:cs="Calibri"/>
      <w:color w:val="000000"/>
      <w:sz w:val="16"/>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1F2F25"/>
    <w:rPr>
      <w:rFonts w:asciiTheme="majorHAnsi" w:eastAsia="Cambria" w:hAnsiTheme="majorHAnsi" w:cs="Cambria"/>
      <w:b/>
      <w:color w:val="000000"/>
      <w:u w:color="000000"/>
      <w:lang w:val="es-ES_tradnl"/>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C21402"/>
    <w:pPr>
      <w:tabs>
        <w:tab w:val="left" w:pos="426"/>
        <w:tab w:val="right" w:leader="dot" w:pos="9350"/>
      </w:tabs>
      <w:spacing w:after="100"/>
    </w:pPr>
  </w:style>
  <w:style w:type="paragraph" w:styleId="TOC1">
    <w:name w:val="toc 1"/>
    <w:basedOn w:val="Normal"/>
    <w:next w:val="Normal"/>
    <w:autoRedefine/>
    <w:uiPriority w:val="39"/>
    <w:unhideWhenUsed/>
    <w:rsid w:val="009D1882"/>
    <w:pPr>
      <w:tabs>
        <w:tab w:val="left" w:pos="720"/>
        <w:tab w:val="right" w:leader="dot" w:pos="9350"/>
      </w:tabs>
      <w:spacing w:after="100"/>
    </w:pPr>
    <w:rPr>
      <w:rFonts w:asciiTheme="majorHAnsi" w:hAnsiTheme="majorHAnsi"/>
      <w:b/>
      <w:bCs/>
      <w:noProof/>
      <w:sz w:val="20"/>
      <w:szCs w:val="20"/>
    </w:rPr>
  </w:style>
  <w:style w:type="paragraph" w:styleId="TOC3">
    <w:name w:val="toc 3"/>
    <w:basedOn w:val="Normal"/>
    <w:next w:val="Normal"/>
    <w:autoRedefine/>
    <w:uiPriority w:val="39"/>
    <w:unhideWhenUsed/>
    <w:rsid w:val="00C21402"/>
    <w:pPr>
      <w:tabs>
        <w:tab w:val="left" w:pos="426"/>
        <w:tab w:val="right" w:leader="dot" w:pos="9350"/>
      </w:tabs>
      <w:spacing w:after="10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
    <w:basedOn w:val="DefaultParagraphFont"/>
    <w:link w:val="FootnotesrefssChar1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685BF4"/>
    <w:rPr>
      <w:rFonts w:ascii="Cambria" w:eastAsia="Calibri" w:hAnsi="Cambria" w:cs="Calibri"/>
      <w:color w:val="000000"/>
      <w:sz w:val="16"/>
      <w:u w:color="000000"/>
      <w:lang w:val="en-US"/>
    </w:rPr>
  </w:style>
  <w:style w:type="character" w:customStyle="1" w:styleId="Heading2Char">
    <w:name w:val="Heading 2 Char"/>
    <w:basedOn w:val="DefaultParagraphFont"/>
    <w:link w:val="Heading2"/>
    <w:rsid w:val="001F2F25"/>
    <w:rPr>
      <w:rFonts w:asciiTheme="majorHAnsi" w:eastAsia="Cambria" w:hAnsiTheme="majorHAnsi" w:cs="Cambria"/>
      <w:b/>
      <w:color w:val="000000"/>
      <w:u w:color="000000"/>
      <w:lang w:val="es-ES_tradnl"/>
    </w:rPr>
  </w:style>
  <w:style w:type="character" w:customStyle="1" w:styleId="Heading3Char">
    <w:name w:val="Heading 3 Char"/>
    <w:basedOn w:val="DefaultParagraphFont"/>
    <w:link w:val="Heading3"/>
    <w:rsid w:val="007B234B"/>
    <w:rPr>
      <w:rFonts w:asciiTheme="majorHAnsi" w:eastAsia="Cambria" w:hAnsiTheme="majorHAnsi" w:cs="Cambria"/>
      <w:b/>
      <w:color w:val="000000"/>
      <w:u w:color="000000"/>
      <w:lang w:val="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9014A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4D6618"/>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
    <w:link w:val="ListParagraph"/>
    <w:uiPriority w:val="34"/>
    <w:locked/>
    <w:rsid w:val="002E4AEA"/>
    <w:rPr>
      <w:rFonts w:ascii="Cambria" w:eastAsia="Cambria" w:hAnsi="Cambria" w:cs="Cambria"/>
      <w:color w:val="000000"/>
      <w:sz w:val="24"/>
      <w:szCs w:val="24"/>
      <w:u w:color="000000"/>
      <w:lang w:val="en-US"/>
    </w:rPr>
  </w:style>
  <w:style w:type="character" w:customStyle="1" w:styleId="Heading4Char">
    <w:name w:val="Heading 4 Char"/>
    <w:basedOn w:val="DefaultParagraphFont"/>
    <w:link w:val="Heading4"/>
    <w:uiPriority w:val="9"/>
    <w:rsid w:val="00BD7433"/>
    <w:rPr>
      <w:rFonts w:ascii="Cambria" w:eastAsia="Cambria" w:hAnsi="Cambria" w:cs="Cambria"/>
      <w:b/>
      <w:u w:color="000000"/>
      <w:lang w:val="en-US"/>
    </w:rPr>
  </w:style>
  <w:style w:type="character" w:styleId="CommentReference">
    <w:name w:val="annotation reference"/>
    <w:basedOn w:val="DefaultParagraphFont"/>
    <w:uiPriority w:val="99"/>
    <w:semiHidden/>
    <w:unhideWhenUsed/>
    <w:rsid w:val="002F0695"/>
    <w:rPr>
      <w:sz w:val="16"/>
      <w:szCs w:val="16"/>
    </w:rPr>
  </w:style>
  <w:style w:type="paragraph" w:styleId="CommentText">
    <w:name w:val="annotation text"/>
    <w:basedOn w:val="Normal"/>
    <w:link w:val="CommentTextChar"/>
    <w:uiPriority w:val="99"/>
    <w:semiHidden/>
    <w:unhideWhenUsed/>
    <w:rsid w:val="002F0695"/>
    <w:rPr>
      <w:sz w:val="20"/>
      <w:szCs w:val="20"/>
    </w:rPr>
  </w:style>
  <w:style w:type="character" w:customStyle="1" w:styleId="CommentTextChar">
    <w:name w:val="Comment Text Char"/>
    <w:basedOn w:val="DefaultParagraphFont"/>
    <w:link w:val="CommentText"/>
    <w:uiPriority w:val="99"/>
    <w:semiHidden/>
    <w:rsid w:val="002F0695"/>
    <w:rPr>
      <w:lang w:val="en-US" w:eastAsia="en-US"/>
    </w:rPr>
  </w:style>
  <w:style w:type="paragraph" w:styleId="CommentSubject">
    <w:name w:val="annotation subject"/>
    <w:basedOn w:val="CommentText"/>
    <w:next w:val="CommentText"/>
    <w:link w:val="CommentSubjectChar"/>
    <w:uiPriority w:val="99"/>
    <w:semiHidden/>
    <w:unhideWhenUsed/>
    <w:rsid w:val="002F0695"/>
    <w:rPr>
      <w:b/>
      <w:bCs/>
    </w:rPr>
  </w:style>
  <w:style w:type="character" w:customStyle="1" w:styleId="CommentSubjectChar">
    <w:name w:val="Comment Subject Char"/>
    <w:basedOn w:val="CommentTextChar"/>
    <w:link w:val="CommentSubject"/>
    <w:uiPriority w:val="99"/>
    <w:semiHidden/>
    <w:rsid w:val="002F0695"/>
    <w:rPr>
      <w:b/>
      <w:bCs/>
      <w:lang w:val="en-US" w:eastAsia="en-US"/>
    </w:rPr>
  </w:style>
  <w:style w:type="table" w:styleId="TableGrid">
    <w:name w:val="Table Grid"/>
    <w:basedOn w:val="TableNormal"/>
    <w:uiPriority w:val="59"/>
    <w:unhideWhenUsed/>
    <w:rsid w:val="00781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
    <w:name w:val="Footnotes"/>
    <w:basedOn w:val="FootnoteText"/>
    <w:qFormat/>
    <w:rsid w:val="00B530B2"/>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pPr>
    <w:rPr>
      <w:rFonts w:cs="Times New Roman"/>
      <w:color w:val="auto"/>
      <w:sz w:val="18"/>
      <w:szCs w:val="18"/>
      <w:bdr w:val="none" w:sz="0" w:space="0" w:color="auto"/>
      <w:lang w:eastAsia="en-US"/>
    </w:rPr>
  </w:style>
  <w:style w:type="character" w:customStyle="1" w:styleId="UnresolvedMention1">
    <w:name w:val="Unresolved Mention1"/>
    <w:basedOn w:val="DefaultParagraphFont"/>
    <w:uiPriority w:val="99"/>
    <w:semiHidden/>
    <w:unhideWhenUsed/>
    <w:rsid w:val="003311CC"/>
    <w:rPr>
      <w:color w:val="605E5C"/>
      <w:shd w:val="clear" w:color="auto" w:fill="E1DFDD"/>
    </w:rPr>
  </w:style>
  <w:style w:type="paragraph" w:styleId="Revision">
    <w:name w:val="Revision"/>
    <w:hidden/>
    <w:uiPriority w:val="99"/>
    <w:semiHidden/>
    <w:rsid w:val="00B876F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NormalWeb">
    <w:name w:val="Normal (Web)"/>
    <w:basedOn w:val="Normal"/>
    <w:uiPriority w:val="99"/>
    <w:unhideWhenUsed/>
    <w:rsid w:val="00634DE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SingleTxtG">
    <w:name w:val="_ Single Txt_G"/>
    <w:basedOn w:val="Normal"/>
    <w:qFormat/>
    <w:rsid w:val="00FD47E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tLeast"/>
      <w:ind w:left="1134" w:right="1134"/>
      <w:jc w:val="both"/>
    </w:pPr>
    <w:rPr>
      <w:rFonts w:eastAsia="Times New Roman"/>
      <w:sz w:val="20"/>
      <w:szCs w:val="20"/>
      <w:bdr w:val="none" w:sz="0" w:space="0" w:color="auto"/>
      <w:lang w:val="en-GB"/>
    </w:rPr>
  </w:style>
  <w:style w:type="character" w:styleId="UnresolvedMention">
    <w:name w:val="Unresolved Mention"/>
    <w:basedOn w:val="DefaultParagraphFont"/>
    <w:uiPriority w:val="99"/>
    <w:semiHidden/>
    <w:unhideWhenUsed/>
    <w:rsid w:val="002054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676">
      <w:bodyDiv w:val="1"/>
      <w:marLeft w:val="0"/>
      <w:marRight w:val="0"/>
      <w:marTop w:val="0"/>
      <w:marBottom w:val="0"/>
      <w:divBdr>
        <w:top w:val="none" w:sz="0" w:space="0" w:color="auto"/>
        <w:left w:val="none" w:sz="0" w:space="0" w:color="auto"/>
        <w:bottom w:val="none" w:sz="0" w:space="0" w:color="auto"/>
        <w:right w:val="none" w:sz="0" w:space="0" w:color="auto"/>
      </w:divBdr>
    </w:div>
    <w:div w:id="14961413">
      <w:bodyDiv w:val="1"/>
      <w:marLeft w:val="0"/>
      <w:marRight w:val="0"/>
      <w:marTop w:val="0"/>
      <w:marBottom w:val="0"/>
      <w:divBdr>
        <w:top w:val="none" w:sz="0" w:space="0" w:color="auto"/>
        <w:left w:val="none" w:sz="0" w:space="0" w:color="auto"/>
        <w:bottom w:val="none" w:sz="0" w:space="0" w:color="auto"/>
        <w:right w:val="none" w:sz="0" w:space="0" w:color="auto"/>
      </w:divBdr>
      <w:divsChild>
        <w:div w:id="650598926">
          <w:marLeft w:val="0"/>
          <w:marRight w:val="0"/>
          <w:marTop w:val="0"/>
          <w:marBottom w:val="0"/>
          <w:divBdr>
            <w:top w:val="none" w:sz="0" w:space="0" w:color="auto"/>
            <w:left w:val="none" w:sz="0" w:space="0" w:color="auto"/>
            <w:bottom w:val="none" w:sz="0" w:space="0" w:color="auto"/>
            <w:right w:val="none" w:sz="0" w:space="0" w:color="auto"/>
          </w:divBdr>
          <w:divsChild>
            <w:div w:id="1493331576">
              <w:marLeft w:val="0"/>
              <w:marRight w:val="0"/>
              <w:marTop w:val="0"/>
              <w:marBottom w:val="0"/>
              <w:divBdr>
                <w:top w:val="none" w:sz="0" w:space="0" w:color="auto"/>
                <w:left w:val="none" w:sz="0" w:space="0" w:color="auto"/>
                <w:bottom w:val="none" w:sz="0" w:space="0" w:color="auto"/>
                <w:right w:val="none" w:sz="0" w:space="0" w:color="auto"/>
              </w:divBdr>
              <w:divsChild>
                <w:div w:id="58453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9054">
      <w:bodyDiv w:val="1"/>
      <w:marLeft w:val="0"/>
      <w:marRight w:val="0"/>
      <w:marTop w:val="0"/>
      <w:marBottom w:val="0"/>
      <w:divBdr>
        <w:top w:val="none" w:sz="0" w:space="0" w:color="auto"/>
        <w:left w:val="none" w:sz="0" w:space="0" w:color="auto"/>
        <w:bottom w:val="none" w:sz="0" w:space="0" w:color="auto"/>
        <w:right w:val="none" w:sz="0" w:space="0" w:color="auto"/>
      </w:divBdr>
      <w:divsChild>
        <w:div w:id="2108040415">
          <w:marLeft w:val="0"/>
          <w:marRight w:val="0"/>
          <w:marTop w:val="0"/>
          <w:marBottom w:val="0"/>
          <w:divBdr>
            <w:top w:val="none" w:sz="0" w:space="0" w:color="auto"/>
            <w:left w:val="none" w:sz="0" w:space="0" w:color="auto"/>
            <w:bottom w:val="none" w:sz="0" w:space="0" w:color="auto"/>
            <w:right w:val="none" w:sz="0" w:space="0" w:color="auto"/>
          </w:divBdr>
          <w:divsChild>
            <w:div w:id="2046363218">
              <w:marLeft w:val="0"/>
              <w:marRight w:val="0"/>
              <w:marTop w:val="0"/>
              <w:marBottom w:val="0"/>
              <w:divBdr>
                <w:top w:val="none" w:sz="0" w:space="0" w:color="auto"/>
                <w:left w:val="none" w:sz="0" w:space="0" w:color="auto"/>
                <w:bottom w:val="none" w:sz="0" w:space="0" w:color="auto"/>
                <w:right w:val="none" w:sz="0" w:space="0" w:color="auto"/>
              </w:divBdr>
              <w:divsChild>
                <w:div w:id="106937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3209">
      <w:bodyDiv w:val="1"/>
      <w:marLeft w:val="0"/>
      <w:marRight w:val="0"/>
      <w:marTop w:val="0"/>
      <w:marBottom w:val="0"/>
      <w:divBdr>
        <w:top w:val="none" w:sz="0" w:space="0" w:color="auto"/>
        <w:left w:val="none" w:sz="0" w:space="0" w:color="auto"/>
        <w:bottom w:val="none" w:sz="0" w:space="0" w:color="auto"/>
        <w:right w:val="none" w:sz="0" w:space="0" w:color="auto"/>
      </w:divBdr>
      <w:divsChild>
        <w:div w:id="2129275377">
          <w:marLeft w:val="0"/>
          <w:marRight w:val="0"/>
          <w:marTop w:val="0"/>
          <w:marBottom w:val="0"/>
          <w:divBdr>
            <w:top w:val="none" w:sz="0" w:space="0" w:color="auto"/>
            <w:left w:val="none" w:sz="0" w:space="0" w:color="auto"/>
            <w:bottom w:val="none" w:sz="0" w:space="0" w:color="auto"/>
            <w:right w:val="none" w:sz="0" w:space="0" w:color="auto"/>
          </w:divBdr>
          <w:divsChild>
            <w:div w:id="432439255">
              <w:marLeft w:val="0"/>
              <w:marRight w:val="0"/>
              <w:marTop w:val="0"/>
              <w:marBottom w:val="0"/>
              <w:divBdr>
                <w:top w:val="none" w:sz="0" w:space="0" w:color="auto"/>
                <w:left w:val="none" w:sz="0" w:space="0" w:color="auto"/>
                <w:bottom w:val="none" w:sz="0" w:space="0" w:color="auto"/>
                <w:right w:val="none" w:sz="0" w:space="0" w:color="auto"/>
              </w:divBdr>
              <w:divsChild>
                <w:div w:id="96804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30220">
      <w:bodyDiv w:val="1"/>
      <w:marLeft w:val="0"/>
      <w:marRight w:val="0"/>
      <w:marTop w:val="0"/>
      <w:marBottom w:val="0"/>
      <w:divBdr>
        <w:top w:val="none" w:sz="0" w:space="0" w:color="auto"/>
        <w:left w:val="none" w:sz="0" w:space="0" w:color="auto"/>
        <w:bottom w:val="none" w:sz="0" w:space="0" w:color="auto"/>
        <w:right w:val="none" w:sz="0" w:space="0" w:color="auto"/>
      </w:divBdr>
    </w:div>
    <w:div w:id="136991243">
      <w:bodyDiv w:val="1"/>
      <w:marLeft w:val="0"/>
      <w:marRight w:val="0"/>
      <w:marTop w:val="0"/>
      <w:marBottom w:val="0"/>
      <w:divBdr>
        <w:top w:val="none" w:sz="0" w:space="0" w:color="auto"/>
        <w:left w:val="none" w:sz="0" w:space="0" w:color="auto"/>
        <w:bottom w:val="none" w:sz="0" w:space="0" w:color="auto"/>
        <w:right w:val="none" w:sz="0" w:space="0" w:color="auto"/>
      </w:divBdr>
      <w:divsChild>
        <w:div w:id="60754338">
          <w:marLeft w:val="0"/>
          <w:marRight w:val="0"/>
          <w:marTop w:val="0"/>
          <w:marBottom w:val="0"/>
          <w:divBdr>
            <w:top w:val="none" w:sz="0" w:space="0" w:color="auto"/>
            <w:left w:val="none" w:sz="0" w:space="0" w:color="auto"/>
            <w:bottom w:val="none" w:sz="0" w:space="0" w:color="auto"/>
            <w:right w:val="none" w:sz="0" w:space="0" w:color="auto"/>
          </w:divBdr>
          <w:divsChild>
            <w:div w:id="840581295">
              <w:marLeft w:val="0"/>
              <w:marRight w:val="0"/>
              <w:marTop w:val="0"/>
              <w:marBottom w:val="0"/>
              <w:divBdr>
                <w:top w:val="none" w:sz="0" w:space="0" w:color="auto"/>
                <w:left w:val="none" w:sz="0" w:space="0" w:color="auto"/>
                <w:bottom w:val="none" w:sz="0" w:space="0" w:color="auto"/>
                <w:right w:val="none" w:sz="0" w:space="0" w:color="auto"/>
              </w:divBdr>
              <w:divsChild>
                <w:div w:id="187723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9018">
      <w:bodyDiv w:val="1"/>
      <w:marLeft w:val="0"/>
      <w:marRight w:val="0"/>
      <w:marTop w:val="0"/>
      <w:marBottom w:val="0"/>
      <w:divBdr>
        <w:top w:val="none" w:sz="0" w:space="0" w:color="auto"/>
        <w:left w:val="none" w:sz="0" w:space="0" w:color="auto"/>
        <w:bottom w:val="none" w:sz="0" w:space="0" w:color="auto"/>
        <w:right w:val="none" w:sz="0" w:space="0" w:color="auto"/>
      </w:divBdr>
    </w:div>
    <w:div w:id="160196995">
      <w:bodyDiv w:val="1"/>
      <w:marLeft w:val="0"/>
      <w:marRight w:val="0"/>
      <w:marTop w:val="0"/>
      <w:marBottom w:val="0"/>
      <w:divBdr>
        <w:top w:val="none" w:sz="0" w:space="0" w:color="auto"/>
        <w:left w:val="none" w:sz="0" w:space="0" w:color="auto"/>
        <w:bottom w:val="none" w:sz="0" w:space="0" w:color="auto"/>
        <w:right w:val="none" w:sz="0" w:space="0" w:color="auto"/>
      </w:divBdr>
      <w:divsChild>
        <w:div w:id="229118580">
          <w:marLeft w:val="0"/>
          <w:marRight w:val="0"/>
          <w:marTop w:val="0"/>
          <w:marBottom w:val="0"/>
          <w:divBdr>
            <w:top w:val="none" w:sz="0" w:space="0" w:color="auto"/>
            <w:left w:val="none" w:sz="0" w:space="0" w:color="auto"/>
            <w:bottom w:val="none" w:sz="0" w:space="0" w:color="auto"/>
            <w:right w:val="none" w:sz="0" w:space="0" w:color="auto"/>
          </w:divBdr>
          <w:divsChild>
            <w:div w:id="2038967236">
              <w:marLeft w:val="0"/>
              <w:marRight w:val="0"/>
              <w:marTop w:val="0"/>
              <w:marBottom w:val="0"/>
              <w:divBdr>
                <w:top w:val="none" w:sz="0" w:space="0" w:color="auto"/>
                <w:left w:val="none" w:sz="0" w:space="0" w:color="auto"/>
                <w:bottom w:val="none" w:sz="0" w:space="0" w:color="auto"/>
                <w:right w:val="none" w:sz="0" w:space="0" w:color="auto"/>
              </w:divBdr>
              <w:divsChild>
                <w:div w:id="4891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6210">
      <w:bodyDiv w:val="1"/>
      <w:marLeft w:val="0"/>
      <w:marRight w:val="0"/>
      <w:marTop w:val="0"/>
      <w:marBottom w:val="0"/>
      <w:divBdr>
        <w:top w:val="none" w:sz="0" w:space="0" w:color="auto"/>
        <w:left w:val="none" w:sz="0" w:space="0" w:color="auto"/>
        <w:bottom w:val="none" w:sz="0" w:space="0" w:color="auto"/>
        <w:right w:val="none" w:sz="0" w:space="0" w:color="auto"/>
      </w:divBdr>
      <w:divsChild>
        <w:div w:id="1731995297">
          <w:marLeft w:val="0"/>
          <w:marRight w:val="0"/>
          <w:marTop w:val="0"/>
          <w:marBottom w:val="0"/>
          <w:divBdr>
            <w:top w:val="none" w:sz="0" w:space="0" w:color="auto"/>
            <w:left w:val="none" w:sz="0" w:space="0" w:color="auto"/>
            <w:bottom w:val="none" w:sz="0" w:space="0" w:color="auto"/>
            <w:right w:val="none" w:sz="0" w:space="0" w:color="auto"/>
          </w:divBdr>
          <w:divsChild>
            <w:div w:id="1128355101">
              <w:marLeft w:val="0"/>
              <w:marRight w:val="0"/>
              <w:marTop w:val="0"/>
              <w:marBottom w:val="0"/>
              <w:divBdr>
                <w:top w:val="none" w:sz="0" w:space="0" w:color="auto"/>
                <w:left w:val="none" w:sz="0" w:space="0" w:color="auto"/>
                <w:bottom w:val="none" w:sz="0" w:space="0" w:color="auto"/>
                <w:right w:val="none" w:sz="0" w:space="0" w:color="auto"/>
              </w:divBdr>
              <w:divsChild>
                <w:div w:id="4543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3427">
      <w:bodyDiv w:val="1"/>
      <w:marLeft w:val="0"/>
      <w:marRight w:val="0"/>
      <w:marTop w:val="0"/>
      <w:marBottom w:val="0"/>
      <w:divBdr>
        <w:top w:val="none" w:sz="0" w:space="0" w:color="auto"/>
        <w:left w:val="none" w:sz="0" w:space="0" w:color="auto"/>
        <w:bottom w:val="none" w:sz="0" w:space="0" w:color="auto"/>
        <w:right w:val="none" w:sz="0" w:space="0" w:color="auto"/>
      </w:divBdr>
    </w:div>
    <w:div w:id="202375640">
      <w:bodyDiv w:val="1"/>
      <w:marLeft w:val="0"/>
      <w:marRight w:val="0"/>
      <w:marTop w:val="0"/>
      <w:marBottom w:val="0"/>
      <w:divBdr>
        <w:top w:val="none" w:sz="0" w:space="0" w:color="auto"/>
        <w:left w:val="none" w:sz="0" w:space="0" w:color="auto"/>
        <w:bottom w:val="none" w:sz="0" w:space="0" w:color="auto"/>
        <w:right w:val="none" w:sz="0" w:space="0" w:color="auto"/>
      </w:divBdr>
    </w:div>
    <w:div w:id="240800161">
      <w:bodyDiv w:val="1"/>
      <w:marLeft w:val="0"/>
      <w:marRight w:val="0"/>
      <w:marTop w:val="0"/>
      <w:marBottom w:val="0"/>
      <w:divBdr>
        <w:top w:val="none" w:sz="0" w:space="0" w:color="auto"/>
        <w:left w:val="none" w:sz="0" w:space="0" w:color="auto"/>
        <w:bottom w:val="none" w:sz="0" w:space="0" w:color="auto"/>
        <w:right w:val="none" w:sz="0" w:space="0" w:color="auto"/>
      </w:divBdr>
    </w:div>
    <w:div w:id="263197171">
      <w:bodyDiv w:val="1"/>
      <w:marLeft w:val="0"/>
      <w:marRight w:val="0"/>
      <w:marTop w:val="0"/>
      <w:marBottom w:val="0"/>
      <w:divBdr>
        <w:top w:val="none" w:sz="0" w:space="0" w:color="auto"/>
        <w:left w:val="none" w:sz="0" w:space="0" w:color="auto"/>
        <w:bottom w:val="none" w:sz="0" w:space="0" w:color="auto"/>
        <w:right w:val="none" w:sz="0" w:space="0" w:color="auto"/>
      </w:divBdr>
      <w:divsChild>
        <w:div w:id="1603218679">
          <w:marLeft w:val="0"/>
          <w:marRight w:val="0"/>
          <w:marTop w:val="0"/>
          <w:marBottom w:val="0"/>
          <w:divBdr>
            <w:top w:val="none" w:sz="0" w:space="0" w:color="auto"/>
            <w:left w:val="none" w:sz="0" w:space="0" w:color="auto"/>
            <w:bottom w:val="none" w:sz="0" w:space="0" w:color="auto"/>
            <w:right w:val="none" w:sz="0" w:space="0" w:color="auto"/>
          </w:divBdr>
          <w:divsChild>
            <w:div w:id="1361542592">
              <w:marLeft w:val="0"/>
              <w:marRight w:val="0"/>
              <w:marTop w:val="0"/>
              <w:marBottom w:val="0"/>
              <w:divBdr>
                <w:top w:val="none" w:sz="0" w:space="0" w:color="auto"/>
                <w:left w:val="none" w:sz="0" w:space="0" w:color="auto"/>
                <w:bottom w:val="none" w:sz="0" w:space="0" w:color="auto"/>
                <w:right w:val="none" w:sz="0" w:space="0" w:color="auto"/>
              </w:divBdr>
              <w:divsChild>
                <w:div w:id="58210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736830">
      <w:bodyDiv w:val="1"/>
      <w:marLeft w:val="0"/>
      <w:marRight w:val="0"/>
      <w:marTop w:val="0"/>
      <w:marBottom w:val="0"/>
      <w:divBdr>
        <w:top w:val="none" w:sz="0" w:space="0" w:color="auto"/>
        <w:left w:val="none" w:sz="0" w:space="0" w:color="auto"/>
        <w:bottom w:val="none" w:sz="0" w:space="0" w:color="auto"/>
        <w:right w:val="none" w:sz="0" w:space="0" w:color="auto"/>
      </w:divBdr>
      <w:divsChild>
        <w:div w:id="636760945">
          <w:marLeft w:val="0"/>
          <w:marRight w:val="0"/>
          <w:marTop w:val="0"/>
          <w:marBottom w:val="0"/>
          <w:divBdr>
            <w:top w:val="none" w:sz="0" w:space="0" w:color="auto"/>
            <w:left w:val="none" w:sz="0" w:space="0" w:color="auto"/>
            <w:bottom w:val="none" w:sz="0" w:space="0" w:color="auto"/>
            <w:right w:val="none" w:sz="0" w:space="0" w:color="auto"/>
          </w:divBdr>
          <w:divsChild>
            <w:div w:id="1448156907">
              <w:marLeft w:val="0"/>
              <w:marRight w:val="0"/>
              <w:marTop w:val="0"/>
              <w:marBottom w:val="0"/>
              <w:divBdr>
                <w:top w:val="none" w:sz="0" w:space="0" w:color="auto"/>
                <w:left w:val="none" w:sz="0" w:space="0" w:color="auto"/>
                <w:bottom w:val="none" w:sz="0" w:space="0" w:color="auto"/>
                <w:right w:val="none" w:sz="0" w:space="0" w:color="auto"/>
              </w:divBdr>
              <w:divsChild>
                <w:div w:id="12859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859276">
      <w:bodyDiv w:val="1"/>
      <w:marLeft w:val="0"/>
      <w:marRight w:val="0"/>
      <w:marTop w:val="0"/>
      <w:marBottom w:val="0"/>
      <w:divBdr>
        <w:top w:val="none" w:sz="0" w:space="0" w:color="auto"/>
        <w:left w:val="none" w:sz="0" w:space="0" w:color="auto"/>
        <w:bottom w:val="none" w:sz="0" w:space="0" w:color="auto"/>
        <w:right w:val="none" w:sz="0" w:space="0" w:color="auto"/>
      </w:divBdr>
    </w:div>
    <w:div w:id="443573294">
      <w:bodyDiv w:val="1"/>
      <w:marLeft w:val="0"/>
      <w:marRight w:val="0"/>
      <w:marTop w:val="0"/>
      <w:marBottom w:val="0"/>
      <w:divBdr>
        <w:top w:val="none" w:sz="0" w:space="0" w:color="auto"/>
        <w:left w:val="none" w:sz="0" w:space="0" w:color="auto"/>
        <w:bottom w:val="none" w:sz="0" w:space="0" w:color="auto"/>
        <w:right w:val="none" w:sz="0" w:space="0" w:color="auto"/>
      </w:divBdr>
    </w:div>
    <w:div w:id="453670111">
      <w:bodyDiv w:val="1"/>
      <w:marLeft w:val="0"/>
      <w:marRight w:val="0"/>
      <w:marTop w:val="0"/>
      <w:marBottom w:val="0"/>
      <w:divBdr>
        <w:top w:val="none" w:sz="0" w:space="0" w:color="auto"/>
        <w:left w:val="none" w:sz="0" w:space="0" w:color="auto"/>
        <w:bottom w:val="none" w:sz="0" w:space="0" w:color="auto"/>
        <w:right w:val="none" w:sz="0" w:space="0" w:color="auto"/>
      </w:divBdr>
      <w:divsChild>
        <w:div w:id="216673284">
          <w:marLeft w:val="0"/>
          <w:marRight w:val="0"/>
          <w:marTop w:val="0"/>
          <w:marBottom w:val="0"/>
          <w:divBdr>
            <w:top w:val="none" w:sz="0" w:space="0" w:color="auto"/>
            <w:left w:val="none" w:sz="0" w:space="0" w:color="auto"/>
            <w:bottom w:val="none" w:sz="0" w:space="0" w:color="auto"/>
            <w:right w:val="none" w:sz="0" w:space="0" w:color="auto"/>
          </w:divBdr>
          <w:divsChild>
            <w:div w:id="1187987044">
              <w:marLeft w:val="0"/>
              <w:marRight w:val="0"/>
              <w:marTop w:val="0"/>
              <w:marBottom w:val="0"/>
              <w:divBdr>
                <w:top w:val="none" w:sz="0" w:space="0" w:color="auto"/>
                <w:left w:val="none" w:sz="0" w:space="0" w:color="auto"/>
                <w:bottom w:val="none" w:sz="0" w:space="0" w:color="auto"/>
                <w:right w:val="none" w:sz="0" w:space="0" w:color="auto"/>
              </w:divBdr>
              <w:divsChild>
                <w:div w:id="965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49882">
      <w:bodyDiv w:val="1"/>
      <w:marLeft w:val="0"/>
      <w:marRight w:val="0"/>
      <w:marTop w:val="0"/>
      <w:marBottom w:val="0"/>
      <w:divBdr>
        <w:top w:val="none" w:sz="0" w:space="0" w:color="auto"/>
        <w:left w:val="none" w:sz="0" w:space="0" w:color="auto"/>
        <w:bottom w:val="none" w:sz="0" w:space="0" w:color="auto"/>
        <w:right w:val="none" w:sz="0" w:space="0" w:color="auto"/>
      </w:divBdr>
      <w:divsChild>
        <w:div w:id="448427187">
          <w:marLeft w:val="0"/>
          <w:marRight w:val="0"/>
          <w:marTop w:val="0"/>
          <w:marBottom w:val="0"/>
          <w:divBdr>
            <w:top w:val="none" w:sz="0" w:space="0" w:color="auto"/>
            <w:left w:val="none" w:sz="0" w:space="0" w:color="auto"/>
            <w:bottom w:val="none" w:sz="0" w:space="0" w:color="auto"/>
            <w:right w:val="none" w:sz="0" w:space="0" w:color="auto"/>
          </w:divBdr>
          <w:divsChild>
            <w:div w:id="1241522129">
              <w:marLeft w:val="0"/>
              <w:marRight w:val="0"/>
              <w:marTop w:val="0"/>
              <w:marBottom w:val="0"/>
              <w:divBdr>
                <w:top w:val="none" w:sz="0" w:space="0" w:color="auto"/>
                <w:left w:val="none" w:sz="0" w:space="0" w:color="auto"/>
                <w:bottom w:val="none" w:sz="0" w:space="0" w:color="auto"/>
                <w:right w:val="none" w:sz="0" w:space="0" w:color="auto"/>
              </w:divBdr>
              <w:divsChild>
                <w:div w:id="16603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253142">
      <w:bodyDiv w:val="1"/>
      <w:marLeft w:val="0"/>
      <w:marRight w:val="0"/>
      <w:marTop w:val="0"/>
      <w:marBottom w:val="0"/>
      <w:divBdr>
        <w:top w:val="none" w:sz="0" w:space="0" w:color="auto"/>
        <w:left w:val="none" w:sz="0" w:space="0" w:color="auto"/>
        <w:bottom w:val="none" w:sz="0" w:space="0" w:color="auto"/>
        <w:right w:val="none" w:sz="0" w:space="0" w:color="auto"/>
      </w:divBdr>
      <w:divsChild>
        <w:div w:id="728964799">
          <w:marLeft w:val="0"/>
          <w:marRight w:val="0"/>
          <w:marTop w:val="0"/>
          <w:marBottom w:val="0"/>
          <w:divBdr>
            <w:top w:val="none" w:sz="0" w:space="0" w:color="auto"/>
            <w:left w:val="none" w:sz="0" w:space="0" w:color="auto"/>
            <w:bottom w:val="none" w:sz="0" w:space="0" w:color="auto"/>
            <w:right w:val="none" w:sz="0" w:space="0" w:color="auto"/>
          </w:divBdr>
          <w:divsChild>
            <w:div w:id="1348362154">
              <w:marLeft w:val="0"/>
              <w:marRight w:val="0"/>
              <w:marTop w:val="0"/>
              <w:marBottom w:val="0"/>
              <w:divBdr>
                <w:top w:val="none" w:sz="0" w:space="0" w:color="auto"/>
                <w:left w:val="none" w:sz="0" w:space="0" w:color="auto"/>
                <w:bottom w:val="none" w:sz="0" w:space="0" w:color="auto"/>
                <w:right w:val="none" w:sz="0" w:space="0" w:color="auto"/>
              </w:divBdr>
              <w:divsChild>
                <w:div w:id="207658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689258">
      <w:bodyDiv w:val="1"/>
      <w:marLeft w:val="0"/>
      <w:marRight w:val="0"/>
      <w:marTop w:val="0"/>
      <w:marBottom w:val="0"/>
      <w:divBdr>
        <w:top w:val="none" w:sz="0" w:space="0" w:color="auto"/>
        <w:left w:val="none" w:sz="0" w:space="0" w:color="auto"/>
        <w:bottom w:val="none" w:sz="0" w:space="0" w:color="auto"/>
        <w:right w:val="none" w:sz="0" w:space="0" w:color="auto"/>
      </w:divBdr>
    </w:div>
    <w:div w:id="542639683">
      <w:bodyDiv w:val="1"/>
      <w:marLeft w:val="0"/>
      <w:marRight w:val="0"/>
      <w:marTop w:val="0"/>
      <w:marBottom w:val="0"/>
      <w:divBdr>
        <w:top w:val="none" w:sz="0" w:space="0" w:color="auto"/>
        <w:left w:val="none" w:sz="0" w:space="0" w:color="auto"/>
        <w:bottom w:val="none" w:sz="0" w:space="0" w:color="auto"/>
        <w:right w:val="none" w:sz="0" w:space="0" w:color="auto"/>
      </w:divBdr>
    </w:div>
    <w:div w:id="554780635">
      <w:bodyDiv w:val="1"/>
      <w:marLeft w:val="0"/>
      <w:marRight w:val="0"/>
      <w:marTop w:val="0"/>
      <w:marBottom w:val="0"/>
      <w:divBdr>
        <w:top w:val="none" w:sz="0" w:space="0" w:color="auto"/>
        <w:left w:val="none" w:sz="0" w:space="0" w:color="auto"/>
        <w:bottom w:val="none" w:sz="0" w:space="0" w:color="auto"/>
        <w:right w:val="none" w:sz="0" w:space="0" w:color="auto"/>
      </w:divBdr>
    </w:div>
    <w:div w:id="575283607">
      <w:bodyDiv w:val="1"/>
      <w:marLeft w:val="0"/>
      <w:marRight w:val="0"/>
      <w:marTop w:val="0"/>
      <w:marBottom w:val="0"/>
      <w:divBdr>
        <w:top w:val="none" w:sz="0" w:space="0" w:color="auto"/>
        <w:left w:val="none" w:sz="0" w:space="0" w:color="auto"/>
        <w:bottom w:val="none" w:sz="0" w:space="0" w:color="auto"/>
        <w:right w:val="none" w:sz="0" w:space="0" w:color="auto"/>
      </w:divBdr>
      <w:divsChild>
        <w:div w:id="1020820406">
          <w:marLeft w:val="0"/>
          <w:marRight w:val="0"/>
          <w:marTop w:val="0"/>
          <w:marBottom w:val="0"/>
          <w:divBdr>
            <w:top w:val="none" w:sz="0" w:space="0" w:color="auto"/>
            <w:left w:val="none" w:sz="0" w:space="0" w:color="auto"/>
            <w:bottom w:val="none" w:sz="0" w:space="0" w:color="auto"/>
            <w:right w:val="none" w:sz="0" w:space="0" w:color="auto"/>
          </w:divBdr>
          <w:divsChild>
            <w:div w:id="1422331967">
              <w:marLeft w:val="0"/>
              <w:marRight w:val="0"/>
              <w:marTop w:val="0"/>
              <w:marBottom w:val="0"/>
              <w:divBdr>
                <w:top w:val="none" w:sz="0" w:space="0" w:color="auto"/>
                <w:left w:val="none" w:sz="0" w:space="0" w:color="auto"/>
                <w:bottom w:val="none" w:sz="0" w:space="0" w:color="auto"/>
                <w:right w:val="none" w:sz="0" w:space="0" w:color="auto"/>
              </w:divBdr>
              <w:divsChild>
                <w:div w:id="58746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51096">
      <w:bodyDiv w:val="1"/>
      <w:marLeft w:val="0"/>
      <w:marRight w:val="0"/>
      <w:marTop w:val="0"/>
      <w:marBottom w:val="0"/>
      <w:divBdr>
        <w:top w:val="none" w:sz="0" w:space="0" w:color="auto"/>
        <w:left w:val="none" w:sz="0" w:space="0" w:color="auto"/>
        <w:bottom w:val="none" w:sz="0" w:space="0" w:color="auto"/>
        <w:right w:val="none" w:sz="0" w:space="0" w:color="auto"/>
      </w:divBdr>
    </w:div>
    <w:div w:id="621957066">
      <w:bodyDiv w:val="1"/>
      <w:marLeft w:val="0"/>
      <w:marRight w:val="0"/>
      <w:marTop w:val="0"/>
      <w:marBottom w:val="0"/>
      <w:divBdr>
        <w:top w:val="none" w:sz="0" w:space="0" w:color="auto"/>
        <w:left w:val="none" w:sz="0" w:space="0" w:color="auto"/>
        <w:bottom w:val="none" w:sz="0" w:space="0" w:color="auto"/>
        <w:right w:val="none" w:sz="0" w:space="0" w:color="auto"/>
      </w:divBdr>
    </w:div>
    <w:div w:id="632907164">
      <w:bodyDiv w:val="1"/>
      <w:marLeft w:val="0"/>
      <w:marRight w:val="0"/>
      <w:marTop w:val="0"/>
      <w:marBottom w:val="0"/>
      <w:divBdr>
        <w:top w:val="none" w:sz="0" w:space="0" w:color="auto"/>
        <w:left w:val="none" w:sz="0" w:space="0" w:color="auto"/>
        <w:bottom w:val="none" w:sz="0" w:space="0" w:color="auto"/>
        <w:right w:val="none" w:sz="0" w:space="0" w:color="auto"/>
      </w:divBdr>
    </w:div>
    <w:div w:id="636183058">
      <w:bodyDiv w:val="1"/>
      <w:marLeft w:val="0"/>
      <w:marRight w:val="0"/>
      <w:marTop w:val="0"/>
      <w:marBottom w:val="0"/>
      <w:divBdr>
        <w:top w:val="none" w:sz="0" w:space="0" w:color="auto"/>
        <w:left w:val="none" w:sz="0" w:space="0" w:color="auto"/>
        <w:bottom w:val="none" w:sz="0" w:space="0" w:color="auto"/>
        <w:right w:val="none" w:sz="0" w:space="0" w:color="auto"/>
      </w:divBdr>
      <w:divsChild>
        <w:div w:id="23799034">
          <w:marLeft w:val="0"/>
          <w:marRight w:val="0"/>
          <w:marTop w:val="0"/>
          <w:marBottom w:val="0"/>
          <w:divBdr>
            <w:top w:val="none" w:sz="0" w:space="0" w:color="auto"/>
            <w:left w:val="none" w:sz="0" w:space="0" w:color="auto"/>
            <w:bottom w:val="none" w:sz="0" w:space="0" w:color="auto"/>
            <w:right w:val="none" w:sz="0" w:space="0" w:color="auto"/>
          </w:divBdr>
          <w:divsChild>
            <w:div w:id="1853835139">
              <w:marLeft w:val="0"/>
              <w:marRight w:val="0"/>
              <w:marTop w:val="0"/>
              <w:marBottom w:val="0"/>
              <w:divBdr>
                <w:top w:val="none" w:sz="0" w:space="0" w:color="auto"/>
                <w:left w:val="none" w:sz="0" w:space="0" w:color="auto"/>
                <w:bottom w:val="none" w:sz="0" w:space="0" w:color="auto"/>
                <w:right w:val="none" w:sz="0" w:space="0" w:color="auto"/>
              </w:divBdr>
              <w:divsChild>
                <w:div w:id="19101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033058">
      <w:bodyDiv w:val="1"/>
      <w:marLeft w:val="0"/>
      <w:marRight w:val="0"/>
      <w:marTop w:val="0"/>
      <w:marBottom w:val="0"/>
      <w:divBdr>
        <w:top w:val="none" w:sz="0" w:space="0" w:color="auto"/>
        <w:left w:val="none" w:sz="0" w:space="0" w:color="auto"/>
        <w:bottom w:val="none" w:sz="0" w:space="0" w:color="auto"/>
        <w:right w:val="none" w:sz="0" w:space="0" w:color="auto"/>
      </w:divBdr>
    </w:div>
    <w:div w:id="754983132">
      <w:bodyDiv w:val="1"/>
      <w:marLeft w:val="0"/>
      <w:marRight w:val="0"/>
      <w:marTop w:val="0"/>
      <w:marBottom w:val="0"/>
      <w:divBdr>
        <w:top w:val="none" w:sz="0" w:space="0" w:color="auto"/>
        <w:left w:val="none" w:sz="0" w:space="0" w:color="auto"/>
        <w:bottom w:val="none" w:sz="0" w:space="0" w:color="auto"/>
        <w:right w:val="none" w:sz="0" w:space="0" w:color="auto"/>
      </w:divBdr>
      <w:divsChild>
        <w:div w:id="1986200841">
          <w:marLeft w:val="0"/>
          <w:marRight w:val="0"/>
          <w:marTop w:val="0"/>
          <w:marBottom w:val="0"/>
          <w:divBdr>
            <w:top w:val="none" w:sz="0" w:space="0" w:color="auto"/>
            <w:left w:val="none" w:sz="0" w:space="0" w:color="auto"/>
            <w:bottom w:val="none" w:sz="0" w:space="0" w:color="auto"/>
            <w:right w:val="none" w:sz="0" w:space="0" w:color="auto"/>
          </w:divBdr>
          <w:divsChild>
            <w:div w:id="37166011">
              <w:marLeft w:val="0"/>
              <w:marRight w:val="0"/>
              <w:marTop w:val="0"/>
              <w:marBottom w:val="0"/>
              <w:divBdr>
                <w:top w:val="none" w:sz="0" w:space="0" w:color="auto"/>
                <w:left w:val="none" w:sz="0" w:space="0" w:color="auto"/>
                <w:bottom w:val="none" w:sz="0" w:space="0" w:color="auto"/>
                <w:right w:val="none" w:sz="0" w:space="0" w:color="auto"/>
              </w:divBdr>
              <w:divsChild>
                <w:div w:id="73177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51312">
      <w:bodyDiv w:val="1"/>
      <w:marLeft w:val="0"/>
      <w:marRight w:val="0"/>
      <w:marTop w:val="0"/>
      <w:marBottom w:val="0"/>
      <w:divBdr>
        <w:top w:val="none" w:sz="0" w:space="0" w:color="auto"/>
        <w:left w:val="none" w:sz="0" w:space="0" w:color="auto"/>
        <w:bottom w:val="none" w:sz="0" w:space="0" w:color="auto"/>
        <w:right w:val="none" w:sz="0" w:space="0" w:color="auto"/>
      </w:divBdr>
    </w:div>
    <w:div w:id="774137347">
      <w:bodyDiv w:val="1"/>
      <w:marLeft w:val="0"/>
      <w:marRight w:val="0"/>
      <w:marTop w:val="0"/>
      <w:marBottom w:val="0"/>
      <w:divBdr>
        <w:top w:val="none" w:sz="0" w:space="0" w:color="auto"/>
        <w:left w:val="none" w:sz="0" w:space="0" w:color="auto"/>
        <w:bottom w:val="none" w:sz="0" w:space="0" w:color="auto"/>
        <w:right w:val="none" w:sz="0" w:space="0" w:color="auto"/>
      </w:divBdr>
    </w:div>
    <w:div w:id="775904105">
      <w:bodyDiv w:val="1"/>
      <w:marLeft w:val="0"/>
      <w:marRight w:val="0"/>
      <w:marTop w:val="0"/>
      <w:marBottom w:val="0"/>
      <w:divBdr>
        <w:top w:val="none" w:sz="0" w:space="0" w:color="auto"/>
        <w:left w:val="none" w:sz="0" w:space="0" w:color="auto"/>
        <w:bottom w:val="none" w:sz="0" w:space="0" w:color="auto"/>
        <w:right w:val="none" w:sz="0" w:space="0" w:color="auto"/>
      </w:divBdr>
    </w:div>
    <w:div w:id="789592407">
      <w:bodyDiv w:val="1"/>
      <w:marLeft w:val="0"/>
      <w:marRight w:val="0"/>
      <w:marTop w:val="0"/>
      <w:marBottom w:val="0"/>
      <w:divBdr>
        <w:top w:val="none" w:sz="0" w:space="0" w:color="auto"/>
        <w:left w:val="none" w:sz="0" w:space="0" w:color="auto"/>
        <w:bottom w:val="none" w:sz="0" w:space="0" w:color="auto"/>
        <w:right w:val="none" w:sz="0" w:space="0" w:color="auto"/>
      </w:divBdr>
    </w:div>
    <w:div w:id="820730827">
      <w:bodyDiv w:val="1"/>
      <w:marLeft w:val="0"/>
      <w:marRight w:val="0"/>
      <w:marTop w:val="0"/>
      <w:marBottom w:val="0"/>
      <w:divBdr>
        <w:top w:val="none" w:sz="0" w:space="0" w:color="auto"/>
        <w:left w:val="none" w:sz="0" w:space="0" w:color="auto"/>
        <w:bottom w:val="none" w:sz="0" w:space="0" w:color="auto"/>
        <w:right w:val="none" w:sz="0" w:space="0" w:color="auto"/>
      </w:divBdr>
      <w:divsChild>
        <w:div w:id="1908491223">
          <w:marLeft w:val="0"/>
          <w:marRight w:val="0"/>
          <w:marTop w:val="0"/>
          <w:marBottom w:val="0"/>
          <w:divBdr>
            <w:top w:val="none" w:sz="0" w:space="0" w:color="auto"/>
            <w:left w:val="none" w:sz="0" w:space="0" w:color="auto"/>
            <w:bottom w:val="none" w:sz="0" w:space="0" w:color="auto"/>
            <w:right w:val="none" w:sz="0" w:space="0" w:color="auto"/>
          </w:divBdr>
          <w:divsChild>
            <w:div w:id="2027830172">
              <w:marLeft w:val="0"/>
              <w:marRight w:val="0"/>
              <w:marTop w:val="0"/>
              <w:marBottom w:val="0"/>
              <w:divBdr>
                <w:top w:val="none" w:sz="0" w:space="0" w:color="auto"/>
                <w:left w:val="none" w:sz="0" w:space="0" w:color="auto"/>
                <w:bottom w:val="none" w:sz="0" w:space="0" w:color="auto"/>
                <w:right w:val="none" w:sz="0" w:space="0" w:color="auto"/>
              </w:divBdr>
              <w:divsChild>
                <w:div w:id="35639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27837">
      <w:bodyDiv w:val="1"/>
      <w:marLeft w:val="0"/>
      <w:marRight w:val="0"/>
      <w:marTop w:val="0"/>
      <w:marBottom w:val="0"/>
      <w:divBdr>
        <w:top w:val="none" w:sz="0" w:space="0" w:color="auto"/>
        <w:left w:val="none" w:sz="0" w:space="0" w:color="auto"/>
        <w:bottom w:val="none" w:sz="0" w:space="0" w:color="auto"/>
        <w:right w:val="none" w:sz="0" w:space="0" w:color="auto"/>
      </w:divBdr>
    </w:div>
    <w:div w:id="834496872">
      <w:bodyDiv w:val="1"/>
      <w:marLeft w:val="0"/>
      <w:marRight w:val="0"/>
      <w:marTop w:val="0"/>
      <w:marBottom w:val="0"/>
      <w:divBdr>
        <w:top w:val="none" w:sz="0" w:space="0" w:color="auto"/>
        <w:left w:val="none" w:sz="0" w:space="0" w:color="auto"/>
        <w:bottom w:val="none" w:sz="0" w:space="0" w:color="auto"/>
        <w:right w:val="none" w:sz="0" w:space="0" w:color="auto"/>
      </w:divBdr>
    </w:div>
    <w:div w:id="840507421">
      <w:bodyDiv w:val="1"/>
      <w:marLeft w:val="0"/>
      <w:marRight w:val="0"/>
      <w:marTop w:val="0"/>
      <w:marBottom w:val="0"/>
      <w:divBdr>
        <w:top w:val="none" w:sz="0" w:space="0" w:color="auto"/>
        <w:left w:val="none" w:sz="0" w:space="0" w:color="auto"/>
        <w:bottom w:val="none" w:sz="0" w:space="0" w:color="auto"/>
        <w:right w:val="none" w:sz="0" w:space="0" w:color="auto"/>
      </w:divBdr>
    </w:div>
    <w:div w:id="891038993">
      <w:bodyDiv w:val="1"/>
      <w:marLeft w:val="0"/>
      <w:marRight w:val="0"/>
      <w:marTop w:val="0"/>
      <w:marBottom w:val="0"/>
      <w:divBdr>
        <w:top w:val="none" w:sz="0" w:space="0" w:color="auto"/>
        <w:left w:val="none" w:sz="0" w:space="0" w:color="auto"/>
        <w:bottom w:val="none" w:sz="0" w:space="0" w:color="auto"/>
        <w:right w:val="none" w:sz="0" w:space="0" w:color="auto"/>
      </w:divBdr>
      <w:divsChild>
        <w:div w:id="1065956070">
          <w:marLeft w:val="0"/>
          <w:marRight w:val="0"/>
          <w:marTop w:val="0"/>
          <w:marBottom w:val="0"/>
          <w:divBdr>
            <w:top w:val="none" w:sz="0" w:space="0" w:color="auto"/>
            <w:left w:val="none" w:sz="0" w:space="0" w:color="auto"/>
            <w:bottom w:val="none" w:sz="0" w:space="0" w:color="auto"/>
            <w:right w:val="none" w:sz="0" w:space="0" w:color="auto"/>
          </w:divBdr>
          <w:divsChild>
            <w:div w:id="506135267">
              <w:marLeft w:val="0"/>
              <w:marRight w:val="0"/>
              <w:marTop w:val="0"/>
              <w:marBottom w:val="0"/>
              <w:divBdr>
                <w:top w:val="none" w:sz="0" w:space="0" w:color="auto"/>
                <w:left w:val="none" w:sz="0" w:space="0" w:color="auto"/>
                <w:bottom w:val="none" w:sz="0" w:space="0" w:color="auto"/>
                <w:right w:val="none" w:sz="0" w:space="0" w:color="auto"/>
              </w:divBdr>
              <w:divsChild>
                <w:div w:id="86667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529884">
      <w:bodyDiv w:val="1"/>
      <w:marLeft w:val="0"/>
      <w:marRight w:val="0"/>
      <w:marTop w:val="0"/>
      <w:marBottom w:val="0"/>
      <w:divBdr>
        <w:top w:val="none" w:sz="0" w:space="0" w:color="auto"/>
        <w:left w:val="none" w:sz="0" w:space="0" w:color="auto"/>
        <w:bottom w:val="none" w:sz="0" w:space="0" w:color="auto"/>
        <w:right w:val="none" w:sz="0" w:space="0" w:color="auto"/>
      </w:divBdr>
    </w:div>
    <w:div w:id="991250662">
      <w:bodyDiv w:val="1"/>
      <w:marLeft w:val="0"/>
      <w:marRight w:val="0"/>
      <w:marTop w:val="0"/>
      <w:marBottom w:val="0"/>
      <w:divBdr>
        <w:top w:val="none" w:sz="0" w:space="0" w:color="auto"/>
        <w:left w:val="none" w:sz="0" w:space="0" w:color="auto"/>
        <w:bottom w:val="none" w:sz="0" w:space="0" w:color="auto"/>
        <w:right w:val="none" w:sz="0" w:space="0" w:color="auto"/>
      </w:divBdr>
    </w:div>
    <w:div w:id="1014842355">
      <w:bodyDiv w:val="1"/>
      <w:marLeft w:val="0"/>
      <w:marRight w:val="0"/>
      <w:marTop w:val="0"/>
      <w:marBottom w:val="0"/>
      <w:divBdr>
        <w:top w:val="none" w:sz="0" w:space="0" w:color="auto"/>
        <w:left w:val="none" w:sz="0" w:space="0" w:color="auto"/>
        <w:bottom w:val="none" w:sz="0" w:space="0" w:color="auto"/>
        <w:right w:val="none" w:sz="0" w:space="0" w:color="auto"/>
      </w:divBdr>
    </w:div>
    <w:div w:id="1024868498">
      <w:bodyDiv w:val="1"/>
      <w:marLeft w:val="0"/>
      <w:marRight w:val="0"/>
      <w:marTop w:val="0"/>
      <w:marBottom w:val="0"/>
      <w:divBdr>
        <w:top w:val="none" w:sz="0" w:space="0" w:color="auto"/>
        <w:left w:val="none" w:sz="0" w:space="0" w:color="auto"/>
        <w:bottom w:val="none" w:sz="0" w:space="0" w:color="auto"/>
        <w:right w:val="none" w:sz="0" w:space="0" w:color="auto"/>
      </w:divBdr>
      <w:divsChild>
        <w:div w:id="875849026">
          <w:marLeft w:val="0"/>
          <w:marRight w:val="0"/>
          <w:marTop w:val="0"/>
          <w:marBottom w:val="0"/>
          <w:divBdr>
            <w:top w:val="none" w:sz="0" w:space="0" w:color="auto"/>
            <w:left w:val="none" w:sz="0" w:space="0" w:color="auto"/>
            <w:bottom w:val="none" w:sz="0" w:space="0" w:color="auto"/>
            <w:right w:val="none" w:sz="0" w:space="0" w:color="auto"/>
          </w:divBdr>
          <w:divsChild>
            <w:div w:id="1085690577">
              <w:marLeft w:val="0"/>
              <w:marRight w:val="0"/>
              <w:marTop w:val="0"/>
              <w:marBottom w:val="0"/>
              <w:divBdr>
                <w:top w:val="none" w:sz="0" w:space="0" w:color="auto"/>
                <w:left w:val="none" w:sz="0" w:space="0" w:color="auto"/>
                <w:bottom w:val="none" w:sz="0" w:space="0" w:color="auto"/>
                <w:right w:val="none" w:sz="0" w:space="0" w:color="auto"/>
              </w:divBdr>
              <w:divsChild>
                <w:div w:id="159004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7180">
      <w:bodyDiv w:val="1"/>
      <w:marLeft w:val="0"/>
      <w:marRight w:val="0"/>
      <w:marTop w:val="0"/>
      <w:marBottom w:val="0"/>
      <w:divBdr>
        <w:top w:val="none" w:sz="0" w:space="0" w:color="auto"/>
        <w:left w:val="none" w:sz="0" w:space="0" w:color="auto"/>
        <w:bottom w:val="none" w:sz="0" w:space="0" w:color="auto"/>
        <w:right w:val="none" w:sz="0" w:space="0" w:color="auto"/>
      </w:divBdr>
      <w:divsChild>
        <w:div w:id="61028144">
          <w:marLeft w:val="0"/>
          <w:marRight w:val="0"/>
          <w:marTop w:val="0"/>
          <w:marBottom w:val="0"/>
          <w:divBdr>
            <w:top w:val="none" w:sz="0" w:space="0" w:color="auto"/>
            <w:left w:val="none" w:sz="0" w:space="0" w:color="auto"/>
            <w:bottom w:val="none" w:sz="0" w:space="0" w:color="auto"/>
            <w:right w:val="none" w:sz="0" w:space="0" w:color="auto"/>
          </w:divBdr>
          <w:divsChild>
            <w:div w:id="89085576">
              <w:marLeft w:val="0"/>
              <w:marRight w:val="0"/>
              <w:marTop w:val="0"/>
              <w:marBottom w:val="0"/>
              <w:divBdr>
                <w:top w:val="none" w:sz="0" w:space="0" w:color="auto"/>
                <w:left w:val="none" w:sz="0" w:space="0" w:color="auto"/>
                <w:bottom w:val="none" w:sz="0" w:space="0" w:color="auto"/>
                <w:right w:val="none" w:sz="0" w:space="0" w:color="auto"/>
              </w:divBdr>
              <w:divsChild>
                <w:div w:id="1744136793">
                  <w:marLeft w:val="0"/>
                  <w:marRight w:val="0"/>
                  <w:marTop w:val="0"/>
                  <w:marBottom w:val="0"/>
                  <w:divBdr>
                    <w:top w:val="none" w:sz="0" w:space="0" w:color="auto"/>
                    <w:left w:val="none" w:sz="0" w:space="0" w:color="auto"/>
                    <w:bottom w:val="none" w:sz="0" w:space="0" w:color="auto"/>
                    <w:right w:val="none" w:sz="0" w:space="0" w:color="auto"/>
                  </w:divBdr>
                </w:div>
              </w:divsChild>
            </w:div>
            <w:div w:id="950434144">
              <w:marLeft w:val="0"/>
              <w:marRight w:val="0"/>
              <w:marTop w:val="0"/>
              <w:marBottom w:val="0"/>
              <w:divBdr>
                <w:top w:val="none" w:sz="0" w:space="0" w:color="auto"/>
                <w:left w:val="none" w:sz="0" w:space="0" w:color="auto"/>
                <w:bottom w:val="none" w:sz="0" w:space="0" w:color="auto"/>
                <w:right w:val="none" w:sz="0" w:space="0" w:color="auto"/>
              </w:divBdr>
              <w:divsChild>
                <w:div w:id="90375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91239">
      <w:bodyDiv w:val="1"/>
      <w:marLeft w:val="0"/>
      <w:marRight w:val="0"/>
      <w:marTop w:val="0"/>
      <w:marBottom w:val="0"/>
      <w:divBdr>
        <w:top w:val="none" w:sz="0" w:space="0" w:color="auto"/>
        <w:left w:val="none" w:sz="0" w:space="0" w:color="auto"/>
        <w:bottom w:val="none" w:sz="0" w:space="0" w:color="auto"/>
        <w:right w:val="none" w:sz="0" w:space="0" w:color="auto"/>
      </w:divBdr>
    </w:div>
    <w:div w:id="1089237170">
      <w:bodyDiv w:val="1"/>
      <w:marLeft w:val="0"/>
      <w:marRight w:val="0"/>
      <w:marTop w:val="0"/>
      <w:marBottom w:val="0"/>
      <w:divBdr>
        <w:top w:val="none" w:sz="0" w:space="0" w:color="auto"/>
        <w:left w:val="none" w:sz="0" w:space="0" w:color="auto"/>
        <w:bottom w:val="none" w:sz="0" w:space="0" w:color="auto"/>
        <w:right w:val="none" w:sz="0" w:space="0" w:color="auto"/>
      </w:divBdr>
    </w:div>
    <w:div w:id="1137915340">
      <w:bodyDiv w:val="1"/>
      <w:marLeft w:val="0"/>
      <w:marRight w:val="0"/>
      <w:marTop w:val="0"/>
      <w:marBottom w:val="0"/>
      <w:divBdr>
        <w:top w:val="none" w:sz="0" w:space="0" w:color="auto"/>
        <w:left w:val="none" w:sz="0" w:space="0" w:color="auto"/>
        <w:bottom w:val="none" w:sz="0" w:space="0" w:color="auto"/>
        <w:right w:val="none" w:sz="0" w:space="0" w:color="auto"/>
      </w:divBdr>
      <w:divsChild>
        <w:div w:id="1670013313">
          <w:marLeft w:val="0"/>
          <w:marRight w:val="0"/>
          <w:marTop w:val="0"/>
          <w:marBottom w:val="0"/>
          <w:divBdr>
            <w:top w:val="none" w:sz="0" w:space="0" w:color="auto"/>
            <w:left w:val="none" w:sz="0" w:space="0" w:color="auto"/>
            <w:bottom w:val="none" w:sz="0" w:space="0" w:color="auto"/>
            <w:right w:val="none" w:sz="0" w:space="0" w:color="auto"/>
          </w:divBdr>
          <w:divsChild>
            <w:div w:id="52892446">
              <w:marLeft w:val="0"/>
              <w:marRight w:val="0"/>
              <w:marTop w:val="0"/>
              <w:marBottom w:val="0"/>
              <w:divBdr>
                <w:top w:val="none" w:sz="0" w:space="0" w:color="auto"/>
                <w:left w:val="none" w:sz="0" w:space="0" w:color="auto"/>
                <w:bottom w:val="none" w:sz="0" w:space="0" w:color="auto"/>
                <w:right w:val="none" w:sz="0" w:space="0" w:color="auto"/>
              </w:divBdr>
              <w:divsChild>
                <w:div w:id="129579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197386">
      <w:bodyDiv w:val="1"/>
      <w:marLeft w:val="0"/>
      <w:marRight w:val="0"/>
      <w:marTop w:val="0"/>
      <w:marBottom w:val="0"/>
      <w:divBdr>
        <w:top w:val="none" w:sz="0" w:space="0" w:color="auto"/>
        <w:left w:val="none" w:sz="0" w:space="0" w:color="auto"/>
        <w:bottom w:val="none" w:sz="0" w:space="0" w:color="auto"/>
        <w:right w:val="none" w:sz="0" w:space="0" w:color="auto"/>
      </w:divBdr>
      <w:divsChild>
        <w:div w:id="802582337">
          <w:marLeft w:val="0"/>
          <w:marRight w:val="0"/>
          <w:marTop w:val="0"/>
          <w:marBottom w:val="0"/>
          <w:divBdr>
            <w:top w:val="none" w:sz="0" w:space="0" w:color="auto"/>
            <w:left w:val="none" w:sz="0" w:space="0" w:color="auto"/>
            <w:bottom w:val="none" w:sz="0" w:space="0" w:color="auto"/>
            <w:right w:val="none" w:sz="0" w:space="0" w:color="auto"/>
          </w:divBdr>
          <w:divsChild>
            <w:div w:id="1670477330">
              <w:marLeft w:val="0"/>
              <w:marRight w:val="0"/>
              <w:marTop w:val="0"/>
              <w:marBottom w:val="0"/>
              <w:divBdr>
                <w:top w:val="none" w:sz="0" w:space="0" w:color="auto"/>
                <w:left w:val="none" w:sz="0" w:space="0" w:color="auto"/>
                <w:bottom w:val="none" w:sz="0" w:space="0" w:color="auto"/>
                <w:right w:val="none" w:sz="0" w:space="0" w:color="auto"/>
              </w:divBdr>
              <w:divsChild>
                <w:div w:id="98142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365044">
      <w:bodyDiv w:val="1"/>
      <w:marLeft w:val="0"/>
      <w:marRight w:val="0"/>
      <w:marTop w:val="0"/>
      <w:marBottom w:val="0"/>
      <w:divBdr>
        <w:top w:val="none" w:sz="0" w:space="0" w:color="auto"/>
        <w:left w:val="none" w:sz="0" w:space="0" w:color="auto"/>
        <w:bottom w:val="none" w:sz="0" w:space="0" w:color="auto"/>
        <w:right w:val="none" w:sz="0" w:space="0" w:color="auto"/>
      </w:divBdr>
    </w:div>
    <w:div w:id="1232738319">
      <w:bodyDiv w:val="1"/>
      <w:marLeft w:val="0"/>
      <w:marRight w:val="0"/>
      <w:marTop w:val="0"/>
      <w:marBottom w:val="0"/>
      <w:divBdr>
        <w:top w:val="none" w:sz="0" w:space="0" w:color="auto"/>
        <w:left w:val="none" w:sz="0" w:space="0" w:color="auto"/>
        <w:bottom w:val="none" w:sz="0" w:space="0" w:color="auto"/>
        <w:right w:val="none" w:sz="0" w:space="0" w:color="auto"/>
      </w:divBdr>
    </w:div>
    <w:div w:id="1239442675">
      <w:bodyDiv w:val="1"/>
      <w:marLeft w:val="0"/>
      <w:marRight w:val="0"/>
      <w:marTop w:val="0"/>
      <w:marBottom w:val="0"/>
      <w:divBdr>
        <w:top w:val="none" w:sz="0" w:space="0" w:color="auto"/>
        <w:left w:val="none" w:sz="0" w:space="0" w:color="auto"/>
        <w:bottom w:val="none" w:sz="0" w:space="0" w:color="auto"/>
        <w:right w:val="none" w:sz="0" w:space="0" w:color="auto"/>
      </w:divBdr>
      <w:divsChild>
        <w:div w:id="475533462">
          <w:marLeft w:val="0"/>
          <w:marRight w:val="0"/>
          <w:marTop w:val="0"/>
          <w:marBottom w:val="0"/>
          <w:divBdr>
            <w:top w:val="none" w:sz="0" w:space="0" w:color="auto"/>
            <w:left w:val="none" w:sz="0" w:space="0" w:color="auto"/>
            <w:bottom w:val="none" w:sz="0" w:space="0" w:color="auto"/>
            <w:right w:val="none" w:sz="0" w:space="0" w:color="auto"/>
          </w:divBdr>
          <w:divsChild>
            <w:div w:id="1506818433">
              <w:marLeft w:val="0"/>
              <w:marRight w:val="0"/>
              <w:marTop w:val="0"/>
              <w:marBottom w:val="0"/>
              <w:divBdr>
                <w:top w:val="none" w:sz="0" w:space="0" w:color="auto"/>
                <w:left w:val="none" w:sz="0" w:space="0" w:color="auto"/>
                <w:bottom w:val="none" w:sz="0" w:space="0" w:color="auto"/>
                <w:right w:val="none" w:sz="0" w:space="0" w:color="auto"/>
              </w:divBdr>
              <w:divsChild>
                <w:div w:id="402678243">
                  <w:marLeft w:val="0"/>
                  <w:marRight w:val="0"/>
                  <w:marTop w:val="0"/>
                  <w:marBottom w:val="0"/>
                  <w:divBdr>
                    <w:top w:val="none" w:sz="0" w:space="0" w:color="auto"/>
                    <w:left w:val="none" w:sz="0" w:space="0" w:color="auto"/>
                    <w:bottom w:val="none" w:sz="0" w:space="0" w:color="auto"/>
                    <w:right w:val="none" w:sz="0" w:space="0" w:color="auto"/>
                  </w:divBdr>
                </w:div>
              </w:divsChild>
            </w:div>
            <w:div w:id="1229850318">
              <w:marLeft w:val="0"/>
              <w:marRight w:val="0"/>
              <w:marTop w:val="0"/>
              <w:marBottom w:val="0"/>
              <w:divBdr>
                <w:top w:val="none" w:sz="0" w:space="0" w:color="auto"/>
                <w:left w:val="none" w:sz="0" w:space="0" w:color="auto"/>
                <w:bottom w:val="none" w:sz="0" w:space="0" w:color="auto"/>
                <w:right w:val="none" w:sz="0" w:space="0" w:color="auto"/>
              </w:divBdr>
              <w:divsChild>
                <w:div w:id="440032995">
                  <w:marLeft w:val="0"/>
                  <w:marRight w:val="0"/>
                  <w:marTop w:val="0"/>
                  <w:marBottom w:val="0"/>
                  <w:divBdr>
                    <w:top w:val="none" w:sz="0" w:space="0" w:color="auto"/>
                    <w:left w:val="none" w:sz="0" w:space="0" w:color="auto"/>
                    <w:bottom w:val="none" w:sz="0" w:space="0" w:color="auto"/>
                    <w:right w:val="none" w:sz="0" w:space="0" w:color="auto"/>
                  </w:divBdr>
                  <w:divsChild>
                    <w:div w:id="7201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101654">
      <w:bodyDiv w:val="1"/>
      <w:marLeft w:val="0"/>
      <w:marRight w:val="0"/>
      <w:marTop w:val="0"/>
      <w:marBottom w:val="0"/>
      <w:divBdr>
        <w:top w:val="none" w:sz="0" w:space="0" w:color="auto"/>
        <w:left w:val="none" w:sz="0" w:space="0" w:color="auto"/>
        <w:bottom w:val="none" w:sz="0" w:space="0" w:color="auto"/>
        <w:right w:val="none" w:sz="0" w:space="0" w:color="auto"/>
      </w:divBdr>
      <w:divsChild>
        <w:div w:id="1916434983">
          <w:marLeft w:val="0"/>
          <w:marRight w:val="0"/>
          <w:marTop w:val="0"/>
          <w:marBottom w:val="0"/>
          <w:divBdr>
            <w:top w:val="none" w:sz="0" w:space="0" w:color="auto"/>
            <w:left w:val="none" w:sz="0" w:space="0" w:color="auto"/>
            <w:bottom w:val="none" w:sz="0" w:space="0" w:color="auto"/>
            <w:right w:val="none" w:sz="0" w:space="0" w:color="auto"/>
          </w:divBdr>
          <w:divsChild>
            <w:div w:id="1533112711">
              <w:marLeft w:val="0"/>
              <w:marRight w:val="0"/>
              <w:marTop w:val="0"/>
              <w:marBottom w:val="0"/>
              <w:divBdr>
                <w:top w:val="none" w:sz="0" w:space="0" w:color="auto"/>
                <w:left w:val="none" w:sz="0" w:space="0" w:color="auto"/>
                <w:bottom w:val="none" w:sz="0" w:space="0" w:color="auto"/>
                <w:right w:val="none" w:sz="0" w:space="0" w:color="auto"/>
              </w:divBdr>
              <w:divsChild>
                <w:div w:id="187696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77186">
      <w:bodyDiv w:val="1"/>
      <w:marLeft w:val="0"/>
      <w:marRight w:val="0"/>
      <w:marTop w:val="0"/>
      <w:marBottom w:val="0"/>
      <w:divBdr>
        <w:top w:val="none" w:sz="0" w:space="0" w:color="auto"/>
        <w:left w:val="none" w:sz="0" w:space="0" w:color="auto"/>
        <w:bottom w:val="none" w:sz="0" w:space="0" w:color="auto"/>
        <w:right w:val="none" w:sz="0" w:space="0" w:color="auto"/>
      </w:divBdr>
      <w:divsChild>
        <w:div w:id="1698387833">
          <w:marLeft w:val="0"/>
          <w:marRight w:val="0"/>
          <w:marTop w:val="0"/>
          <w:marBottom w:val="0"/>
          <w:divBdr>
            <w:top w:val="none" w:sz="0" w:space="0" w:color="auto"/>
            <w:left w:val="none" w:sz="0" w:space="0" w:color="auto"/>
            <w:bottom w:val="none" w:sz="0" w:space="0" w:color="auto"/>
            <w:right w:val="none" w:sz="0" w:space="0" w:color="auto"/>
          </w:divBdr>
          <w:divsChild>
            <w:div w:id="1834372267">
              <w:marLeft w:val="0"/>
              <w:marRight w:val="0"/>
              <w:marTop w:val="0"/>
              <w:marBottom w:val="0"/>
              <w:divBdr>
                <w:top w:val="none" w:sz="0" w:space="0" w:color="auto"/>
                <w:left w:val="none" w:sz="0" w:space="0" w:color="auto"/>
                <w:bottom w:val="none" w:sz="0" w:space="0" w:color="auto"/>
                <w:right w:val="none" w:sz="0" w:space="0" w:color="auto"/>
              </w:divBdr>
              <w:divsChild>
                <w:div w:id="104598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66602">
      <w:bodyDiv w:val="1"/>
      <w:marLeft w:val="0"/>
      <w:marRight w:val="0"/>
      <w:marTop w:val="0"/>
      <w:marBottom w:val="0"/>
      <w:divBdr>
        <w:top w:val="none" w:sz="0" w:space="0" w:color="auto"/>
        <w:left w:val="none" w:sz="0" w:space="0" w:color="auto"/>
        <w:bottom w:val="none" w:sz="0" w:space="0" w:color="auto"/>
        <w:right w:val="none" w:sz="0" w:space="0" w:color="auto"/>
      </w:divBdr>
    </w:div>
    <w:div w:id="1499224274">
      <w:bodyDiv w:val="1"/>
      <w:marLeft w:val="0"/>
      <w:marRight w:val="0"/>
      <w:marTop w:val="0"/>
      <w:marBottom w:val="0"/>
      <w:divBdr>
        <w:top w:val="none" w:sz="0" w:space="0" w:color="auto"/>
        <w:left w:val="none" w:sz="0" w:space="0" w:color="auto"/>
        <w:bottom w:val="none" w:sz="0" w:space="0" w:color="auto"/>
        <w:right w:val="none" w:sz="0" w:space="0" w:color="auto"/>
      </w:divBdr>
    </w:div>
    <w:div w:id="1503929961">
      <w:bodyDiv w:val="1"/>
      <w:marLeft w:val="0"/>
      <w:marRight w:val="0"/>
      <w:marTop w:val="0"/>
      <w:marBottom w:val="0"/>
      <w:divBdr>
        <w:top w:val="none" w:sz="0" w:space="0" w:color="auto"/>
        <w:left w:val="none" w:sz="0" w:space="0" w:color="auto"/>
        <w:bottom w:val="none" w:sz="0" w:space="0" w:color="auto"/>
        <w:right w:val="none" w:sz="0" w:space="0" w:color="auto"/>
      </w:divBdr>
      <w:divsChild>
        <w:div w:id="1367825710">
          <w:marLeft w:val="0"/>
          <w:marRight w:val="0"/>
          <w:marTop w:val="0"/>
          <w:marBottom w:val="0"/>
          <w:divBdr>
            <w:top w:val="none" w:sz="0" w:space="0" w:color="auto"/>
            <w:left w:val="none" w:sz="0" w:space="0" w:color="auto"/>
            <w:bottom w:val="none" w:sz="0" w:space="0" w:color="auto"/>
            <w:right w:val="none" w:sz="0" w:space="0" w:color="auto"/>
          </w:divBdr>
          <w:divsChild>
            <w:div w:id="874925454">
              <w:marLeft w:val="0"/>
              <w:marRight w:val="0"/>
              <w:marTop w:val="0"/>
              <w:marBottom w:val="0"/>
              <w:divBdr>
                <w:top w:val="none" w:sz="0" w:space="0" w:color="auto"/>
                <w:left w:val="none" w:sz="0" w:space="0" w:color="auto"/>
                <w:bottom w:val="none" w:sz="0" w:space="0" w:color="auto"/>
                <w:right w:val="none" w:sz="0" w:space="0" w:color="auto"/>
              </w:divBdr>
              <w:divsChild>
                <w:div w:id="177146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759772">
      <w:bodyDiv w:val="1"/>
      <w:marLeft w:val="0"/>
      <w:marRight w:val="0"/>
      <w:marTop w:val="0"/>
      <w:marBottom w:val="0"/>
      <w:divBdr>
        <w:top w:val="none" w:sz="0" w:space="0" w:color="auto"/>
        <w:left w:val="none" w:sz="0" w:space="0" w:color="auto"/>
        <w:bottom w:val="none" w:sz="0" w:space="0" w:color="auto"/>
        <w:right w:val="none" w:sz="0" w:space="0" w:color="auto"/>
      </w:divBdr>
      <w:divsChild>
        <w:div w:id="1366176060">
          <w:marLeft w:val="0"/>
          <w:marRight w:val="0"/>
          <w:marTop w:val="0"/>
          <w:marBottom w:val="0"/>
          <w:divBdr>
            <w:top w:val="none" w:sz="0" w:space="0" w:color="auto"/>
            <w:left w:val="none" w:sz="0" w:space="0" w:color="auto"/>
            <w:bottom w:val="none" w:sz="0" w:space="0" w:color="auto"/>
            <w:right w:val="none" w:sz="0" w:space="0" w:color="auto"/>
          </w:divBdr>
          <w:divsChild>
            <w:div w:id="692463764">
              <w:marLeft w:val="0"/>
              <w:marRight w:val="0"/>
              <w:marTop w:val="0"/>
              <w:marBottom w:val="0"/>
              <w:divBdr>
                <w:top w:val="none" w:sz="0" w:space="0" w:color="auto"/>
                <w:left w:val="none" w:sz="0" w:space="0" w:color="auto"/>
                <w:bottom w:val="none" w:sz="0" w:space="0" w:color="auto"/>
                <w:right w:val="none" w:sz="0" w:space="0" w:color="auto"/>
              </w:divBdr>
              <w:divsChild>
                <w:div w:id="19028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816018">
      <w:bodyDiv w:val="1"/>
      <w:marLeft w:val="0"/>
      <w:marRight w:val="0"/>
      <w:marTop w:val="0"/>
      <w:marBottom w:val="0"/>
      <w:divBdr>
        <w:top w:val="none" w:sz="0" w:space="0" w:color="auto"/>
        <w:left w:val="none" w:sz="0" w:space="0" w:color="auto"/>
        <w:bottom w:val="none" w:sz="0" w:space="0" w:color="auto"/>
        <w:right w:val="none" w:sz="0" w:space="0" w:color="auto"/>
      </w:divBdr>
      <w:divsChild>
        <w:div w:id="1575622770">
          <w:marLeft w:val="0"/>
          <w:marRight w:val="0"/>
          <w:marTop w:val="0"/>
          <w:marBottom w:val="0"/>
          <w:divBdr>
            <w:top w:val="none" w:sz="0" w:space="0" w:color="auto"/>
            <w:left w:val="none" w:sz="0" w:space="0" w:color="auto"/>
            <w:bottom w:val="none" w:sz="0" w:space="0" w:color="auto"/>
            <w:right w:val="none" w:sz="0" w:space="0" w:color="auto"/>
          </w:divBdr>
          <w:divsChild>
            <w:div w:id="2075352236">
              <w:marLeft w:val="0"/>
              <w:marRight w:val="0"/>
              <w:marTop w:val="0"/>
              <w:marBottom w:val="0"/>
              <w:divBdr>
                <w:top w:val="none" w:sz="0" w:space="0" w:color="auto"/>
                <w:left w:val="none" w:sz="0" w:space="0" w:color="auto"/>
                <w:bottom w:val="none" w:sz="0" w:space="0" w:color="auto"/>
                <w:right w:val="none" w:sz="0" w:space="0" w:color="auto"/>
              </w:divBdr>
              <w:divsChild>
                <w:div w:id="8442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973936">
      <w:bodyDiv w:val="1"/>
      <w:marLeft w:val="0"/>
      <w:marRight w:val="0"/>
      <w:marTop w:val="0"/>
      <w:marBottom w:val="0"/>
      <w:divBdr>
        <w:top w:val="none" w:sz="0" w:space="0" w:color="auto"/>
        <w:left w:val="none" w:sz="0" w:space="0" w:color="auto"/>
        <w:bottom w:val="none" w:sz="0" w:space="0" w:color="auto"/>
        <w:right w:val="none" w:sz="0" w:space="0" w:color="auto"/>
      </w:divBdr>
      <w:divsChild>
        <w:div w:id="2116515560">
          <w:marLeft w:val="0"/>
          <w:marRight w:val="0"/>
          <w:marTop w:val="0"/>
          <w:marBottom w:val="0"/>
          <w:divBdr>
            <w:top w:val="none" w:sz="0" w:space="0" w:color="auto"/>
            <w:left w:val="none" w:sz="0" w:space="0" w:color="auto"/>
            <w:bottom w:val="none" w:sz="0" w:space="0" w:color="auto"/>
            <w:right w:val="none" w:sz="0" w:space="0" w:color="auto"/>
          </w:divBdr>
          <w:divsChild>
            <w:div w:id="747188614">
              <w:marLeft w:val="0"/>
              <w:marRight w:val="0"/>
              <w:marTop w:val="0"/>
              <w:marBottom w:val="0"/>
              <w:divBdr>
                <w:top w:val="none" w:sz="0" w:space="0" w:color="auto"/>
                <w:left w:val="none" w:sz="0" w:space="0" w:color="auto"/>
                <w:bottom w:val="none" w:sz="0" w:space="0" w:color="auto"/>
                <w:right w:val="none" w:sz="0" w:space="0" w:color="auto"/>
              </w:divBdr>
              <w:divsChild>
                <w:div w:id="205569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527429">
      <w:bodyDiv w:val="1"/>
      <w:marLeft w:val="0"/>
      <w:marRight w:val="0"/>
      <w:marTop w:val="0"/>
      <w:marBottom w:val="0"/>
      <w:divBdr>
        <w:top w:val="none" w:sz="0" w:space="0" w:color="auto"/>
        <w:left w:val="none" w:sz="0" w:space="0" w:color="auto"/>
        <w:bottom w:val="none" w:sz="0" w:space="0" w:color="auto"/>
        <w:right w:val="none" w:sz="0" w:space="0" w:color="auto"/>
      </w:divBdr>
    </w:div>
    <w:div w:id="1570651751">
      <w:bodyDiv w:val="1"/>
      <w:marLeft w:val="0"/>
      <w:marRight w:val="0"/>
      <w:marTop w:val="0"/>
      <w:marBottom w:val="0"/>
      <w:divBdr>
        <w:top w:val="none" w:sz="0" w:space="0" w:color="auto"/>
        <w:left w:val="none" w:sz="0" w:space="0" w:color="auto"/>
        <w:bottom w:val="none" w:sz="0" w:space="0" w:color="auto"/>
        <w:right w:val="none" w:sz="0" w:space="0" w:color="auto"/>
      </w:divBdr>
      <w:divsChild>
        <w:div w:id="205072409">
          <w:marLeft w:val="0"/>
          <w:marRight w:val="0"/>
          <w:marTop w:val="0"/>
          <w:marBottom w:val="0"/>
          <w:divBdr>
            <w:top w:val="none" w:sz="0" w:space="0" w:color="auto"/>
            <w:left w:val="none" w:sz="0" w:space="0" w:color="auto"/>
            <w:bottom w:val="none" w:sz="0" w:space="0" w:color="auto"/>
            <w:right w:val="none" w:sz="0" w:space="0" w:color="auto"/>
          </w:divBdr>
          <w:divsChild>
            <w:div w:id="2028367873">
              <w:marLeft w:val="0"/>
              <w:marRight w:val="0"/>
              <w:marTop w:val="0"/>
              <w:marBottom w:val="0"/>
              <w:divBdr>
                <w:top w:val="none" w:sz="0" w:space="0" w:color="auto"/>
                <w:left w:val="none" w:sz="0" w:space="0" w:color="auto"/>
                <w:bottom w:val="none" w:sz="0" w:space="0" w:color="auto"/>
                <w:right w:val="none" w:sz="0" w:space="0" w:color="auto"/>
              </w:divBdr>
              <w:divsChild>
                <w:div w:id="14952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963288">
      <w:bodyDiv w:val="1"/>
      <w:marLeft w:val="0"/>
      <w:marRight w:val="0"/>
      <w:marTop w:val="0"/>
      <w:marBottom w:val="0"/>
      <w:divBdr>
        <w:top w:val="none" w:sz="0" w:space="0" w:color="auto"/>
        <w:left w:val="none" w:sz="0" w:space="0" w:color="auto"/>
        <w:bottom w:val="none" w:sz="0" w:space="0" w:color="auto"/>
        <w:right w:val="none" w:sz="0" w:space="0" w:color="auto"/>
      </w:divBdr>
    </w:div>
    <w:div w:id="1576746398">
      <w:bodyDiv w:val="1"/>
      <w:marLeft w:val="0"/>
      <w:marRight w:val="0"/>
      <w:marTop w:val="0"/>
      <w:marBottom w:val="0"/>
      <w:divBdr>
        <w:top w:val="none" w:sz="0" w:space="0" w:color="auto"/>
        <w:left w:val="none" w:sz="0" w:space="0" w:color="auto"/>
        <w:bottom w:val="none" w:sz="0" w:space="0" w:color="auto"/>
        <w:right w:val="none" w:sz="0" w:space="0" w:color="auto"/>
      </w:divBdr>
    </w:div>
    <w:div w:id="1601060188">
      <w:bodyDiv w:val="1"/>
      <w:marLeft w:val="0"/>
      <w:marRight w:val="0"/>
      <w:marTop w:val="0"/>
      <w:marBottom w:val="0"/>
      <w:divBdr>
        <w:top w:val="none" w:sz="0" w:space="0" w:color="auto"/>
        <w:left w:val="none" w:sz="0" w:space="0" w:color="auto"/>
        <w:bottom w:val="none" w:sz="0" w:space="0" w:color="auto"/>
        <w:right w:val="none" w:sz="0" w:space="0" w:color="auto"/>
      </w:divBdr>
      <w:divsChild>
        <w:div w:id="117336788">
          <w:marLeft w:val="0"/>
          <w:marRight w:val="0"/>
          <w:marTop w:val="0"/>
          <w:marBottom w:val="0"/>
          <w:divBdr>
            <w:top w:val="none" w:sz="0" w:space="0" w:color="auto"/>
            <w:left w:val="none" w:sz="0" w:space="0" w:color="auto"/>
            <w:bottom w:val="none" w:sz="0" w:space="0" w:color="auto"/>
            <w:right w:val="none" w:sz="0" w:space="0" w:color="auto"/>
          </w:divBdr>
          <w:divsChild>
            <w:div w:id="1194995655">
              <w:marLeft w:val="0"/>
              <w:marRight w:val="0"/>
              <w:marTop w:val="0"/>
              <w:marBottom w:val="0"/>
              <w:divBdr>
                <w:top w:val="none" w:sz="0" w:space="0" w:color="auto"/>
                <w:left w:val="none" w:sz="0" w:space="0" w:color="auto"/>
                <w:bottom w:val="none" w:sz="0" w:space="0" w:color="auto"/>
                <w:right w:val="none" w:sz="0" w:space="0" w:color="auto"/>
              </w:divBdr>
              <w:divsChild>
                <w:div w:id="170741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449785">
      <w:bodyDiv w:val="1"/>
      <w:marLeft w:val="0"/>
      <w:marRight w:val="0"/>
      <w:marTop w:val="0"/>
      <w:marBottom w:val="0"/>
      <w:divBdr>
        <w:top w:val="none" w:sz="0" w:space="0" w:color="auto"/>
        <w:left w:val="none" w:sz="0" w:space="0" w:color="auto"/>
        <w:bottom w:val="none" w:sz="0" w:space="0" w:color="auto"/>
        <w:right w:val="none" w:sz="0" w:space="0" w:color="auto"/>
      </w:divBdr>
      <w:divsChild>
        <w:div w:id="1799491728">
          <w:marLeft w:val="0"/>
          <w:marRight w:val="0"/>
          <w:marTop w:val="0"/>
          <w:marBottom w:val="0"/>
          <w:divBdr>
            <w:top w:val="none" w:sz="0" w:space="0" w:color="auto"/>
            <w:left w:val="none" w:sz="0" w:space="0" w:color="auto"/>
            <w:bottom w:val="none" w:sz="0" w:space="0" w:color="auto"/>
            <w:right w:val="none" w:sz="0" w:space="0" w:color="auto"/>
          </w:divBdr>
          <w:divsChild>
            <w:div w:id="1769540278">
              <w:marLeft w:val="0"/>
              <w:marRight w:val="0"/>
              <w:marTop w:val="0"/>
              <w:marBottom w:val="0"/>
              <w:divBdr>
                <w:top w:val="none" w:sz="0" w:space="0" w:color="auto"/>
                <w:left w:val="none" w:sz="0" w:space="0" w:color="auto"/>
                <w:bottom w:val="none" w:sz="0" w:space="0" w:color="auto"/>
                <w:right w:val="none" w:sz="0" w:space="0" w:color="auto"/>
              </w:divBdr>
              <w:divsChild>
                <w:div w:id="49245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72091">
      <w:bodyDiv w:val="1"/>
      <w:marLeft w:val="0"/>
      <w:marRight w:val="0"/>
      <w:marTop w:val="0"/>
      <w:marBottom w:val="0"/>
      <w:divBdr>
        <w:top w:val="none" w:sz="0" w:space="0" w:color="auto"/>
        <w:left w:val="none" w:sz="0" w:space="0" w:color="auto"/>
        <w:bottom w:val="none" w:sz="0" w:space="0" w:color="auto"/>
        <w:right w:val="none" w:sz="0" w:space="0" w:color="auto"/>
      </w:divBdr>
      <w:divsChild>
        <w:div w:id="635993303">
          <w:marLeft w:val="0"/>
          <w:marRight w:val="0"/>
          <w:marTop w:val="0"/>
          <w:marBottom w:val="0"/>
          <w:divBdr>
            <w:top w:val="none" w:sz="0" w:space="0" w:color="auto"/>
            <w:left w:val="none" w:sz="0" w:space="0" w:color="auto"/>
            <w:bottom w:val="none" w:sz="0" w:space="0" w:color="auto"/>
            <w:right w:val="none" w:sz="0" w:space="0" w:color="auto"/>
          </w:divBdr>
          <w:divsChild>
            <w:div w:id="1234003155">
              <w:marLeft w:val="0"/>
              <w:marRight w:val="0"/>
              <w:marTop w:val="0"/>
              <w:marBottom w:val="0"/>
              <w:divBdr>
                <w:top w:val="none" w:sz="0" w:space="0" w:color="auto"/>
                <w:left w:val="none" w:sz="0" w:space="0" w:color="auto"/>
                <w:bottom w:val="none" w:sz="0" w:space="0" w:color="auto"/>
                <w:right w:val="none" w:sz="0" w:space="0" w:color="auto"/>
              </w:divBdr>
              <w:divsChild>
                <w:div w:id="38934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139171">
      <w:bodyDiv w:val="1"/>
      <w:marLeft w:val="0"/>
      <w:marRight w:val="0"/>
      <w:marTop w:val="0"/>
      <w:marBottom w:val="0"/>
      <w:divBdr>
        <w:top w:val="none" w:sz="0" w:space="0" w:color="auto"/>
        <w:left w:val="none" w:sz="0" w:space="0" w:color="auto"/>
        <w:bottom w:val="none" w:sz="0" w:space="0" w:color="auto"/>
        <w:right w:val="none" w:sz="0" w:space="0" w:color="auto"/>
      </w:divBdr>
    </w:div>
    <w:div w:id="1765032380">
      <w:bodyDiv w:val="1"/>
      <w:marLeft w:val="0"/>
      <w:marRight w:val="0"/>
      <w:marTop w:val="0"/>
      <w:marBottom w:val="0"/>
      <w:divBdr>
        <w:top w:val="none" w:sz="0" w:space="0" w:color="auto"/>
        <w:left w:val="none" w:sz="0" w:space="0" w:color="auto"/>
        <w:bottom w:val="none" w:sz="0" w:space="0" w:color="auto"/>
        <w:right w:val="none" w:sz="0" w:space="0" w:color="auto"/>
      </w:divBdr>
    </w:div>
    <w:div w:id="177728359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0469378">
      <w:bodyDiv w:val="1"/>
      <w:marLeft w:val="0"/>
      <w:marRight w:val="0"/>
      <w:marTop w:val="0"/>
      <w:marBottom w:val="0"/>
      <w:divBdr>
        <w:top w:val="none" w:sz="0" w:space="0" w:color="auto"/>
        <w:left w:val="none" w:sz="0" w:space="0" w:color="auto"/>
        <w:bottom w:val="none" w:sz="0" w:space="0" w:color="auto"/>
        <w:right w:val="none" w:sz="0" w:space="0" w:color="auto"/>
      </w:divBdr>
      <w:divsChild>
        <w:div w:id="818425382">
          <w:marLeft w:val="0"/>
          <w:marRight w:val="0"/>
          <w:marTop w:val="0"/>
          <w:marBottom w:val="0"/>
          <w:divBdr>
            <w:top w:val="none" w:sz="0" w:space="0" w:color="auto"/>
            <w:left w:val="none" w:sz="0" w:space="0" w:color="auto"/>
            <w:bottom w:val="none" w:sz="0" w:space="0" w:color="auto"/>
            <w:right w:val="none" w:sz="0" w:space="0" w:color="auto"/>
          </w:divBdr>
          <w:divsChild>
            <w:div w:id="300111823">
              <w:marLeft w:val="0"/>
              <w:marRight w:val="0"/>
              <w:marTop w:val="0"/>
              <w:marBottom w:val="0"/>
              <w:divBdr>
                <w:top w:val="none" w:sz="0" w:space="0" w:color="auto"/>
                <w:left w:val="none" w:sz="0" w:space="0" w:color="auto"/>
                <w:bottom w:val="none" w:sz="0" w:space="0" w:color="auto"/>
                <w:right w:val="none" w:sz="0" w:space="0" w:color="auto"/>
              </w:divBdr>
              <w:divsChild>
                <w:div w:id="5690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70271">
      <w:bodyDiv w:val="1"/>
      <w:marLeft w:val="0"/>
      <w:marRight w:val="0"/>
      <w:marTop w:val="0"/>
      <w:marBottom w:val="0"/>
      <w:divBdr>
        <w:top w:val="none" w:sz="0" w:space="0" w:color="auto"/>
        <w:left w:val="none" w:sz="0" w:space="0" w:color="auto"/>
        <w:bottom w:val="none" w:sz="0" w:space="0" w:color="auto"/>
        <w:right w:val="none" w:sz="0" w:space="0" w:color="auto"/>
      </w:divBdr>
    </w:div>
    <w:div w:id="1906797718">
      <w:bodyDiv w:val="1"/>
      <w:marLeft w:val="0"/>
      <w:marRight w:val="0"/>
      <w:marTop w:val="0"/>
      <w:marBottom w:val="0"/>
      <w:divBdr>
        <w:top w:val="none" w:sz="0" w:space="0" w:color="auto"/>
        <w:left w:val="none" w:sz="0" w:space="0" w:color="auto"/>
        <w:bottom w:val="none" w:sz="0" w:space="0" w:color="auto"/>
        <w:right w:val="none" w:sz="0" w:space="0" w:color="auto"/>
      </w:divBdr>
    </w:div>
    <w:div w:id="1939169885">
      <w:bodyDiv w:val="1"/>
      <w:marLeft w:val="0"/>
      <w:marRight w:val="0"/>
      <w:marTop w:val="0"/>
      <w:marBottom w:val="0"/>
      <w:divBdr>
        <w:top w:val="none" w:sz="0" w:space="0" w:color="auto"/>
        <w:left w:val="none" w:sz="0" w:space="0" w:color="auto"/>
        <w:bottom w:val="none" w:sz="0" w:space="0" w:color="auto"/>
        <w:right w:val="none" w:sz="0" w:space="0" w:color="auto"/>
      </w:divBdr>
    </w:div>
    <w:div w:id="1972133940">
      <w:bodyDiv w:val="1"/>
      <w:marLeft w:val="0"/>
      <w:marRight w:val="0"/>
      <w:marTop w:val="0"/>
      <w:marBottom w:val="0"/>
      <w:divBdr>
        <w:top w:val="none" w:sz="0" w:space="0" w:color="auto"/>
        <w:left w:val="none" w:sz="0" w:space="0" w:color="auto"/>
        <w:bottom w:val="none" w:sz="0" w:space="0" w:color="auto"/>
        <w:right w:val="none" w:sz="0" w:space="0" w:color="auto"/>
      </w:divBdr>
      <w:divsChild>
        <w:div w:id="254678611">
          <w:marLeft w:val="0"/>
          <w:marRight w:val="0"/>
          <w:marTop w:val="0"/>
          <w:marBottom w:val="0"/>
          <w:divBdr>
            <w:top w:val="none" w:sz="0" w:space="0" w:color="auto"/>
            <w:left w:val="none" w:sz="0" w:space="0" w:color="auto"/>
            <w:bottom w:val="none" w:sz="0" w:space="0" w:color="auto"/>
            <w:right w:val="none" w:sz="0" w:space="0" w:color="auto"/>
          </w:divBdr>
          <w:divsChild>
            <w:div w:id="1331103781">
              <w:marLeft w:val="0"/>
              <w:marRight w:val="0"/>
              <w:marTop w:val="0"/>
              <w:marBottom w:val="0"/>
              <w:divBdr>
                <w:top w:val="none" w:sz="0" w:space="0" w:color="auto"/>
                <w:left w:val="none" w:sz="0" w:space="0" w:color="auto"/>
                <w:bottom w:val="none" w:sz="0" w:space="0" w:color="auto"/>
                <w:right w:val="none" w:sz="0" w:space="0" w:color="auto"/>
              </w:divBdr>
              <w:divsChild>
                <w:div w:id="79182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844472">
      <w:bodyDiv w:val="1"/>
      <w:marLeft w:val="0"/>
      <w:marRight w:val="0"/>
      <w:marTop w:val="0"/>
      <w:marBottom w:val="0"/>
      <w:divBdr>
        <w:top w:val="none" w:sz="0" w:space="0" w:color="auto"/>
        <w:left w:val="none" w:sz="0" w:space="0" w:color="auto"/>
        <w:bottom w:val="none" w:sz="0" w:space="0" w:color="auto"/>
        <w:right w:val="none" w:sz="0" w:space="0" w:color="auto"/>
      </w:divBdr>
      <w:divsChild>
        <w:div w:id="1173835388">
          <w:marLeft w:val="0"/>
          <w:marRight w:val="0"/>
          <w:marTop w:val="0"/>
          <w:marBottom w:val="0"/>
          <w:divBdr>
            <w:top w:val="none" w:sz="0" w:space="0" w:color="auto"/>
            <w:left w:val="none" w:sz="0" w:space="0" w:color="auto"/>
            <w:bottom w:val="none" w:sz="0" w:space="0" w:color="auto"/>
            <w:right w:val="none" w:sz="0" w:space="0" w:color="auto"/>
          </w:divBdr>
          <w:divsChild>
            <w:div w:id="2098748955">
              <w:marLeft w:val="0"/>
              <w:marRight w:val="0"/>
              <w:marTop w:val="0"/>
              <w:marBottom w:val="0"/>
              <w:divBdr>
                <w:top w:val="none" w:sz="0" w:space="0" w:color="auto"/>
                <w:left w:val="none" w:sz="0" w:space="0" w:color="auto"/>
                <w:bottom w:val="none" w:sz="0" w:space="0" w:color="auto"/>
                <w:right w:val="none" w:sz="0" w:space="0" w:color="auto"/>
              </w:divBdr>
              <w:divsChild>
                <w:div w:id="14374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46457">
      <w:bodyDiv w:val="1"/>
      <w:marLeft w:val="0"/>
      <w:marRight w:val="0"/>
      <w:marTop w:val="0"/>
      <w:marBottom w:val="0"/>
      <w:divBdr>
        <w:top w:val="none" w:sz="0" w:space="0" w:color="auto"/>
        <w:left w:val="none" w:sz="0" w:space="0" w:color="auto"/>
        <w:bottom w:val="none" w:sz="0" w:space="0" w:color="auto"/>
        <w:right w:val="none" w:sz="0" w:space="0" w:color="auto"/>
      </w:divBdr>
      <w:divsChild>
        <w:div w:id="2115594727">
          <w:marLeft w:val="0"/>
          <w:marRight w:val="0"/>
          <w:marTop w:val="0"/>
          <w:marBottom w:val="0"/>
          <w:divBdr>
            <w:top w:val="none" w:sz="0" w:space="0" w:color="auto"/>
            <w:left w:val="none" w:sz="0" w:space="0" w:color="auto"/>
            <w:bottom w:val="none" w:sz="0" w:space="0" w:color="auto"/>
            <w:right w:val="none" w:sz="0" w:space="0" w:color="auto"/>
          </w:divBdr>
          <w:divsChild>
            <w:div w:id="120922675">
              <w:marLeft w:val="0"/>
              <w:marRight w:val="0"/>
              <w:marTop w:val="0"/>
              <w:marBottom w:val="0"/>
              <w:divBdr>
                <w:top w:val="none" w:sz="0" w:space="0" w:color="auto"/>
                <w:left w:val="none" w:sz="0" w:space="0" w:color="auto"/>
                <w:bottom w:val="none" w:sz="0" w:space="0" w:color="auto"/>
                <w:right w:val="none" w:sz="0" w:space="0" w:color="auto"/>
              </w:divBdr>
              <w:divsChild>
                <w:div w:id="5533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89364">
      <w:bodyDiv w:val="1"/>
      <w:marLeft w:val="0"/>
      <w:marRight w:val="0"/>
      <w:marTop w:val="0"/>
      <w:marBottom w:val="0"/>
      <w:divBdr>
        <w:top w:val="none" w:sz="0" w:space="0" w:color="auto"/>
        <w:left w:val="none" w:sz="0" w:space="0" w:color="auto"/>
        <w:bottom w:val="none" w:sz="0" w:space="0" w:color="auto"/>
        <w:right w:val="none" w:sz="0" w:space="0" w:color="auto"/>
      </w:divBdr>
      <w:divsChild>
        <w:div w:id="405153891">
          <w:marLeft w:val="0"/>
          <w:marRight w:val="0"/>
          <w:marTop w:val="0"/>
          <w:marBottom w:val="0"/>
          <w:divBdr>
            <w:top w:val="none" w:sz="0" w:space="0" w:color="auto"/>
            <w:left w:val="none" w:sz="0" w:space="0" w:color="auto"/>
            <w:bottom w:val="none" w:sz="0" w:space="0" w:color="auto"/>
            <w:right w:val="none" w:sz="0" w:space="0" w:color="auto"/>
          </w:divBdr>
          <w:divsChild>
            <w:div w:id="458954377">
              <w:marLeft w:val="0"/>
              <w:marRight w:val="0"/>
              <w:marTop w:val="0"/>
              <w:marBottom w:val="0"/>
              <w:divBdr>
                <w:top w:val="none" w:sz="0" w:space="0" w:color="auto"/>
                <w:left w:val="none" w:sz="0" w:space="0" w:color="auto"/>
                <w:bottom w:val="none" w:sz="0" w:space="0" w:color="auto"/>
                <w:right w:val="none" w:sz="0" w:space="0" w:color="auto"/>
              </w:divBdr>
              <w:divsChild>
                <w:div w:id="5740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79938">
      <w:bodyDiv w:val="1"/>
      <w:marLeft w:val="0"/>
      <w:marRight w:val="0"/>
      <w:marTop w:val="0"/>
      <w:marBottom w:val="0"/>
      <w:divBdr>
        <w:top w:val="none" w:sz="0" w:space="0" w:color="auto"/>
        <w:left w:val="none" w:sz="0" w:space="0" w:color="auto"/>
        <w:bottom w:val="none" w:sz="0" w:space="0" w:color="auto"/>
        <w:right w:val="none" w:sz="0" w:space="0" w:color="auto"/>
      </w:divBdr>
    </w:div>
    <w:div w:id="2141023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Documents/Issues/Migration/OHCHRGuidance_COVID19_Migrants.pdf" TargetMode="External"/><Relationship Id="rId3" Type="http://schemas.openxmlformats.org/officeDocument/2006/relationships/hyperlink" Target="https://ewnews.com/iom-calls-for-govt-to-investigate-migrant-abuse-claims" TargetMode="External"/><Relationship Id="rId7" Type="http://schemas.openxmlformats.org/officeDocument/2006/relationships/hyperlink" Target="https://www.ohchr.org/EN/NewsEvents/Pages/DisplayNews.aspx?NewsID=25745&amp;LangID=E" TargetMode="External"/><Relationship Id="rId2" Type="http://schemas.openxmlformats.org/officeDocument/2006/relationships/hyperlink" Target="https://ewnews.com/stateless-man-sues-over-long-term-detention" TargetMode="External"/><Relationship Id="rId1" Type="http://schemas.openxmlformats.org/officeDocument/2006/relationships/hyperlink" Target="http://www.tribune242.com/news/2020/jun/08/jamaican-man-wins-new-60k-payout-over-detention/" TargetMode="External"/><Relationship Id="rId6" Type="http://schemas.openxmlformats.org/officeDocument/2006/relationships/hyperlink" Target="https://www.oas.org/en/iachr/decisions/pdf/Resolution-1-20-en.pdf" TargetMode="External"/><Relationship Id="rId11" Type="http://schemas.openxmlformats.org/officeDocument/2006/relationships/hyperlink" Target="https://www.thestkittsnevisobserver.com/bahamas-haitian-detainees-protest-want-to-go-home/" TargetMode="External"/><Relationship Id="rId5" Type="http://schemas.openxmlformats.org/officeDocument/2006/relationships/hyperlink" Target="https://theconversation.com/haitian-migrants-face-deportation-and-stigma-in-hurricane-ravaged-%20bahamas-127008" TargetMode="External"/><Relationship Id="rId10" Type="http://schemas.openxmlformats.org/officeDocument/2006/relationships/hyperlink" Target="http://www.tribune242.com/news/2020/jun/04/activists-call-better-treatment-migrants-detention/" TargetMode="External"/><Relationship Id="rId4" Type="http://schemas.openxmlformats.org/officeDocument/2006/relationships/hyperlink" Target="http://amsterdamnews.com/news/2019/oct/24/bahamas-continue-deporting-illegals/" TargetMode="External"/><Relationship Id="rId9" Type="http://schemas.openxmlformats.org/officeDocument/2006/relationships/hyperlink" Target="https://www.refworld.org/docid/5e7132834.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D55F9-B3E8-E34B-8893-7D023736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15768</Words>
  <Characters>81838</Characters>
  <Application>Microsoft Office Word</Application>
  <DocSecurity>0</DocSecurity>
  <Lines>1435</Lines>
  <Paragraphs>361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459/21</dc:title>
  <dc:creator/>
  <cp:lastModifiedBy/>
  <cp:revision>1</cp:revision>
  <dcterms:created xsi:type="dcterms:W3CDTF">2022-04-04T14:37:00Z</dcterms:created>
  <dcterms:modified xsi:type="dcterms:W3CDTF">2022-04-04T14:38:00Z</dcterms:modified>
</cp:coreProperties>
</file>