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1B61" w14:textId="77777777" w:rsidR="00040C3A" w:rsidRPr="00256677" w:rsidRDefault="00083E3C" w:rsidP="001E4D7D">
      <w:pPr>
        <w:jc w:val="both"/>
        <w:rPr>
          <w:rFonts w:asciiTheme="majorHAnsi" w:hAnsiTheme="majorHAnsi" w:cs="Univers"/>
          <w:b/>
          <w:bCs/>
          <w:sz w:val="22"/>
          <w:szCs w:val="22"/>
          <w:lang w:val="es-ES_tradnl"/>
        </w:rPr>
      </w:pPr>
      <w:r w:rsidRPr="0025667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E65F6E5" wp14:editId="18BD6A3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C3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" fillcolor="#67ae3c" stroked="f" strokeweight="2pt"/>
            </w:pict>
          </mc:Fallback>
        </mc:AlternateContent>
      </w:r>
      <w:r w:rsidRPr="0025667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5A15EBB" wp14:editId="0ABC0B1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55EAF" w14:textId="77777777" w:rsidR="00383EEB" w:rsidRDefault="00383EEB">
                            <w:r>
                              <w:rPr>
                                <w:noProof/>
                              </w:rPr>
                              <w:drawing>
                                <wp:inline distT="0" distB="0" distL="0" distR="0" wp14:anchorId="7BDAFB5B" wp14:editId="1AE9D51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15EBB"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" filled="f" stroked="f" strokeweight=".5pt">
                <v:textbox>
                  <w:txbxContent>
                    <w:p w14:paraId="16455EAF" w14:textId="77777777" w:rsidR="00383EEB" w:rsidRDefault="00383EEB">
                      <w:r>
                        <w:rPr>
                          <w:noProof/>
                        </w:rPr>
                        <w:drawing>
                          <wp:inline distT="0" distB="0" distL="0" distR="0" wp14:anchorId="7BDAFB5B" wp14:editId="1AE9D51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E3138BF" w14:textId="77777777" w:rsidR="00040C3A" w:rsidRPr="00256677" w:rsidRDefault="00040C3A" w:rsidP="00040C3A">
      <w:pPr>
        <w:tabs>
          <w:tab w:val="center" w:pos="5400"/>
        </w:tabs>
        <w:suppressAutoHyphens/>
        <w:jc w:val="both"/>
        <w:rPr>
          <w:rFonts w:asciiTheme="majorHAnsi" w:hAnsiTheme="majorHAnsi"/>
          <w:sz w:val="22"/>
          <w:szCs w:val="22"/>
          <w:lang w:val="es-ES"/>
        </w:rPr>
      </w:pPr>
    </w:p>
    <w:p w14:paraId="015ACF6E" w14:textId="77777777" w:rsidR="00040C3A" w:rsidRPr="00256677" w:rsidRDefault="00040C3A" w:rsidP="00040C3A">
      <w:pPr>
        <w:tabs>
          <w:tab w:val="center" w:pos="5400"/>
        </w:tabs>
        <w:suppressAutoHyphens/>
        <w:jc w:val="both"/>
        <w:rPr>
          <w:rFonts w:asciiTheme="majorHAnsi" w:hAnsiTheme="majorHAnsi"/>
          <w:sz w:val="22"/>
          <w:szCs w:val="22"/>
          <w:lang w:val="es-ES"/>
        </w:rPr>
      </w:pPr>
    </w:p>
    <w:p w14:paraId="13D472D9" w14:textId="77777777" w:rsidR="005128E4" w:rsidRPr="00256677" w:rsidRDefault="005128E4" w:rsidP="00040C3A">
      <w:pPr>
        <w:tabs>
          <w:tab w:val="center" w:pos="5400"/>
        </w:tabs>
        <w:suppressAutoHyphens/>
        <w:rPr>
          <w:rFonts w:asciiTheme="majorHAnsi" w:hAnsiTheme="majorHAnsi"/>
          <w:sz w:val="22"/>
          <w:szCs w:val="22"/>
          <w:lang w:val="es-ES_tradnl"/>
        </w:rPr>
      </w:pPr>
    </w:p>
    <w:p w14:paraId="5846B809" w14:textId="77777777" w:rsidR="005128E4" w:rsidRPr="00256677" w:rsidRDefault="005128E4" w:rsidP="00040C3A">
      <w:pPr>
        <w:tabs>
          <w:tab w:val="center" w:pos="5400"/>
        </w:tabs>
        <w:suppressAutoHyphens/>
        <w:rPr>
          <w:rFonts w:asciiTheme="majorHAnsi" w:hAnsiTheme="majorHAnsi"/>
          <w:sz w:val="22"/>
          <w:szCs w:val="22"/>
          <w:lang w:val="es-ES_tradnl"/>
        </w:rPr>
      </w:pPr>
    </w:p>
    <w:p w14:paraId="2C0F285F" w14:textId="77777777" w:rsidR="005128E4" w:rsidRPr="00256677" w:rsidRDefault="005128E4" w:rsidP="00040C3A">
      <w:pPr>
        <w:tabs>
          <w:tab w:val="center" w:pos="5400"/>
        </w:tabs>
        <w:suppressAutoHyphens/>
        <w:rPr>
          <w:rFonts w:asciiTheme="majorHAnsi" w:hAnsiTheme="majorHAnsi"/>
          <w:sz w:val="22"/>
          <w:szCs w:val="22"/>
          <w:lang w:val="es-ES_tradnl"/>
        </w:rPr>
      </w:pPr>
    </w:p>
    <w:p w14:paraId="5C8C804E" w14:textId="77777777" w:rsidR="00040C3A" w:rsidRPr="00256677" w:rsidRDefault="00040C3A" w:rsidP="005128E4">
      <w:pPr>
        <w:tabs>
          <w:tab w:val="center" w:pos="5400"/>
        </w:tabs>
        <w:suppressAutoHyphens/>
        <w:jc w:val="center"/>
        <w:rPr>
          <w:rFonts w:asciiTheme="majorHAnsi" w:hAnsiTheme="majorHAnsi"/>
          <w:sz w:val="22"/>
          <w:szCs w:val="22"/>
          <w:lang w:val="es-ES_tradnl"/>
        </w:rPr>
      </w:pPr>
    </w:p>
    <w:p w14:paraId="1523083B" w14:textId="77777777" w:rsidR="00040C3A" w:rsidRPr="00256677" w:rsidRDefault="00083E3C" w:rsidP="005128E4">
      <w:pPr>
        <w:tabs>
          <w:tab w:val="center" w:pos="5400"/>
        </w:tabs>
        <w:suppressAutoHyphens/>
        <w:jc w:val="center"/>
        <w:rPr>
          <w:rFonts w:asciiTheme="majorHAnsi" w:hAnsiTheme="majorHAnsi"/>
          <w:sz w:val="22"/>
          <w:szCs w:val="22"/>
          <w:lang w:val="es-ES_tradnl"/>
        </w:rPr>
      </w:pPr>
      <w:r w:rsidRPr="00256677">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6B02656B" wp14:editId="55F9A192">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43863" w14:textId="77777777" w:rsidR="00383EEB" w:rsidRDefault="00383EEB" w:rsidP="004B7EB6">
                            <w:pPr>
                              <w:spacing w:line="276" w:lineRule="auto"/>
                              <w:rPr>
                                <w:rFonts w:asciiTheme="majorHAnsi" w:hAnsiTheme="majorHAnsi" w:cs="Arial"/>
                                <w:b/>
                                <w:bCs/>
                                <w:color w:val="0D0D0D" w:themeColor="text1" w:themeTint="F2"/>
                                <w:sz w:val="36"/>
                                <w:szCs w:val="40"/>
                              </w:rPr>
                            </w:pPr>
                          </w:p>
                          <w:p w14:paraId="6F53E915" w14:textId="77777777" w:rsidR="00383EEB" w:rsidRDefault="00383EEB" w:rsidP="004B7EB6">
                            <w:pPr>
                              <w:spacing w:line="276" w:lineRule="auto"/>
                              <w:rPr>
                                <w:rFonts w:asciiTheme="majorHAnsi" w:hAnsiTheme="majorHAnsi" w:cs="Arial"/>
                                <w:b/>
                                <w:bCs/>
                                <w:color w:val="0D0D0D" w:themeColor="text1" w:themeTint="F2"/>
                                <w:sz w:val="36"/>
                                <w:szCs w:val="40"/>
                              </w:rPr>
                            </w:pPr>
                          </w:p>
                          <w:p w14:paraId="0121B089" w14:textId="77777777" w:rsidR="00383EEB" w:rsidRDefault="00383EEB" w:rsidP="004B7EB6">
                            <w:pPr>
                              <w:spacing w:line="276" w:lineRule="auto"/>
                              <w:rPr>
                                <w:rFonts w:asciiTheme="majorHAnsi" w:hAnsiTheme="majorHAnsi" w:cs="Arial"/>
                                <w:b/>
                                <w:bCs/>
                                <w:color w:val="0D0D0D" w:themeColor="text1" w:themeTint="F2"/>
                                <w:sz w:val="36"/>
                                <w:szCs w:val="40"/>
                              </w:rPr>
                            </w:pPr>
                          </w:p>
                          <w:p w14:paraId="047E2C73" w14:textId="77777777" w:rsidR="00383EEB" w:rsidRDefault="00383EEB" w:rsidP="004B7EB6">
                            <w:pPr>
                              <w:spacing w:line="276" w:lineRule="auto"/>
                              <w:rPr>
                                <w:rFonts w:asciiTheme="majorHAnsi" w:hAnsiTheme="majorHAnsi" w:cs="Arial"/>
                                <w:b/>
                                <w:bCs/>
                                <w:color w:val="0D0D0D" w:themeColor="text1" w:themeTint="F2"/>
                                <w:sz w:val="36"/>
                                <w:szCs w:val="40"/>
                              </w:rPr>
                            </w:pPr>
                          </w:p>
                          <w:p w14:paraId="777BDF7D" w14:textId="3CFFC47E" w:rsidR="00383EEB" w:rsidRPr="004B7EB6" w:rsidRDefault="00383EE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13A12">
                              <w:rPr>
                                <w:rFonts w:asciiTheme="majorHAnsi" w:hAnsiTheme="majorHAnsi" w:cs="Arial"/>
                                <w:b/>
                                <w:bCs/>
                                <w:color w:val="0D0D0D" w:themeColor="text1" w:themeTint="F2"/>
                                <w:sz w:val="36"/>
                                <w:szCs w:val="40"/>
                              </w:rPr>
                              <w:t>462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6639AE16" w14:textId="77777777" w:rsidR="00383EEB" w:rsidRPr="004B7EB6" w:rsidRDefault="00383EE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505</w:t>
                            </w:r>
                          </w:p>
                          <w:p w14:paraId="4DD85D54" w14:textId="3C0B06BF" w:rsidR="00383EEB" w:rsidRPr="004B7EB6" w:rsidRDefault="00383EEB"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Pr="00213A12">
                              <w:rPr>
                                <w:rFonts w:asciiTheme="majorHAnsi" w:hAnsiTheme="majorHAnsi" w:cs="Arial"/>
                                <w:color w:val="0D0D0D" w:themeColor="text1" w:themeTint="F2"/>
                                <w:szCs w:val="22"/>
                              </w:rPr>
                              <w:t>(PUBLICATION)</w:t>
                            </w:r>
                          </w:p>
                          <w:p w14:paraId="00814978" w14:textId="77777777" w:rsidR="00383EEB" w:rsidRPr="004B7EB6" w:rsidRDefault="00383EEB" w:rsidP="004B7EB6">
                            <w:pPr>
                              <w:spacing w:line="276" w:lineRule="auto"/>
                              <w:rPr>
                                <w:rFonts w:asciiTheme="majorHAnsi" w:hAnsiTheme="majorHAnsi" w:cs="Arial"/>
                                <w:color w:val="0D0D0D" w:themeColor="text1" w:themeTint="F2"/>
                                <w:szCs w:val="22"/>
                              </w:rPr>
                            </w:pPr>
                          </w:p>
                          <w:p w14:paraId="7AEC2DEC" w14:textId="77777777" w:rsidR="00383EEB" w:rsidRDefault="00383EEB" w:rsidP="00191F07">
                            <w:pPr>
                              <w:pStyle w:val="Body"/>
                              <w:suppressAutoHyphens/>
                              <w:rPr>
                                <w:rFonts w:ascii="Cambria" w:eastAsia="Cambria" w:hAnsi="Cambria" w:cs="Cambria"/>
                              </w:rPr>
                            </w:pPr>
                            <w:r>
                              <w:rPr>
                                <w:rFonts w:ascii="Cambria" w:eastAsia="Cambria" w:hAnsi="Cambria" w:cs="Cambria"/>
                              </w:rPr>
                              <w:t>MARLIN GRAY</w:t>
                            </w:r>
                          </w:p>
                          <w:p w14:paraId="51AAB2D1" w14:textId="77777777" w:rsidR="00383EEB" w:rsidRDefault="00383EE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1C9AD984" w14:textId="77777777" w:rsidR="00383EEB" w:rsidRPr="00E57833" w:rsidRDefault="00383EEB"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2656B"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IpvCU38CAABeBQAADgAAAAAAAAAAAAAAAAAuAgAAZHJzL2Uyb0RvYy54bWxQSwECLQAUAAYACAAA&#10;ACEADMRGbeUAAAAPAQAADwAAAAAAAAAAAAAAAADZBAAAZHJzL2Rvd25yZXYueG1sUEsFBgAAAAAE&#10;AAQA8wAAAOsFAAAAAA==&#10;" filled="f" stroked="f" strokeweight=".5pt">
                <v:textbox>
                  <w:txbxContent>
                    <w:p w14:paraId="15E43863" w14:textId="77777777" w:rsidR="00383EEB" w:rsidRDefault="00383EEB" w:rsidP="004B7EB6">
                      <w:pPr>
                        <w:spacing w:line="276" w:lineRule="auto"/>
                        <w:rPr>
                          <w:rFonts w:asciiTheme="majorHAnsi" w:hAnsiTheme="majorHAnsi" w:cs="Arial"/>
                          <w:b/>
                          <w:bCs/>
                          <w:color w:val="0D0D0D" w:themeColor="text1" w:themeTint="F2"/>
                          <w:sz w:val="36"/>
                          <w:szCs w:val="40"/>
                        </w:rPr>
                      </w:pPr>
                    </w:p>
                    <w:p w14:paraId="6F53E915" w14:textId="77777777" w:rsidR="00383EEB" w:rsidRDefault="00383EEB" w:rsidP="004B7EB6">
                      <w:pPr>
                        <w:spacing w:line="276" w:lineRule="auto"/>
                        <w:rPr>
                          <w:rFonts w:asciiTheme="majorHAnsi" w:hAnsiTheme="majorHAnsi" w:cs="Arial"/>
                          <w:b/>
                          <w:bCs/>
                          <w:color w:val="0D0D0D" w:themeColor="text1" w:themeTint="F2"/>
                          <w:sz w:val="36"/>
                          <w:szCs w:val="40"/>
                        </w:rPr>
                      </w:pPr>
                    </w:p>
                    <w:p w14:paraId="0121B089" w14:textId="77777777" w:rsidR="00383EEB" w:rsidRDefault="00383EEB" w:rsidP="004B7EB6">
                      <w:pPr>
                        <w:spacing w:line="276" w:lineRule="auto"/>
                        <w:rPr>
                          <w:rFonts w:asciiTheme="majorHAnsi" w:hAnsiTheme="majorHAnsi" w:cs="Arial"/>
                          <w:b/>
                          <w:bCs/>
                          <w:color w:val="0D0D0D" w:themeColor="text1" w:themeTint="F2"/>
                          <w:sz w:val="36"/>
                          <w:szCs w:val="40"/>
                        </w:rPr>
                      </w:pPr>
                    </w:p>
                    <w:p w14:paraId="047E2C73" w14:textId="77777777" w:rsidR="00383EEB" w:rsidRDefault="00383EEB" w:rsidP="004B7EB6">
                      <w:pPr>
                        <w:spacing w:line="276" w:lineRule="auto"/>
                        <w:rPr>
                          <w:rFonts w:asciiTheme="majorHAnsi" w:hAnsiTheme="majorHAnsi" w:cs="Arial"/>
                          <w:b/>
                          <w:bCs/>
                          <w:color w:val="0D0D0D" w:themeColor="text1" w:themeTint="F2"/>
                          <w:sz w:val="36"/>
                          <w:szCs w:val="40"/>
                        </w:rPr>
                      </w:pPr>
                    </w:p>
                    <w:p w14:paraId="777BDF7D" w14:textId="3CFFC47E" w:rsidR="00383EEB" w:rsidRPr="004B7EB6" w:rsidRDefault="00383EE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213A12">
                        <w:rPr>
                          <w:rFonts w:asciiTheme="majorHAnsi" w:hAnsiTheme="majorHAnsi" w:cs="Arial"/>
                          <w:b/>
                          <w:bCs/>
                          <w:color w:val="0D0D0D" w:themeColor="text1" w:themeTint="F2"/>
                          <w:sz w:val="36"/>
                          <w:szCs w:val="40"/>
                        </w:rPr>
                        <w:t>462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6639AE16" w14:textId="77777777" w:rsidR="00383EEB" w:rsidRPr="004B7EB6" w:rsidRDefault="00383EE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505</w:t>
                      </w:r>
                    </w:p>
                    <w:p w14:paraId="4DD85D54" w14:textId="3C0B06BF" w:rsidR="00383EEB" w:rsidRPr="004B7EB6" w:rsidRDefault="00383EEB"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Pr="00213A12">
                        <w:rPr>
                          <w:rFonts w:asciiTheme="majorHAnsi" w:hAnsiTheme="majorHAnsi" w:cs="Arial"/>
                          <w:color w:val="0D0D0D" w:themeColor="text1" w:themeTint="F2"/>
                          <w:szCs w:val="22"/>
                        </w:rPr>
                        <w:t>(PUBLICATION)</w:t>
                      </w:r>
                    </w:p>
                    <w:p w14:paraId="00814978" w14:textId="77777777" w:rsidR="00383EEB" w:rsidRPr="004B7EB6" w:rsidRDefault="00383EEB" w:rsidP="004B7EB6">
                      <w:pPr>
                        <w:spacing w:line="276" w:lineRule="auto"/>
                        <w:rPr>
                          <w:rFonts w:asciiTheme="majorHAnsi" w:hAnsiTheme="majorHAnsi" w:cs="Arial"/>
                          <w:color w:val="0D0D0D" w:themeColor="text1" w:themeTint="F2"/>
                          <w:szCs w:val="22"/>
                        </w:rPr>
                      </w:pPr>
                    </w:p>
                    <w:p w14:paraId="7AEC2DEC" w14:textId="77777777" w:rsidR="00383EEB" w:rsidRDefault="00383EEB" w:rsidP="00191F07">
                      <w:pPr>
                        <w:pStyle w:val="Body"/>
                        <w:suppressAutoHyphens/>
                        <w:rPr>
                          <w:rFonts w:ascii="Cambria" w:eastAsia="Cambria" w:hAnsi="Cambria" w:cs="Cambria"/>
                        </w:rPr>
                      </w:pPr>
                      <w:r>
                        <w:rPr>
                          <w:rFonts w:ascii="Cambria" w:eastAsia="Cambria" w:hAnsi="Cambria" w:cs="Cambria"/>
                        </w:rPr>
                        <w:t>MARLIN GRAY</w:t>
                      </w:r>
                    </w:p>
                    <w:p w14:paraId="51AAB2D1" w14:textId="77777777" w:rsidR="00383EEB" w:rsidRDefault="00383EE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1C9AD984" w14:textId="77777777" w:rsidR="00383EEB" w:rsidRPr="00E57833" w:rsidRDefault="00383EEB" w:rsidP="004B7EB6">
                      <w:pPr>
                        <w:spacing w:line="276" w:lineRule="auto"/>
                        <w:rPr>
                          <w:rFonts w:asciiTheme="majorHAnsi" w:hAnsiTheme="majorHAnsi"/>
                          <w:color w:val="0D0D0D" w:themeColor="text1" w:themeTint="F2"/>
                        </w:rPr>
                      </w:pPr>
                    </w:p>
                  </w:txbxContent>
                </v:textbox>
              </v:shape>
            </w:pict>
          </mc:Fallback>
        </mc:AlternateContent>
      </w:r>
    </w:p>
    <w:p w14:paraId="7BFF7561" w14:textId="77777777" w:rsidR="005B52B0" w:rsidRPr="00256677" w:rsidRDefault="005B52B0" w:rsidP="005128E4">
      <w:pPr>
        <w:tabs>
          <w:tab w:val="center" w:pos="5400"/>
        </w:tabs>
        <w:suppressAutoHyphens/>
        <w:jc w:val="center"/>
        <w:rPr>
          <w:rFonts w:asciiTheme="majorHAnsi" w:hAnsiTheme="majorHAnsi"/>
          <w:sz w:val="22"/>
          <w:szCs w:val="22"/>
          <w:lang w:val="es-ES_tradnl"/>
        </w:rPr>
      </w:pPr>
    </w:p>
    <w:p w14:paraId="1247020D" w14:textId="77777777" w:rsidR="005B52B0" w:rsidRPr="00256677" w:rsidRDefault="005B52B0" w:rsidP="005128E4">
      <w:pPr>
        <w:tabs>
          <w:tab w:val="center" w:pos="5400"/>
        </w:tabs>
        <w:suppressAutoHyphens/>
        <w:jc w:val="center"/>
        <w:rPr>
          <w:rFonts w:asciiTheme="majorHAnsi" w:hAnsiTheme="majorHAnsi"/>
          <w:sz w:val="22"/>
          <w:szCs w:val="22"/>
          <w:lang w:val="es-ES_tradnl"/>
        </w:rPr>
      </w:pPr>
    </w:p>
    <w:p w14:paraId="49267148" w14:textId="77777777" w:rsidR="005B52B0" w:rsidRPr="00256677" w:rsidRDefault="005B52B0" w:rsidP="005128E4">
      <w:pPr>
        <w:tabs>
          <w:tab w:val="center" w:pos="5400"/>
        </w:tabs>
        <w:suppressAutoHyphens/>
        <w:jc w:val="center"/>
        <w:rPr>
          <w:rFonts w:asciiTheme="majorHAnsi" w:hAnsiTheme="majorHAnsi"/>
          <w:sz w:val="22"/>
          <w:szCs w:val="22"/>
          <w:lang w:val="es-ES_tradnl"/>
        </w:rPr>
      </w:pPr>
    </w:p>
    <w:p w14:paraId="62D4B8B6"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15BF0AFE"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5D1562D3"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187D2D78"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15460EE4" w14:textId="77777777" w:rsidR="00040C3A" w:rsidRPr="00256677" w:rsidRDefault="00083E3C" w:rsidP="00040C3A">
      <w:pPr>
        <w:tabs>
          <w:tab w:val="center" w:pos="5400"/>
        </w:tabs>
        <w:suppressAutoHyphens/>
        <w:jc w:val="center"/>
        <w:rPr>
          <w:rFonts w:asciiTheme="majorHAnsi" w:hAnsiTheme="majorHAnsi"/>
          <w:sz w:val="22"/>
          <w:szCs w:val="22"/>
          <w:lang w:val="es-ES_tradnl"/>
        </w:rPr>
      </w:pPr>
      <w:r w:rsidRPr="0025667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B846DD" wp14:editId="0C836A8C">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4C64B" w14:textId="77777777" w:rsidR="00383EEB" w:rsidRPr="005F55DC" w:rsidRDefault="00383EEB" w:rsidP="002C1641">
                            <w:pPr>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OEA/</w:t>
                            </w:r>
                            <w:proofErr w:type="spellStart"/>
                            <w:r>
                              <w:rPr>
                                <w:rFonts w:asciiTheme="minorHAnsi" w:hAnsiTheme="minorHAnsi"/>
                                <w:color w:val="FFFFFF" w:themeColor="background1"/>
                                <w:sz w:val="22"/>
                                <w:lang w:val="es-CO"/>
                              </w:rPr>
                              <w:t>Ser.L</w:t>
                            </w:r>
                            <w:proofErr w:type="spellEnd"/>
                            <w:r>
                              <w:rPr>
                                <w:rFonts w:asciiTheme="minorHAnsi" w:hAnsiTheme="minorHAnsi"/>
                                <w:color w:val="FFFFFF" w:themeColor="background1"/>
                                <w:sz w:val="22"/>
                                <w:lang w:val="es-CO"/>
                              </w:rPr>
                              <w:t>/V/II.</w:t>
                            </w:r>
                          </w:p>
                          <w:p w14:paraId="61A832A4" w14:textId="1961E4DD" w:rsidR="00383EEB" w:rsidRPr="00706D7E" w:rsidRDefault="00383EEB"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213A12">
                              <w:rPr>
                                <w:rFonts w:asciiTheme="minorHAnsi" w:hAnsiTheme="minorHAnsi"/>
                                <w:color w:val="FFFFFF" w:themeColor="background1"/>
                                <w:sz w:val="22"/>
                              </w:rPr>
                              <w:t>476</w:t>
                            </w:r>
                          </w:p>
                          <w:p w14:paraId="0CABA01D" w14:textId="07CA48DC" w:rsidR="00383EEB" w:rsidRPr="004B7EB6" w:rsidRDefault="009E329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383EEB">
                              <w:rPr>
                                <w:rFonts w:asciiTheme="minorHAnsi" w:hAnsiTheme="minorHAnsi"/>
                                <w:color w:val="FFFFFF" w:themeColor="background1"/>
                                <w:sz w:val="22"/>
                              </w:rPr>
                              <w:t>December 2021</w:t>
                            </w:r>
                          </w:p>
                          <w:p w14:paraId="2F2A268B" w14:textId="77777777" w:rsidR="00383EEB" w:rsidRPr="004B7EB6" w:rsidRDefault="00383EE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846DD" id="_x0000_t202" coordsize="21600,21600" o:spt="202" path="m,l,21600r21600,l21600,xe">
                <v:stroke joinstyle="miter"/>
                <v:path gradientshapeok="t" o:connecttype="rect"/>
              </v:shapetype>
              <v:shap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7634C64B" w14:textId="77777777" w:rsidR="00383EEB" w:rsidRPr="005F55DC" w:rsidRDefault="00383EEB" w:rsidP="002C1641">
                      <w:pPr>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OEA/</w:t>
                      </w:r>
                      <w:proofErr w:type="spellStart"/>
                      <w:r>
                        <w:rPr>
                          <w:rFonts w:asciiTheme="minorHAnsi" w:hAnsiTheme="minorHAnsi"/>
                          <w:color w:val="FFFFFF" w:themeColor="background1"/>
                          <w:sz w:val="22"/>
                          <w:lang w:val="es-CO"/>
                        </w:rPr>
                        <w:t>Ser.L</w:t>
                      </w:r>
                      <w:proofErr w:type="spellEnd"/>
                      <w:r>
                        <w:rPr>
                          <w:rFonts w:asciiTheme="minorHAnsi" w:hAnsiTheme="minorHAnsi"/>
                          <w:color w:val="FFFFFF" w:themeColor="background1"/>
                          <w:sz w:val="22"/>
                          <w:lang w:val="es-CO"/>
                        </w:rPr>
                        <w:t>/V/II.</w:t>
                      </w:r>
                    </w:p>
                    <w:p w14:paraId="61A832A4" w14:textId="1961E4DD" w:rsidR="00383EEB" w:rsidRPr="00706D7E" w:rsidRDefault="00383EEB"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213A12">
                        <w:rPr>
                          <w:rFonts w:asciiTheme="minorHAnsi" w:hAnsiTheme="minorHAnsi"/>
                          <w:color w:val="FFFFFF" w:themeColor="background1"/>
                          <w:sz w:val="22"/>
                        </w:rPr>
                        <w:t>476</w:t>
                      </w:r>
                    </w:p>
                    <w:p w14:paraId="0CABA01D" w14:textId="07CA48DC" w:rsidR="00383EEB" w:rsidRPr="004B7EB6" w:rsidRDefault="009E329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383EEB">
                        <w:rPr>
                          <w:rFonts w:asciiTheme="minorHAnsi" w:hAnsiTheme="minorHAnsi"/>
                          <w:color w:val="FFFFFF" w:themeColor="background1"/>
                          <w:sz w:val="22"/>
                        </w:rPr>
                        <w:t>December 2021</w:t>
                      </w:r>
                    </w:p>
                    <w:p w14:paraId="2F2A268B" w14:textId="77777777" w:rsidR="00383EEB" w:rsidRPr="004B7EB6" w:rsidRDefault="00383EE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3BB60071" w14:textId="77777777" w:rsidR="00040C3A" w:rsidRPr="00256677" w:rsidRDefault="00040C3A" w:rsidP="00040C3A">
      <w:pPr>
        <w:tabs>
          <w:tab w:val="center" w:pos="5400"/>
        </w:tabs>
        <w:suppressAutoHyphens/>
        <w:jc w:val="center"/>
        <w:rPr>
          <w:rFonts w:asciiTheme="majorHAnsi" w:hAnsiTheme="majorHAnsi" w:cs="Arial"/>
          <w:sz w:val="22"/>
          <w:szCs w:val="22"/>
          <w:lang w:val="es-ES_tradnl"/>
        </w:rPr>
      </w:pPr>
    </w:p>
    <w:p w14:paraId="503BD10E"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21CFF668"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422CB1F9"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47B46E28"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6FF2C00E" w14:textId="77777777" w:rsidR="005128E4" w:rsidRPr="00256677" w:rsidRDefault="005128E4" w:rsidP="00040C3A">
      <w:pPr>
        <w:tabs>
          <w:tab w:val="center" w:pos="5400"/>
        </w:tabs>
        <w:suppressAutoHyphens/>
        <w:jc w:val="center"/>
        <w:rPr>
          <w:rFonts w:asciiTheme="majorHAnsi" w:hAnsiTheme="majorHAnsi"/>
          <w:sz w:val="22"/>
          <w:szCs w:val="22"/>
          <w:lang w:val="es-ES_tradnl"/>
        </w:rPr>
      </w:pPr>
    </w:p>
    <w:p w14:paraId="4EBEDCE2"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0B2CB76D" w14:textId="77777777" w:rsidR="005128E4" w:rsidRPr="00256677" w:rsidRDefault="005128E4" w:rsidP="00040C3A">
      <w:pPr>
        <w:tabs>
          <w:tab w:val="center" w:pos="5400"/>
        </w:tabs>
        <w:suppressAutoHyphens/>
        <w:jc w:val="center"/>
        <w:rPr>
          <w:rFonts w:asciiTheme="majorHAnsi" w:hAnsiTheme="majorHAnsi"/>
          <w:sz w:val="22"/>
          <w:szCs w:val="22"/>
          <w:lang w:val="es-ES_tradnl"/>
        </w:rPr>
      </w:pPr>
    </w:p>
    <w:p w14:paraId="4D858499" w14:textId="77777777" w:rsidR="005128E4" w:rsidRPr="00256677" w:rsidRDefault="005128E4" w:rsidP="00040C3A">
      <w:pPr>
        <w:tabs>
          <w:tab w:val="center" w:pos="5400"/>
        </w:tabs>
        <w:suppressAutoHyphens/>
        <w:jc w:val="center"/>
        <w:rPr>
          <w:rFonts w:asciiTheme="majorHAnsi" w:hAnsiTheme="majorHAnsi"/>
          <w:sz w:val="22"/>
          <w:szCs w:val="22"/>
          <w:lang w:val="es-ES_tradnl"/>
        </w:rPr>
      </w:pPr>
    </w:p>
    <w:p w14:paraId="163CBDAC" w14:textId="77777777" w:rsidR="005128E4" w:rsidRPr="00256677" w:rsidRDefault="005128E4" w:rsidP="00040C3A">
      <w:pPr>
        <w:tabs>
          <w:tab w:val="center" w:pos="5400"/>
        </w:tabs>
        <w:suppressAutoHyphens/>
        <w:jc w:val="center"/>
        <w:rPr>
          <w:rFonts w:asciiTheme="majorHAnsi" w:hAnsiTheme="majorHAnsi"/>
          <w:sz w:val="22"/>
          <w:szCs w:val="22"/>
          <w:lang w:val="es-ES_tradnl"/>
        </w:rPr>
      </w:pPr>
    </w:p>
    <w:p w14:paraId="33452C07"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7FB6D963" w14:textId="77777777" w:rsidR="00040C3A" w:rsidRPr="00256677" w:rsidRDefault="00040C3A" w:rsidP="00040C3A">
      <w:pPr>
        <w:tabs>
          <w:tab w:val="center" w:pos="5400"/>
        </w:tabs>
        <w:suppressAutoHyphens/>
        <w:jc w:val="center"/>
        <w:rPr>
          <w:rFonts w:asciiTheme="majorHAnsi" w:hAnsiTheme="majorHAnsi"/>
          <w:sz w:val="22"/>
          <w:szCs w:val="22"/>
          <w:lang w:val="es-ES_tradnl"/>
        </w:rPr>
      </w:pPr>
    </w:p>
    <w:p w14:paraId="24BEAACB"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41AB0317"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58A25EEC"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68206E35"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3F30C55D"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4D106005"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0840747D"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2BC19CA1"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3DA28F53"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20613DE5"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4D902C65"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2F03ECFE"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44A79EFF"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6D8B647E"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179B1708" w14:textId="77777777" w:rsidR="002C1641" w:rsidRPr="00256677" w:rsidRDefault="00557BA8" w:rsidP="00040C3A">
      <w:pPr>
        <w:tabs>
          <w:tab w:val="center" w:pos="5400"/>
        </w:tabs>
        <w:suppressAutoHyphens/>
        <w:jc w:val="center"/>
        <w:rPr>
          <w:rFonts w:asciiTheme="majorHAnsi" w:hAnsiTheme="majorHAnsi"/>
          <w:sz w:val="18"/>
          <w:szCs w:val="22"/>
          <w:lang w:val="es-ES_tradnl"/>
        </w:rPr>
      </w:pPr>
      <w:r w:rsidRPr="0025667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89B43AB" wp14:editId="677FC38C">
                <wp:simplePos x="0" y="0"/>
                <wp:positionH relativeFrom="column">
                  <wp:posOffset>1228725</wp:posOffset>
                </wp:positionH>
                <wp:positionV relativeFrom="paragraph">
                  <wp:posOffset>5715</wp:posOffset>
                </wp:positionV>
                <wp:extent cx="4576445" cy="495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644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82035" w14:textId="444156BB" w:rsidR="00383EEB" w:rsidRPr="003C32BC" w:rsidRDefault="00383EE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Pr>
                                <w:rFonts w:asciiTheme="majorHAnsi" w:hAnsiTheme="majorHAnsi"/>
                                <w:color w:val="0D0D0D" w:themeColor="text1" w:themeTint="F2"/>
                                <w:sz w:val="18"/>
                                <w:szCs w:val="20"/>
                              </w:rPr>
                              <w:t xml:space="preserve">December </w:t>
                            </w:r>
                            <w:r w:rsidR="00213A12">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4003A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43AB" id="Text Box 7" o:spid="_x0000_s1029" type="#_x0000_t202" style="position:absolute;left:0;text-align:left;margin-left:96.75pt;margin-top:.45pt;width:360.3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" filled="f" stroked="f" strokeweight=".5pt">
                <v:textbox>
                  <w:txbxContent>
                    <w:p w14:paraId="73982035" w14:textId="444156BB" w:rsidR="00383EEB" w:rsidRPr="003C32BC" w:rsidRDefault="00383EE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on </w:t>
                      </w:r>
                      <w:r>
                        <w:rPr>
                          <w:rFonts w:asciiTheme="majorHAnsi" w:hAnsiTheme="majorHAnsi"/>
                          <w:color w:val="0D0D0D" w:themeColor="text1" w:themeTint="F2"/>
                          <w:sz w:val="18"/>
                          <w:szCs w:val="20"/>
                        </w:rPr>
                        <w:t xml:space="preserve">December </w:t>
                      </w:r>
                      <w:r w:rsidR="00213A12">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4003A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33CF5F0E"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357E6B10"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4DDE0985" w14:textId="77777777" w:rsidR="002C1641" w:rsidRPr="00256677" w:rsidRDefault="00083E3C" w:rsidP="00040C3A">
      <w:pPr>
        <w:tabs>
          <w:tab w:val="center" w:pos="5400"/>
        </w:tabs>
        <w:suppressAutoHyphens/>
        <w:jc w:val="center"/>
        <w:rPr>
          <w:rFonts w:asciiTheme="majorHAnsi" w:hAnsiTheme="majorHAnsi"/>
          <w:sz w:val="18"/>
          <w:szCs w:val="22"/>
          <w:lang w:val="es-ES_tradnl"/>
        </w:rPr>
      </w:pPr>
      <w:r w:rsidRPr="0025667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B7DB631" wp14:editId="10C3319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A0848" w14:textId="55DD6739" w:rsidR="00383EEB" w:rsidRPr="003C32BC" w:rsidRDefault="00383EEB"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13A12">
                              <w:rPr>
                                <w:rFonts w:asciiTheme="majorHAnsi" w:hAnsiTheme="majorHAnsi"/>
                                <w:color w:val="595959" w:themeColor="text1" w:themeTint="A6"/>
                                <w:sz w:val="18"/>
                              </w:rPr>
                              <w:t>462</w:t>
                            </w:r>
                            <w:r w:rsidRPr="00083E3C">
                              <w:rPr>
                                <w:rFonts w:asciiTheme="majorHAnsi" w:hAnsiTheme="majorHAnsi"/>
                                <w:color w:val="595959" w:themeColor="text1" w:themeTint="A6"/>
                                <w:sz w:val="18"/>
                              </w:rPr>
                              <w:t>/</w:t>
                            </w:r>
                            <w:r>
                              <w:rPr>
                                <w:rFonts w:asciiTheme="majorHAnsi" w:hAnsiTheme="majorHAnsi"/>
                                <w:color w:val="595959" w:themeColor="text1" w:themeTint="A6"/>
                                <w:sz w:val="18"/>
                              </w:rPr>
                              <w:t>21</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12.50</w:t>
                            </w:r>
                            <w:r w:rsidRPr="00E11D68">
                              <w:rPr>
                                <w:rFonts w:asciiTheme="majorHAnsi" w:hAnsiTheme="majorHAnsi"/>
                                <w:color w:val="595959" w:themeColor="text1" w:themeTint="A6"/>
                                <w:sz w:val="18"/>
                              </w:rPr>
                              <w:t>5. Merits</w:t>
                            </w:r>
                            <w:r>
                              <w:rPr>
                                <w:rFonts w:asciiTheme="majorHAnsi" w:hAnsiTheme="majorHAnsi"/>
                                <w:color w:val="595959" w:themeColor="text1" w:themeTint="A6"/>
                                <w:sz w:val="18"/>
                              </w:rPr>
                              <w:t xml:space="preserve"> (Publication)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Marlin Gray</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December</w:t>
                            </w:r>
                            <w:r w:rsidR="00191C42">
                              <w:rPr>
                                <w:rFonts w:asciiTheme="majorHAnsi" w:hAnsiTheme="majorHAnsi"/>
                                <w:color w:val="595959" w:themeColor="text1" w:themeTint="A6"/>
                                <w:sz w:val="18"/>
                              </w:rPr>
                              <w:t xml:space="preserve"> </w:t>
                            </w:r>
                            <w:r w:rsidR="00213A12">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DB631"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7F7A0848" w14:textId="55DD6739" w:rsidR="00383EEB" w:rsidRPr="003C32BC" w:rsidRDefault="00383EEB"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13A12">
                        <w:rPr>
                          <w:rFonts w:asciiTheme="majorHAnsi" w:hAnsiTheme="majorHAnsi"/>
                          <w:color w:val="595959" w:themeColor="text1" w:themeTint="A6"/>
                          <w:sz w:val="18"/>
                        </w:rPr>
                        <w:t>462</w:t>
                      </w:r>
                      <w:r w:rsidRPr="00083E3C">
                        <w:rPr>
                          <w:rFonts w:asciiTheme="majorHAnsi" w:hAnsiTheme="majorHAnsi"/>
                          <w:color w:val="595959" w:themeColor="text1" w:themeTint="A6"/>
                          <w:sz w:val="18"/>
                        </w:rPr>
                        <w:t>/</w:t>
                      </w:r>
                      <w:r>
                        <w:rPr>
                          <w:rFonts w:asciiTheme="majorHAnsi" w:hAnsiTheme="majorHAnsi"/>
                          <w:color w:val="595959" w:themeColor="text1" w:themeTint="A6"/>
                          <w:sz w:val="18"/>
                        </w:rPr>
                        <w:t>21</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12.50</w:t>
                      </w:r>
                      <w:r w:rsidRPr="00E11D68">
                        <w:rPr>
                          <w:rFonts w:asciiTheme="majorHAnsi" w:hAnsiTheme="majorHAnsi"/>
                          <w:color w:val="595959" w:themeColor="text1" w:themeTint="A6"/>
                          <w:sz w:val="18"/>
                        </w:rPr>
                        <w:t>5. Merits</w:t>
                      </w:r>
                      <w:r>
                        <w:rPr>
                          <w:rFonts w:asciiTheme="majorHAnsi" w:hAnsiTheme="majorHAnsi"/>
                          <w:color w:val="595959" w:themeColor="text1" w:themeTint="A6"/>
                          <w:sz w:val="18"/>
                        </w:rPr>
                        <w:t xml:space="preserve"> (Publication)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Marlin Gray</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December</w:t>
                      </w:r>
                      <w:r w:rsidR="00191C42">
                        <w:rPr>
                          <w:rFonts w:asciiTheme="majorHAnsi" w:hAnsiTheme="majorHAnsi"/>
                          <w:color w:val="595959" w:themeColor="text1" w:themeTint="A6"/>
                          <w:sz w:val="18"/>
                        </w:rPr>
                        <w:t xml:space="preserve"> </w:t>
                      </w:r>
                      <w:r w:rsidR="00213A12">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7607C4">
                        <w:rPr>
                          <w:rFonts w:asciiTheme="majorHAnsi" w:hAnsiTheme="majorHAnsi"/>
                          <w:color w:val="595959" w:themeColor="text1" w:themeTint="A6"/>
                          <w:sz w:val="18"/>
                        </w:rPr>
                        <w:t>.</w:t>
                      </w:r>
                    </w:p>
                  </w:txbxContent>
                </v:textbox>
              </v:shape>
            </w:pict>
          </mc:Fallback>
        </mc:AlternateContent>
      </w:r>
    </w:p>
    <w:p w14:paraId="5A2022CF"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1DE443D5" w14:textId="77777777" w:rsidR="002C1641" w:rsidRPr="00256677" w:rsidRDefault="002C1641" w:rsidP="00040C3A">
      <w:pPr>
        <w:tabs>
          <w:tab w:val="center" w:pos="5400"/>
        </w:tabs>
        <w:suppressAutoHyphens/>
        <w:jc w:val="center"/>
        <w:rPr>
          <w:rFonts w:asciiTheme="majorHAnsi" w:hAnsiTheme="majorHAnsi"/>
          <w:sz w:val="18"/>
          <w:szCs w:val="22"/>
          <w:lang w:val="es-ES_tradnl"/>
        </w:rPr>
      </w:pPr>
    </w:p>
    <w:p w14:paraId="590AF3AE" w14:textId="77777777" w:rsidR="003C32BC" w:rsidRPr="00256677" w:rsidRDefault="003C32BC" w:rsidP="003C32BC">
      <w:pPr>
        <w:tabs>
          <w:tab w:val="center" w:pos="5400"/>
        </w:tabs>
        <w:suppressAutoHyphens/>
        <w:jc w:val="center"/>
        <w:rPr>
          <w:rFonts w:asciiTheme="majorHAnsi" w:hAnsiTheme="majorHAnsi"/>
          <w:sz w:val="18"/>
          <w:szCs w:val="22"/>
        </w:rPr>
      </w:pPr>
    </w:p>
    <w:p w14:paraId="143347FC" w14:textId="77777777" w:rsidR="003C32BC" w:rsidRPr="00256677" w:rsidRDefault="00083E3C" w:rsidP="003C32BC">
      <w:pPr>
        <w:tabs>
          <w:tab w:val="center" w:pos="5400"/>
        </w:tabs>
        <w:suppressAutoHyphens/>
        <w:jc w:val="center"/>
        <w:rPr>
          <w:rFonts w:asciiTheme="majorHAnsi" w:hAnsiTheme="majorHAnsi"/>
          <w:sz w:val="18"/>
          <w:szCs w:val="22"/>
        </w:rPr>
      </w:pPr>
      <w:r w:rsidRPr="0025667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526C1C" wp14:editId="140A4A7D">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E634E" w14:textId="77777777" w:rsidR="00383EEB" w:rsidRPr="004B7EB6" w:rsidRDefault="00383EE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6C1C"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" filled="f" stroked="f" strokeweight=".5pt">
                <v:textbox>
                  <w:txbxContent>
                    <w:p w14:paraId="219E634E" w14:textId="77777777" w:rsidR="00383EEB" w:rsidRPr="004B7EB6" w:rsidRDefault="00383EE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5667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9D8487E" wp14:editId="38DADA9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E1E38" w14:textId="7DE94B40" w:rsidR="00383EEB" w:rsidRDefault="004003A5">
                            <w:r>
                              <w:rPr>
                                <w:noProof/>
                              </w:rPr>
                              <w:drawing>
                                <wp:inline distT="0" distB="0" distL="0" distR="0" wp14:anchorId="79F8C01F" wp14:editId="613EE0C2">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8487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476E1E38" w14:textId="7DE94B40" w:rsidR="00383EEB" w:rsidRDefault="004003A5">
                      <w:r>
                        <w:rPr>
                          <w:noProof/>
                        </w:rPr>
                        <w:drawing>
                          <wp:inline distT="0" distB="0" distL="0" distR="0" wp14:anchorId="79F8C01F" wp14:editId="613EE0C2">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0E5D45FF" w14:textId="77777777" w:rsidR="007607C4" w:rsidRPr="00256677" w:rsidRDefault="007607C4" w:rsidP="003C32BC">
      <w:pPr>
        <w:tabs>
          <w:tab w:val="center" w:pos="5400"/>
        </w:tabs>
        <w:suppressAutoHyphens/>
        <w:jc w:val="center"/>
        <w:rPr>
          <w:rFonts w:asciiTheme="majorHAnsi" w:hAnsiTheme="majorHAnsi"/>
          <w:sz w:val="18"/>
          <w:szCs w:val="22"/>
        </w:rPr>
        <w:sectPr w:rsidR="007607C4" w:rsidRPr="00256677">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2B530B00" w14:textId="77777777" w:rsidR="00FC3EB4" w:rsidRPr="00256677" w:rsidRDefault="00FC3EB4" w:rsidP="00FC3EB4">
      <w:pPr>
        <w:tabs>
          <w:tab w:val="center" w:pos="5400"/>
        </w:tabs>
        <w:suppressAutoHyphens/>
        <w:spacing w:line="276" w:lineRule="auto"/>
        <w:jc w:val="center"/>
        <w:rPr>
          <w:rFonts w:asciiTheme="majorHAnsi" w:hAnsiTheme="majorHAnsi"/>
          <w:b/>
          <w:sz w:val="18"/>
          <w:szCs w:val="18"/>
        </w:rPr>
      </w:pPr>
      <w:r w:rsidRPr="00256677">
        <w:rPr>
          <w:rFonts w:asciiTheme="majorHAnsi" w:hAnsiTheme="majorHAnsi"/>
          <w:b/>
          <w:sz w:val="18"/>
          <w:szCs w:val="18"/>
        </w:rPr>
        <w:lastRenderedPageBreak/>
        <w:t>INDEX</w:t>
      </w:r>
    </w:p>
    <w:p w14:paraId="2BD9BDCB" w14:textId="77777777" w:rsidR="007607C4" w:rsidRPr="00256677" w:rsidRDefault="007607C4" w:rsidP="00145EDC">
      <w:pPr>
        <w:tabs>
          <w:tab w:val="center" w:pos="5400"/>
        </w:tabs>
        <w:suppressAutoHyphens/>
        <w:spacing w:line="276" w:lineRule="auto"/>
        <w:rPr>
          <w:rFonts w:asciiTheme="majorHAnsi" w:hAnsiTheme="majorHAnsi"/>
          <w:sz w:val="18"/>
          <w:szCs w:val="18"/>
        </w:rPr>
      </w:pPr>
    </w:p>
    <w:p w14:paraId="5B52D076" w14:textId="77777777" w:rsidR="007607C4" w:rsidRPr="00B86A06" w:rsidRDefault="007607C4" w:rsidP="00145EDC">
      <w:pPr>
        <w:tabs>
          <w:tab w:val="center" w:pos="5400"/>
        </w:tabs>
        <w:suppressAutoHyphens/>
        <w:spacing w:line="276" w:lineRule="auto"/>
        <w:rPr>
          <w:rFonts w:asciiTheme="majorHAnsi" w:hAnsiTheme="majorHAnsi"/>
          <w:sz w:val="20"/>
          <w:szCs w:val="20"/>
        </w:rPr>
      </w:pPr>
    </w:p>
    <w:p w14:paraId="7823C5D7" w14:textId="6902E877" w:rsidR="00383EEB" w:rsidRPr="004003A5" w:rsidRDefault="00E200F9" w:rsidP="004003A5">
      <w:pPr>
        <w:pStyle w:val="TOC1"/>
        <w:ind w:hanging="720"/>
        <w:rPr>
          <w:rFonts w:eastAsiaTheme="minorEastAsia" w:cstheme="minorBidi"/>
          <w:bdr w:val="none" w:sz="0" w:space="0" w:color="auto"/>
          <w:lang w:val="en-US" w:eastAsia="zh-CN"/>
        </w:rPr>
      </w:pPr>
      <w:r w:rsidRPr="00DE1726">
        <w:fldChar w:fldCharType="begin"/>
      </w:r>
      <w:r w:rsidRPr="00DE1726">
        <w:rPr>
          <w:lang w:val="en-US"/>
        </w:rPr>
        <w:instrText xml:space="preserve"> TOC \o "1-3" </w:instrText>
      </w:r>
      <w:r w:rsidRPr="00DE1726">
        <w:fldChar w:fldCharType="separate"/>
      </w:r>
      <w:r w:rsidR="00383EEB" w:rsidRPr="004003A5">
        <w:rPr>
          <w:lang w:val="en-US"/>
        </w:rPr>
        <w:t>I.</w:t>
      </w:r>
      <w:r w:rsidR="00383EEB" w:rsidRPr="004003A5">
        <w:rPr>
          <w:rFonts w:eastAsiaTheme="minorEastAsia" w:cstheme="minorBidi"/>
          <w:bdr w:val="none" w:sz="0" w:space="0" w:color="auto"/>
          <w:lang w:val="en-US" w:eastAsia="zh-CN"/>
        </w:rPr>
        <w:tab/>
      </w:r>
      <w:r w:rsidR="00383EEB" w:rsidRPr="004003A5">
        <w:rPr>
          <w:lang w:val="en-US"/>
        </w:rPr>
        <w:t>INTRODUCTION</w:t>
      </w:r>
      <w:r w:rsidR="00383EEB" w:rsidRPr="004003A5">
        <w:rPr>
          <w:lang w:val="en-US"/>
        </w:rPr>
        <w:tab/>
      </w:r>
      <w:r w:rsidR="00383EEB" w:rsidRPr="00DE1726">
        <w:fldChar w:fldCharType="begin"/>
      </w:r>
      <w:r w:rsidR="00383EEB" w:rsidRPr="004003A5">
        <w:rPr>
          <w:lang w:val="en-US"/>
        </w:rPr>
        <w:instrText xml:space="preserve"> PAGEREF _Toc90284132 \h </w:instrText>
      </w:r>
      <w:r w:rsidR="00383EEB" w:rsidRPr="00DE1726">
        <w:fldChar w:fldCharType="separate"/>
      </w:r>
      <w:r w:rsidR="00383EEB" w:rsidRPr="004003A5">
        <w:rPr>
          <w:lang w:val="en-US"/>
        </w:rPr>
        <w:t>2</w:t>
      </w:r>
      <w:r w:rsidR="00383EEB" w:rsidRPr="00DE1726">
        <w:fldChar w:fldCharType="end"/>
      </w:r>
    </w:p>
    <w:p w14:paraId="0F69C437" w14:textId="32A0C5F5" w:rsidR="00383EEB" w:rsidRPr="004003A5" w:rsidRDefault="00383EEB" w:rsidP="004003A5">
      <w:pPr>
        <w:pStyle w:val="TOC1"/>
        <w:ind w:hanging="720"/>
        <w:rPr>
          <w:rFonts w:eastAsiaTheme="minorEastAsia" w:cstheme="minorBidi"/>
          <w:bdr w:val="none" w:sz="0" w:space="0" w:color="auto"/>
          <w:lang w:val="en-US" w:eastAsia="zh-CN"/>
        </w:rPr>
      </w:pPr>
      <w:r w:rsidRPr="004003A5">
        <w:rPr>
          <w:lang w:val="en-US"/>
        </w:rPr>
        <w:t>II.</w:t>
      </w:r>
      <w:r w:rsidRPr="004003A5">
        <w:rPr>
          <w:rFonts w:eastAsiaTheme="minorEastAsia" w:cstheme="minorBidi"/>
          <w:bdr w:val="none" w:sz="0" w:space="0" w:color="auto"/>
          <w:lang w:val="en-US" w:eastAsia="zh-CN"/>
        </w:rPr>
        <w:tab/>
      </w:r>
      <w:r w:rsidRPr="004003A5">
        <w:rPr>
          <w:lang w:val="en-US"/>
        </w:rPr>
        <w:t>POSITIONS OF THE PARTIES</w:t>
      </w:r>
      <w:r w:rsidRPr="004003A5">
        <w:rPr>
          <w:lang w:val="en-US"/>
        </w:rPr>
        <w:tab/>
      </w:r>
      <w:r w:rsidRPr="00DE1726">
        <w:fldChar w:fldCharType="begin"/>
      </w:r>
      <w:r w:rsidRPr="004003A5">
        <w:rPr>
          <w:lang w:val="en-US"/>
        </w:rPr>
        <w:instrText xml:space="preserve"> PAGEREF _Toc90284133 \h </w:instrText>
      </w:r>
      <w:r w:rsidRPr="00DE1726">
        <w:fldChar w:fldCharType="separate"/>
      </w:r>
      <w:r w:rsidRPr="004003A5">
        <w:rPr>
          <w:lang w:val="en-US"/>
        </w:rPr>
        <w:t>2</w:t>
      </w:r>
      <w:r w:rsidRPr="00DE1726">
        <w:fldChar w:fldCharType="end"/>
      </w:r>
    </w:p>
    <w:p w14:paraId="6799363D" w14:textId="225CDC1D"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A.</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Petitioners</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_Toc90284134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2</w:t>
      </w:r>
      <w:r w:rsidRPr="00DE1726">
        <w:rPr>
          <w:rFonts w:asciiTheme="majorHAnsi" w:hAnsiTheme="majorHAnsi"/>
          <w:noProof/>
          <w:sz w:val="20"/>
          <w:szCs w:val="20"/>
        </w:rPr>
        <w:fldChar w:fldCharType="end"/>
      </w:r>
    </w:p>
    <w:p w14:paraId="7BC2AE34" w14:textId="01C3B865"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B.</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State</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_Toc90284135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3</w:t>
      </w:r>
      <w:r w:rsidRPr="00DE1726">
        <w:rPr>
          <w:rFonts w:asciiTheme="majorHAnsi" w:hAnsiTheme="majorHAnsi"/>
          <w:noProof/>
          <w:sz w:val="20"/>
          <w:szCs w:val="20"/>
        </w:rPr>
        <w:fldChar w:fldCharType="end"/>
      </w:r>
    </w:p>
    <w:p w14:paraId="76A1FE3E" w14:textId="6BC5605D" w:rsidR="00383EEB" w:rsidRPr="004003A5" w:rsidRDefault="00383EEB" w:rsidP="004003A5">
      <w:pPr>
        <w:pStyle w:val="TOC1"/>
        <w:ind w:hanging="720"/>
        <w:rPr>
          <w:rFonts w:eastAsiaTheme="minorEastAsia" w:cstheme="minorBidi"/>
          <w:bdr w:val="none" w:sz="0" w:space="0" w:color="auto"/>
          <w:lang w:val="en-US" w:eastAsia="zh-CN"/>
        </w:rPr>
      </w:pPr>
      <w:r w:rsidRPr="004003A5">
        <w:rPr>
          <w:lang w:val="en-US"/>
        </w:rPr>
        <w:t>III.</w:t>
      </w:r>
      <w:r w:rsidRPr="004003A5">
        <w:rPr>
          <w:rFonts w:eastAsiaTheme="minorEastAsia" w:cstheme="minorBidi"/>
          <w:bdr w:val="none" w:sz="0" w:space="0" w:color="auto"/>
          <w:lang w:val="en-US" w:eastAsia="zh-CN"/>
        </w:rPr>
        <w:tab/>
      </w:r>
      <w:r w:rsidRPr="004003A5">
        <w:rPr>
          <w:lang w:val="en-US"/>
        </w:rPr>
        <w:t>FINDINGS OF FACT</w:t>
      </w:r>
      <w:r w:rsidRPr="004003A5">
        <w:rPr>
          <w:lang w:val="en-US"/>
        </w:rPr>
        <w:tab/>
      </w:r>
      <w:r w:rsidRPr="00DE1726">
        <w:fldChar w:fldCharType="begin"/>
      </w:r>
      <w:r w:rsidRPr="004003A5">
        <w:rPr>
          <w:lang w:val="en-US"/>
        </w:rPr>
        <w:instrText xml:space="preserve"> PAGEREF _Toc90284136 \h </w:instrText>
      </w:r>
      <w:r w:rsidRPr="00DE1726">
        <w:fldChar w:fldCharType="separate"/>
      </w:r>
      <w:r w:rsidRPr="004003A5">
        <w:rPr>
          <w:lang w:val="en-US"/>
        </w:rPr>
        <w:t>4</w:t>
      </w:r>
      <w:r w:rsidRPr="00DE1726">
        <w:fldChar w:fldCharType="end"/>
      </w:r>
    </w:p>
    <w:p w14:paraId="3FA38C61" w14:textId="431AFE1B"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A.</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Relevant legal framework and applicable case law</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_Toc90284137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4</w:t>
      </w:r>
      <w:r w:rsidRPr="00DE1726">
        <w:rPr>
          <w:rFonts w:asciiTheme="majorHAnsi" w:hAnsiTheme="majorHAnsi"/>
          <w:noProof/>
          <w:sz w:val="20"/>
          <w:szCs w:val="20"/>
        </w:rPr>
        <w:fldChar w:fldCharType="end"/>
      </w:r>
    </w:p>
    <w:p w14:paraId="004D48D2" w14:textId="1B69E97F"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B.</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Factual background</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_Toc90284138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6</w:t>
      </w:r>
      <w:r w:rsidRPr="00DE1726">
        <w:rPr>
          <w:rFonts w:asciiTheme="majorHAnsi" w:hAnsiTheme="majorHAnsi"/>
          <w:noProof/>
          <w:sz w:val="20"/>
          <w:szCs w:val="20"/>
        </w:rPr>
        <w:fldChar w:fldCharType="end"/>
      </w:r>
    </w:p>
    <w:p w14:paraId="2FEF6320" w14:textId="3AA2E284"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C.</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Trial and death sentence</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_Toc90284139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7</w:t>
      </w:r>
      <w:r w:rsidRPr="00DE1726">
        <w:rPr>
          <w:rFonts w:asciiTheme="majorHAnsi" w:hAnsiTheme="majorHAnsi"/>
          <w:noProof/>
          <w:sz w:val="20"/>
          <w:szCs w:val="20"/>
        </w:rPr>
        <w:fldChar w:fldCharType="end"/>
      </w:r>
    </w:p>
    <w:p w14:paraId="0DBA9D5E" w14:textId="2EB34003"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D.</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Post-conviction proceedings</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_Toc90284140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9</w:t>
      </w:r>
      <w:r w:rsidRPr="00DE1726">
        <w:rPr>
          <w:rFonts w:asciiTheme="majorHAnsi" w:hAnsiTheme="majorHAnsi"/>
          <w:noProof/>
          <w:sz w:val="20"/>
          <w:szCs w:val="20"/>
        </w:rPr>
        <w:fldChar w:fldCharType="end"/>
      </w:r>
    </w:p>
    <w:p w14:paraId="4B33DFBC" w14:textId="6980B56F" w:rsidR="00383EEB" w:rsidRPr="004003A5" w:rsidRDefault="00383EEB" w:rsidP="004003A5">
      <w:pPr>
        <w:pStyle w:val="TOC1"/>
        <w:ind w:hanging="720"/>
        <w:rPr>
          <w:rFonts w:eastAsiaTheme="minorEastAsia" w:cstheme="minorBidi"/>
          <w:bdr w:val="none" w:sz="0" w:space="0" w:color="auto"/>
          <w:lang w:val="en-US" w:eastAsia="zh-CN"/>
        </w:rPr>
      </w:pPr>
      <w:r w:rsidRPr="004003A5">
        <w:rPr>
          <w:lang w:val="en-US"/>
        </w:rPr>
        <w:t>IV.</w:t>
      </w:r>
      <w:r w:rsidRPr="004003A5">
        <w:rPr>
          <w:rFonts w:eastAsiaTheme="minorEastAsia" w:cstheme="minorBidi"/>
          <w:bdr w:val="none" w:sz="0" w:space="0" w:color="auto"/>
          <w:lang w:val="en-US" w:eastAsia="zh-CN"/>
        </w:rPr>
        <w:tab/>
      </w:r>
      <w:r w:rsidRPr="004003A5">
        <w:rPr>
          <w:lang w:val="en-US"/>
        </w:rPr>
        <w:t>ANALYSIS OF LAW</w:t>
      </w:r>
      <w:r w:rsidRPr="004003A5">
        <w:rPr>
          <w:lang w:val="en-US"/>
        </w:rPr>
        <w:tab/>
      </w:r>
      <w:r w:rsidRPr="00DE1726">
        <w:fldChar w:fldCharType="begin"/>
      </w:r>
      <w:r w:rsidRPr="004003A5">
        <w:rPr>
          <w:lang w:val="en-US"/>
        </w:rPr>
        <w:instrText xml:space="preserve"> PAGEREF _Toc90284141 \h </w:instrText>
      </w:r>
      <w:r w:rsidRPr="00DE1726">
        <w:fldChar w:fldCharType="separate"/>
      </w:r>
      <w:r w:rsidRPr="004003A5">
        <w:rPr>
          <w:lang w:val="en-US"/>
        </w:rPr>
        <w:t>10</w:t>
      </w:r>
      <w:r w:rsidRPr="00DE1726">
        <w:fldChar w:fldCharType="end"/>
      </w:r>
    </w:p>
    <w:p w14:paraId="201B1F2B" w14:textId="6290CA53"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A.</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Preliminary considerations</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_Toc90284142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10</w:t>
      </w:r>
      <w:r w:rsidRPr="00DE1726">
        <w:rPr>
          <w:rFonts w:asciiTheme="majorHAnsi" w:hAnsiTheme="majorHAnsi"/>
          <w:noProof/>
          <w:sz w:val="20"/>
          <w:szCs w:val="20"/>
        </w:rPr>
        <w:fldChar w:fldCharType="end"/>
      </w:r>
    </w:p>
    <w:p w14:paraId="4B876F5D" w14:textId="594E439D"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B.</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Right to life and the imposition of the death penalty only for the most serious crimes</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_Toc90284143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11</w:t>
      </w:r>
      <w:r w:rsidRPr="00DE1726">
        <w:rPr>
          <w:rFonts w:asciiTheme="majorHAnsi" w:hAnsiTheme="majorHAnsi"/>
          <w:noProof/>
          <w:sz w:val="20"/>
          <w:szCs w:val="20"/>
        </w:rPr>
        <w:fldChar w:fldCharType="end"/>
      </w:r>
    </w:p>
    <w:p w14:paraId="25C82C36" w14:textId="2E049631" w:rsidR="00383EEB" w:rsidRPr="004003A5" w:rsidRDefault="00383EEB" w:rsidP="004003A5">
      <w:pPr>
        <w:pStyle w:val="TOC3"/>
        <w:ind w:left="720" w:firstLine="81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1.</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General considerations</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_Toc90284144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11</w:t>
      </w:r>
      <w:r w:rsidRPr="00DE1726">
        <w:rPr>
          <w:rFonts w:asciiTheme="majorHAnsi" w:hAnsiTheme="majorHAnsi"/>
          <w:noProof/>
          <w:sz w:val="20"/>
          <w:szCs w:val="20"/>
        </w:rPr>
        <w:fldChar w:fldCharType="end"/>
      </w:r>
    </w:p>
    <w:p w14:paraId="0B54DCE7" w14:textId="1D0B17C8" w:rsidR="00383EEB" w:rsidRPr="004003A5" w:rsidRDefault="00383EEB" w:rsidP="004003A5">
      <w:pPr>
        <w:pStyle w:val="TOC3"/>
        <w:ind w:left="720" w:firstLine="81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2.</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Analysis of the case</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_Toc90284145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12</w:t>
      </w:r>
      <w:r w:rsidRPr="00DE1726">
        <w:rPr>
          <w:rFonts w:asciiTheme="majorHAnsi" w:hAnsiTheme="majorHAnsi"/>
          <w:noProof/>
          <w:sz w:val="20"/>
          <w:szCs w:val="20"/>
        </w:rPr>
        <w:fldChar w:fldCharType="end"/>
      </w:r>
    </w:p>
    <w:p w14:paraId="51AB2FC2" w14:textId="689C0080"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C.</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The deprivation of liberty on death row and the right of protection against cruel, infamous or unusual punishment</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_Toc90284146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14</w:t>
      </w:r>
      <w:r w:rsidRPr="00DE1726">
        <w:rPr>
          <w:rFonts w:asciiTheme="majorHAnsi" w:hAnsiTheme="majorHAnsi"/>
          <w:noProof/>
          <w:sz w:val="20"/>
          <w:szCs w:val="20"/>
        </w:rPr>
        <w:fldChar w:fldCharType="end"/>
      </w:r>
    </w:p>
    <w:p w14:paraId="2F53F4E7" w14:textId="0D0166C1" w:rsidR="00383EEB" w:rsidRPr="004003A5" w:rsidRDefault="00383EEB" w:rsidP="004003A5">
      <w:pPr>
        <w:pStyle w:val="TOC2"/>
        <w:ind w:left="720" w:firstLine="0"/>
        <w:rPr>
          <w:rFonts w:asciiTheme="majorHAnsi" w:eastAsiaTheme="minorEastAsia" w:hAnsiTheme="majorHAnsi" w:cstheme="minorBidi"/>
          <w:noProof/>
          <w:sz w:val="20"/>
          <w:szCs w:val="20"/>
          <w:bdr w:val="none" w:sz="0" w:space="0" w:color="auto"/>
          <w:lang w:eastAsia="zh-CN"/>
        </w:rPr>
      </w:pPr>
      <w:r w:rsidRPr="00DE1726">
        <w:rPr>
          <w:rFonts w:asciiTheme="majorHAnsi" w:hAnsiTheme="majorHAnsi"/>
          <w:noProof/>
          <w:sz w:val="20"/>
          <w:szCs w:val="20"/>
        </w:rPr>
        <w:t>D.</w:t>
      </w:r>
      <w:r w:rsidRPr="004003A5">
        <w:rPr>
          <w:rFonts w:asciiTheme="majorHAnsi" w:eastAsiaTheme="minorEastAsia" w:hAnsiTheme="majorHAnsi" w:cstheme="minorBidi"/>
          <w:noProof/>
          <w:sz w:val="20"/>
          <w:szCs w:val="20"/>
          <w:bdr w:val="none" w:sz="0" w:space="0" w:color="auto"/>
          <w:lang w:eastAsia="zh-CN"/>
        </w:rPr>
        <w:tab/>
      </w:r>
      <w:r w:rsidRPr="00DE1726">
        <w:rPr>
          <w:rFonts w:asciiTheme="majorHAnsi" w:hAnsiTheme="majorHAnsi"/>
          <w:noProof/>
          <w:sz w:val="20"/>
          <w:szCs w:val="20"/>
        </w:rPr>
        <w:t>Right to petition and right to life</w:t>
      </w:r>
      <w:r w:rsidRPr="00DE1726">
        <w:rPr>
          <w:rFonts w:asciiTheme="majorHAnsi" w:hAnsiTheme="majorHAnsi"/>
          <w:noProof/>
          <w:sz w:val="20"/>
          <w:szCs w:val="20"/>
        </w:rPr>
        <w:tab/>
      </w:r>
      <w:r w:rsidRPr="00DE1726">
        <w:rPr>
          <w:rFonts w:asciiTheme="majorHAnsi" w:hAnsiTheme="majorHAnsi"/>
          <w:noProof/>
          <w:sz w:val="20"/>
          <w:szCs w:val="20"/>
        </w:rPr>
        <w:fldChar w:fldCharType="begin"/>
      </w:r>
      <w:r w:rsidRPr="00DE1726">
        <w:rPr>
          <w:rFonts w:asciiTheme="majorHAnsi" w:hAnsiTheme="majorHAnsi"/>
          <w:noProof/>
          <w:sz w:val="20"/>
          <w:szCs w:val="20"/>
        </w:rPr>
        <w:instrText xml:space="preserve"> PAGEREF _Toc90284147 \h </w:instrText>
      </w:r>
      <w:r w:rsidRPr="00DE1726">
        <w:rPr>
          <w:rFonts w:asciiTheme="majorHAnsi" w:hAnsiTheme="majorHAnsi"/>
          <w:noProof/>
          <w:sz w:val="20"/>
          <w:szCs w:val="20"/>
        </w:rPr>
      </w:r>
      <w:r w:rsidRPr="00DE1726">
        <w:rPr>
          <w:rFonts w:asciiTheme="majorHAnsi" w:hAnsiTheme="majorHAnsi"/>
          <w:noProof/>
          <w:sz w:val="20"/>
          <w:szCs w:val="20"/>
        </w:rPr>
        <w:fldChar w:fldCharType="separate"/>
      </w:r>
      <w:r w:rsidRPr="00DE1726">
        <w:rPr>
          <w:rFonts w:asciiTheme="majorHAnsi" w:hAnsiTheme="majorHAnsi"/>
          <w:noProof/>
          <w:sz w:val="20"/>
          <w:szCs w:val="20"/>
        </w:rPr>
        <w:t>15</w:t>
      </w:r>
      <w:r w:rsidRPr="00DE1726">
        <w:rPr>
          <w:rFonts w:asciiTheme="majorHAnsi" w:hAnsiTheme="majorHAnsi"/>
          <w:noProof/>
          <w:sz w:val="20"/>
          <w:szCs w:val="20"/>
        </w:rPr>
        <w:fldChar w:fldCharType="end"/>
      </w:r>
    </w:p>
    <w:p w14:paraId="42E70A13" w14:textId="27CCCB36" w:rsidR="00383EEB" w:rsidRPr="004003A5" w:rsidRDefault="00383EEB" w:rsidP="004003A5">
      <w:pPr>
        <w:pStyle w:val="TOC1"/>
        <w:ind w:hanging="720"/>
        <w:rPr>
          <w:rFonts w:eastAsiaTheme="minorEastAsia" w:cstheme="minorBidi"/>
          <w:bdr w:val="none" w:sz="0" w:space="0" w:color="auto"/>
          <w:lang w:val="en-US" w:eastAsia="zh-CN"/>
        </w:rPr>
      </w:pPr>
      <w:r w:rsidRPr="004003A5">
        <w:rPr>
          <w:lang w:val="en-US"/>
        </w:rPr>
        <w:t>V.</w:t>
      </w:r>
      <w:r w:rsidRPr="004003A5">
        <w:rPr>
          <w:rFonts w:eastAsiaTheme="minorEastAsia" w:cstheme="minorBidi"/>
          <w:bdr w:val="none" w:sz="0" w:space="0" w:color="auto"/>
          <w:lang w:val="en-US" w:eastAsia="zh-CN"/>
        </w:rPr>
        <w:tab/>
      </w:r>
      <w:r w:rsidRPr="004003A5">
        <w:rPr>
          <w:lang w:val="en-US"/>
        </w:rPr>
        <w:t>REPORT No. 241/19 AND INFORMATION ABOUT COMPLIANCE</w:t>
      </w:r>
      <w:r w:rsidRPr="004003A5">
        <w:rPr>
          <w:lang w:val="en-US"/>
        </w:rPr>
        <w:tab/>
      </w:r>
      <w:r w:rsidRPr="00DE1726">
        <w:fldChar w:fldCharType="begin"/>
      </w:r>
      <w:r w:rsidRPr="004003A5">
        <w:rPr>
          <w:lang w:val="en-US"/>
        </w:rPr>
        <w:instrText xml:space="preserve"> PAGEREF _Toc90284148 \h </w:instrText>
      </w:r>
      <w:r w:rsidRPr="00DE1726">
        <w:fldChar w:fldCharType="separate"/>
      </w:r>
      <w:r w:rsidRPr="004003A5">
        <w:rPr>
          <w:lang w:val="en-US"/>
        </w:rPr>
        <w:t>16</w:t>
      </w:r>
      <w:r w:rsidRPr="00DE1726">
        <w:fldChar w:fldCharType="end"/>
      </w:r>
    </w:p>
    <w:p w14:paraId="347A51AC" w14:textId="5236D3E2" w:rsidR="00383EEB" w:rsidRPr="004003A5" w:rsidRDefault="00383EEB" w:rsidP="004003A5">
      <w:pPr>
        <w:pStyle w:val="TOC1"/>
        <w:ind w:hanging="720"/>
        <w:rPr>
          <w:rFonts w:eastAsiaTheme="minorEastAsia" w:cstheme="minorBidi"/>
          <w:bdr w:val="none" w:sz="0" w:space="0" w:color="auto"/>
          <w:lang w:val="en-US" w:eastAsia="zh-CN"/>
        </w:rPr>
      </w:pPr>
      <w:r w:rsidRPr="004003A5">
        <w:rPr>
          <w:lang w:val="en-US"/>
        </w:rPr>
        <w:t>VI.</w:t>
      </w:r>
      <w:r w:rsidRPr="004003A5">
        <w:rPr>
          <w:rFonts w:eastAsiaTheme="minorEastAsia" w:cstheme="minorBidi"/>
          <w:bdr w:val="none" w:sz="0" w:space="0" w:color="auto"/>
          <w:lang w:val="en-US" w:eastAsia="zh-CN"/>
        </w:rPr>
        <w:tab/>
      </w:r>
      <w:r w:rsidRPr="004003A5">
        <w:rPr>
          <w:lang w:val="en-US"/>
        </w:rPr>
        <w:t>ACTIONS SUBSEQUENT TO REPORT No. 327/21</w:t>
      </w:r>
      <w:r w:rsidRPr="004003A5">
        <w:rPr>
          <w:lang w:val="en-US"/>
        </w:rPr>
        <w:tab/>
      </w:r>
      <w:r w:rsidRPr="00DE1726">
        <w:fldChar w:fldCharType="begin"/>
      </w:r>
      <w:r w:rsidRPr="004003A5">
        <w:rPr>
          <w:lang w:val="en-US"/>
        </w:rPr>
        <w:instrText xml:space="preserve"> PAGEREF _Toc90284149 \h </w:instrText>
      </w:r>
      <w:r w:rsidRPr="00DE1726">
        <w:fldChar w:fldCharType="separate"/>
      </w:r>
      <w:r w:rsidRPr="004003A5">
        <w:rPr>
          <w:lang w:val="en-US"/>
        </w:rPr>
        <w:t>17</w:t>
      </w:r>
      <w:r w:rsidRPr="00DE1726">
        <w:fldChar w:fldCharType="end"/>
      </w:r>
    </w:p>
    <w:p w14:paraId="539BF3FF" w14:textId="24A74F7D" w:rsidR="00383EEB" w:rsidRPr="004003A5" w:rsidRDefault="00383EEB" w:rsidP="004003A5">
      <w:pPr>
        <w:pStyle w:val="TOC1"/>
        <w:ind w:hanging="720"/>
        <w:rPr>
          <w:rFonts w:eastAsiaTheme="minorEastAsia" w:cstheme="minorBidi"/>
          <w:bdr w:val="none" w:sz="0" w:space="0" w:color="auto"/>
          <w:lang w:val="en-US" w:eastAsia="zh-CN"/>
        </w:rPr>
      </w:pPr>
      <w:r w:rsidRPr="004003A5">
        <w:rPr>
          <w:lang w:val="en-US"/>
        </w:rPr>
        <w:t>VII.</w:t>
      </w:r>
      <w:r w:rsidRPr="004003A5">
        <w:rPr>
          <w:rFonts w:eastAsiaTheme="minorEastAsia" w:cstheme="minorBidi"/>
          <w:bdr w:val="none" w:sz="0" w:space="0" w:color="auto"/>
          <w:lang w:val="en-US" w:eastAsia="zh-CN"/>
        </w:rPr>
        <w:tab/>
      </w:r>
      <w:r w:rsidRPr="004003A5">
        <w:rPr>
          <w:lang w:val="en-US"/>
        </w:rPr>
        <w:t>FINAL CONCLUSIONS AND RECOMMENDATIONS</w:t>
      </w:r>
      <w:r w:rsidRPr="004003A5">
        <w:rPr>
          <w:lang w:val="en-US"/>
        </w:rPr>
        <w:tab/>
      </w:r>
      <w:r w:rsidRPr="00DE1726">
        <w:fldChar w:fldCharType="begin"/>
      </w:r>
      <w:r w:rsidRPr="004003A5">
        <w:rPr>
          <w:lang w:val="en-US"/>
        </w:rPr>
        <w:instrText xml:space="preserve"> PAGEREF _Toc90284150 \h </w:instrText>
      </w:r>
      <w:r w:rsidRPr="00DE1726">
        <w:fldChar w:fldCharType="separate"/>
      </w:r>
      <w:r w:rsidRPr="004003A5">
        <w:rPr>
          <w:lang w:val="en-US"/>
        </w:rPr>
        <w:t>17</w:t>
      </w:r>
      <w:r w:rsidRPr="00DE1726">
        <w:fldChar w:fldCharType="end"/>
      </w:r>
    </w:p>
    <w:p w14:paraId="20EC668A" w14:textId="08B3BDF0" w:rsidR="00383EEB" w:rsidRPr="00DE1726" w:rsidRDefault="00383EEB" w:rsidP="004003A5">
      <w:pPr>
        <w:pStyle w:val="TOC1"/>
        <w:ind w:hanging="720"/>
        <w:rPr>
          <w:rFonts w:eastAsiaTheme="minorEastAsia" w:cstheme="minorBidi"/>
          <w:bdr w:val="none" w:sz="0" w:space="0" w:color="auto"/>
          <w:lang w:val="es-US" w:eastAsia="zh-CN"/>
        </w:rPr>
      </w:pPr>
      <w:r w:rsidRPr="00DE1726">
        <w:t>VIII.</w:t>
      </w:r>
      <w:r w:rsidRPr="00DE1726">
        <w:rPr>
          <w:rFonts w:eastAsiaTheme="minorEastAsia" w:cstheme="minorBidi"/>
          <w:bdr w:val="none" w:sz="0" w:space="0" w:color="auto"/>
          <w:lang w:val="es-US" w:eastAsia="zh-CN"/>
        </w:rPr>
        <w:tab/>
      </w:r>
      <w:r w:rsidRPr="00DE1726">
        <w:t>PUBLICATION</w:t>
      </w:r>
      <w:r w:rsidRPr="00DE1726">
        <w:tab/>
      </w:r>
      <w:r w:rsidRPr="00DE1726">
        <w:fldChar w:fldCharType="begin"/>
      </w:r>
      <w:r w:rsidRPr="00DE1726">
        <w:instrText xml:space="preserve"> PAGEREF _Toc90284151 \h </w:instrText>
      </w:r>
      <w:r w:rsidRPr="00DE1726">
        <w:fldChar w:fldCharType="separate"/>
      </w:r>
      <w:r w:rsidRPr="00DE1726">
        <w:t>17</w:t>
      </w:r>
      <w:r w:rsidRPr="00DE1726">
        <w:fldChar w:fldCharType="end"/>
      </w:r>
    </w:p>
    <w:p w14:paraId="5306F6B0" w14:textId="28267B00" w:rsidR="007607C4" w:rsidRPr="00256677" w:rsidRDefault="00E200F9" w:rsidP="004003A5">
      <w:pPr>
        <w:tabs>
          <w:tab w:val="left" w:pos="1080"/>
          <w:tab w:val="center" w:pos="5400"/>
        </w:tabs>
        <w:suppressAutoHyphens/>
        <w:spacing w:line="276" w:lineRule="auto"/>
        <w:ind w:left="720" w:hanging="720"/>
        <w:rPr>
          <w:rFonts w:asciiTheme="majorHAnsi" w:hAnsiTheme="majorHAnsi"/>
          <w:sz w:val="20"/>
          <w:szCs w:val="18"/>
        </w:rPr>
      </w:pPr>
      <w:r w:rsidRPr="00DE1726">
        <w:rPr>
          <w:rFonts w:asciiTheme="majorHAnsi" w:hAnsiTheme="majorHAnsi"/>
          <w:noProof/>
          <w:sz w:val="20"/>
          <w:szCs w:val="20"/>
          <w:lang w:val="es-ES_tradnl"/>
        </w:rPr>
        <w:fldChar w:fldCharType="end"/>
      </w:r>
    </w:p>
    <w:p w14:paraId="4D32A9D5" w14:textId="77777777" w:rsidR="007607C4" w:rsidRPr="00256677" w:rsidRDefault="007607C4" w:rsidP="00145EDC">
      <w:pPr>
        <w:tabs>
          <w:tab w:val="center" w:pos="5400"/>
        </w:tabs>
        <w:suppressAutoHyphens/>
        <w:spacing w:line="276" w:lineRule="auto"/>
        <w:rPr>
          <w:rFonts w:asciiTheme="majorHAnsi" w:hAnsiTheme="majorHAnsi"/>
          <w:sz w:val="20"/>
          <w:szCs w:val="18"/>
        </w:rPr>
      </w:pPr>
    </w:p>
    <w:p w14:paraId="2BAA3FCD" w14:textId="77777777" w:rsidR="007607C4" w:rsidRPr="00256677" w:rsidRDefault="007607C4" w:rsidP="00145EDC">
      <w:pPr>
        <w:tabs>
          <w:tab w:val="center" w:pos="5400"/>
        </w:tabs>
        <w:suppressAutoHyphens/>
        <w:spacing w:line="276" w:lineRule="auto"/>
        <w:rPr>
          <w:rFonts w:asciiTheme="majorHAnsi" w:hAnsiTheme="majorHAnsi"/>
          <w:sz w:val="20"/>
          <w:szCs w:val="18"/>
        </w:rPr>
      </w:pPr>
    </w:p>
    <w:p w14:paraId="3D5E52C5" w14:textId="77777777" w:rsidR="007607C4" w:rsidRPr="00256677" w:rsidRDefault="007607C4" w:rsidP="00145EDC">
      <w:pPr>
        <w:tabs>
          <w:tab w:val="center" w:pos="5400"/>
        </w:tabs>
        <w:suppressAutoHyphens/>
        <w:spacing w:line="276" w:lineRule="auto"/>
        <w:rPr>
          <w:rFonts w:asciiTheme="majorHAnsi" w:hAnsiTheme="majorHAnsi"/>
          <w:sz w:val="20"/>
          <w:szCs w:val="20"/>
        </w:rPr>
      </w:pPr>
    </w:p>
    <w:p w14:paraId="669A2B5A" w14:textId="77777777" w:rsidR="007607C4" w:rsidRPr="00256677" w:rsidRDefault="007607C4" w:rsidP="00145EDC">
      <w:pPr>
        <w:tabs>
          <w:tab w:val="center" w:pos="5400"/>
        </w:tabs>
        <w:suppressAutoHyphens/>
        <w:spacing w:line="276" w:lineRule="auto"/>
        <w:rPr>
          <w:rFonts w:asciiTheme="majorHAnsi" w:hAnsiTheme="majorHAnsi"/>
          <w:sz w:val="20"/>
          <w:szCs w:val="20"/>
        </w:rPr>
      </w:pPr>
    </w:p>
    <w:p w14:paraId="437E0917" w14:textId="77777777" w:rsidR="007607C4" w:rsidRPr="00256677" w:rsidRDefault="007607C4" w:rsidP="00145EDC">
      <w:pPr>
        <w:tabs>
          <w:tab w:val="center" w:pos="5400"/>
        </w:tabs>
        <w:suppressAutoHyphens/>
        <w:spacing w:line="276" w:lineRule="auto"/>
        <w:rPr>
          <w:rFonts w:asciiTheme="majorHAnsi" w:hAnsiTheme="majorHAnsi"/>
          <w:sz w:val="20"/>
          <w:szCs w:val="20"/>
        </w:rPr>
      </w:pPr>
    </w:p>
    <w:p w14:paraId="552F98B0" w14:textId="77777777" w:rsidR="007607C4" w:rsidRPr="00256677" w:rsidRDefault="007607C4" w:rsidP="00145EDC">
      <w:pPr>
        <w:tabs>
          <w:tab w:val="center" w:pos="5400"/>
        </w:tabs>
        <w:suppressAutoHyphens/>
        <w:spacing w:line="276" w:lineRule="auto"/>
        <w:rPr>
          <w:rFonts w:asciiTheme="majorHAnsi" w:hAnsiTheme="majorHAnsi"/>
          <w:sz w:val="20"/>
          <w:szCs w:val="20"/>
        </w:rPr>
      </w:pPr>
    </w:p>
    <w:p w14:paraId="1E016FE8" w14:textId="77777777" w:rsidR="007607C4" w:rsidRPr="00256677" w:rsidRDefault="00A84A45" w:rsidP="00452DAB">
      <w:pPr>
        <w:rPr>
          <w:rFonts w:asciiTheme="majorHAnsi" w:hAnsiTheme="majorHAnsi"/>
          <w:b/>
          <w:sz w:val="18"/>
          <w:szCs w:val="20"/>
        </w:rPr>
      </w:pPr>
      <w:r w:rsidRPr="00256677">
        <w:rPr>
          <w:rFonts w:asciiTheme="majorHAnsi" w:hAnsiTheme="majorHAnsi"/>
          <w:b/>
          <w:sz w:val="18"/>
          <w:szCs w:val="20"/>
        </w:rPr>
        <w:br w:type="page"/>
      </w:r>
    </w:p>
    <w:p w14:paraId="382ED433" w14:textId="77777777" w:rsidR="001C4006" w:rsidRPr="00256677" w:rsidRDefault="00830E88" w:rsidP="009D0D81">
      <w:pPr>
        <w:pStyle w:val="Heading1"/>
        <w:spacing w:before="0"/>
        <w:ind w:left="360"/>
        <w:rPr>
          <w:color w:val="auto"/>
          <w:sz w:val="20"/>
          <w:szCs w:val="20"/>
        </w:rPr>
      </w:pPr>
      <w:bookmarkStart w:id="0" w:name="_Toc90284132"/>
      <w:r w:rsidRPr="00256677">
        <w:rPr>
          <w:color w:val="auto"/>
          <w:sz w:val="20"/>
          <w:szCs w:val="20"/>
        </w:rPr>
        <w:lastRenderedPageBreak/>
        <w:t>INTRODUCTION</w:t>
      </w:r>
      <w:bookmarkEnd w:id="0"/>
      <w:r w:rsidR="001C4006" w:rsidRPr="00256677">
        <w:rPr>
          <w:color w:val="auto"/>
          <w:sz w:val="20"/>
          <w:szCs w:val="20"/>
        </w:rPr>
        <w:t xml:space="preserve"> </w:t>
      </w:r>
    </w:p>
    <w:p w14:paraId="778F75DA" w14:textId="77777777" w:rsidR="001C4006" w:rsidRPr="00256677" w:rsidRDefault="001C4006" w:rsidP="00BB5A59">
      <w:pPr>
        <w:suppressAutoHyphens/>
        <w:ind w:left="1440" w:hanging="720"/>
        <w:rPr>
          <w:rFonts w:asciiTheme="majorHAnsi" w:hAnsiTheme="majorHAnsi"/>
          <w:b/>
          <w:sz w:val="20"/>
          <w:szCs w:val="20"/>
        </w:rPr>
      </w:pPr>
    </w:p>
    <w:p w14:paraId="55A9176B" w14:textId="77777777" w:rsidR="008A0F37" w:rsidRPr="00256677" w:rsidRDefault="008A0F37"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rPr>
      </w:pPr>
      <w:r w:rsidRPr="00256677">
        <w:rPr>
          <w:rFonts w:asciiTheme="majorHAnsi" w:eastAsia="Times New Roman" w:hAnsiTheme="majorHAnsi"/>
          <w:sz w:val="20"/>
          <w:szCs w:val="20"/>
        </w:rPr>
        <w:t xml:space="preserve">On April 26, 2004, the Inter-American Commission on Human Rights (hereinafter </w:t>
      </w:r>
      <w:r w:rsidR="00734033"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 xml:space="preserve">“Commission” or </w:t>
      </w:r>
      <w:r w:rsidR="00734033"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“IACHR”) received a petition</w:t>
      </w:r>
      <w:r w:rsidR="00890066" w:rsidRPr="00256677">
        <w:rPr>
          <w:rStyle w:val="FootnoteReference"/>
          <w:rFonts w:asciiTheme="majorHAnsi" w:eastAsia="Times New Roman" w:hAnsiTheme="majorHAnsi"/>
          <w:sz w:val="20"/>
          <w:szCs w:val="20"/>
        </w:rPr>
        <w:footnoteReference w:id="2"/>
      </w:r>
      <w:r w:rsidRPr="00256677">
        <w:rPr>
          <w:rFonts w:asciiTheme="majorHAnsi" w:eastAsia="Times New Roman" w:hAnsiTheme="majorHAnsi"/>
          <w:sz w:val="20"/>
          <w:szCs w:val="20"/>
        </w:rPr>
        <w:t xml:space="preserve"> filed by Mr. David L. Sloss, assistant professor of law at Saint Louis University School of Law and Ms. Joanne M. Descher, from Devereux Murphy LLC (hereinafter “the Petitioners”) against the Government of the United States of America (hereinafter the “United States” or </w:t>
      </w:r>
      <w:r w:rsidR="000620DE"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“State”).  The petition was presented on behalf of Marlin Gray (hereinafter “Mr. Gray”) who at the time of the petition was in</w:t>
      </w:r>
      <w:r w:rsidR="00361744" w:rsidRPr="00256677">
        <w:rPr>
          <w:rFonts w:asciiTheme="majorHAnsi" w:eastAsia="Times New Roman" w:hAnsiTheme="majorHAnsi"/>
          <w:sz w:val="20"/>
          <w:szCs w:val="20"/>
        </w:rPr>
        <w:t>carcerated on death row in the s</w:t>
      </w:r>
      <w:r w:rsidRPr="00256677">
        <w:rPr>
          <w:rFonts w:asciiTheme="majorHAnsi" w:eastAsia="Times New Roman" w:hAnsiTheme="majorHAnsi"/>
          <w:sz w:val="20"/>
          <w:szCs w:val="20"/>
        </w:rPr>
        <w:t xml:space="preserve">tate of Missouri.  </w:t>
      </w:r>
      <w:r w:rsidR="000038CF" w:rsidRPr="00256677">
        <w:rPr>
          <w:rFonts w:asciiTheme="majorHAnsi" w:eastAsia="Times New Roman" w:hAnsiTheme="majorHAnsi"/>
          <w:sz w:val="20"/>
          <w:szCs w:val="20"/>
        </w:rPr>
        <w:t xml:space="preserve">Mr. Gray was executed </w:t>
      </w:r>
      <w:r w:rsidRPr="00256677">
        <w:rPr>
          <w:rFonts w:asciiTheme="majorHAnsi" w:eastAsia="Times New Roman" w:hAnsiTheme="majorHAnsi"/>
          <w:sz w:val="20"/>
          <w:szCs w:val="20"/>
        </w:rPr>
        <w:t>on October 26, 2005.  </w:t>
      </w:r>
    </w:p>
    <w:p w14:paraId="52F43B03" w14:textId="77777777" w:rsidR="00F0764A" w:rsidRPr="00256677" w:rsidRDefault="00F0764A" w:rsidP="009D0D81">
      <w:pPr>
        <w:tabs>
          <w:tab w:val="left" w:pos="360"/>
        </w:tabs>
        <w:rPr>
          <w:sz w:val="20"/>
          <w:szCs w:val="20"/>
        </w:rPr>
      </w:pPr>
    </w:p>
    <w:p w14:paraId="7E88C571" w14:textId="77777777" w:rsidR="001C4006" w:rsidRPr="00256677" w:rsidRDefault="00EA425E"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rPr>
      </w:pPr>
      <w:r w:rsidRPr="00256677">
        <w:rPr>
          <w:rFonts w:asciiTheme="majorHAnsi" w:hAnsiTheme="majorHAnsi"/>
          <w:color w:val="000000" w:themeColor="text1"/>
          <w:sz w:val="20"/>
          <w:szCs w:val="20"/>
        </w:rPr>
        <w:t xml:space="preserve">The Commission approved its admissibility report </w:t>
      </w:r>
      <w:r w:rsidR="00203307" w:rsidRPr="00256677">
        <w:rPr>
          <w:rFonts w:ascii="Cambria" w:eastAsia="Cambria" w:hAnsi="Cambria" w:cs="Cambria"/>
          <w:sz w:val="20"/>
          <w:szCs w:val="20"/>
        </w:rPr>
        <w:t>No. 79</w:t>
      </w:r>
      <w:r w:rsidRPr="00256677">
        <w:rPr>
          <w:rFonts w:ascii="Cambria" w:eastAsia="Cambria" w:hAnsi="Cambria" w:cs="Cambria"/>
          <w:sz w:val="20"/>
          <w:szCs w:val="20"/>
        </w:rPr>
        <w:t xml:space="preserve">/05 on </w:t>
      </w:r>
      <w:r w:rsidR="00203307" w:rsidRPr="00256677">
        <w:rPr>
          <w:rFonts w:ascii="Cambria" w:eastAsia="Cambria" w:hAnsi="Cambria" w:cs="Cambria"/>
          <w:sz w:val="20"/>
          <w:szCs w:val="20"/>
        </w:rPr>
        <w:t>October 24</w:t>
      </w:r>
      <w:r w:rsidRPr="00256677">
        <w:rPr>
          <w:rFonts w:ascii="Cambria" w:eastAsia="Cambria" w:hAnsi="Cambria" w:cs="Cambria"/>
          <w:sz w:val="20"/>
          <w:szCs w:val="20"/>
        </w:rPr>
        <w:t>, 2005</w:t>
      </w:r>
      <w:r w:rsidR="008A6254" w:rsidRPr="00256677">
        <w:rPr>
          <w:rFonts w:ascii="Cambria" w:eastAsia="Cambria" w:hAnsi="Cambria" w:cs="Cambria"/>
          <w:sz w:val="20"/>
          <w:szCs w:val="20"/>
        </w:rPr>
        <w:t>,</w:t>
      </w:r>
      <w:r w:rsidR="005028FE" w:rsidRPr="00256677">
        <w:rPr>
          <w:rStyle w:val="FootnoteReference"/>
          <w:rFonts w:ascii="Cambria" w:eastAsia="Cambria" w:hAnsi="Cambria"/>
          <w:sz w:val="20"/>
          <w:szCs w:val="20"/>
        </w:rPr>
        <w:footnoteReference w:id="3"/>
      </w:r>
      <w:r w:rsidR="007E5C9F" w:rsidRPr="00256677">
        <w:rPr>
          <w:rFonts w:ascii="Cambria" w:eastAsia="Cambria" w:hAnsi="Cambria" w:cs="Cambria"/>
          <w:sz w:val="20"/>
          <w:szCs w:val="20"/>
        </w:rPr>
        <w:t xml:space="preserve"> and </w:t>
      </w:r>
      <w:r w:rsidR="001C4006" w:rsidRPr="00256677">
        <w:rPr>
          <w:rFonts w:asciiTheme="majorHAnsi" w:hAnsiTheme="majorHAnsi"/>
          <w:color w:val="000000" w:themeColor="text1"/>
          <w:sz w:val="20"/>
          <w:szCs w:val="20"/>
        </w:rPr>
        <w:t>notified th</w:t>
      </w:r>
      <w:r w:rsidR="00DA7151" w:rsidRPr="00256677">
        <w:rPr>
          <w:rFonts w:asciiTheme="majorHAnsi" w:hAnsiTheme="majorHAnsi"/>
          <w:color w:val="000000" w:themeColor="text1"/>
          <w:sz w:val="20"/>
          <w:szCs w:val="20"/>
        </w:rPr>
        <w:t>e</w:t>
      </w:r>
      <w:r w:rsidR="001C4006" w:rsidRPr="00256677">
        <w:rPr>
          <w:rFonts w:asciiTheme="majorHAnsi" w:hAnsiTheme="majorHAnsi"/>
          <w:color w:val="000000" w:themeColor="text1"/>
          <w:sz w:val="20"/>
          <w:szCs w:val="20"/>
        </w:rPr>
        <w:t xml:space="preserve"> report to the parties</w:t>
      </w:r>
      <w:r w:rsidR="007E5C9F" w:rsidRPr="00256677">
        <w:rPr>
          <w:rFonts w:asciiTheme="majorHAnsi" w:hAnsiTheme="majorHAnsi"/>
          <w:color w:val="000000" w:themeColor="text1"/>
          <w:sz w:val="20"/>
          <w:szCs w:val="20"/>
        </w:rPr>
        <w:t>, placing</w:t>
      </w:r>
      <w:r w:rsidR="001C4006" w:rsidRPr="00256677">
        <w:rPr>
          <w:rFonts w:asciiTheme="majorHAnsi" w:hAnsiTheme="majorHAnsi"/>
          <w:color w:val="000000" w:themeColor="text1"/>
          <w:sz w:val="20"/>
          <w:szCs w:val="20"/>
        </w:rPr>
        <w:t xml:space="preserve"> itself at the</w:t>
      </w:r>
      <w:r w:rsidR="007E5C9F" w:rsidRPr="00256677">
        <w:rPr>
          <w:rFonts w:asciiTheme="majorHAnsi" w:hAnsiTheme="majorHAnsi"/>
          <w:color w:val="000000" w:themeColor="text1"/>
          <w:sz w:val="20"/>
          <w:szCs w:val="20"/>
        </w:rPr>
        <w:t>ir</w:t>
      </w:r>
      <w:r w:rsidR="001C4006" w:rsidRPr="00256677">
        <w:rPr>
          <w:rFonts w:asciiTheme="majorHAnsi" w:hAnsiTheme="majorHAnsi"/>
          <w:color w:val="000000" w:themeColor="text1"/>
          <w:sz w:val="20"/>
          <w:szCs w:val="20"/>
        </w:rPr>
        <w:t xml:space="preserve"> disposition to reach a friendly settlement. The parties </w:t>
      </w:r>
      <w:r w:rsidR="00092817" w:rsidRPr="00256677">
        <w:rPr>
          <w:rFonts w:asciiTheme="majorHAnsi" w:hAnsiTheme="majorHAnsi"/>
          <w:color w:val="000000" w:themeColor="text1"/>
          <w:sz w:val="20"/>
          <w:szCs w:val="20"/>
        </w:rPr>
        <w:t xml:space="preserve">were allocated </w:t>
      </w:r>
      <w:r w:rsidR="001C4006" w:rsidRPr="00256677">
        <w:rPr>
          <w:rFonts w:asciiTheme="majorHAnsi" w:hAnsiTheme="majorHAnsi"/>
          <w:color w:val="000000" w:themeColor="text1"/>
          <w:sz w:val="20"/>
          <w:szCs w:val="20"/>
        </w:rPr>
        <w:t>the time periods provided for in the IACHR’s Rules of Procedure to present additional observations on the merits</w:t>
      </w:r>
      <w:r w:rsidR="00092817" w:rsidRPr="00256677">
        <w:rPr>
          <w:rFonts w:asciiTheme="majorHAnsi" w:hAnsiTheme="majorHAnsi"/>
          <w:color w:val="000000" w:themeColor="text1"/>
          <w:sz w:val="20"/>
          <w:szCs w:val="20"/>
        </w:rPr>
        <w:t xml:space="preserve"> of the case</w:t>
      </w:r>
      <w:r w:rsidR="001C4006" w:rsidRPr="00256677">
        <w:rPr>
          <w:rFonts w:asciiTheme="majorHAnsi" w:hAnsiTheme="majorHAnsi"/>
          <w:color w:val="000000" w:themeColor="text1"/>
          <w:sz w:val="20"/>
          <w:szCs w:val="20"/>
        </w:rPr>
        <w:t xml:space="preserve">. All </w:t>
      </w:r>
      <w:r w:rsidR="00092817" w:rsidRPr="00256677">
        <w:rPr>
          <w:rFonts w:asciiTheme="majorHAnsi" w:hAnsiTheme="majorHAnsi"/>
          <w:color w:val="000000" w:themeColor="text1"/>
          <w:sz w:val="20"/>
          <w:szCs w:val="20"/>
        </w:rPr>
        <w:t xml:space="preserve">of </w:t>
      </w:r>
      <w:r w:rsidR="001C4006" w:rsidRPr="00256677">
        <w:rPr>
          <w:rFonts w:asciiTheme="majorHAnsi" w:hAnsiTheme="majorHAnsi"/>
          <w:color w:val="000000" w:themeColor="text1"/>
          <w:sz w:val="20"/>
          <w:szCs w:val="20"/>
        </w:rPr>
        <w:t xml:space="preserve">the information received by the </w:t>
      </w:r>
      <w:r w:rsidR="00DA7151" w:rsidRPr="00256677">
        <w:rPr>
          <w:rFonts w:asciiTheme="majorHAnsi" w:hAnsiTheme="majorHAnsi"/>
          <w:color w:val="000000" w:themeColor="text1"/>
          <w:sz w:val="20"/>
          <w:szCs w:val="20"/>
        </w:rPr>
        <w:t>IACHR</w:t>
      </w:r>
      <w:r w:rsidR="001C4006" w:rsidRPr="00256677">
        <w:rPr>
          <w:rFonts w:asciiTheme="majorHAnsi" w:hAnsiTheme="majorHAnsi"/>
          <w:color w:val="000000" w:themeColor="text1"/>
          <w:sz w:val="20"/>
          <w:szCs w:val="20"/>
        </w:rPr>
        <w:t xml:space="preserve"> was duly transmitted to the parties. </w:t>
      </w:r>
    </w:p>
    <w:p w14:paraId="600B7AB5" w14:textId="77777777" w:rsidR="001C4006" w:rsidRPr="00256677" w:rsidRDefault="001C4006" w:rsidP="009D0D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rPr>
          <w:rFonts w:asciiTheme="majorHAnsi" w:hAnsiTheme="majorHAnsi"/>
          <w:color w:val="000000" w:themeColor="text1"/>
          <w:sz w:val="20"/>
          <w:szCs w:val="20"/>
        </w:rPr>
      </w:pPr>
    </w:p>
    <w:p w14:paraId="336F58EE" w14:textId="77777777" w:rsidR="001C4006" w:rsidRPr="00256677" w:rsidRDefault="001C4006" w:rsidP="009D0D81">
      <w:pPr>
        <w:pStyle w:val="Heading1"/>
        <w:tabs>
          <w:tab w:val="left" w:pos="360"/>
        </w:tabs>
        <w:spacing w:before="0"/>
        <w:ind w:hanging="720"/>
        <w:rPr>
          <w:color w:val="auto"/>
          <w:sz w:val="20"/>
          <w:szCs w:val="20"/>
        </w:rPr>
      </w:pPr>
      <w:bookmarkStart w:id="1" w:name="_Toc90284133"/>
      <w:r w:rsidRPr="00256677">
        <w:rPr>
          <w:color w:val="auto"/>
          <w:sz w:val="20"/>
          <w:szCs w:val="20"/>
        </w:rPr>
        <w:t>POSITIONS OF THE PARTIES</w:t>
      </w:r>
      <w:bookmarkEnd w:id="1"/>
    </w:p>
    <w:p w14:paraId="51B380DF" w14:textId="77777777" w:rsidR="001C4006" w:rsidRPr="00256677" w:rsidRDefault="001C4006" w:rsidP="009D0D81">
      <w:pPr>
        <w:tabs>
          <w:tab w:val="left" w:pos="360"/>
        </w:tabs>
        <w:suppressAutoHyphens/>
        <w:ind w:left="1440" w:hanging="720"/>
        <w:rPr>
          <w:rFonts w:asciiTheme="majorHAnsi" w:hAnsiTheme="majorHAnsi"/>
          <w:sz w:val="20"/>
          <w:szCs w:val="20"/>
        </w:rPr>
      </w:pPr>
    </w:p>
    <w:p w14:paraId="6E63BFC1" w14:textId="77777777" w:rsidR="005C164F" w:rsidRPr="00256677" w:rsidRDefault="005C164F" w:rsidP="009D0D81">
      <w:pPr>
        <w:pStyle w:val="Heading2"/>
        <w:numPr>
          <w:ilvl w:val="0"/>
          <w:numId w:val="58"/>
        </w:numPr>
        <w:tabs>
          <w:tab w:val="left" w:pos="360"/>
        </w:tabs>
        <w:spacing w:before="0"/>
        <w:ind w:hanging="720"/>
        <w:rPr>
          <w:color w:val="auto"/>
          <w:sz w:val="20"/>
          <w:szCs w:val="20"/>
        </w:rPr>
      </w:pPr>
      <w:bookmarkStart w:id="2" w:name="_Toc90284134"/>
      <w:r w:rsidRPr="00256677">
        <w:rPr>
          <w:color w:val="auto"/>
          <w:sz w:val="20"/>
          <w:szCs w:val="20"/>
        </w:rPr>
        <w:t>P</w:t>
      </w:r>
      <w:r w:rsidR="00262ECA" w:rsidRPr="00256677">
        <w:rPr>
          <w:color w:val="auto"/>
          <w:sz w:val="20"/>
          <w:szCs w:val="20"/>
        </w:rPr>
        <w:t>etitioners</w:t>
      </w:r>
      <w:bookmarkEnd w:id="2"/>
    </w:p>
    <w:p w14:paraId="03C039AA" w14:textId="77777777" w:rsidR="005C164F" w:rsidRPr="00256677" w:rsidRDefault="005C164F" w:rsidP="00BB5A59">
      <w:pPr>
        <w:suppressAutoHyphens/>
        <w:ind w:left="1440" w:hanging="720"/>
        <w:rPr>
          <w:rFonts w:asciiTheme="majorHAnsi" w:hAnsiTheme="majorHAnsi"/>
          <w:sz w:val="20"/>
          <w:szCs w:val="20"/>
        </w:rPr>
      </w:pPr>
    </w:p>
    <w:p w14:paraId="0070EDA0" w14:textId="77777777" w:rsidR="00A80D3F" w:rsidRPr="00256677" w:rsidRDefault="00A80D3F" w:rsidP="001A02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 xml:space="preserve">The Petitioners assert that there was a violation of Mr. Gray’s right to judicial protection as he was convicted of first-degree murder on </w:t>
      </w:r>
      <w:r w:rsidR="00330B23" w:rsidRPr="00256677">
        <w:rPr>
          <w:rFonts w:asciiTheme="majorHAnsi" w:eastAsia="Times New Roman" w:hAnsiTheme="majorHAnsi"/>
          <w:sz w:val="20"/>
          <w:szCs w:val="20"/>
        </w:rPr>
        <w:t xml:space="preserve">an accomplice liability theory and on </w:t>
      </w:r>
      <w:r w:rsidRPr="00256677">
        <w:rPr>
          <w:rFonts w:asciiTheme="majorHAnsi" w:eastAsia="Times New Roman" w:hAnsiTheme="majorHAnsi"/>
          <w:sz w:val="20"/>
          <w:szCs w:val="20"/>
        </w:rPr>
        <w:t xml:space="preserve">the basis of insufficient evidence; the Missouri Supreme Court made critical legal and factual errors when it heard Mr. Gray’s initial appeal; no other U.S court corrected the errors made by the Missouri Supreme Court; and the Missouri Supreme Court refused to stay Mr. Gray’s execution </w:t>
      </w:r>
      <w:r w:rsidR="005F2254" w:rsidRPr="00256677">
        <w:rPr>
          <w:rFonts w:asciiTheme="majorHAnsi" w:eastAsia="Times New Roman" w:hAnsiTheme="majorHAnsi"/>
          <w:sz w:val="20"/>
          <w:szCs w:val="20"/>
        </w:rPr>
        <w:t xml:space="preserve">without explanation or comment on legal arguments, </w:t>
      </w:r>
      <w:r w:rsidRPr="00256677">
        <w:rPr>
          <w:rFonts w:asciiTheme="majorHAnsi" w:eastAsia="Times New Roman" w:hAnsiTheme="majorHAnsi"/>
          <w:sz w:val="20"/>
          <w:szCs w:val="20"/>
        </w:rPr>
        <w:t>while his case was pending before the Inter-American Commission.</w:t>
      </w:r>
    </w:p>
    <w:p w14:paraId="0758D5D1" w14:textId="77777777" w:rsidR="0035777A" w:rsidRPr="00256677" w:rsidRDefault="0035777A" w:rsidP="0035777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760F595D" w14:textId="77777777" w:rsidR="0035777A" w:rsidRPr="00256677" w:rsidRDefault="0035777A" w:rsidP="001A02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The Petitioners claim that the Missouri Supreme Court’s account of “threats to kill made either by the defendant or in the defendant’s presence… [and] [d]efendant continued in the criminal enterprise after the threats to kill the victims were made</w:t>
      </w:r>
      <w:r w:rsidR="000620DE" w:rsidRPr="00256677">
        <w:rPr>
          <w:rFonts w:asciiTheme="majorHAnsi" w:eastAsia="Times New Roman" w:hAnsiTheme="majorHAnsi"/>
          <w:sz w:val="20"/>
          <w:szCs w:val="20"/>
        </w:rPr>
        <w:t>,</w:t>
      </w:r>
      <w:r w:rsidRPr="00256677">
        <w:rPr>
          <w:rFonts w:asciiTheme="majorHAnsi" w:eastAsia="Times New Roman" w:hAnsiTheme="majorHAnsi"/>
          <w:sz w:val="20"/>
          <w:szCs w:val="20"/>
        </w:rPr>
        <w:t>”</w:t>
      </w:r>
      <w:r w:rsidR="005F724E" w:rsidRPr="00256677">
        <w:rPr>
          <w:rFonts w:asciiTheme="majorHAnsi" w:eastAsia="Times New Roman" w:hAnsiTheme="majorHAnsi"/>
          <w:sz w:val="20"/>
          <w:szCs w:val="20"/>
        </w:rPr>
        <w:t xml:space="preserve"> and Mr. Gray as having a “role as a leader and enforcer of the group</w:t>
      </w:r>
      <w:r w:rsidR="000620DE" w:rsidRPr="00256677">
        <w:rPr>
          <w:rFonts w:asciiTheme="majorHAnsi" w:eastAsia="Times New Roman" w:hAnsiTheme="majorHAnsi"/>
          <w:sz w:val="20"/>
          <w:szCs w:val="20"/>
        </w:rPr>
        <w:t>,</w:t>
      </w:r>
      <w:r w:rsidR="005F724E" w:rsidRPr="00256677">
        <w:rPr>
          <w:rFonts w:asciiTheme="majorHAnsi" w:eastAsia="Times New Roman" w:hAnsiTheme="majorHAnsi"/>
          <w:sz w:val="20"/>
          <w:szCs w:val="20"/>
        </w:rPr>
        <w:t>”</w:t>
      </w:r>
      <w:r w:rsidR="005F724E" w:rsidRPr="00256677">
        <w:rPr>
          <w:rStyle w:val="FootnoteReference"/>
          <w:rFonts w:asciiTheme="majorHAnsi" w:eastAsia="Times New Roman" w:hAnsiTheme="majorHAnsi"/>
          <w:sz w:val="20"/>
          <w:szCs w:val="20"/>
        </w:rPr>
        <w:footnoteReference w:id="4"/>
      </w:r>
      <w:r w:rsidR="00DB4573" w:rsidRPr="00256677">
        <w:rPr>
          <w:rFonts w:asciiTheme="majorHAnsi" w:eastAsia="Times New Roman" w:hAnsiTheme="majorHAnsi"/>
          <w:sz w:val="20"/>
          <w:szCs w:val="20"/>
        </w:rPr>
        <w:t xml:space="preserve"> were legally insufficient to support a conviction of first-degree murder. This, the Petitioners claim</w:t>
      </w:r>
      <w:r w:rsidR="000620DE" w:rsidRPr="00256677">
        <w:rPr>
          <w:rFonts w:asciiTheme="majorHAnsi" w:eastAsia="Times New Roman" w:hAnsiTheme="majorHAnsi"/>
          <w:sz w:val="20"/>
          <w:szCs w:val="20"/>
        </w:rPr>
        <w:t>,</w:t>
      </w:r>
      <w:r w:rsidR="00DB4573" w:rsidRPr="00256677">
        <w:rPr>
          <w:rFonts w:asciiTheme="majorHAnsi" w:eastAsia="Times New Roman" w:hAnsiTheme="majorHAnsi"/>
          <w:sz w:val="20"/>
          <w:szCs w:val="20"/>
        </w:rPr>
        <w:t xml:space="preserve"> is attributed to a lack of testimony </w:t>
      </w:r>
      <w:r w:rsidR="00647ECE" w:rsidRPr="00256677">
        <w:rPr>
          <w:rFonts w:asciiTheme="majorHAnsi" w:eastAsia="Times New Roman" w:hAnsiTheme="majorHAnsi"/>
          <w:sz w:val="20"/>
          <w:szCs w:val="20"/>
        </w:rPr>
        <w:t>by either of the</w:t>
      </w:r>
      <w:r w:rsidR="00DB4573" w:rsidRPr="00256677">
        <w:rPr>
          <w:rFonts w:asciiTheme="majorHAnsi" w:eastAsia="Times New Roman" w:hAnsiTheme="majorHAnsi"/>
          <w:sz w:val="20"/>
          <w:szCs w:val="20"/>
        </w:rPr>
        <w:t xml:space="preserve"> participants </w:t>
      </w:r>
      <w:r w:rsidR="009C56A5" w:rsidRPr="00256677">
        <w:rPr>
          <w:rFonts w:asciiTheme="majorHAnsi" w:eastAsia="Times New Roman" w:hAnsiTheme="majorHAnsi"/>
          <w:sz w:val="20"/>
          <w:szCs w:val="20"/>
        </w:rPr>
        <w:t xml:space="preserve">to the rape </w:t>
      </w:r>
      <w:r w:rsidR="00DB4573" w:rsidRPr="00256677">
        <w:rPr>
          <w:rFonts w:asciiTheme="majorHAnsi" w:eastAsia="Times New Roman" w:hAnsiTheme="majorHAnsi"/>
          <w:sz w:val="20"/>
          <w:szCs w:val="20"/>
        </w:rPr>
        <w:t>or Mr. Cummins</w:t>
      </w:r>
      <w:r w:rsidR="009C56A5" w:rsidRPr="00256677">
        <w:rPr>
          <w:rFonts w:asciiTheme="majorHAnsi" w:eastAsia="Times New Roman" w:hAnsiTheme="majorHAnsi"/>
          <w:sz w:val="20"/>
          <w:szCs w:val="20"/>
        </w:rPr>
        <w:t xml:space="preserve">, the </w:t>
      </w:r>
      <w:r w:rsidR="00DA18BD" w:rsidRPr="00256677">
        <w:rPr>
          <w:rFonts w:asciiTheme="majorHAnsi" w:eastAsia="Times New Roman" w:hAnsiTheme="majorHAnsi"/>
          <w:sz w:val="20"/>
          <w:szCs w:val="20"/>
        </w:rPr>
        <w:t xml:space="preserve">surviving </w:t>
      </w:r>
      <w:r w:rsidR="009C56A5" w:rsidRPr="00256677">
        <w:rPr>
          <w:rFonts w:asciiTheme="majorHAnsi" w:eastAsia="Times New Roman" w:hAnsiTheme="majorHAnsi"/>
          <w:sz w:val="20"/>
          <w:szCs w:val="20"/>
        </w:rPr>
        <w:t>victim</w:t>
      </w:r>
      <w:r w:rsidR="00DB4573" w:rsidRPr="00256677">
        <w:rPr>
          <w:rFonts w:asciiTheme="majorHAnsi" w:eastAsia="Times New Roman" w:hAnsiTheme="majorHAnsi"/>
          <w:sz w:val="20"/>
          <w:szCs w:val="20"/>
        </w:rPr>
        <w:t xml:space="preserve">; </w:t>
      </w:r>
      <w:r w:rsidR="00647ECE" w:rsidRPr="00256677">
        <w:rPr>
          <w:rFonts w:asciiTheme="majorHAnsi" w:eastAsia="Times New Roman" w:hAnsiTheme="majorHAnsi"/>
          <w:sz w:val="20"/>
          <w:szCs w:val="20"/>
        </w:rPr>
        <w:t xml:space="preserve">and </w:t>
      </w:r>
      <w:r w:rsidR="00DB4573" w:rsidRPr="00256677">
        <w:rPr>
          <w:rFonts w:asciiTheme="majorHAnsi" w:eastAsia="Times New Roman" w:hAnsiTheme="majorHAnsi"/>
          <w:sz w:val="20"/>
          <w:szCs w:val="20"/>
        </w:rPr>
        <w:t>further</w:t>
      </w:r>
      <w:r w:rsidR="00647ECE" w:rsidRPr="00256677">
        <w:rPr>
          <w:rFonts w:asciiTheme="majorHAnsi" w:eastAsia="Times New Roman" w:hAnsiTheme="majorHAnsi"/>
          <w:sz w:val="20"/>
          <w:szCs w:val="20"/>
        </w:rPr>
        <w:t xml:space="preserve"> to the non-enforcement by Mr. Gray of his alleged threat to</w:t>
      </w:r>
      <w:r w:rsidR="00DB4573" w:rsidRPr="00256677">
        <w:rPr>
          <w:rFonts w:asciiTheme="majorHAnsi" w:eastAsia="Times New Roman" w:hAnsiTheme="majorHAnsi"/>
          <w:sz w:val="20"/>
          <w:szCs w:val="20"/>
        </w:rPr>
        <w:t xml:space="preserve"> </w:t>
      </w:r>
      <w:r w:rsidR="00647ECE" w:rsidRPr="00256677">
        <w:rPr>
          <w:rFonts w:asciiTheme="majorHAnsi" w:eastAsia="Times New Roman" w:hAnsiTheme="majorHAnsi"/>
          <w:sz w:val="20"/>
          <w:szCs w:val="20"/>
        </w:rPr>
        <w:t xml:space="preserve">force </w:t>
      </w:r>
      <w:r w:rsidR="00DB4573" w:rsidRPr="00256677">
        <w:rPr>
          <w:rFonts w:asciiTheme="majorHAnsi" w:eastAsia="Times New Roman" w:hAnsiTheme="majorHAnsi"/>
          <w:sz w:val="20"/>
          <w:szCs w:val="20"/>
        </w:rPr>
        <w:t>Mr. Winfrey</w:t>
      </w:r>
      <w:r w:rsidR="00647ECE" w:rsidRPr="00256677">
        <w:rPr>
          <w:rFonts w:asciiTheme="majorHAnsi" w:eastAsia="Times New Roman" w:hAnsiTheme="majorHAnsi"/>
          <w:sz w:val="20"/>
          <w:szCs w:val="20"/>
        </w:rPr>
        <w:t xml:space="preserve"> </w:t>
      </w:r>
      <w:r w:rsidR="00DB4573" w:rsidRPr="00256677">
        <w:rPr>
          <w:rFonts w:asciiTheme="majorHAnsi" w:eastAsia="Times New Roman" w:hAnsiTheme="majorHAnsi"/>
          <w:sz w:val="20"/>
          <w:szCs w:val="20"/>
        </w:rPr>
        <w:t xml:space="preserve">to participate in the rape. </w:t>
      </w:r>
    </w:p>
    <w:p w14:paraId="45E43118" w14:textId="77777777" w:rsidR="0094103C" w:rsidRPr="00256677" w:rsidRDefault="0094103C" w:rsidP="009410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5E3C41F4" w14:textId="77777777" w:rsidR="0094103C" w:rsidRPr="00256677" w:rsidRDefault="0094103C" w:rsidP="009410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The petition asserts that the Missouri Supreme Court “committed several significant legal and factual errors that undermine the validity of [</w:t>
      </w:r>
      <w:r w:rsidR="0007563A" w:rsidRPr="00256677">
        <w:rPr>
          <w:rFonts w:asciiTheme="majorHAnsi" w:hAnsiTheme="majorHAnsi"/>
          <w:sz w:val="20"/>
          <w:szCs w:val="20"/>
        </w:rPr>
        <w:t>its</w:t>
      </w:r>
      <w:r w:rsidRPr="00256677">
        <w:rPr>
          <w:rFonts w:asciiTheme="majorHAnsi" w:hAnsiTheme="majorHAnsi"/>
          <w:sz w:val="20"/>
          <w:szCs w:val="20"/>
        </w:rPr>
        <w:t>] conclusion [affirming a first-degree murder conviction]</w:t>
      </w:r>
      <w:r w:rsidR="009F3B22" w:rsidRPr="00256677">
        <w:rPr>
          <w:rFonts w:asciiTheme="majorHAnsi" w:hAnsiTheme="majorHAnsi"/>
          <w:sz w:val="20"/>
          <w:szCs w:val="20"/>
        </w:rPr>
        <w:t>.</w:t>
      </w:r>
      <w:r w:rsidRPr="00256677">
        <w:rPr>
          <w:rFonts w:asciiTheme="majorHAnsi" w:hAnsiTheme="majorHAnsi"/>
          <w:sz w:val="20"/>
          <w:szCs w:val="20"/>
        </w:rPr>
        <w:t xml:space="preserve">” </w:t>
      </w:r>
      <w:r w:rsidR="00DB1DA3" w:rsidRPr="00256677">
        <w:rPr>
          <w:rFonts w:asciiTheme="majorHAnsi" w:hAnsiTheme="majorHAnsi"/>
          <w:sz w:val="20"/>
          <w:szCs w:val="20"/>
        </w:rPr>
        <w:t>The Petitioners claim that there were three crucial errors</w:t>
      </w:r>
      <w:r w:rsidR="009F3B22" w:rsidRPr="00256677">
        <w:rPr>
          <w:rFonts w:asciiTheme="majorHAnsi" w:hAnsiTheme="majorHAnsi"/>
          <w:sz w:val="20"/>
          <w:szCs w:val="20"/>
        </w:rPr>
        <w:t xml:space="preserve">. First, they allege </w:t>
      </w:r>
      <w:r w:rsidR="00DB1DA3" w:rsidRPr="00256677">
        <w:rPr>
          <w:rFonts w:asciiTheme="majorHAnsi" w:hAnsiTheme="majorHAnsi"/>
          <w:sz w:val="20"/>
          <w:szCs w:val="20"/>
        </w:rPr>
        <w:t>that the court attributed to Mr. Gray statements that he did not make</w:t>
      </w:r>
      <w:r w:rsidR="00AB09C5" w:rsidRPr="00256677">
        <w:rPr>
          <w:rFonts w:asciiTheme="majorHAnsi" w:hAnsiTheme="majorHAnsi"/>
          <w:sz w:val="20"/>
          <w:szCs w:val="20"/>
        </w:rPr>
        <w:t xml:space="preserve"> regarding</w:t>
      </w:r>
      <w:r w:rsidR="0007563A" w:rsidRPr="00256677">
        <w:rPr>
          <w:rFonts w:asciiTheme="majorHAnsi" w:hAnsiTheme="majorHAnsi"/>
          <w:sz w:val="20"/>
          <w:szCs w:val="20"/>
        </w:rPr>
        <w:t xml:space="preserve"> a</w:t>
      </w:r>
      <w:r w:rsidR="00AB09C5" w:rsidRPr="00256677">
        <w:rPr>
          <w:rFonts w:asciiTheme="majorHAnsi" w:hAnsiTheme="majorHAnsi"/>
          <w:sz w:val="20"/>
          <w:szCs w:val="20"/>
        </w:rPr>
        <w:t xml:space="preserve"> discussion about whether Mr. Cummins should be killed</w:t>
      </w:r>
      <w:r w:rsidR="009F3B22" w:rsidRPr="00256677">
        <w:rPr>
          <w:rFonts w:asciiTheme="majorHAnsi" w:hAnsiTheme="majorHAnsi"/>
          <w:sz w:val="20"/>
          <w:szCs w:val="20"/>
        </w:rPr>
        <w:t>.</w:t>
      </w:r>
      <w:r w:rsidR="00DB1DA3" w:rsidRPr="00256677">
        <w:rPr>
          <w:rFonts w:asciiTheme="majorHAnsi" w:hAnsiTheme="majorHAnsi"/>
          <w:sz w:val="20"/>
          <w:szCs w:val="20"/>
        </w:rPr>
        <w:t xml:space="preserve"> </w:t>
      </w:r>
      <w:r w:rsidR="009F3B22" w:rsidRPr="00256677">
        <w:rPr>
          <w:rFonts w:asciiTheme="majorHAnsi" w:hAnsiTheme="majorHAnsi"/>
          <w:sz w:val="20"/>
          <w:szCs w:val="20"/>
        </w:rPr>
        <w:t xml:space="preserve">Second, Petitioners claim that </w:t>
      </w:r>
      <w:r w:rsidR="00DB1DA3" w:rsidRPr="00256677">
        <w:rPr>
          <w:rFonts w:asciiTheme="majorHAnsi" w:hAnsiTheme="majorHAnsi"/>
          <w:sz w:val="20"/>
          <w:szCs w:val="20"/>
        </w:rPr>
        <w:t>the court drew impermissible inferences from Mr. Gray’s confession</w:t>
      </w:r>
      <w:r w:rsidR="00DE174A" w:rsidRPr="00256677">
        <w:rPr>
          <w:rFonts w:asciiTheme="majorHAnsi" w:hAnsiTheme="majorHAnsi"/>
          <w:sz w:val="20"/>
          <w:szCs w:val="20"/>
        </w:rPr>
        <w:t>, making specific reference to</w:t>
      </w:r>
      <w:r w:rsidR="00DB1DA3" w:rsidRPr="00256677">
        <w:rPr>
          <w:rFonts w:asciiTheme="majorHAnsi" w:hAnsiTheme="majorHAnsi"/>
          <w:sz w:val="20"/>
          <w:szCs w:val="20"/>
        </w:rPr>
        <w:t xml:space="preserve"> </w:t>
      </w:r>
      <w:r w:rsidR="00DE174A" w:rsidRPr="00256677">
        <w:rPr>
          <w:rFonts w:asciiTheme="majorHAnsi" w:hAnsiTheme="majorHAnsi"/>
          <w:sz w:val="20"/>
          <w:szCs w:val="20"/>
        </w:rPr>
        <w:t>the use of his</w:t>
      </w:r>
      <w:r w:rsidR="00DB1DA3" w:rsidRPr="00256677">
        <w:rPr>
          <w:rFonts w:asciiTheme="majorHAnsi" w:hAnsiTheme="majorHAnsi"/>
          <w:sz w:val="20"/>
          <w:szCs w:val="20"/>
        </w:rPr>
        <w:t xml:space="preserve"> statement </w:t>
      </w:r>
      <w:r w:rsidR="00DE174A" w:rsidRPr="00256677">
        <w:rPr>
          <w:rFonts w:asciiTheme="majorHAnsi" w:hAnsiTheme="majorHAnsi"/>
          <w:sz w:val="20"/>
          <w:szCs w:val="20"/>
        </w:rPr>
        <w:t>that he</w:t>
      </w:r>
      <w:r w:rsidR="00DB1DA3" w:rsidRPr="00256677">
        <w:rPr>
          <w:rFonts w:asciiTheme="majorHAnsi" w:hAnsiTheme="majorHAnsi"/>
          <w:sz w:val="20"/>
          <w:szCs w:val="20"/>
        </w:rPr>
        <w:t xml:space="preserve"> “thought that Richardson ha</w:t>
      </w:r>
      <w:r w:rsidR="000620DE" w:rsidRPr="00256677">
        <w:rPr>
          <w:rFonts w:asciiTheme="majorHAnsi" w:hAnsiTheme="majorHAnsi"/>
          <w:sz w:val="20"/>
          <w:szCs w:val="20"/>
        </w:rPr>
        <w:t>[d]</w:t>
      </w:r>
      <w:r w:rsidR="00DB1DA3" w:rsidRPr="00256677">
        <w:rPr>
          <w:rFonts w:asciiTheme="majorHAnsi" w:hAnsiTheme="majorHAnsi"/>
          <w:sz w:val="20"/>
          <w:szCs w:val="20"/>
        </w:rPr>
        <w:t xml:space="preserve"> taken [Julie Kerry] to the end of the bridge, where he could take her by the river and maybe drown her or something</w:t>
      </w:r>
      <w:r w:rsidR="0007563A" w:rsidRPr="00256677">
        <w:rPr>
          <w:rFonts w:asciiTheme="majorHAnsi" w:hAnsiTheme="majorHAnsi"/>
          <w:sz w:val="20"/>
          <w:szCs w:val="20"/>
        </w:rPr>
        <w:t>,</w:t>
      </w:r>
      <w:r w:rsidR="00DB1DA3" w:rsidRPr="00256677">
        <w:rPr>
          <w:rFonts w:asciiTheme="majorHAnsi" w:hAnsiTheme="majorHAnsi"/>
          <w:sz w:val="20"/>
          <w:szCs w:val="20"/>
        </w:rPr>
        <w:t>”</w:t>
      </w:r>
      <w:r w:rsidR="00CD57D3" w:rsidRPr="00256677">
        <w:rPr>
          <w:rStyle w:val="FootnoteReference"/>
          <w:rFonts w:asciiTheme="majorHAnsi" w:hAnsiTheme="majorHAnsi"/>
          <w:sz w:val="20"/>
          <w:szCs w:val="20"/>
        </w:rPr>
        <w:footnoteReference w:id="5"/>
      </w:r>
      <w:r w:rsidR="00DB1DA3" w:rsidRPr="00256677">
        <w:rPr>
          <w:rFonts w:asciiTheme="majorHAnsi" w:hAnsiTheme="majorHAnsi"/>
          <w:sz w:val="20"/>
          <w:szCs w:val="20"/>
        </w:rPr>
        <w:t xml:space="preserve"> as sufficient evidence to permit inference of intent</w:t>
      </w:r>
      <w:r w:rsidR="009F3B22" w:rsidRPr="00256677">
        <w:rPr>
          <w:rFonts w:asciiTheme="majorHAnsi" w:hAnsiTheme="majorHAnsi"/>
          <w:sz w:val="20"/>
          <w:szCs w:val="20"/>
        </w:rPr>
        <w:t>. Third, they argue that</w:t>
      </w:r>
      <w:r w:rsidR="00AB09C5" w:rsidRPr="00256677">
        <w:rPr>
          <w:rFonts w:asciiTheme="majorHAnsi" w:hAnsiTheme="majorHAnsi"/>
          <w:sz w:val="20"/>
          <w:szCs w:val="20"/>
        </w:rPr>
        <w:t xml:space="preserve"> the court made an incorrect statement about</w:t>
      </w:r>
      <w:r w:rsidR="009F3B22" w:rsidRPr="00256677">
        <w:rPr>
          <w:rFonts w:asciiTheme="majorHAnsi" w:hAnsiTheme="majorHAnsi"/>
          <w:sz w:val="20"/>
          <w:szCs w:val="20"/>
        </w:rPr>
        <w:t xml:space="preserve"> Mr.</w:t>
      </w:r>
      <w:r w:rsidR="00AB09C5" w:rsidRPr="00256677">
        <w:rPr>
          <w:rFonts w:asciiTheme="majorHAnsi" w:hAnsiTheme="majorHAnsi"/>
          <w:sz w:val="20"/>
          <w:szCs w:val="20"/>
        </w:rPr>
        <w:t xml:space="preserve"> Gray having a gun based on the testimony of Mr. Cummins who expressed that Mr. Gray “said he would shoot</w:t>
      </w:r>
      <w:r w:rsidR="000620DE" w:rsidRPr="00256677">
        <w:rPr>
          <w:rFonts w:asciiTheme="majorHAnsi" w:hAnsiTheme="majorHAnsi"/>
          <w:sz w:val="20"/>
          <w:szCs w:val="20"/>
        </w:rPr>
        <w:t xml:space="preserve">” him </w:t>
      </w:r>
      <w:r w:rsidR="00AB09C5" w:rsidRPr="00256677">
        <w:rPr>
          <w:rFonts w:asciiTheme="majorHAnsi" w:hAnsiTheme="majorHAnsi"/>
          <w:sz w:val="20"/>
          <w:szCs w:val="20"/>
        </w:rPr>
        <w:t xml:space="preserve">if </w:t>
      </w:r>
      <w:r w:rsidR="000620DE" w:rsidRPr="00256677">
        <w:rPr>
          <w:rFonts w:asciiTheme="majorHAnsi" w:hAnsiTheme="majorHAnsi"/>
          <w:sz w:val="20"/>
          <w:szCs w:val="20"/>
        </w:rPr>
        <w:t>he</w:t>
      </w:r>
      <w:r w:rsidR="00AB09C5" w:rsidRPr="00256677">
        <w:rPr>
          <w:rFonts w:asciiTheme="majorHAnsi" w:hAnsiTheme="majorHAnsi"/>
          <w:sz w:val="20"/>
          <w:szCs w:val="20"/>
        </w:rPr>
        <w:t xml:space="preserve"> looked up.</w:t>
      </w:r>
    </w:p>
    <w:p w14:paraId="48BB1E7C" w14:textId="77777777" w:rsidR="00E82A9C" w:rsidRPr="00256677" w:rsidRDefault="00E82A9C" w:rsidP="00E82A9C">
      <w:pPr>
        <w:pStyle w:val="ListParagraph"/>
        <w:rPr>
          <w:rFonts w:asciiTheme="majorHAnsi" w:hAnsiTheme="majorHAnsi"/>
          <w:sz w:val="20"/>
          <w:szCs w:val="20"/>
        </w:rPr>
      </w:pPr>
    </w:p>
    <w:p w14:paraId="4D8D43A7" w14:textId="77777777" w:rsidR="00582E54" w:rsidRPr="00256677" w:rsidRDefault="00E82A9C" w:rsidP="00582E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The Petitioners submit that the Government’s response misrepresented the facts of the case; as none of the testimonies given spoke of Mr. Gray as a “ringleader” or “instigator</w:t>
      </w:r>
      <w:r w:rsidR="0007563A" w:rsidRPr="00256677">
        <w:rPr>
          <w:rFonts w:asciiTheme="majorHAnsi" w:eastAsia="Times New Roman" w:hAnsiTheme="majorHAnsi"/>
          <w:sz w:val="20"/>
          <w:szCs w:val="20"/>
        </w:rPr>
        <w:t>,</w:t>
      </w:r>
      <w:r w:rsidRPr="00256677">
        <w:rPr>
          <w:rFonts w:asciiTheme="majorHAnsi" w:eastAsia="Times New Roman" w:hAnsiTheme="majorHAnsi"/>
          <w:sz w:val="20"/>
          <w:szCs w:val="20"/>
        </w:rPr>
        <w:t>” however</w:t>
      </w:r>
      <w:r w:rsidR="00AE4B8D" w:rsidRPr="00256677">
        <w:rPr>
          <w:rFonts w:asciiTheme="majorHAnsi" w:eastAsia="Times New Roman" w:hAnsiTheme="majorHAnsi"/>
          <w:sz w:val="20"/>
          <w:szCs w:val="20"/>
        </w:rPr>
        <w:t>,</w:t>
      </w:r>
      <w:r w:rsidRPr="00256677">
        <w:rPr>
          <w:rFonts w:asciiTheme="majorHAnsi" w:eastAsia="Times New Roman" w:hAnsiTheme="majorHAnsi"/>
          <w:sz w:val="20"/>
          <w:szCs w:val="20"/>
        </w:rPr>
        <w:t xml:space="preserve"> this was the argument submitted to convict Mr. Gray of murder. On this argument, the Petitioners refer to the lead prosecutor’s submissions during the determination of guilt at trial, which tried to persuade the jury that Mr. Gray was the ringleader.</w:t>
      </w:r>
      <w:r w:rsidR="005E7CF8" w:rsidRPr="00256677">
        <w:rPr>
          <w:rFonts w:asciiTheme="majorHAnsi" w:eastAsia="Times New Roman" w:hAnsiTheme="majorHAnsi"/>
          <w:sz w:val="20"/>
          <w:szCs w:val="20"/>
        </w:rPr>
        <w:t xml:space="preserve"> With regards to the discussion on the killing of Mr. Cummins, t</w:t>
      </w:r>
      <w:r w:rsidR="00582E54" w:rsidRPr="00256677">
        <w:rPr>
          <w:rFonts w:asciiTheme="majorHAnsi" w:eastAsia="Times New Roman" w:hAnsiTheme="majorHAnsi"/>
          <w:sz w:val="20"/>
          <w:szCs w:val="20"/>
        </w:rPr>
        <w:t xml:space="preserve">he Petitioners assert however that </w:t>
      </w:r>
      <w:r w:rsidR="00582E54" w:rsidRPr="00256677">
        <w:rPr>
          <w:rFonts w:asciiTheme="majorHAnsi" w:hAnsiTheme="majorHAnsi"/>
          <w:sz w:val="20"/>
          <w:szCs w:val="20"/>
        </w:rPr>
        <w:t xml:space="preserve">the testimony of Mr. Cummins expressed that he, Mr. Cummins, was not able to identify the people who discussed whether </w:t>
      </w:r>
      <w:r w:rsidR="00582E54" w:rsidRPr="00256677">
        <w:rPr>
          <w:rFonts w:asciiTheme="majorHAnsi" w:hAnsiTheme="majorHAnsi"/>
          <w:sz w:val="20"/>
          <w:szCs w:val="20"/>
        </w:rPr>
        <w:lastRenderedPageBreak/>
        <w:t>he should be killed as his coat was pulled over his head</w:t>
      </w:r>
      <w:r w:rsidR="00AC6A4A" w:rsidRPr="00256677">
        <w:rPr>
          <w:rFonts w:asciiTheme="majorHAnsi" w:hAnsiTheme="majorHAnsi"/>
          <w:sz w:val="20"/>
          <w:szCs w:val="20"/>
        </w:rPr>
        <w:t>. R</w:t>
      </w:r>
      <w:r w:rsidR="00582E54" w:rsidRPr="00256677">
        <w:rPr>
          <w:rFonts w:asciiTheme="majorHAnsi" w:eastAsia="Times New Roman" w:hAnsiTheme="majorHAnsi"/>
          <w:sz w:val="20"/>
          <w:szCs w:val="20"/>
        </w:rPr>
        <w:t>egarding Mr. Gray</w:t>
      </w:r>
      <w:r w:rsidR="00BE59EF" w:rsidRPr="00256677">
        <w:rPr>
          <w:rFonts w:asciiTheme="majorHAnsi" w:eastAsia="Times New Roman" w:hAnsiTheme="majorHAnsi"/>
          <w:sz w:val="20"/>
          <w:szCs w:val="20"/>
        </w:rPr>
        <w:t>’</w:t>
      </w:r>
      <w:r w:rsidR="00582E54" w:rsidRPr="00256677">
        <w:rPr>
          <w:rFonts w:asciiTheme="majorHAnsi" w:eastAsia="Times New Roman" w:hAnsiTheme="majorHAnsi"/>
          <w:sz w:val="20"/>
          <w:szCs w:val="20"/>
        </w:rPr>
        <w:t xml:space="preserve">s confession statement, </w:t>
      </w:r>
      <w:r w:rsidR="00AC6A4A" w:rsidRPr="00256677">
        <w:rPr>
          <w:rFonts w:asciiTheme="majorHAnsi" w:eastAsia="Times New Roman" w:hAnsiTheme="majorHAnsi"/>
          <w:sz w:val="20"/>
          <w:szCs w:val="20"/>
        </w:rPr>
        <w:t xml:space="preserve">the Petitioners claim </w:t>
      </w:r>
      <w:r w:rsidR="00582E54" w:rsidRPr="00256677">
        <w:rPr>
          <w:rFonts w:asciiTheme="majorHAnsi" w:eastAsia="Times New Roman" w:hAnsiTheme="majorHAnsi"/>
          <w:sz w:val="20"/>
          <w:szCs w:val="20"/>
        </w:rPr>
        <w:t xml:space="preserve">that the inference that should </w:t>
      </w:r>
      <w:r w:rsidR="00AC6A4A" w:rsidRPr="00256677">
        <w:rPr>
          <w:rFonts w:asciiTheme="majorHAnsi" w:eastAsia="Times New Roman" w:hAnsiTheme="majorHAnsi"/>
          <w:sz w:val="20"/>
          <w:szCs w:val="20"/>
        </w:rPr>
        <w:t xml:space="preserve">have </w:t>
      </w:r>
      <w:r w:rsidR="00582E54" w:rsidRPr="00256677">
        <w:rPr>
          <w:rFonts w:asciiTheme="majorHAnsi" w:eastAsia="Times New Roman" w:hAnsiTheme="majorHAnsi"/>
          <w:sz w:val="20"/>
          <w:szCs w:val="20"/>
        </w:rPr>
        <w:t>follow</w:t>
      </w:r>
      <w:r w:rsidR="00AC6A4A" w:rsidRPr="00256677">
        <w:rPr>
          <w:rFonts w:asciiTheme="majorHAnsi" w:eastAsia="Times New Roman" w:hAnsiTheme="majorHAnsi"/>
          <w:sz w:val="20"/>
          <w:szCs w:val="20"/>
        </w:rPr>
        <w:t>ed</w:t>
      </w:r>
      <w:r w:rsidR="00582E54" w:rsidRPr="00256677">
        <w:rPr>
          <w:rFonts w:asciiTheme="majorHAnsi" w:eastAsia="Times New Roman" w:hAnsiTheme="majorHAnsi"/>
          <w:sz w:val="20"/>
          <w:szCs w:val="20"/>
        </w:rPr>
        <w:t xml:space="preserve"> is that Mr. Gra</w:t>
      </w:r>
      <w:r w:rsidR="005E7CF8" w:rsidRPr="00256677">
        <w:rPr>
          <w:rFonts w:asciiTheme="majorHAnsi" w:eastAsia="Times New Roman" w:hAnsiTheme="majorHAnsi"/>
          <w:sz w:val="20"/>
          <w:szCs w:val="20"/>
        </w:rPr>
        <w:t xml:space="preserve">y did not know where or how </w:t>
      </w:r>
      <w:r w:rsidR="00582E54" w:rsidRPr="00256677">
        <w:rPr>
          <w:rFonts w:asciiTheme="majorHAnsi" w:eastAsia="Times New Roman" w:hAnsiTheme="majorHAnsi"/>
          <w:sz w:val="20"/>
          <w:szCs w:val="20"/>
        </w:rPr>
        <w:t xml:space="preserve">Mr. Clemons and Mr. Richardson intended to kill the Kerry sisters and lastly, there was no other evidence apart from the testimony of Mr. Cummins on Mr. Gray’s threatening statement, to support that Mr. Gray had a gun. </w:t>
      </w:r>
    </w:p>
    <w:p w14:paraId="3F6937E2" w14:textId="77777777" w:rsidR="003C1E38" w:rsidRPr="00256677" w:rsidRDefault="003C1E38" w:rsidP="00366F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4291A740" w14:textId="77777777" w:rsidR="0024722E" w:rsidRPr="00256677" w:rsidRDefault="0024722E" w:rsidP="002472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Calibri" w:hAnsiTheme="majorHAnsi" w:cs="Calibri"/>
          <w:sz w:val="20"/>
          <w:szCs w:val="20"/>
        </w:rPr>
        <w:t>T</w:t>
      </w:r>
      <w:r w:rsidRPr="00256677">
        <w:rPr>
          <w:rFonts w:asciiTheme="majorHAnsi" w:eastAsia="Times New Roman" w:hAnsiTheme="majorHAnsi"/>
          <w:sz w:val="20"/>
          <w:szCs w:val="20"/>
        </w:rPr>
        <w:t>he Petitioners claim that</w:t>
      </w:r>
      <w:r w:rsidR="00BE59EF" w:rsidRPr="00256677">
        <w:rPr>
          <w:rFonts w:asciiTheme="majorHAnsi" w:eastAsia="Times New Roman" w:hAnsiTheme="majorHAnsi"/>
          <w:sz w:val="20"/>
          <w:szCs w:val="20"/>
        </w:rPr>
        <w:t>,</w:t>
      </w:r>
      <w:r w:rsidRPr="00256677">
        <w:rPr>
          <w:rFonts w:asciiTheme="majorHAnsi" w:eastAsia="Times New Roman" w:hAnsiTheme="majorHAnsi"/>
          <w:sz w:val="20"/>
          <w:szCs w:val="20"/>
        </w:rPr>
        <w:t xml:space="preserve"> by applying the death penalty to an individual who did not personally kill anyone, and did not request or instruct others to commit murder, the State has then failed to restrict application of the death penalty to crimes of “exceptional gravity</w:t>
      </w:r>
      <w:r w:rsidR="008054CB" w:rsidRPr="00256677">
        <w:rPr>
          <w:rFonts w:asciiTheme="majorHAnsi" w:eastAsia="Times New Roman" w:hAnsiTheme="majorHAnsi"/>
          <w:sz w:val="20"/>
          <w:szCs w:val="20"/>
        </w:rPr>
        <w:t>,</w:t>
      </w:r>
      <w:r w:rsidRPr="00256677">
        <w:rPr>
          <w:rFonts w:asciiTheme="majorHAnsi" w:eastAsia="Times New Roman" w:hAnsiTheme="majorHAnsi"/>
          <w:sz w:val="20"/>
          <w:szCs w:val="20"/>
        </w:rPr>
        <w:t>” and that subjecting Mr. Gray to capital punishment would violate the prohibition against arbitrary deprivation of life.</w:t>
      </w:r>
      <w:r w:rsidRPr="00256677">
        <w:rPr>
          <w:rFonts w:asciiTheme="majorHAnsi" w:eastAsia="Cambria" w:hAnsiTheme="majorHAnsi" w:cs="Cambria"/>
          <w:sz w:val="20"/>
          <w:szCs w:val="20"/>
        </w:rPr>
        <w:t xml:space="preserve"> </w:t>
      </w:r>
      <w:r w:rsidR="008054CB" w:rsidRPr="00256677">
        <w:rPr>
          <w:rFonts w:asciiTheme="majorHAnsi" w:eastAsia="Times New Roman" w:hAnsiTheme="majorHAnsi"/>
          <w:sz w:val="20"/>
          <w:szCs w:val="20"/>
        </w:rPr>
        <w:t>T</w:t>
      </w:r>
      <w:r w:rsidRPr="00256677">
        <w:rPr>
          <w:rFonts w:asciiTheme="majorHAnsi" w:eastAsia="Times New Roman" w:hAnsiTheme="majorHAnsi"/>
          <w:sz w:val="20"/>
          <w:szCs w:val="20"/>
        </w:rPr>
        <w:t>he Petitioners argue that the individual circumstances of Mr. Gray and his crime do not satisfy the requirements of a crime of exceptional gravity essentially due to the insufficient nexus between Mr. Gray and the crimes for which he has been convicted and sentenced, and that he has been unable to obtain a judicial remedy within the United States for his circumstances.</w:t>
      </w:r>
      <w:r w:rsidR="008D3FC2" w:rsidRPr="00256677">
        <w:rPr>
          <w:rFonts w:asciiTheme="majorHAnsi" w:eastAsia="Times New Roman" w:hAnsiTheme="majorHAnsi"/>
          <w:sz w:val="20"/>
          <w:szCs w:val="20"/>
        </w:rPr>
        <w:t xml:space="preserve"> </w:t>
      </w:r>
    </w:p>
    <w:p w14:paraId="68CA2D65" w14:textId="77777777" w:rsidR="00460C26" w:rsidRPr="00256677" w:rsidRDefault="00460C26" w:rsidP="00460C2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Times New Roman" w:hAnsiTheme="majorHAnsi"/>
          <w:sz w:val="20"/>
          <w:szCs w:val="20"/>
        </w:rPr>
      </w:pPr>
    </w:p>
    <w:p w14:paraId="2F3C7228" w14:textId="77777777" w:rsidR="00460C26" w:rsidRPr="00256677" w:rsidRDefault="00460C26" w:rsidP="001A02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The Petitioners further submit that the standard for what constitutes a crime of exceptional gravity under international law is different from the standard for what constitutes first-degree murder under Missouri law. It is claimed that under international law there is a determination which requires an evaluation of individual moral culpability; however with Missouri law, this determination hinges on whether the defendant made a decision to kill “after deliberation upon the matter</w:t>
      </w:r>
      <w:r w:rsidR="008054CB" w:rsidRPr="00256677">
        <w:rPr>
          <w:rFonts w:asciiTheme="majorHAnsi" w:eastAsia="Times New Roman" w:hAnsiTheme="majorHAnsi"/>
          <w:sz w:val="20"/>
          <w:szCs w:val="20"/>
        </w:rPr>
        <w:t>,</w:t>
      </w:r>
      <w:r w:rsidRPr="00256677">
        <w:rPr>
          <w:rFonts w:asciiTheme="majorHAnsi" w:eastAsia="Times New Roman" w:hAnsiTheme="majorHAnsi"/>
          <w:sz w:val="20"/>
          <w:szCs w:val="20"/>
        </w:rPr>
        <w:t>”</w:t>
      </w:r>
      <w:r w:rsidRPr="00256677">
        <w:rPr>
          <w:rStyle w:val="FootnoteReference"/>
          <w:rFonts w:asciiTheme="majorHAnsi" w:eastAsia="Times New Roman" w:hAnsiTheme="majorHAnsi"/>
          <w:sz w:val="20"/>
          <w:szCs w:val="20"/>
        </w:rPr>
        <w:footnoteReference w:id="6"/>
      </w:r>
      <w:r w:rsidRPr="00256677">
        <w:rPr>
          <w:rFonts w:asciiTheme="majorHAnsi" w:eastAsia="Times New Roman" w:hAnsiTheme="majorHAnsi"/>
          <w:sz w:val="20"/>
          <w:szCs w:val="20"/>
        </w:rPr>
        <w:t xml:space="preserve"> and not necessarily with the type of individual culpability required for crimes of exceptional gravity. </w:t>
      </w:r>
    </w:p>
    <w:p w14:paraId="3CF422AD" w14:textId="77777777" w:rsidR="000A0445" w:rsidRPr="00256677" w:rsidRDefault="000A0445" w:rsidP="009D0D81">
      <w:pPr>
        <w:tabs>
          <w:tab w:val="left" w:pos="360"/>
        </w:tabs>
        <w:rPr>
          <w:rFonts w:asciiTheme="majorHAnsi" w:eastAsia="Times New Roman" w:hAnsiTheme="majorHAnsi"/>
          <w:sz w:val="20"/>
          <w:szCs w:val="20"/>
        </w:rPr>
      </w:pPr>
    </w:p>
    <w:p w14:paraId="7CE31EE3" w14:textId="77777777" w:rsidR="0094103C" w:rsidRPr="00256677" w:rsidRDefault="008054CB" w:rsidP="009410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Finally, t</w:t>
      </w:r>
      <w:r w:rsidR="00427487" w:rsidRPr="00256677">
        <w:rPr>
          <w:rFonts w:asciiTheme="majorHAnsi" w:eastAsia="Times New Roman" w:hAnsiTheme="majorHAnsi"/>
          <w:sz w:val="20"/>
          <w:szCs w:val="20"/>
        </w:rPr>
        <w:t>he Petitioners claim that although the US Supreme Court has traditionally embraced the principle that capital punishment should be reserved for crimes of exceptional gravity, jurisprudence from the Court has permitted the application of the death penalty to individuals who neither took life, attempted to take life, nor intended to take life.  The Petitioners therefore argue that prevailing US jurisprudence is inconsistent with the requirements under the American Declaration and has prevented Mr. Gray from obtaining a judicial remedy despite several attempts to do so.  </w:t>
      </w:r>
    </w:p>
    <w:p w14:paraId="3024D4B7" w14:textId="77777777" w:rsidR="00427487" w:rsidRPr="00256677" w:rsidRDefault="0094103C" w:rsidP="009410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r w:rsidRPr="00256677">
        <w:rPr>
          <w:rFonts w:asciiTheme="majorHAnsi" w:hAnsiTheme="majorHAnsi"/>
          <w:sz w:val="20"/>
          <w:szCs w:val="20"/>
        </w:rPr>
        <w:t xml:space="preserve"> </w:t>
      </w:r>
    </w:p>
    <w:p w14:paraId="100139D7" w14:textId="77777777" w:rsidR="001C4006" w:rsidRPr="00256677" w:rsidRDefault="001C4006" w:rsidP="009D0D81">
      <w:pPr>
        <w:pStyle w:val="Heading2"/>
        <w:numPr>
          <w:ilvl w:val="0"/>
          <w:numId w:val="58"/>
        </w:numPr>
        <w:spacing w:before="0"/>
        <w:ind w:left="360"/>
        <w:rPr>
          <w:color w:val="auto"/>
          <w:sz w:val="20"/>
          <w:szCs w:val="20"/>
        </w:rPr>
      </w:pPr>
      <w:bookmarkStart w:id="3" w:name="_Toc90284135"/>
      <w:r w:rsidRPr="00256677">
        <w:rPr>
          <w:color w:val="auto"/>
          <w:sz w:val="20"/>
          <w:szCs w:val="20"/>
        </w:rPr>
        <w:t>S</w:t>
      </w:r>
      <w:r w:rsidR="00262ECA" w:rsidRPr="00256677">
        <w:rPr>
          <w:color w:val="auto"/>
          <w:sz w:val="20"/>
          <w:szCs w:val="20"/>
        </w:rPr>
        <w:t>tate</w:t>
      </w:r>
      <w:bookmarkEnd w:id="3"/>
    </w:p>
    <w:p w14:paraId="1A1499EA" w14:textId="77777777" w:rsidR="00B945B3" w:rsidRPr="00256677" w:rsidRDefault="00B945B3" w:rsidP="00B945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3617150" w14:textId="77777777" w:rsidR="009D0D81" w:rsidRPr="00256677" w:rsidRDefault="009D0D81"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 xml:space="preserve">In its response to the Petitioner’s observations on the merits, the State </w:t>
      </w:r>
      <w:r w:rsidR="00C94B6D" w:rsidRPr="00256677">
        <w:rPr>
          <w:rFonts w:asciiTheme="majorHAnsi" w:eastAsia="Times New Roman" w:hAnsiTheme="majorHAnsi"/>
          <w:sz w:val="20"/>
          <w:szCs w:val="20"/>
        </w:rPr>
        <w:t>reiterated its stance within</w:t>
      </w:r>
      <w:r w:rsidRPr="00256677">
        <w:rPr>
          <w:rFonts w:asciiTheme="majorHAnsi" w:eastAsia="Times New Roman" w:hAnsiTheme="majorHAnsi"/>
          <w:sz w:val="20"/>
          <w:szCs w:val="20"/>
        </w:rPr>
        <w:t xml:space="preserve"> its submission filed during the admissibility stage</w:t>
      </w:r>
      <w:r w:rsidR="00B27C65" w:rsidRPr="00256677">
        <w:rPr>
          <w:rFonts w:asciiTheme="majorHAnsi" w:eastAsia="Times New Roman" w:hAnsiTheme="majorHAnsi"/>
          <w:sz w:val="20"/>
          <w:szCs w:val="20"/>
        </w:rPr>
        <w:t>.</w:t>
      </w:r>
      <w:r w:rsidRPr="00256677">
        <w:rPr>
          <w:rFonts w:asciiTheme="majorHAnsi" w:eastAsia="Times New Roman" w:hAnsiTheme="majorHAnsi"/>
          <w:sz w:val="20"/>
          <w:szCs w:val="20"/>
        </w:rPr>
        <w:t xml:space="preserve"> This section </w:t>
      </w:r>
      <w:r w:rsidR="00C94B6D" w:rsidRPr="00256677">
        <w:rPr>
          <w:rFonts w:asciiTheme="majorHAnsi" w:eastAsia="Times New Roman" w:hAnsiTheme="majorHAnsi"/>
          <w:sz w:val="20"/>
          <w:szCs w:val="20"/>
        </w:rPr>
        <w:t xml:space="preserve">is thus based on arguments within the State observations that refer to those made </w:t>
      </w:r>
      <w:r w:rsidRPr="00256677">
        <w:rPr>
          <w:rFonts w:asciiTheme="majorHAnsi" w:eastAsia="Times New Roman" w:hAnsiTheme="majorHAnsi"/>
          <w:sz w:val="20"/>
          <w:szCs w:val="20"/>
        </w:rPr>
        <w:t>during the admissibility stage related to the merits.</w:t>
      </w:r>
    </w:p>
    <w:p w14:paraId="6C44D297" w14:textId="77777777" w:rsidR="009D0D81" w:rsidRPr="00256677" w:rsidRDefault="009D0D81" w:rsidP="009D0D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74FE477" w14:textId="77777777" w:rsidR="007070DC" w:rsidRPr="00256677" w:rsidRDefault="005C6EDD" w:rsidP="007070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 xml:space="preserve">The State argues that both the state and federal courts had reviewed and affirmed Mr. Gray’s conviction and sentence pursuant to due process of law, and their findings legally and factually support the first-degree murder conviction and sentence of death. </w:t>
      </w:r>
      <w:r w:rsidR="00427C8F" w:rsidRPr="00256677">
        <w:rPr>
          <w:rFonts w:asciiTheme="majorHAnsi" w:eastAsia="Times New Roman" w:hAnsiTheme="majorHAnsi"/>
          <w:sz w:val="20"/>
          <w:szCs w:val="20"/>
        </w:rPr>
        <w:t>With regards to the P</w:t>
      </w:r>
      <w:r w:rsidR="007070DC" w:rsidRPr="00256677">
        <w:rPr>
          <w:rFonts w:asciiTheme="majorHAnsi" w:eastAsia="Times New Roman" w:hAnsiTheme="majorHAnsi"/>
          <w:sz w:val="20"/>
          <w:szCs w:val="20"/>
        </w:rPr>
        <w:t xml:space="preserve">etitioner’s assertions that the Missouri Supreme Court committed several significant legal and factual errors that undermine the validity of its conclusion in affirming a first-degree murder conviction; the State explains that Mr. Gray bore the burden of rebutting by clear and convincing evidence the presumption of correctness of any state court’s factual determination; and Mr. Gray in the circumstances did not meet his burden of demonstrating any significant factual inaccuracies. </w:t>
      </w:r>
    </w:p>
    <w:p w14:paraId="3EFC7B94" w14:textId="77777777" w:rsidR="007070DC" w:rsidRPr="00256677" w:rsidRDefault="007070DC" w:rsidP="007070DC">
      <w:pPr>
        <w:pStyle w:val="ListParagraph"/>
        <w:rPr>
          <w:rFonts w:asciiTheme="majorHAnsi" w:eastAsia="Times New Roman" w:hAnsiTheme="majorHAnsi"/>
          <w:sz w:val="20"/>
          <w:szCs w:val="20"/>
        </w:rPr>
      </w:pPr>
    </w:p>
    <w:p w14:paraId="771DA824" w14:textId="77777777" w:rsidR="005C6EDD" w:rsidRPr="00256677" w:rsidRDefault="005C6EDD" w:rsidP="007070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 xml:space="preserve">With regards to the claim that there was not sufficient evidence to convict of first-degree murder because Mr. Gray did not have the requisite intent to kill, the State relies on </w:t>
      </w:r>
      <w:r w:rsidR="007070DC" w:rsidRPr="00256677">
        <w:rPr>
          <w:rFonts w:asciiTheme="majorHAnsi" w:eastAsia="Times New Roman" w:hAnsiTheme="majorHAnsi"/>
          <w:sz w:val="20"/>
          <w:szCs w:val="20"/>
        </w:rPr>
        <w:t>observations by the Missouri Supreme Court, which noted Mr. Gray’s “role as a leader and enforcer in the group”</w:t>
      </w:r>
      <w:r w:rsidR="007070DC" w:rsidRPr="00256677">
        <w:rPr>
          <w:rStyle w:val="FootnoteReference"/>
          <w:rFonts w:asciiTheme="majorHAnsi" w:eastAsia="Times New Roman" w:hAnsiTheme="majorHAnsi"/>
          <w:sz w:val="20"/>
          <w:szCs w:val="20"/>
        </w:rPr>
        <w:footnoteReference w:id="7"/>
      </w:r>
      <w:r w:rsidR="007070DC" w:rsidRPr="00256677">
        <w:rPr>
          <w:rFonts w:asciiTheme="majorHAnsi" w:eastAsia="Times New Roman" w:hAnsiTheme="majorHAnsi"/>
          <w:sz w:val="20"/>
          <w:szCs w:val="20"/>
        </w:rPr>
        <w:t xml:space="preserve"> which permitted an inference of deliberation as required for first-degree murder. </w:t>
      </w:r>
      <w:r w:rsidR="007070DC" w:rsidRPr="00256677">
        <w:rPr>
          <w:rFonts w:asciiTheme="majorHAnsi" w:hAnsiTheme="majorHAnsi"/>
          <w:sz w:val="20"/>
          <w:szCs w:val="20"/>
        </w:rPr>
        <w:t xml:space="preserve">The State also relies on </w:t>
      </w:r>
      <w:r w:rsidRPr="00256677">
        <w:rPr>
          <w:rFonts w:asciiTheme="majorHAnsi" w:eastAsia="Times New Roman" w:hAnsiTheme="majorHAnsi"/>
          <w:sz w:val="20"/>
          <w:szCs w:val="20"/>
        </w:rPr>
        <w:t>the ruling of the Eight Circuit Court which expressed that there “is ample evidence here of participation and deliberation to justify a verdict of guilty on charges of first-degree murder”</w:t>
      </w:r>
      <w:r w:rsidRPr="00256677">
        <w:rPr>
          <w:rStyle w:val="FootnoteReference"/>
          <w:rFonts w:asciiTheme="majorHAnsi" w:eastAsia="Times New Roman" w:hAnsiTheme="majorHAnsi"/>
          <w:sz w:val="20"/>
          <w:szCs w:val="20"/>
        </w:rPr>
        <w:footnoteReference w:id="8"/>
      </w:r>
      <w:r w:rsidRPr="00256677">
        <w:rPr>
          <w:rFonts w:asciiTheme="majorHAnsi" w:eastAsia="Times New Roman" w:hAnsiTheme="majorHAnsi"/>
          <w:sz w:val="20"/>
          <w:szCs w:val="20"/>
        </w:rPr>
        <w:t xml:space="preserve"> which was a reference of Gray v Bowersox, 281 F.3d at 753. </w:t>
      </w:r>
      <w:r w:rsidR="007070DC" w:rsidRPr="00256677">
        <w:rPr>
          <w:rFonts w:asciiTheme="majorHAnsi" w:eastAsia="Times New Roman" w:hAnsiTheme="majorHAnsi"/>
          <w:sz w:val="20"/>
          <w:szCs w:val="20"/>
        </w:rPr>
        <w:t>Further reliance was made to Missouri law whereby “cool reflection for any length of time no matter how brief” constitutes the requisite deliberation to justify a verdict of guilty on charges of first-degree murder.</w:t>
      </w:r>
    </w:p>
    <w:p w14:paraId="47C862F1" w14:textId="77777777" w:rsidR="005C6EDD" w:rsidRPr="00256677" w:rsidRDefault="005C6EDD" w:rsidP="005C6EDD">
      <w:pPr>
        <w:pStyle w:val="ListParagraph"/>
        <w:rPr>
          <w:rFonts w:asciiTheme="majorHAnsi" w:eastAsia="Times New Roman" w:hAnsiTheme="majorHAnsi"/>
          <w:sz w:val="20"/>
          <w:szCs w:val="20"/>
        </w:rPr>
      </w:pPr>
    </w:p>
    <w:p w14:paraId="6D8886BF" w14:textId="77777777" w:rsidR="00273645" w:rsidRPr="00256677" w:rsidRDefault="00B945B3"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lastRenderedPageBreak/>
        <w:t xml:space="preserve">The State </w:t>
      </w:r>
      <w:r w:rsidR="00A27941" w:rsidRPr="00256677">
        <w:rPr>
          <w:rFonts w:asciiTheme="majorHAnsi" w:eastAsia="Times New Roman" w:hAnsiTheme="majorHAnsi"/>
          <w:sz w:val="20"/>
          <w:szCs w:val="20"/>
        </w:rPr>
        <w:t xml:space="preserve">affirms that a duly constituted jury imposed a sentence of death for the conviction, finding six statutory aggravating circumstances in each count of murder as a basis for considering capital punishment. It further </w:t>
      </w:r>
      <w:r w:rsidRPr="00256677">
        <w:rPr>
          <w:rFonts w:asciiTheme="majorHAnsi" w:eastAsia="Times New Roman" w:hAnsiTheme="majorHAnsi"/>
          <w:sz w:val="20"/>
          <w:szCs w:val="20"/>
        </w:rPr>
        <w:t>argues that the U.S. courts properly considered the individual circumstances of Mr. Gray’s crime</w:t>
      </w:r>
      <w:r w:rsidR="004641C1" w:rsidRPr="00256677">
        <w:rPr>
          <w:rFonts w:asciiTheme="majorHAnsi" w:eastAsia="Times New Roman" w:hAnsiTheme="majorHAnsi"/>
          <w:sz w:val="20"/>
          <w:szCs w:val="20"/>
        </w:rPr>
        <w:t>, and his sentence</w:t>
      </w:r>
      <w:r w:rsidR="00BC5C8F" w:rsidRPr="00256677">
        <w:rPr>
          <w:rFonts w:asciiTheme="majorHAnsi" w:eastAsia="Times New Roman" w:hAnsiTheme="majorHAnsi"/>
          <w:sz w:val="20"/>
          <w:szCs w:val="20"/>
        </w:rPr>
        <w:t xml:space="preserve"> </w:t>
      </w:r>
      <w:r w:rsidRPr="00256677">
        <w:rPr>
          <w:rFonts w:asciiTheme="majorHAnsi" w:eastAsia="Times New Roman" w:hAnsiTheme="majorHAnsi"/>
          <w:sz w:val="20"/>
          <w:szCs w:val="20"/>
        </w:rPr>
        <w:t>is not arbitrary and was imposed in accordance with full due process protections. In particular, the State contends that the U.S. Courts have reviewed the issue of the gravity of Mr. Gray’s crime extensively, and their findings</w:t>
      </w:r>
      <w:r w:rsidR="003D5176" w:rsidRPr="00256677">
        <w:rPr>
          <w:rFonts w:asciiTheme="majorHAnsi" w:eastAsia="Times New Roman" w:hAnsiTheme="majorHAnsi"/>
          <w:sz w:val="20"/>
          <w:szCs w:val="20"/>
        </w:rPr>
        <w:t xml:space="preserve"> legally and factually support the sentence of death</w:t>
      </w:r>
      <w:r w:rsidRPr="00256677">
        <w:rPr>
          <w:rFonts w:asciiTheme="majorHAnsi" w:eastAsia="Times New Roman" w:hAnsiTheme="majorHAnsi"/>
          <w:sz w:val="20"/>
          <w:szCs w:val="20"/>
        </w:rPr>
        <w:t xml:space="preserve">.  </w:t>
      </w:r>
    </w:p>
    <w:p w14:paraId="29A64D5E" w14:textId="77777777" w:rsidR="00006F2E" w:rsidRPr="00256677" w:rsidRDefault="00006F2E" w:rsidP="00006F2E">
      <w:pPr>
        <w:pStyle w:val="ListParagraph"/>
        <w:rPr>
          <w:rFonts w:asciiTheme="majorHAnsi" w:hAnsiTheme="majorHAnsi"/>
          <w:sz w:val="20"/>
          <w:szCs w:val="20"/>
        </w:rPr>
      </w:pPr>
    </w:p>
    <w:p w14:paraId="6BF2CBEA" w14:textId="77777777" w:rsidR="00006F2E" w:rsidRPr="00256677" w:rsidRDefault="00006F2E"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With regard to the submission by the Petitioners that Mr. Gray did not commit a crime of “exceptional gravity” under international law, the State reiterated that the U.S. courts had reviewed the issue of gravity of Mr. Gray’s crime extensively, and that their findings legally and factually support a sentence of death. </w:t>
      </w:r>
      <w:r w:rsidR="0054316E" w:rsidRPr="00256677">
        <w:rPr>
          <w:rFonts w:asciiTheme="majorHAnsi" w:hAnsiTheme="majorHAnsi"/>
          <w:sz w:val="20"/>
          <w:szCs w:val="20"/>
        </w:rPr>
        <w:t>The State disputes the submission claiming that the evidence presented amply supported Mr. Gray’s conviction as an accomplice to first-degree murder, as defined under Missouri law. The State refers specifically to Missouri law under which the courts are guided, which states that:</w:t>
      </w:r>
      <w:r w:rsidR="00C92214" w:rsidRPr="00256677">
        <w:rPr>
          <w:rStyle w:val="FootnoteReference"/>
          <w:rFonts w:asciiTheme="majorHAnsi" w:hAnsiTheme="majorHAnsi"/>
          <w:sz w:val="20"/>
          <w:szCs w:val="20"/>
        </w:rPr>
        <w:footnoteReference w:id="9"/>
      </w:r>
    </w:p>
    <w:p w14:paraId="5C85B5C2" w14:textId="77777777" w:rsidR="0054316E" w:rsidRPr="00256677" w:rsidRDefault="0054316E" w:rsidP="0054316E">
      <w:pPr>
        <w:pStyle w:val="ListParagraph"/>
        <w:rPr>
          <w:rFonts w:asciiTheme="majorHAnsi" w:hAnsiTheme="majorHAnsi"/>
          <w:sz w:val="20"/>
          <w:szCs w:val="20"/>
        </w:rPr>
      </w:pPr>
    </w:p>
    <w:p w14:paraId="109AC718" w14:textId="77777777" w:rsidR="00DC5165" w:rsidRPr="00256677" w:rsidRDefault="0054316E" w:rsidP="00B27C6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rPr>
      </w:pPr>
      <w:r w:rsidRPr="00256677">
        <w:rPr>
          <w:rFonts w:asciiTheme="majorHAnsi" w:hAnsiTheme="majorHAnsi"/>
          <w:sz w:val="18"/>
          <w:szCs w:val="18"/>
        </w:rPr>
        <w:t>“Either before or during the commission of an offense with the purpose of promoting the commission of an offense, [a person] aids or agrees to aid or attempts to aid such other person in planning, committing or attempting to commit the offense.”</w:t>
      </w:r>
    </w:p>
    <w:p w14:paraId="1CD4A19D" w14:textId="77777777" w:rsidR="00273645" w:rsidRPr="00256677" w:rsidRDefault="00273645" w:rsidP="00273645">
      <w:pPr>
        <w:jc w:val="both"/>
        <w:rPr>
          <w:rFonts w:asciiTheme="majorHAnsi" w:eastAsia="Times New Roman" w:hAnsiTheme="majorHAnsi"/>
          <w:sz w:val="20"/>
          <w:szCs w:val="20"/>
        </w:rPr>
      </w:pPr>
    </w:p>
    <w:p w14:paraId="2448B8DD" w14:textId="77777777" w:rsidR="008F40FD" w:rsidRPr="00256677" w:rsidRDefault="008F40FD" w:rsidP="008F40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Finally, the State argues that the Commission lacks the authority to request precautionary measures of States that have not ratified the American Convention, essentially because the provision governing such measures is contained in the Commissions’ Rules rather than in its Statute.</w:t>
      </w:r>
    </w:p>
    <w:p w14:paraId="14E8ABF0" w14:textId="77777777" w:rsidR="008F40FD" w:rsidRPr="00256677" w:rsidRDefault="008F40FD" w:rsidP="00273645">
      <w:pPr>
        <w:jc w:val="both"/>
        <w:rPr>
          <w:rFonts w:asciiTheme="majorHAnsi" w:eastAsia="Times New Roman" w:hAnsiTheme="majorHAnsi"/>
          <w:sz w:val="20"/>
          <w:szCs w:val="20"/>
        </w:rPr>
      </w:pPr>
    </w:p>
    <w:p w14:paraId="3D18CBC3" w14:textId="77777777" w:rsidR="001C4006" w:rsidRPr="00256677" w:rsidRDefault="001C4006" w:rsidP="009D0D81">
      <w:pPr>
        <w:pStyle w:val="Heading1"/>
        <w:spacing w:before="0"/>
        <w:ind w:left="360"/>
        <w:rPr>
          <w:color w:val="auto"/>
          <w:sz w:val="20"/>
          <w:szCs w:val="20"/>
        </w:rPr>
      </w:pPr>
      <w:bookmarkStart w:id="4" w:name="_Toc90284136"/>
      <w:r w:rsidRPr="00256677">
        <w:rPr>
          <w:color w:val="auto"/>
          <w:sz w:val="20"/>
          <w:szCs w:val="20"/>
        </w:rPr>
        <w:t>FINDINGS OF FACT</w:t>
      </w:r>
      <w:bookmarkEnd w:id="4"/>
    </w:p>
    <w:p w14:paraId="7B4DCCCE" w14:textId="77777777" w:rsidR="00707116" w:rsidRPr="00256677" w:rsidRDefault="00707116" w:rsidP="007071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p>
    <w:p w14:paraId="72B6FA49" w14:textId="77777777" w:rsidR="00A3773C" w:rsidRPr="00256677" w:rsidRDefault="0004390C"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256677">
        <w:rPr>
          <w:rFonts w:ascii="Cambria" w:hAnsi="Cambria"/>
          <w:sz w:val="20"/>
          <w:szCs w:val="20"/>
        </w:rPr>
        <w:t xml:space="preserve">In application of Article 43(1) of its Rules of Procedure, the IACHR will examine the arguments and </w:t>
      </w:r>
      <w:r w:rsidR="00427C8F" w:rsidRPr="00256677">
        <w:rPr>
          <w:rFonts w:ascii="Cambria" w:hAnsi="Cambria"/>
          <w:sz w:val="20"/>
          <w:szCs w:val="20"/>
        </w:rPr>
        <w:t>evidence provided by the P</w:t>
      </w:r>
      <w:r w:rsidRPr="00256677">
        <w:rPr>
          <w:rFonts w:ascii="Cambria" w:hAnsi="Cambria"/>
          <w:sz w:val="20"/>
          <w:szCs w:val="20"/>
        </w:rPr>
        <w:t xml:space="preserve">etitioners and the State. Likewise, the Commission will take into account publicly available information that may be relevant </w:t>
      </w:r>
      <w:r w:rsidR="00143E4B" w:rsidRPr="00256677">
        <w:rPr>
          <w:rFonts w:ascii="Cambria" w:hAnsi="Cambria"/>
          <w:sz w:val="20"/>
          <w:szCs w:val="20"/>
        </w:rPr>
        <w:t xml:space="preserve">to </w:t>
      </w:r>
      <w:r w:rsidRPr="00256677">
        <w:rPr>
          <w:rFonts w:ascii="Cambria" w:hAnsi="Cambria"/>
          <w:sz w:val="20"/>
          <w:szCs w:val="20"/>
        </w:rPr>
        <w:t>the analysis and decision of the instant case.</w:t>
      </w:r>
    </w:p>
    <w:p w14:paraId="70ACC1AC" w14:textId="77777777" w:rsidR="009207F2" w:rsidRPr="00256677" w:rsidRDefault="009207F2" w:rsidP="00866353">
      <w:pPr>
        <w:tabs>
          <w:tab w:val="left" w:pos="360"/>
        </w:tabs>
        <w:rPr>
          <w:rFonts w:asciiTheme="majorHAnsi" w:hAnsiTheme="majorHAnsi"/>
          <w:sz w:val="20"/>
          <w:szCs w:val="20"/>
        </w:rPr>
      </w:pPr>
    </w:p>
    <w:p w14:paraId="2E8EC6C4" w14:textId="77777777" w:rsidR="000615CF" w:rsidRPr="00256677" w:rsidRDefault="000615CF" w:rsidP="006E07EB">
      <w:pPr>
        <w:pStyle w:val="Heading2"/>
        <w:numPr>
          <w:ilvl w:val="0"/>
          <w:numId w:val="73"/>
        </w:numPr>
        <w:spacing w:before="0"/>
        <w:ind w:left="360"/>
        <w:jc w:val="both"/>
        <w:rPr>
          <w:color w:val="auto"/>
          <w:sz w:val="20"/>
          <w:szCs w:val="20"/>
        </w:rPr>
      </w:pPr>
      <w:bookmarkStart w:id="5" w:name="_Toc90284137"/>
      <w:r w:rsidRPr="00256677">
        <w:rPr>
          <w:color w:val="auto"/>
          <w:sz w:val="20"/>
          <w:szCs w:val="20"/>
        </w:rPr>
        <w:t>Relevant legal framework</w:t>
      </w:r>
      <w:r w:rsidR="00F5237B" w:rsidRPr="00256677">
        <w:rPr>
          <w:color w:val="auto"/>
          <w:sz w:val="20"/>
          <w:szCs w:val="20"/>
        </w:rPr>
        <w:t xml:space="preserve"> and applicable case law</w:t>
      </w:r>
      <w:bookmarkEnd w:id="5"/>
    </w:p>
    <w:p w14:paraId="366C1A9B" w14:textId="77777777" w:rsidR="000615CF" w:rsidRPr="00256677" w:rsidRDefault="000615CF" w:rsidP="00657A39">
      <w:pPr>
        <w:pStyle w:val="ListParagraph"/>
        <w:tabs>
          <w:tab w:val="left" w:pos="360"/>
        </w:tabs>
        <w:rPr>
          <w:rFonts w:asciiTheme="majorHAnsi" w:hAnsiTheme="majorHAnsi"/>
          <w:sz w:val="20"/>
          <w:szCs w:val="20"/>
        </w:rPr>
      </w:pPr>
    </w:p>
    <w:p w14:paraId="6C457822" w14:textId="77777777" w:rsidR="00ED1C8D" w:rsidRPr="00256677" w:rsidRDefault="00ED1C8D" w:rsidP="00ED1C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256677">
        <w:rPr>
          <w:rFonts w:ascii="Cambria" w:hAnsi="Cambria"/>
          <w:sz w:val="20"/>
          <w:szCs w:val="20"/>
        </w:rPr>
        <w:t xml:space="preserve">Chapter 565 of Title XXXVIII </w:t>
      </w:r>
      <w:r w:rsidR="00C92214" w:rsidRPr="00256677">
        <w:rPr>
          <w:rFonts w:ascii="Cambria" w:hAnsi="Cambria"/>
          <w:sz w:val="20"/>
          <w:szCs w:val="20"/>
        </w:rPr>
        <w:t xml:space="preserve">(crimes and punishment; peace officers and public defenders) </w:t>
      </w:r>
      <w:r w:rsidRPr="00256677">
        <w:rPr>
          <w:rFonts w:ascii="Cambria" w:hAnsi="Cambria"/>
          <w:sz w:val="20"/>
          <w:szCs w:val="20"/>
        </w:rPr>
        <w:t>of the</w:t>
      </w:r>
      <w:r w:rsidR="00C92214" w:rsidRPr="00256677">
        <w:rPr>
          <w:rFonts w:ascii="Cambria" w:hAnsi="Cambria"/>
          <w:sz w:val="20"/>
          <w:szCs w:val="20"/>
        </w:rPr>
        <w:t xml:space="preserve"> state of</w:t>
      </w:r>
      <w:r w:rsidRPr="00256677">
        <w:rPr>
          <w:rFonts w:ascii="Cambria" w:hAnsi="Cambria"/>
          <w:sz w:val="20"/>
          <w:szCs w:val="20"/>
        </w:rPr>
        <w:t xml:space="preserve"> Missouri Statute</w:t>
      </w:r>
      <w:r w:rsidR="00C92214" w:rsidRPr="00256677">
        <w:rPr>
          <w:rFonts w:ascii="Cambria" w:hAnsi="Cambria"/>
          <w:sz w:val="20"/>
          <w:szCs w:val="20"/>
        </w:rPr>
        <w:t>s</w:t>
      </w:r>
      <w:r w:rsidRPr="00256677">
        <w:rPr>
          <w:rFonts w:ascii="Cambria" w:hAnsi="Cambria"/>
          <w:sz w:val="20"/>
          <w:szCs w:val="20"/>
        </w:rPr>
        <w:t xml:space="preserve"> establishes the following:</w:t>
      </w:r>
    </w:p>
    <w:p w14:paraId="401EA9A9" w14:textId="77777777" w:rsidR="00ED1C8D" w:rsidRPr="00256677" w:rsidRDefault="00ED1C8D" w:rsidP="00657A39">
      <w:pPr>
        <w:pStyle w:val="ListParagraph"/>
        <w:tabs>
          <w:tab w:val="left" w:pos="360"/>
        </w:tabs>
        <w:ind w:left="0"/>
        <w:jc w:val="both"/>
        <w:rPr>
          <w:rFonts w:eastAsia="Arial Unicode MS" w:cs="Times New Roman"/>
          <w:color w:val="auto"/>
          <w:sz w:val="20"/>
          <w:szCs w:val="20"/>
          <w:lang w:eastAsia="en-US"/>
        </w:rPr>
      </w:pPr>
    </w:p>
    <w:p w14:paraId="735F953A" w14:textId="77777777" w:rsidR="0060445F" w:rsidRPr="00256677" w:rsidRDefault="0060445F" w:rsidP="00657A39">
      <w:pPr>
        <w:pStyle w:val="ListParagraph"/>
        <w:tabs>
          <w:tab w:val="left" w:pos="360"/>
        </w:tabs>
        <w:ind w:left="360" w:right="360"/>
        <w:jc w:val="both"/>
        <w:rPr>
          <w:rFonts w:eastAsia="Arial Unicode MS" w:cs="Times New Roman"/>
          <w:color w:val="auto"/>
          <w:sz w:val="20"/>
          <w:szCs w:val="20"/>
          <w:lang w:eastAsia="en-US"/>
        </w:rPr>
      </w:pPr>
      <w:r w:rsidRPr="00256677">
        <w:rPr>
          <w:rFonts w:eastAsia="Arial Unicode MS" w:cs="Times New Roman"/>
          <w:i/>
          <w:color w:val="auto"/>
          <w:sz w:val="20"/>
          <w:szCs w:val="20"/>
          <w:lang w:eastAsia="en-US"/>
        </w:rPr>
        <w:t>565.002. Definitions.</w:t>
      </w:r>
      <w:r w:rsidRPr="00256677">
        <w:rPr>
          <w:rFonts w:eastAsia="Arial Unicode MS" w:cs="Times New Roman"/>
          <w:color w:val="auto"/>
          <w:sz w:val="20"/>
          <w:szCs w:val="20"/>
          <w:lang w:eastAsia="en-US"/>
        </w:rPr>
        <w:t xml:space="preserve"> — As used in this chapter, unless a different meaning is otherwise plainly required the following terms mean:</w:t>
      </w:r>
    </w:p>
    <w:p w14:paraId="34ECD44C" w14:textId="77777777" w:rsidR="0060445F" w:rsidRPr="00256677" w:rsidRDefault="0060445F" w:rsidP="00657A39">
      <w:pPr>
        <w:pStyle w:val="ListParagraph"/>
        <w:tabs>
          <w:tab w:val="left" w:pos="360"/>
        </w:tabs>
        <w:ind w:left="360" w:right="360"/>
        <w:jc w:val="both"/>
        <w:rPr>
          <w:rFonts w:eastAsia="Arial Unicode MS" w:cs="Times New Roman"/>
          <w:color w:val="auto"/>
          <w:sz w:val="20"/>
          <w:szCs w:val="20"/>
          <w:lang w:eastAsia="en-US"/>
        </w:rPr>
      </w:pPr>
      <w:r w:rsidRPr="00256677">
        <w:rPr>
          <w:rFonts w:eastAsia="Arial Unicode MS" w:cs="Times New Roman"/>
          <w:color w:val="auto"/>
          <w:sz w:val="20"/>
          <w:szCs w:val="20"/>
          <w:lang w:eastAsia="en-US"/>
        </w:rPr>
        <w:t>[…]</w:t>
      </w:r>
    </w:p>
    <w:p w14:paraId="7C9935C2" w14:textId="77777777" w:rsidR="0060445F" w:rsidRPr="00256677" w:rsidRDefault="0060445F" w:rsidP="00657A39">
      <w:pPr>
        <w:pStyle w:val="ListParagraph"/>
        <w:tabs>
          <w:tab w:val="left" w:pos="360"/>
        </w:tabs>
        <w:ind w:left="360" w:right="360"/>
        <w:jc w:val="both"/>
        <w:rPr>
          <w:rFonts w:eastAsia="Arial Unicode MS" w:cs="Times New Roman"/>
          <w:color w:val="auto"/>
          <w:sz w:val="20"/>
          <w:szCs w:val="20"/>
          <w:lang w:eastAsia="en-US"/>
        </w:rPr>
      </w:pPr>
      <w:r w:rsidRPr="00256677">
        <w:rPr>
          <w:rFonts w:eastAsia="Arial Unicode MS" w:cs="Times New Roman"/>
          <w:color w:val="auto"/>
          <w:sz w:val="20"/>
          <w:szCs w:val="20"/>
          <w:lang w:eastAsia="en-US"/>
        </w:rPr>
        <w:t>(5) “Deliberation”, cool reflection for any length of time no matter how brief;</w:t>
      </w:r>
    </w:p>
    <w:p w14:paraId="1CB03EA0" w14:textId="77777777" w:rsidR="0060445F" w:rsidRPr="00256677" w:rsidRDefault="0060445F" w:rsidP="00657A39">
      <w:pPr>
        <w:pStyle w:val="ListParagraph"/>
        <w:tabs>
          <w:tab w:val="left" w:pos="360"/>
        </w:tabs>
        <w:ind w:left="360" w:right="360"/>
        <w:jc w:val="both"/>
        <w:rPr>
          <w:rFonts w:eastAsia="Arial Unicode MS" w:cs="Times New Roman"/>
          <w:color w:val="auto"/>
          <w:sz w:val="20"/>
          <w:szCs w:val="20"/>
          <w:lang w:eastAsia="en-US"/>
        </w:rPr>
      </w:pPr>
      <w:r w:rsidRPr="00256677">
        <w:rPr>
          <w:rFonts w:eastAsia="Arial Unicode MS" w:cs="Times New Roman"/>
          <w:color w:val="auto"/>
          <w:sz w:val="20"/>
          <w:szCs w:val="20"/>
          <w:lang w:eastAsia="en-US"/>
        </w:rPr>
        <w:t>[…]</w:t>
      </w:r>
    </w:p>
    <w:p w14:paraId="305F5060" w14:textId="77777777" w:rsidR="0060445F" w:rsidRPr="00256677" w:rsidRDefault="0060445F" w:rsidP="00657A39">
      <w:pPr>
        <w:pStyle w:val="ListParagraph"/>
        <w:tabs>
          <w:tab w:val="left" w:pos="360"/>
        </w:tabs>
        <w:ind w:left="360" w:right="360"/>
        <w:jc w:val="both"/>
        <w:rPr>
          <w:rFonts w:eastAsia="Arial Unicode MS" w:cs="Times New Roman"/>
          <w:color w:val="auto"/>
          <w:sz w:val="20"/>
          <w:szCs w:val="20"/>
          <w:lang w:eastAsia="en-US"/>
        </w:rPr>
      </w:pPr>
    </w:p>
    <w:p w14:paraId="539B3AF5" w14:textId="77777777" w:rsidR="00C92214" w:rsidRPr="00256677" w:rsidRDefault="00ED1C8D" w:rsidP="00557BA8">
      <w:pPr>
        <w:pStyle w:val="norm"/>
        <w:shd w:val="clear" w:color="auto" w:fill="FFFFFF" w:themeFill="background1"/>
        <w:spacing w:before="0" w:beforeAutospacing="0" w:after="0"/>
        <w:ind w:left="360" w:right="360"/>
        <w:jc w:val="both"/>
        <w:rPr>
          <w:rFonts w:ascii="Cambria" w:eastAsia="Arial Unicode MS" w:hAnsi="Cambria"/>
          <w:bCs/>
          <w:i/>
          <w:sz w:val="20"/>
          <w:szCs w:val="20"/>
          <w:bdr w:val="nil"/>
        </w:rPr>
      </w:pPr>
      <w:r w:rsidRPr="00256677">
        <w:rPr>
          <w:rFonts w:ascii="Cambria" w:eastAsia="Arial Unicode MS" w:hAnsi="Cambria"/>
          <w:bCs/>
          <w:i/>
          <w:sz w:val="20"/>
          <w:szCs w:val="20"/>
          <w:bdr w:val="nil"/>
        </w:rPr>
        <w:t xml:space="preserve">565.020. First degree murder, penalty </w:t>
      </w:r>
      <w:r w:rsidR="00C92214" w:rsidRPr="00256677">
        <w:rPr>
          <w:rFonts w:ascii="Cambria" w:eastAsia="Arial Unicode MS" w:hAnsi="Cambria"/>
          <w:bCs/>
          <w:i/>
          <w:sz w:val="20"/>
          <w:szCs w:val="20"/>
          <w:bdr w:val="nil"/>
        </w:rPr>
        <w:t>[…]</w:t>
      </w:r>
      <w:r w:rsidRPr="00256677">
        <w:rPr>
          <w:rFonts w:ascii="Cambria" w:eastAsia="Arial Unicode MS" w:hAnsi="Cambria"/>
          <w:bCs/>
          <w:i/>
          <w:sz w:val="20"/>
          <w:szCs w:val="20"/>
          <w:bdr w:val="nil"/>
        </w:rPr>
        <w:t xml:space="preserve"> </w:t>
      </w:r>
    </w:p>
    <w:p w14:paraId="053198CE" w14:textId="77777777" w:rsidR="00ED1C8D" w:rsidRPr="00557BA8" w:rsidRDefault="00ED1C8D" w:rsidP="00557BA8">
      <w:pPr>
        <w:pStyle w:val="norm"/>
        <w:shd w:val="clear" w:color="auto" w:fill="FFFFFF" w:themeFill="background1"/>
        <w:spacing w:before="0" w:beforeAutospacing="0" w:after="0"/>
        <w:ind w:left="360" w:right="360"/>
        <w:jc w:val="both"/>
        <w:rPr>
          <w:rFonts w:ascii="Cambria" w:eastAsia="Arial Unicode MS" w:hAnsi="Cambria"/>
          <w:sz w:val="20"/>
          <w:szCs w:val="20"/>
          <w:bdr w:val="nil"/>
        </w:rPr>
      </w:pPr>
      <w:r w:rsidRPr="00557BA8">
        <w:rPr>
          <w:rFonts w:ascii="Cambria" w:eastAsia="Arial Unicode MS" w:hAnsi="Cambria"/>
          <w:sz w:val="20"/>
          <w:szCs w:val="20"/>
          <w:bdr w:val="nil"/>
        </w:rPr>
        <w:t>1.  A person commits the offense of murder in the first degree if he or she knowingly causes the death of another person after deliberation upon the matter.</w:t>
      </w:r>
    </w:p>
    <w:p w14:paraId="5ABFDB78" w14:textId="77777777" w:rsidR="00ED1C8D" w:rsidRPr="00557BA8" w:rsidRDefault="00ED1C8D" w:rsidP="00557BA8">
      <w:pPr>
        <w:pStyle w:val="norm"/>
        <w:shd w:val="clear" w:color="auto" w:fill="FFFFFF" w:themeFill="background1"/>
        <w:spacing w:before="0" w:beforeAutospacing="0" w:after="0"/>
        <w:ind w:left="360" w:right="360"/>
        <w:jc w:val="both"/>
        <w:rPr>
          <w:rFonts w:ascii="Cambria" w:eastAsia="Arial Unicode MS" w:hAnsi="Cambria"/>
          <w:sz w:val="20"/>
          <w:szCs w:val="20"/>
          <w:bdr w:val="nil"/>
        </w:rPr>
      </w:pPr>
      <w:r w:rsidRPr="00557BA8">
        <w:rPr>
          <w:rFonts w:ascii="Cambria" w:eastAsia="Arial Unicode MS" w:hAnsi="Cambria"/>
          <w:sz w:val="20"/>
          <w:szCs w:val="20"/>
          <w:bdr w:val="nil"/>
        </w:rPr>
        <w:t>2.  The offense of murder in the first degree is a class A felony</w:t>
      </w:r>
      <w:r w:rsidR="003C3FC6" w:rsidRPr="00557BA8">
        <w:rPr>
          <w:rFonts w:ascii="Cambria" w:eastAsia="Arial Unicode MS" w:hAnsi="Cambria"/>
          <w:sz w:val="20"/>
          <w:szCs w:val="20"/>
          <w:bdr w:val="nil"/>
        </w:rPr>
        <w:t xml:space="preserve">, and, if a person is eighteen years of age or older at the time of the offense, the punishment shall be either death or imprisonment for life without eligibility for probation or parole, or release except by act of the governor </w:t>
      </w:r>
      <w:r w:rsidR="00C92214" w:rsidRPr="00557BA8">
        <w:rPr>
          <w:rFonts w:ascii="Cambria" w:eastAsia="Arial Unicode MS" w:hAnsi="Cambria"/>
          <w:sz w:val="20"/>
          <w:szCs w:val="20"/>
          <w:bdr w:val="nil"/>
        </w:rPr>
        <w:t>[…].</w:t>
      </w:r>
      <w:r w:rsidRPr="00557BA8">
        <w:rPr>
          <w:rFonts w:ascii="Cambria" w:eastAsia="Arial Unicode MS" w:hAnsi="Cambria"/>
          <w:sz w:val="20"/>
          <w:szCs w:val="20"/>
          <w:bdr w:val="nil"/>
        </w:rPr>
        <w:t xml:space="preserve"> </w:t>
      </w:r>
    </w:p>
    <w:p w14:paraId="0D53731F" w14:textId="77777777" w:rsidR="009207F2" w:rsidRPr="00557BA8" w:rsidRDefault="009207F2" w:rsidP="00557BA8">
      <w:pPr>
        <w:shd w:val="clear" w:color="auto" w:fill="FFFFFF" w:themeFill="background1"/>
        <w:tabs>
          <w:tab w:val="left" w:pos="360"/>
        </w:tabs>
        <w:rPr>
          <w:rFonts w:asciiTheme="majorHAnsi" w:eastAsia="Times New Roman" w:hAnsiTheme="majorHAnsi"/>
          <w:sz w:val="20"/>
          <w:szCs w:val="20"/>
        </w:rPr>
      </w:pPr>
    </w:p>
    <w:p w14:paraId="652E6D98" w14:textId="77777777" w:rsidR="001E555D" w:rsidRPr="00557BA8" w:rsidRDefault="001E555D" w:rsidP="00557BA8">
      <w:pPr>
        <w:pStyle w:val="norm"/>
        <w:shd w:val="clear" w:color="auto" w:fill="FFFFFF" w:themeFill="background1"/>
        <w:spacing w:before="0" w:beforeAutospacing="0" w:after="0"/>
        <w:ind w:left="360" w:right="360"/>
        <w:jc w:val="both"/>
        <w:rPr>
          <w:rStyle w:val="bold1"/>
          <w:rFonts w:asciiTheme="majorHAnsi" w:hAnsiTheme="majorHAnsi" w:cs="Arial"/>
          <w:b w:val="0"/>
          <w:i/>
          <w:sz w:val="20"/>
          <w:szCs w:val="20"/>
          <w:lang w:val="en"/>
        </w:rPr>
      </w:pPr>
      <w:r w:rsidRPr="00557BA8">
        <w:rPr>
          <w:rStyle w:val="bold1"/>
          <w:rFonts w:asciiTheme="majorHAnsi" w:hAnsiTheme="majorHAnsi" w:cs="Arial"/>
          <w:b w:val="0"/>
          <w:i/>
          <w:sz w:val="20"/>
          <w:szCs w:val="20"/>
          <w:lang w:val="en"/>
        </w:rPr>
        <w:t xml:space="preserve">565.032. Evidence to be considered in assessing punishment in first degree murder cases for which death penalty authorized. </w:t>
      </w:r>
    </w:p>
    <w:p w14:paraId="412F5183"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  In all cases of murder in the first degree for which the death penalty is authorized, the judge in a jury-waived trial shall consider, or shall include in his or her instructions to the jury for it to consider:</w:t>
      </w:r>
    </w:p>
    <w:p w14:paraId="4F56DAA4"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  Whether a statutory aggravating circumstance or circumstances enumerated in subsection 2 of this section is established by the evidence beyond a reasonable doubt; and</w:t>
      </w:r>
    </w:p>
    <w:p w14:paraId="520EAD6E"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lastRenderedPageBreak/>
        <w:t>(2)  If a statutory aggravating circumstance or circumstances is proven beyond a reasonable doubt, whether the evidence as a whole justifies a sentence of death or a sentence of life imprisonment without eligibility for probation, parole, or release except by act of the governor.</w:t>
      </w:r>
    </w:p>
    <w:p w14:paraId="1820255D" w14:textId="77777777" w:rsidR="001E555D" w:rsidRPr="00557BA8" w:rsidRDefault="001E555D" w:rsidP="00557BA8">
      <w:pPr>
        <w:pStyle w:val="tiny"/>
        <w:shd w:val="clear" w:color="auto" w:fill="FFFFFF" w:themeFill="background1"/>
        <w:spacing w:before="0" w:beforeAutospacing="0" w:after="0" w:afterAutospacing="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softHyphen/>
      </w:r>
      <w:r w:rsidRPr="00557BA8">
        <w:rPr>
          <w:rFonts w:asciiTheme="majorHAnsi" w:hAnsiTheme="majorHAnsi" w:cs="Arial"/>
          <w:sz w:val="20"/>
          <w:szCs w:val="20"/>
          <w:lang w:val="en"/>
        </w:rPr>
        <w:softHyphen/>
      </w:r>
    </w:p>
    <w:p w14:paraId="24461071" w14:textId="77777777" w:rsidR="001E555D" w:rsidRPr="00557BA8" w:rsidRDefault="001E555D" w:rsidP="00557BA8">
      <w:pPr>
        <w:shd w:val="clear" w:color="auto" w:fill="FFFFFF" w:themeFill="background1"/>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In determining the issues enumerated in subdivisions (1) and (2) of this subsection, the trier shall consider all evidence which it finds to be in aggravation or mitigation of punishment, including evidence received during the first stage of the trial and evidence supporting any of the statutory aggravating or mitigating circumstances set out in subsections 2 and 3 of this section.  If the trier is a jury, it shall not be instructed upon any specific evidence which may be in aggravation or mitigation of punishment, but shall be instructed that each juror shall consider any evidence which he or she considers to be aggravating or mitigating.</w:t>
      </w:r>
    </w:p>
    <w:p w14:paraId="2EF1869C"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 </w:t>
      </w:r>
    </w:p>
    <w:p w14:paraId="02C5D40F"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2.  Statutory aggravating circumstances for a murder in the first degree offense shall be limited to the following:</w:t>
      </w:r>
    </w:p>
    <w:p w14:paraId="7A64FE90"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  The offense was committed by a person with a prior record of conviction for murder in the first degree, or the offense was committed by a person who has one or more serious assaultive criminal convictions;</w:t>
      </w:r>
    </w:p>
    <w:p w14:paraId="0F86E695"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(2)  The murder in the first degree offense was committed while the offender was engaged in the commission or attempted commission of another unlawful homicide;</w:t>
      </w:r>
    </w:p>
    <w:p w14:paraId="4548ADE2"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(3)  The offender by his or her act of murder in the first degree knowingly created a great risk of death to more than one person by means of a weapon or device which would normally be hazardous to the lives of more than one person;</w:t>
      </w:r>
    </w:p>
    <w:p w14:paraId="10438315"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(4)  The offender committed the offense of murder in the first degree for himself or herself or another, for the purpose of receiving money or any other thing of monetary value from the victim of the murder or another;</w:t>
      </w:r>
    </w:p>
    <w:p w14:paraId="09087727"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(5)  The murder in the first degree was committed against a judicial officer, former judicial officer, prosecuting attorney or former prosecuting attorney, circuit attorney or former circuit attorney, assistant prosecuting attorney or former assistant prosecuting attorney, assistant circuit attorney or former assistant circuit attorney, peace officer or former peace officer, elected official or former elected official during or because of the exercise of his official duty;</w:t>
      </w:r>
    </w:p>
    <w:p w14:paraId="24CFC153"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(6)  The offender caused or directed another to commit murder in the first degree or committed murder in the first degree as an agent or employee of another person;</w:t>
      </w:r>
    </w:p>
    <w:p w14:paraId="513862CB"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(7)  The murder in the first degree was outrageously or wantonly vile, horrible or inhuman in that it involved torture, or depravity of mind;</w:t>
      </w:r>
    </w:p>
    <w:p w14:paraId="7B32F72F"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(8)  The murder in the first degree was committed against any peace officer, or fireman while engaged in the performance of his or her official duty;</w:t>
      </w:r>
    </w:p>
    <w:p w14:paraId="6D41C66D"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(9)  The murder in the first degree was committed by a person in, or who has escaped from, the lawful custody of a peace officer or place of lawful confinement;</w:t>
      </w:r>
    </w:p>
    <w:p w14:paraId="0F662349"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(10)  The murder in the first degree was committed for the purpose of avoiding, interfering with, or preventing a lawful arrest or custody in a place of lawful confinement, of himself or herself or another;</w:t>
      </w:r>
    </w:p>
    <w:p w14:paraId="5C645958"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 xml:space="preserve">(11)  The murder in the first degree was committed while the defendant was engaged in the perpetration or was aiding or encouraging another person to perpetrate or attempt to perpetrate a felony of any degree of rape, sodomy, burglary, robbery, kidnapping, or any felony offense in </w:t>
      </w:r>
      <w:hyperlink r:id="rId15" w:history="1">
        <w:r w:rsidRPr="00557BA8">
          <w:rPr>
            <w:rFonts w:asciiTheme="majorHAnsi" w:hAnsiTheme="majorHAnsi" w:cs="Arial"/>
            <w:sz w:val="20"/>
            <w:szCs w:val="20"/>
            <w:lang w:val="en"/>
          </w:rPr>
          <w:t>chapter 195</w:t>
        </w:r>
      </w:hyperlink>
      <w:r w:rsidRPr="00557BA8">
        <w:rPr>
          <w:rFonts w:asciiTheme="majorHAnsi" w:hAnsiTheme="majorHAnsi" w:cs="Arial"/>
          <w:sz w:val="20"/>
          <w:szCs w:val="20"/>
          <w:lang w:val="en"/>
        </w:rPr>
        <w:t xml:space="preserve"> or </w:t>
      </w:r>
      <w:hyperlink r:id="rId16" w:history="1">
        <w:r w:rsidRPr="00557BA8">
          <w:rPr>
            <w:rFonts w:asciiTheme="majorHAnsi" w:hAnsiTheme="majorHAnsi" w:cs="Arial"/>
            <w:sz w:val="20"/>
            <w:szCs w:val="20"/>
            <w:lang w:val="en"/>
          </w:rPr>
          <w:t>579</w:t>
        </w:r>
      </w:hyperlink>
      <w:r w:rsidRPr="00557BA8">
        <w:rPr>
          <w:rFonts w:asciiTheme="majorHAnsi" w:hAnsiTheme="majorHAnsi" w:cs="Arial"/>
          <w:sz w:val="20"/>
          <w:szCs w:val="20"/>
          <w:lang w:val="en"/>
        </w:rPr>
        <w:t>;</w:t>
      </w:r>
    </w:p>
    <w:p w14:paraId="10C47D28"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(12)  The murdered individual was a witness or potential witness in any past or pending investigation or past or pending prosecution, and was killed as a result of his or her status as a witness or potential witness;</w:t>
      </w:r>
    </w:p>
    <w:p w14:paraId="5D02287E"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(13)  The murdered individual was an employee of an institution or facility of the department of corrections of this state or local correction agency and was killed in the course of performing his or her official duties, or the murdered individual was an inmate of such institution or facility;</w:t>
      </w:r>
    </w:p>
    <w:p w14:paraId="36D8561F"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(14)  The murdered individual was killed as a result of the hijacking of an airplane, train, ship, bus or other public conveyance;</w:t>
      </w:r>
    </w:p>
    <w:p w14:paraId="246CAFC4"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 xml:space="preserve">(15)  The murder was committed for the purpose of concealing or attempting to conceal any felony offense defined in </w:t>
      </w:r>
      <w:hyperlink r:id="rId17" w:history="1">
        <w:r w:rsidRPr="00557BA8">
          <w:rPr>
            <w:rFonts w:asciiTheme="majorHAnsi" w:hAnsiTheme="majorHAnsi" w:cs="Arial"/>
            <w:sz w:val="20"/>
            <w:szCs w:val="20"/>
            <w:lang w:val="en"/>
          </w:rPr>
          <w:t>chapter 195</w:t>
        </w:r>
      </w:hyperlink>
      <w:r w:rsidRPr="00557BA8">
        <w:rPr>
          <w:rFonts w:asciiTheme="majorHAnsi" w:hAnsiTheme="majorHAnsi" w:cs="Arial"/>
          <w:sz w:val="20"/>
          <w:szCs w:val="20"/>
          <w:lang w:val="en"/>
        </w:rPr>
        <w:t xml:space="preserve"> or </w:t>
      </w:r>
      <w:hyperlink r:id="rId18" w:history="1">
        <w:r w:rsidRPr="00557BA8">
          <w:rPr>
            <w:rFonts w:asciiTheme="majorHAnsi" w:hAnsiTheme="majorHAnsi" w:cs="Arial"/>
            <w:sz w:val="20"/>
            <w:szCs w:val="20"/>
            <w:lang w:val="en"/>
          </w:rPr>
          <w:t>579</w:t>
        </w:r>
      </w:hyperlink>
      <w:r w:rsidRPr="00557BA8">
        <w:rPr>
          <w:rFonts w:asciiTheme="majorHAnsi" w:hAnsiTheme="majorHAnsi" w:cs="Arial"/>
          <w:sz w:val="20"/>
          <w:szCs w:val="20"/>
          <w:lang w:val="en"/>
        </w:rPr>
        <w:t>;</w:t>
      </w:r>
    </w:p>
    <w:p w14:paraId="789FB722"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lastRenderedPageBreak/>
        <w:t xml:space="preserve">(16)  The murder was committed for the purpose of causing or attempting to cause a person to refrain from initiating or aiding in the prosecution of a felony offense defined in </w:t>
      </w:r>
      <w:hyperlink r:id="rId19" w:history="1">
        <w:r w:rsidRPr="00557BA8">
          <w:rPr>
            <w:rFonts w:asciiTheme="majorHAnsi" w:hAnsiTheme="majorHAnsi"/>
            <w:sz w:val="20"/>
            <w:szCs w:val="20"/>
          </w:rPr>
          <w:t>chapter 195</w:t>
        </w:r>
      </w:hyperlink>
      <w:r w:rsidRPr="00557BA8">
        <w:rPr>
          <w:rFonts w:asciiTheme="majorHAnsi" w:hAnsiTheme="majorHAnsi" w:cs="Arial"/>
          <w:sz w:val="20"/>
          <w:szCs w:val="20"/>
          <w:lang w:val="en"/>
        </w:rPr>
        <w:t xml:space="preserve"> or </w:t>
      </w:r>
      <w:hyperlink r:id="rId20" w:history="1">
        <w:r w:rsidRPr="00557BA8">
          <w:rPr>
            <w:rFonts w:asciiTheme="majorHAnsi" w:hAnsiTheme="majorHAnsi"/>
            <w:sz w:val="20"/>
            <w:szCs w:val="20"/>
          </w:rPr>
          <w:t>579</w:t>
        </w:r>
      </w:hyperlink>
      <w:r w:rsidRPr="00557BA8">
        <w:rPr>
          <w:rFonts w:asciiTheme="majorHAnsi" w:hAnsiTheme="majorHAnsi" w:cs="Arial"/>
          <w:sz w:val="20"/>
          <w:szCs w:val="20"/>
          <w:lang w:val="en"/>
        </w:rPr>
        <w:t>;</w:t>
      </w:r>
    </w:p>
    <w:p w14:paraId="224197C1"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 xml:space="preserve">(17)  The murder was committed during the commission of an offense which is part of a pattern of criminal street gang activity as defined in section </w:t>
      </w:r>
      <w:hyperlink r:id="rId21" w:history="1">
        <w:r w:rsidRPr="00557BA8">
          <w:rPr>
            <w:rFonts w:asciiTheme="majorHAnsi" w:hAnsiTheme="majorHAnsi"/>
            <w:sz w:val="20"/>
            <w:szCs w:val="20"/>
          </w:rPr>
          <w:t>578.421</w:t>
        </w:r>
      </w:hyperlink>
      <w:r w:rsidRPr="00557BA8">
        <w:rPr>
          <w:rFonts w:asciiTheme="majorHAnsi" w:hAnsiTheme="majorHAnsi" w:cs="Arial"/>
          <w:sz w:val="20"/>
          <w:szCs w:val="20"/>
          <w:lang w:val="en"/>
        </w:rPr>
        <w:t>.</w:t>
      </w:r>
    </w:p>
    <w:p w14:paraId="49677917"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 </w:t>
      </w:r>
      <w:r w:rsidRPr="00557BA8">
        <w:rPr>
          <w:rFonts w:asciiTheme="majorHAnsi" w:hAnsiTheme="majorHAnsi" w:cs="Arial"/>
          <w:sz w:val="20"/>
          <w:szCs w:val="20"/>
          <w:lang w:val="en"/>
        </w:rPr>
        <w:t> </w:t>
      </w:r>
    </w:p>
    <w:p w14:paraId="219D471E"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3.  Statutory mitigating circumstances shall include the following:</w:t>
      </w:r>
    </w:p>
    <w:p w14:paraId="29BE029F"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(1)  The defendant has no significant history of prior criminal activity;</w:t>
      </w:r>
    </w:p>
    <w:p w14:paraId="7977547E"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(2)  The murder in the first degree was committed while the defendant was under the influence of extreme mental or emotional disturbance;</w:t>
      </w:r>
    </w:p>
    <w:p w14:paraId="71F15198"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(3)  The victim was a participant in the defendant's conduct or consented to the act;</w:t>
      </w:r>
    </w:p>
    <w:p w14:paraId="51D41CBE"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(4)  The defendant was an accomplice in the murder in the first degree committed by another person and his or her participation was relatively minor;</w:t>
      </w:r>
    </w:p>
    <w:p w14:paraId="515F8DD9"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(5)  The defendant acted under extreme duress or under the substantial domination of another person;</w:t>
      </w:r>
    </w:p>
    <w:p w14:paraId="59D19C17" w14:textId="77777777" w:rsidR="001E555D" w:rsidRPr="00557BA8"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(6)  The capacity of the defendant to appreciate the criminality of his or her conduct or to conform his or her conduct to the requirements of law was substantially impaired;</w:t>
      </w:r>
    </w:p>
    <w:p w14:paraId="595E0B86" w14:textId="77777777" w:rsidR="001E555D" w:rsidRPr="00256677" w:rsidRDefault="001E555D" w:rsidP="00557BA8">
      <w:pPr>
        <w:pStyle w:val="norm"/>
        <w:shd w:val="clear" w:color="auto" w:fill="FFFFFF" w:themeFill="background1"/>
        <w:spacing w:before="0" w:beforeAutospacing="0" w:after="0"/>
        <w:ind w:left="360" w:right="360"/>
        <w:jc w:val="both"/>
        <w:rPr>
          <w:rFonts w:asciiTheme="majorHAnsi" w:hAnsiTheme="majorHAnsi" w:cs="Arial"/>
          <w:sz w:val="20"/>
          <w:szCs w:val="20"/>
          <w:lang w:val="en"/>
        </w:rPr>
      </w:pPr>
      <w:r w:rsidRPr="00557BA8">
        <w:rPr>
          <w:rFonts w:asciiTheme="majorHAnsi" w:hAnsiTheme="majorHAnsi" w:cs="Arial"/>
          <w:sz w:val="20"/>
          <w:szCs w:val="20"/>
          <w:lang w:val="en"/>
        </w:rPr>
        <w:t>(7)  The age of the defendant at the time of the offense.</w:t>
      </w:r>
    </w:p>
    <w:p w14:paraId="07ED0679" w14:textId="77777777" w:rsidR="001E555D" w:rsidRPr="00256677" w:rsidRDefault="001E555D" w:rsidP="00111F1D">
      <w:pPr>
        <w:tabs>
          <w:tab w:val="left" w:pos="360"/>
        </w:tabs>
        <w:rPr>
          <w:rFonts w:asciiTheme="majorHAnsi" w:eastAsia="Times New Roman" w:hAnsiTheme="majorHAnsi"/>
          <w:sz w:val="20"/>
          <w:szCs w:val="20"/>
          <w:lang w:val="en"/>
        </w:rPr>
      </w:pPr>
    </w:p>
    <w:p w14:paraId="2B1E0DED" w14:textId="77777777" w:rsidR="00F5237B" w:rsidRPr="00256677" w:rsidRDefault="00F5237B" w:rsidP="00F523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256677">
        <w:rPr>
          <w:rFonts w:ascii="Cambria" w:hAnsi="Cambria"/>
          <w:sz w:val="20"/>
          <w:szCs w:val="20"/>
        </w:rPr>
        <w:t>Circumstances permitting inference that an accomplice deliberated upon murder include:</w:t>
      </w:r>
    </w:p>
    <w:p w14:paraId="3B08F8E4" w14:textId="77777777" w:rsidR="001741DD" w:rsidRPr="00256677" w:rsidRDefault="001741DD" w:rsidP="001741D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62411AB8" w14:textId="77777777" w:rsidR="00F5237B" w:rsidRPr="00256677" w:rsidRDefault="001741DD" w:rsidP="001741DD">
      <w:pPr>
        <w:pStyle w:val="ListParagraph"/>
        <w:numPr>
          <w:ilvl w:val="1"/>
          <w:numId w:val="53"/>
        </w:numPr>
        <w:tabs>
          <w:tab w:val="left" w:pos="360"/>
        </w:tabs>
        <w:ind w:left="720"/>
        <w:jc w:val="both"/>
        <w:rPr>
          <w:rFonts w:asciiTheme="majorHAnsi" w:eastAsia="Times New Roman" w:hAnsiTheme="majorHAnsi"/>
          <w:sz w:val="20"/>
          <w:szCs w:val="20"/>
        </w:rPr>
      </w:pPr>
      <w:r w:rsidRPr="00256677">
        <w:rPr>
          <w:rFonts w:asciiTheme="majorHAnsi" w:eastAsia="Times New Roman" w:hAnsiTheme="majorHAnsi"/>
          <w:sz w:val="20"/>
          <w:szCs w:val="20"/>
        </w:rPr>
        <w:t>Where a statement or conduct by the accomplice or by a codefendant in the presence of the accomplice prior to the murder indicates a purpose to kill a human.</w:t>
      </w:r>
      <w:r w:rsidRPr="00256677">
        <w:rPr>
          <w:rStyle w:val="FootnoteReference"/>
          <w:rFonts w:asciiTheme="majorHAnsi" w:eastAsia="Times New Roman" w:hAnsiTheme="majorHAnsi"/>
          <w:sz w:val="20"/>
          <w:szCs w:val="20"/>
        </w:rPr>
        <w:footnoteReference w:id="10"/>
      </w:r>
    </w:p>
    <w:p w14:paraId="76AAE127" w14:textId="77777777" w:rsidR="001741DD" w:rsidRPr="00256677" w:rsidRDefault="001741DD" w:rsidP="001741DD">
      <w:pPr>
        <w:pStyle w:val="ListParagraph"/>
        <w:numPr>
          <w:ilvl w:val="1"/>
          <w:numId w:val="53"/>
        </w:numPr>
        <w:tabs>
          <w:tab w:val="left" w:pos="360"/>
        </w:tabs>
        <w:ind w:left="720"/>
        <w:jc w:val="both"/>
        <w:rPr>
          <w:rFonts w:asciiTheme="majorHAnsi" w:eastAsia="Times New Roman" w:hAnsiTheme="majorHAnsi"/>
          <w:sz w:val="20"/>
          <w:szCs w:val="20"/>
        </w:rPr>
      </w:pPr>
      <w:r w:rsidRPr="00256677">
        <w:rPr>
          <w:rFonts w:asciiTheme="majorHAnsi" w:eastAsia="Times New Roman" w:hAnsiTheme="majorHAnsi"/>
          <w:sz w:val="20"/>
          <w:szCs w:val="20"/>
        </w:rPr>
        <w:t>Where there is evidence that the accomplice either participated in the homicide or continued in the criminal enterprise when it was apparent that a victim was to be killed.</w:t>
      </w:r>
      <w:r w:rsidRPr="00256677">
        <w:rPr>
          <w:rStyle w:val="FootnoteReference"/>
          <w:rFonts w:asciiTheme="majorHAnsi" w:eastAsia="Times New Roman" w:hAnsiTheme="majorHAnsi"/>
          <w:sz w:val="20"/>
          <w:szCs w:val="20"/>
        </w:rPr>
        <w:footnoteReference w:id="11"/>
      </w:r>
    </w:p>
    <w:p w14:paraId="148C8CFB" w14:textId="77777777" w:rsidR="00F5237B" w:rsidRPr="00256677" w:rsidRDefault="00F5237B" w:rsidP="00111F1D">
      <w:pPr>
        <w:tabs>
          <w:tab w:val="left" w:pos="360"/>
        </w:tabs>
        <w:rPr>
          <w:rFonts w:asciiTheme="majorHAnsi" w:eastAsia="Times New Roman" w:hAnsiTheme="majorHAnsi"/>
          <w:sz w:val="20"/>
          <w:szCs w:val="20"/>
        </w:rPr>
      </w:pPr>
    </w:p>
    <w:p w14:paraId="6F093DBE" w14:textId="77777777" w:rsidR="000833FB" w:rsidRPr="00256677" w:rsidRDefault="000833FB" w:rsidP="006E07EB">
      <w:pPr>
        <w:pStyle w:val="Heading2"/>
        <w:numPr>
          <w:ilvl w:val="0"/>
          <w:numId w:val="73"/>
        </w:numPr>
        <w:spacing w:before="0"/>
        <w:ind w:left="360"/>
        <w:jc w:val="both"/>
        <w:rPr>
          <w:color w:val="auto"/>
          <w:sz w:val="20"/>
          <w:szCs w:val="20"/>
        </w:rPr>
      </w:pPr>
      <w:bookmarkStart w:id="6" w:name="_Toc90284138"/>
      <w:r w:rsidRPr="00256677">
        <w:rPr>
          <w:color w:val="auto"/>
          <w:sz w:val="20"/>
          <w:szCs w:val="20"/>
        </w:rPr>
        <w:t>Factual background</w:t>
      </w:r>
      <w:bookmarkEnd w:id="6"/>
    </w:p>
    <w:p w14:paraId="50928394" w14:textId="77777777" w:rsidR="000833FB" w:rsidRPr="00256677" w:rsidRDefault="000833FB" w:rsidP="00657A39">
      <w:pPr>
        <w:tabs>
          <w:tab w:val="left" w:pos="360"/>
        </w:tabs>
        <w:ind w:left="360"/>
        <w:rPr>
          <w:rFonts w:asciiTheme="majorHAnsi" w:eastAsia="Times New Roman" w:hAnsiTheme="majorHAnsi"/>
          <w:sz w:val="20"/>
          <w:szCs w:val="20"/>
        </w:rPr>
      </w:pPr>
    </w:p>
    <w:p w14:paraId="1FCEB1CA" w14:textId="77777777" w:rsidR="00075292" w:rsidRPr="00256677" w:rsidRDefault="00075292" w:rsidP="000752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The facts described below were established by domestic courts</w:t>
      </w:r>
      <w:r w:rsidR="00A11E0C" w:rsidRPr="00256677">
        <w:rPr>
          <w:rFonts w:asciiTheme="majorHAnsi" w:eastAsia="Times New Roman" w:hAnsiTheme="majorHAnsi"/>
          <w:sz w:val="20"/>
          <w:szCs w:val="20"/>
        </w:rPr>
        <w:t>.</w:t>
      </w:r>
    </w:p>
    <w:p w14:paraId="578750DF" w14:textId="77777777" w:rsidR="004B20D9" w:rsidRPr="00256677" w:rsidRDefault="004B20D9" w:rsidP="00657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7D366794" w14:textId="77777777" w:rsidR="00C010E4" w:rsidRPr="00256677" w:rsidRDefault="00591DEE" w:rsidP="004B20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 xml:space="preserve">On April </w:t>
      </w:r>
      <w:r w:rsidR="00310042" w:rsidRPr="00256677">
        <w:rPr>
          <w:rFonts w:asciiTheme="majorHAnsi" w:eastAsia="Times New Roman" w:hAnsiTheme="majorHAnsi"/>
          <w:sz w:val="20"/>
          <w:szCs w:val="20"/>
        </w:rPr>
        <w:t>4</w:t>
      </w:r>
      <w:r w:rsidRPr="00256677">
        <w:rPr>
          <w:rFonts w:asciiTheme="majorHAnsi" w:eastAsia="Times New Roman" w:hAnsiTheme="majorHAnsi"/>
          <w:sz w:val="20"/>
          <w:szCs w:val="20"/>
        </w:rPr>
        <w:t xml:space="preserve">, 1991, </w:t>
      </w:r>
      <w:r w:rsidR="004B20D9" w:rsidRPr="00256677">
        <w:rPr>
          <w:rFonts w:asciiTheme="majorHAnsi" w:eastAsia="Times New Roman" w:hAnsiTheme="majorHAnsi"/>
          <w:sz w:val="20"/>
          <w:szCs w:val="20"/>
        </w:rPr>
        <w:t>Ju</w:t>
      </w:r>
      <w:r w:rsidR="00A92784" w:rsidRPr="00256677">
        <w:rPr>
          <w:rFonts w:asciiTheme="majorHAnsi" w:eastAsia="Times New Roman" w:hAnsiTheme="majorHAnsi"/>
          <w:sz w:val="20"/>
          <w:szCs w:val="20"/>
        </w:rPr>
        <w:t xml:space="preserve">lie and Robin Kerry (the Kerry sisters) and </w:t>
      </w:r>
      <w:r w:rsidR="005D4283" w:rsidRPr="00256677">
        <w:rPr>
          <w:rFonts w:asciiTheme="majorHAnsi" w:eastAsia="Times New Roman" w:hAnsiTheme="majorHAnsi"/>
          <w:sz w:val="20"/>
          <w:szCs w:val="20"/>
        </w:rPr>
        <w:t xml:space="preserve">their cousin Thomas Cummins met </w:t>
      </w:r>
      <w:r w:rsidR="004B20D9" w:rsidRPr="00256677">
        <w:rPr>
          <w:rFonts w:asciiTheme="majorHAnsi" w:eastAsia="Times New Roman" w:hAnsiTheme="majorHAnsi"/>
          <w:sz w:val="20"/>
          <w:szCs w:val="20"/>
        </w:rPr>
        <w:t xml:space="preserve">Mr. </w:t>
      </w:r>
      <w:r w:rsidR="00A92784" w:rsidRPr="00256677">
        <w:rPr>
          <w:rFonts w:asciiTheme="majorHAnsi" w:eastAsia="Times New Roman" w:hAnsiTheme="majorHAnsi"/>
          <w:sz w:val="20"/>
          <w:szCs w:val="20"/>
        </w:rPr>
        <w:t>Gray</w:t>
      </w:r>
      <w:r w:rsidR="004B20D9" w:rsidRPr="00256677">
        <w:rPr>
          <w:rFonts w:asciiTheme="majorHAnsi" w:eastAsia="Times New Roman" w:hAnsiTheme="majorHAnsi"/>
          <w:sz w:val="20"/>
          <w:szCs w:val="20"/>
        </w:rPr>
        <w:t xml:space="preserve"> and his three friends</w:t>
      </w:r>
      <w:r w:rsidR="00A92784" w:rsidRPr="00256677">
        <w:rPr>
          <w:rFonts w:asciiTheme="majorHAnsi" w:eastAsia="Times New Roman" w:hAnsiTheme="majorHAnsi"/>
          <w:sz w:val="20"/>
          <w:szCs w:val="20"/>
        </w:rPr>
        <w:t>, Clemons, Richardson and Winfrey. After some conversation the two groups separated. During this walk, Clemons suggested to his three companions that they rob Cummins and the Kerry</w:t>
      </w:r>
      <w:r w:rsidR="00544C80" w:rsidRPr="00256677">
        <w:rPr>
          <w:rFonts w:asciiTheme="majorHAnsi" w:eastAsia="Times New Roman" w:hAnsiTheme="majorHAnsi"/>
          <w:sz w:val="20"/>
          <w:szCs w:val="20"/>
        </w:rPr>
        <w:t xml:space="preserve"> sister</w:t>
      </w:r>
      <w:r w:rsidR="00A92784" w:rsidRPr="00256677">
        <w:rPr>
          <w:rFonts w:asciiTheme="majorHAnsi" w:eastAsia="Times New Roman" w:hAnsiTheme="majorHAnsi"/>
          <w:sz w:val="20"/>
          <w:szCs w:val="20"/>
        </w:rPr>
        <w:t xml:space="preserve">s. </w:t>
      </w:r>
      <w:r w:rsidR="00544C80" w:rsidRPr="00256677">
        <w:rPr>
          <w:rFonts w:asciiTheme="majorHAnsi" w:eastAsia="Times New Roman" w:hAnsiTheme="majorHAnsi"/>
          <w:sz w:val="20"/>
          <w:szCs w:val="20"/>
        </w:rPr>
        <w:t xml:space="preserve">Mr. </w:t>
      </w:r>
      <w:r w:rsidR="00A92784" w:rsidRPr="00256677">
        <w:rPr>
          <w:rFonts w:asciiTheme="majorHAnsi" w:eastAsia="Times New Roman" w:hAnsiTheme="majorHAnsi"/>
          <w:sz w:val="20"/>
          <w:szCs w:val="20"/>
        </w:rPr>
        <w:t xml:space="preserve">Gray smiled, clapped his hands, and said, “yeah, I feel like hurting somebody.” The two groups met, and </w:t>
      </w:r>
      <w:r w:rsidR="00544C80" w:rsidRPr="00256677">
        <w:rPr>
          <w:rFonts w:asciiTheme="majorHAnsi" w:eastAsia="Times New Roman" w:hAnsiTheme="majorHAnsi"/>
          <w:sz w:val="20"/>
          <w:szCs w:val="20"/>
        </w:rPr>
        <w:t xml:space="preserve">Mr. </w:t>
      </w:r>
      <w:r w:rsidR="00A92784" w:rsidRPr="00256677">
        <w:rPr>
          <w:rFonts w:asciiTheme="majorHAnsi" w:eastAsia="Times New Roman" w:hAnsiTheme="majorHAnsi"/>
          <w:sz w:val="20"/>
          <w:szCs w:val="20"/>
        </w:rPr>
        <w:t>Gray put his arm around Cummins and walked him ten to fifteen feet away. He told him, “This is a robbery. Get down on the ground.”</w:t>
      </w:r>
      <w:r w:rsidR="00D62FFA" w:rsidRPr="00256677">
        <w:rPr>
          <w:rFonts w:asciiTheme="majorHAnsi" w:eastAsia="Times New Roman" w:hAnsiTheme="majorHAnsi"/>
          <w:sz w:val="20"/>
          <w:szCs w:val="20"/>
        </w:rPr>
        <w:t xml:space="preserve"> </w:t>
      </w:r>
      <w:r w:rsidR="00544C80" w:rsidRPr="00256677">
        <w:rPr>
          <w:rFonts w:asciiTheme="majorHAnsi" w:eastAsia="Times New Roman" w:hAnsiTheme="majorHAnsi"/>
          <w:sz w:val="20"/>
          <w:szCs w:val="20"/>
        </w:rPr>
        <w:t xml:space="preserve">Mr. </w:t>
      </w:r>
      <w:r w:rsidR="00D62FFA" w:rsidRPr="00256677">
        <w:rPr>
          <w:rFonts w:asciiTheme="majorHAnsi" w:eastAsia="Times New Roman" w:hAnsiTheme="majorHAnsi"/>
          <w:sz w:val="20"/>
          <w:szCs w:val="20"/>
        </w:rPr>
        <w:t xml:space="preserve">Gray told Cummins that if he looked up, </w:t>
      </w:r>
      <w:r w:rsidR="00544C80" w:rsidRPr="00256677">
        <w:rPr>
          <w:rFonts w:asciiTheme="majorHAnsi" w:eastAsia="Times New Roman" w:hAnsiTheme="majorHAnsi"/>
          <w:sz w:val="20"/>
          <w:szCs w:val="20"/>
        </w:rPr>
        <w:t xml:space="preserve">he </w:t>
      </w:r>
      <w:r w:rsidR="00D62FFA" w:rsidRPr="00256677">
        <w:rPr>
          <w:rFonts w:asciiTheme="majorHAnsi" w:eastAsia="Times New Roman" w:hAnsiTheme="majorHAnsi"/>
          <w:sz w:val="20"/>
          <w:szCs w:val="20"/>
        </w:rPr>
        <w:t>would kill or shoot him. At the same time the other three males grabbed the Kerry sisters and when the women screamed, one of the group said, “</w:t>
      </w:r>
      <w:r w:rsidR="00544C80" w:rsidRPr="00256677">
        <w:rPr>
          <w:rFonts w:asciiTheme="majorHAnsi" w:eastAsia="Times New Roman" w:hAnsiTheme="majorHAnsi"/>
          <w:sz w:val="20"/>
          <w:szCs w:val="20"/>
        </w:rPr>
        <w:t>d</w:t>
      </w:r>
      <w:r w:rsidR="00D62FFA" w:rsidRPr="00256677">
        <w:rPr>
          <w:rFonts w:asciiTheme="majorHAnsi" w:eastAsia="Times New Roman" w:hAnsiTheme="majorHAnsi"/>
          <w:sz w:val="20"/>
          <w:szCs w:val="20"/>
        </w:rPr>
        <w:t xml:space="preserve">o you want to die?” and ordered them to stop screaming or </w:t>
      </w:r>
      <w:r w:rsidR="00544C80" w:rsidRPr="00256677">
        <w:rPr>
          <w:rFonts w:asciiTheme="majorHAnsi" w:eastAsia="Times New Roman" w:hAnsiTheme="majorHAnsi"/>
          <w:sz w:val="20"/>
          <w:szCs w:val="20"/>
        </w:rPr>
        <w:t>he</w:t>
      </w:r>
      <w:r w:rsidR="00D62FFA" w:rsidRPr="00256677">
        <w:rPr>
          <w:rFonts w:asciiTheme="majorHAnsi" w:eastAsia="Times New Roman" w:hAnsiTheme="majorHAnsi"/>
          <w:sz w:val="20"/>
          <w:szCs w:val="20"/>
        </w:rPr>
        <w:t xml:space="preserve"> would “throw </w:t>
      </w:r>
      <w:r w:rsidR="00544C80" w:rsidRPr="00256677">
        <w:rPr>
          <w:rFonts w:asciiTheme="majorHAnsi" w:eastAsia="Times New Roman" w:hAnsiTheme="majorHAnsi"/>
          <w:sz w:val="20"/>
          <w:szCs w:val="20"/>
        </w:rPr>
        <w:t>[them]</w:t>
      </w:r>
      <w:r w:rsidR="00D62FFA" w:rsidRPr="00256677">
        <w:rPr>
          <w:rFonts w:asciiTheme="majorHAnsi" w:eastAsia="Times New Roman" w:hAnsiTheme="majorHAnsi"/>
          <w:sz w:val="20"/>
          <w:szCs w:val="20"/>
        </w:rPr>
        <w:t xml:space="preserve"> off th</w:t>
      </w:r>
      <w:r w:rsidR="00544C80" w:rsidRPr="00256677">
        <w:rPr>
          <w:rFonts w:asciiTheme="majorHAnsi" w:eastAsia="Times New Roman" w:hAnsiTheme="majorHAnsi"/>
          <w:sz w:val="20"/>
          <w:szCs w:val="20"/>
        </w:rPr>
        <w:t>[e]</w:t>
      </w:r>
      <w:r w:rsidR="00D62FFA" w:rsidRPr="00256677">
        <w:rPr>
          <w:rFonts w:asciiTheme="majorHAnsi" w:eastAsia="Times New Roman" w:hAnsiTheme="majorHAnsi"/>
          <w:sz w:val="20"/>
          <w:szCs w:val="20"/>
        </w:rPr>
        <w:t xml:space="preserve"> bridge.”</w:t>
      </w:r>
      <w:r w:rsidR="00F9518D" w:rsidRPr="00256677">
        <w:rPr>
          <w:rFonts w:asciiTheme="majorHAnsi" w:eastAsia="Times New Roman" w:hAnsiTheme="majorHAnsi"/>
          <w:sz w:val="20"/>
          <w:szCs w:val="20"/>
        </w:rPr>
        <w:t xml:space="preserve"> Clemons then raped Julie Kerry, Richardson raped Robin Kerry</w:t>
      </w:r>
      <w:r w:rsidR="00544C80" w:rsidRPr="00256677">
        <w:rPr>
          <w:rFonts w:asciiTheme="majorHAnsi" w:eastAsia="Times New Roman" w:hAnsiTheme="majorHAnsi"/>
          <w:sz w:val="20"/>
          <w:szCs w:val="20"/>
        </w:rPr>
        <w:t>. W</w:t>
      </w:r>
      <w:r w:rsidR="00F9518D" w:rsidRPr="00256677">
        <w:rPr>
          <w:rFonts w:asciiTheme="majorHAnsi" w:eastAsia="Times New Roman" w:hAnsiTheme="majorHAnsi"/>
          <w:sz w:val="20"/>
          <w:szCs w:val="20"/>
        </w:rPr>
        <w:t>hile this occurred</w:t>
      </w:r>
      <w:r w:rsidR="00544C80" w:rsidRPr="00256677">
        <w:rPr>
          <w:rFonts w:asciiTheme="majorHAnsi" w:eastAsia="Times New Roman" w:hAnsiTheme="majorHAnsi"/>
          <w:sz w:val="20"/>
          <w:szCs w:val="20"/>
        </w:rPr>
        <w:t>,</w:t>
      </w:r>
      <w:r w:rsidR="00F9518D" w:rsidRPr="00256677">
        <w:rPr>
          <w:rFonts w:asciiTheme="majorHAnsi" w:eastAsia="Times New Roman" w:hAnsiTheme="majorHAnsi"/>
          <w:sz w:val="20"/>
          <w:szCs w:val="20"/>
        </w:rPr>
        <w:t xml:space="preserve"> </w:t>
      </w:r>
      <w:r w:rsidR="00544C80" w:rsidRPr="00256677">
        <w:rPr>
          <w:rFonts w:asciiTheme="majorHAnsi" w:eastAsia="Times New Roman" w:hAnsiTheme="majorHAnsi"/>
          <w:sz w:val="20"/>
          <w:szCs w:val="20"/>
        </w:rPr>
        <w:t xml:space="preserve">Mr. </w:t>
      </w:r>
      <w:r w:rsidR="00F9518D" w:rsidRPr="00256677">
        <w:rPr>
          <w:rFonts w:asciiTheme="majorHAnsi" w:eastAsia="Times New Roman" w:hAnsiTheme="majorHAnsi"/>
          <w:sz w:val="20"/>
          <w:szCs w:val="20"/>
        </w:rPr>
        <w:t xml:space="preserve">Gray went back to where Cummins was lying on the ground and said, “I’ve never had the privilege of popping somebody…[I]f you put your head up or try to look, I’m going to pop you.” </w:t>
      </w:r>
      <w:r w:rsidR="00544C80" w:rsidRPr="00256677">
        <w:rPr>
          <w:rFonts w:asciiTheme="majorHAnsi" w:eastAsia="Times New Roman" w:hAnsiTheme="majorHAnsi"/>
          <w:sz w:val="20"/>
          <w:szCs w:val="20"/>
        </w:rPr>
        <w:t xml:space="preserve">Mr. </w:t>
      </w:r>
      <w:r w:rsidR="00F9518D" w:rsidRPr="00256677">
        <w:rPr>
          <w:rFonts w:asciiTheme="majorHAnsi" w:eastAsia="Times New Roman" w:hAnsiTheme="majorHAnsi"/>
          <w:sz w:val="20"/>
          <w:szCs w:val="20"/>
        </w:rPr>
        <w:t xml:space="preserve">Gray then told Winfrey to watch Cummins. </w:t>
      </w:r>
      <w:r w:rsidR="00544C80" w:rsidRPr="00256677">
        <w:rPr>
          <w:rFonts w:asciiTheme="majorHAnsi" w:eastAsia="Times New Roman" w:hAnsiTheme="majorHAnsi"/>
          <w:sz w:val="20"/>
          <w:szCs w:val="20"/>
        </w:rPr>
        <w:t xml:space="preserve">Mr. </w:t>
      </w:r>
      <w:r w:rsidR="00F9518D" w:rsidRPr="00256677">
        <w:rPr>
          <w:rFonts w:asciiTheme="majorHAnsi" w:eastAsia="Times New Roman" w:hAnsiTheme="majorHAnsi"/>
          <w:sz w:val="20"/>
          <w:szCs w:val="20"/>
        </w:rPr>
        <w:t xml:space="preserve">Gray then raped Robin Kerry, while this rape occurred Richardson forced Julie Kerry into a manhole on the bridge deck. When </w:t>
      </w:r>
      <w:r w:rsidR="00544C80" w:rsidRPr="00256677">
        <w:rPr>
          <w:rFonts w:asciiTheme="majorHAnsi" w:eastAsia="Times New Roman" w:hAnsiTheme="majorHAnsi"/>
          <w:sz w:val="20"/>
          <w:szCs w:val="20"/>
        </w:rPr>
        <w:t xml:space="preserve">Mr. </w:t>
      </w:r>
      <w:r w:rsidR="00F9518D" w:rsidRPr="00256677">
        <w:rPr>
          <w:rFonts w:asciiTheme="majorHAnsi" w:eastAsia="Times New Roman" w:hAnsiTheme="majorHAnsi"/>
          <w:sz w:val="20"/>
          <w:szCs w:val="20"/>
        </w:rPr>
        <w:t xml:space="preserve">Gray finished raping Robin Kerry, he went to Winfrey and asked where Richardson had gone, Winfrey pointed to the Missouri side of the river and Gray ran off in that direction. Clemons then forced Robin Kerry and Thomas Cummins into the manhole and told Winfrey to find </w:t>
      </w:r>
      <w:r w:rsidR="00544C80" w:rsidRPr="00256677">
        <w:rPr>
          <w:rFonts w:asciiTheme="majorHAnsi" w:eastAsia="Times New Roman" w:hAnsiTheme="majorHAnsi"/>
          <w:sz w:val="20"/>
          <w:szCs w:val="20"/>
        </w:rPr>
        <w:t xml:space="preserve">Mr. </w:t>
      </w:r>
      <w:r w:rsidR="00F9518D" w:rsidRPr="00256677">
        <w:rPr>
          <w:rFonts w:asciiTheme="majorHAnsi" w:eastAsia="Times New Roman" w:hAnsiTheme="majorHAnsi"/>
          <w:sz w:val="20"/>
          <w:szCs w:val="20"/>
        </w:rPr>
        <w:t xml:space="preserve">Gray. </w:t>
      </w:r>
      <w:r w:rsidR="00EC73C8" w:rsidRPr="00256677">
        <w:rPr>
          <w:rFonts w:asciiTheme="majorHAnsi" w:eastAsia="Times New Roman" w:hAnsiTheme="majorHAnsi"/>
          <w:sz w:val="20"/>
          <w:szCs w:val="20"/>
        </w:rPr>
        <w:t xml:space="preserve">Julie and Robin Kerry were then pushed into the river and Cummins was told to jump. Winfrey found </w:t>
      </w:r>
      <w:r w:rsidR="00544C80" w:rsidRPr="00256677">
        <w:rPr>
          <w:rFonts w:asciiTheme="majorHAnsi" w:eastAsia="Times New Roman" w:hAnsiTheme="majorHAnsi"/>
          <w:sz w:val="20"/>
          <w:szCs w:val="20"/>
        </w:rPr>
        <w:t xml:space="preserve">Mr. </w:t>
      </w:r>
      <w:r w:rsidR="00EC73C8" w:rsidRPr="00256677">
        <w:rPr>
          <w:rFonts w:asciiTheme="majorHAnsi" w:eastAsia="Times New Roman" w:hAnsiTheme="majorHAnsi"/>
          <w:sz w:val="20"/>
          <w:szCs w:val="20"/>
        </w:rPr>
        <w:t xml:space="preserve">Gray and were returning back to the bridge; Clemons and Richardson met them. Clemons said, “We threw them off. Let’s go.” The group then left the bridge. Clemons said, “They’ll never make it to shore.” </w:t>
      </w:r>
      <w:r w:rsidR="00544C80" w:rsidRPr="00256677">
        <w:rPr>
          <w:rFonts w:asciiTheme="majorHAnsi" w:eastAsia="Times New Roman" w:hAnsiTheme="majorHAnsi"/>
          <w:sz w:val="20"/>
          <w:szCs w:val="20"/>
        </w:rPr>
        <w:t xml:space="preserve">Mr. </w:t>
      </w:r>
      <w:r w:rsidR="00EC73C8" w:rsidRPr="00256677">
        <w:rPr>
          <w:rFonts w:asciiTheme="majorHAnsi" w:eastAsia="Times New Roman" w:hAnsiTheme="majorHAnsi"/>
          <w:sz w:val="20"/>
          <w:szCs w:val="20"/>
        </w:rPr>
        <w:t>Gray praised Richardson for being “brave” to push the Kerry sisters off the bridge.</w:t>
      </w:r>
      <w:r w:rsidR="008A6254" w:rsidRPr="00256677">
        <w:rPr>
          <w:rFonts w:asciiTheme="majorHAnsi" w:eastAsia="Times New Roman" w:hAnsiTheme="majorHAnsi"/>
          <w:sz w:val="20"/>
          <w:szCs w:val="20"/>
        </w:rPr>
        <w:t>”</w:t>
      </w:r>
      <w:r w:rsidR="004B20D9" w:rsidRPr="00256677">
        <w:rPr>
          <w:rStyle w:val="FootnoteReference"/>
          <w:rFonts w:asciiTheme="majorHAnsi" w:eastAsia="Times New Roman" w:hAnsiTheme="majorHAnsi"/>
          <w:sz w:val="20"/>
          <w:szCs w:val="20"/>
        </w:rPr>
        <w:footnoteReference w:id="12"/>
      </w:r>
    </w:p>
    <w:p w14:paraId="2B30A08A" w14:textId="77777777" w:rsidR="004F7B27" w:rsidRPr="00256677" w:rsidRDefault="004F7B27" w:rsidP="00366F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038B86B5" w14:textId="77777777" w:rsidR="004F7B27" w:rsidRPr="00256677" w:rsidRDefault="004F7B27" w:rsidP="004B20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The Kerry sisters died and Thomas Cummins survived.</w:t>
      </w:r>
    </w:p>
    <w:p w14:paraId="1ABB868D" w14:textId="77777777" w:rsidR="00B15287" w:rsidRPr="00256677" w:rsidRDefault="00B15287" w:rsidP="00B1528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081BC447" w14:textId="77777777" w:rsidR="004003A5" w:rsidRDefault="004003A5">
      <w:pPr>
        <w:rPr>
          <w:rFonts w:asciiTheme="majorHAnsi" w:eastAsiaTheme="majorEastAsia" w:hAnsiTheme="majorHAnsi" w:cstheme="majorBidi"/>
          <w:b/>
          <w:bCs/>
          <w:sz w:val="20"/>
          <w:szCs w:val="20"/>
        </w:rPr>
      </w:pPr>
      <w:bookmarkStart w:id="7" w:name="_Toc90284139"/>
      <w:r>
        <w:rPr>
          <w:sz w:val="20"/>
          <w:szCs w:val="20"/>
        </w:rPr>
        <w:br w:type="page"/>
      </w:r>
    </w:p>
    <w:p w14:paraId="27259CED" w14:textId="19A91F20" w:rsidR="00B54D6D" w:rsidRPr="00256677" w:rsidRDefault="00B54D6D" w:rsidP="006E07EB">
      <w:pPr>
        <w:pStyle w:val="Heading2"/>
        <w:numPr>
          <w:ilvl w:val="0"/>
          <w:numId w:val="73"/>
        </w:numPr>
        <w:spacing w:before="0"/>
        <w:ind w:left="360"/>
        <w:jc w:val="both"/>
        <w:rPr>
          <w:color w:val="auto"/>
          <w:sz w:val="20"/>
          <w:szCs w:val="20"/>
        </w:rPr>
      </w:pPr>
      <w:r w:rsidRPr="00256677">
        <w:rPr>
          <w:color w:val="auto"/>
          <w:sz w:val="20"/>
          <w:szCs w:val="20"/>
        </w:rPr>
        <w:lastRenderedPageBreak/>
        <w:t>Trial and death sentence</w:t>
      </w:r>
      <w:bookmarkEnd w:id="7"/>
    </w:p>
    <w:p w14:paraId="6901F16F" w14:textId="77777777" w:rsidR="00B54D6D" w:rsidRPr="00256677" w:rsidRDefault="00B54D6D" w:rsidP="00B1528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0A981827" w14:textId="77777777" w:rsidR="00F11741" w:rsidRPr="00256677" w:rsidRDefault="00864EF3" w:rsidP="008663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On </w:t>
      </w:r>
      <w:r w:rsidR="00155010" w:rsidRPr="00256677">
        <w:rPr>
          <w:rFonts w:asciiTheme="majorHAnsi" w:hAnsiTheme="majorHAnsi"/>
          <w:sz w:val="20"/>
          <w:szCs w:val="20"/>
        </w:rPr>
        <w:t>June 21, 1991</w:t>
      </w:r>
      <w:r w:rsidR="00450C5A" w:rsidRPr="00256677">
        <w:rPr>
          <w:rFonts w:asciiTheme="majorHAnsi" w:hAnsiTheme="majorHAnsi"/>
          <w:sz w:val="20"/>
          <w:szCs w:val="20"/>
        </w:rPr>
        <w:t xml:space="preserve">, </w:t>
      </w:r>
      <w:r w:rsidR="00ED1C8D" w:rsidRPr="00256677">
        <w:rPr>
          <w:rFonts w:asciiTheme="majorHAnsi" w:hAnsiTheme="majorHAnsi"/>
          <w:sz w:val="20"/>
          <w:szCs w:val="20"/>
        </w:rPr>
        <w:t xml:space="preserve">Mr. Gray was </w:t>
      </w:r>
      <w:r w:rsidR="00155010" w:rsidRPr="00256677">
        <w:rPr>
          <w:rFonts w:asciiTheme="majorHAnsi" w:hAnsiTheme="majorHAnsi"/>
          <w:sz w:val="20"/>
          <w:szCs w:val="20"/>
        </w:rPr>
        <w:t>charged by indi</w:t>
      </w:r>
      <w:r w:rsidR="004613B3" w:rsidRPr="00256677">
        <w:rPr>
          <w:rFonts w:asciiTheme="majorHAnsi" w:hAnsiTheme="majorHAnsi"/>
          <w:sz w:val="20"/>
          <w:szCs w:val="20"/>
        </w:rPr>
        <w:t>ctment with two counts of first-</w:t>
      </w:r>
      <w:r w:rsidR="00155010" w:rsidRPr="00256677">
        <w:rPr>
          <w:rFonts w:asciiTheme="majorHAnsi" w:hAnsiTheme="majorHAnsi"/>
          <w:sz w:val="20"/>
          <w:szCs w:val="20"/>
        </w:rPr>
        <w:t>degree murder, as well as other felonies</w:t>
      </w:r>
      <w:r w:rsidR="00ED1C8D" w:rsidRPr="00256677">
        <w:rPr>
          <w:rFonts w:asciiTheme="majorHAnsi" w:hAnsiTheme="majorHAnsi"/>
          <w:sz w:val="20"/>
          <w:szCs w:val="20"/>
        </w:rPr>
        <w:t>.</w:t>
      </w:r>
      <w:r w:rsidR="00DA44EA" w:rsidRPr="00256677">
        <w:rPr>
          <w:rStyle w:val="FootnoteReference"/>
          <w:rFonts w:asciiTheme="majorHAnsi" w:hAnsiTheme="majorHAnsi"/>
          <w:sz w:val="20"/>
          <w:szCs w:val="20"/>
        </w:rPr>
        <w:footnoteReference w:id="13"/>
      </w:r>
      <w:r w:rsidR="00ED1C8D" w:rsidRPr="00256677">
        <w:rPr>
          <w:rFonts w:asciiTheme="majorHAnsi" w:hAnsiTheme="majorHAnsi"/>
          <w:sz w:val="20"/>
          <w:szCs w:val="20"/>
        </w:rPr>
        <w:t xml:space="preserve"> </w:t>
      </w:r>
      <w:r w:rsidR="00DA44EA" w:rsidRPr="00256677">
        <w:rPr>
          <w:rFonts w:asciiTheme="majorHAnsi" w:hAnsiTheme="majorHAnsi"/>
          <w:sz w:val="20"/>
          <w:szCs w:val="20"/>
        </w:rPr>
        <w:t xml:space="preserve">On October 21, 1992, </w:t>
      </w:r>
      <w:r w:rsidR="006145C8" w:rsidRPr="00256677">
        <w:rPr>
          <w:rFonts w:asciiTheme="majorHAnsi" w:hAnsiTheme="majorHAnsi"/>
          <w:sz w:val="20"/>
          <w:szCs w:val="20"/>
        </w:rPr>
        <w:t>he was convicted of two counts of first-degree murder as an accomplice in the death of Julie and Robin Kerry. On October 23, 1992, the jury returned</w:t>
      </w:r>
      <w:r w:rsidR="00DA44EA" w:rsidRPr="00256677">
        <w:rPr>
          <w:rFonts w:asciiTheme="majorHAnsi" w:hAnsiTheme="majorHAnsi"/>
          <w:sz w:val="20"/>
          <w:szCs w:val="20"/>
        </w:rPr>
        <w:t xml:space="preserve"> a verdict of</w:t>
      </w:r>
      <w:r w:rsidR="004613B3" w:rsidRPr="00256677">
        <w:rPr>
          <w:rFonts w:asciiTheme="majorHAnsi" w:hAnsiTheme="majorHAnsi"/>
          <w:sz w:val="20"/>
          <w:szCs w:val="20"/>
        </w:rPr>
        <w:t xml:space="preserve"> </w:t>
      </w:r>
      <w:r w:rsidR="006145C8" w:rsidRPr="00256677">
        <w:rPr>
          <w:rFonts w:asciiTheme="majorHAnsi" w:hAnsiTheme="majorHAnsi"/>
          <w:sz w:val="20"/>
          <w:szCs w:val="20"/>
        </w:rPr>
        <w:t>death on each count</w:t>
      </w:r>
      <w:r w:rsidR="00DA44EA" w:rsidRPr="00256677">
        <w:rPr>
          <w:rFonts w:asciiTheme="majorHAnsi" w:hAnsiTheme="majorHAnsi"/>
          <w:sz w:val="20"/>
          <w:szCs w:val="20"/>
        </w:rPr>
        <w:t xml:space="preserve"> on December 3, 1992</w:t>
      </w:r>
      <w:r w:rsidR="000620DE" w:rsidRPr="00256677">
        <w:rPr>
          <w:rFonts w:asciiTheme="majorHAnsi" w:hAnsiTheme="majorHAnsi"/>
          <w:sz w:val="20"/>
          <w:szCs w:val="20"/>
        </w:rPr>
        <w:t>,</w:t>
      </w:r>
      <w:r w:rsidR="00DA44EA" w:rsidRPr="00256677">
        <w:rPr>
          <w:rFonts w:asciiTheme="majorHAnsi" w:hAnsiTheme="majorHAnsi"/>
          <w:sz w:val="20"/>
          <w:szCs w:val="20"/>
        </w:rPr>
        <w:t xml:space="preserve"> the St. Louis City Circuit Court sentenced Mr. Gray to death.</w:t>
      </w:r>
      <w:r w:rsidR="00DA44EA" w:rsidRPr="00256677">
        <w:rPr>
          <w:rStyle w:val="FootnoteReference"/>
          <w:rFonts w:asciiTheme="majorHAnsi" w:hAnsiTheme="majorHAnsi"/>
          <w:sz w:val="20"/>
          <w:szCs w:val="20"/>
        </w:rPr>
        <w:footnoteReference w:id="14"/>
      </w:r>
      <w:r w:rsidR="00DA44EA" w:rsidRPr="00256677">
        <w:rPr>
          <w:rFonts w:asciiTheme="majorHAnsi" w:hAnsiTheme="majorHAnsi"/>
          <w:sz w:val="20"/>
          <w:szCs w:val="20"/>
        </w:rPr>
        <w:t xml:space="preserve"> </w:t>
      </w:r>
    </w:p>
    <w:p w14:paraId="07E34811" w14:textId="77777777" w:rsidR="00F11741" w:rsidRPr="00256677" w:rsidRDefault="00F11741" w:rsidP="00F1174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35507AFC" w14:textId="77777777" w:rsidR="00AB4CD6" w:rsidRPr="00256677" w:rsidRDefault="00866353" w:rsidP="008663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As regards the elements of the offence present within Mr. Gray’s criminal conduct, the court remarked th</w:t>
      </w:r>
      <w:r w:rsidR="00AB4CD6" w:rsidRPr="00256677">
        <w:rPr>
          <w:rFonts w:asciiTheme="majorHAnsi" w:hAnsiTheme="majorHAnsi"/>
          <w:sz w:val="20"/>
          <w:szCs w:val="20"/>
        </w:rPr>
        <w:t>e following:</w:t>
      </w:r>
    </w:p>
    <w:p w14:paraId="6B8AE1F9" w14:textId="77777777" w:rsidR="00AB4CD6" w:rsidRPr="00256677" w:rsidRDefault="00AB4CD6" w:rsidP="00AB4CD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4A0BF1C9" w14:textId="77777777" w:rsidR="00AB4CD6" w:rsidRPr="00256677" w:rsidRDefault="00AB4CD6" w:rsidP="00AB4CD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720"/>
        <w:jc w:val="both"/>
        <w:rPr>
          <w:rFonts w:asciiTheme="majorHAnsi" w:hAnsiTheme="majorHAnsi"/>
          <w:sz w:val="18"/>
          <w:szCs w:val="18"/>
        </w:rPr>
      </w:pPr>
      <w:r w:rsidRPr="00256677">
        <w:rPr>
          <w:rFonts w:asciiTheme="majorHAnsi" w:hAnsiTheme="majorHAnsi"/>
          <w:sz w:val="18"/>
          <w:szCs w:val="18"/>
        </w:rPr>
        <w:t>[Mr. Gray] did not kill Julie and Robin Kerry himself. Instead, according to the state and the verdict of the jury, he participated in a major way with three other men […] in robbing the two victims and their cousin, Thomas Cummins, and in raping the two women. Under Missouri law, a person may be guilty of first-degree murder (and therefore eligible for the death penalty) without being the actual killer. Participation in the planning and execution of felonies, here rape and robbery, however, is not sufficient in and of itself. It must also be shown that defendant’s associates committed murder, that defendant cooperated with them, and that defendant, after deliberation, acted with them to cause the deaths […] There must be some evidence that the defendant himself made a decision to kill the victims before the murder. […] The sufficiency of the evidence to establish Gray’s guilt of first-degree murder is not one of the issues before us.”</w:t>
      </w:r>
      <w:r w:rsidR="00866353" w:rsidRPr="00256677">
        <w:rPr>
          <w:rStyle w:val="FootnoteReference"/>
          <w:rFonts w:asciiTheme="majorHAnsi" w:hAnsiTheme="majorHAnsi"/>
          <w:sz w:val="18"/>
          <w:szCs w:val="18"/>
        </w:rPr>
        <w:footnoteReference w:id="15"/>
      </w:r>
      <w:r w:rsidR="001C5228" w:rsidRPr="00256677">
        <w:rPr>
          <w:rFonts w:asciiTheme="majorHAnsi" w:hAnsiTheme="majorHAnsi"/>
          <w:sz w:val="18"/>
          <w:szCs w:val="18"/>
        </w:rPr>
        <w:t xml:space="preserve"> </w:t>
      </w:r>
    </w:p>
    <w:p w14:paraId="47478E40" w14:textId="77777777" w:rsidR="00AB4CD6" w:rsidRPr="00256677" w:rsidRDefault="00AB4CD6" w:rsidP="00AB4CD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1F290C1D" w14:textId="77777777" w:rsidR="009003AB" w:rsidRPr="00256677" w:rsidRDefault="009003AB" w:rsidP="00AB4C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The evidence considered </w:t>
      </w:r>
      <w:r w:rsidR="00586B77" w:rsidRPr="00256677">
        <w:rPr>
          <w:rFonts w:asciiTheme="majorHAnsi" w:hAnsiTheme="majorHAnsi"/>
          <w:sz w:val="20"/>
          <w:szCs w:val="20"/>
        </w:rPr>
        <w:t>by the court i</w:t>
      </w:r>
      <w:r w:rsidR="001C5228" w:rsidRPr="00256677">
        <w:rPr>
          <w:rFonts w:asciiTheme="majorHAnsi" w:hAnsiTheme="majorHAnsi"/>
          <w:sz w:val="20"/>
          <w:szCs w:val="20"/>
        </w:rPr>
        <w:t>n</w:t>
      </w:r>
      <w:r w:rsidR="00586B77" w:rsidRPr="00256677">
        <w:rPr>
          <w:rFonts w:asciiTheme="majorHAnsi" w:hAnsiTheme="majorHAnsi"/>
          <w:sz w:val="20"/>
          <w:szCs w:val="20"/>
        </w:rPr>
        <w:t xml:space="preserve"> this regard was:</w:t>
      </w:r>
    </w:p>
    <w:p w14:paraId="04C2665E" w14:textId="77777777" w:rsidR="00586B77" w:rsidRPr="00256677" w:rsidRDefault="00586B77" w:rsidP="00586B77">
      <w:pPr>
        <w:pStyle w:val="ListParagraph"/>
        <w:rPr>
          <w:rFonts w:asciiTheme="majorHAnsi" w:hAnsiTheme="majorHAnsi"/>
          <w:sz w:val="20"/>
          <w:szCs w:val="20"/>
        </w:rPr>
      </w:pPr>
    </w:p>
    <w:p w14:paraId="30DDCF9C" w14:textId="77777777" w:rsidR="00586B77" w:rsidRPr="00256677" w:rsidRDefault="00586B77" w:rsidP="001C522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rPr>
      </w:pPr>
      <w:r w:rsidRPr="00256677">
        <w:rPr>
          <w:rFonts w:asciiTheme="majorHAnsi" w:hAnsiTheme="majorHAnsi"/>
          <w:sz w:val="18"/>
          <w:szCs w:val="18"/>
        </w:rPr>
        <w:t>“Here there were threats to kill made either by the defendant or in the defendant’s presence. In addition, the defendant at one point stated that he would shoot Cummins, indicating that he had ready access to a deadly weapon, even though no weapon was actually displayed or used to commit the homicides in this case. The jury was entitled to believe defendant had a gun. Defendant continued in the criminal enterprise after the threats to kill the victims were made. After the threats, he held Cummins at bay while the rapes were committed. Defendant participated in a discussion about whether Cummins should be killed, followed later by an attempt on Cummin’s life and the two homicides. These facts, together with the defendant’s statement that he felt like hurting somebody, his role as a leader and enforcer in the group, and his belief before leaving the bridge that Richardson had gone to drown Julie Kerry in the river, are sufficient evidence to permit an inference by the jury that defendant had a conscious purpose of committing the acts in which he engaged so that the victims would be killed and that the homicides occurred after he cooly deliberated on the deaths for some amount of time, however short.”</w:t>
      </w:r>
      <w:r w:rsidRPr="00256677">
        <w:rPr>
          <w:rStyle w:val="FootnoteReference"/>
          <w:rFonts w:asciiTheme="majorHAnsi" w:hAnsiTheme="majorHAnsi"/>
          <w:sz w:val="18"/>
          <w:szCs w:val="18"/>
        </w:rPr>
        <w:footnoteReference w:id="16"/>
      </w:r>
    </w:p>
    <w:p w14:paraId="487254A2" w14:textId="77777777" w:rsidR="0055390F" w:rsidRPr="00256677" w:rsidRDefault="0055390F" w:rsidP="005539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6525B732" w14:textId="77777777" w:rsidR="0055390F" w:rsidRPr="00256677" w:rsidRDefault="0055390F" w:rsidP="005539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The Court, in making this judgement viewed the evidence “in</w:t>
      </w:r>
      <w:r w:rsidRPr="00256677">
        <w:rPr>
          <w:rFonts w:asciiTheme="majorHAnsi" w:eastAsia="Times New Roman" w:hAnsiTheme="majorHAnsi"/>
          <w:sz w:val="20"/>
          <w:szCs w:val="20"/>
        </w:rPr>
        <w:t xml:space="preserve"> a light most favorable to the verdict, affording the state all reasonable favorable inferences and ignoring contrary evidence and inferences”; referencing the case of State v Grim 854 S.W.2d 403, 405 (Mo. Banc 1993).</w:t>
      </w:r>
      <w:r w:rsidRPr="00256677">
        <w:rPr>
          <w:rStyle w:val="FootnoteReference"/>
          <w:rFonts w:asciiTheme="majorHAnsi" w:eastAsia="Times New Roman" w:hAnsiTheme="majorHAnsi"/>
          <w:sz w:val="20"/>
          <w:szCs w:val="20"/>
        </w:rPr>
        <w:footnoteReference w:id="17"/>
      </w:r>
    </w:p>
    <w:p w14:paraId="72F1EC07" w14:textId="77777777" w:rsidR="0055390F" w:rsidRPr="00256677" w:rsidRDefault="0055390F" w:rsidP="0055390F">
      <w:pPr>
        <w:pStyle w:val="ListParagraph"/>
        <w:rPr>
          <w:rFonts w:asciiTheme="majorHAnsi" w:hAnsiTheme="majorHAnsi"/>
          <w:sz w:val="20"/>
          <w:szCs w:val="20"/>
        </w:rPr>
      </w:pPr>
    </w:p>
    <w:p w14:paraId="45F8B3D7" w14:textId="77777777" w:rsidR="0055390F" w:rsidRPr="00256677" w:rsidRDefault="0055390F" w:rsidP="005539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 xml:space="preserve">Mr. Cummins accounted that after being told it was a robbery, </w:t>
      </w:r>
      <w:r w:rsidR="00DB0672" w:rsidRPr="00256677">
        <w:rPr>
          <w:rFonts w:asciiTheme="majorHAnsi" w:eastAsia="Times New Roman" w:hAnsiTheme="majorHAnsi"/>
          <w:sz w:val="20"/>
          <w:szCs w:val="20"/>
        </w:rPr>
        <w:t xml:space="preserve">he </w:t>
      </w:r>
      <w:r w:rsidRPr="00256677">
        <w:rPr>
          <w:rFonts w:asciiTheme="majorHAnsi" w:eastAsia="Times New Roman" w:hAnsiTheme="majorHAnsi"/>
          <w:sz w:val="20"/>
          <w:szCs w:val="20"/>
        </w:rPr>
        <w:t xml:space="preserve">was instructed to lay down on the bridge </w:t>
      </w:r>
      <w:r w:rsidR="00DB0672" w:rsidRPr="00256677">
        <w:rPr>
          <w:rFonts w:asciiTheme="majorHAnsi" w:eastAsia="Times New Roman" w:hAnsiTheme="majorHAnsi"/>
          <w:sz w:val="20"/>
          <w:szCs w:val="20"/>
        </w:rPr>
        <w:t>and explained</w:t>
      </w:r>
      <w:r w:rsidRPr="00256677">
        <w:rPr>
          <w:rFonts w:asciiTheme="majorHAnsi" w:eastAsia="Times New Roman" w:hAnsiTheme="majorHAnsi"/>
          <w:sz w:val="20"/>
          <w:szCs w:val="20"/>
        </w:rPr>
        <w:t xml:space="preserve"> that his “head was towards the south side of the bridge”</w:t>
      </w:r>
      <w:r w:rsidR="00DB0672" w:rsidRPr="00256677">
        <w:rPr>
          <w:rFonts w:asciiTheme="majorHAnsi" w:eastAsia="Times New Roman" w:hAnsiTheme="majorHAnsi"/>
          <w:sz w:val="20"/>
          <w:szCs w:val="20"/>
        </w:rPr>
        <w:t>,</w:t>
      </w:r>
      <w:r w:rsidRPr="00256677">
        <w:rPr>
          <w:rFonts w:asciiTheme="majorHAnsi" w:eastAsia="Times New Roman" w:hAnsiTheme="majorHAnsi"/>
          <w:sz w:val="20"/>
          <w:szCs w:val="20"/>
        </w:rPr>
        <w:t xml:space="preserve"> and upon hearing Julie Kerry scream, he “turned [his] head a little bit to the right just enough to see over that direction and I saw like sparks, like when you drop a cigarette on the concrete and sparks kind of fly out.”</w:t>
      </w:r>
      <w:r w:rsidRPr="00256677">
        <w:rPr>
          <w:rStyle w:val="FootnoteReference"/>
          <w:rFonts w:asciiTheme="majorHAnsi" w:eastAsia="Times New Roman" w:hAnsiTheme="majorHAnsi"/>
          <w:sz w:val="20"/>
          <w:szCs w:val="20"/>
        </w:rPr>
        <w:footnoteReference w:id="18"/>
      </w:r>
      <w:r w:rsidRPr="00256677">
        <w:rPr>
          <w:rFonts w:asciiTheme="majorHAnsi" w:eastAsia="Times New Roman" w:hAnsiTheme="majorHAnsi"/>
          <w:sz w:val="20"/>
          <w:szCs w:val="20"/>
        </w:rPr>
        <w:t xml:space="preserve"> He further explained that with regards to the robbery “someone came up and sat on me, on my back, and asked me if I had any money.” He testified that after being robbed of his money and watch, “[s]omeone else came over to me and he told me to get up… and he kind of held my head down so I couldn’t look up”. He added that “they laid </w:t>
      </w:r>
      <w:r w:rsidR="00DB0672" w:rsidRPr="00256677">
        <w:rPr>
          <w:rFonts w:asciiTheme="majorHAnsi" w:eastAsia="Times New Roman" w:hAnsiTheme="majorHAnsi"/>
          <w:sz w:val="20"/>
          <w:szCs w:val="20"/>
        </w:rPr>
        <w:t>me</w:t>
      </w:r>
      <w:r w:rsidRPr="00256677">
        <w:rPr>
          <w:rFonts w:asciiTheme="majorHAnsi" w:eastAsia="Times New Roman" w:hAnsiTheme="majorHAnsi"/>
          <w:sz w:val="20"/>
          <w:szCs w:val="20"/>
        </w:rPr>
        <w:t xml:space="preserve"> down on the bridge the second time” held his driver’s license to his head and explained that they knew where he lived and if he told anyone, they were “going to come get [him]” and “the person </w:t>
      </w:r>
      <w:r w:rsidR="00DB0672" w:rsidRPr="00256677">
        <w:rPr>
          <w:rFonts w:asciiTheme="majorHAnsi" w:eastAsia="Times New Roman" w:hAnsiTheme="majorHAnsi"/>
          <w:sz w:val="20"/>
          <w:szCs w:val="20"/>
        </w:rPr>
        <w:t>said that he was going to let me</w:t>
      </w:r>
      <w:r w:rsidRPr="00256677">
        <w:rPr>
          <w:rFonts w:asciiTheme="majorHAnsi" w:eastAsia="Times New Roman" w:hAnsiTheme="majorHAnsi"/>
          <w:sz w:val="20"/>
          <w:szCs w:val="20"/>
        </w:rPr>
        <w:t xml:space="preserve"> live”. His testimony immediately added that “[s]omeone came up to me and pulled my coat over my head while I was laying there and said he was going to kill me… I heard the first voice or another voice come up and say ‘[n]o, I told him he could live.’… the two proceeded to… converse back and forth about whether I was going to live or die.” He </w:t>
      </w:r>
      <w:r w:rsidRPr="00256677">
        <w:rPr>
          <w:rFonts w:asciiTheme="majorHAnsi" w:eastAsia="Times New Roman" w:hAnsiTheme="majorHAnsi"/>
          <w:sz w:val="20"/>
          <w:szCs w:val="20"/>
        </w:rPr>
        <w:lastRenderedPageBreak/>
        <w:t xml:space="preserve">concludes that “[t]hey made me get up again… and he told me to get down inside (an open manhole)”, he “heard a voice say to get up and get down”, he “saw a hand come out and push Julie from the bridge… and then the same hand pushed Robin” and then he “heard a voice that said ‘jump’” and he jumped. He accounted that there was no light underneath the decking of the bridge and he could not tell how many people were down on the platform. </w:t>
      </w:r>
    </w:p>
    <w:p w14:paraId="71181D23" w14:textId="77777777" w:rsidR="0055390F" w:rsidRPr="00256677" w:rsidRDefault="0055390F" w:rsidP="0055390F">
      <w:pPr>
        <w:pStyle w:val="ListParagraph"/>
        <w:rPr>
          <w:rFonts w:asciiTheme="majorHAnsi" w:eastAsia="Times New Roman" w:hAnsiTheme="majorHAnsi"/>
          <w:sz w:val="20"/>
          <w:szCs w:val="20"/>
        </w:rPr>
      </w:pPr>
    </w:p>
    <w:p w14:paraId="4522C658" w14:textId="77777777" w:rsidR="0055390F" w:rsidRPr="00256677" w:rsidRDefault="0055390F" w:rsidP="005539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eastAsia="Times New Roman" w:hAnsiTheme="majorHAnsi"/>
          <w:sz w:val="20"/>
          <w:szCs w:val="20"/>
        </w:rPr>
      </w:pPr>
      <w:r w:rsidRPr="00256677">
        <w:rPr>
          <w:rFonts w:asciiTheme="majorHAnsi" w:eastAsia="Times New Roman" w:hAnsiTheme="majorHAnsi"/>
          <w:sz w:val="20"/>
          <w:szCs w:val="20"/>
        </w:rPr>
        <w:t>The lead prosecutor, (Nels Moss) submitted during the determination of guilt at trial, that Mr. Gray was the ringleader and guilty of murder. He communicated these assertions through his statements that Mr. Gray, “[h]e aided and encouraged in every way he could”, “was a big man among small men, among younger men. He was their leader”, “[i]t was his plan,” “the man in charge,” “[t]he man who knew how to manipulate these people.”</w:t>
      </w:r>
      <w:r w:rsidRPr="00256677">
        <w:rPr>
          <w:rStyle w:val="FootnoteReference"/>
          <w:rFonts w:asciiTheme="majorHAnsi" w:eastAsia="Times New Roman" w:hAnsiTheme="majorHAnsi"/>
          <w:sz w:val="20"/>
          <w:szCs w:val="20"/>
        </w:rPr>
        <w:footnoteReference w:id="19"/>
      </w:r>
      <w:r w:rsidRPr="00256677">
        <w:rPr>
          <w:rFonts w:asciiTheme="majorHAnsi" w:eastAsia="Times New Roman" w:hAnsiTheme="majorHAnsi"/>
          <w:sz w:val="20"/>
          <w:szCs w:val="20"/>
        </w:rPr>
        <w:t xml:space="preserve"> Further, he stated that “[t]his crime was cold, calculating, manipulative…[h]e can manipulate them. He can get them to do what he wants.”</w:t>
      </w:r>
      <w:r w:rsidRPr="00256677">
        <w:rPr>
          <w:rStyle w:val="FootnoteReference"/>
          <w:rFonts w:asciiTheme="majorHAnsi" w:eastAsia="Times New Roman" w:hAnsiTheme="majorHAnsi"/>
          <w:sz w:val="20"/>
          <w:szCs w:val="20"/>
        </w:rPr>
        <w:footnoteReference w:id="20"/>
      </w:r>
      <w:r w:rsidRPr="00256677">
        <w:rPr>
          <w:rFonts w:asciiTheme="majorHAnsi" w:eastAsia="Times New Roman" w:hAnsiTheme="majorHAnsi"/>
          <w:sz w:val="20"/>
          <w:szCs w:val="20"/>
        </w:rPr>
        <w:t xml:space="preserve"> His statements of Mr. Gray were that “there is no question here that under all the evidence he’s guilty of a form of felony murder second”, “[h]e is guilty of felony murder second, period, end of discussion”, “ he’s charged in everything with acting with another”, “[i]f you follow the trail, it leads directly to him”, “It was him.”</w:t>
      </w:r>
      <w:r w:rsidRPr="00256677">
        <w:rPr>
          <w:rStyle w:val="FootnoteReference"/>
          <w:rFonts w:asciiTheme="majorHAnsi" w:eastAsia="Times New Roman" w:hAnsiTheme="majorHAnsi"/>
          <w:sz w:val="20"/>
          <w:szCs w:val="20"/>
        </w:rPr>
        <w:footnoteReference w:id="21"/>
      </w:r>
      <w:r w:rsidRPr="00256677">
        <w:rPr>
          <w:rFonts w:asciiTheme="majorHAnsi" w:eastAsia="Times New Roman" w:hAnsiTheme="majorHAnsi"/>
          <w:sz w:val="20"/>
          <w:szCs w:val="20"/>
        </w:rPr>
        <w:t xml:space="preserve"> He also stated that Mr. Gray, “he made a choice to kill people that night on the bridge.”</w:t>
      </w:r>
      <w:r w:rsidRPr="00256677">
        <w:rPr>
          <w:rStyle w:val="FootnoteReference"/>
          <w:rFonts w:asciiTheme="majorHAnsi" w:eastAsia="Times New Roman" w:hAnsiTheme="majorHAnsi"/>
          <w:sz w:val="20"/>
          <w:szCs w:val="20"/>
        </w:rPr>
        <w:footnoteReference w:id="22"/>
      </w:r>
    </w:p>
    <w:p w14:paraId="621FF6E8" w14:textId="77777777" w:rsidR="0055390F" w:rsidRPr="00256677" w:rsidRDefault="0055390F" w:rsidP="00366F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7F50136B" w14:textId="77777777" w:rsidR="00B15287" w:rsidRPr="00256677" w:rsidRDefault="007F6EF7" w:rsidP="00366F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Mr. Gray filed a motion for post-conviction relief in the circuit court of St. Louis City </w:t>
      </w:r>
      <w:r w:rsidR="000620DE" w:rsidRPr="00256677">
        <w:rPr>
          <w:rFonts w:asciiTheme="majorHAnsi" w:hAnsiTheme="majorHAnsi"/>
          <w:sz w:val="20"/>
          <w:szCs w:val="20"/>
        </w:rPr>
        <w:t>which</w:t>
      </w:r>
      <w:r w:rsidRPr="00256677">
        <w:rPr>
          <w:rFonts w:asciiTheme="majorHAnsi" w:hAnsiTheme="majorHAnsi"/>
          <w:sz w:val="20"/>
          <w:szCs w:val="20"/>
        </w:rPr>
        <w:t xml:space="preserve"> was denied on November 29, 1993</w:t>
      </w:r>
      <w:r w:rsidR="00C702E0" w:rsidRPr="00256677">
        <w:rPr>
          <w:rFonts w:asciiTheme="majorHAnsi" w:hAnsiTheme="majorHAnsi"/>
          <w:sz w:val="20"/>
          <w:szCs w:val="20"/>
        </w:rPr>
        <w:t>.</w:t>
      </w:r>
      <w:r w:rsidR="00C702E0" w:rsidRPr="00256677">
        <w:rPr>
          <w:rStyle w:val="FootnoteReference"/>
          <w:rFonts w:asciiTheme="majorHAnsi" w:hAnsiTheme="majorHAnsi"/>
          <w:sz w:val="20"/>
          <w:szCs w:val="20"/>
        </w:rPr>
        <w:footnoteReference w:id="23"/>
      </w:r>
      <w:r w:rsidR="0029518F" w:rsidRPr="00256677">
        <w:rPr>
          <w:rFonts w:asciiTheme="majorHAnsi" w:hAnsiTheme="majorHAnsi"/>
          <w:sz w:val="20"/>
          <w:szCs w:val="20"/>
        </w:rPr>
        <w:t xml:space="preserve"> Mr. </w:t>
      </w:r>
      <w:r w:rsidR="000620DE" w:rsidRPr="00256677">
        <w:rPr>
          <w:rFonts w:asciiTheme="majorHAnsi" w:hAnsiTheme="majorHAnsi"/>
          <w:sz w:val="20"/>
          <w:szCs w:val="20"/>
        </w:rPr>
        <w:t>Gray appealed his sentence and c</w:t>
      </w:r>
      <w:r w:rsidR="0029518F" w:rsidRPr="00256677">
        <w:rPr>
          <w:rFonts w:asciiTheme="majorHAnsi" w:hAnsiTheme="majorHAnsi"/>
          <w:sz w:val="20"/>
          <w:szCs w:val="20"/>
        </w:rPr>
        <w:t>onviction which was reviewed by the Supreme Court of Missouri. In Mr. Gray’s direct appeal,</w:t>
      </w:r>
      <w:r w:rsidR="00B15287" w:rsidRPr="00256677">
        <w:rPr>
          <w:rStyle w:val="FootnoteReference"/>
          <w:rFonts w:asciiTheme="majorHAnsi" w:hAnsiTheme="majorHAnsi"/>
          <w:sz w:val="20"/>
          <w:szCs w:val="20"/>
        </w:rPr>
        <w:footnoteReference w:id="24"/>
      </w:r>
      <w:r w:rsidR="0029518F" w:rsidRPr="00256677">
        <w:rPr>
          <w:rFonts w:asciiTheme="majorHAnsi" w:hAnsiTheme="majorHAnsi"/>
          <w:sz w:val="20"/>
          <w:szCs w:val="20"/>
        </w:rPr>
        <w:t xml:space="preserve"> the Court</w:t>
      </w:r>
      <w:r w:rsidR="00B15287" w:rsidRPr="00256677">
        <w:rPr>
          <w:rFonts w:asciiTheme="majorHAnsi" w:hAnsiTheme="majorHAnsi"/>
          <w:sz w:val="20"/>
          <w:szCs w:val="20"/>
        </w:rPr>
        <w:t xml:space="preserve"> </w:t>
      </w:r>
      <w:r w:rsidR="00B15287" w:rsidRPr="00256677">
        <w:rPr>
          <w:rFonts w:asciiTheme="majorHAnsi" w:eastAsia="Times New Roman" w:hAnsiTheme="majorHAnsi"/>
          <w:sz w:val="20"/>
          <w:szCs w:val="20"/>
        </w:rPr>
        <w:t>recognized that to “establish deliberation element of first degree murder, there must be some evidence that defendant made decision to kill victims prior to murder”</w:t>
      </w:r>
      <w:r w:rsidR="00B15287" w:rsidRPr="00256677">
        <w:rPr>
          <w:rStyle w:val="FootnoteReference"/>
          <w:rFonts w:asciiTheme="majorHAnsi" w:eastAsia="Times New Roman" w:hAnsiTheme="majorHAnsi"/>
          <w:sz w:val="20"/>
          <w:szCs w:val="20"/>
        </w:rPr>
        <w:footnoteReference w:id="25"/>
      </w:r>
      <w:r w:rsidR="00B15287" w:rsidRPr="00256677">
        <w:rPr>
          <w:rFonts w:asciiTheme="majorHAnsi" w:eastAsia="Times New Roman" w:hAnsiTheme="majorHAnsi"/>
          <w:sz w:val="20"/>
          <w:szCs w:val="20"/>
        </w:rPr>
        <w:t xml:space="preserve"> and that Mr. Gray’s “participation in planning and execution of rape and robbery of murder victims was not sufficient to infer deliberation required for first-degree murder; first degree murder statute required deliberation of killing a person not merely deliberation of forcible rape and robbery.”</w:t>
      </w:r>
      <w:r w:rsidR="00B15287" w:rsidRPr="00256677">
        <w:rPr>
          <w:rStyle w:val="FootnoteReference"/>
          <w:rFonts w:asciiTheme="majorHAnsi" w:eastAsia="Times New Roman" w:hAnsiTheme="majorHAnsi"/>
          <w:sz w:val="20"/>
          <w:szCs w:val="20"/>
        </w:rPr>
        <w:footnoteReference w:id="26"/>
      </w:r>
    </w:p>
    <w:p w14:paraId="3E05FAB7" w14:textId="77777777" w:rsidR="00B15287" w:rsidRPr="00256677" w:rsidRDefault="00B15287" w:rsidP="00B1528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0670084A" w14:textId="77777777" w:rsidR="008F6AA1" w:rsidRPr="00256677" w:rsidRDefault="00B15287" w:rsidP="00B152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 xml:space="preserve">The court nonetheless </w:t>
      </w:r>
      <w:r w:rsidRPr="00256677">
        <w:rPr>
          <w:rFonts w:asciiTheme="majorHAnsi" w:hAnsiTheme="majorHAnsi"/>
          <w:sz w:val="20"/>
          <w:szCs w:val="20"/>
        </w:rPr>
        <w:t>affirmed Mr. Gray’s murder conviction and death sentence</w:t>
      </w:r>
      <w:r w:rsidRPr="00256677">
        <w:rPr>
          <w:rFonts w:asciiTheme="majorHAnsi" w:eastAsia="Times New Roman" w:hAnsiTheme="majorHAnsi"/>
          <w:sz w:val="20"/>
          <w:szCs w:val="20"/>
        </w:rPr>
        <w:t xml:space="preserve"> and reasoned that “[e]vidence was sufficient to show defendant knowingly caused or acted with others to cause death of murder victims after deliberation</w:t>
      </w:r>
      <w:r w:rsidR="000620DE" w:rsidRPr="00256677">
        <w:rPr>
          <w:rFonts w:asciiTheme="majorHAnsi" w:eastAsia="Times New Roman" w:hAnsiTheme="majorHAnsi"/>
          <w:sz w:val="20"/>
          <w:szCs w:val="20"/>
        </w:rPr>
        <w:t>.</w:t>
      </w:r>
      <w:r w:rsidRPr="00256677">
        <w:rPr>
          <w:rFonts w:asciiTheme="majorHAnsi" w:eastAsia="Times New Roman" w:hAnsiTheme="majorHAnsi"/>
          <w:sz w:val="20"/>
          <w:szCs w:val="20"/>
        </w:rPr>
        <w:t>”</w:t>
      </w:r>
      <w:r w:rsidRPr="00256677">
        <w:rPr>
          <w:rStyle w:val="FootnoteReference"/>
          <w:rFonts w:asciiTheme="majorHAnsi" w:eastAsia="Times New Roman" w:hAnsiTheme="majorHAnsi"/>
          <w:sz w:val="20"/>
          <w:szCs w:val="20"/>
        </w:rPr>
        <w:footnoteReference w:id="27"/>
      </w:r>
      <w:r w:rsidRPr="00256677">
        <w:rPr>
          <w:rFonts w:asciiTheme="majorHAnsi" w:eastAsia="Times New Roman" w:hAnsiTheme="majorHAnsi"/>
          <w:sz w:val="20"/>
          <w:szCs w:val="20"/>
        </w:rPr>
        <w:t xml:space="preserve"> The court inferred Mr. Gray’s accessory liability for first-degree murder referencing case law which outlined circumstances permitting such inference, </w:t>
      </w:r>
      <w:r w:rsidR="00CF7930" w:rsidRPr="00256677">
        <w:rPr>
          <w:rFonts w:asciiTheme="majorHAnsi" w:eastAsia="Times New Roman" w:hAnsiTheme="majorHAnsi"/>
          <w:sz w:val="20"/>
          <w:szCs w:val="20"/>
        </w:rPr>
        <w:t xml:space="preserve">that being: </w:t>
      </w:r>
      <w:r w:rsidRPr="00256677">
        <w:rPr>
          <w:rFonts w:asciiTheme="majorHAnsi" w:eastAsia="Times New Roman" w:hAnsiTheme="majorHAnsi"/>
          <w:sz w:val="20"/>
          <w:szCs w:val="20"/>
        </w:rPr>
        <w:t>1) where there is a statement or conduct by defendant or statements or conduct by co-defendant prior to murder indi</w:t>
      </w:r>
      <w:r w:rsidR="001D41FC" w:rsidRPr="00256677">
        <w:rPr>
          <w:rFonts w:asciiTheme="majorHAnsi" w:eastAsia="Times New Roman" w:hAnsiTheme="majorHAnsi"/>
          <w:sz w:val="20"/>
          <w:szCs w:val="20"/>
        </w:rPr>
        <w:t>cating purpose to kill a human</w:t>
      </w:r>
      <w:r w:rsidRPr="00256677">
        <w:rPr>
          <w:rFonts w:asciiTheme="majorHAnsi" w:eastAsia="Times New Roman" w:hAnsiTheme="majorHAnsi"/>
          <w:sz w:val="20"/>
          <w:szCs w:val="20"/>
        </w:rPr>
        <w:t>;</w:t>
      </w:r>
      <w:r w:rsidR="001D41FC" w:rsidRPr="00256677">
        <w:rPr>
          <w:rStyle w:val="FootnoteReference"/>
          <w:rFonts w:asciiTheme="majorHAnsi" w:eastAsia="Times New Roman" w:hAnsiTheme="majorHAnsi"/>
          <w:sz w:val="20"/>
          <w:szCs w:val="20"/>
        </w:rPr>
        <w:footnoteReference w:id="28"/>
      </w:r>
      <w:r w:rsidRPr="00256677">
        <w:rPr>
          <w:rFonts w:asciiTheme="majorHAnsi" w:eastAsia="Times New Roman" w:hAnsiTheme="majorHAnsi"/>
          <w:sz w:val="20"/>
          <w:szCs w:val="20"/>
        </w:rPr>
        <w:t xml:space="preserve"> 2) evidence that murder was committed by means of deadly weapon and that accomplice was aware that deadly weapon was to </w:t>
      </w:r>
      <w:r w:rsidR="001D41FC" w:rsidRPr="00256677">
        <w:rPr>
          <w:rFonts w:asciiTheme="majorHAnsi" w:eastAsia="Times New Roman" w:hAnsiTheme="majorHAnsi"/>
          <w:sz w:val="20"/>
          <w:szCs w:val="20"/>
        </w:rPr>
        <w:t>be used in commission of crime</w:t>
      </w:r>
      <w:r w:rsidRPr="00256677">
        <w:rPr>
          <w:rFonts w:asciiTheme="majorHAnsi" w:eastAsia="Times New Roman" w:hAnsiTheme="majorHAnsi"/>
          <w:sz w:val="20"/>
          <w:szCs w:val="20"/>
        </w:rPr>
        <w:t>;</w:t>
      </w:r>
      <w:r w:rsidR="001D41FC" w:rsidRPr="00256677">
        <w:rPr>
          <w:rStyle w:val="FootnoteReference"/>
          <w:rFonts w:asciiTheme="majorHAnsi" w:eastAsia="Times New Roman" w:hAnsiTheme="majorHAnsi"/>
          <w:sz w:val="20"/>
          <w:szCs w:val="20"/>
        </w:rPr>
        <w:footnoteReference w:id="29"/>
      </w:r>
      <w:r w:rsidRPr="00256677">
        <w:rPr>
          <w:rFonts w:asciiTheme="majorHAnsi" w:eastAsia="Times New Roman" w:hAnsiTheme="majorHAnsi"/>
          <w:sz w:val="20"/>
          <w:szCs w:val="20"/>
        </w:rPr>
        <w:t xml:space="preserve"> 3) evidence that </w:t>
      </w:r>
      <w:r w:rsidR="00F05B63"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 xml:space="preserve">accessory either participated in homicide or continued in criminal enterprise when it was apparent </w:t>
      </w:r>
      <w:r w:rsidR="00431C20" w:rsidRPr="00256677">
        <w:rPr>
          <w:rFonts w:asciiTheme="majorHAnsi" w:eastAsia="Times New Roman" w:hAnsiTheme="majorHAnsi"/>
          <w:sz w:val="20"/>
          <w:szCs w:val="20"/>
        </w:rPr>
        <w:t>that victim was to be killed</w:t>
      </w:r>
      <w:r w:rsidRPr="00256677">
        <w:rPr>
          <w:rFonts w:asciiTheme="majorHAnsi" w:eastAsia="Times New Roman" w:hAnsiTheme="majorHAnsi"/>
          <w:sz w:val="20"/>
          <w:szCs w:val="20"/>
        </w:rPr>
        <w:t>.</w:t>
      </w:r>
      <w:r w:rsidR="00431C20" w:rsidRPr="00256677">
        <w:rPr>
          <w:rStyle w:val="FootnoteReference"/>
          <w:rFonts w:asciiTheme="majorHAnsi" w:eastAsia="Times New Roman" w:hAnsiTheme="majorHAnsi"/>
          <w:sz w:val="20"/>
          <w:szCs w:val="20"/>
        </w:rPr>
        <w:footnoteReference w:id="30"/>
      </w:r>
      <w:r w:rsidRPr="00256677">
        <w:rPr>
          <w:rFonts w:asciiTheme="majorHAnsi" w:eastAsia="Times New Roman" w:hAnsiTheme="majorHAnsi"/>
          <w:sz w:val="20"/>
          <w:szCs w:val="20"/>
        </w:rPr>
        <w:t xml:space="preserve"> </w:t>
      </w:r>
    </w:p>
    <w:p w14:paraId="12FAAF24" w14:textId="77777777" w:rsidR="008F6AA1" w:rsidRPr="00256677" w:rsidRDefault="008F6AA1" w:rsidP="00657A39">
      <w:pPr>
        <w:pStyle w:val="ListParagraph"/>
        <w:rPr>
          <w:rFonts w:asciiTheme="majorHAnsi" w:hAnsiTheme="majorHAnsi"/>
          <w:sz w:val="20"/>
          <w:szCs w:val="20"/>
        </w:rPr>
      </w:pPr>
    </w:p>
    <w:p w14:paraId="361DAAA8" w14:textId="77777777" w:rsidR="00766DEB" w:rsidRPr="00256677" w:rsidRDefault="00B15287" w:rsidP="00B152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Further</w:t>
      </w:r>
      <w:r w:rsidR="008F6AA1" w:rsidRPr="00256677">
        <w:rPr>
          <w:rFonts w:asciiTheme="majorHAnsi" w:hAnsiTheme="majorHAnsi"/>
          <w:sz w:val="20"/>
          <w:szCs w:val="20"/>
        </w:rPr>
        <w:t>,</w:t>
      </w:r>
      <w:r w:rsidRPr="00256677">
        <w:rPr>
          <w:rFonts w:asciiTheme="majorHAnsi" w:hAnsiTheme="majorHAnsi"/>
          <w:sz w:val="20"/>
          <w:szCs w:val="20"/>
        </w:rPr>
        <w:t xml:space="preserve"> the court reasoned that the death penalty </w:t>
      </w:r>
      <w:r w:rsidRPr="00256677">
        <w:rPr>
          <w:rFonts w:asciiTheme="majorHAnsi" w:eastAsia="Times New Roman" w:hAnsiTheme="majorHAnsi"/>
          <w:sz w:val="20"/>
          <w:szCs w:val="20"/>
        </w:rPr>
        <w:t>was not disproportionate to murders committed in furtherance of brutal rape and robbery.</w:t>
      </w:r>
      <w:r w:rsidRPr="00256677">
        <w:rPr>
          <w:rFonts w:asciiTheme="majorHAnsi" w:hAnsiTheme="majorHAnsi"/>
          <w:sz w:val="20"/>
          <w:szCs w:val="20"/>
        </w:rPr>
        <w:t xml:space="preserve"> In this regard</w:t>
      </w:r>
      <w:r w:rsidR="00227BDB" w:rsidRPr="00256677">
        <w:rPr>
          <w:rFonts w:asciiTheme="majorHAnsi" w:hAnsiTheme="majorHAnsi"/>
          <w:sz w:val="20"/>
          <w:szCs w:val="20"/>
        </w:rPr>
        <w:t>,</w:t>
      </w:r>
      <w:r w:rsidRPr="00256677">
        <w:rPr>
          <w:rFonts w:asciiTheme="majorHAnsi" w:hAnsiTheme="majorHAnsi"/>
          <w:sz w:val="20"/>
          <w:szCs w:val="20"/>
        </w:rPr>
        <w:t xml:space="preserve"> the Court </w:t>
      </w:r>
      <w:r w:rsidRPr="00256677">
        <w:rPr>
          <w:rFonts w:asciiTheme="majorHAnsi" w:eastAsia="Times New Roman" w:hAnsiTheme="majorHAnsi"/>
          <w:sz w:val="20"/>
          <w:szCs w:val="20"/>
        </w:rPr>
        <w:t>considered that</w:t>
      </w:r>
      <w:r w:rsidR="004F21CF" w:rsidRPr="00256677">
        <w:rPr>
          <w:rFonts w:asciiTheme="majorHAnsi" w:eastAsia="Times New Roman" w:hAnsiTheme="majorHAnsi"/>
          <w:sz w:val="20"/>
          <w:szCs w:val="20"/>
        </w:rPr>
        <w:t>:</w:t>
      </w:r>
      <w:r w:rsidRPr="00256677">
        <w:rPr>
          <w:rFonts w:asciiTheme="majorHAnsi" w:eastAsia="Times New Roman" w:hAnsiTheme="majorHAnsi"/>
          <w:sz w:val="20"/>
          <w:szCs w:val="20"/>
        </w:rPr>
        <w:t xml:space="preserve"> the defendant made threats to kill, </w:t>
      </w:r>
      <w:r w:rsidR="00227BDB" w:rsidRPr="00256677">
        <w:rPr>
          <w:rFonts w:asciiTheme="majorHAnsi" w:eastAsia="Times New Roman" w:hAnsiTheme="majorHAnsi"/>
          <w:sz w:val="20"/>
          <w:szCs w:val="20"/>
        </w:rPr>
        <w:t xml:space="preserve">an </w:t>
      </w:r>
      <w:r w:rsidRPr="00256677">
        <w:rPr>
          <w:rFonts w:asciiTheme="majorHAnsi" w:eastAsia="Times New Roman" w:hAnsiTheme="majorHAnsi"/>
          <w:sz w:val="20"/>
          <w:szCs w:val="20"/>
        </w:rPr>
        <w:t xml:space="preserve">example </w:t>
      </w:r>
      <w:r w:rsidR="004F21CF" w:rsidRPr="00256677">
        <w:rPr>
          <w:rFonts w:asciiTheme="majorHAnsi" w:eastAsia="Times New Roman" w:hAnsiTheme="majorHAnsi"/>
          <w:sz w:val="20"/>
          <w:szCs w:val="20"/>
        </w:rPr>
        <w:t>referenced</w:t>
      </w:r>
      <w:r w:rsidR="00227BDB" w:rsidRPr="00256677">
        <w:rPr>
          <w:rFonts w:asciiTheme="majorHAnsi" w:eastAsia="Times New Roman" w:hAnsiTheme="majorHAnsi"/>
          <w:sz w:val="20"/>
          <w:szCs w:val="20"/>
        </w:rPr>
        <w:t xml:space="preserve"> was the threat to </w:t>
      </w:r>
      <w:r w:rsidRPr="00256677">
        <w:rPr>
          <w:rFonts w:asciiTheme="majorHAnsi" w:eastAsia="Times New Roman" w:hAnsiTheme="majorHAnsi"/>
          <w:sz w:val="20"/>
          <w:szCs w:val="20"/>
        </w:rPr>
        <w:t xml:space="preserve">shoot </w:t>
      </w:r>
      <w:r w:rsidR="00227BDB"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 xml:space="preserve">robbery victim; </w:t>
      </w:r>
      <w:r w:rsidR="00227BDB" w:rsidRPr="00256677">
        <w:rPr>
          <w:rFonts w:asciiTheme="majorHAnsi" w:eastAsia="Times New Roman" w:hAnsiTheme="majorHAnsi"/>
          <w:sz w:val="20"/>
          <w:szCs w:val="20"/>
        </w:rPr>
        <w:t xml:space="preserve">after making threats to kill the victims, </w:t>
      </w:r>
      <w:r w:rsidRPr="00256677">
        <w:rPr>
          <w:rFonts w:asciiTheme="majorHAnsi" w:eastAsia="Times New Roman" w:hAnsiTheme="majorHAnsi"/>
          <w:sz w:val="20"/>
          <w:szCs w:val="20"/>
        </w:rPr>
        <w:t xml:space="preserve">the defendant continued in </w:t>
      </w:r>
      <w:r w:rsidR="00227BDB"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 xml:space="preserve">criminal enterprise by holding </w:t>
      </w:r>
      <w:r w:rsidR="00227BDB"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 xml:space="preserve">robbery victim at bay while rapes of other two victims were committed; the defendant participated in </w:t>
      </w:r>
      <w:r w:rsidR="00227BDB" w:rsidRPr="00256677">
        <w:rPr>
          <w:rFonts w:asciiTheme="majorHAnsi" w:eastAsia="Times New Roman" w:hAnsiTheme="majorHAnsi"/>
          <w:sz w:val="20"/>
          <w:szCs w:val="20"/>
        </w:rPr>
        <w:t xml:space="preserve">a </w:t>
      </w:r>
      <w:r w:rsidRPr="00256677">
        <w:rPr>
          <w:rFonts w:asciiTheme="majorHAnsi" w:eastAsia="Times New Roman" w:hAnsiTheme="majorHAnsi"/>
          <w:sz w:val="20"/>
          <w:szCs w:val="20"/>
        </w:rPr>
        <w:t xml:space="preserve">discussion about whether </w:t>
      </w:r>
      <w:r w:rsidR="00227BDB"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 xml:space="preserve">robbery victim </w:t>
      </w:r>
      <w:r w:rsidRPr="00256677">
        <w:rPr>
          <w:rFonts w:asciiTheme="majorHAnsi" w:eastAsia="Times New Roman" w:hAnsiTheme="majorHAnsi"/>
          <w:sz w:val="20"/>
          <w:szCs w:val="20"/>
        </w:rPr>
        <w:lastRenderedPageBreak/>
        <w:t>should be killed; further</w:t>
      </w:r>
      <w:r w:rsidR="00227BDB" w:rsidRPr="00256677">
        <w:rPr>
          <w:rFonts w:asciiTheme="majorHAnsi" w:eastAsia="Times New Roman" w:hAnsiTheme="majorHAnsi"/>
          <w:sz w:val="20"/>
          <w:szCs w:val="20"/>
        </w:rPr>
        <w:t>,</w:t>
      </w:r>
      <w:r w:rsidRPr="00256677">
        <w:rPr>
          <w:rFonts w:asciiTheme="majorHAnsi" w:eastAsia="Times New Roman" w:hAnsiTheme="majorHAnsi"/>
          <w:sz w:val="20"/>
          <w:szCs w:val="20"/>
        </w:rPr>
        <w:t xml:space="preserve"> that </w:t>
      </w:r>
      <w:r w:rsidR="00227BDB"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 xml:space="preserve">defendant stated he felt like hurting someone, acted as a leader and enforcer in </w:t>
      </w:r>
      <w:r w:rsidR="00227BDB" w:rsidRPr="00256677">
        <w:rPr>
          <w:rFonts w:asciiTheme="majorHAnsi" w:eastAsia="Times New Roman" w:hAnsiTheme="majorHAnsi"/>
          <w:sz w:val="20"/>
          <w:szCs w:val="20"/>
        </w:rPr>
        <w:t xml:space="preserve">the </w:t>
      </w:r>
      <w:r w:rsidRPr="00256677">
        <w:rPr>
          <w:rFonts w:asciiTheme="majorHAnsi" w:eastAsia="Times New Roman" w:hAnsiTheme="majorHAnsi"/>
          <w:sz w:val="20"/>
          <w:szCs w:val="20"/>
        </w:rPr>
        <w:t>group which perpetrated offenses</w:t>
      </w:r>
      <w:r w:rsidR="00227BDB" w:rsidRPr="00256677">
        <w:rPr>
          <w:rFonts w:asciiTheme="majorHAnsi" w:eastAsia="Times New Roman" w:hAnsiTheme="majorHAnsi"/>
          <w:sz w:val="20"/>
          <w:szCs w:val="20"/>
        </w:rPr>
        <w:t>;</w:t>
      </w:r>
      <w:r w:rsidRPr="00256677">
        <w:rPr>
          <w:rFonts w:asciiTheme="majorHAnsi" w:eastAsia="Times New Roman" w:hAnsiTheme="majorHAnsi"/>
          <w:sz w:val="20"/>
          <w:szCs w:val="20"/>
        </w:rPr>
        <w:t xml:space="preserve"> and stated his belief before leaving scene.</w:t>
      </w:r>
      <w:r w:rsidR="00766DEB" w:rsidRPr="00256677">
        <w:rPr>
          <w:rStyle w:val="FootnoteReference"/>
          <w:rFonts w:asciiTheme="majorHAnsi" w:eastAsia="Times New Roman" w:hAnsiTheme="majorHAnsi"/>
          <w:sz w:val="20"/>
          <w:szCs w:val="20"/>
        </w:rPr>
        <w:footnoteReference w:id="31"/>
      </w:r>
      <w:r w:rsidR="003E70EF" w:rsidRPr="00256677">
        <w:rPr>
          <w:rFonts w:asciiTheme="majorHAnsi" w:eastAsia="Times New Roman" w:hAnsiTheme="majorHAnsi"/>
          <w:sz w:val="20"/>
          <w:szCs w:val="20"/>
        </w:rPr>
        <w:t xml:space="preserve"> </w:t>
      </w:r>
    </w:p>
    <w:p w14:paraId="2B28B9D0" w14:textId="77777777" w:rsidR="00766DEB" w:rsidRPr="00256677" w:rsidRDefault="00766DEB" w:rsidP="00766DEB">
      <w:pPr>
        <w:pStyle w:val="ListParagraph"/>
        <w:rPr>
          <w:rFonts w:asciiTheme="majorHAnsi" w:eastAsia="Times New Roman" w:hAnsiTheme="majorHAnsi"/>
          <w:sz w:val="20"/>
          <w:szCs w:val="20"/>
        </w:rPr>
      </w:pPr>
    </w:p>
    <w:p w14:paraId="546D1EAD" w14:textId="77777777" w:rsidR="00B15287" w:rsidRPr="00256677" w:rsidRDefault="003E70EF" w:rsidP="00B152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The court also cited a number of cases in which the death penalty was assessed where the murder was committed to avoid arrest or detection</w:t>
      </w:r>
      <w:r w:rsidR="00DA1D1A" w:rsidRPr="00256677">
        <w:rPr>
          <w:rFonts w:asciiTheme="majorHAnsi" w:eastAsia="Times New Roman" w:hAnsiTheme="majorHAnsi"/>
          <w:sz w:val="20"/>
          <w:szCs w:val="20"/>
        </w:rPr>
        <w:t xml:space="preserve"> and indicated that the motive of Mr. Gray and his cohorts was to escape capture and identification</w:t>
      </w:r>
      <w:r w:rsidR="00766DEB" w:rsidRPr="00256677">
        <w:rPr>
          <w:rFonts w:asciiTheme="majorHAnsi" w:eastAsia="Times New Roman" w:hAnsiTheme="majorHAnsi"/>
          <w:sz w:val="20"/>
          <w:szCs w:val="20"/>
        </w:rPr>
        <w:t>. It also</w:t>
      </w:r>
      <w:r w:rsidR="00DA1D1A" w:rsidRPr="00256677">
        <w:rPr>
          <w:rFonts w:asciiTheme="majorHAnsi" w:eastAsia="Times New Roman" w:hAnsiTheme="majorHAnsi"/>
          <w:sz w:val="20"/>
          <w:szCs w:val="20"/>
        </w:rPr>
        <w:t xml:space="preserve"> pointed to the fact of multiple homicides or multiple attempts at homicide as being consistent with facts in cases where the death penalty has been imposed. Finally, the court reasoned that the evidence of the defendant’s absence at the time of the actual killing was not dispositive of the question of proportionality. In this regard, the court </w:t>
      </w:r>
      <w:r w:rsidR="00433039" w:rsidRPr="00256677">
        <w:rPr>
          <w:rFonts w:asciiTheme="majorHAnsi" w:eastAsia="Times New Roman" w:hAnsiTheme="majorHAnsi"/>
          <w:sz w:val="20"/>
          <w:szCs w:val="20"/>
        </w:rPr>
        <w:t>established</w:t>
      </w:r>
      <w:r w:rsidR="00DA1D1A" w:rsidRPr="00256677">
        <w:rPr>
          <w:rFonts w:asciiTheme="majorHAnsi" w:eastAsia="Times New Roman" w:hAnsiTheme="majorHAnsi"/>
          <w:sz w:val="20"/>
          <w:szCs w:val="20"/>
        </w:rPr>
        <w:t xml:space="preserve"> that the death penalty has been sustained where there was no evidence that the defendant was present at the time of the actual murder.</w:t>
      </w:r>
      <w:r w:rsidR="00DA1D1A" w:rsidRPr="00256677">
        <w:rPr>
          <w:rStyle w:val="FootnoteReference"/>
          <w:rFonts w:asciiTheme="majorHAnsi" w:eastAsia="Times New Roman" w:hAnsiTheme="majorHAnsi"/>
          <w:sz w:val="20"/>
          <w:szCs w:val="20"/>
        </w:rPr>
        <w:footnoteReference w:id="32"/>
      </w:r>
      <w:r w:rsidR="00766DEB" w:rsidRPr="00256677">
        <w:rPr>
          <w:rFonts w:asciiTheme="majorHAnsi" w:eastAsia="Times New Roman" w:hAnsiTheme="majorHAnsi"/>
          <w:sz w:val="20"/>
          <w:szCs w:val="20"/>
        </w:rPr>
        <w:t xml:space="preserve"> </w:t>
      </w:r>
      <w:r w:rsidRPr="00256677">
        <w:rPr>
          <w:rFonts w:asciiTheme="majorHAnsi" w:eastAsia="Times New Roman" w:hAnsiTheme="majorHAnsi"/>
          <w:sz w:val="20"/>
          <w:szCs w:val="20"/>
        </w:rPr>
        <w:t xml:space="preserve">  </w:t>
      </w:r>
    </w:p>
    <w:p w14:paraId="793EC2F0" w14:textId="77777777" w:rsidR="003265BE" w:rsidRPr="00256677" w:rsidRDefault="003265BE" w:rsidP="00366FA7">
      <w:pPr>
        <w:pStyle w:val="ListParagraph"/>
        <w:rPr>
          <w:rFonts w:asciiTheme="majorHAnsi" w:hAnsiTheme="majorHAnsi"/>
          <w:sz w:val="20"/>
          <w:szCs w:val="20"/>
        </w:rPr>
      </w:pPr>
    </w:p>
    <w:p w14:paraId="77C96732" w14:textId="77777777" w:rsidR="003265BE" w:rsidRPr="00256677" w:rsidRDefault="003265BE" w:rsidP="008663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On March 27</w:t>
      </w:r>
      <w:r w:rsidR="00DB7493" w:rsidRPr="00256677">
        <w:rPr>
          <w:rFonts w:asciiTheme="majorHAnsi" w:hAnsiTheme="majorHAnsi"/>
          <w:sz w:val="20"/>
          <w:szCs w:val="20"/>
        </w:rPr>
        <w:t>,</w:t>
      </w:r>
      <w:r w:rsidRPr="00256677">
        <w:rPr>
          <w:rFonts w:asciiTheme="majorHAnsi" w:hAnsiTheme="majorHAnsi"/>
          <w:sz w:val="20"/>
          <w:szCs w:val="20"/>
        </w:rPr>
        <w:t xml:space="preserve"> 1995, the United States Supreme Court denied certiorari review</w:t>
      </w:r>
      <w:r w:rsidR="00DB7493" w:rsidRPr="00256677">
        <w:rPr>
          <w:rFonts w:asciiTheme="majorHAnsi" w:hAnsiTheme="majorHAnsi"/>
          <w:sz w:val="20"/>
          <w:szCs w:val="20"/>
        </w:rPr>
        <w:t>.</w:t>
      </w:r>
      <w:r w:rsidR="005E435E" w:rsidRPr="00256677">
        <w:rPr>
          <w:rStyle w:val="FootnoteReference"/>
          <w:rFonts w:asciiTheme="majorHAnsi" w:hAnsiTheme="majorHAnsi"/>
          <w:sz w:val="20"/>
          <w:szCs w:val="20"/>
        </w:rPr>
        <w:footnoteReference w:id="33"/>
      </w:r>
      <w:r w:rsidRPr="00256677">
        <w:rPr>
          <w:rFonts w:asciiTheme="majorHAnsi" w:hAnsiTheme="majorHAnsi"/>
          <w:sz w:val="20"/>
          <w:szCs w:val="20"/>
        </w:rPr>
        <w:t xml:space="preserve"> </w:t>
      </w:r>
    </w:p>
    <w:p w14:paraId="0488ECAB" w14:textId="77777777" w:rsidR="00866353" w:rsidRPr="00256677" w:rsidRDefault="00866353" w:rsidP="00DB7493">
      <w:pPr>
        <w:tabs>
          <w:tab w:val="left" w:pos="360"/>
        </w:tabs>
        <w:rPr>
          <w:rFonts w:asciiTheme="majorHAnsi" w:hAnsiTheme="majorHAnsi"/>
          <w:sz w:val="20"/>
          <w:szCs w:val="20"/>
        </w:rPr>
      </w:pPr>
    </w:p>
    <w:p w14:paraId="13EC0735" w14:textId="77777777" w:rsidR="007072EE" w:rsidRPr="00256677" w:rsidRDefault="007072EE" w:rsidP="006E07EB">
      <w:pPr>
        <w:pStyle w:val="Heading2"/>
        <w:numPr>
          <w:ilvl w:val="0"/>
          <w:numId w:val="73"/>
        </w:numPr>
        <w:spacing w:before="0"/>
        <w:ind w:left="360"/>
        <w:jc w:val="both"/>
        <w:rPr>
          <w:color w:val="auto"/>
          <w:sz w:val="20"/>
          <w:szCs w:val="20"/>
        </w:rPr>
      </w:pPr>
      <w:bookmarkStart w:id="8" w:name="_Toc90284140"/>
      <w:r w:rsidRPr="00256677">
        <w:rPr>
          <w:color w:val="auto"/>
          <w:sz w:val="20"/>
          <w:szCs w:val="20"/>
        </w:rPr>
        <w:t>Post-conviction proceedings</w:t>
      </w:r>
      <w:bookmarkEnd w:id="8"/>
    </w:p>
    <w:p w14:paraId="60DD40BD" w14:textId="77777777" w:rsidR="007072EE" w:rsidRPr="00256677" w:rsidRDefault="007072EE" w:rsidP="00657A39">
      <w:pPr>
        <w:tabs>
          <w:tab w:val="left" w:pos="360"/>
        </w:tabs>
        <w:rPr>
          <w:rFonts w:asciiTheme="majorHAnsi" w:hAnsiTheme="majorHAnsi"/>
          <w:sz w:val="20"/>
          <w:szCs w:val="20"/>
        </w:rPr>
      </w:pPr>
    </w:p>
    <w:p w14:paraId="23096D40" w14:textId="77777777" w:rsidR="00FD1E1C" w:rsidRPr="00256677" w:rsidRDefault="00BD2443" w:rsidP="009922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Mr. Gray filed a petition for a writ of habeas corpus relief in the District Court </w:t>
      </w:r>
      <w:r w:rsidR="0099229D" w:rsidRPr="00256677">
        <w:rPr>
          <w:rFonts w:asciiTheme="majorHAnsi" w:hAnsiTheme="majorHAnsi"/>
          <w:sz w:val="20"/>
          <w:szCs w:val="20"/>
        </w:rPr>
        <w:t xml:space="preserve">of Missouri, which was denied in </w:t>
      </w:r>
      <w:r w:rsidR="00A16474" w:rsidRPr="00256677">
        <w:rPr>
          <w:rFonts w:asciiTheme="majorHAnsi" w:hAnsiTheme="majorHAnsi"/>
          <w:sz w:val="20"/>
          <w:szCs w:val="20"/>
        </w:rPr>
        <w:t>an unpublished order on July 14, 2000.</w:t>
      </w:r>
      <w:r w:rsidR="00A16474" w:rsidRPr="00256677">
        <w:rPr>
          <w:rStyle w:val="FootnoteReference"/>
          <w:rFonts w:asciiTheme="majorHAnsi" w:hAnsiTheme="majorHAnsi"/>
          <w:sz w:val="20"/>
          <w:szCs w:val="20"/>
        </w:rPr>
        <w:footnoteReference w:id="34"/>
      </w:r>
      <w:r w:rsidRPr="00256677">
        <w:rPr>
          <w:rFonts w:asciiTheme="majorHAnsi" w:hAnsiTheme="majorHAnsi"/>
          <w:sz w:val="20"/>
          <w:szCs w:val="20"/>
        </w:rPr>
        <w:t xml:space="preserve"> </w:t>
      </w:r>
      <w:r w:rsidR="00866353" w:rsidRPr="00256677">
        <w:rPr>
          <w:rFonts w:asciiTheme="majorHAnsi" w:hAnsiTheme="majorHAnsi"/>
          <w:sz w:val="20"/>
          <w:szCs w:val="20"/>
        </w:rPr>
        <w:t>The United States Court of Appeal upon review of the denial of Mr. Gray’s habeas corpus petition</w:t>
      </w:r>
      <w:r w:rsidR="007072EE" w:rsidRPr="00256677">
        <w:rPr>
          <w:rFonts w:asciiTheme="majorHAnsi" w:hAnsiTheme="majorHAnsi"/>
          <w:sz w:val="20"/>
          <w:szCs w:val="20"/>
        </w:rPr>
        <w:t xml:space="preserve"> </w:t>
      </w:r>
      <w:r w:rsidR="00FD1E1C" w:rsidRPr="00256677">
        <w:rPr>
          <w:rFonts w:asciiTheme="majorHAnsi" w:hAnsiTheme="majorHAnsi"/>
          <w:sz w:val="20"/>
          <w:szCs w:val="20"/>
        </w:rPr>
        <w:t>affirmed the judgment of the District Court</w:t>
      </w:r>
      <w:r w:rsidR="007072EE" w:rsidRPr="00256677">
        <w:rPr>
          <w:rFonts w:asciiTheme="majorHAnsi" w:hAnsiTheme="majorHAnsi"/>
          <w:sz w:val="20"/>
          <w:szCs w:val="20"/>
        </w:rPr>
        <w:t>.</w:t>
      </w:r>
      <w:r w:rsidR="00FD1E1C" w:rsidRPr="00256677">
        <w:rPr>
          <w:rStyle w:val="FootnoteReference"/>
          <w:rFonts w:asciiTheme="majorHAnsi" w:hAnsiTheme="majorHAnsi"/>
          <w:sz w:val="20"/>
          <w:szCs w:val="20"/>
        </w:rPr>
        <w:footnoteReference w:id="35"/>
      </w:r>
      <w:r w:rsidR="00866353" w:rsidRPr="00256677">
        <w:rPr>
          <w:rFonts w:asciiTheme="majorHAnsi" w:hAnsiTheme="majorHAnsi"/>
          <w:sz w:val="20"/>
          <w:szCs w:val="20"/>
        </w:rPr>
        <w:t xml:space="preserve"> </w:t>
      </w:r>
      <w:r w:rsidR="00291D28" w:rsidRPr="00256677">
        <w:rPr>
          <w:rFonts w:asciiTheme="majorHAnsi" w:hAnsiTheme="majorHAnsi"/>
          <w:sz w:val="20"/>
          <w:szCs w:val="20"/>
        </w:rPr>
        <w:t xml:space="preserve">The court, however, </w:t>
      </w:r>
      <w:r w:rsidR="00866353" w:rsidRPr="00256677">
        <w:rPr>
          <w:rFonts w:asciiTheme="majorHAnsi" w:hAnsiTheme="majorHAnsi"/>
          <w:sz w:val="20"/>
          <w:szCs w:val="20"/>
        </w:rPr>
        <w:t>recognized that the “[p]etitioner did not kill Julie and Robin Kerry himself. Instead, according to the state and the verdict of the jury, he participated in a major way with three other men</w:t>
      </w:r>
      <w:r w:rsidR="0099229D" w:rsidRPr="00256677">
        <w:rPr>
          <w:rFonts w:asciiTheme="majorHAnsi" w:hAnsiTheme="majorHAnsi"/>
          <w:sz w:val="20"/>
          <w:szCs w:val="20"/>
        </w:rPr>
        <w:t xml:space="preserve"> [</w:t>
      </w:r>
      <w:r w:rsidR="00866353" w:rsidRPr="00256677">
        <w:rPr>
          <w:rFonts w:asciiTheme="majorHAnsi" w:hAnsiTheme="majorHAnsi"/>
          <w:sz w:val="20"/>
          <w:szCs w:val="20"/>
        </w:rPr>
        <w:t>…</w:t>
      </w:r>
      <w:r w:rsidR="0099229D" w:rsidRPr="00256677">
        <w:rPr>
          <w:rFonts w:asciiTheme="majorHAnsi" w:hAnsiTheme="majorHAnsi"/>
          <w:sz w:val="20"/>
          <w:szCs w:val="20"/>
        </w:rPr>
        <w:t>]</w:t>
      </w:r>
      <w:r w:rsidR="00866353" w:rsidRPr="00256677">
        <w:rPr>
          <w:rFonts w:asciiTheme="majorHAnsi" w:hAnsiTheme="majorHAnsi"/>
          <w:sz w:val="20"/>
          <w:szCs w:val="20"/>
        </w:rPr>
        <w:t xml:space="preserve"> in robbing the two victims and their cousin, and in raping the two victims.”</w:t>
      </w:r>
      <w:r w:rsidR="00866353" w:rsidRPr="00256677">
        <w:rPr>
          <w:rStyle w:val="FootnoteReference"/>
          <w:rFonts w:asciiTheme="majorHAnsi" w:hAnsiTheme="majorHAnsi"/>
          <w:sz w:val="20"/>
          <w:szCs w:val="20"/>
        </w:rPr>
        <w:footnoteReference w:id="36"/>
      </w:r>
      <w:r w:rsidR="00866353" w:rsidRPr="00256677">
        <w:rPr>
          <w:rFonts w:asciiTheme="majorHAnsi" w:hAnsiTheme="majorHAnsi"/>
          <w:sz w:val="20"/>
          <w:szCs w:val="20"/>
        </w:rPr>
        <w:t xml:space="preserve"> </w:t>
      </w:r>
    </w:p>
    <w:p w14:paraId="3BB0FAE1" w14:textId="77777777" w:rsidR="00FD1E1C" w:rsidRPr="00256677" w:rsidRDefault="00FD1E1C" w:rsidP="00366F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0F956049" w14:textId="77777777" w:rsidR="00866353" w:rsidRPr="00256677" w:rsidRDefault="00FD1E1C" w:rsidP="008663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On January 13, 2003, the Supreme Court declined discretionary review</w:t>
      </w:r>
      <w:r w:rsidRPr="00256677">
        <w:rPr>
          <w:rStyle w:val="FootnoteReference"/>
          <w:rFonts w:asciiTheme="majorHAnsi" w:hAnsiTheme="majorHAnsi"/>
          <w:sz w:val="20"/>
          <w:szCs w:val="20"/>
        </w:rPr>
        <w:footnoteReference w:id="37"/>
      </w:r>
      <w:r w:rsidRPr="00256677">
        <w:rPr>
          <w:rFonts w:asciiTheme="majorHAnsi" w:hAnsiTheme="majorHAnsi"/>
          <w:sz w:val="20"/>
          <w:szCs w:val="20"/>
        </w:rPr>
        <w:t xml:space="preserve"> and the State requested the Missouri Supreme Court to set an execution date, whi</w:t>
      </w:r>
      <w:r w:rsidR="00FE1FFB" w:rsidRPr="00256677">
        <w:rPr>
          <w:rFonts w:asciiTheme="majorHAnsi" w:hAnsiTheme="majorHAnsi"/>
          <w:sz w:val="20"/>
          <w:szCs w:val="20"/>
        </w:rPr>
        <w:t>ch was scheduled for October 26,</w:t>
      </w:r>
      <w:r w:rsidRPr="00256677">
        <w:rPr>
          <w:rFonts w:asciiTheme="majorHAnsi" w:hAnsiTheme="majorHAnsi"/>
          <w:sz w:val="20"/>
          <w:szCs w:val="20"/>
        </w:rPr>
        <w:t xml:space="preserve"> 2005.</w:t>
      </w:r>
      <w:r w:rsidRPr="00256677">
        <w:rPr>
          <w:rStyle w:val="FootnoteReference"/>
          <w:rFonts w:asciiTheme="majorHAnsi" w:hAnsiTheme="majorHAnsi"/>
          <w:sz w:val="20"/>
          <w:szCs w:val="20"/>
        </w:rPr>
        <w:footnoteReference w:id="38"/>
      </w:r>
    </w:p>
    <w:p w14:paraId="709B7C20" w14:textId="77777777" w:rsidR="007072EE" w:rsidRPr="00256677" w:rsidRDefault="007072EE" w:rsidP="00657A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17F5CCE4" w14:textId="77777777" w:rsidR="0099229D" w:rsidRPr="00256677" w:rsidRDefault="007072EE" w:rsidP="009252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Mr. Gray was executed on October 26, 2005, at 12:07 am</w:t>
      </w:r>
      <w:r w:rsidR="00FD1E1C" w:rsidRPr="00256677">
        <w:rPr>
          <w:rFonts w:asciiTheme="majorHAnsi" w:hAnsiTheme="majorHAnsi"/>
          <w:sz w:val="20"/>
          <w:szCs w:val="20"/>
        </w:rPr>
        <w:t xml:space="preserve"> by lethal injection</w:t>
      </w:r>
      <w:r w:rsidRPr="00256677">
        <w:rPr>
          <w:rFonts w:asciiTheme="majorHAnsi" w:hAnsiTheme="majorHAnsi"/>
          <w:sz w:val="20"/>
          <w:szCs w:val="20"/>
        </w:rPr>
        <w:t>.</w:t>
      </w:r>
    </w:p>
    <w:p w14:paraId="4BC204A5" w14:textId="77777777" w:rsidR="00F44529" w:rsidRPr="00256677" w:rsidRDefault="00F44529" w:rsidP="00F44529">
      <w:pPr>
        <w:pStyle w:val="ListParagraph"/>
        <w:rPr>
          <w:rFonts w:asciiTheme="majorHAnsi" w:hAnsiTheme="majorHAnsi"/>
          <w:sz w:val="20"/>
          <w:szCs w:val="20"/>
        </w:rPr>
      </w:pPr>
    </w:p>
    <w:p w14:paraId="6D390229" w14:textId="77777777" w:rsidR="00314429" w:rsidRPr="00256677" w:rsidRDefault="00314429" w:rsidP="009252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With regard to the other three persons involved in the crime, Winfrey pleaded guilty to two counts of second degree murder and agreed to testify against the other three in exchange for a recommended </w:t>
      </w:r>
      <w:r w:rsidR="00042FA0" w:rsidRPr="00256677">
        <w:rPr>
          <w:rFonts w:asciiTheme="majorHAnsi" w:hAnsiTheme="majorHAnsi"/>
          <w:sz w:val="20"/>
          <w:szCs w:val="20"/>
        </w:rPr>
        <w:t>30</w:t>
      </w:r>
      <w:r w:rsidRPr="00256677">
        <w:rPr>
          <w:rFonts w:asciiTheme="majorHAnsi" w:hAnsiTheme="majorHAnsi"/>
          <w:sz w:val="20"/>
          <w:szCs w:val="20"/>
        </w:rPr>
        <w:t>-year sentence. He received the 30-year sentence in exchange for his cooperation and was paroled in 2007. The other two were tried separately.</w:t>
      </w:r>
      <w:r w:rsidRPr="00256677">
        <w:rPr>
          <w:rStyle w:val="FootnoteReference"/>
          <w:rFonts w:asciiTheme="majorHAnsi" w:hAnsiTheme="majorHAnsi"/>
          <w:sz w:val="20"/>
          <w:szCs w:val="20"/>
        </w:rPr>
        <w:footnoteReference w:id="39"/>
      </w:r>
    </w:p>
    <w:p w14:paraId="3F14BF07" w14:textId="77777777" w:rsidR="00314429" w:rsidRPr="00256677" w:rsidRDefault="00314429" w:rsidP="00314429">
      <w:pPr>
        <w:pStyle w:val="ListParagraph"/>
        <w:rPr>
          <w:rFonts w:asciiTheme="majorHAnsi" w:hAnsiTheme="majorHAnsi"/>
          <w:sz w:val="20"/>
          <w:szCs w:val="20"/>
        </w:rPr>
      </w:pPr>
    </w:p>
    <w:p w14:paraId="19F14B2F" w14:textId="77777777" w:rsidR="00F44529" w:rsidRPr="00256677" w:rsidRDefault="00F44529" w:rsidP="009252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Richardson was convicted of </w:t>
      </w:r>
      <w:r w:rsidR="00CC0D1F" w:rsidRPr="00256677">
        <w:rPr>
          <w:rFonts w:asciiTheme="majorHAnsi" w:hAnsiTheme="majorHAnsi"/>
          <w:sz w:val="20"/>
          <w:szCs w:val="20"/>
        </w:rPr>
        <w:t>o</w:t>
      </w:r>
      <w:r w:rsidRPr="00256677">
        <w:rPr>
          <w:rFonts w:asciiTheme="majorHAnsi" w:hAnsiTheme="majorHAnsi"/>
          <w:sz w:val="20"/>
          <w:szCs w:val="20"/>
        </w:rPr>
        <w:t>ne count of first-degree murder and one count of second-degree murder</w:t>
      </w:r>
      <w:r w:rsidR="00CC0D1F" w:rsidRPr="00256677">
        <w:rPr>
          <w:rFonts w:asciiTheme="majorHAnsi" w:hAnsiTheme="majorHAnsi"/>
          <w:sz w:val="20"/>
          <w:szCs w:val="20"/>
        </w:rPr>
        <w:t xml:space="preserve"> but in the penalty phase the jury could not agree on the sentence</w:t>
      </w:r>
      <w:r w:rsidRPr="00256677">
        <w:rPr>
          <w:rFonts w:asciiTheme="majorHAnsi" w:hAnsiTheme="majorHAnsi"/>
          <w:sz w:val="20"/>
          <w:szCs w:val="20"/>
        </w:rPr>
        <w:t>.</w:t>
      </w:r>
      <w:r w:rsidR="00CC0D1F" w:rsidRPr="00256677">
        <w:rPr>
          <w:rFonts w:asciiTheme="majorHAnsi" w:hAnsiTheme="majorHAnsi"/>
          <w:sz w:val="20"/>
          <w:szCs w:val="20"/>
        </w:rPr>
        <w:t xml:space="preserve"> Under Missouri law the judge then became the sentence</w:t>
      </w:r>
      <w:r w:rsidR="00314429" w:rsidRPr="00256677">
        <w:rPr>
          <w:rFonts w:asciiTheme="majorHAnsi" w:hAnsiTheme="majorHAnsi"/>
          <w:sz w:val="20"/>
          <w:szCs w:val="20"/>
        </w:rPr>
        <w:t>r</w:t>
      </w:r>
      <w:r w:rsidR="00CC0D1F" w:rsidRPr="00256677">
        <w:rPr>
          <w:rFonts w:asciiTheme="majorHAnsi" w:hAnsiTheme="majorHAnsi"/>
          <w:sz w:val="20"/>
          <w:szCs w:val="20"/>
        </w:rPr>
        <w:t>, and sentenced him to death.</w:t>
      </w:r>
      <w:r w:rsidR="00CC0D1F" w:rsidRPr="00256677">
        <w:rPr>
          <w:rStyle w:val="FootnoteReference"/>
          <w:rFonts w:asciiTheme="majorHAnsi" w:hAnsiTheme="majorHAnsi"/>
          <w:sz w:val="20"/>
          <w:szCs w:val="20"/>
        </w:rPr>
        <w:footnoteReference w:id="40"/>
      </w:r>
      <w:r w:rsidRPr="00256677">
        <w:rPr>
          <w:rFonts w:asciiTheme="majorHAnsi" w:hAnsiTheme="majorHAnsi"/>
          <w:sz w:val="20"/>
          <w:szCs w:val="20"/>
        </w:rPr>
        <w:t xml:space="preserve"> </w:t>
      </w:r>
      <w:r w:rsidR="001C4E97" w:rsidRPr="00256677">
        <w:rPr>
          <w:rFonts w:asciiTheme="majorHAnsi" w:hAnsiTheme="majorHAnsi"/>
          <w:sz w:val="20"/>
          <w:szCs w:val="20"/>
        </w:rPr>
        <w:t>In 2002, the Supreme Court of the United States determined in Ring v. Arizona, 536 U.S. 584, that a jury must find every fact that the legislature requires be found before death may be imposed. Since the jury in Richardson’s case had not unanimously determined that he deserved the death penalty, he was re-sentenced to life imprisonment without parole.</w:t>
      </w:r>
      <w:r w:rsidR="0006511C" w:rsidRPr="00256677">
        <w:rPr>
          <w:rStyle w:val="FootnoteReference"/>
          <w:rFonts w:asciiTheme="majorHAnsi" w:hAnsiTheme="majorHAnsi"/>
          <w:sz w:val="20"/>
          <w:szCs w:val="20"/>
        </w:rPr>
        <w:footnoteReference w:id="41"/>
      </w:r>
    </w:p>
    <w:p w14:paraId="58DE032B" w14:textId="77777777" w:rsidR="0006511C" w:rsidRPr="00256677" w:rsidRDefault="0006511C" w:rsidP="0006511C">
      <w:pPr>
        <w:pStyle w:val="ListParagraph"/>
        <w:rPr>
          <w:rFonts w:asciiTheme="majorHAnsi" w:hAnsiTheme="majorHAnsi"/>
          <w:sz w:val="20"/>
          <w:szCs w:val="20"/>
        </w:rPr>
      </w:pPr>
    </w:p>
    <w:p w14:paraId="582C7232" w14:textId="77777777" w:rsidR="00737936" w:rsidRPr="00256677" w:rsidRDefault="0006511C" w:rsidP="009252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Clemons was found guilty of two counts of first-degree murder and the jury returned a verdict </w:t>
      </w:r>
      <w:r w:rsidR="000C09A7" w:rsidRPr="00256677">
        <w:rPr>
          <w:rFonts w:asciiTheme="majorHAnsi" w:hAnsiTheme="majorHAnsi"/>
          <w:sz w:val="20"/>
          <w:szCs w:val="20"/>
        </w:rPr>
        <w:t xml:space="preserve">for the death penalty on both counts. In post-conviction, the district court found that he was entitled to a writ of habeas corpus vacating the death penalty because six people were unconstitutionally excluded from serving on the </w:t>
      </w:r>
      <w:r w:rsidR="000C09A7" w:rsidRPr="00256677">
        <w:rPr>
          <w:rFonts w:asciiTheme="majorHAnsi" w:hAnsiTheme="majorHAnsi"/>
          <w:sz w:val="20"/>
          <w:szCs w:val="20"/>
        </w:rPr>
        <w:lastRenderedPageBreak/>
        <w:t>jury that sentenced him to death. At the time</w:t>
      </w:r>
      <w:r w:rsidR="00A349B5" w:rsidRPr="00256677">
        <w:rPr>
          <w:rFonts w:asciiTheme="majorHAnsi" w:hAnsiTheme="majorHAnsi"/>
          <w:sz w:val="20"/>
          <w:szCs w:val="20"/>
        </w:rPr>
        <w:t xml:space="preserve"> of the State’s submission, an appeal of this decision was pending in the U.S. Court of Appeals for the Eight Circuit</w:t>
      </w:r>
      <w:r w:rsidR="000C09A7" w:rsidRPr="00256677">
        <w:rPr>
          <w:rFonts w:asciiTheme="majorHAnsi" w:hAnsiTheme="majorHAnsi"/>
          <w:sz w:val="20"/>
          <w:szCs w:val="20"/>
        </w:rPr>
        <w:t>.</w:t>
      </w:r>
      <w:r w:rsidR="00A349B5" w:rsidRPr="00256677">
        <w:rPr>
          <w:rStyle w:val="FootnoteReference"/>
          <w:rFonts w:asciiTheme="majorHAnsi" w:hAnsiTheme="majorHAnsi"/>
          <w:sz w:val="20"/>
          <w:szCs w:val="20"/>
        </w:rPr>
        <w:footnoteReference w:id="42"/>
      </w:r>
      <w:r w:rsidR="00A349B5" w:rsidRPr="00256677">
        <w:rPr>
          <w:rFonts w:asciiTheme="majorHAnsi" w:hAnsiTheme="majorHAnsi"/>
          <w:sz w:val="20"/>
          <w:szCs w:val="20"/>
        </w:rPr>
        <w:t xml:space="preserve"> </w:t>
      </w:r>
      <w:r w:rsidR="00AD5B57" w:rsidRPr="00256677">
        <w:rPr>
          <w:rFonts w:asciiTheme="majorHAnsi" w:hAnsiTheme="majorHAnsi"/>
          <w:sz w:val="20"/>
          <w:szCs w:val="20"/>
        </w:rPr>
        <w:t>According to public information, in 2015 the Missouri Supreme Court vacated the conviction after finding that prosecutors suppressed evidence and in 2017 he pleaded guilty and was sentenced to five consecutive life sentences under a plea agreement.</w:t>
      </w:r>
      <w:r w:rsidR="002D52BE" w:rsidRPr="00256677">
        <w:rPr>
          <w:rFonts w:asciiTheme="majorHAnsi" w:hAnsiTheme="majorHAnsi"/>
          <w:sz w:val="20"/>
          <w:szCs w:val="20"/>
        </w:rPr>
        <w:t xml:space="preserve"> He could be eligible for parole in November, 2020.</w:t>
      </w:r>
      <w:r w:rsidR="00AD5B57" w:rsidRPr="00256677">
        <w:rPr>
          <w:rStyle w:val="FootnoteReference"/>
          <w:rFonts w:asciiTheme="majorHAnsi" w:hAnsiTheme="majorHAnsi"/>
          <w:sz w:val="20"/>
          <w:szCs w:val="20"/>
        </w:rPr>
        <w:footnoteReference w:id="43"/>
      </w:r>
      <w:r w:rsidR="00F54CB0" w:rsidRPr="00256677">
        <w:rPr>
          <w:rFonts w:asciiTheme="majorHAnsi" w:hAnsiTheme="majorHAnsi"/>
          <w:sz w:val="20"/>
          <w:szCs w:val="20"/>
        </w:rPr>
        <w:t xml:space="preserve"> </w:t>
      </w:r>
    </w:p>
    <w:p w14:paraId="3C25BF62" w14:textId="77777777" w:rsidR="007E6D7C" w:rsidRPr="00256677" w:rsidRDefault="007E6D7C">
      <w:pPr>
        <w:rPr>
          <w:rFonts w:asciiTheme="majorHAnsi" w:hAnsiTheme="majorHAnsi"/>
          <w:sz w:val="20"/>
          <w:szCs w:val="20"/>
        </w:rPr>
      </w:pPr>
    </w:p>
    <w:p w14:paraId="0F2BD691" w14:textId="77777777" w:rsidR="001C4006" w:rsidRPr="00256677" w:rsidRDefault="001C4006" w:rsidP="009D0D81">
      <w:pPr>
        <w:pStyle w:val="Heading1"/>
        <w:tabs>
          <w:tab w:val="left" w:pos="360"/>
        </w:tabs>
        <w:spacing w:before="0"/>
        <w:ind w:left="0" w:firstLine="0"/>
        <w:rPr>
          <w:color w:val="auto"/>
          <w:sz w:val="20"/>
          <w:szCs w:val="20"/>
        </w:rPr>
      </w:pPr>
      <w:bookmarkStart w:id="9" w:name="_Toc90284141"/>
      <w:r w:rsidRPr="00256677">
        <w:rPr>
          <w:color w:val="auto"/>
          <w:sz w:val="20"/>
          <w:szCs w:val="20"/>
        </w:rPr>
        <w:t>ANALYSIS OF LAW</w:t>
      </w:r>
      <w:bookmarkEnd w:id="9"/>
    </w:p>
    <w:p w14:paraId="1FD3227D" w14:textId="77777777" w:rsidR="00044DA8" w:rsidRPr="00256677" w:rsidRDefault="00044DA8" w:rsidP="009D0D81">
      <w:pPr>
        <w:tabs>
          <w:tab w:val="left" w:pos="360"/>
        </w:tabs>
        <w:suppressAutoHyphens/>
        <w:rPr>
          <w:rFonts w:asciiTheme="majorHAnsi" w:hAnsiTheme="majorHAnsi"/>
          <w:b/>
          <w:sz w:val="20"/>
          <w:szCs w:val="20"/>
        </w:rPr>
      </w:pPr>
    </w:p>
    <w:p w14:paraId="01DED687" w14:textId="77777777" w:rsidR="007D2FEE" w:rsidRPr="00256677" w:rsidRDefault="007D2FEE" w:rsidP="009D0D81">
      <w:pPr>
        <w:pStyle w:val="Heading2"/>
        <w:tabs>
          <w:tab w:val="left" w:pos="360"/>
        </w:tabs>
        <w:spacing w:before="0"/>
        <w:rPr>
          <w:color w:val="auto"/>
          <w:sz w:val="20"/>
          <w:szCs w:val="20"/>
        </w:rPr>
      </w:pPr>
      <w:bookmarkStart w:id="10" w:name="_Toc412815742"/>
      <w:bookmarkStart w:id="11" w:name="_Toc90284142"/>
      <w:r w:rsidRPr="00256677">
        <w:rPr>
          <w:color w:val="auto"/>
          <w:sz w:val="20"/>
          <w:szCs w:val="20"/>
        </w:rPr>
        <w:t>A.</w:t>
      </w:r>
      <w:r w:rsidRPr="00256677">
        <w:rPr>
          <w:color w:val="auto"/>
          <w:sz w:val="20"/>
          <w:szCs w:val="20"/>
        </w:rPr>
        <w:tab/>
        <w:t xml:space="preserve">Preliminary </w:t>
      </w:r>
      <w:bookmarkEnd w:id="10"/>
      <w:r w:rsidRPr="00256677">
        <w:rPr>
          <w:color w:val="auto"/>
          <w:sz w:val="20"/>
          <w:szCs w:val="20"/>
        </w:rPr>
        <w:t>considerations</w:t>
      </w:r>
      <w:bookmarkEnd w:id="11"/>
    </w:p>
    <w:p w14:paraId="5CD8A699" w14:textId="77777777" w:rsidR="00A169DC" w:rsidRPr="00256677" w:rsidRDefault="00A169DC" w:rsidP="00A169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E7C2634" w14:textId="77777777" w:rsidR="00A169DC" w:rsidRPr="00256677" w:rsidRDefault="00653AC7"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Cambria" w:hAnsiTheme="majorHAnsi" w:cs="Cambria"/>
          <w:sz w:val="20"/>
          <w:szCs w:val="20"/>
        </w:rPr>
        <w:t xml:space="preserve">Before embarking on its analysis of the merits in the case of </w:t>
      </w:r>
      <w:r w:rsidR="0007744E" w:rsidRPr="00256677">
        <w:rPr>
          <w:rFonts w:asciiTheme="majorHAnsi" w:eastAsia="Cambria" w:hAnsiTheme="majorHAnsi" w:cs="Cambria"/>
          <w:sz w:val="20"/>
          <w:szCs w:val="20"/>
        </w:rPr>
        <w:t>Marlin Gray</w:t>
      </w:r>
      <w:r w:rsidRPr="00256677">
        <w:rPr>
          <w:rFonts w:asciiTheme="majorHAnsi" w:eastAsia="Cambria" w:hAnsiTheme="majorHAnsi" w:cs="Cambria"/>
          <w:sz w:val="20"/>
          <w:szCs w:val="20"/>
        </w:rPr>
        <w:t xml:space="preserve"> (Executed), the Inter-American Commission considers it relevant to reiterate its previous rulings regarding the heightened scrutiny to be used in cases involving the death penalty.  The right to life has received broad recognition as the supreme human right and as a </w:t>
      </w:r>
      <w:r w:rsidRPr="00256677">
        <w:rPr>
          <w:rFonts w:asciiTheme="majorHAnsi" w:eastAsia="Cambria" w:hAnsiTheme="majorHAnsi" w:cs="Cambria"/>
          <w:i/>
          <w:iCs/>
          <w:sz w:val="20"/>
          <w:szCs w:val="20"/>
          <w:lang w:val="it-IT"/>
        </w:rPr>
        <w:t>sine qua non</w:t>
      </w:r>
      <w:r w:rsidRPr="00256677">
        <w:rPr>
          <w:rFonts w:asciiTheme="majorHAnsi" w:eastAsia="Cambria" w:hAnsiTheme="majorHAnsi" w:cs="Cambria"/>
          <w:sz w:val="20"/>
          <w:szCs w:val="20"/>
        </w:rPr>
        <w:t xml:space="preserve"> for the enjoyment of all other rights. </w:t>
      </w:r>
    </w:p>
    <w:p w14:paraId="7BD29BF0" w14:textId="77777777" w:rsidR="00144208" w:rsidRPr="00256677" w:rsidRDefault="00144208" w:rsidP="009D0D81">
      <w:pPr>
        <w:pStyle w:val="ListParagraph"/>
        <w:tabs>
          <w:tab w:val="left" w:pos="360"/>
        </w:tabs>
        <w:rPr>
          <w:rFonts w:asciiTheme="majorHAnsi" w:hAnsiTheme="majorHAnsi"/>
          <w:sz w:val="20"/>
          <w:szCs w:val="20"/>
        </w:rPr>
      </w:pPr>
    </w:p>
    <w:p w14:paraId="59B53A8D" w14:textId="77777777" w:rsidR="00144208" w:rsidRPr="00256677" w:rsidRDefault="00144208"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That gives rise to the particular importance of the IACHR’s obligation to ensure that any deprivation of life may arise from the enforcement of the death penalty strictly abides by the requirements set forth in the applicable instruments of the Inter-American Human Rights System, including the American Declaration.</w:t>
      </w:r>
      <w:r w:rsidRPr="00256677">
        <w:rPr>
          <w:rStyle w:val="FootnoteReference"/>
          <w:rFonts w:asciiTheme="majorHAnsi" w:eastAsia="Cambria" w:hAnsiTheme="majorHAnsi" w:cs="Cambria"/>
          <w:sz w:val="20"/>
          <w:szCs w:val="20"/>
        </w:rPr>
        <w:footnoteReference w:id="44"/>
      </w:r>
      <w:r w:rsidRPr="00256677">
        <w:rPr>
          <w:rFonts w:asciiTheme="majorHAnsi" w:hAnsiTheme="majorHAnsi"/>
          <w:sz w:val="20"/>
          <w:szCs w:val="20"/>
        </w:rPr>
        <w:t xml:space="preserve"> That “heightened scrutiny test is consistent with the restrictive approach adopted by other international human rights bodies in cases involving the imposition of the death penalty,</w:t>
      </w:r>
      <w:r w:rsidRPr="00256677">
        <w:rPr>
          <w:rStyle w:val="FootnoteReference"/>
          <w:rFonts w:asciiTheme="majorHAnsi" w:eastAsia="Cambria" w:hAnsiTheme="majorHAnsi" w:cs="Cambria"/>
          <w:sz w:val="20"/>
          <w:szCs w:val="20"/>
        </w:rPr>
        <w:footnoteReference w:id="45"/>
      </w:r>
      <w:r w:rsidRPr="00256677">
        <w:rPr>
          <w:rFonts w:asciiTheme="majorHAnsi" w:eastAsia="Cambria" w:hAnsiTheme="majorHAnsi" w:cs="Cambria"/>
          <w:sz w:val="20"/>
          <w:szCs w:val="20"/>
        </w:rPr>
        <w:t xml:space="preserve"> and it has been set out and applied by the Inter-American Commission in previous capital cases brought before it.</w:t>
      </w:r>
      <w:r w:rsidRPr="00256677">
        <w:rPr>
          <w:rStyle w:val="FootnoteReference"/>
          <w:rFonts w:asciiTheme="majorHAnsi" w:eastAsia="Cambria" w:hAnsiTheme="majorHAnsi" w:cs="Cambria"/>
          <w:sz w:val="20"/>
          <w:szCs w:val="20"/>
        </w:rPr>
        <w:footnoteReference w:id="46"/>
      </w:r>
      <w:r w:rsidRPr="00256677">
        <w:rPr>
          <w:rFonts w:asciiTheme="majorHAnsi" w:eastAsia="Cambria" w:hAnsiTheme="majorHAnsi" w:cs="Cambria"/>
          <w:sz w:val="20"/>
          <w:szCs w:val="20"/>
        </w:rPr>
        <w:t xml:space="preserve"> </w:t>
      </w:r>
      <w:r w:rsidRPr="00256677">
        <w:rPr>
          <w:rFonts w:asciiTheme="majorHAnsi" w:hAnsiTheme="majorHAnsi"/>
          <w:sz w:val="20"/>
          <w:szCs w:val="20"/>
        </w:rPr>
        <w:t xml:space="preserve"> </w:t>
      </w:r>
    </w:p>
    <w:p w14:paraId="18941083" w14:textId="77777777" w:rsidR="00A169DC" w:rsidRPr="00256677" w:rsidRDefault="00A169DC" w:rsidP="009D0D81">
      <w:pPr>
        <w:pStyle w:val="ListParagraph"/>
        <w:tabs>
          <w:tab w:val="left" w:pos="360"/>
        </w:tabs>
        <w:rPr>
          <w:rFonts w:asciiTheme="majorHAnsi" w:hAnsiTheme="majorHAnsi"/>
          <w:sz w:val="20"/>
          <w:szCs w:val="20"/>
        </w:rPr>
      </w:pPr>
    </w:p>
    <w:p w14:paraId="034A2A8A" w14:textId="77777777" w:rsidR="000157B5" w:rsidRPr="00256677" w:rsidRDefault="00653AC7"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Cambria" w:hAnsiTheme="majorHAnsi" w:cs="Cambria"/>
          <w:sz w:val="20"/>
          <w:szCs w:val="20"/>
        </w:rPr>
        <w:t>As the Inter-American Commission has explained, this standard of review is the necessary consequence of the specific penalty at issue and the right to a fair trial and all attendant due process guarantees</w:t>
      </w:r>
      <w:r w:rsidR="006636C8" w:rsidRPr="00256677">
        <w:rPr>
          <w:rFonts w:asciiTheme="majorHAnsi" w:eastAsia="Cambria" w:hAnsiTheme="majorHAnsi" w:cs="Cambria"/>
          <w:sz w:val="20"/>
          <w:szCs w:val="20"/>
        </w:rPr>
        <w:t>:</w:t>
      </w:r>
      <w:r w:rsidRPr="00256677">
        <w:rPr>
          <w:rStyle w:val="FootnoteReference"/>
          <w:rFonts w:asciiTheme="majorHAnsi" w:eastAsia="Cambria" w:hAnsiTheme="majorHAnsi" w:cs="Cambria"/>
          <w:sz w:val="20"/>
          <w:szCs w:val="20"/>
        </w:rPr>
        <w:footnoteReference w:id="47"/>
      </w:r>
    </w:p>
    <w:p w14:paraId="4F4EA568" w14:textId="77777777" w:rsidR="000157B5" w:rsidRPr="00256677" w:rsidRDefault="000157B5" w:rsidP="009D0D81">
      <w:pPr>
        <w:pStyle w:val="ListParagraph"/>
        <w:tabs>
          <w:tab w:val="left" w:pos="360"/>
        </w:tabs>
        <w:rPr>
          <w:rFonts w:asciiTheme="majorHAnsi" w:hAnsiTheme="majorHAnsi"/>
          <w:sz w:val="20"/>
          <w:szCs w:val="20"/>
        </w:rPr>
      </w:pPr>
    </w:p>
    <w:p w14:paraId="172C663F" w14:textId="77777777" w:rsidR="000157B5" w:rsidRPr="00256677" w:rsidRDefault="00653AC7" w:rsidP="008A625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256677">
        <w:rPr>
          <w:rFonts w:asciiTheme="majorHAnsi" w:eastAsia="Cambria" w:hAnsiTheme="majorHAnsi" w:cs="Cambria"/>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256677">
        <w:rPr>
          <w:rFonts w:asciiTheme="majorHAnsi" w:hAnsiTheme="majorHAnsi"/>
          <w:sz w:val="18"/>
          <w:szCs w:val="18"/>
          <w:vertAlign w:val="superscript"/>
        </w:rPr>
        <w:footnoteReference w:id="48"/>
      </w:r>
    </w:p>
    <w:p w14:paraId="1D5B32BD" w14:textId="77777777" w:rsidR="00A169DC" w:rsidRPr="00256677" w:rsidRDefault="00A169DC" w:rsidP="009D0D81">
      <w:pPr>
        <w:tabs>
          <w:tab w:val="left" w:pos="360"/>
        </w:tabs>
        <w:rPr>
          <w:rFonts w:asciiTheme="majorHAnsi" w:hAnsiTheme="majorHAnsi"/>
          <w:sz w:val="20"/>
          <w:szCs w:val="20"/>
        </w:rPr>
      </w:pPr>
    </w:p>
    <w:p w14:paraId="4EB64ACF" w14:textId="77777777" w:rsidR="00653AC7" w:rsidRPr="00256677" w:rsidRDefault="00653AC7"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Cambria" w:hAnsiTheme="majorHAnsi" w:cs="Cambria"/>
          <w:sz w:val="20"/>
          <w:szCs w:val="20"/>
        </w:rPr>
        <w:t>The Inter-American Commission will therefore review the petitioner’s allegations in the present case with a heightened level of scrutiny, to ensure in particular that the rights to life, due process, and to a fair trial as prescribed under the American Declaration have been respected by the State.  With regard to the legal status of the American Declaration, the IACHR reiterates that:</w:t>
      </w:r>
    </w:p>
    <w:p w14:paraId="4260D259" w14:textId="77777777" w:rsidR="00653AC7" w:rsidRPr="00256677" w:rsidRDefault="00653AC7" w:rsidP="009D0D81">
      <w:pPr>
        <w:pStyle w:val="Body"/>
        <w:tabs>
          <w:tab w:val="left" w:pos="360"/>
          <w:tab w:val="left" w:pos="630"/>
          <w:tab w:val="left" w:pos="810"/>
        </w:tabs>
        <w:jc w:val="both"/>
        <w:rPr>
          <w:rFonts w:asciiTheme="majorHAnsi" w:eastAsia="Cambria" w:hAnsiTheme="majorHAnsi" w:cs="Cambria"/>
          <w:sz w:val="20"/>
          <w:szCs w:val="20"/>
        </w:rPr>
      </w:pPr>
    </w:p>
    <w:p w14:paraId="1772706F" w14:textId="77777777" w:rsidR="00DE5D25" w:rsidRPr="00256677" w:rsidRDefault="00653AC7" w:rsidP="008A6254">
      <w:pPr>
        <w:pStyle w:val="Body"/>
        <w:tabs>
          <w:tab w:val="left" w:pos="360"/>
          <w:tab w:val="left" w:pos="630"/>
          <w:tab w:val="left" w:pos="810"/>
          <w:tab w:val="left" w:pos="9000"/>
        </w:tabs>
        <w:ind w:left="360" w:right="360"/>
        <w:jc w:val="both"/>
        <w:rPr>
          <w:rFonts w:asciiTheme="majorHAnsi" w:eastAsia="Cambria" w:hAnsiTheme="majorHAnsi" w:cs="Cambria"/>
          <w:sz w:val="18"/>
          <w:szCs w:val="18"/>
        </w:rPr>
      </w:pPr>
      <w:r w:rsidRPr="00256677">
        <w:rPr>
          <w:rFonts w:asciiTheme="majorHAnsi" w:eastAsia="Cambria" w:hAnsiTheme="majorHAnsi" w:cs="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256677">
        <w:rPr>
          <w:rFonts w:asciiTheme="majorHAnsi" w:eastAsia="Cambria" w:hAnsiTheme="majorHAnsi" w:cs="Cambria"/>
          <w:sz w:val="18"/>
          <w:szCs w:val="18"/>
          <w:vertAlign w:val="superscript"/>
        </w:rPr>
        <w:footnoteReference w:id="49"/>
      </w:r>
    </w:p>
    <w:p w14:paraId="1C500C79" w14:textId="77777777" w:rsidR="00FE5165" w:rsidRPr="00256677" w:rsidRDefault="00BA0255" w:rsidP="009D0D81">
      <w:pPr>
        <w:pStyle w:val="Heading2"/>
        <w:tabs>
          <w:tab w:val="left" w:pos="360"/>
        </w:tabs>
        <w:rPr>
          <w:rFonts w:eastAsia="Arial Unicode MS"/>
          <w:color w:val="auto"/>
          <w:sz w:val="20"/>
          <w:szCs w:val="20"/>
        </w:rPr>
      </w:pPr>
      <w:bookmarkStart w:id="12" w:name="_Toc90284143"/>
      <w:r w:rsidRPr="00256677">
        <w:rPr>
          <w:rFonts w:eastAsia="Arial Unicode MS"/>
          <w:color w:val="auto"/>
          <w:sz w:val="20"/>
          <w:szCs w:val="20"/>
        </w:rPr>
        <w:t>B</w:t>
      </w:r>
      <w:r w:rsidR="00FE5165" w:rsidRPr="00256677">
        <w:rPr>
          <w:rFonts w:eastAsia="Arial Unicode MS"/>
          <w:color w:val="auto"/>
          <w:sz w:val="20"/>
          <w:szCs w:val="20"/>
        </w:rPr>
        <w:t>.</w:t>
      </w:r>
      <w:r w:rsidR="00FE5165" w:rsidRPr="00256677">
        <w:rPr>
          <w:rFonts w:eastAsia="Arial Unicode MS"/>
          <w:color w:val="auto"/>
          <w:sz w:val="20"/>
          <w:szCs w:val="20"/>
        </w:rPr>
        <w:tab/>
      </w:r>
      <w:r w:rsidR="00AB352F" w:rsidRPr="00256677">
        <w:rPr>
          <w:rFonts w:eastAsia="Arial Unicode MS"/>
          <w:color w:val="auto"/>
          <w:sz w:val="20"/>
          <w:szCs w:val="20"/>
        </w:rPr>
        <w:t>Right to</w:t>
      </w:r>
      <w:r w:rsidR="00346770" w:rsidRPr="00256677">
        <w:rPr>
          <w:rFonts w:eastAsia="Arial Unicode MS"/>
          <w:color w:val="auto"/>
          <w:sz w:val="20"/>
          <w:szCs w:val="20"/>
        </w:rPr>
        <w:t xml:space="preserve"> l</w:t>
      </w:r>
      <w:r w:rsidR="00AB352F" w:rsidRPr="00256677">
        <w:rPr>
          <w:rFonts w:eastAsia="Arial Unicode MS"/>
          <w:color w:val="auto"/>
          <w:sz w:val="20"/>
          <w:szCs w:val="20"/>
        </w:rPr>
        <w:t>ife</w:t>
      </w:r>
      <w:r w:rsidR="00AB352F" w:rsidRPr="00256677">
        <w:rPr>
          <w:rStyle w:val="FootnoteReference"/>
          <w:rFonts w:eastAsia="Arial Unicode MS"/>
          <w:color w:val="auto"/>
          <w:sz w:val="20"/>
          <w:szCs w:val="20"/>
        </w:rPr>
        <w:footnoteReference w:id="50"/>
      </w:r>
      <w:r w:rsidR="00346770" w:rsidRPr="00256677">
        <w:rPr>
          <w:rFonts w:eastAsia="Arial Unicode MS"/>
          <w:color w:val="auto"/>
          <w:sz w:val="20"/>
          <w:szCs w:val="20"/>
        </w:rPr>
        <w:t xml:space="preserve"> and the imposition of the death penalty only for the most serious crimes</w:t>
      </w:r>
      <w:bookmarkEnd w:id="12"/>
      <w:r w:rsidR="00AB352F" w:rsidRPr="00256677">
        <w:rPr>
          <w:rFonts w:eastAsia="Arial Unicode MS"/>
          <w:color w:val="auto"/>
          <w:sz w:val="20"/>
          <w:szCs w:val="20"/>
        </w:rPr>
        <w:t xml:space="preserve">   </w:t>
      </w:r>
    </w:p>
    <w:p w14:paraId="45FB2FA2" w14:textId="77777777" w:rsidR="00AB352F" w:rsidRPr="00256677" w:rsidRDefault="00AB352F" w:rsidP="00AB352F">
      <w:pPr>
        <w:rPr>
          <w:rFonts w:asciiTheme="majorHAnsi" w:hAnsiTheme="majorHAnsi"/>
          <w:sz w:val="20"/>
          <w:szCs w:val="20"/>
        </w:rPr>
      </w:pPr>
    </w:p>
    <w:p w14:paraId="505F4419" w14:textId="77777777" w:rsidR="00182FB6" w:rsidRPr="00256677" w:rsidRDefault="00182FB6" w:rsidP="006E07EB">
      <w:pPr>
        <w:pStyle w:val="Heading3"/>
        <w:numPr>
          <w:ilvl w:val="1"/>
          <w:numId w:val="53"/>
        </w:numPr>
        <w:spacing w:before="0"/>
        <w:ind w:left="360"/>
        <w:rPr>
          <w:color w:val="auto"/>
          <w:sz w:val="20"/>
          <w:szCs w:val="20"/>
        </w:rPr>
      </w:pPr>
      <w:bookmarkStart w:id="13" w:name="_Toc90284144"/>
      <w:r w:rsidRPr="00256677">
        <w:rPr>
          <w:color w:val="auto"/>
          <w:sz w:val="20"/>
          <w:szCs w:val="20"/>
        </w:rPr>
        <w:t>General considerations</w:t>
      </w:r>
      <w:bookmarkEnd w:id="13"/>
    </w:p>
    <w:p w14:paraId="71C462A6" w14:textId="77777777" w:rsidR="00182FB6" w:rsidRPr="00256677" w:rsidRDefault="00182FB6" w:rsidP="00AB352F">
      <w:pPr>
        <w:rPr>
          <w:rFonts w:asciiTheme="majorHAnsi" w:hAnsiTheme="majorHAnsi"/>
          <w:sz w:val="20"/>
          <w:szCs w:val="20"/>
        </w:rPr>
      </w:pPr>
    </w:p>
    <w:p w14:paraId="160965E8" w14:textId="77777777" w:rsidR="00DB710E" w:rsidRPr="00256677" w:rsidRDefault="00493004"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Calibri" w:hAnsiTheme="majorHAnsi" w:cs="Calibri"/>
          <w:sz w:val="20"/>
          <w:szCs w:val="20"/>
        </w:rPr>
        <w:t>The Commission has stressed that the right to life is a prerequisite for the enjoyment of all other human rights and</w:t>
      </w:r>
      <w:r w:rsidR="00A17C14" w:rsidRPr="00256677">
        <w:rPr>
          <w:rFonts w:asciiTheme="majorHAnsi" w:eastAsia="Calibri" w:hAnsiTheme="majorHAnsi" w:cs="Calibri"/>
          <w:sz w:val="20"/>
          <w:szCs w:val="20"/>
        </w:rPr>
        <w:t>, b</w:t>
      </w:r>
      <w:r w:rsidR="00805784" w:rsidRPr="00256677">
        <w:rPr>
          <w:rFonts w:asciiTheme="majorHAnsi" w:eastAsia="Calibri" w:hAnsiTheme="majorHAnsi" w:cs="Calibri"/>
          <w:sz w:val="20"/>
          <w:szCs w:val="20"/>
        </w:rPr>
        <w:t xml:space="preserve">ecause execution of the death penalty is irreversible, the strictest and most rigorous enforcement of judicial guarantees is required of the State so that those guarantees are not violated and a human life </w:t>
      </w:r>
      <w:r w:rsidR="00EB134D" w:rsidRPr="00256677">
        <w:rPr>
          <w:rFonts w:asciiTheme="majorHAnsi" w:eastAsia="Calibri" w:hAnsiTheme="majorHAnsi" w:cs="Calibri"/>
          <w:sz w:val="20"/>
          <w:szCs w:val="20"/>
        </w:rPr>
        <w:t xml:space="preserve">is </w:t>
      </w:r>
      <w:r w:rsidR="00805784" w:rsidRPr="00256677">
        <w:rPr>
          <w:rFonts w:asciiTheme="majorHAnsi" w:eastAsia="Calibri" w:hAnsiTheme="majorHAnsi" w:cs="Calibri"/>
          <w:sz w:val="20"/>
          <w:szCs w:val="20"/>
        </w:rPr>
        <w:t>not arbitrarily taken as a result.</w:t>
      </w:r>
      <w:r w:rsidRPr="00256677">
        <w:rPr>
          <w:rFonts w:asciiTheme="majorHAnsi" w:eastAsia="Calibri" w:hAnsiTheme="majorHAnsi" w:cs="Calibri"/>
          <w:sz w:val="20"/>
          <w:szCs w:val="20"/>
        </w:rPr>
        <w:t xml:space="preserve"> The importance of the right to life is reflected in its inclusion in all major international human rights instruments.</w:t>
      </w:r>
      <w:r w:rsidR="00805784" w:rsidRPr="00256677">
        <w:rPr>
          <w:rFonts w:asciiTheme="majorHAnsi" w:hAnsiTheme="majorHAnsi"/>
          <w:sz w:val="20"/>
          <w:szCs w:val="16"/>
          <w:vertAlign w:val="superscript"/>
        </w:rPr>
        <w:footnoteReference w:id="51"/>
      </w:r>
    </w:p>
    <w:p w14:paraId="01972278" w14:textId="77777777" w:rsidR="003D3CD4" w:rsidRPr="00256677" w:rsidRDefault="003D3CD4" w:rsidP="009207F2">
      <w:pPr>
        <w:tabs>
          <w:tab w:val="left" w:pos="360"/>
        </w:tabs>
        <w:rPr>
          <w:rFonts w:asciiTheme="majorHAnsi" w:hAnsiTheme="majorHAnsi"/>
          <w:sz w:val="20"/>
          <w:szCs w:val="20"/>
        </w:rPr>
      </w:pPr>
    </w:p>
    <w:p w14:paraId="1E11F704" w14:textId="77777777" w:rsidR="00182FB6" w:rsidRPr="00256677" w:rsidRDefault="00182FB6" w:rsidP="00182F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The Commission has previously held that Article I of the American Declaration, while not precluding the death penalty altogether, prohibits its application when doing so would result in an arbitrary deprivation of life. The Commission has also held that several deficiencies may render an execution arbitrary contrary to Article I of the Declaration, including a failure on the part of a State to limit the death penalty to crimes of exceptional gravity prescribed by pre-existing la</w:t>
      </w:r>
      <w:bookmarkStart w:id="14" w:name="_ftnref3"/>
      <w:r w:rsidRPr="00256677">
        <w:rPr>
          <w:rFonts w:asciiTheme="majorHAnsi" w:eastAsia="Times New Roman" w:hAnsiTheme="majorHAnsi"/>
          <w:sz w:val="20"/>
          <w:szCs w:val="20"/>
        </w:rPr>
        <w:t>w</w:t>
      </w:r>
      <w:r w:rsidR="008141EA" w:rsidRPr="00256677">
        <w:rPr>
          <w:rFonts w:asciiTheme="majorHAnsi" w:eastAsia="Times New Roman" w:hAnsiTheme="majorHAnsi"/>
          <w:sz w:val="20"/>
          <w:szCs w:val="20"/>
        </w:rPr>
        <w:t>.</w:t>
      </w:r>
      <w:r w:rsidRPr="00256677">
        <w:rPr>
          <w:rStyle w:val="FootnoteReference"/>
          <w:rFonts w:asciiTheme="majorHAnsi" w:eastAsia="Times New Roman" w:hAnsiTheme="majorHAnsi"/>
          <w:sz w:val="20"/>
          <w:szCs w:val="20"/>
        </w:rPr>
        <w:footnoteReference w:id="52"/>
      </w:r>
      <w:bookmarkEnd w:id="14"/>
    </w:p>
    <w:p w14:paraId="323E0861" w14:textId="77777777" w:rsidR="00182FB6" w:rsidRPr="00256677" w:rsidRDefault="00182FB6" w:rsidP="00182FB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10D451DD" w14:textId="77777777" w:rsidR="00B321B3" w:rsidRPr="00256677" w:rsidRDefault="004E6B90" w:rsidP="002838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Article 4 of the</w:t>
      </w:r>
      <w:r w:rsidR="000351D4" w:rsidRPr="00256677">
        <w:rPr>
          <w:rFonts w:asciiTheme="majorHAnsi" w:hAnsiTheme="majorHAnsi"/>
          <w:sz w:val="20"/>
          <w:szCs w:val="20"/>
        </w:rPr>
        <w:t xml:space="preserve"> </w:t>
      </w:r>
      <w:r w:rsidR="00007C5F" w:rsidRPr="00256677">
        <w:rPr>
          <w:rFonts w:asciiTheme="majorHAnsi" w:hAnsiTheme="majorHAnsi"/>
          <w:sz w:val="20"/>
          <w:szCs w:val="20"/>
        </w:rPr>
        <w:t xml:space="preserve">American </w:t>
      </w:r>
      <w:r w:rsidR="000351D4" w:rsidRPr="00256677">
        <w:rPr>
          <w:rFonts w:asciiTheme="majorHAnsi" w:hAnsiTheme="majorHAnsi"/>
          <w:sz w:val="20"/>
          <w:szCs w:val="20"/>
        </w:rPr>
        <w:t>Convention</w:t>
      </w:r>
      <w:r w:rsidR="005C232A" w:rsidRPr="00256677">
        <w:rPr>
          <w:rFonts w:asciiTheme="majorHAnsi" w:hAnsiTheme="majorHAnsi"/>
          <w:sz w:val="20"/>
          <w:szCs w:val="20"/>
        </w:rPr>
        <w:t>,</w:t>
      </w:r>
      <w:r w:rsidR="00007C5F" w:rsidRPr="00256677">
        <w:rPr>
          <w:rFonts w:asciiTheme="majorHAnsi" w:hAnsiTheme="majorHAnsi"/>
          <w:sz w:val="20"/>
          <w:szCs w:val="20"/>
        </w:rPr>
        <w:t xml:space="preserve"> in establishing the right to life</w:t>
      </w:r>
      <w:r w:rsidR="005C232A" w:rsidRPr="00256677">
        <w:rPr>
          <w:rFonts w:asciiTheme="majorHAnsi" w:hAnsiTheme="majorHAnsi"/>
          <w:sz w:val="20"/>
          <w:szCs w:val="20"/>
        </w:rPr>
        <w:t>,</w:t>
      </w:r>
      <w:r w:rsidR="000351D4" w:rsidRPr="00256677">
        <w:rPr>
          <w:rFonts w:asciiTheme="majorHAnsi" w:hAnsiTheme="majorHAnsi"/>
          <w:sz w:val="20"/>
          <w:szCs w:val="20"/>
        </w:rPr>
        <w:t xml:space="preserve"> imposes restrictions that apply to the different types of crimes punishable by the death penalty</w:t>
      </w:r>
      <w:r w:rsidR="006F732C" w:rsidRPr="00256677">
        <w:rPr>
          <w:rFonts w:asciiTheme="majorHAnsi" w:hAnsiTheme="majorHAnsi"/>
          <w:sz w:val="20"/>
          <w:szCs w:val="20"/>
        </w:rPr>
        <w:t xml:space="preserve">; limiting </w:t>
      </w:r>
      <w:r w:rsidR="000351D4" w:rsidRPr="00256677">
        <w:rPr>
          <w:rFonts w:asciiTheme="majorHAnsi" w:hAnsiTheme="majorHAnsi"/>
          <w:sz w:val="20"/>
          <w:szCs w:val="20"/>
        </w:rPr>
        <w:t>the imposition of the death penalty to the most serious of crimes indicates that it was designed to be applied in truly exceptional circumstances only.</w:t>
      </w:r>
      <w:r w:rsidR="000351D4" w:rsidRPr="00256677">
        <w:rPr>
          <w:rStyle w:val="FootnoteReference"/>
          <w:rFonts w:asciiTheme="majorHAnsi" w:hAnsiTheme="majorHAnsi"/>
          <w:sz w:val="20"/>
          <w:szCs w:val="20"/>
        </w:rPr>
        <w:footnoteReference w:id="53"/>
      </w:r>
      <w:r w:rsidR="00A77577" w:rsidRPr="00256677">
        <w:rPr>
          <w:rStyle w:val="FootnoteReference"/>
        </w:rPr>
        <w:t xml:space="preserve"> </w:t>
      </w:r>
      <w:r w:rsidR="00B321B3" w:rsidRPr="00256677">
        <w:rPr>
          <w:rFonts w:asciiTheme="majorHAnsi" w:hAnsiTheme="majorHAnsi"/>
          <w:sz w:val="20"/>
          <w:szCs w:val="20"/>
        </w:rPr>
        <w:t>According to inter-American jurisprudence:</w:t>
      </w:r>
    </w:p>
    <w:p w14:paraId="3C55343C" w14:textId="77777777" w:rsidR="00B321B3" w:rsidRPr="00256677" w:rsidRDefault="00B321B3" w:rsidP="00BA273E">
      <w:pPr>
        <w:pStyle w:val="ListParagraph"/>
        <w:ind w:left="0"/>
        <w:jc w:val="both"/>
        <w:rPr>
          <w:rFonts w:asciiTheme="majorHAnsi" w:eastAsia="Arial Unicode MS" w:hAnsiTheme="majorHAnsi" w:cs="Times New Roman"/>
          <w:color w:val="auto"/>
          <w:sz w:val="20"/>
          <w:szCs w:val="20"/>
          <w:lang w:eastAsia="en-US"/>
        </w:rPr>
      </w:pPr>
    </w:p>
    <w:p w14:paraId="2BC1B2AF" w14:textId="77777777" w:rsidR="00BA273E" w:rsidRPr="00256677" w:rsidRDefault="00BA273E" w:rsidP="00872B1E">
      <w:pPr>
        <w:pStyle w:val="BodyTextIndent2"/>
        <w:spacing w:after="0" w:line="240" w:lineRule="auto"/>
        <w:ind w:right="360"/>
        <w:jc w:val="both"/>
        <w:rPr>
          <w:rFonts w:asciiTheme="majorHAnsi" w:hAnsiTheme="majorHAnsi"/>
          <w:sz w:val="18"/>
          <w:szCs w:val="18"/>
        </w:rPr>
      </w:pPr>
      <w:r w:rsidRPr="00256677">
        <w:rPr>
          <w:rFonts w:asciiTheme="majorHAnsi" w:hAnsiTheme="majorHAnsi"/>
          <w:sz w:val="18"/>
          <w:szCs w:val="18"/>
        </w:rPr>
        <w:t>The intentional and illicit deprivation of another’s life (intentional or premeditated murder, in the broad sense) can and must be recognised and addressed in criminal law under various categories (criminal classes) that correspond with the wide range of gravity of the surrounding facts, taking into account the different facets that can come into play: a special relationship between the offender and the victim, motives for the behaviour, the circumstances under which the crime is committed, the means employed by the offender, etc.  This approach allows for a graduated assessment of the gravity of the offence, so that it will bear an appropriate relation to the graduated levels of gravity of the applicable punishment.</w:t>
      </w:r>
      <w:r w:rsidR="00872B1E" w:rsidRPr="00256677">
        <w:rPr>
          <w:rStyle w:val="FootnoteReference"/>
          <w:rFonts w:asciiTheme="majorHAnsi" w:eastAsia="Times New Roman" w:hAnsiTheme="majorHAnsi"/>
          <w:sz w:val="18"/>
          <w:szCs w:val="18"/>
        </w:rPr>
        <w:footnoteReference w:id="54"/>
      </w:r>
    </w:p>
    <w:p w14:paraId="40F0AD4E" w14:textId="77777777" w:rsidR="00B321B3" w:rsidRPr="00256677" w:rsidRDefault="00B321B3" w:rsidP="00B321B3">
      <w:pPr>
        <w:pStyle w:val="ListParagraph"/>
        <w:rPr>
          <w:rFonts w:asciiTheme="majorHAnsi" w:hAnsiTheme="majorHAnsi"/>
          <w:sz w:val="20"/>
          <w:szCs w:val="20"/>
          <w:lang w:val="en-GB"/>
        </w:rPr>
      </w:pPr>
    </w:p>
    <w:p w14:paraId="6C3558FB" w14:textId="77777777" w:rsidR="0024722E" w:rsidRPr="00256677" w:rsidRDefault="002669F0" w:rsidP="002838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S</w:t>
      </w:r>
      <w:r w:rsidR="005B7BC5" w:rsidRPr="00256677">
        <w:rPr>
          <w:rFonts w:asciiTheme="majorHAnsi" w:hAnsiTheme="majorHAnsi"/>
          <w:sz w:val="20"/>
          <w:szCs w:val="20"/>
        </w:rPr>
        <w:t>imilarly, in international law</w:t>
      </w:r>
      <w:r w:rsidR="00872B1E" w:rsidRPr="00256677">
        <w:rPr>
          <w:rFonts w:asciiTheme="majorHAnsi" w:hAnsiTheme="majorHAnsi"/>
          <w:sz w:val="20"/>
          <w:szCs w:val="20"/>
        </w:rPr>
        <w:t>,</w:t>
      </w:r>
      <w:r w:rsidR="005B7BC5" w:rsidRPr="00256677">
        <w:rPr>
          <w:rFonts w:asciiTheme="majorHAnsi" w:hAnsiTheme="majorHAnsi"/>
          <w:sz w:val="20"/>
          <w:szCs w:val="20"/>
        </w:rPr>
        <w:t xml:space="preserve"> the legal foundation for executions is provided by the International Convention on Civil and Political Rights, which specifies that</w:t>
      </w:r>
      <w:r w:rsidRPr="00256677">
        <w:rPr>
          <w:rFonts w:asciiTheme="majorHAnsi" w:hAnsiTheme="majorHAnsi"/>
          <w:sz w:val="20"/>
          <w:szCs w:val="20"/>
        </w:rPr>
        <w:t xml:space="preserve"> the “sentence of death may be imposed only for the most serious crimes in accordance with the law in force at the time of the commission of the crime</w:t>
      </w:r>
      <w:r w:rsidR="008141EA" w:rsidRPr="00256677">
        <w:rPr>
          <w:rFonts w:asciiTheme="majorHAnsi" w:hAnsiTheme="majorHAnsi"/>
          <w:sz w:val="20"/>
          <w:szCs w:val="20"/>
        </w:rPr>
        <w:t>.</w:t>
      </w:r>
      <w:r w:rsidRPr="00256677">
        <w:rPr>
          <w:rFonts w:asciiTheme="majorHAnsi" w:hAnsiTheme="majorHAnsi"/>
          <w:sz w:val="20"/>
          <w:szCs w:val="20"/>
        </w:rPr>
        <w:t>”</w:t>
      </w:r>
      <w:r w:rsidRPr="00256677">
        <w:rPr>
          <w:rStyle w:val="FootnoteReference"/>
          <w:rFonts w:asciiTheme="majorHAnsi" w:hAnsiTheme="majorHAnsi"/>
          <w:sz w:val="20"/>
          <w:szCs w:val="20"/>
        </w:rPr>
        <w:footnoteReference w:id="55"/>
      </w:r>
      <w:r w:rsidR="00E04093" w:rsidRPr="00256677">
        <w:rPr>
          <w:rFonts w:asciiTheme="majorHAnsi" w:hAnsiTheme="majorHAnsi"/>
          <w:sz w:val="20"/>
          <w:szCs w:val="20"/>
        </w:rPr>
        <w:t xml:space="preserve"> </w:t>
      </w:r>
    </w:p>
    <w:p w14:paraId="55A3989B" w14:textId="77777777" w:rsidR="003763A9" w:rsidRPr="00256677" w:rsidRDefault="003763A9" w:rsidP="003763A9">
      <w:pPr>
        <w:pStyle w:val="ListParagraph"/>
        <w:rPr>
          <w:rFonts w:asciiTheme="majorHAnsi" w:hAnsiTheme="majorHAnsi"/>
          <w:sz w:val="20"/>
          <w:szCs w:val="20"/>
        </w:rPr>
      </w:pPr>
    </w:p>
    <w:p w14:paraId="0022633B" w14:textId="77777777" w:rsidR="003D3CD4" w:rsidRPr="00256677" w:rsidRDefault="009B4536"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bCs/>
          <w:sz w:val="20"/>
          <w:szCs w:val="20"/>
          <w:bdr w:val="none" w:sz="0" w:space="0" w:color="auto"/>
        </w:rPr>
        <w:lastRenderedPageBreak/>
        <w:t>The United National Special Rapporteur on extrajudicial, summary or arbitrary executions narrowed the interpretation of “most serious crimes”, restricting it to a parameter of “cases where it can be shown that there was an intention to kill, which resulted in the loss of life</w:t>
      </w:r>
      <w:r w:rsidR="008141EA" w:rsidRPr="00256677">
        <w:rPr>
          <w:rFonts w:asciiTheme="majorHAnsi" w:eastAsia="Times New Roman" w:hAnsiTheme="majorHAnsi"/>
          <w:bCs/>
          <w:sz w:val="20"/>
          <w:szCs w:val="20"/>
          <w:bdr w:val="none" w:sz="0" w:space="0" w:color="auto"/>
        </w:rPr>
        <w:t>.</w:t>
      </w:r>
      <w:r w:rsidRPr="00256677">
        <w:rPr>
          <w:rFonts w:asciiTheme="majorHAnsi" w:eastAsia="Times New Roman" w:hAnsiTheme="majorHAnsi"/>
          <w:bCs/>
          <w:sz w:val="20"/>
          <w:szCs w:val="20"/>
          <w:bdr w:val="none" w:sz="0" w:space="0" w:color="auto"/>
        </w:rPr>
        <w:t>”</w:t>
      </w:r>
      <w:r w:rsidRPr="00256677">
        <w:rPr>
          <w:rStyle w:val="FootnoteReference"/>
          <w:rFonts w:asciiTheme="majorHAnsi" w:eastAsia="Times New Roman" w:hAnsiTheme="majorHAnsi"/>
          <w:bCs/>
          <w:sz w:val="20"/>
          <w:szCs w:val="20"/>
          <w:bdr w:val="none" w:sz="0" w:space="0" w:color="auto"/>
        </w:rPr>
        <w:footnoteReference w:id="56"/>
      </w:r>
      <w:r w:rsidRPr="00256677">
        <w:rPr>
          <w:rFonts w:asciiTheme="majorHAnsi" w:eastAsia="Times New Roman" w:hAnsiTheme="majorHAnsi"/>
          <w:bCs/>
          <w:sz w:val="20"/>
          <w:szCs w:val="20"/>
          <w:bdr w:val="none" w:sz="0" w:space="0" w:color="auto"/>
        </w:rPr>
        <w:t xml:space="preserve"> </w:t>
      </w:r>
      <w:r w:rsidR="00E04093" w:rsidRPr="00256677">
        <w:rPr>
          <w:rFonts w:asciiTheme="majorHAnsi" w:eastAsia="Times New Roman" w:hAnsiTheme="majorHAnsi"/>
          <w:bCs/>
          <w:sz w:val="20"/>
          <w:szCs w:val="20"/>
          <w:bdr w:val="none" w:sz="0" w:space="0" w:color="auto"/>
        </w:rPr>
        <w:t xml:space="preserve">The United Nations Office of the High Commissioner on Human Rights </w:t>
      </w:r>
      <w:r w:rsidR="0086292E" w:rsidRPr="00256677">
        <w:rPr>
          <w:rFonts w:asciiTheme="majorHAnsi" w:eastAsia="Times New Roman" w:hAnsiTheme="majorHAnsi"/>
          <w:bCs/>
          <w:sz w:val="20"/>
          <w:szCs w:val="20"/>
          <w:bdr w:val="none" w:sz="0" w:space="0" w:color="auto"/>
        </w:rPr>
        <w:t xml:space="preserve">has </w:t>
      </w:r>
      <w:r w:rsidR="00E04093" w:rsidRPr="00256677">
        <w:rPr>
          <w:rFonts w:asciiTheme="majorHAnsi" w:eastAsia="Times New Roman" w:hAnsiTheme="majorHAnsi"/>
          <w:bCs/>
          <w:sz w:val="20"/>
          <w:szCs w:val="20"/>
          <w:bdr w:val="none" w:sz="0" w:space="0" w:color="auto"/>
        </w:rPr>
        <w:t>also reasoned that “capital punishment may be imposed only for the most serious crimes, it being understood that their scope should not go beyond intentional crimes with lethal or other extremely grave consequences.”</w:t>
      </w:r>
      <w:r w:rsidR="00E04093" w:rsidRPr="00256677">
        <w:rPr>
          <w:rStyle w:val="FootnoteReference"/>
          <w:rFonts w:asciiTheme="majorHAnsi" w:eastAsia="Times New Roman" w:hAnsiTheme="majorHAnsi"/>
          <w:bCs/>
          <w:sz w:val="20"/>
          <w:szCs w:val="20"/>
          <w:bdr w:val="none" w:sz="0" w:space="0" w:color="auto"/>
        </w:rPr>
        <w:footnoteReference w:id="57"/>
      </w:r>
      <w:r w:rsidR="0086292E" w:rsidRPr="00256677">
        <w:rPr>
          <w:rFonts w:asciiTheme="majorHAnsi" w:hAnsiTheme="majorHAnsi"/>
          <w:sz w:val="20"/>
          <w:szCs w:val="20"/>
        </w:rPr>
        <w:t xml:space="preserve"> </w:t>
      </w:r>
      <w:r w:rsidR="00E04093" w:rsidRPr="00256677">
        <w:rPr>
          <w:rFonts w:asciiTheme="majorHAnsi" w:hAnsiTheme="majorHAnsi"/>
          <w:sz w:val="20"/>
          <w:szCs w:val="20"/>
        </w:rPr>
        <w:t xml:space="preserve">The </w:t>
      </w:r>
      <w:r w:rsidR="00A77577" w:rsidRPr="00256677">
        <w:rPr>
          <w:rFonts w:asciiTheme="majorHAnsi" w:hAnsiTheme="majorHAnsi"/>
          <w:sz w:val="20"/>
          <w:szCs w:val="20"/>
        </w:rPr>
        <w:t>United Nations Human Rights Committee, on the interpretation of “other extremely grave consequences” reasoned that it “must be read restrictively to mean that the death penalty should be a quite exceptional measure.”</w:t>
      </w:r>
      <w:r w:rsidR="004C4A47" w:rsidRPr="00256677">
        <w:rPr>
          <w:rStyle w:val="FootnoteReference"/>
          <w:rFonts w:asciiTheme="majorHAnsi" w:hAnsiTheme="majorHAnsi"/>
          <w:sz w:val="20"/>
          <w:szCs w:val="20"/>
        </w:rPr>
        <w:footnoteReference w:id="58"/>
      </w:r>
    </w:p>
    <w:p w14:paraId="424577A5" w14:textId="77777777" w:rsidR="003D3CD4" w:rsidRPr="00256677" w:rsidRDefault="003D3CD4" w:rsidP="009D0D81">
      <w:pPr>
        <w:pStyle w:val="ListParagraph"/>
        <w:tabs>
          <w:tab w:val="left" w:pos="360"/>
        </w:tabs>
        <w:rPr>
          <w:rFonts w:asciiTheme="majorHAnsi" w:eastAsia="Times New Roman" w:hAnsiTheme="majorHAnsi"/>
          <w:sz w:val="20"/>
          <w:szCs w:val="20"/>
        </w:rPr>
      </w:pPr>
    </w:p>
    <w:p w14:paraId="7E0BCB08" w14:textId="77777777" w:rsidR="003D3CD4" w:rsidRPr="00256677" w:rsidRDefault="00CD7BB2"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A</w:t>
      </w:r>
      <w:r w:rsidR="003D0A3F" w:rsidRPr="00256677">
        <w:rPr>
          <w:rFonts w:asciiTheme="majorHAnsi" w:eastAsia="Times New Roman" w:hAnsiTheme="majorHAnsi"/>
          <w:sz w:val="20"/>
          <w:szCs w:val="20"/>
        </w:rPr>
        <w:t xml:space="preserve"> review of pertinent international human rights jurisprudence indicates that compliance with the condition limiting capital punishment to only the most serious crimes necessitates consideration of the individual circumstances of the offender and his or her offense in order to determine whether the death penalty is a permissible punishment in each individual case</w:t>
      </w:r>
      <w:r w:rsidR="008141EA" w:rsidRPr="00256677">
        <w:rPr>
          <w:rFonts w:asciiTheme="majorHAnsi" w:eastAsia="Times New Roman" w:hAnsiTheme="majorHAnsi"/>
          <w:sz w:val="20"/>
          <w:szCs w:val="20"/>
        </w:rPr>
        <w:t>.</w:t>
      </w:r>
      <w:r w:rsidR="003D0A3F" w:rsidRPr="00256677">
        <w:rPr>
          <w:rStyle w:val="FootnoteReference"/>
          <w:rFonts w:asciiTheme="majorHAnsi" w:eastAsia="Times New Roman" w:hAnsiTheme="majorHAnsi"/>
          <w:sz w:val="20"/>
          <w:szCs w:val="20"/>
        </w:rPr>
        <w:footnoteReference w:id="59"/>
      </w:r>
      <w:r w:rsidR="003D0A3F" w:rsidRPr="00256677">
        <w:rPr>
          <w:rFonts w:asciiTheme="majorHAnsi" w:eastAsia="Times New Roman" w:hAnsiTheme="majorHAnsi"/>
          <w:sz w:val="20"/>
          <w:szCs w:val="20"/>
        </w:rPr>
        <w:t xml:space="preserve"> Factors pertinent to determining whether the crimes is one of exceptional gravity have been held to include the relationship between the offender and the victim, the criminal history of the offender and the victim, motives for the behavior, the extent and intensity of the harm caused, the circumstances under which the crime is committed, and the means employed by the offender</w:t>
      </w:r>
      <w:r w:rsidR="008141EA" w:rsidRPr="00256677">
        <w:rPr>
          <w:rFonts w:asciiTheme="majorHAnsi" w:eastAsia="Times New Roman" w:hAnsiTheme="majorHAnsi"/>
          <w:sz w:val="20"/>
          <w:szCs w:val="20"/>
        </w:rPr>
        <w:t>.</w:t>
      </w:r>
      <w:r w:rsidR="003D0A3F" w:rsidRPr="00256677">
        <w:rPr>
          <w:rStyle w:val="FootnoteReference"/>
          <w:rFonts w:asciiTheme="majorHAnsi" w:eastAsia="Times New Roman" w:hAnsiTheme="majorHAnsi"/>
          <w:sz w:val="20"/>
          <w:szCs w:val="20"/>
        </w:rPr>
        <w:footnoteReference w:id="60"/>
      </w:r>
      <w:r w:rsidR="003D0A3F" w:rsidRPr="00256677">
        <w:rPr>
          <w:rFonts w:asciiTheme="majorHAnsi" w:eastAsia="Times New Roman" w:hAnsiTheme="majorHAnsi"/>
          <w:sz w:val="20"/>
          <w:szCs w:val="20"/>
        </w:rPr>
        <w:t xml:space="preserve">   </w:t>
      </w:r>
    </w:p>
    <w:p w14:paraId="2578F52F" w14:textId="77777777" w:rsidR="005A2217" w:rsidRPr="00256677" w:rsidRDefault="005A2217" w:rsidP="005A2217">
      <w:pPr>
        <w:pStyle w:val="ListParagraph"/>
        <w:rPr>
          <w:rFonts w:asciiTheme="majorHAnsi" w:hAnsiTheme="majorHAnsi"/>
          <w:sz w:val="20"/>
          <w:szCs w:val="20"/>
        </w:rPr>
      </w:pPr>
    </w:p>
    <w:p w14:paraId="2C62C88B" w14:textId="77777777" w:rsidR="005A2217" w:rsidRPr="00BF0A9E" w:rsidRDefault="00BF0A9E" w:rsidP="00BF0A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BF0A9E">
        <w:rPr>
          <w:rFonts w:asciiTheme="majorHAnsi" w:hAnsiTheme="majorHAnsi"/>
          <w:color w:val="000000"/>
          <w:sz w:val="20"/>
          <w:szCs w:val="20"/>
        </w:rPr>
        <w:t>Finally, the IACHR has established that the right to judicial guarantees gives rise to the duty to give reason for judicial decisions. This is the explanation of the reasoned justification that allows the court to render judgment on the merits of a case. This duty is linked to the correct administration of justice, which protects the right of individuals to be tried for the reasons provided by law, and gives credibility to judicial decisions within the framework of a democratic society. In this regard, the reasoning must show that the claims brought by the defense and the prosecution have been duly considered and that the evidence has been analyzed. Likewise, when the decision is appealable, the reasoning provides the parties with the possibility of objecting to a decision and obtaining a new examination of the matter before higher courts</w:t>
      </w:r>
      <w:r w:rsidR="0079658B" w:rsidRPr="00BF0A9E">
        <w:rPr>
          <w:rFonts w:asciiTheme="majorHAnsi" w:hAnsiTheme="majorHAnsi"/>
          <w:sz w:val="20"/>
          <w:szCs w:val="20"/>
        </w:rPr>
        <w:t>.</w:t>
      </w:r>
      <w:r w:rsidR="0079658B" w:rsidRPr="00BF0A9E">
        <w:rPr>
          <w:rStyle w:val="FootnoteReference"/>
          <w:rFonts w:asciiTheme="majorHAnsi" w:hAnsiTheme="majorHAnsi"/>
          <w:sz w:val="20"/>
          <w:szCs w:val="20"/>
        </w:rPr>
        <w:footnoteReference w:id="61"/>
      </w:r>
      <w:r w:rsidR="0079658B" w:rsidRPr="00BF0A9E">
        <w:rPr>
          <w:rFonts w:asciiTheme="majorHAnsi" w:hAnsiTheme="majorHAnsi"/>
          <w:sz w:val="20"/>
          <w:szCs w:val="20"/>
        </w:rPr>
        <w:t xml:space="preserve"> </w:t>
      </w:r>
      <w:r w:rsidR="005A2217" w:rsidRPr="00BF0A9E">
        <w:rPr>
          <w:rFonts w:asciiTheme="majorHAnsi" w:hAnsiTheme="majorHAnsi"/>
          <w:sz w:val="20"/>
          <w:szCs w:val="20"/>
        </w:rPr>
        <w:t xml:space="preserve">  </w:t>
      </w:r>
    </w:p>
    <w:p w14:paraId="64B44660" w14:textId="77777777" w:rsidR="00F337EB" w:rsidRPr="00BF0A9E" w:rsidRDefault="00F337EB" w:rsidP="00BF0A9E">
      <w:pPr>
        <w:tabs>
          <w:tab w:val="left" w:pos="360"/>
        </w:tabs>
        <w:jc w:val="both"/>
        <w:rPr>
          <w:rFonts w:asciiTheme="majorHAnsi" w:hAnsiTheme="majorHAnsi"/>
          <w:sz w:val="20"/>
          <w:szCs w:val="20"/>
        </w:rPr>
      </w:pPr>
    </w:p>
    <w:p w14:paraId="72FCAE75" w14:textId="77777777" w:rsidR="002D0ED4" w:rsidRPr="00256677" w:rsidRDefault="002D0ED4" w:rsidP="006E07EB">
      <w:pPr>
        <w:pStyle w:val="Heading3"/>
        <w:numPr>
          <w:ilvl w:val="1"/>
          <w:numId w:val="53"/>
        </w:numPr>
        <w:spacing w:before="0"/>
        <w:ind w:left="360"/>
        <w:rPr>
          <w:color w:val="auto"/>
          <w:sz w:val="20"/>
          <w:szCs w:val="20"/>
        </w:rPr>
      </w:pPr>
      <w:bookmarkStart w:id="15" w:name="_Toc90284145"/>
      <w:r w:rsidRPr="00256677">
        <w:rPr>
          <w:color w:val="auto"/>
          <w:sz w:val="20"/>
          <w:szCs w:val="20"/>
        </w:rPr>
        <w:t>Analysis of the case</w:t>
      </w:r>
      <w:bookmarkEnd w:id="15"/>
    </w:p>
    <w:p w14:paraId="62BDB9AF" w14:textId="77777777" w:rsidR="002D0ED4" w:rsidRPr="00256677" w:rsidRDefault="002D0ED4" w:rsidP="0024722E">
      <w:pPr>
        <w:tabs>
          <w:tab w:val="left" w:pos="360"/>
        </w:tabs>
        <w:rPr>
          <w:rFonts w:asciiTheme="majorHAnsi" w:hAnsiTheme="majorHAnsi"/>
          <w:sz w:val="20"/>
          <w:szCs w:val="20"/>
        </w:rPr>
      </w:pPr>
    </w:p>
    <w:p w14:paraId="23896018" w14:textId="77777777" w:rsidR="00F642A9" w:rsidRPr="00256677" w:rsidRDefault="00F642A9" w:rsidP="00F642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According to domestic decisions, </w:t>
      </w:r>
      <w:r w:rsidR="00CF4BAF" w:rsidRPr="00256677">
        <w:rPr>
          <w:rFonts w:asciiTheme="majorHAnsi" w:hAnsiTheme="majorHAnsi"/>
          <w:sz w:val="20"/>
          <w:szCs w:val="20"/>
        </w:rPr>
        <w:t xml:space="preserve">on </w:t>
      </w:r>
      <w:r w:rsidR="00A92AB3" w:rsidRPr="00256677">
        <w:rPr>
          <w:rFonts w:asciiTheme="majorHAnsi" w:hAnsiTheme="majorHAnsi"/>
          <w:sz w:val="20"/>
          <w:szCs w:val="20"/>
        </w:rPr>
        <w:t xml:space="preserve">the day of the events that resulted in the conviction, </w:t>
      </w:r>
      <w:r w:rsidRPr="00256677">
        <w:rPr>
          <w:rFonts w:asciiTheme="majorHAnsi" w:hAnsiTheme="majorHAnsi"/>
          <w:sz w:val="20"/>
          <w:szCs w:val="20"/>
        </w:rPr>
        <w:t xml:space="preserve">Marlin Gray </w:t>
      </w:r>
      <w:r w:rsidR="007700F7" w:rsidRPr="00256677">
        <w:rPr>
          <w:rFonts w:asciiTheme="majorHAnsi" w:hAnsiTheme="majorHAnsi"/>
          <w:sz w:val="20"/>
          <w:szCs w:val="20"/>
        </w:rPr>
        <w:t xml:space="preserve">and three of his friends met Mr. Cummins and the Kerry sisters. Mr. Gray </w:t>
      </w:r>
      <w:r w:rsidR="00671CE4" w:rsidRPr="00256677">
        <w:rPr>
          <w:rFonts w:asciiTheme="majorHAnsi" w:hAnsiTheme="majorHAnsi"/>
          <w:sz w:val="20"/>
          <w:szCs w:val="20"/>
        </w:rPr>
        <w:t>robbed Mr. Cummins and raped one of the sisters</w:t>
      </w:r>
      <w:r w:rsidR="007700F7" w:rsidRPr="00256677">
        <w:rPr>
          <w:rFonts w:asciiTheme="majorHAnsi" w:hAnsiTheme="majorHAnsi"/>
          <w:sz w:val="20"/>
          <w:szCs w:val="20"/>
        </w:rPr>
        <w:t>, and then</w:t>
      </w:r>
      <w:r w:rsidR="00671CE4" w:rsidRPr="00256677">
        <w:rPr>
          <w:rFonts w:asciiTheme="majorHAnsi" w:hAnsiTheme="majorHAnsi"/>
          <w:sz w:val="20"/>
          <w:szCs w:val="20"/>
        </w:rPr>
        <w:t xml:space="preserve"> </w:t>
      </w:r>
      <w:r w:rsidR="007700F7" w:rsidRPr="00256677">
        <w:rPr>
          <w:rFonts w:asciiTheme="majorHAnsi" w:hAnsiTheme="majorHAnsi"/>
          <w:sz w:val="20"/>
          <w:szCs w:val="20"/>
        </w:rPr>
        <w:t xml:space="preserve">Richardson, Mr. Gray’s friend, pushed the sisters into the river and told Mr. Cummins to jump. </w:t>
      </w:r>
      <w:r w:rsidR="005134DB" w:rsidRPr="00256677">
        <w:rPr>
          <w:rFonts w:asciiTheme="majorHAnsi" w:hAnsiTheme="majorHAnsi"/>
          <w:sz w:val="20"/>
          <w:szCs w:val="20"/>
        </w:rPr>
        <w:t>Mr. Gray</w:t>
      </w:r>
      <w:r w:rsidR="00B80183" w:rsidRPr="00256677">
        <w:rPr>
          <w:rFonts w:asciiTheme="majorHAnsi" w:hAnsiTheme="majorHAnsi"/>
          <w:sz w:val="20"/>
          <w:szCs w:val="20"/>
        </w:rPr>
        <w:t>, a first time offender,</w:t>
      </w:r>
      <w:r w:rsidR="005134DB" w:rsidRPr="00256677">
        <w:rPr>
          <w:rFonts w:asciiTheme="majorHAnsi" w:hAnsiTheme="majorHAnsi"/>
          <w:sz w:val="20"/>
          <w:szCs w:val="20"/>
        </w:rPr>
        <w:t xml:space="preserve"> was sentenced </w:t>
      </w:r>
      <w:r w:rsidR="004613B3" w:rsidRPr="00256677">
        <w:rPr>
          <w:rFonts w:asciiTheme="majorHAnsi" w:hAnsiTheme="majorHAnsi"/>
          <w:sz w:val="20"/>
          <w:szCs w:val="20"/>
        </w:rPr>
        <w:t>to death on two counts of first-</w:t>
      </w:r>
      <w:r w:rsidR="005134DB" w:rsidRPr="00256677">
        <w:rPr>
          <w:rFonts w:asciiTheme="majorHAnsi" w:hAnsiTheme="majorHAnsi"/>
          <w:sz w:val="20"/>
          <w:szCs w:val="20"/>
        </w:rPr>
        <w:t xml:space="preserve">degree murder and other felonies. The conviction and sentence were affirmed by the courts in direct appeal and </w:t>
      </w:r>
      <w:r w:rsidR="00483B03" w:rsidRPr="00256677">
        <w:rPr>
          <w:rFonts w:asciiTheme="majorHAnsi" w:hAnsiTheme="majorHAnsi"/>
          <w:sz w:val="20"/>
          <w:szCs w:val="20"/>
        </w:rPr>
        <w:t>in post-conviction.</w:t>
      </w:r>
    </w:p>
    <w:p w14:paraId="68383350" w14:textId="77777777" w:rsidR="00483B03" w:rsidRPr="00256677" w:rsidRDefault="00483B03" w:rsidP="00483B03">
      <w:pPr>
        <w:pStyle w:val="ListParagraph"/>
        <w:rPr>
          <w:rFonts w:asciiTheme="majorHAnsi" w:hAnsiTheme="majorHAnsi"/>
          <w:sz w:val="20"/>
          <w:szCs w:val="20"/>
        </w:rPr>
      </w:pPr>
    </w:p>
    <w:p w14:paraId="4F155F8D" w14:textId="77777777" w:rsidR="000564D3" w:rsidRPr="00256677" w:rsidRDefault="000564D3" w:rsidP="000564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The Commission reiterates that it is not competent to review judgments handed down by domestic courts acting within their spheres of competence and with due judicial guarantees. In principle, that is because the IACHR does not have the authority to superimpose its own interpretations on the assessment of facts made by national courts. The fourth instance formula, however, does not preclude the Commission from considering a case in which the petitioner’s allegations entail a possible violation of any of the rights set forth in the Declaration. This authority is heightened in cases involving imposition of the death penalty, given its irreversibility.</w:t>
      </w:r>
      <w:r w:rsidRPr="00256677">
        <w:rPr>
          <w:rStyle w:val="FootnoteReference"/>
          <w:rFonts w:asciiTheme="majorHAnsi" w:hAnsiTheme="majorHAnsi"/>
          <w:sz w:val="20"/>
          <w:szCs w:val="20"/>
        </w:rPr>
        <w:footnoteReference w:id="62"/>
      </w:r>
      <w:r w:rsidRPr="00256677">
        <w:rPr>
          <w:rFonts w:asciiTheme="majorHAnsi" w:hAnsiTheme="majorHAnsi"/>
          <w:sz w:val="20"/>
          <w:szCs w:val="20"/>
        </w:rPr>
        <w:t xml:space="preserve"> Therefore, the IACHR must ensure that any deprivation of life resulting from imposition of the death penalty complies with the requirements of the American Declaration.</w:t>
      </w:r>
      <w:r w:rsidRPr="00256677">
        <w:rPr>
          <w:rStyle w:val="FootnoteReference"/>
          <w:rFonts w:asciiTheme="majorHAnsi" w:hAnsiTheme="majorHAnsi"/>
          <w:sz w:val="20"/>
          <w:szCs w:val="20"/>
        </w:rPr>
        <w:footnoteReference w:id="63"/>
      </w:r>
      <w:r w:rsidRPr="00256677">
        <w:rPr>
          <w:rFonts w:asciiTheme="majorHAnsi" w:hAnsiTheme="majorHAnsi"/>
          <w:sz w:val="20"/>
          <w:szCs w:val="20"/>
        </w:rPr>
        <w:t xml:space="preserve"> </w:t>
      </w:r>
    </w:p>
    <w:p w14:paraId="01FF75C0" w14:textId="77777777" w:rsidR="000E6C43" w:rsidRPr="00256677" w:rsidRDefault="000E6C43" w:rsidP="000E6C43">
      <w:pPr>
        <w:pStyle w:val="ListParagraph"/>
        <w:rPr>
          <w:rFonts w:asciiTheme="majorHAnsi" w:hAnsiTheme="majorHAnsi"/>
          <w:sz w:val="20"/>
          <w:szCs w:val="20"/>
        </w:rPr>
      </w:pPr>
    </w:p>
    <w:p w14:paraId="4054EBD7" w14:textId="77777777" w:rsidR="000E6C43" w:rsidRPr="00256677" w:rsidRDefault="000E6C43" w:rsidP="000564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The Commission will </w:t>
      </w:r>
      <w:r w:rsidR="00A03CAB" w:rsidRPr="00256677">
        <w:rPr>
          <w:rFonts w:asciiTheme="majorHAnsi" w:hAnsiTheme="majorHAnsi"/>
          <w:sz w:val="20"/>
          <w:szCs w:val="20"/>
        </w:rPr>
        <w:t xml:space="preserve">now </w:t>
      </w:r>
      <w:r w:rsidRPr="00256677">
        <w:rPr>
          <w:rFonts w:asciiTheme="majorHAnsi" w:hAnsiTheme="majorHAnsi"/>
          <w:sz w:val="20"/>
          <w:szCs w:val="20"/>
        </w:rPr>
        <w:t>determine whether in Mr. Gray’s case the death penalty was</w:t>
      </w:r>
      <w:r w:rsidR="00E12B3B" w:rsidRPr="00256677">
        <w:rPr>
          <w:rFonts w:asciiTheme="majorHAnsi" w:hAnsiTheme="majorHAnsi"/>
          <w:sz w:val="20"/>
          <w:szCs w:val="20"/>
        </w:rPr>
        <w:t xml:space="preserve"> applied in accordance with the </w:t>
      </w:r>
      <w:r w:rsidRPr="00256677">
        <w:rPr>
          <w:rFonts w:asciiTheme="majorHAnsi" w:hAnsiTheme="majorHAnsi"/>
          <w:sz w:val="20"/>
          <w:szCs w:val="20"/>
        </w:rPr>
        <w:t>inter-American and international standards referred to above, in particular, if it was applied to a crime of exceptional gravity prescribed by pre-existing law.</w:t>
      </w:r>
    </w:p>
    <w:p w14:paraId="14E86D94" w14:textId="77777777" w:rsidR="000564D3" w:rsidRPr="00256677" w:rsidRDefault="000564D3" w:rsidP="00483B03">
      <w:pPr>
        <w:pStyle w:val="ListParagraph"/>
        <w:rPr>
          <w:rFonts w:asciiTheme="majorHAnsi" w:hAnsiTheme="majorHAnsi"/>
          <w:sz w:val="20"/>
          <w:szCs w:val="20"/>
        </w:rPr>
      </w:pPr>
    </w:p>
    <w:p w14:paraId="33C08269" w14:textId="77777777" w:rsidR="002D1C82" w:rsidRPr="00256677" w:rsidRDefault="002F1D34" w:rsidP="007E1A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According to Missouri’s law, a person commits the</w:t>
      </w:r>
      <w:r w:rsidR="00993D72" w:rsidRPr="00256677">
        <w:rPr>
          <w:rFonts w:asciiTheme="majorHAnsi" w:hAnsiTheme="majorHAnsi"/>
          <w:sz w:val="20"/>
          <w:szCs w:val="20"/>
        </w:rPr>
        <w:t xml:space="preserve"> offense of murder in the first-</w:t>
      </w:r>
      <w:r w:rsidRPr="00256677">
        <w:rPr>
          <w:rFonts w:asciiTheme="majorHAnsi" w:hAnsiTheme="majorHAnsi"/>
          <w:sz w:val="20"/>
          <w:szCs w:val="20"/>
        </w:rPr>
        <w:t xml:space="preserve">degree if he or she knowingly causes the death of another person “after deliberation upon the matter.” The law defines deliberation as cool reflection “for any length of time no matter how brief.” </w:t>
      </w:r>
      <w:r w:rsidR="002449BB" w:rsidRPr="00256677">
        <w:rPr>
          <w:rFonts w:asciiTheme="majorHAnsi" w:hAnsiTheme="majorHAnsi"/>
          <w:sz w:val="20"/>
          <w:szCs w:val="20"/>
        </w:rPr>
        <w:t xml:space="preserve">Also, </w:t>
      </w:r>
      <w:r w:rsidR="00A449AE" w:rsidRPr="00256677">
        <w:rPr>
          <w:rFonts w:asciiTheme="majorHAnsi" w:hAnsiTheme="majorHAnsi"/>
          <w:sz w:val="20"/>
          <w:szCs w:val="20"/>
        </w:rPr>
        <w:t>under</w:t>
      </w:r>
      <w:r w:rsidR="002449BB" w:rsidRPr="00256677">
        <w:rPr>
          <w:rFonts w:asciiTheme="majorHAnsi" w:hAnsiTheme="majorHAnsi"/>
          <w:sz w:val="20"/>
          <w:szCs w:val="20"/>
        </w:rPr>
        <w:t xml:space="preserve"> </w:t>
      </w:r>
      <w:r w:rsidR="00993D72" w:rsidRPr="00256677">
        <w:rPr>
          <w:rFonts w:asciiTheme="majorHAnsi" w:hAnsiTheme="majorHAnsi"/>
          <w:sz w:val="20"/>
          <w:szCs w:val="20"/>
        </w:rPr>
        <w:t>Missouri law, a person may be guilty of first-degree murder without being the actual killer. According to applicable</w:t>
      </w:r>
      <w:r w:rsidR="002449BB" w:rsidRPr="00256677">
        <w:rPr>
          <w:rFonts w:asciiTheme="majorHAnsi" w:hAnsiTheme="majorHAnsi"/>
          <w:sz w:val="20"/>
          <w:szCs w:val="20"/>
        </w:rPr>
        <w:t xml:space="preserve"> case law, there are certain circumstances permitting inference that an accomplice deliberated upon murder. </w:t>
      </w:r>
      <w:r w:rsidR="002D1C82" w:rsidRPr="00256677">
        <w:rPr>
          <w:rFonts w:asciiTheme="majorHAnsi" w:hAnsiTheme="majorHAnsi"/>
          <w:sz w:val="20"/>
          <w:szCs w:val="20"/>
        </w:rPr>
        <w:t xml:space="preserve">Such inference takes place, </w:t>
      </w:r>
      <w:r w:rsidR="002D1C82" w:rsidRPr="00256677">
        <w:rPr>
          <w:rFonts w:asciiTheme="majorHAnsi" w:hAnsiTheme="majorHAnsi"/>
          <w:i/>
          <w:sz w:val="20"/>
          <w:szCs w:val="20"/>
        </w:rPr>
        <w:t>inter alia</w:t>
      </w:r>
      <w:r w:rsidR="002D1C82" w:rsidRPr="00256677">
        <w:rPr>
          <w:rFonts w:asciiTheme="majorHAnsi" w:hAnsiTheme="majorHAnsi"/>
          <w:sz w:val="20"/>
          <w:szCs w:val="20"/>
        </w:rPr>
        <w:t>, when a statement or conduct by a codefendant in the presence of the accomplice prior to the murder indicates a purpose to kill a human, and where there is evidence that the accomplice continued in the criminal enterprise when it was apparent that a victim was to be killed.</w:t>
      </w:r>
      <w:r w:rsidR="001D5E5E" w:rsidRPr="00256677">
        <w:rPr>
          <w:rFonts w:asciiTheme="majorHAnsi" w:hAnsiTheme="majorHAnsi"/>
          <w:sz w:val="20"/>
          <w:szCs w:val="20"/>
        </w:rPr>
        <w:t xml:space="preserve"> Under Missouri law, first-degree murder is eligible for the death penalty.</w:t>
      </w:r>
    </w:p>
    <w:p w14:paraId="7B57C018" w14:textId="77777777" w:rsidR="002D1C82" w:rsidRPr="00256677" w:rsidRDefault="002D1C82" w:rsidP="002D1C82">
      <w:pPr>
        <w:pStyle w:val="ListParagraph"/>
        <w:rPr>
          <w:rFonts w:asciiTheme="majorHAnsi" w:hAnsiTheme="majorHAnsi"/>
          <w:sz w:val="20"/>
          <w:szCs w:val="20"/>
        </w:rPr>
      </w:pPr>
    </w:p>
    <w:p w14:paraId="707163A2" w14:textId="77777777" w:rsidR="00A03CAB" w:rsidRPr="00256677" w:rsidRDefault="002D1C82" w:rsidP="007E1A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In </w:t>
      </w:r>
      <w:r w:rsidR="006145C8" w:rsidRPr="00256677">
        <w:rPr>
          <w:rFonts w:asciiTheme="majorHAnsi" w:hAnsiTheme="majorHAnsi"/>
          <w:sz w:val="20"/>
          <w:szCs w:val="20"/>
        </w:rPr>
        <w:t>the instant</w:t>
      </w:r>
      <w:r w:rsidRPr="00256677">
        <w:rPr>
          <w:rFonts w:asciiTheme="majorHAnsi" w:hAnsiTheme="majorHAnsi"/>
          <w:sz w:val="20"/>
          <w:szCs w:val="20"/>
        </w:rPr>
        <w:t xml:space="preserve"> case, </w:t>
      </w:r>
      <w:r w:rsidR="00993D72" w:rsidRPr="00256677">
        <w:rPr>
          <w:rFonts w:asciiTheme="majorHAnsi" w:hAnsiTheme="majorHAnsi"/>
          <w:sz w:val="20"/>
          <w:szCs w:val="20"/>
        </w:rPr>
        <w:t xml:space="preserve">the </w:t>
      </w:r>
      <w:r w:rsidR="002F4DB7" w:rsidRPr="00256677">
        <w:rPr>
          <w:rFonts w:asciiTheme="majorHAnsi" w:hAnsiTheme="majorHAnsi"/>
          <w:sz w:val="20"/>
          <w:szCs w:val="20"/>
        </w:rPr>
        <w:t xml:space="preserve">jury </w:t>
      </w:r>
      <w:r w:rsidR="006145C8" w:rsidRPr="00256677">
        <w:rPr>
          <w:rFonts w:asciiTheme="majorHAnsi" w:hAnsiTheme="majorHAnsi"/>
          <w:sz w:val="20"/>
          <w:szCs w:val="20"/>
        </w:rPr>
        <w:t xml:space="preserve">convicted Mr. Gray of two counts of first-degree murder as an accomplice in the death of Julie and Robin Kerry. </w:t>
      </w:r>
      <w:r w:rsidR="002F4DB7" w:rsidRPr="00256677">
        <w:rPr>
          <w:rFonts w:asciiTheme="majorHAnsi" w:hAnsiTheme="majorHAnsi"/>
          <w:sz w:val="20"/>
          <w:szCs w:val="20"/>
        </w:rPr>
        <w:t xml:space="preserve">Regarding the elements of the offenses, the </w:t>
      </w:r>
      <w:r w:rsidR="00993D72" w:rsidRPr="00256677">
        <w:rPr>
          <w:rFonts w:asciiTheme="majorHAnsi" w:hAnsiTheme="majorHAnsi"/>
          <w:sz w:val="20"/>
          <w:szCs w:val="20"/>
        </w:rPr>
        <w:t xml:space="preserve">courts </w:t>
      </w:r>
      <w:r w:rsidR="002F4DB7" w:rsidRPr="00256677">
        <w:rPr>
          <w:rFonts w:asciiTheme="majorHAnsi" w:hAnsiTheme="majorHAnsi"/>
          <w:sz w:val="20"/>
          <w:szCs w:val="20"/>
        </w:rPr>
        <w:t>remarked that</w:t>
      </w:r>
      <w:r w:rsidR="001644FC" w:rsidRPr="00256677">
        <w:rPr>
          <w:rFonts w:asciiTheme="majorHAnsi" w:hAnsiTheme="majorHAnsi"/>
          <w:sz w:val="20"/>
          <w:szCs w:val="20"/>
        </w:rPr>
        <w:t xml:space="preserve"> Mr. Gray p</w:t>
      </w:r>
      <w:r w:rsidR="00A449AE" w:rsidRPr="00256677">
        <w:rPr>
          <w:rFonts w:asciiTheme="majorHAnsi" w:hAnsiTheme="majorHAnsi"/>
          <w:sz w:val="20"/>
          <w:szCs w:val="20"/>
        </w:rPr>
        <w:t>articipat</w:t>
      </w:r>
      <w:r w:rsidR="001644FC" w:rsidRPr="00256677">
        <w:rPr>
          <w:rFonts w:asciiTheme="majorHAnsi" w:hAnsiTheme="majorHAnsi"/>
          <w:sz w:val="20"/>
          <w:szCs w:val="20"/>
        </w:rPr>
        <w:t>ed</w:t>
      </w:r>
      <w:r w:rsidR="00A449AE" w:rsidRPr="00256677">
        <w:rPr>
          <w:rFonts w:asciiTheme="majorHAnsi" w:hAnsiTheme="majorHAnsi"/>
          <w:sz w:val="20"/>
          <w:szCs w:val="20"/>
        </w:rPr>
        <w:t xml:space="preserve"> in the planning and execution of rape and robbery, </w:t>
      </w:r>
      <w:r w:rsidR="001D5E5E" w:rsidRPr="00256677">
        <w:rPr>
          <w:rFonts w:asciiTheme="majorHAnsi" w:hAnsiTheme="majorHAnsi"/>
          <w:sz w:val="20"/>
          <w:szCs w:val="20"/>
        </w:rPr>
        <w:t>his</w:t>
      </w:r>
      <w:r w:rsidR="008E668C" w:rsidRPr="00256677">
        <w:rPr>
          <w:rFonts w:asciiTheme="majorHAnsi" w:hAnsiTheme="majorHAnsi"/>
          <w:sz w:val="20"/>
          <w:szCs w:val="20"/>
        </w:rPr>
        <w:t xml:space="preserve"> associates committed murder</w:t>
      </w:r>
      <w:r w:rsidR="001644FC" w:rsidRPr="00256677">
        <w:rPr>
          <w:rFonts w:asciiTheme="majorHAnsi" w:hAnsiTheme="majorHAnsi"/>
          <w:sz w:val="20"/>
          <w:szCs w:val="20"/>
        </w:rPr>
        <w:t>,</w:t>
      </w:r>
      <w:r w:rsidR="008E668C" w:rsidRPr="00256677">
        <w:rPr>
          <w:rFonts w:asciiTheme="majorHAnsi" w:hAnsiTheme="majorHAnsi"/>
          <w:sz w:val="20"/>
          <w:szCs w:val="20"/>
        </w:rPr>
        <w:t xml:space="preserve"> and he </w:t>
      </w:r>
      <w:r w:rsidR="001644FC" w:rsidRPr="00256677">
        <w:rPr>
          <w:rFonts w:asciiTheme="majorHAnsi" w:hAnsiTheme="majorHAnsi"/>
          <w:sz w:val="20"/>
          <w:szCs w:val="20"/>
        </w:rPr>
        <w:t>acted</w:t>
      </w:r>
      <w:r w:rsidR="008E668C" w:rsidRPr="00256677">
        <w:rPr>
          <w:rFonts w:asciiTheme="majorHAnsi" w:hAnsiTheme="majorHAnsi"/>
          <w:sz w:val="20"/>
          <w:szCs w:val="20"/>
        </w:rPr>
        <w:t xml:space="preserve"> with them</w:t>
      </w:r>
      <w:r w:rsidR="001644FC" w:rsidRPr="00256677">
        <w:rPr>
          <w:rFonts w:asciiTheme="majorHAnsi" w:hAnsiTheme="majorHAnsi"/>
          <w:sz w:val="20"/>
          <w:szCs w:val="20"/>
        </w:rPr>
        <w:t xml:space="preserve"> to cause the death</w:t>
      </w:r>
      <w:r w:rsidR="008E668C" w:rsidRPr="00256677">
        <w:rPr>
          <w:rFonts w:asciiTheme="majorHAnsi" w:hAnsiTheme="majorHAnsi"/>
          <w:sz w:val="20"/>
          <w:szCs w:val="20"/>
        </w:rPr>
        <w:t>.</w:t>
      </w:r>
      <w:r w:rsidR="001644FC" w:rsidRPr="00256677">
        <w:rPr>
          <w:rFonts w:asciiTheme="majorHAnsi" w:hAnsiTheme="majorHAnsi"/>
          <w:sz w:val="20"/>
          <w:szCs w:val="20"/>
        </w:rPr>
        <w:t xml:space="preserve"> </w:t>
      </w:r>
      <w:r w:rsidR="000868E3" w:rsidRPr="00256677">
        <w:rPr>
          <w:rFonts w:asciiTheme="majorHAnsi" w:hAnsiTheme="majorHAnsi"/>
          <w:sz w:val="20"/>
          <w:szCs w:val="20"/>
        </w:rPr>
        <w:t xml:space="preserve">Therefore, the information on the record </w:t>
      </w:r>
      <w:r w:rsidR="001528F1" w:rsidRPr="00256677">
        <w:rPr>
          <w:rFonts w:asciiTheme="majorHAnsi" w:hAnsiTheme="majorHAnsi"/>
          <w:sz w:val="20"/>
          <w:szCs w:val="20"/>
        </w:rPr>
        <w:t>shows that</w:t>
      </w:r>
      <w:r w:rsidR="00A03CAB" w:rsidRPr="00256677">
        <w:rPr>
          <w:rFonts w:asciiTheme="majorHAnsi" w:hAnsiTheme="majorHAnsi"/>
          <w:sz w:val="20"/>
          <w:szCs w:val="20"/>
        </w:rPr>
        <w:t xml:space="preserve"> Mr. Gray was convicted of first-degree murder based on pre-existing law. Further, the IACHR has no elements to conclude that </w:t>
      </w:r>
      <w:r w:rsidR="005837C8" w:rsidRPr="00256677">
        <w:rPr>
          <w:rFonts w:asciiTheme="majorHAnsi" w:hAnsiTheme="majorHAnsi"/>
          <w:sz w:val="20"/>
          <w:szCs w:val="20"/>
        </w:rPr>
        <w:t>Missouri’s</w:t>
      </w:r>
      <w:r w:rsidR="00A03CAB" w:rsidRPr="00256677">
        <w:rPr>
          <w:rFonts w:asciiTheme="majorHAnsi" w:hAnsiTheme="majorHAnsi"/>
          <w:sz w:val="20"/>
          <w:szCs w:val="20"/>
        </w:rPr>
        <w:t xml:space="preserve"> law</w:t>
      </w:r>
      <w:r w:rsidR="005837C8" w:rsidRPr="00256677">
        <w:rPr>
          <w:rFonts w:asciiTheme="majorHAnsi" w:hAnsiTheme="majorHAnsi"/>
          <w:sz w:val="20"/>
          <w:szCs w:val="20"/>
        </w:rPr>
        <w:t>, in and of itself, is</w:t>
      </w:r>
      <w:r w:rsidR="00A03CAB" w:rsidRPr="00256677">
        <w:rPr>
          <w:rFonts w:asciiTheme="majorHAnsi" w:hAnsiTheme="majorHAnsi"/>
          <w:sz w:val="20"/>
          <w:szCs w:val="20"/>
        </w:rPr>
        <w:t xml:space="preserve"> contrary to the American Declaration or inter-American human rights standards.</w:t>
      </w:r>
    </w:p>
    <w:p w14:paraId="49083510" w14:textId="77777777" w:rsidR="00A03CAB" w:rsidRPr="00256677" w:rsidRDefault="00A03CAB" w:rsidP="00A03CAB">
      <w:pPr>
        <w:pStyle w:val="ListParagraph"/>
        <w:rPr>
          <w:rFonts w:asciiTheme="majorHAnsi" w:hAnsiTheme="majorHAnsi"/>
          <w:sz w:val="20"/>
          <w:szCs w:val="20"/>
        </w:rPr>
      </w:pPr>
    </w:p>
    <w:p w14:paraId="5AE8805A" w14:textId="77777777" w:rsidR="000203E6" w:rsidRPr="00256677" w:rsidRDefault="00DA7A6A" w:rsidP="007E1A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After </w:t>
      </w:r>
      <w:r w:rsidR="00A344FD" w:rsidRPr="00256677">
        <w:rPr>
          <w:rFonts w:asciiTheme="majorHAnsi" w:hAnsiTheme="majorHAnsi"/>
          <w:sz w:val="20"/>
          <w:szCs w:val="20"/>
        </w:rPr>
        <w:t>finding</w:t>
      </w:r>
      <w:r w:rsidRPr="00256677">
        <w:rPr>
          <w:rFonts w:asciiTheme="majorHAnsi" w:hAnsiTheme="majorHAnsi"/>
          <w:sz w:val="20"/>
          <w:szCs w:val="20"/>
        </w:rPr>
        <w:t xml:space="preserve"> Mr. Gray</w:t>
      </w:r>
      <w:r w:rsidR="00A344FD" w:rsidRPr="00256677">
        <w:rPr>
          <w:rFonts w:asciiTheme="majorHAnsi" w:hAnsiTheme="majorHAnsi"/>
          <w:sz w:val="20"/>
          <w:szCs w:val="20"/>
        </w:rPr>
        <w:t xml:space="preserve"> guilty</w:t>
      </w:r>
      <w:r w:rsidRPr="00256677">
        <w:rPr>
          <w:rFonts w:asciiTheme="majorHAnsi" w:hAnsiTheme="majorHAnsi"/>
          <w:sz w:val="20"/>
          <w:szCs w:val="20"/>
        </w:rPr>
        <w:t xml:space="preserve"> of two counts of first-degree murder, the jury returned a verdict of death and the St. Louis City Circuit Court sentenced him to the death penalty. According to the information provided by the State, not contested by Petitioners, the jury found six statutory aggravating circumstances in each count of murder as a basis for considering capital punishment. </w:t>
      </w:r>
      <w:r w:rsidR="002E21F2" w:rsidRPr="00256677">
        <w:rPr>
          <w:rFonts w:asciiTheme="majorHAnsi" w:hAnsiTheme="majorHAnsi"/>
          <w:sz w:val="20"/>
          <w:szCs w:val="20"/>
        </w:rPr>
        <w:t xml:space="preserve">There is no information on the file indicating which </w:t>
      </w:r>
      <w:r w:rsidR="00497D2C" w:rsidRPr="00256677">
        <w:rPr>
          <w:rFonts w:asciiTheme="majorHAnsi" w:hAnsiTheme="majorHAnsi"/>
          <w:sz w:val="20"/>
          <w:szCs w:val="20"/>
        </w:rPr>
        <w:t xml:space="preserve">of the </w:t>
      </w:r>
      <w:r w:rsidR="002E21F2" w:rsidRPr="00256677">
        <w:rPr>
          <w:rFonts w:asciiTheme="majorHAnsi" w:hAnsiTheme="majorHAnsi"/>
          <w:sz w:val="20"/>
          <w:szCs w:val="20"/>
        </w:rPr>
        <w:t xml:space="preserve">aggravating circumstances </w:t>
      </w:r>
      <w:r w:rsidR="00497D2C" w:rsidRPr="00256677">
        <w:rPr>
          <w:rFonts w:asciiTheme="majorHAnsi" w:hAnsiTheme="majorHAnsi"/>
          <w:sz w:val="20"/>
          <w:szCs w:val="20"/>
        </w:rPr>
        <w:t xml:space="preserve">established in Missouri statutes </w:t>
      </w:r>
      <w:r w:rsidR="002E21F2" w:rsidRPr="00256677">
        <w:rPr>
          <w:rFonts w:asciiTheme="majorHAnsi" w:hAnsiTheme="majorHAnsi"/>
          <w:sz w:val="20"/>
          <w:szCs w:val="20"/>
        </w:rPr>
        <w:t xml:space="preserve">where specifically considered by the jury. However, </w:t>
      </w:r>
      <w:r w:rsidR="00252C93" w:rsidRPr="00256677">
        <w:rPr>
          <w:rFonts w:asciiTheme="majorHAnsi" w:hAnsiTheme="majorHAnsi"/>
          <w:sz w:val="20"/>
          <w:szCs w:val="20"/>
        </w:rPr>
        <w:t xml:space="preserve">the decisions issued in direct appeal and post-conviction show that </w:t>
      </w:r>
      <w:r w:rsidR="002972C2" w:rsidRPr="00256677">
        <w:rPr>
          <w:rFonts w:asciiTheme="majorHAnsi" w:hAnsiTheme="majorHAnsi"/>
          <w:sz w:val="20"/>
          <w:szCs w:val="20"/>
        </w:rPr>
        <w:t>there was evidence of threats to kill made either by Mr. Gray or in his presence, that he continued in the criminal enterprise after those threats, and that he participated in a discussion about whether Mr. Cummins should be killed, followed by an attempt on Mr. Cummin’s life and the two homicides. This evidence, together with Mr. Gray’s role in the group, and his belief before leaving the bridge that his associate had gone to drawn Julie Kerry in the river, were considered sufficient by the courts to permit an inference by the jury that Mr. Gray had a conscious purpose of committing the acts in which he engaged</w:t>
      </w:r>
      <w:r w:rsidR="00103174" w:rsidRPr="00256677">
        <w:rPr>
          <w:rFonts w:asciiTheme="majorHAnsi" w:hAnsiTheme="majorHAnsi"/>
          <w:sz w:val="20"/>
          <w:szCs w:val="20"/>
        </w:rPr>
        <w:t xml:space="preserve"> so that the victims would be killed</w:t>
      </w:r>
      <w:r w:rsidR="002972C2" w:rsidRPr="00256677">
        <w:rPr>
          <w:rFonts w:asciiTheme="majorHAnsi" w:hAnsiTheme="majorHAnsi"/>
          <w:sz w:val="20"/>
          <w:szCs w:val="20"/>
        </w:rPr>
        <w:t>.</w:t>
      </w:r>
      <w:r w:rsidR="00542B4F" w:rsidRPr="00256677">
        <w:rPr>
          <w:rFonts w:asciiTheme="majorHAnsi" w:hAnsiTheme="majorHAnsi"/>
          <w:sz w:val="20"/>
          <w:szCs w:val="20"/>
        </w:rPr>
        <w:t xml:space="preserve"> </w:t>
      </w:r>
      <w:r w:rsidR="002972C2" w:rsidRPr="00256677">
        <w:rPr>
          <w:rFonts w:asciiTheme="majorHAnsi" w:hAnsiTheme="majorHAnsi"/>
          <w:sz w:val="20"/>
          <w:szCs w:val="20"/>
        </w:rPr>
        <w:t xml:space="preserve"> </w:t>
      </w:r>
    </w:p>
    <w:p w14:paraId="63DC336E" w14:textId="77777777" w:rsidR="00BA273E" w:rsidRPr="00256677" w:rsidRDefault="00BA273E" w:rsidP="000203E6">
      <w:pPr>
        <w:pStyle w:val="ListParagraph"/>
        <w:rPr>
          <w:rFonts w:asciiTheme="majorHAnsi" w:hAnsiTheme="majorHAnsi"/>
          <w:sz w:val="20"/>
          <w:szCs w:val="20"/>
        </w:rPr>
      </w:pPr>
    </w:p>
    <w:p w14:paraId="11ADF60E" w14:textId="77777777" w:rsidR="00F37044" w:rsidRPr="00256677" w:rsidRDefault="00AB5DFA" w:rsidP="00E12B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 xml:space="preserve">As indicated above, compliance with the condition limiting capital punishment to only the most serious crimes </w:t>
      </w:r>
      <w:proofErr w:type="gramStart"/>
      <w:r w:rsidRPr="00256677">
        <w:rPr>
          <w:rFonts w:asciiTheme="majorHAnsi" w:hAnsiTheme="majorHAnsi"/>
          <w:sz w:val="20"/>
          <w:szCs w:val="20"/>
        </w:rPr>
        <w:t>necessitates</w:t>
      </w:r>
      <w:proofErr w:type="gramEnd"/>
      <w:r w:rsidRPr="00256677">
        <w:rPr>
          <w:rFonts w:asciiTheme="majorHAnsi" w:hAnsiTheme="majorHAnsi"/>
          <w:sz w:val="20"/>
          <w:szCs w:val="20"/>
        </w:rPr>
        <w:t xml:space="preserve"> consideration of the individual circumstances of the offender and his or her offense in order to determine whether the death penalty is a permissible punishment in each individual case. </w:t>
      </w:r>
      <w:r w:rsidR="00E50799" w:rsidRPr="00256677">
        <w:rPr>
          <w:rFonts w:asciiTheme="majorHAnsi" w:hAnsiTheme="majorHAnsi"/>
          <w:sz w:val="20"/>
          <w:szCs w:val="20"/>
        </w:rPr>
        <w:t>According to inter-American standards, domestic courts should conduct a graduated assessment of the gravity of the offense</w:t>
      </w:r>
      <w:r w:rsidR="00E676AB" w:rsidRPr="00256677">
        <w:rPr>
          <w:rFonts w:asciiTheme="majorHAnsi" w:hAnsiTheme="majorHAnsi"/>
          <w:sz w:val="20"/>
          <w:szCs w:val="20"/>
        </w:rPr>
        <w:t xml:space="preserve"> based on certain elements such as the motives for the behavior, the circumstances under which the crime is committed, and the means employed by the offender</w:t>
      </w:r>
      <w:r w:rsidR="00E50799" w:rsidRPr="00256677">
        <w:rPr>
          <w:rFonts w:asciiTheme="majorHAnsi" w:hAnsiTheme="majorHAnsi"/>
          <w:sz w:val="20"/>
          <w:szCs w:val="20"/>
        </w:rPr>
        <w:t xml:space="preserve">, so that it will bear an appropriate relation to the graduated levels of gravity of the applicable punishment. </w:t>
      </w:r>
    </w:p>
    <w:p w14:paraId="59C52A8F" w14:textId="77777777" w:rsidR="00F37044" w:rsidRPr="00256677" w:rsidRDefault="00F37044" w:rsidP="00F370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7BFEA7FB" w14:textId="77777777" w:rsidR="002F4DB7" w:rsidRPr="00256677" w:rsidRDefault="00AB5DFA" w:rsidP="00E12B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sz w:val="20"/>
          <w:szCs w:val="20"/>
        </w:rPr>
        <w:t>T</w:t>
      </w:r>
      <w:r w:rsidR="000203E6" w:rsidRPr="00256677">
        <w:rPr>
          <w:rFonts w:asciiTheme="majorHAnsi" w:hAnsiTheme="majorHAnsi"/>
          <w:sz w:val="20"/>
          <w:szCs w:val="20"/>
        </w:rPr>
        <w:t xml:space="preserve">he information </w:t>
      </w:r>
      <w:r w:rsidR="00203653" w:rsidRPr="00256677">
        <w:rPr>
          <w:rFonts w:asciiTheme="majorHAnsi" w:hAnsiTheme="majorHAnsi"/>
          <w:sz w:val="20"/>
          <w:szCs w:val="20"/>
        </w:rPr>
        <w:t xml:space="preserve">available </w:t>
      </w:r>
      <w:r w:rsidR="000203E6" w:rsidRPr="00256677">
        <w:rPr>
          <w:rFonts w:asciiTheme="majorHAnsi" w:hAnsiTheme="majorHAnsi"/>
          <w:sz w:val="20"/>
          <w:szCs w:val="20"/>
        </w:rPr>
        <w:t xml:space="preserve">shows that the jury </w:t>
      </w:r>
      <w:r w:rsidR="00F644B2" w:rsidRPr="00256677">
        <w:rPr>
          <w:rFonts w:asciiTheme="majorHAnsi" w:hAnsiTheme="majorHAnsi"/>
          <w:sz w:val="20"/>
          <w:szCs w:val="20"/>
        </w:rPr>
        <w:t xml:space="preserve">evaluated the individual culpability of Mr. Gray </w:t>
      </w:r>
      <w:r w:rsidR="00E676AB" w:rsidRPr="00256677">
        <w:rPr>
          <w:rFonts w:asciiTheme="majorHAnsi" w:hAnsiTheme="majorHAnsi"/>
          <w:sz w:val="20"/>
          <w:szCs w:val="20"/>
        </w:rPr>
        <w:t xml:space="preserve">based on </w:t>
      </w:r>
      <w:r w:rsidR="00F37044" w:rsidRPr="00256677">
        <w:rPr>
          <w:rFonts w:asciiTheme="majorHAnsi" w:hAnsiTheme="majorHAnsi" w:cs="Arial"/>
          <w:sz w:val="20"/>
          <w:szCs w:val="20"/>
          <w:lang w:val="en"/>
        </w:rPr>
        <w:t xml:space="preserve">statutory aggravating and mitigating circumstances, </w:t>
      </w:r>
      <w:r w:rsidR="00F644B2" w:rsidRPr="00256677">
        <w:rPr>
          <w:rFonts w:asciiTheme="majorHAnsi" w:hAnsiTheme="majorHAnsi"/>
          <w:sz w:val="20"/>
          <w:szCs w:val="20"/>
        </w:rPr>
        <w:t xml:space="preserve">and </w:t>
      </w:r>
      <w:r w:rsidR="000203E6" w:rsidRPr="00256677">
        <w:rPr>
          <w:rFonts w:asciiTheme="majorHAnsi" w:hAnsiTheme="majorHAnsi"/>
          <w:sz w:val="20"/>
          <w:szCs w:val="20"/>
        </w:rPr>
        <w:t xml:space="preserve">imposed the death penalty after considering </w:t>
      </w:r>
      <w:r w:rsidR="00673C1A" w:rsidRPr="00256677">
        <w:rPr>
          <w:rFonts w:asciiTheme="majorHAnsi" w:hAnsiTheme="majorHAnsi"/>
          <w:sz w:val="20"/>
          <w:szCs w:val="20"/>
        </w:rPr>
        <w:t xml:space="preserve">all evidence which it found to be in aggravation or mitigation of punishment. </w:t>
      </w:r>
      <w:r w:rsidR="00917EEF" w:rsidRPr="00256677">
        <w:rPr>
          <w:rFonts w:asciiTheme="majorHAnsi" w:hAnsiTheme="majorHAnsi"/>
          <w:sz w:val="20"/>
          <w:szCs w:val="20"/>
        </w:rPr>
        <w:t xml:space="preserve">The jury and domestic courts considered </w:t>
      </w:r>
      <w:r w:rsidR="00A44E4C" w:rsidRPr="00256677">
        <w:rPr>
          <w:rFonts w:asciiTheme="majorHAnsi" w:hAnsiTheme="majorHAnsi"/>
          <w:sz w:val="20"/>
          <w:szCs w:val="20"/>
        </w:rPr>
        <w:t xml:space="preserve">Mr. Gray’s </w:t>
      </w:r>
      <w:r w:rsidR="00917EEF" w:rsidRPr="00256677">
        <w:rPr>
          <w:rFonts w:asciiTheme="majorHAnsi" w:hAnsiTheme="majorHAnsi"/>
          <w:sz w:val="20"/>
          <w:szCs w:val="20"/>
        </w:rPr>
        <w:t>individual circumstances such as the fact that he was</w:t>
      </w:r>
      <w:r w:rsidR="00A44E4C" w:rsidRPr="00256677">
        <w:rPr>
          <w:rFonts w:asciiTheme="majorHAnsi" w:hAnsiTheme="majorHAnsi"/>
          <w:sz w:val="20"/>
          <w:szCs w:val="20"/>
        </w:rPr>
        <w:t xml:space="preserve"> the oldest</w:t>
      </w:r>
      <w:r w:rsidR="006E2E1A" w:rsidRPr="00256677">
        <w:rPr>
          <w:rFonts w:asciiTheme="majorHAnsi" w:hAnsiTheme="majorHAnsi"/>
          <w:sz w:val="20"/>
          <w:szCs w:val="20"/>
        </w:rPr>
        <w:t xml:space="preserve"> in the group</w:t>
      </w:r>
      <w:r w:rsidR="00A44E4C" w:rsidRPr="00256677">
        <w:rPr>
          <w:rFonts w:asciiTheme="majorHAnsi" w:hAnsiTheme="majorHAnsi"/>
          <w:sz w:val="20"/>
          <w:szCs w:val="20"/>
        </w:rPr>
        <w:t xml:space="preserve"> (</w:t>
      </w:r>
      <w:r w:rsidR="006E2E1A" w:rsidRPr="00256677">
        <w:rPr>
          <w:rFonts w:asciiTheme="majorHAnsi" w:hAnsiTheme="majorHAnsi"/>
          <w:sz w:val="20"/>
          <w:szCs w:val="20"/>
        </w:rPr>
        <w:t xml:space="preserve">he was 24 at the time whereas </w:t>
      </w:r>
      <w:r w:rsidR="00A44E4C" w:rsidRPr="00256677">
        <w:rPr>
          <w:rFonts w:asciiTheme="majorHAnsi" w:hAnsiTheme="majorHAnsi"/>
          <w:sz w:val="20"/>
          <w:szCs w:val="20"/>
        </w:rPr>
        <w:t xml:space="preserve">Winfrey </w:t>
      </w:r>
      <w:r w:rsidR="006E2E1A" w:rsidRPr="00256677">
        <w:rPr>
          <w:rFonts w:asciiTheme="majorHAnsi" w:hAnsiTheme="majorHAnsi"/>
          <w:sz w:val="20"/>
          <w:szCs w:val="20"/>
        </w:rPr>
        <w:t xml:space="preserve">was 15 years old, </w:t>
      </w:r>
      <w:r w:rsidR="00A44E4C" w:rsidRPr="00256677">
        <w:rPr>
          <w:rFonts w:asciiTheme="majorHAnsi" w:hAnsiTheme="majorHAnsi"/>
          <w:sz w:val="20"/>
          <w:szCs w:val="20"/>
        </w:rPr>
        <w:t>Richardson w</w:t>
      </w:r>
      <w:r w:rsidR="006E2E1A" w:rsidRPr="00256677">
        <w:rPr>
          <w:rFonts w:asciiTheme="majorHAnsi" w:hAnsiTheme="majorHAnsi"/>
          <w:sz w:val="20"/>
          <w:szCs w:val="20"/>
        </w:rPr>
        <w:t>as</w:t>
      </w:r>
      <w:r w:rsidR="00A44E4C" w:rsidRPr="00256677">
        <w:rPr>
          <w:rFonts w:asciiTheme="majorHAnsi" w:hAnsiTheme="majorHAnsi"/>
          <w:sz w:val="20"/>
          <w:szCs w:val="20"/>
        </w:rPr>
        <w:t xml:space="preserve"> 16</w:t>
      </w:r>
      <w:r w:rsidR="006E2E1A" w:rsidRPr="00256677">
        <w:rPr>
          <w:rFonts w:asciiTheme="majorHAnsi" w:hAnsiTheme="majorHAnsi"/>
          <w:sz w:val="20"/>
          <w:szCs w:val="20"/>
        </w:rPr>
        <w:t>, and Clemmons 19</w:t>
      </w:r>
      <w:r w:rsidR="00A44E4C" w:rsidRPr="00256677">
        <w:rPr>
          <w:rFonts w:asciiTheme="majorHAnsi" w:hAnsiTheme="majorHAnsi"/>
          <w:sz w:val="20"/>
          <w:szCs w:val="20"/>
        </w:rPr>
        <w:t>)</w:t>
      </w:r>
      <w:r w:rsidR="008F27B1" w:rsidRPr="00256677">
        <w:rPr>
          <w:rFonts w:asciiTheme="majorHAnsi" w:hAnsiTheme="majorHAnsi"/>
          <w:sz w:val="20"/>
          <w:szCs w:val="20"/>
        </w:rPr>
        <w:t>. They also considered the circumstances of the offense, such as</w:t>
      </w:r>
      <w:r w:rsidR="004658D0" w:rsidRPr="00256677">
        <w:rPr>
          <w:rFonts w:asciiTheme="majorHAnsi" w:hAnsiTheme="majorHAnsi"/>
          <w:sz w:val="20"/>
          <w:szCs w:val="20"/>
        </w:rPr>
        <w:t xml:space="preserve"> the multiple homicides</w:t>
      </w:r>
      <w:r w:rsidR="00042FA0" w:rsidRPr="00256677">
        <w:rPr>
          <w:rFonts w:asciiTheme="majorHAnsi" w:hAnsiTheme="majorHAnsi"/>
          <w:sz w:val="20"/>
          <w:szCs w:val="20"/>
        </w:rPr>
        <w:t>,</w:t>
      </w:r>
      <w:r w:rsidR="004658D0" w:rsidRPr="00256677">
        <w:rPr>
          <w:rFonts w:asciiTheme="majorHAnsi" w:hAnsiTheme="majorHAnsi"/>
          <w:sz w:val="20"/>
          <w:szCs w:val="20"/>
        </w:rPr>
        <w:t xml:space="preserve"> the fact that it involved rape</w:t>
      </w:r>
      <w:r w:rsidR="00042FA0" w:rsidRPr="00256677">
        <w:rPr>
          <w:rFonts w:asciiTheme="majorHAnsi" w:hAnsiTheme="majorHAnsi"/>
          <w:sz w:val="20"/>
          <w:szCs w:val="20"/>
        </w:rPr>
        <w:t>, and that it was committed to escape capture and identification</w:t>
      </w:r>
      <w:r w:rsidR="004658D0" w:rsidRPr="00256677">
        <w:rPr>
          <w:rFonts w:asciiTheme="majorHAnsi" w:hAnsiTheme="majorHAnsi"/>
          <w:sz w:val="20"/>
          <w:szCs w:val="20"/>
        </w:rPr>
        <w:t>.</w:t>
      </w:r>
      <w:r w:rsidR="00042FA0" w:rsidRPr="00256677">
        <w:rPr>
          <w:rFonts w:asciiTheme="majorHAnsi" w:hAnsiTheme="majorHAnsi"/>
          <w:sz w:val="20"/>
          <w:szCs w:val="20"/>
        </w:rPr>
        <w:t xml:space="preserve"> The IACHR further notes that </w:t>
      </w:r>
      <w:r w:rsidR="00BB7556" w:rsidRPr="00256677">
        <w:rPr>
          <w:rFonts w:asciiTheme="majorHAnsi" w:hAnsiTheme="majorHAnsi"/>
          <w:sz w:val="20"/>
          <w:szCs w:val="20"/>
        </w:rPr>
        <w:t xml:space="preserve">all judicial decisions were dully </w:t>
      </w:r>
      <w:r w:rsidR="00BB633E" w:rsidRPr="00256677">
        <w:rPr>
          <w:rFonts w:asciiTheme="majorHAnsi" w:hAnsiTheme="majorHAnsi"/>
          <w:sz w:val="20"/>
          <w:szCs w:val="20"/>
        </w:rPr>
        <w:t>reasoned</w:t>
      </w:r>
      <w:r w:rsidR="00BB7556" w:rsidRPr="00256677">
        <w:rPr>
          <w:rFonts w:asciiTheme="majorHAnsi" w:hAnsiTheme="majorHAnsi"/>
          <w:sz w:val="20"/>
          <w:szCs w:val="20"/>
        </w:rPr>
        <w:t xml:space="preserve"> in accordance wi</w:t>
      </w:r>
      <w:r w:rsidR="000E2AD7" w:rsidRPr="00256677">
        <w:rPr>
          <w:rFonts w:asciiTheme="majorHAnsi" w:hAnsiTheme="majorHAnsi"/>
          <w:sz w:val="20"/>
          <w:szCs w:val="20"/>
        </w:rPr>
        <w:t xml:space="preserve">th </w:t>
      </w:r>
      <w:r w:rsidR="00BB7556" w:rsidRPr="00256677">
        <w:rPr>
          <w:rFonts w:asciiTheme="majorHAnsi" w:hAnsiTheme="majorHAnsi"/>
          <w:sz w:val="20"/>
          <w:szCs w:val="20"/>
        </w:rPr>
        <w:t xml:space="preserve">applicable inter-American </w:t>
      </w:r>
      <w:r w:rsidR="000E2AD7" w:rsidRPr="00256677">
        <w:rPr>
          <w:rFonts w:asciiTheme="majorHAnsi" w:hAnsiTheme="majorHAnsi"/>
          <w:sz w:val="20"/>
          <w:szCs w:val="20"/>
        </w:rPr>
        <w:t xml:space="preserve">human rights </w:t>
      </w:r>
      <w:r w:rsidR="00BB7556" w:rsidRPr="00256677">
        <w:rPr>
          <w:rFonts w:asciiTheme="majorHAnsi" w:hAnsiTheme="majorHAnsi"/>
          <w:sz w:val="20"/>
          <w:szCs w:val="20"/>
        </w:rPr>
        <w:t>standards.</w:t>
      </w:r>
    </w:p>
    <w:p w14:paraId="737F47EF" w14:textId="77777777" w:rsidR="00A9530F" w:rsidRPr="00256677" w:rsidRDefault="00A9530F" w:rsidP="00A9530F">
      <w:pPr>
        <w:pStyle w:val="ListParagraph"/>
        <w:rPr>
          <w:rFonts w:asciiTheme="majorHAnsi" w:hAnsiTheme="majorHAnsi"/>
          <w:sz w:val="20"/>
          <w:szCs w:val="20"/>
        </w:rPr>
      </w:pPr>
    </w:p>
    <w:p w14:paraId="74F7907C" w14:textId="77777777" w:rsidR="00A9530F" w:rsidRPr="00256677" w:rsidRDefault="00181B73" w:rsidP="007E1A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Cambria" w:hAnsi="Cambria"/>
          <w:sz w:val="20"/>
          <w:szCs w:val="20"/>
        </w:rPr>
        <w:t xml:space="preserve">Based on the above-mentioned considerations and </w:t>
      </w:r>
      <w:r w:rsidR="00C71F81" w:rsidRPr="00256677">
        <w:rPr>
          <w:rFonts w:asciiTheme="majorHAnsi" w:hAnsiTheme="majorHAnsi"/>
          <w:sz w:val="20"/>
          <w:szCs w:val="20"/>
        </w:rPr>
        <w:t xml:space="preserve">on the information on the record, the IACHR </w:t>
      </w:r>
      <w:r w:rsidRPr="00256677">
        <w:rPr>
          <w:rFonts w:asciiTheme="majorHAnsi" w:hAnsiTheme="majorHAnsi"/>
          <w:sz w:val="20"/>
          <w:szCs w:val="20"/>
        </w:rPr>
        <w:t xml:space="preserve">has not enough elements to </w:t>
      </w:r>
      <w:r w:rsidR="00C71F81" w:rsidRPr="00256677">
        <w:rPr>
          <w:rFonts w:asciiTheme="majorHAnsi" w:hAnsiTheme="majorHAnsi"/>
          <w:sz w:val="20"/>
          <w:szCs w:val="20"/>
        </w:rPr>
        <w:t xml:space="preserve">conclude that domestic courts violated </w:t>
      </w:r>
      <w:r w:rsidRPr="00256677">
        <w:rPr>
          <w:rFonts w:asciiTheme="majorHAnsi" w:hAnsiTheme="majorHAnsi"/>
          <w:sz w:val="20"/>
          <w:szCs w:val="20"/>
        </w:rPr>
        <w:t xml:space="preserve">Article I of </w:t>
      </w:r>
      <w:r w:rsidR="00C71F81" w:rsidRPr="00256677">
        <w:rPr>
          <w:rFonts w:asciiTheme="majorHAnsi" w:hAnsiTheme="majorHAnsi"/>
          <w:sz w:val="20"/>
          <w:szCs w:val="20"/>
        </w:rPr>
        <w:t xml:space="preserve">the American Declaration by </w:t>
      </w:r>
      <w:r w:rsidR="002B3E05" w:rsidRPr="00256677">
        <w:rPr>
          <w:rFonts w:asciiTheme="majorHAnsi" w:hAnsiTheme="majorHAnsi"/>
          <w:sz w:val="20"/>
          <w:szCs w:val="20"/>
        </w:rPr>
        <w:t>establishing that</w:t>
      </w:r>
      <w:r w:rsidR="008D6465" w:rsidRPr="00256677">
        <w:rPr>
          <w:rFonts w:asciiTheme="majorHAnsi" w:hAnsiTheme="majorHAnsi"/>
          <w:sz w:val="20"/>
          <w:szCs w:val="20"/>
        </w:rPr>
        <w:t xml:space="preserve"> the acts committed by Mr. Gray </w:t>
      </w:r>
      <w:r w:rsidR="002B3E05" w:rsidRPr="00256677">
        <w:rPr>
          <w:rFonts w:asciiTheme="majorHAnsi" w:hAnsiTheme="majorHAnsi"/>
          <w:sz w:val="20"/>
          <w:szCs w:val="20"/>
        </w:rPr>
        <w:t xml:space="preserve">were </w:t>
      </w:r>
      <w:r w:rsidR="008D6465" w:rsidRPr="00256677">
        <w:rPr>
          <w:rFonts w:asciiTheme="majorHAnsi" w:hAnsiTheme="majorHAnsi"/>
          <w:sz w:val="20"/>
          <w:szCs w:val="20"/>
        </w:rPr>
        <w:t xml:space="preserve">a serious crime and by </w:t>
      </w:r>
      <w:r w:rsidR="00C71F81" w:rsidRPr="00256677">
        <w:rPr>
          <w:rFonts w:asciiTheme="majorHAnsi" w:hAnsiTheme="majorHAnsi"/>
          <w:sz w:val="20"/>
          <w:szCs w:val="20"/>
        </w:rPr>
        <w:t xml:space="preserve">imposing the penalty </w:t>
      </w:r>
      <w:r w:rsidR="008D6465" w:rsidRPr="00256677">
        <w:rPr>
          <w:rFonts w:asciiTheme="majorHAnsi" w:hAnsiTheme="majorHAnsi"/>
          <w:sz w:val="20"/>
          <w:szCs w:val="20"/>
        </w:rPr>
        <w:t xml:space="preserve">after </w:t>
      </w:r>
      <w:r w:rsidR="00C87075" w:rsidRPr="00256677">
        <w:rPr>
          <w:rFonts w:asciiTheme="majorHAnsi" w:hAnsiTheme="majorHAnsi"/>
          <w:sz w:val="20"/>
          <w:szCs w:val="20"/>
        </w:rPr>
        <w:t xml:space="preserve"> a graduated </w:t>
      </w:r>
      <w:r w:rsidR="00C87075" w:rsidRPr="00256677">
        <w:rPr>
          <w:rFonts w:asciiTheme="majorHAnsi" w:hAnsiTheme="majorHAnsi"/>
          <w:sz w:val="20"/>
          <w:szCs w:val="20"/>
        </w:rPr>
        <w:lastRenderedPageBreak/>
        <w:t xml:space="preserve">assessment of the gravity of the offense and </w:t>
      </w:r>
      <w:r w:rsidR="008D6465" w:rsidRPr="00256677">
        <w:rPr>
          <w:rFonts w:asciiTheme="majorHAnsi" w:hAnsiTheme="majorHAnsi"/>
          <w:sz w:val="20"/>
          <w:szCs w:val="20"/>
        </w:rPr>
        <w:t>consideration of the individual circumstances of the offender and his offense</w:t>
      </w:r>
      <w:r w:rsidR="00C71F81" w:rsidRPr="00256677">
        <w:rPr>
          <w:rFonts w:asciiTheme="majorHAnsi" w:hAnsiTheme="majorHAnsi"/>
          <w:sz w:val="20"/>
          <w:szCs w:val="20"/>
        </w:rPr>
        <w:t>.</w:t>
      </w:r>
      <w:r w:rsidR="008D6465" w:rsidRPr="00256677">
        <w:rPr>
          <w:rFonts w:asciiTheme="majorHAnsi" w:hAnsiTheme="majorHAnsi"/>
          <w:sz w:val="20"/>
          <w:szCs w:val="20"/>
        </w:rPr>
        <w:t xml:space="preserve"> </w:t>
      </w:r>
    </w:p>
    <w:p w14:paraId="586EDE34" w14:textId="77777777" w:rsidR="00DE5D25" w:rsidRPr="00256677" w:rsidRDefault="00DE5D25" w:rsidP="008A6254">
      <w:pPr>
        <w:pStyle w:val="Heading2"/>
        <w:numPr>
          <w:ilvl w:val="0"/>
          <w:numId w:val="58"/>
        </w:numPr>
        <w:ind w:left="360"/>
        <w:jc w:val="both"/>
        <w:rPr>
          <w:rFonts w:eastAsia="Arial Unicode MS"/>
          <w:color w:val="auto"/>
          <w:sz w:val="20"/>
          <w:szCs w:val="20"/>
        </w:rPr>
      </w:pPr>
      <w:bookmarkStart w:id="16" w:name="_Toc535334404"/>
      <w:bookmarkStart w:id="17" w:name="_Toc90284146"/>
      <w:r w:rsidRPr="00256677">
        <w:rPr>
          <w:rFonts w:eastAsia="Arial Unicode MS"/>
          <w:color w:val="auto"/>
          <w:sz w:val="20"/>
          <w:szCs w:val="20"/>
        </w:rPr>
        <w:t>The deprivation of liberty on death row and the right of protection against cruel, infamous or unusual punishment</w:t>
      </w:r>
      <w:r w:rsidRPr="00256677">
        <w:rPr>
          <w:rStyle w:val="FootnoteReference"/>
          <w:rFonts w:ascii="Cambria" w:eastAsia="Arial Unicode MS" w:hAnsi="Cambria"/>
          <w:bCs w:val="0"/>
          <w:color w:val="auto"/>
          <w:sz w:val="20"/>
          <w:szCs w:val="20"/>
        </w:rPr>
        <w:footnoteReference w:id="64"/>
      </w:r>
      <w:bookmarkEnd w:id="16"/>
      <w:bookmarkEnd w:id="17"/>
      <w:r w:rsidRPr="00256677">
        <w:rPr>
          <w:rStyle w:val="FootnoteReference"/>
          <w:rFonts w:ascii="Cambria" w:eastAsia="Arial Unicode MS" w:hAnsi="Cambria"/>
          <w:bCs w:val="0"/>
          <w:color w:val="auto"/>
          <w:sz w:val="20"/>
          <w:szCs w:val="20"/>
        </w:rPr>
        <w:t xml:space="preserve"> </w:t>
      </w:r>
    </w:p>
    <w:p w14:paraId="304F6628" w14:textId="77777777" w:rsidR="00DE5D25" w:rsidRPr="00256677" w:rsidRDefault="00DE5D25" w:rsidP="00DE5D25">
      <w:pPr>
        <w:widowControl w:val="0"/>
        <w:tabs>
          <w:tab w:val="left" w:pos="360"/>
        </w:tabs>
        <w:suppressAutoHyphens/>
        <w:jc w:val="both"/>
        <w:rPr>
          <w:rFonts w:ascii="Cambria" w:hAnsi="Cambria"/>
          <w:b/>
          <w:sz w:val="20"/>
          <w:szCs w:val="20"/>
        </w:rPr>
      </w:pPr>
    </w:p>
    <w:p w14:paraId="710ECA45" w14:textId="77777777" w:rsidR="003D3CD4" w:rsidRPr="00256677" w:rsidRDefault="004E7FF7"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Cambria" w:hAnsi="Cambria" w:cs="Arial"/>
          <w:sz w:val="20"/>
          <w:szCs w:val="20"/>
        </w:rPr>
        <w:t xml:space="preserve">In both international human rights law and comparative law, the issue of long </w:t>
      </w:r>
      <w:r w:rsidR="00DE5D25" w:rsidRPr="00256677">
        <w:rPr>
          <w:rFonts w:ascii="Cambria" w:hAnsi="Cambria" w:cs="Arial"/>
          <w:sz w:val="20"/>
          <w:szCs w:val="20"/>
        </w:rPr>
        <w:t>term deprivation of liberty on death row</w:t>
      </w:r>
      <w:r w:rsidRPr="00256677">
        <w:rPr>
          <w:rFonts w:ascii="Cambria" w:hAnsi="Cambria" w:cs="Arial"/>
          <w:sz w:val="20"/>
          <w:szCs w:val="20"/>
        </w:rPr>
        <w:t xml:space="preserve">, known as the “death row phenomenon,” has been developed for decades, in light of the prohibition of </w:t>
      </w:r>
      <w:r w:rsidR="00DE5D25" w:rsidRPr="00256677">
        <w:rPr>
          <w:rFonts w:ascii="Cambria" w:hAnsi="Cambria" w:cs="Arial"/>
          <w:sz w:val="20"/>
          <w:szCs w:val="20"/>
        </w:rPr>
        <w:t>cruel, inhuman or degrading punishment in Constitutions and in multiple international treaties, including the American Declaration.</w:t>
      </w:r>
    </w:p>
    <w:p w14:paraId="5F72ACAE" w14:textId="77777777" w:rsidR="004E7FF7" w:rsidRPr="00256677" w:rsidRDefault="004E7FF7" w:rsidP="004E7F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4D57738A" w14:textId="77777777" w:rsidR="004E7FF7" w:rsidRPr="00256677" w:rsidRDefault="004E7FF7"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Cambria" w:hAnsi="Cambria" w:cs="Arial"/>
          <w:sz w:val="20"/>
          <w:szCs w:val="20"/>
        </w:rPr>
        <w:t>In the case of Russel Bucklew</w:t>
      </w:r>
      <w:r w:rsidR="00853318" w:rsidRPr="00256677">
        <w:rPr>
          <w:rFonts w:ascii="Cambria" w:hAnsi="Cambria" w:cs="Arial"/>
          <w:sz w:val="20"/>
          <w:szCs w:val="20"/>
        </w:rPr>
        <w:t xml:space="preserve"> v. United States</w:t>
      </w:r>
      <w:r w:rsidRPr="00256677">
        <w:rPr>
          <w:rFonts w:ascii="Cambria" w:hAnsi="Cambria" w:cs="Arial"/>
          <w:sz w:val="20"/>
          <w:szCs w:val="20"/>
        </w:rPr>
        <w:t>, the IACHR</w:t>
      </w:r>
      <w:r w:rsidR="004F73E5" w:rsidRPr="00256677">
        <w:rPr>
          <w:rFonts w:ascii="Cambria" w:hAnsi="Cambria" w:cs="Arial"/>
          <w:sz w:val="20"/>
          <w:szCs w:val="20"/>
        </w:rPr>
        <w:t xml:space="preserve">, based on a number of developments </w:t>
      </w:r>
      <w:r w:rsidR="00257614" w:rsidRPr="00256677">
        <w:rPr>
          <w:rFonts w:ascii="Cambria" w:hAnsi="Cambria" w:cs="Arial"/>
          <w:sz w:val="20"/>
          <w:szCs w:val="20"/>
        </w:rPr>
        <w:t>described below</w:t>
      </w:r>
      <w:r w:rsidR="004F73E5" w:rsidRPr="00256677">
        <w:rPr>
          <w:rFonts w:ascii="Cambria" w:hAnsi="Cambria" w:cs="Arial"/>
          <w:sz w:val="20"/>
          <w:szCs w:val="20"/>
        </w:rPr>
        <w:t>, including the regional and United Nations systems, found that prolonged deprivation of liberty on death row is excessive and inhuman.</w:t>
      </w:r>
      <w:r w:rsidR="00806906" w:rsidRPr="00256677">
        <w:rPr>
          <w:rStyle w:val="FootnoteReference"/>
          <w:rFonts w:ascii="Cambria" w:hAnsi="Cambria"/>
          <w:sz w:val="20"/>
          <w:szCs w:val="20"/>
        </w:rPr>
        <w:footnoteReference w:id="65"/>
      </w:r>
      <w:r w:rsidR="004F73E5" w:rsidRPr="00256677">
        <w:rPr>
          <w:rFonts w:ascii="Cambria" w:hAnsi="Cambria" w:cs="Arial"/>
          <w:sz w:val="20"/>
          <w:szCs w:val="20"/>
        </w:rPr>
        <w:t xml:space="preserve"> </w:t>
      </w:r>
    </w:p>
    <w:p w14:paraId="2EF8574A" w14:textId="77777777" w:rsidR="003D3CD4" w:rsidRPr="00256677" w:rsidRDefault="003D3CD4" w:rsidP="009D0D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083989C7" w14:textId="77777777" w:rsidR="00DE5D25" w:rsidRPr="00256677" w:rsidRDefault="00DE5D25"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Cambria" w:hAnsi="Cambria" w:cs="Arial"/>
          <w:sz w:val="20"/>
          <w:szCs w:val="20"/>
        </w:rPr>
        <w:t>T</w:t>
      </w:r>
      <w:r w:rsidRPr="00256677">
        <w:rPr>
          <w:rFonts w:ascii="Cambria" w:hAnsi="Cambria"/>
          <w:sz w:val="20"/>
        </w:rPr>
        <w:t xml:space="preserve">he Commission takes note of the concept of the </w:t>
      </w:r>
      <w:r w:rsidRPr="00256677">
        <w:rPr>
          <w:rFonts w:ascii="Cambria" w:hAnsi="Cambria"/>
          <w:i/>
          <w:sz w:val="20"/>
        </w:rPr>
        <w:t>death row phenomenon</w:t>
      </w:r>
      <w:r w:rsidRPr="00256677">
        <w:rPr>
          <w:rFonts w:ascii="Cambria" w:hAnsi="Cambria"/>
          <w:sz w:val="20"/>
        </w:rPr>
        <w:t xml:space="preserve"> of the United Nations Special Rapporteur on torture and other cruel, inhuman or degrading treatment or punishment that: </w:t>
      </w:r>
    </w:p>
    <w:p w14:paraId="22674D3E" w14:textId="77777777" w:rsidR="00DE5D25" w:rsidRPr="00256677" w:rsidRDefault="00DE5D25" w:rsidP="009D0D81">
      <w:pPr>
        <w:pStyle w:val="ListParagraph"/>
        <w:tabs>
          <w:tab w:val="left" w:pos="360"/>
        </w:tabs>
        <w:rPr>
          <w:sz w:val="20"/>
          <w:szCs w:val="20"/>
        </w:rPr>
      </w:pPr>
    </w:p>
    <w:p w14:paraId="700B14F8" w14:textId="77777777" w:rsidR="00DE5D25" w:rsidRPr="00256677" w:rsidRDefault="00DE5D25" w:rsidP="008A625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rPr>
      </w:pPr>
      <w:r w:rsidRPr="00256677">
        <w:rPr>
          <w:rFonts w:ascii="Cambria" w:hAnsi="Cambria"/>
          <w:sz w:val="18"/>
          <w:szCs w:val="18"/>
        </w:rPr>
        <w:t>(…) it consists of a combination of circumstances that produce severe mental trauma and physical deterioration in prisoners under sentence of death.</w:t>
      </w:r>
      <w:r w:rsidRPr="00256677">
        <w:rPr>
          <w:rFonts w:ascii="Cambria" w:hAnsi="Cambria"/>
          <w:sz w:val="18"/>
          <w:szCs w:val="18"/>
          <w:vertAlign w:val="superscript"/>
        </w:rPr>
        <w:footnoteReference w:id="66"/>
      </w:r>
      <w:r w:rsidRPr="00256677">
        <w:rPr>
          <w:rFonts w:ascii="Cambria" w:hAnsi="Cambria"/>
          <w:sz w:val="18"/>
          <w:szCs w:val="18"/>
        </w:rPr>
        <w:t xml:space="preserve"> Those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256677">
        <w:rPr>
          <w:rFonts w:ascii="Cambria" w:hAnsi="Cambria"/>
          <w:sz w:val="18"/>
          <w:szCs w:val="18"/>
          <w:vertAlign w:val="superscript"/>
        </w:rPr>
        <w:footnoteReference w:id="67"/>
      </w:r>
    </w:p>
    <w:p w14:paraId="743058F0" w14:textId="77777777" w:rsidR="00DE5D25" w:rsidRPr="00256677" w:rsidRDefault="00DE5D25" w:rsidP="009D0D8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rPr>
      </w:pPr>
    </w:p>
    <w:p w14:paraId="7DD0F049" w14:textId="77777777" w:rsidR="003D3CD4" w:rsidRPr="00256677" w:rsidRDefault="00DE5D25"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Cambria" w:hAnsi="Cambria"/>
          <w:sz w:val="20"/>
        </w:rPr>
        <w:t xml:space="preserve">In the case of </w:t>
      </w:r>
      <w:r w:rsidRPr="00256677">
        <w:rPr>
          <w:rFonts w:ascii="Cambria" w:hAnsi="Cambria"/>
          <w:i/>
          <w:sz w:val="20"/>
        </w:rPr>
        <w:t xml:space="preserve">Soering vs.  The United Kingdom, </w:t>
      </w:r>
      <w:r w:rsidRPr="00256677">
        <w:rPr>
          <w:rFonts w:ascii="Cambria" w:hAnsi="Cambria"/>
          <w:sz w:val="20"/>
        </w:rPr>
        <w:t xml:space="preserve">the European Court of Human Rights, in its interpretation of the norm banning cruel, inhuman, and unusual punishment and in reference to </w:t>
      </w:r>
      <w:r w:rsidRPr="00256677">
        <w:rPr>
          <w:rStyle w:val="sb8d990e2"/>
          <w:rFonts w:ascii="Cambria" w:hAnsi="Cambria"/>
          <w:sz w:val="20"/>
        </w:rPr>
        <w:t xml:space="preserve">the death penalty, </w:t>
      </w:r>
      <w:r w:rsidRPr="00256677">
        <w:rPr>
          <w:rFonts w:ascii="Cambria" w:eastAsia="Cambria" w:hAnsi="Cambria" w:cs="Cambria"/>
          <w:bCs/>
          <w:sz w:val="20"/>
          <w:szCs w:val="20"/>
        </w:rPr>
        <w:t>found tha</w:t>
      </w:r>
      <w:r w:rsidR="002C6169" w:rsidRPr="00256677">
        <w:rPr>
          <w:rFonts w:ascii="Cambria" w:eastAsia="Cambria" w:hAnsi="Cambria" w:cs="Cambria"/>
          <w:bCs/>
          <w:sz w:val="20"/>
          <w:szCs w:val="20"/>
        </w:rPr>
        <w:t>t  the  “death  row  phenomenon”</w:t>
      </w:r>
      <w:r w:rsidRPr="00256677">
        <w:rPr>
          <w:rFonts w:ascii="Cambria" w:eastAsia="Cambria" w:hAnsi="Cambria" w:cs="Cambria"/>
          <w:bCs/>
          <w:sz w:val="20"/>
          <w:szCs w:val="20"/>
        </w:rPr>
        <w:t>  is  a  cruel,  inhuman  and  degrading  treatment, and is characterized by a prolonged period of detention while  awaiting execution, during which prisoners sentenced to death suffer  severe  mental  anxiety,  extreme psychological tension and trauma.</w:t>
      </w:r>
      <w:r w:rsidRPr="00256677">
        <w:rPr>
          <w:rStyle w:val="FootnoteReference"/>
          <w:rFonts w:ascii="Cambria" w:eastAsia="Cambria" w:hAnsi="Cambria" w:cs="Cambria"/>
          <w:bCs/>
          <w:sz w:val="20"/>
          <w:szCs w:val="20"/>
        </w:rPr>
        <w:footnoteReference w:id="68"/>
      </w:r>
      <w:r w:rsidR="002C6169" w:rsidRPr="00256677">
        <w:rPr>
          <w:rFonts w:ascii="Cambria" w:eastAsia="Cambria" w:hAnsi="Cambria" w:cs="Cambria"/>
          <w:bCs/>
          <w:sz w:val="20"/>
          <w:szCs w:val="20"/>
        </w:rPr>
        <w:t xml:space="preserve"> </w:t>
      </w:r>
      <w:r w:rsidRPr="00256677">
        <w:rPr>
          <w:rFonts w:ascii="Cambria" w:hAnsi="Cambria"/>
          <w:sz w:val="20"/>
        </w:rPr>
        <w:t>The court further recognized that some element of delay between imposition and execution of the sentence and the experience of severe stress in conditions necessary for strict incarceration are inevitable and considered elements like, the very long period of time spent on death row in such extreme conditions, with the ever present and mounting anguish of awaiting execution of the death penalty, which brought the delay into the realm of exposed real risk of treatment going beyond the threshold set by Article 3.</w:t>
      </w:r>
      <w:r w:rsidRPr="00256677">
        <w:rPr>
          <w:rFonts w:ascii="Cambria" w:hAnsi="Cambria"/>
          <w:sz w:val="20"/>
          <w:vertAlign w:val="superscript"/>
        </w:rPr>
        <w:footnoteReference w:id="69"/>
      </w:r>
    </w:p>
    <w:p w14:paraId="539F1F86" w14:textId="77777777" w:rsidR="003D3CD4" w:rsidRPr="00256677" w:rsidRDefault="003D3CD4" w:rsidP="009D0D81">
      <w:pPr>
        <w:pStyle w:val="ListParagraph"/>
        <w:tabs>
          <w:tab w:val="left" w:pos="360"/>
        </w:tabs>
        <w:rPr>
          <w:sz w:val="20"/>
        </w:rPr>
      </w:pPr>
    </w:p>
    <w:p w14:paraId="1A892D07" w14:textId="77777777" w:rsidR="00DE5D25" w:rsidRPr="00256677" w:rsidRDefault="00DE5D25" w:rsidP="009D0D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Cambria" w:hAnsi="Cambria"/>
          <w:sz w:val="20"/>
        </w:rPr>
        <w:t xml:space="preserve">Furthermore, in a comparative law context, the Commission notes that the Privy Council of the British House of Lords considered in 1993 on the issue of the </w:t>
      </w:r>
      <w:r w:rsidRPr="00256677">
        <w:rPr>
          <w:rFonts w:ascii="Cambria" w:hAnsi="Cambria"/>
          <w:i/>
          <w:sz w:val="20"/>
        </w:rPr>
        <w:t xml:space="preserve">death row phenomenon </w:t>
      </w:r>
      <w:r w:rsidRPr="00256677">
        <w:rPr>
          <w:rFonts w:ascii="Cambria" w:hAnsi="Cambria"/>
          <w:sz w:val="20"/>
        </w:rPr>
        <w:t xml:space="preserve">in the </w:t>
      </w:r>
      <w:r w:rsidRPr="00256677">
        <w:rPr>
          <w:rFonts w:ascii="Cambria" w:hAnsi="Cambria"/>
          <w:i/>
          <w:sz w:val="20"/>
        </w:rPr>
        <w:t>Pratt and Morgan v. Jamaica</w:t>
      </w:r>
      <w:r w:rsidRPr="00256677">
        <w:rPr>
          <w:rFonts w:ascii="Cambria" w:hAnsi="Cambria"/>
          <w:sz w:val="20"/>
        </w:rPr>
        <w:t xml:space="preserve"> case, that:</w:t>
      </w:r>
    </w:p>
    <w:p w14:paraId="1B9114C0" w14:textId="77777777" w:rsidR="00DE5D25" w:rsidRPr="00256677" w:rsidRDefault="00DE5D25" w:rsidP="009D0D8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rPr>
      </w:pPr>
    </w:p>
    <w:p w14:paraId="27D5CDDD" w14:textId="77777777" w:rsidR="00DE5D25" w:rsidRPr="00256677" w:rsidRDefault="00DE5D25" w:rsidP="008A625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Cambria" w:eastAsia="Calibri" w:hAnsi="Cambria" w:cs="Tahoma"/>
          <w:sz w:val="18"/>
          <w:szCs w:val="18"/>
          <w:bdr w:val="none" w:sz="0" w:space="0" w:color="auto"/>
        </w:rPr>
      </w:pPr>
      <w:r w:rsidRPr="00256677">
        <w:rPr>
          <w:rFonts w:ascii="Cambria" w:eastAsia="Calibri" w:hAnsi="Cambria"/>
          <w:sz w:val="18"/>
          <w:szCs w:val="18"/>
          <w:bdr w:val="none" w:sz="0" w:space="0" w:color="auto"/>
        </w:rPr>
        <w:t xml:space="preserve">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w:t>
      </w:r>
      <w:r w:rsidRPr="00256677">
        <w:rPr>
          <w:rFonts w:ascii="Cambria" w:eastAsia="Calibri" w:hAnsi="Cambria"/>
          <w:sz w:val="18"/>
          <w:szCs w:val="18"/>
          <w:bdr w:val="none" w:sz="0" w:space="0" w:color="auto"/>
        </w:rPr>
        <w:lastRenderedPageBreak/>
        <w:t>save his life through use of the appellate procedure. If the appellate procedure enables the prisoner to prolong the appellate hearings over a period of years, the fault is to be attributed to the appellate system that permits such delay and not to the prisoner who takes advantage of it. Appellate procedures that echo down the years are not compatible with capital punishment. The death row phenomenon must not become established as a part of our jurisprudence.</w:t>
      </w:r>
    </w:p>
    <w:p w14:paraId="50474F08" w14:textId="77777777" w:rsidR="00DE5D25" w:rsidRPr="00256677" w:rsidRDefault="00DE5D25" w:rsidP="008A625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Cambria" w:eastAsia="Calibri" w:hAnsi="Cambria" w:cs="Tahoma"/>
          <w:sz w:val="18"/>
          <w:szCs w:val="18"/>
          <w:bdr w:val="none" w:sz="0" w:space="0" w:color="auto"/>
        </w:rPr>
      </w:pPr>
      <w:r w:rsidRPr="00256677">
        <w:rPr>
          <w:rFonts w:ascii="Cambria" w:eastAsia="Calibri" w:hAnsi="Cambria"/>
          <w:sz w:val="18"/>
          <w:szCs w:val="18"/>
          <w:bdr w:val="none" w:sz="0" w:space="0" w:color="auto"/>
        </w:rPr>
        <w:t>(…)</w:t>
      </w:r>
    </w:p>
    <w:p w14:paraId="5AAFC524" w14:textId="77777777" w:rsidR="00DE5D25" w:rsidRPr="00256677" w:rsidRDefault="00DE5D25" w:rsidP="008A625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eastAsia="Calibri" w:hAnsi="Cambria"/>
          <w:sz w:val="18"/>
          <w:szCs w:val="18"/>
          <w:bdr w:val="none" w:sz="0" w:space="0" w:color="auto"/>
        </w:rPr>
      </w:pPr>
      <w:r w:rsidRPr="00256677">
        <w:rPr>
          <w:rFonts w:ascii="Cambria" w:eastAsia="Calibri" w:hAnsi="Cambria"/>
          <w:sz w:val="18"/>
          <w:szCs w:val="18"/>
          <w:bdr w:val="none" w:sz="0" w:space="0" w:color="auto"/>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Pr="00256677">
        <w:rPr>
          <w:rFonts w:ascii="Cambria" w:eastAsia="Calibri" w:hAnsi="Cambria"/>
          <w:sz w:val="18"/>
          <w:szCs w:val="18"/>
          <w:bdr w:val="none" w:sz="0" w:space="0" w:color="auto"/>
          <w:vertAlign w:val="superscript"/>
        </w:rPr>
        <w:footnoteReference w:id="70"/>
      </w:r>
    </w:p>
    <w:p w14:paraId="242ACAC0" w14:textId="77777777" w:rsidR="006C379B" w:rsidRPr="00256677" w:rsidRDefault="006C379B" w:rsidP="009D0D81">
      <w:pPr>
        <w:tabs>
          <w:tab w:val="left" w:pos="360"/>
        </w:tabs>
        <w:rPr>
          <w:sz w:val="20"/>
        </w:rPr>
      </w:pPr>
    </w:p>
    <w:p w14:paraId="18B0E4F8" w14:textId="77777777" w:rsidR="006C379B" w:rsidRPr="00256677" w:rsidRDefault="002E299B" w:rsidP="006C37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Cambria" w:hAnsi="Cambria" w:cs="Arial"/>
          <w:sz w:val="20"/>
          <w:szCs w:val="20"/>
        </w:rPr>
        <w:t>As established in this report, Mr. Gray was sentenced to death on December 3, 1992</w:t>
      </w:r>
      <w:r w:rsidR="00853318" w:rsidRPr="00256677">
        <w:rPr>
          <w:rFonts w:ascii="Cambria" w:hAnsi="Cambria" w:cs="Arial"/>
          <w:sz w:val="20"/>
          <w:szCs w:val="20"/>
        </w:rPr>
        <w:t>,</w:t>
      </w:r>
      <w:r w:rsidRPr="00256677">
        <w:rPr>
          <w:rFonts w:ascii="Cambria" w:hAnsi="Cambria" w:cs="Arial"/>
          <w:sz w:val="20"/>
          <w:szCs w:val="20"/>
        </w:rPr>
        <w:t xml:space="preserve"> and was thereafter executed on October 26, 2005</w:t>
      </w:r>
      <w:r w:rsidR="00853318" w:rsidRPr="00256677">
        <w:rPr>
          <w:rFonts w:ascii="Cambria" w:hAnsi="Cambria" w:cs="Arial"/>
          <w:sz w:val="20"/>
          <w:szCs w:val="20"/>
        </w:rPr>
        <w:t>,</w:t>
      </w:r>
      <w:r w:rsidRPr="00256677">
        <w:rPr>
          <w:rFonts w:ascii="Cambria" w:hAnsi="Cambria" w:cs="Arial"/>
          <w:sz w:val="20"/>
          <w:szCs w:val="20"/>
        </w:rPr>
        <w:t xml:space="preserve"> at 12:07am. Mr. Gray was therefore on death row for over fourteen (14) years. The Commission notes that the very fact of spending 14 years on death row is, by any account, excessive and inhuman</w:t>
      </w:r>
      <w:r w:rsidR="00803232" w:rsidRPr="00256677">
        <w:rPr>
          <w:rFonts w:ascii="Cambria" w:hAnsi="Cambria" w:cs="Arial"/>
          <w:sz w:val="20"/>
          <w:szCs w:val="20"/>
        </w:rPr>
        <w:t xml:space="preserve">, </w:t>
      </w:r>
      <w:r w:rsidR="00803232" w:rsidRPr="00256677">
        <w:rPr>
          <w:rFonts w:ascii="Cambria" w:hAnsi="Cambria"/>
          <w:sz w:val="20"/>
        </w:rPr>
        <w:t>and was aggravated by the prolonged expectation that the death sentence would be executed</w:t>
      </w:r>
      <w:r w:rsidRPr="00256677">
        <w:rPr>
          <w:rFonts w:ascii="Cambria" w:hAnsi="Cambria" w:cs="Arial"/>
          <w:sz w:val="20"/>
          <w:szCs w:val="20"/>
        </w:rPr>
        <w:t xml:space="preserve">. </w:t>
      </w:r>
      <w:r w:rsidR="006C379B" w:rsidRPr="00256677">
        <w:rPr>
          <w:rFonts w:ascii="Cambria" w:hAnsi="Cambria"/>
          <w:sz w:val="20"/>
        </w:rPr>
        <w:t>Therefore</w:t>
      </w:r>
      <w:r w:rsidR="00853318" w:rsidRPr="00256677">
        <w:rPr>
          <w:rFonts w:ascii="Cambria" w:hAnsi="Cambria"/>
          <w:sz w:val="20"/>
        </w:rPr>
        <w:t>,</w:t>
      </w:r>
      <w:r w:rsidR="006C379B" w:rsidRPr="00256677">
        <w:rPr>
          <w:rFonts w:ascii="Cambria" w:hAnsi="Cambria"/>
          <w:sz w:val="20"/>
        </w:rPr>
        <w:t xml:space="preserve"> the Commission considers the </w:t>
      </w:r>
      <w:r w:rsidR="00803232" w:rsidRPr="00256677">
        <w:rPr>
          <w:rFonts w:ascii="Cambria" w:hAnsi="Cambria"/>
          <w:sz w:val="20"/>
        </w:rPr>
        <w:t>time spent</w:t>
      </w:r>
      <w:r w:rsidR="006C379B" w:rsidRPr="00256677">
        <w:rPr>
          <w:rFonts w:ascii="Cambria" w:hAnsi="Cambria"/>
          <w:sz w:val="20"/>
        </w:rPr>
        <w:t xml:space="preserve"> by Marlin Gray while on death ro</w:t>
      </w:r>
      <w:r w:rsidR="00825AC2" w:rsidRPr="00256677">
        <w:rPr>
          <w:rFonts w:ascii="Cambria" w:hAnsi="Cambria"/>
          <w:sz w:val="20"/>
        </w:rPr>
        <w:t>w constitute</w:t>
      </w:r>
      <w:r w:rsidR="00803232" w:rsidRPr="00256677">
        <w:rPr>
          <w:rFonts w:ascii="Cambria" w:hAnsi="Cambria"/>
          <w:sz w:val="20"/>
        </w:rPr>
        <w:t>d</w:t>
      </w:r>
      <w:r w:rsidR="00825AC2" w:rsidRPr="00256677">
        <w:rPr>
          <w:rFonts w:ascii="Cambria" w:hAnsi="Cambria"/>
          <w:sz w:val="20"/>
        </w:rPr>
        <w:t xml:space="preserve"> a violation of his right to human treatment and his right not to receive cruel, infamous or unusual punishment</w:t>
      </w:r>
      <w:r w:rsidR="0006434A" w:rsidRPr="00256677">
        <w:rPr>
          <w:rFonts w:ascii="Cambria" w:hAnsi="Cambria"/>
          <w:sz w:val="20"/>
        </w:rPr>
        <w:t>, set forth in Articles XXV and XXVI of the American Declaration</w:t>
      </w:r>
      <w:r w:rsidR="006C379B" w:rsidRPr="00256677">
        <w:rPr>
          <w:rFonts w:ascii="Cambria" w:hAnsi="Cambria"/>
          <w:sz w:val="20"/>
        </w:rPr>
        <w:t xml:space="preserve">. </w:t>
      </w:r>
    </w:p>
    <w:p w14:paraId="554CC0EE" w14:textId="77777777" w:rsidR="00BA0255" w:rsidRPr="00256677" w:rsidRDefault="00BA0255" w:rsidP="00B346FF">
      <w:pPr>
        <w:pStyle w:val="Heading2"/>
        <w:tabs>
          <w:tab w:val="left" w:pos="360"/>
        </w:tabs>
        <w:rPr>
          <w:rFonts w:eastAsia="Arial Unicode MS"/>
          <w:color w:val="auto"/>
          <w:sz w:val="20"/>
          <w:szCs w:val="20"/>
        </w:rPr>
      </w:pPr>
      <w:bookmarkStart w:id="18" w:name="_Toc90284147"/>
      <w:r w:rsidRPr="00256677">
        <w:rPr>
          <w:rFonts w:eastAsia="Arial Unicode MS"/>
          <w:color w:val="auto"/>
          <w:sz w:val="20"/>
          <w:szCs w:val="20"/>
        </w:rPr>
        <w:t>D.</w:t>
      </w:r>
      <w:r w:rsidRPr="00256677">
        <w:rPr>
          <w:rFonts w:eastAsia="Arial Unicode MS"/>
          <w:color w:val="auto"/>
          <w:sz w:val="20"/>
          <w:szCs w:val="20"/>
        </w:rPr>
        <w:tab/>
        <w:t>Right to</w:t>
      </w:r>
      <w:r w:rsidR="002C6169" w:rsidRPr="00256677">
        <w:rPr>
          <w:rFonts w:eastAsia="Arial Unicode MS"/>
          <w:color w:val="auto"/>
          <w:sz w:val="20"/>
          <w:szCs w:val="20"/>
        </w:rPr>
        <w:t xml:space="preserve"> p</w:t>
      </w:r>
      <w:r w:rsidRPr="00256677">
        <w:rPr>
          <w:rFonts w:eastAsia="Arial Unicode MS"/>
          <w:color w:val="auto"/>
          <w:sz w:val="20"/>
          <w:szCs w:val="20"/>
        </w:rPr>
        <w:t>etition</w:t>
      </w:r>
      <w:r w:rsidRPr="00256677">
        <w:rPr>
          <w:rStyle w:val="FootnoteReference"/>
          <w:rFonts w:eastAsia="Arial Unicode MS"/>
          <w:color w:val="auto"/>
          <w:sz w:val="20"/>
          <w:szCs w:val="20"/>
        </w:rPr>
        <w:footnoteReference w:id="71"/>
      </w:r>
      <w:r w:rsidR="00B346FF">
        <w:rPr>
          <w:rFonts w:eastAsia="Arial Unicode MS"/>
          <w:color w:val="auto"/>
          <w:sz w:val="20"/>
          <w:szCs w:val="20"/>
        </w:rPr>
        <w:t xml:space="preserve"> and right to life</w:t>
      </w:r>
      <w:r w:rsidR="00B346FF" w:rsidRPr="00256677">
        <w:rPr>
          <w:rStyle w:val="FootnoteReference"/>
          <w:rFonts w:eastAsia="Arial Unicode MS"/>
          <w:color w:val="auto"/>
          <w:sz w:val="20"/>
          <w:szCs w:val="20"/>
        </w:rPr>
        <w:footnoteReference w:id="72"/>
      </w:r>
      <w:bookmarkEnd w:id="18"/>
      <w:r w:rsidRPr="00256677">
        <w:rPr>
          <w:rFonts w:eastAsia="Arial Unicode MS"/>
          <w:color w:val="auto"/>
          <w:sz w:val="20"/>
          <w:szCs w:val="20"/>
        </w:rPr>
        <w:t xml:space="preserve">  </w:t>
      </w:r>
    </w:p>
    <w:p w14:paraId="7C924532" w14:textId="77777777" w:rsidR="00BA0255" w:rsidRPr="00256677" w:rsidRDefault="00BA0255" w:rsidP="00B346FF">
      <w:pPr>
        <w:rPr>
          <w:rFonts w:asciiTheme="majorHAnsi" w:hAnsiTheme="majorHAnsi"/>
          <w:sz w:val="20"/>
          <w:szCs w:val="20"/>
        </w:rPr>
      </w:pPr>
    </w:p>
    <w:p w14:paraId="12758E19" w14:textId="77777777" w:rsidR="00BA0255" w:rsidRPr="00256677" w:rsidRDefault="00BA0255" w:rsidP="00BA02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The State has argued that the Commission lacks the authority to request precautionary me</w:t>
      </w:r>
      <w:r w:rsidR="009C6C2B" w:rsidRPr="00256677">
        <w:rPr>
          <w:rFonts w:asciiTheme="majorHAnsi" w:eastAsia="Times New Roman" w:hAnsiTheme="majorHAnsi"/>
          <w:sz w:val="20"/>
          <w:szCs w:val="20"/>
        </w:rPr>
        <w:t>asures of S</w:t>
      </w:r>
      <w:r w:rsidRPr="00256677">
        <w:rPr>
          <w:rFonts w:asciiTheme="majorHAnsi" w:eastAsia="Times New Roman" w:hAnsiTheme="majorHAnsi"/>
          <w:sz w:val="20"/>
          <w:szCs w:val="20"/>
        </w:rPr>
        <w:t xml:space="preserve">tates that have not ratified the American Convention essentially because the provision governing such measures is contained in the Commissions’ Rules rather than in its Statute. </w:t>
      </w:r>
    </w:p>
    <w:p w14:paraId="42D8FD2B" w14:textId="77777777" w:rsidR="00BA0255" w:rsidRPr="00256677" w:rsidRDefault="00BA0255" w:rsidP="00BA025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19753B48" w14:textId="77777777" w:rsidR="00211A8A" w:rsidRPr="00256677" w:rsidRDefault="00BA0255" w:rsidP="00BA02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In this connection, the Commission recalls that in its decision in the case of Juan Raul Garza v. United States, the Commission held that in capital cases</w:t>
      </w:r>
      <w:r w:rsidR="009C6C2B" w:rsidRPr="00256677">
        <w:rPr>
          <w:rFonts w:asciiTheme="majorHAnsi" w:eastAsia="Times New Roman" w:hAnsiTheme="majorHAnsi"/>
          <w:sz w:val="20"/>
          <w:szCs w:val="20"/>
        </w:rPr>
        <w:t>, the failure of an OAS member S</w:t>
      </w:r>
      <w:r w:rsidRPr="00256677">
        <w:rPr>
          <w:rFonts w:asciiTheme="majorHAnsi" w:eastAsia="Times New Roman" w:hAnsiTheme="majorHAnsi"/>
          <w:sz w:val="20"/>
          <w:szCs w:val="20"/>
        </w:rPr>
        <w:t>tate to preserve a condemned prisoner's life pending review by the Commission of his or her complaint undermines the efficacy of the Commission's process, deprives condemned persons of their right to petition in the inter-American human rights system, and results in serious and irreparable harm to those individuals, and accord</w:t>
      </w:r>
      <w:r w:rsidR="009C6C2B" w:rsidRPr="00256677">
        <w:rPr>
          <w:rFonts w:asciiTheme="majorHAnsi" w:eastAsia="Times New Roman" w:hAnsiTheme="majorHAnsi"/>
          <w:sz w:val="20"/>
          <w:szCs w:val="20"/>
        </w:rPr>
        <w:t>ingly is inconsistent with the S</w:t>
      </w:r>
      <w:r w:rsidRPr="00256677">
        <w:rPr>
          <w:rFonts w:asciiTheme="majorHAnsi" w:eastAsia="Times New Roman" w:hAnsiTheme="majorHAnsi"/>
          <w:sz w:val="20"/>
          <w:szCs w:val="20"/>
        </w:rPr>
        <w:t>tate's human rights obligations</w:t>
      </w:r>
      <w:r w:rsidR="00F337EB" w:rsidRPr="00256677">
        <w:rPr>
          <w:rFonts w:asciiTheme="majorHAnsi" w:eastAsia="Times New Roman" w:hAnsiTheme="majorHAnsi"/>
          <w:sz w:val="20"/>
          <w:szCs w:val="20"/>
        </w:rPr>
        <w:t>.</w:t>
      </w:r>
      <w:r w:rsidRPr="00256677">
        <w:rPr>
          <w:rStyle w:val="FootnoteReference"/>
          <w:rFonts w:asciiTheme="majorHAnsi" w:eastAsia="Times New Roman" w:hAnsiTheme="majorHAnsi"/>
          <w:sz w:val="20"/>
          <w:szCs w:val="20"/>
        </w:rPr>
        <w:footnoteReference w:id="73"/>
      </w:r>
      <w:r w:rsidRPr="00256677">
        <w:rPr>
          <w:rFonts w:asciiTheme="majorHAnsi" w:eastAsia="Times New Roman" w:hAnsiTheme="majorHAnsi"/>
          <w:sz w:val="20"/>
          <w:szCs w:val="20"/>
        </w:rPr>
        <w:t xml:space="preserve"> </w:t>
      </w:r>
    </w:p>
    <w:p w14:paraId="416FF8C5" w14:textId="77777777" w:rsidR="00211A8A" w:rsidRPr="00256677" w:rsidRDefault="00211A8A" w:rsidP="00211A8A">
      <w:pPr>
        <w:pStyle w:val="ListParagraph"/>
        <w:rPr>
          <w:rFonts w:asciiTheme="majorHAnsi" w:eastAsia="Times New Roman" w:hAnsiTheme="majorHAnsi"/>
          <w:sz w:val="20"/>
          <w:szCs w:val="20"/>
        </w:rPr>
      </w:pPr>
    </w:p>
    <w:p w14:paraId="7FA77F92" w14:textId="77777777" w:rsidR="00BA0255" w:rsidRPr="00256677" w:rsidRDefault="00BA0255" w:rsidP="00BA02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The Commission premised these obligation</w:t>
      </w:r>
      <w:r w:rsidR="009C6C2B" w:rsidRPr="00256677">
        <w:rPr>
          <w:rFonts w:asciiTheme="majorHAnsi" w:eastAsia="Times New Roman" w:hAnsiTheme="majorHAnsi"/>
          <w:sz w:val="20"/>
          <w:szCs w:val="20"/>
        </w:rPr>
        <w:t>s on a finding that OAS member S</w:t>
      </w:r>
      <w:r w:rsidRPr="00256677">
        <w:rPr>
          <w:rFonts w:asciiTheme="majorHAnsi" w:eastAsia="Times New Roman" w:hAnsiTheme="majorHAnsi"/>
          <w:sz w:val="20"/>
          <w:szCs w:val="20"/>
        </w:rPr>
        <w:t>tates, by creating the Commission and mandating it through the OAS Charter and the Commission's Statute to promote the observance and protection of human rights of the American peoples, have implicitly undertaken to implement measures of this nature where they are essential to preserving the Commission's mandate</w:t>
      </w:r>
      <w:r w:rsidR="00F337EB" w:rsidRPr="00256677">
        <w:rPr>
          <w:rFonts w:asciiTheme="majorHAnsi" w:eastAsia="Times New Roman" w:hAnsiTheme="majorHAnsi"/>
          <w:sz w:val="20"/>
          <w:szCs w:val="20"/>
        </w:rPr>
        <w:t>.</w:t>
      </w:r>
      <w:r w:rsidRPr="00256677">
        <w:rPr>
          <w:rStyle w:val="FootnoteReference"/>
          <w:rFonts w:asciiTheme="majorHAnsi" w:eastAsia="Times New Roman" w:hAnsiTheme="majorHAnsi"/>
          <w:sz w:val="20"/>
          <w:szCs w:val="20"/>
        </w:rPr>
        <w:footnoteReference w:id="74"/>
      </w:r>
      <w:r w:rsidRPr="00256677">
        <w:rPr>
          <w:rFonts w:asciiTheme="majorHAnsi" w:eastAsia="Times New Roman" w:hAnsiTheme="majorHAnsi"/>
          <w:sz w:val="20"/>
          <w:szCs w:val="20"/>
        </w:rPr>
        <w:t xml:space="preserve"> The Commission found support for this determination in its own jurisprudence as well as the findings of other regional and international adjudicative bodies, including the UN Human Rights Committee, the European Court of Human Rights and the International Court of Justice</w:t>
      </w:r>
      <w:r w:rsidR="00F337EB" w:rsidRPr="00256677">
        <w:rPr>
          <w:rFonts w:asciiTheme="majorHAnsi" w:eastAsia="Times New Roman" w:hAnsiTheme="majorHAnsi"/>
          <w:sz w:val="20"/>
          <w:szCs w:val="20"/>
        </w:rPr>
        <w:t>.</w:t>
      </w:r>
      <w:r w:rsidRPr="00256677">
        <w:rPr>
          <w:rStyle w:val="FootnoteReference"/>
          <w:rFonts w:asciiTheme="majorHAnsi" w:eastAsia="Times New Roman" w:hAnsiTheme="majorHAnsi"/>
          <w:sz w:val="20"/>
          <w:szCs w:val="20"/>
        </w:rPr>
        <w:footnoteReference w:id="75"/>
      </w:r>
      <w:r w:rsidRPr="00256677">
        <w:rPr>
          <w:rFonts w:asciiTheme="majorHAnsi" w:eastAsia="Times New Roman" w:hAnsiTheme="majorHAnsi"/>
          <w:sz w:val="20"/>
          <w:szCs w:val="20"/>
        </w:rPr>
        <w:t xml:space="preserve"> In the Commission’s view, this jurisprudence articulates a principle common to the functioning of international adjudicative systems </w:t>
      </w:r>
      <w:r w:rsidR="009C6C2B" w:rsidRPr="00256677">
        <w:rPr>
          <w:rFonts w:asciiTheme="majorHAnsi" w:eastAsia="Times New Roman" w:hAnsiTheme="majorHAnsi"/>
          <w:sz w:val="20"/>
          <w:szCs w:val="20"/>
        </w:rPr>
        <w:t>according to which member S</w:t>
      </w:r>
      <w:r w:rsidRPr="00256677">
        <w:rPr>
          <w:rFonts w:asciiTheme="majorHAnsi" w:eastAsia="Times New Roman" w:hAnsiTheme="majorHAnsi"/>
          <w:sz w:val="20"/>
          <w:szCs w:val="20"/>
        </w:rPr>
        <w:t>tates must implement interim or precautionary measures where doing so is necessary to preserve the very purposes for which the systems were created and to prevent irreparable harm to the parties whose interests are determined through those processes.  </w:t>
      </w:r>
    </w:p>
    <w:p w14:paraId="57D5F45B" w14:textId="77777777" w:rsidR="00BA0255" w:rsidRPr="00256677" w:rsidRDefault="00BA0255" w:rsidP="00BA025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460C2BB0" w14:textId="77777777" w:rsidR="00BA0255" w:rsidRPr="00256677" w:rsidRDefault="00BA0255" w:rsidP="00BA02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New Roman" w:hAnsiTheme="majorHAnsi"/>
          <w:sz w:val="20"/>
          <w:szCs w:val="20"/>
        </w:rPr>
        <w:t>Upon considering the State’s observations, the Commission finds no grounds for varying its previous findings on this issue. It remains the Commission’s view that in circumstances such as the present, the authority of its precautionary measures is derived from the State’s fundamental human rights commitments as a State Party to the OAS Charter and therefore that the State is subject to an international legal obligation to preserve Mr. Gray’s life pending the examination of his complaint by the Commission.</w:t>
      </w:r>
    </w:p>
    <w:p w14:paraId="5BF4D69A" w14:textId="77777777" w:rsidR="00BA0255" w:rsidRPr="00256677" w:rsidRDefault="00BA0255" w:rsidP="00BA0255">
      <w:pPr>
        <w:pStyle w:val="ListParagraph"/>
        <w:tabs>
          <w:tab w:val="left" w:pos="360"/>
        </w:tabs>
        <w:rPr>
          <w:rFonts w:asciiTheme="majorHAnsi" w:eastAsia="Times" w:hAnsiTheme="majorHAnsi" w:cs="Times"/>
          <w:sz w:val="20"/>
          <w:szCs w:val="20"/>
        </w:rPr>
      </w:pPr>
    </w:p>
    <w:p w14:paraId="5AD9BFB7" w14:textId="77777777" w:rsidR="00BA0255" w:rsidRPr="00256677" w:rsidRDefault="00BA0255" w:rsidP="00BA02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w:hAnsiTheme="majorHAnsi" w:cs="Times"/>
          <w:sz w:val="20"/>
          <w:szCs w:val="20"/>
        </w:rPr>
        <w:t>The</w:t>
      </w:r>
      <w:r w:rsidRPr="00256677">
        <w:rPr>
          <w:rFonts w:asciiTheme="majorHAnsi" w:eastAsia="Cambria" w:hAnsiTheme="majorHAnsi" w:cs="Cambria"/>
          <w:sz w:val="20"/>
          <w:szCs w:val="20"/>
        </w:rPr>
        <w:t xml:space="preserve"> State’s denial of a stay of execution in the face of a precautionary measure by the Commission in order to evaluate any human rights breaches and its </w:t>
      </w:r>
      <w:r w:rsidRPr="00256677">
        <w:rPr>
          <w:rFonts w:asciiTheme="majorHAnsi" w:eastAsia="Times" w:hAnsiTheme="majorHAnsi" w:cs="Times"/>
          <w:sz w:val="20"/>
          <w:szCs w:val="20"/>
        </w:rPr>
        <w:t xml:space="preserve">failure to preserve a condemned prisoner’s life pending the completion of the proceedings, including implementation of the Commission’s final recommendations, undermines the efficacy of the Commission’s process, deprives condemned persons of their right to petition, and results in serious and irreparable harm to those individuals. </w:t>
      </w:r>
      <w:r w:rsidRPr="00256677">
        <w:rPr>
          <w:rFonts w:asciiTheme="majorHAnsi" w:hAnsiTheme="majorHAnsi"/>
          <w:sz w:val="20"/>
          <w:szCs w:val="20"/>
        </w:rPr>
        <w:t xml:space="preserve">An execution under those circumstances obstructs the Commission’s or Court’s ability to effectively investigate and issue determinations on capital cases. </w:t>
      </w:r>
    </w:p>
    <w:p w14:paraId="6E9CAD4A" w14:textId="77777777" w:rsidR="00BA0255" w:rsidRPr="00256677" w:rsidRDefault="00BA0255" w:rsidP="00BA0255">
      <w:pPr>
        <w:pStyle w:val="ListParagraph"/>
        <w:tabs>
          <w:tab w:val="left" w:pos="360"/>
        </w:tabs>
        <w:rPr>
          <w:rFonts w:asciiTheme="majorHAnsi" w:eastAsia="Times" w:hAnsiTheme="majorHAnsi" w:cs="Times"/>
          <w:sz w:val="20"/>
          <w:szCs w:val="20"/>
        </w:rPr>
      </w:pPr>
    </w:p>
    <w:p w14:paraId="0BB0D99C" w14:textId="77777777" w:rsidR="00F86F6E" w:rsidRPr="00F86F6E" w:rsidRDefault="00BA0255" w:rsidP="00F86F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w:hAnsiTheme="majorHAnsi" w:cs="Times"/>
          <w:sz w:val="20"/>
          <w:szCs w:val="20"/>
        </w:rPr>
        <w:t xml:space="preserve">Both the Commission and the Inter-American Court have indicated that the execution of a person under precautionary or provisional measures respectively, constitutes an aggravated violation of the right to life. </w:t>
      </w:r>
      <w:r w:rsidR="00F86F6E" w:rsidRPr="00F86F6E">
        <w:rPr>
          <w:rFonts w:asciiTheme="majorHAnsi" w:eastAsia="Cambria" w:hAnsiTheme="majorHAnsi" w:cs="Cambria"/>
          <w:sz w:val="20"/>
          <w:szCs w:val="20"/>
        </w:rPr>
        <w:t>As noted in this report, the right to life is widely recognized as the supreme right of the human being. The Inter‐American Court has similarly confirmed that “[b]ecause execution of the death penalty is irreversible, the strictest and most rigorous enforcement of judicial guarantees is required of the State so that those guarantees are not violated and a human life not arbitrarily taken as a result.”</w:t>
      </w:r>
      <w:r w:rsidR="00F86F6E" w:rsidRPr="00256677">
        <w:rPr>
          <w:rStyle w:val="FootnoteReference"/>
          <w:rFonts w:asciiTheme="majorHAnsi" w:eastAsia="Times New Roman" w:hAnsiTheme="majorHAnsi"/>
          <w:sz w:val="20"/>
          <w:szCs w:val="20"/>
        </w:rPr>
        <w:footnoteReference w:id="76"/>
      </w:r>
    </w:p>
    <w:p w14:paraId="1A98F48A" w14:textId="77777777" w:rsidR="00F86F6E" w:rsidRPr="00F86F6E" w:rsidRDefault="00F86F6E" w:rsidP="00F86F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78EA14D1" w14:textId="77777777" w:rsidR="00BA0255" w:rsidRPr="00256677" w:rsidRDefault="00BA0255" w:rsidP="00BA02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Times" w:hAnsiTheme="majorHAnsi" w:cs="Times"/>
          <w:sz w:val="20"/>
          <w:szCs w:val="20"/>
        </w:rPr>
        <w:t xml:space="preserve">The Commission has consistently and emphatically condemned the practice by certain States of executing persons sentenced to death in violation of precautionary measures issued by it, including in instances where the Commission had before it a pending petition presenting allegations of due process or other violations in the prosecution that produced the sentence. </w:t>
      </w:r>
    </w:p>
    <w:p w14:paraId="472D8917" w14:textId="77777777" w:rsidR="00BA0255" w:rsidRPr="00256677" w:rsidRDefault="00BA0255" w:rsidP="00BA0255">
      <w:pPr>
        <w:pStyle w:val="ListParagraph"/>
        <w:tabs>
          <w:tab w:val="left" w:pos="360"/>
        </w:tabs>
        <w:rPr>
          <w:rFonts w:asciiTheme="majorHAnsi" w:hAnsiTheme="majorHAnsi"/>
          <w:sz w:val="20"/>
          <w:szCs w:val="20"/>
        </w:rPr>
      </w:pPr>
    </w:p>
    <w:p w14:paraId="38F1183D" w14:textId="77777777" w:rsidR="00BA0255" w:rsidRPr="00256677" w:rsidRDefault="00BA0255" w:rsidP="00BA02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eastAsia="Cambria" w:hAnsiTheme="majorHAnsi" w:cs="Cambria"/>
          <w:sz w:val="20"/>
          <w:szCs w:val="20"/>
        </w:rPr>
        <w:t xml:space="preserve">The execution of the death sentence against Mr. Gray represents a failure on the part of the State to implement the precautionary measure. By permitting Mr. Gray’s execution to proceed in these circumstances, the Commission considers that the United States </w:t>
      </w:r>
      <w:r w:rsidR="0006434A" w:rsidRPr="00256677">
        <w:rPr>
          <w:rFonts w:asciiTheme="majorHAnsi" w:eastAsia="Cambria" w:hAnsiTheme="majorHAnsi" w:cs="Cambria"/>
          <w:sz w:val="20"/>
          <w:szCs w:val="20"/>
        </w:rPr>
        <w:t>violated Article</w:t>
      </w:r>
      <w:r w:rsidR="00F86F6E">
        <w:rPr>
          <w:rFonts w:asciiTheme="majorHAnsi" w:eastAsia="Cambria" w:hAnsiTheme="majorHAnsi" w:cs="Cambria"/>
          <w:sz w:val="20"/>
          <w:szCs w:val="20"/>
        </w:rPr>
        <w:t>s I and</w:t>
      </w:r>
      <w:r w:rsidR="0006434A" w:rsidRPr="00256677">
        <w:rPr>
          <w:rFonts w:asciiTheme="majorHAnsi" w:eastAsia="Cambria" w:hAnsiTheme="majorHAnsi" w:cs="Cambria"/>
          <w:sz w:val="20"/>
          <w:szCs w:val="20"/>
        </w:rPr>
        <w:t xml:space="preserve"> XXIV of the American Declaration and </w:t>
      </w:r>
      <w:r w:rsidRPr="00256677">
        <w:rPr>
          <w:rFonts w:asciiTheme="majorHAnsi" w:eastAsia="Cambria" w:hAnsiTheme="majorHAnsi" w:cs="Cambria"/>
          <w:sz w:val="20"/>
          <w:szCs w:val="20"/>
        </w:rPr>
        <w:t xml:space="preserve">failed to act in accordance with its fundamental human rights obligations as a member of the Organization of American States. </w:t>
      </w:r>
    </w:p>
    <w:p w14:paraId="143BB0AF" w14:textId="5E558A22" w:rsidR="00BA0255" w:rsidRDefault="00BA0255" w:rsidP="006C379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rPr>
      </w:pPr>
    </w:p>
    <w:p w14:paraId="4D9553AA" w14:textId="55B75260" w:rsidR="00677E73" w:rsidRPr="00383EEB" w:rsidRDefault="00677E73" w:rsidP="00677E73">
      <w:pPr>
        <w:pStyle w:val="Heading1"/>
        <w:tabs>
          <w:tab w:val="left" w:pos="360"/>
        </w:tabs>
        <w:spacing w:before="0"/>
        <w:ind w:hanging="720"/>
        <w:rPr>
          <w:color w:val="auto"/>
          <w:sz w:val="20"/>
          <w:szCs w:val="20"/>
        </w:rPr>
      </w:pPr>
      <w:bookmarkStart w:id="19" w:name="_Toc45105400"/>
      <w:bookmarkStart w:id="20" w:name="_Toc47714178"/>
      <w:bookmarkStart w:id="21" w:name="_Toc87432711"/>
      <w:bookmarkStart w:id="22" w:name="_Toc87545226"/>
      <w:bookmarkStart w:id="23" w:name="_Toc90284148"/>
      <w:r w:rsidRPr="00383EEB">
        <w:rPr>
          <w:color w:val="auto"/>
          <w:sz w:val="20"/>
          <w:szCs w:val="20"/>
        </w:rPr>
        <w:t xml:space="preserve">REPORT No. </w:t>
      </w:r>
      <w:r w:rsidR="00755E74" w:rsidRPr="00383EEB">
        <w:rPr>
          <w:color w:val="auto"/>
          <w:sz w:val="20"/>
          <w:szCs w:val="20"/>
        </w:rPr>
        <w:t>241</w:t>
      </w:r>
      <w:r w:rsidRPr="00383EEB">
        <w:rPr>
          <w:color w:val="auto"/>
          <w:sz w:val="20"/>
          <w:szCs w:val="20"/>
        </w:rPr>
        <w:t>/</w:t>
      </w:r>
      <w:r w:rsidR="00755E74" w:rsidRPr="00383EEB">
        <w:rPr>
          <w:color w:val="auto"/>
          <w:sz w:val="20"/>
          <w:szCs w:val="20"/>
        </w:rPr>
        <w:t>19</w:t>
      </w:r>
      <w:r w:rsidRPr="00383EEB">
        <w:rPr>
          <w:color w:val="auto"/>
          <w:sz w:val="20"/>
          <w:szCs w:val="20"/>
        </w:rPr>
        <w:t xml:space="preserve"> AND INFORMATION ABOUT COMPLIANCE</w:t>
      </w:r>
      <w:bookmarkEnd w:id="19"/>
      <w:bookmarkEnd w:id="20"/>
      <w:bookmarkEnd w:id="21"/>
      <w:bookmarkEnd w:id="22"/>
      <w:bookmarkEnd w:id="23"/>
    </w:p>
    <w:p w14:paraId="74B77978" w14:textId="77777777" w:rsidR="00677E73" w:rsidRPr="00383EEB" w:rsidRDefault="00677E73" w:rsidP="00677E73">
      <w:pPr>
        <w:rPr>
          <w:rFonts w:asciiTheme="majorHAnsi" w:hAnsiTheme="majorHAnsi"/>
          <w:sz w:val="20"/>
          <w:szCs w:val="20"/>
        </w:rPr>
      </w:pPr>
    </w:p>
    <w:p w14:paraId="3DBBF332" w14:textId="14CE8764" w:rsidR="00677E73" w:rsidRPr="00383EEB" w:rsidRDefault="00677E73" w:rsidP="00677E7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383EEB">
        <w:rPr>
          <w:rFonts w:asciiTheme="majorHAnsi" w:hAnsiTheme="majorHAnsi"/>
          <w:sz w:val="20"/>
          <w:szCs w:val="20"/>
        </w:rPr>
        <w:t xml:space="preserve">On </w:t>
      </w:r>
      <w:r w:rsidR="00755E74" w:rsidRPr="00383EEB">
        <w:rPr>
          <w:rFonts w:asciiTheme="majorHAnsi" w:hAnsiTheme="majorHAnsi"/>
          <w:sz w:val="20"/>
          <w:szCs w:val="20"/>
        </w:rPr>
        <w:t>Decem</w:t>
      </w:r>
      <w:r w:rsidRPr="00383EEB">
        <w:rPr>
          <w:rFonts w:asciiTheme="majorHAnsi" w:hAnsiTheme="majorHAnsi"/>
          <w:sz w:val="20"/>
          <w:szCs w:val="20"/>
        </w:rPr>
        <w:t xml:space="preserve">ber </w:t>
      </w:r>
      <w:r w:rsidR="00755E74" w:rsidRPr="00383EEB">
        <w:rPr>
          <w:rFonts w:asciiTheme="majorHAnsi" w:hAnsiTheme="majorHAnsi"/>
          <w:sz w:val="20"/>
          <w:szCs w:val="20"/>
        </w:rPr>
        <w:t>6</w:t>
      </w:r>
      <w:r w:rsidRPr="00383EEB">
        <w:rPr>
          <w:rFonts w:asciiTheme="majorHAnsi" w:hAnsiTheme="majorHAnsi"/>
          <w:sz w:val="20"/>
          <w:szCs w:val="20"/>
        </w:rPr>
        <w:t>, 20</w:t>
      </w:r>
      <w:r w:rsidR="00755E74" w:rsidRPr="00383EEB">
        <w:rPr>
          <w:rFonts w:asciiTheme="majorHAnsi" w:hAnsiTheme="majorHAnsi"/>
          <w:sz w:val="20"/>
          <w:szCs w:val="20"/>
        </w:rPr>
        <w:t>19</w:t>
      </w:r>
      <w:r w:rsidRPr="00383EEB">
        <w:rPr>
          <w:rFonts w:asciiTheme="majorHAnsi" w:hAnsiTheme="majorHAnsi"/>
          <w:sz w:val="20"/>
          <w:szCs w:val="20"/>
        </w:rPr>
        <w:t xml:space="preserve">, the Commission approved Report No. </w:t>
      </w:r>
      <w:r w:rsidR="00755E74" w:rsidRPr="00383EEB">
        <w:rPr>
          <w:rFonts w:asciiTheme="majorHAnsi" w:hAnsiTheme="majorHAnsi"/>
          <w:sz w:val="20"/>
          <w:szCs w:val="20"/>
        </w:rPr>
        <w:t>241</w:t>
      </w:r>
      <w:r w:rsidRPr="00383EEB">
        <w:rPr>
          <w:rFonts w:asciiTheme="majorHAnsi" w:hAnsiTheme="majorHAnsi"/>
          <w:sz w:val="20"/>
          <w:szCs w:val="20"/>
        </w:rPr>
        <w:t>/</w:t>
      </w:r>
      <w:r w:rsidR="00755E74" w:rsidRPr="00383EEB">
        <w:rPr>
          <w:rFonts w:asciiTheme="majorHAnsi" w:hAnsiTheme="majorHAnsi"/>
          <w:sz w:val="20"/>
          <w:szCs w:val="20"/>
        </w:rPr>
        <w:t>19</w:t>
      </w:r>
      <w:r w:rsidRPr="00383EEB">
        <w:rPr>
          <w:rFonts w:asciiTheme="majorHAnsi" w:hAnsiTheme="majorHAnsi"/>
          <w:sz w:val="20"/>
          <w:szCs w:val="20"/>
        </w:rPr>
        <w:t xml:space="preserve"> on the merits of the instant case, which encompasses paragraphs 1 to </w:t>
      </w:r>
      <w:r w:rsidR="00755E74" w:rsidRPr="00383EEB">
        <w:rPr>
          <w:rFonts w:asciiTheme="majorHAnsi" w:hAnsiTheme="majorHAnsi"/>
          <w:sz w:val="20"/>
          <w:szCs w:val="20"/>
        </w:rPr>
        <w:t>72</w:t>
      </w:r>
      <w:r w:rsidRPr="00383EEB">
        <w:rPr>
          <w:rFonts w:asciiTheme="majorHAnsi" w:hAnsiTheme="majorHAnsi"/>
          <w:sz w:val="20"/>
          <w:szCs w:val="20"/>
        </w:rPr>
        <w:t xml:space="preserve"> supra, and issued the following recommendations to the State: </w:t>
      </w:r>
    </w:p>
    <w:p w14:paraId="12A135B0" w14:textId="77777777" w:rsidR="00677E73" w:rsidRDefault="00677E73" w:rsidP="006C379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rPr>
      </w:pPr>
    </w:p>
    <w:p w14:paraId="2A2BC349" w14:textId="77777777" w:rsidR="00677E73" w:rsidRPr="00F86F6E" w:rsidRDefault="00677E73" w:rsidP="00677E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rPr>
      </w:pPr>
      <w:r w:rsidRPr="00256677">
        <w:rPr>
          <w:rFonts w:asciiTheme="majorHAnsi" w:hAnsiTheme="majorHAnsi"/>
          <w:sz w:val="20"/>
          <w:szCs w:val="20"/>
        </w:rPr>
        <w:t>Provide reparations to the family of Marlin Gray as a consequence of the violations established in this report</w:t>
      </w:r>
      <w:r>
        <w:rPr>
          <w:rFonts w:asciiTheme="majorHAnsi" w:hAnsiTheme="majorHAnsi"/>
          <w:sz w:val="20"/>
          <w:szCs w:val="20"/>
        </w:rPr>
        <w:t xml:space="preserve">, including the </w:t>
      </w:r>
      <w:r w:rsidRPr="00F86F6E">
        <w:rPr>
          <w:rFonts w:eastAsia="Times New Roman" w:cs="Tahoma"/>
          <w:sz w:val="20"/>
          <w:szCs w:val="20"/>
          <w:bdr w:val="none" w:sz="0" w:space="0" w:color="auto"/>
        </w:rPr>
        <w:t>pay</w:t>
      </w:r>
      <w:r>
        <w:rPr>
          <w:rFonts w:eastAsia="Times New Roman" w:cs="Tahoma"/>
          <w:sz w:val="20"/>
          <w:szCs w:val="20"/>
          <w:bdr w:val="none" w:sz="0" w:space="0" w:color="auto"/>
        </w:rPr>
        <w:t>ment of pecuniary compensation</w:t>
      </w:r>
      <w:r w:rsidRPr="00F86F6E">
        <w:rPr>
          <w:rFonts w:eastAsia="Times New Roman" w:cs="Tahoma"/>
          <w:sz w:val="20"/>
          <w:szCs w:val="20"/>
          <w:bdr w:val="none" w:sz="0" w:space="0" w:color="auto"/>
        </w:rPr>
        <w:t>.</w:t>
      </w:r>
    </w:p>
    <w:p w14:paraId="6BEF9657" w14:textId="77777777" w:rsidR="00677E73" w:rsidRPr="00256677" w:rsidRDefault="00677E73" w:rsidP="00677E7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p>
    <w:p w14:paraId="61678B1A" w14:textId="77777777" w:rsidR="00677E73" w:rsidRPr="00256677" w:rsidRDefault="00677E73" w:rsidP="00677E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rPr>
      </w:pPr>
      <w:r w:rsidRPr="00256677">
        <w:rPr>
          <w:rFonts w:asciiTheme="majorHAnsi" w:hAnsiTheme="majorHAnsi" w:cs="Calibri"/>
          <w:sz w:val="20"/>
          <w:szCs w:val="20"/>
        </w:rPr>
        <w:t>Ensure compliance with the precautionary measures granted by the IACHR for persons facing the death penalty</w:t>
      </w:r>
      <w:r w:rsidRPr="00256677">
        <w:rPr>
          <w:sz w:val="20"/>
          <w:szCs w:val="20"/>
        </w:rPr>
        <w:t>.</w:t>
      </w:r>
    </w:p>
    <w:p w14:paraId="5C505C41" w14:textId="77777777" w:rsidR="00677E73" w:rsidRPr="00256677" w:rsidRDefault="00677E73" w:rsidP="00677E73">
      <w:pPr>
        <w:pStyle w:val="ListParagraph"/>
        <w:rPr>
          <w:rFonts w:asciiTheme="majorHAnsi" w:hAnsiTheme="majorHAnsi"/>
          <w:sz w:val="20"/>
        </w:rPr>
      </w:pPr>
    </w:p>
    <w:p w14:paraId="7C71A400" w14:textId="40979777" w:rsidR="00677E73" w:rsidRPr="00677E73" w:rsidRDefault="00677E73" w:rsidP="00677E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rPr>
      </w:pPr>
      <w:r w:rsidRPr="00256677">
        <w:rPr>
          <w:rFonts w:asciiTheme="majorHAnsi" w:hAnsiTheme="majorHAnsi"/>
          <w:sz w:val="20"/>
        </w:rPr>
        <w:t>Given the violations of the American Declaration the IACHR has established in the present</w:t>
      </w:r>
      <w:r w:rsidRPr="00256677">
        <w:rPr>
          <w:sz w:val="20"/>
        </w:rPr>
        <w:t xml:space="preserve"> case and in others involving application of the death penalty, the Inter-American Commission also recommends to the United States that it adopt a moratorium on executions of persons sentenced to death.</w:t>
      </w:r>
      <w:r w:rsidRPr="00256677">
        <w:rPr>
          <w:rStyle w:val="FootnoteReference"/>
          <w:sz w:val="20"/>
        </w:rPr>
        <w:footnoteReference w:id="77"/>
      </w:r>
    </w:p>
    <w:p w14:paraId="131510A2" w14:textId="77777777" w:rsidR="00677E73" w:rsidRDefault="00677E73" w:rsidP="00677E73">
      <w:pPr>
        <w:tabs>
          <w:tab w:val="center" w:pos="5400"/>
        </w:tabs>
        <w:suppressAutoHyphens/>
        <w:spacing w:line="276" w:lineRule="auto"/>
        <w:ind w:left="360" w:hanging="360"/>
        <w:rPr>
          <w:rFonts w:asciiTheme="majorHAnsi" w:hAnsiTheme="majorHAnsi"/>
          <w:sz w:val="20"/>
          <w:szCs w:val="20"/>
        </w:rPr>
      </w:pPr>
    </w:p>
    <w:p w14:paraId="7F4B07A8" w14:textId="3066C5DD" w:rsidR="00677E73" w:rsidRPr="00383EEB" w:rsidRDefault="00677E73" w:rsidP="00383EE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rPr>
      </w:pPr>
      <w:r w:rsidRPr="00383EEB">
        <w:rPr>
          <w:rFonts w:asciiTheme="majorHAnsi" w:hAnsiTheme="majorHAnsi"/>
          <w:sz w:val="20"/>
          <w:szCs w:val="20"/>
        </w:rPr>
        <w:t>On</w:t>
      </w:r>
      <w:r w:rsidRPr="00383EEB">
        <w:rPr>
          <w:sz w:val="20"/>
          <w:szCs w:val="20"/>
        </w:rPr>
        <w:t xml:space="preserve"> </w:t>
      </w:r>
      <w:r w:rsidR="002C53A9" w:rsidRPr="00383EEB">
        <w:rPr>
          <w:sz w:val="20"/>
          <w:szCs w:val="20"/>
        </w:rPr>
        <w:t>February</w:t>
      </w:r>
      <w:r w:rsidRPr="00383EEB">
        <w:rPr>
          <w:sz w:val="20"/>
          <w:szCs w:val="20"/>
        </w:rPr>
        <w:t xml:space="preserve"> </w:t>
      </w:r>
      <w:r w:rsidR="002C53A9" w:rsidRPr="00383EEB">
        <w:rPr>
          <w:sz w:val="20"/>
          <w:szCs w:val="20"/>
        </w:rPr>
        <w:t>20</w:t>
      </w:r>
      <w:r w:rsidRPr="00383EEB">
        <w:rPr>
          <w:sz w:val="20"/>
          <w:szCs w:val="20"/>
        </w:rPr>
        <w:t xml:space="preserve">, 2020 the IACHR transmitted the report to the State with a time period of two months to inform the Commission on the measures taken to comply with its recommendations. To date, the Commission has not received any response from the United States regarding report No. </w:t>
      </w:r>
      <w:r w:rsidR="002C53A9" w:rsidRPr="00383EEB">
        <w:rPr>
          <w:sz w:val="20"/>
          <w:szCs w:val="20"/>
        </w:rPr>
        <w:t>241</w:t>
      </w:r>
      <w:r w:rsidRPr="00383EEB">
        <w:rPr>
          <w:sz w:val="20"/>
          <w:szCs w:val="20"/>
        </w:rPr>
        <w:t>/</w:t>
      </w:r>
      <w:r w:rsidR="002C53A9" w:rsidRPr="00383EEB">
        <w:rPr>
          <w:sz w:val="20"/>
          <w:szCs w:val="20"/>
        </w:rPr>
        <w:t>19</w:t>
      </w:r>
      <w:r w:rsidRPr="00383EEB">
        <w:rPr>
          <w:sz w:val="20"/>
          <w:szCs w:val="20"/>
        </w:rPr>
        <w:t>.</w:t>
      </w:r>
    </w:p>
    <w:p w14:paraId="3AB4BCB7" w14:textId="77777777" w:rsidR="00383EEB" w:rsidRPr="00B645F5" w:rsidRDefault="00383EEB" w:rsidP="00383E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42B89E9C" w14:textId="24E11C6C" w:rsidR="00383EEB" w:rsidRPr="00213A12" w:rsidRDefault="00383EEB" w:rsidP="00383EEB">
      <w:pPr>
        <w:pStyle w:val="Heading1"/>
        <w:spacing w:before="0"/>
        <w:ind w:hanging="720"/>
        <w:rPr>
          <w:color w:val="auto"/>
          <w:sz w:val="20"/>
          <w:szCs w:val="20"/>
        </w:rPr>
      </w:pPr>
      <w:bookmarkStart w:id="24" w:name="_Toc26550943"/>
      <w:bookmarkStart w:id="25" w:name="_Toc87522016"/>
      <w:bookmarkStart w:id="26" w:name="_Toc90115136"/>
      <w:bookmarkStart w:id="27" w:name="_Toc90283315"/>
      <w:bookmarkStart w:id="28" w:name="_Toc90284149"/>
      <w:r w:rsidRPr="00213A12">
        <w:rPr>
          <w:color w:val="auto"/>
          <w:sz w:val="20"/>
          <w:szCs w:val="20"/>
        </w:rPr>
        <w:t>ACTIONS SUBSEQUENT TO REPORT No. 327/</w:t>
      </w:r>
      <w:bookmarkEnd w:id="24"/>
      <w:r w:rsidRPr="00213A12">
        <w:rPr>
          <w:color w:val="auto"/>
          <w:sz w:val="20"/>
          <w:szCs w:val="20"/>
        </w:rPr>
        <w:t>2</w:t>
      </w:r>
      <w:bookmarkEnd w:id="25"/>
      <w:r w:rsidRPr="00213A12">
        <w:rPr>
          <w:color w:val="auto"/>
          <w:sz w:val="20"/>
          <w:szCs w:val="20"/>
        </w:rPr>
        <w:t>1</w:t>
      </w:r>
      <w:bookmarkEnd w:id="26"/>
      <w:bookmarkEnd w:id="27"/>
      <w:bookmarkEnd w:id="28"/>
    </w:p>
    <w:p w14:paraId="3FA99040" w14:textId="77777777" w:rsidR="00383EEB" w:rsidRPr="00213A12" w:rsidRDefault="00383EEB" w:rsidP="00383EEB">
      <w:pPr>
        <w:rPr>
          <w:sz w:val="20"/>
          <w:szCs w:val="20"/>
        </w:rPr>
      </w:pPr>
    </w:p>
    <w:p w14:paraId="670FCF53" w14:textId="5016F9C3" w:rsidR="00383EEB" w:rsidRPr="00213A12" w:rsidRDefault="00383EEB" w:rsidP="00383E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720"/>
          <w:tab w:val="left" w:pos="1440"/>
        </w:tabs>
        <w:ind w:left="0" w:firstLine="0"/>
        <w:jc w:val="both"/>
        <w:rPr>
          <w:sz w:val="20"/>
          <w:szCs w:val="20"/>
        </w:rPr>
      </w:pPr>
      <w:r w:rsidRPr="00213A12">
        <w:rPr>
          <w:sz w:val="20"/>
          <w:szCs w:val="20"/>
        </w:rPr>
        <w:t>On</w:t>
      </w:r>
      <w:r w:rsidRPr="00213A12">
        <w:rPr>
          <w:rFonts w:ascii="Cambria" w:hAnsi="Cambria"/>
          <w:sz w:val="20"/>
          <w:szCs w:val="20"/>
        </w:rPr>
        <w:t xml:space="preserve"> November 19, 2021, the Commission approved Final Merits Report No. 327/21, which encompasses paragraphs 1 to 74 </w:t>
      </w:r>
      <w:r w:rsidRPr="00213A12">
        <w:rPr>
          <w:rFonts w:ascii="Cambria" w:hAnsi="Cambria"/>
          <w:i/>
          <w:sz w:val="20"/>
          <w:szCs w:val="20"/>
        </w:rPr>
        <w:t>supra</w:t>
      </w:r>
      <w:r w:rsidRPr="00213A12">
        <w:rPr>
          <w:rFonts w:ascii="Cambria" w:hAnsi="Cambria"/>
          <w:sz w:val="20"/>
          <w:szCs w:val="20"/>
        </w:rPr>
        <w:t>, and issued its final conclusions and recommendations to the State. On November 30,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327/21.</w:t>
      </w:r>
    </w:p>
    <w:p w14:paraId="7ACD8D5A" w14:textId="77777777" w:rsidR="00383EEB" w:rsidRPr="00256677" w:rsidRDefault="00383EEB" w:rsidP="006C379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rPr>
      </w:pPr>
    </w:p>
    <w:p w14:paraId="50F5D8DA" w14:textId="7C37D468" w:rsidR="001C4006" w:rsidRPr="00256677" w:rsidRDefault="00677E73" w:rsidP="009D0D81">
      <w:pPr>
        <w:pStyle w:val="Heading1"/>
        <w:spacing w:before="0"/>
        <w:ind w:left="360"/>
        <w:rPr>
          <w:color w:val="auto"/>
          <w:sz w:val="20"/>
          <w:szCs w:val="20"/>
        </w:rPr>
      </w:pPr>
      <w:bookmarkStart w:id="29" w:name="_Toc90284150"/>
      <w:r w:rsidRPr="00383EEB">
        <w:rPr>
          <w:color w:val="auto"/>
          <w:sz w:val="20"/>
          <w:szCs w:val="20"/>
        </w:rPr>
        <w:t>FINAL</w:t>
      </w:r>
      <w:r>
        <w:rPr>
          <w:color w:val="auto"/>
          <w:sz w:val="20"/>
          <w:szCs w:val="20"/>
        </w:rPr>
        <w:t xml:space="preserve"> </w:t>
      </w:r>
      <w:r w:rsidR="001C4006" w:rsidRPr="00256677">
        <w:rPr>
          <w:color w:val="auto"/>
          <w:sz w:val="20"/>
          <w:szCs w:val="20"/>
        </w:rPr>
        <w:t>CONCLUSIONS AND RECOMMENDATIONS</w:t>
      </w:r>
      <w:bookmarkEnd w:id="29"/>
    </w:p>
    <w:p w14:paraId="028D14A4" w14:textId="77777777" w:rsidR="00576D19" w:rsidRPr="00256677" w:rsidRDefault="00576D19" w:rsidP="00576D1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hAnsiTheme="majorHAnsi"/>
          <w:b/>
          <w:sz w:val="20"/>
          <w:szCs w:val="20"/>
        </w:rPr>
      </w:pPr>
    </w:p>
    <w:p w14:paraId="14B22981" w14:textId="6E2E6629" w:rsidR="00E25AE9" w:rsidRPr="00677E73" w:rsidRDefault="00F1763D" w:rsidP="00677E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56677">
        <w:rPr>
          <w:rFonts w:asciiTheme="majorHAnsi" w:hAnsiTheme="majorHAnsi"/>
          <w:color w:val="000000" w:themeColor="text1"/>
          <w:sz w:val="20"/>
          <w:szCs w:val="20"/>
        </w:rPr>
        <w:t>On the basis of determinations of fact and law, the Inter-American Commission conclude</w:t>
      </w:r>
      <w:r w:rsidR="00D80440" w:rsidRPr="00256677">
        <w:rPr>
          <w:rFonts w:asciiTheme="majorHAnsi" w:hAnsiTheme="majorHAnsi"/>
          <w:color w:val="000000" w:themeColor="text1"/>
          <w:sz w:val="20"/>
          <w:szCs w:val="20"/>
        </w:rPr>
        <w:t>s</w:t>
      </w:r>
      <w:r w:rsidRPr="00256677">
        <w:rPr>
          <w:rFonts w:asciiTheme="majorHAnsi" w:hAnsiTheme="majorHAnsi"/>
          <w:color w:val="000000" w:themeColor="text1"/>
          <w:sz w:val="20"/>
          <w:szCs w:val="20"/>
        </w:rPr>
        <w:t xml:space="preserve"> that the State is responsible for the violation of Articles </w:t>
      </w:r>
      <w:r w:rsidR="000C4902" w:rsidRPr="00256677">
        <w:rPr>
          <w:rFonts w:asciiTheme="majorHAnsi" w:hAnsiTheme="majorHAnsi"/>
          <w:color w:val="000000" w:themeColor="text1"/>
          <w:sz w:val="20"/>
          <w:szCs w:val="20"/>
        </w:rPr>
        <w:t xml:space="preserve">I (life), </w:t>
      </w:r>
      <w:r w:rsidR="00A147AE" w:rsidRPr="00256677">
        <w:rPr>
          <w:rFonts w:asciiTheme="majorHAnsi" w:hAnsiTheme="majorHAnsi"/>
          <w:color w:val="000000" w:themeColor="text1"/>
          <w:sz w:val="20"/>
          <w:szCs w:val="20"/>
        </w:rPr>
        <w:t>XXIV (petition),</w:t>
      </w:r>
      <w:r w:rsidR="008A4398" w:rsidRPr="00256677">
        <w:rPr>
          <w:rFonts w:asciiTheme="majorHAnsi" w:hAnsiTheme="majorHAnsi"/>
          <w:color w:val="000000" w:themeColor="text1"/>
          <w:sz w:val="20"/>
          <w:szCs w:val="20"/>
        </w:rPr>
        <w:t xml:space="preserve"> </w:t>
      </w:r>
      <w:r w:rsidR="000550C0" w:rsidRPr="00256677">
        <w:rPr>
          <w:rFonts w:asciiTheme="majorHAnsi" w:hAnsiTheme="majorHAnsi"/>
          <w:color w:val="000000" w:themeColor="text1"/>
          <w:sz w:val="20"/>
          <w:szCs w:val="20"/>
        </w:rPr>
        <w:t>XXV (</w:t>
      </w:r>
      <w:r w:rsidR="00DC4839" w:rsidRPr="00256677">
        <w:rPr>
          <w:rFonts w:asciiTheme="majorHAnsi" w:hAnsiTheme="majorHAnsi"/>
          <w:color w:val="000000" w:themeColor="text1"/>
          <w:sz w:val="20"/>
          <w:szCs w:val="20"/>
        </w:rPr>
        <w:t>protection from arbitrary detention</w:t>
      </w:r>
      <w:r w:rsidR="00985A4B" w:rsidRPr="00256677">
        <w:rPr>
          <w:rFonts w:asciiTheme="majorHAnsi" w:hAnsiTheme="majorHAnsi"/>
          <w:color w:val="000000" w:themeColor="text1"/>
          <w:sz w:val="20"/>
          <w:szCs w:val="20"/>
        </w:rPr>
        <w:t>)</w:t>
      </w:r>
      <w:r w:rsidR="008A4398" w:rsidRPr="00256677">
        <w:rPr>
          <w:rFonts w:asciiTheme="majorHAnsi" w:hAnsiTheme="majorHAnsi"/>
          <w:color w:val="000000" w:themeColor="text1"/>
          <w:sz w:val="20"/>
          <w:szCs w:val="20"/>
        </w:rPr>
        <w:t xml:space="preserve"> </w:t>
      </w:r>
      <w:r w:rsidR="00A147AE" w:rsidRPr="00256677">
        <w:rPr>
          <w:rFonts w:asciiTheme="majorHAnsi" w:hAnsiTheme="majorHAnsi"/>
          <w:color w:val="000000" w:themeColor="text1"/>
          <w:sz w:val="20"/>
          <w:szCs w:val="20"/>
        </w:rPr>
        <w:t xml:space="preserve">and XXVI (due process of law) </w:t>
      </w:r>
      <w:r w:rsidRPr="00256677">
        <w:rPr>
          <w:rFonts w:asciiTheme="majorHAnsi" w:hAnsiTheme="majorHAnsi"/>
          <w:color w:val="000000" w:themeColor="text1"/>
          <w:sz w:val="20"/>
          <w:szCs w:val="20"/>
        </w:rPr>
        <w:t xml:space="preserve">of the American Declaration. </w:t>
      </w:r>
    </w:p>
    <w:p w14:paraId="11EEFBBA" w14:textId="77777777" w:rsidR="00BA7984" w:rsidRPr="00256677" w:rsidRDefault="00BA7984" w:rsidP="00085F6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183BDB73" w14:textId="74710728" w:rsidR="001C4006" w:rsidRPr="00256677" w:rsidRDefault="001C4006" w:rsidP="004003A5">
      <w:pPr>
        <w:jc w:val="center"/>
        <w:rPr>
          <w:rFonts w:ascii="Cambria" w:hAnsi="Cambria"/>
          <w:b/>
          <w:sz w:val="20"/>
          <w:szCs w:val="20"/>
        </w:rPr>
      </w:pPr>
      <w:r w:rsidRPr="00256677">
        <w:rPr>
          <w:rFonts w:ascii="Cambria" w:hAnsi="Cambria"/>
          <w:b/>
          <w:sz w:val="20"/>
          <w:szCs w:val="20"/>
        </w:rPr>
        <w:t xml:space="preserve">THE INTER-AMERICAN COMMISSION ON HUMAN RIGHTS </w:t>
      </w:r>
      <w:r w:rsidRPr="00383EEB">
        <w:rPr>
          <w:rFonts w:ascii="Cambria" w:hAnsi="Cambria"/>
          <w:b/>
          <w:sz w:val="20"/>
          <w:szCs w:val="20"/>
        </w:rPr>
        <w:t>RE</w:t>
      </w:r>
      <w:r w:rsidR="00677E73" w:rsidRPr="00383EEB">
        <w:rPr>
          <w:rFonts w:ascii="Cambria" w:hAnsi="Cambria"/>
          <w:b/>
          <w:sz w:val="20"/>
          <w:szCs w:val="20"/>
        </w:rPr>
        <w:t>ITERATES</w:t>
      </w:r>
      <w:r w:rsidRPr="00256677">
        <w:rPr>
          <w:rFonts w:ascii="Cambria" w:hAnsi="Cambria"/>
          <w:b/>
          <w:sz w:val="20"/>
          <w:szCs w:val="20"/>
        </w:rPr>
        <w:t xml:space="preserve"> THAT THE </w:t>
      </w:r>
      <w:r w:rsidR="002E432F" w:rsidRPr="00256677">
        <w:rPr>
          <w:rFonts w:ascii="Cambria" w:hAnsi="Cambria"/>
          <w:b/>
          <w:sz w:val="20"/>
          <w:szCs w:val="20"/>
        </w:rPr>
        <w:t xml:space="preserve">UNITED </w:t>
      </w:r>
      <w:r w:rsidRPr="00256677">
        <w:rPr>
          <w:rFonts w:ascii="Cambria" w:hAnsi="Cambria"/>
          <w:b/>
          <w:sz w:val="20"/>
          <w:szCs w:val="20"/>
        </w:rPr>
        <w:t>STATE</w:t>
      </w:r>
      <w:r w:rsidR="002E432F" w:rsidRPr="00256677">
        <w:rPr>
          <w:rFonts w:ascii="Cambria" w:hAnsi="Cambria"/>
          <w:b/>
          <w:sz w:val="20"/>
          <w:szCs w:val="20"/>
        </w:rPr>
        <w:t>S</w:t>
      </w:r>
      <w:r w:rsidRPr="00256677">
        <w:rPr>
          <w:rFonts w:ascii="Cambria" w:hAnsi="Cambria"/>
          <w:b/>
          <w:sz w:val="20"/>
          <w:szCs w:val="20"/>
        </w:rPr>
        <w:t xml:space="preserve"> OF</w:t>
      </w:r>
      <w:r w:rsidR="002E432F" w:rsidRPr="00256677">
        <w:rPr>
          <w:rFonts w:ascii="Cambria" w:hAnsi="Cambria"/>
          <w:b/>
          <w:sz w:val="20"/>
          <w:szCs w:val="20"/>
        </w:rPr>
        <w:t xml:space="preserve"> AMERICA</w:t>
      </w:r>
      <w:r w:rsidRPr="00256677">
        <w:rPr>
          <w:rFonts w:ascii="Cambria" w:hAnsi="Cambria"/>
          <w:b/>
          <w:sz w:val="20"/>
          <w:szCs w:val="20"/>
        </w:rPr>
        <w:t>,</w:t>
      </w:r>
    </w:p>
    <w:p w14:paraId="4B5E8C30" w14:textId="77777777" w:rsidR="001C4006" w:rsidRPr="00256677" w:rsidRDefault="001C4006" w:rsidP="001C4006">
      <w:pPr>
        <w:ind w:firstLine="720"/>
        <w:jc w:val="both"/>
        <w:rPr>
          <w:rFonts w:ascii="Cambria" w:hAnsi="Cambria"/>
          <w:b/>
          <w:sz w:val="20"/>
          <w:szCs w:val="20"/>
        </w:rPr>
      </w:pPr>
    </w:p>
    <w:p w14:paraId="0534FD3C" w14:textId="4BFCB138" w:rsidR="00F86F6E" w:rsidRPr="00F86F6E" w:rsidRDefault="00FE022B" w:rsidP="002C53A9">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r w:rsidRPr="00256677">
        <w:rPr>
          <w:rFonts w:asciiTheme="majorHAnsi" w:hAnsiTheme="majorHAnsi"/>
          <w:sz w:val="20"/>
          <w:szCs w:val="20"/>
        </w:rPr>
        <w:t xml:space="preserve">Provide reparations to the family of </w:t>
      </w:r>
      <w:r w:rsidR="00AF264B" w:rsidRPr="00256677">
        <w:rPr>
          <w:rFonts w:asciiTheme="majorHAnsi" w:hAnsiTheme="majorHAnsi"/>
          <w:sz w:val="20"/>
          <w:szCs w:val="20"/>
        </w:rPr>
        <w:t>Marlin Gray</w:t>
      </w:r>
      <w:r w:rsidRPr="00256677">
        <w:rPr>
          <w:rFonts w:asciiTheme="majorHAnsi" w:hAnsiTheme="majorHAnsi"/>
          <w:sz w:val="20"/>
          <w:szCs w:val="20"/>
        </w:rPr>
        <w:t xml:space="preserve"> as a consequence of the violations established in this report</w:t>
      </w:r>
      <w:r w:rsidR="00F86F6E">
        <w:rPr>
          <w:rFonts w:asciiTheme="majorHAnsi" w:hAnsiTheme="majorHAnsi"/>
          <w:sz w:val="20"/>
          <w:szCs w:val="20"/>
        </w:rPr>
        <w:t xml:space="preserve">, including the </w:t>
      </w:r>
      <w:r w:rsidR="00F86F6E" w:rsidRPr="00F86F6E">
        <w:rPr>
          <w:rFonts w:eastAsia="Times New Roman" w:cs="Tahoma"/>
          <w:sz w:val="20"/>
          <w:szCs w:val="20"/>
          <w:bdr w:val="none" w:sz="0" w:space="0" w:color="auto"/>
        </w:rPr>
        <w:t>pay</w:t>
      </w:r>
      <w:r w:rsidR="00F86F6E">
        <w:rPr>
          <w:rFonts w:eastAsia="Times New Roman" w:cs="Tahoma"/>
          <w:sz w:val="20"/>
          <w:szCs w:val="20"/>
          <w:bdr w:val="none" w:sz="0" w:space="0" w:color="auto"/>
        </w:rPr>
        <w:t>ment of pecuniary compensation</w:t>
      </w:r>
      <w:r w:rsidR="00F86F6E" w:rsidRPr="00F86F6E">
        <w:rPr>
          <w:rFonts w:eastAsia="Times New Roman" w:cs="Tahoma"/>
          <w:sz w:val="20"/>
          <w:szCs w:val="20"/>
          <w:bdr w:val="none" w:sz="0" w:space="0" w:color="auto"/>
        </w:rPr>
        <w:t>.</w:t>
      </w:r>
    </w:p>
    <w:p w14:paraId="5CE39A92" w14:textId="77777777" w:rsidR="00516C89" w:rsidRPr="002C53A9" w:rsidRDefault="00516C89" w:rsidP="002C53A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22ADC096" w14:textId="77777777" w:rsidR="008A6254" w:rsidRPr="002C53A9" w:rsidRDefault="00DB0387" w:rsidP="002C53A9">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r w:rsidRPr="002C53A9">
        <w:rPr>
          <w:rFonts w:asciiTheme="majorHAnsi" w:hAnsiTheme="majorHAnsi"/>
          <w:sz w:val="20"/>
          <w:szCs w:val="20"/>
        </w:rPr>
        <w:t>Ensure compliance with the precautionary measures granted by the IACHR for persons facing the death penalty</w:t>
      </w:r>
      <w:r w:rsidR="008A6254" w:rsidRPr="002C53A9">
        <w:rPr>
          <w:rFonts w:asciiTheme="majorHAnsi" w:hAnsiTheme="majorHAnsi"/>
          <w:sz w:val="20"/>
          <w:szCs w:val="20"/>
        </w:rPr>
        <w:t>.</w:t>
      </w:r>
    </w:p>
    <w:p w14:paraId="7EC20365" w14:textId="77777777" w:rsidR="008A6254" w:rsidRPr="002C53A9" w:rsidRDefault="008A6254" w:rsidP="002C53A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74092FC7" w14:textId="77777777" w:rsidR="001C4006" w:rsidRPr="002C53A9" w:rsidRDefault="00A54E22" w:rsidP="002C53A9">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r w:rsidRPr="002C53A9">
        <w:rPr>
          <w:rFonts w:asciiTheme="majorHAnsi" w:hAnsiTheme="majorHAnsi"/>
          <w:sz w:val="20"/>
          <w:szCs w:val="20"/>
        </w:rPr>
        <w:t>Given the violations of the American Declaration the IACHR has established in the present case and in others involving application of the death penalty, the Inter-American Commission also recommends to the United States that it adopt a moratorium on executions of persons sentenced to death.</w:t>
      </w:r>
      <w:r w:rsidRPr="006653BD">
        <w:rPr>
          <w:rFonts w:asciiTheme="majorHAnsi" w:hAnsiTheme="majorHAnsi"/>
          <w:sz w:val="20"/>
          <w:szCs w:val="20"/>
          <w:vertAlign w:val="superscript"/>
        </w:rPr>
        <w:footnoteReference w:id="78"/>
      </w:r>
    </w:p>
    <w:p w14:paraId="534EA17C" w14:textId="77777777" w:rsidR="00383EEB" w:rsidRPr="00D2222C" w:rsidRDefault="00383EEB" w:rsidP="00383EEB">
      <w:pPr>
        <w:pStyle w:val="Heading1"/>
        <w:numPr>
          <w:ilvl w:val="0"/>
          <w:numId w:val="0"/>
        </w:numPr>
        <w:spacing w:before="0"/>
        <w:rPr>
          <w:color w:val="auto"/>
          <w:sz w:val="20"/>
          <w:szCs w:val="20"/>
        </w:rPr>
      </w:pPr>
    </w:p>
    <w:p w14:paraId="0A96006B" w14:textId="77777777" w:rsidR="00383EEB" w:rsidRPr="00213A12" w:rsidRDefault="00383EEB" w:rsidP="00383EEB">
      <w:pPr>
        <w:pStyle w:val="Heading1"/>
        <w:spacing w:before="0"/>
        <w:ind w:hanging="720"/>
        <w:rPr>
          <w:color w:val="auto"/>
          <w:sz w:val="20"/>
          <w:szCs w:val="20"/>
        </w:rPr>
      </w:pPr>
      <w:bookmarkStart w:id="30" w:name="_Toc26550945"/>
      <w:bookmarkStart w:id="31" w:name="_Toc87522018"/>
      <w:bookmarkStart w:id="32" w:name="_Toc90115138"/>
      <w:bookmarkStart w:id="33" w:name="_Toc90283317"/>
      <w:bookmarkStart w:id="34" w:name="_Toc90284151"/>
      <w:r w:rsidRPr="00213A12">
        <w:rPr>
          <w:color w:val="auto"/>
          <w:sz w:val="20"/>
          <w:szCs w:val="20"/>
        </w:rPr>
        <w:t>PUBLICATION</w:t>
      </w:r>
      <w:bookmarkEnd w:id="30"/>
      <w:bookmarkEnd w:id="31"/>
      <w:bookmarkEnd w:id="32"/>
      <w:bookmarkEnd w:id="33"/>
      <w:bookmarkEnd w:id="34"/>
    </w:p>
    <w:p w14:paraId="379AD1B4" w14:textId="77777777" w:rsidR="00383EEB" w:rsidRPr="00213A12" w:rsidRDefault="00383EEB" w:rsidP="00383EEB">
      <w:pPr>
        <w:rPr>
          <w:rFonts w:asciiTheme="majorHAnsi" w:hAnsiTheme="majorHAnsi"/>
          <w:sz w:val="20"/>
          <w:szCs w:val="20"/>
        </w:rPr>
      </w:pPr>
    </w:p>
    <w:p w14:paraId="496BAF25" w14:textId="77777777" w:rsidR="00383EEB" w:rsidRPr="00213A12" w:rsidRDefault="00383EEB" w:rsidP="00383E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720"/>
          <w:tab w:val="left" w:pos="1440"/>
        </w:tabs>
        <w:ind w:left="0" w:firstLine="0"/>
        <w:jc w:val="both"/>
        <w:rPr>
          <w:rFonts w:ascii="Cambria" w:eastAsia="Times New Roman" w:hAnsi="Cambria"/>
          <w:sz w:val="20"/>
          <w:szCs w:val="20"/>
        </w:rPr>
      </w:pPr>
      <w:r w:rsidRPr="00213A12">
        <w:rPr>
          <w:rFonts w:asciiTheme="majorHAnsi" w:hAnsiTheme="majorHAnsi"/>
          <w:color w:val="000000" w:themeColor="text1"/>
          <w:sz w:val="20"/>
          <w:szCs w:val="20"/>
        </w:rPr>
        <w:t>In</w:t>
      </w:r>
      <w:r w:rsidRPr="00213A12">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1034B6D5" w14:textId="2A6A3714" w:rsidR="00677E73" w:rsidRDefault="00677E73" w:rsidP="009D0D81">
      <w:pPr>
        <w:tabs>
          <w:tab w:val="center" w:pos="5400"/>
        </w:tabs>
        <w:suppressAutoHyphens/>
        <w:spacing w:line="276" w:lineRule="auto"/>
        <w:ind w:left="360" w:hanging="360"/>
        <w:rPr>
          <w:rFonts w:asciiTheme="majorHAnsi" w:hAnsiTheme="majorHAnsi"/>
          <w:sz w:val="20"/>
          <w:szCs w:val="20"/>
        </w:rPr>
      </w:pPr>
    </w:p>
    <w:p w14:paraId="0629599D" w14:textId="77777777" w:rsidR="00DE1726" w:rsidRPr="00A525CC" w:rsidRDefault="00DE1726" w:rsidP="004003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Antonia Urrejola Noguera,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r w:rsidRPr="00A525CC">
        <w:rPr>
          <w:rFonts w:asciiTheme="majorHAnsi" w:eastAsia="Times New Roman" w:hAnsiTheme="majorHAnsi"/>
          <w:sz w:val="20"/>
          <w:szCs w:val="20"/>
        </w:rPr>
        <w:t>Flávia Piovesan,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Esmeralda E. Arosemena Bernal de Troitiño</w:t>
      </w:r>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Edgar Stuardo Ralón Orellana, Commissioners.</w:t>
      </w:r>
    </w:p>
    <w:p w14:paraId="7B5F8086" w14:textId="77777777" w:rsidR="00DE1726" w:rsidRPr="00A525CC" w:rsidRDefault="00DE1726" w:rsidP="00DE17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sectPr w:rsidR="00DE1726" w:rsidRPr="00A525CC" w:rsidSect="006311DA">
      <w:footerReference w:type="firs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D273" w14:textId="77777777" w:rsidR="00763191" w:rsidRDefault="00763191" w:rsidP="00036A8A">
      <w:r>
        <w:separator/>
      </w:r>
    </w:p>
  </w:endnote>
  <w:endnote w:type="continuationSeparator" w:id="0">
    <w:p w14:paraId="775F7B3B" w14:textId="77777777" w:rsidR="00763191" w:rsidRDefault="0076319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47F4FE4" w14:textId="77777777" w:rsidR="00383EEB" w:rsidRPr="006311DA" w:rsidRDefault="00383EEB">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17</w:t>
        </w:r>
        <w:r>
          <w:rPr>
            <w:noProof/>
            <w:sz w:val="16"/>
          </w:rPr>
          <w:fldChar w:fldCharType="end"/>
        </w:r>
      </w:p>
    </w:sdtContent>
  </w:sdt>
  <w:p w14:paraId="232880E6" w14:textId="77777777" w:rsidR="00383EEB" w:rsidRDefault="00383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30F" w14:textId="77777777" w:rsidR="00383EEB" w:rsidRDefault="00383EEB">
    <w:pPr>
      <w:pStyle w:val="Footer"/>
      <w:jc w:val="center"/>
    </w:pPr>
  </w:p>
  <w:p w14:paraId="507E65B8" w14:textId="77777777" w:rsidR="00383EEB" w:rsidRDefault="00383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562B6593" w14:textId="77777777" w:rsidR="00383EEB" w:rsidRDefault="00383EEB">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9E4A0ED" w14:textId="77777777" w:rsidR="00383EEB" w:rsidRDefault="00383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D0DD" w14:textId="77777777" w:rsidR="00763191" w:rsidRPr="00036A8A" w:rsidRDefault="0076319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414D49D" w14:textId="77777777" w:rsidR="00763191" w:rsidRPr="00036A8A" w:rsidRDefault="00763191" w:rsidP="00036A8A">
      <w:pPr>
        <w:rPr>
          <w:rFonts w:asciiTheme="majorHAnsi" w:hAnsiTheme="majorHAnsi"/>
          <w:sz w:val="16"/>
          <w:szCs w:val="16"/>
        </w:rPr>
      </w:pPr>
      <w:r w:rsidRPr="00036A8A">
        <w:rPr>
          <w:rFonts w:asciiTheme="majorHAnsi" w:hAnsiTheme="majorHAnsi"/>
          <w:sz w:val="16"/>
          <w:szCs w:val="16"/>
        </w:rPr>
        <w:separator/>
      </w:r>
    </w:p>
    <w:p w14:paraId="6E2D69F8" w14:textId="77777777" w:rsidR="00763191" w:rsidRPr="00036A8A" w:rsidRDefault="0076319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8C64177" w14:textId="77777777" w:rsidR="00763191" w:rsidRPr="0093441A" w:rsidRDefault="0076319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810CE93"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On May 10, 2004, the IACHR granted precautionary measures on behalf of Marlin Gray pursuant to Article 25(1) of its Rules of Procedure and requested the United States to take the measures necessary to preserve his life and physical integrity so as not to hinder the processing of his case before the Inter-American system </w:t>
      </w:r>
      <w:r w:rsidRPr="00BF0A9E">
        <w:rPr>
          <w:rFonts w:ascii="Cambria" w:eastAsia="Cambria" w:hAnsi="Cambria" w:cs="Cambria"/>
          <w:sz w:val="16"/>
          <w:szCs w:val="16"/>
        </w:rPr>
        <w:t>and reiterated the same via note of October 10, 2005</w:t>
      </w:r>
      <w:r w:rsidRPr="00BF0A9E">
        <w:rPr>
          <w:rFonts w:asciiTheme="majorHAnsi" w:hAnsiTheme="majorHAnsi"/>
          <w:sz w:val="16"/>
          <w:szCs w:val="16"/>
        </w:rPr>
        <w:t>.</w:t>
      </w:r>
    </w:p>
  </w:footnote>
  <w:footnote w:id="3">
    <w:p w14:paraId="47D1B36B"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rPr>
        <w:footnoteRef/>
      </w:r>
      <w:r w:rsidRPr="00BF0A9E">
        <w:rPr>
          <w:rFonts w:asciiTheme="majorHAnsi" w:hAnsiTheme="majorHAnsi"/>
          <w:sz w:val="16"/>
        </w:rPr>
        <w:t xml:space="preserve"> </w:t>
      </w:r>
      <w:r w:rsidRPr="00BF0A9E">
        <w:rPr>
          <w:rFonts w:asciiTheme="majorHAnsi" w:hAnsiTheme="majorHAnsi"/>
          <w:sz w:val="16"/>
          <w:szCs w:val="16"/>
        </w:rPr>
        <w:t>IACHR. Report No. 79/05. Petition P-396-04. Admissibility. Marlin Gray. United States. October 24, 2005.</w:t>
      </w:r>
    </w:p>
  </w:footnote>
  <w:footnote w:id="4">
    <w:p w14:paraId="52DCFDCA"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at 377.</w:t>
      </w:r>
    </w:p>
  </w:footnote>
  <w:footnote w:id="5">
    <w:p w14:paraId="03011A22"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at 375.</w:t>
      </w:r>
    </w:p>
  </w:footnote>
  <w:footnote w:id="6">
    <w:p w14:paraId="5C544578"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MO. REV. STAT. 565.020(1)</w:t>
      </w:r>
    </w:p>
  </w:footnote>
  <w:footnote w:id="7">
    <w:p w14:paraId="27F9F280"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at 377.</w:t>
      </w:r>
    </w:p>
  </w:footnote>
  <w:footnote w:id="8">
    <w:p w14:paraId="3AD8E42E"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State’s third response submitted May 31, 2006.</w:t>
      </w:r>
    </w:p>
  </w:footnote>
  <w:footnote w:id="9">
    <w:p w14:paraId="2DB67DB9" w14:textId="77777777" w:rsidR="00383EEB" w:rsidRPr="00BF0A9E" w:rsidRDefault="00383EEB" w:rsidP="00C9221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MO. REV. STAT. 562.041.</w:t>
      </w:r>
    </w:p>
  </w:footnote>
  <w:footnote w:id="10">
    <w:p w14:paraId="4D01E0D9" w14:textId="77777777" w:rsidR="00383EEB" w:rsidRPr="00BF0A9E" w:rsidRDefault="00383EEB" w:rsidP="001741DD">
      <w:pPr>
        <w:pStyle w:val="FootnoteText"/>
        <w:jc w:val="both"/>
      </w:pPr>
      <w:r w:rsidRPr="00BF0A9E">
        <w:rPr>
          <w:rStyle w:val="FootnoteReference"/>
          <w:rFonts w:asciiTheme="majorHAnsi" w:hAnsiTheme="majorHAnsi"/>
          <w:sz w:val="16"/>
          <w:szCs w:val="16"/>
        </w:rPr>
        <w:footnoteRef/>
      </w:r>
      <w:r w:rsidRPr="00BF0A9E">
        <w:rPr>
          <w:rStyle w:val="FootnoteReference"/>
          <w:rFonts w:asciiTheme="majorHAnsi" w:hAnsiTheme="majorHAnsi"/>
          <w:sz w:val="16"/>
          <w:szCs w:val="16"/>
        </w:rPr>
        <w:t xml:space="preserve"> </w:t>
      </w:r>
      <w:r w:rsidRPr="00BF0A9E">
        <w:rPr>
          <w:rFonts w:asciiTheme="majorHAnsi" w:hAnsiTheme="majorHAnsi"/>
          <w:sz w:val="16"/>
          <w:szCs w:val="16"/>
        </w:rPr>
        <w:t>State v. Isa, 850 S.W.2d 876, 882-83 (Mo. 1993); State v. Six, 805 S.W.2d 159, 165 (Mo. 1991); State v. Betts, 646 S.W.2d 94, 95 (Mo. 1983).</w:t>
      </w:r>
    </w:p>
  </w:footnote>
  <w:footnote w:id="11">
    <w:p w14:paraId="5C1BB8FA" w14:textId="77777777" w:rsidR="00383EEB" w:rsidRPr="00BF0A9E" w:rsidRDefault="00383EEB">
      <w:pPr>
        <w:pStyle w:val="FootnoteText"/>
      </w:pPr>
      <w:r w:rsidRPr="00BF0A9E">
        <w:rPr>
          <w:rStyle w:val="FootnoteReference"/>
          <w:rFonts w:asciiTheme="majorHAnsi" w:hAnsiTheme="majorHAnsi"/>
          <w:sz w:val="16"/>
          <w:szCs w:val="16"/>
        </w:rPr>
        <w:footnoteRef/>
      </w:r>
      <w:r w:rsidRPr="00BF0A9E">
        <w:rPr>
          <w:rStyle w:val="FootnoteReference"/>
          <w:rFonts w:asciiTheme="majorHAnsi" w:hAnsiTheme="majorHAnsi"/>
          <w:sz w:val="16"/>
          <w:szCs w:val="16"/>
        </w:rPr>
        <w:t xml:space="preserve"> </w:t>
      </w:r>
      <w:r w:rsidRPr="00BF0A9E">
        <w:rPr>
          <w:rFonts w:asciiTheme="majorHAnsi" w:hAnsiTheme="majorHAnsi"/>
          <w:sz w:val="16"/>
          <w:szCs w:val="16"/>
        </w:rPr>
        <w:t>State v. Roberts, 709 S.W.2d 857, 860 (Mo. 1986); State v. Lindsay, 507 S.W.2d 1, 2 (Mo. 1974).</w:t>
      </w:r>
    </w:p>
  </w:footnote>
  <w:footnote w:id="12">
    <w:p w14:paraId="2E9427FD" w14:textId="77777777" w:rsidR="00383EEB" w:rsidRPr="00BF0A9E" w:rsidRDefault="00383EEB" w:rsidP="004B20D9">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Gray v Bowersox 281 F.3d 749 (8</w:t>
      </w:r>
      <w:r w:rsidRPr="00BF0A9E">
        <w:rPr>
          <w:rFonts w:asciiTheme="majorHAnsi" w:hAnsiTheme="majorHAnsi"/>
          <w:sz w:val="16"/>
          <w:szCs w:val="16"/>
          <w:vertAlign w:val="superscript"/>
        </w:rPr>
        <w:t>th</w:t>
      </w:r>
      <w:r w:rsidRPr="00BF0A9E">
        <w:rPr>
          <w:rFonts w:asciiTheme="majorHAnsi" w:hAnsiTheme="majorHAnsi"/>
          <w:sz w:val="16"/>
          <w:szCs w:val="16"/>
        </w:rPr>
        <w:t xml:space="preserve"> Cir. 2002).</w:t>
      </w:r>
    </w:p>
  </w:footnote>
  <w:footnote w:id="13">
    <w:p w14:paraId="04CECE3C" w14:textId="77777777" w:rsidR="00383EEB" w:rsidRPr="00BF0A9E" w:rsidRDefault="00383EEB">
      <w:pPr>
        <w:pStyle w:val="FootnoteText"/>
        <w:rPr>
          <w:rFonts w:asciiTheme="majorHAnsi" w:hAnsiTheme="majorHAnsi"/>
          <w:sz w:val="16"/>
          <w:szCs w:val="16"/>
        </w:rPr>
      </w:pPr>
      <w:r w:rsidRPr="00BF0A9E">
        <w:rPr>
          <w:rStyle w:val="FootnoteReference"/>
          <w:rFonts w:asciiTheme="majorHAnsi" w:hAnsiTheme="majorHAnsi"/>
          <w:color w:val="auto"/>
          <w:sz w:val="16"/>
          <w:szCs w:val="16"/>
        </w:rPr>
        <w:footnoteRef/>
      </w:r>
      <w:r w:rsidRPr="00BF0A9E">
        <w:rPr>
          <w:rFonts w:asciiTheme="majorHAnsi" w:hAnsiTheme="majorHAnsi"/>
          <w:color w:val="auto"/>
          <w:sz w:val="16"/>
          <w:szCs w:val="16"/>
        </w:rPr>
        <w:t xml:space="preserve"> Missouri Death Row. Capital Punishment in Missouri. Available at: </w:t>
      </w:r>
      <w:r w:rsidRPr="00BF0A9E">
        <w:rPr>
          <w:rFonts w:asciiTheme="majorHAnsi" w:hAnsiTheme="majorHAnsi" w:cs="Arial"/>
          <w:color w:val="auto"/>
          <w:spacing w:val="5"/>
          <w:sz w:val="16"/>
          <w:szCs w:val="16"/>
        </w:rPr>
        <w:t>https://missourideathrow.com/2008/12/gray_marlin/</w:t>
      </w:r>
    </w:p>
  </w:footnote>
  <w:footnote w:id="14">
    <w:p w14:paraId="0CCA858D" w14:textId="77777777" w:rsidR="00383EEB" w:rsidRPr="00BF0A9E" w:rsidRDefault="00383EEB">
      <w:pPr>
        <w:pStyle w:val="FootnoteText"/>
      </w:pPr>
      <w:r w:rsidRPr="00BF0A9E">
        <w:rPr>
          <w:rStyle w:val="FootnoteReference"/>
          <w:rFonts w:asciiTheme="majorHAnsi" w:hAnsiTheme="majorHAnsi"/>
          <w:color w:val="auto"/>
          <w:sz w:val="16"/>
          <w:szCs w:val="16"/>
        </w:rPr>
        <w:footnoteRef/>
      </w:r>
      <w:r w:rsidRPr="00BF0A9E">
        <w:rPr>
          <w:rFonts w:asciiTheme="majorHAnsi" w:hAnsiTheme="majorHAnsi"/>
          <w:color w:val="auto"/>
          <w:sz w:val="16"/>
          <w:szCs w:val="16"/>
        </w:rPr>
        <w:t xml:space="preserve"> Missouri Death Row. Capital Punishment in Missouri. Available at:</w:t>
      </w:r>
      <w:r w:rsidRPr="00BF0A9E">
        <w:rPr>
          <w:rFonts w:asciiTheme="majorHAnsi" w:hAnsiTheme="majorHAnsi" w:cs="Arial"/>
          <w:color w:val="auto"/>
          <w:spacing w:val="5"/>
          <w:sz w:val="16"/>
          <w:szCs w:val="16"/>
        </w:rPr>
        <w:t xml:space="preserve"> https://missourideathrow.com/2008/12/gray_marlin/</w:t>
      </w:r>
    </w:p>
  </w:footnote>
  <w:footnote w:id="15">
    <w:p w14:paraId="50723D13"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color w:val="auto"/>
          <w:sz w:val="16"/>
          <w:szCs w:val="16"/>
        </w:rPr>
        <w:footnoteRef/>
      </w:r>
      <w:r w:rsidRPr="00BF0A9E">
        <w:rPr>
          <w:rFonts w:asciiTheme="majorHAnsi" w:hAnsiTheme="majorHAnsi"/>
          <w:color w:val="auto"/>
          <w:sz w:val="16"/>
          <w:szCs w:val="16"/>
        </w:rPr>
        <w:t xml:space="preserve"> Gray v Bowersox 281 F.3d 749 (8</w:t>
      </w:r>
      <w:r w:rsidRPr="00BF0A9E">
        <w:rPr>
          <w:rFonts w:asciiTheme="majorHAnsi" w:hAnsiTheme="majorHAnsi"/>
          <w:color w:val="auto"/>
          <w:sz w:val="16"/>
          <w:szCs w:val="16"/>
          <w:vertAlign w:val="superscript"/>
        </w:rPr>
        <w:t>th</w:t>
      </w:r>
      <w:r w:rsidRPr="00BF0A9E">
        <w:rPr>
          <w:rFonts w:asciiTheme="majorHAnsi" w:hAnsiTheme="majorHAnsi"/>
          <w:color w:val="auto"/>
          <w:sz w:val="16"/>
          <w:szCs w:val="16"/>
        </w:rPr>
        <w:t xml:space="preserve"> Cir. 2002).</w:t>
      </w:r>
    </w:p>
  </w:footnote>
  <w:footnote w:id="16">
    <w:p w14:paraId="499DED59" w14:textId="77777777" w:rsidR="00383EEB" w:rsidRPr="00BF0A9E" w:rsidRDefault="00383EEB" w:rsidP="00586B77">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369 (Mo. Banc 1994).</w:t>
      </w:r>
    </w:p>
  </w:footnote>
  <w:footnote w:id="17">
    <w:p w14:paraId="4AA75B4E" w14:textId="77777777" w:rsidR="00383EEB" w:rsidRPr="00BF0A9E" w:rsidRDefault="00383EEB" w:rsidP="0055390F">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369.</w:t>
      </w:r>
    </w:p>
  </w:footnote>
  <w:footnote w:id="18">
    <w:p w14:paraId="11668F5D" w14:textId="77777777" w:rsidR="00383EEB" w:rsidRPr="00BF0A9E" w:rsidRDefault="00383EEB" w:rsidP="0006511C">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Transcript of Thomas Patrick Cummins, surviving victim, during the Appeal to the Supreme Court of Missouri, Exhibit 1 of the Petitioner’s submission of September 2, 2004.</w:t>
      </w:r>
    </w:p>
  </w:footnote>
  <w:footnote w:id="19">
    <w:p w14:paraId="269695F7" w14:textId="77777777" w:rsidR="00383EEB" w:rsidRPr="00BF0A9E" w:rsidRDefault="00383EEB" w:rsidP="0006511C">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Transcript of </w:t>
      </w:r>
      <w:proofErr w:type="spellStart"/>
      <w:r w:rsidRPr="00BF0A9E">
        <w:rPr>
          <w:rFonts w:asciiTheme="majorHAnsi" w:hAnsiTheme="majorHAnsi"/>
          <w:sz w:val="16"/>
          <w:szCs w:val="16"/>
        </w:rPr>
        <w:t>Nels</w:t>
      </w:r>
      <w:proofErr w:type="spellEnd"/>
      <w:r w:rsidRPr="00BF0A9E">
        <w:rPr>
          <w:rFonts w:asciiTheme="majorHAnsi" w:hAnsiTheme="majorHAnsi"/>
          <w:sz w:val="16"/>
          <w:szCs w:val="16"/>
        </w:rPr>
        <w:t xml:space="preserve"> Moss, lead prosecutor, during the conviction phase of trial, Exhibit A of the Petitioner’s submission of September 2, 2004.</w:t>
      </w:r>
    </w:p>
  </w:footnote>
  <w:footnote w:id="20">
    <w:p w14:paraId="7A03DA87" w14:textId="77777777" w:rsidR="00383EEB" w:rsidRPr="00BF0A9E" w:rsidRDefault="00383EEB" w:rsidP="0006511C">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Transcript of </w:t>
      </w:r>
      <w:proofErr w:type="spellStart"/>
      <w:r w:rsidRPr="00BF0A9E">
        <w:rPr>
          <w:rFonts w:asciiTheme="majorHAnsi" w:hAnsiTheme="majorHAnsi"/>
          <w:sz w:val="16"/>
          <w:szCs w:val="16"/>
        </w:rPr>
        <w:t>Nels</w:t>
      </w:r>
      <w:proofErr w:type="spellEnd"/>
      <w:r w:rsidRPr="00BF0A9E">
        <w:rPr>
          <w:rFonts w:asciiTheme="majorHAnsi" w:hAnsiTheme="majorHAnsi"/>
          <w:sz w:val="16"/>
          <w:szCs w:val="16"/>
        </w:rPr>
        <w:t xml:space="preserve"> Moss, lead prosecutor, during the sentencing phase of trial, Exhibit B of the Petitioner’s submission of September 2, 2004.</w:t>
      </w:r>
    </w:p>
  </w:footnote>
  <w:footnote w:id="21">
    <w:p w14:paraId="00E356EC" w14:textId="77777777" w:rsidR="00383EEB" w:rsidRPr="00BF0A9E" w:rsidRDefault="00383EEB" w:rsidP="0006511C">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Transcript of </w:t>
      </w:r>
      <w:proofErr w:type="spellStart"/>
      <w:r w:rsidRPr="00BF0A9E">
        <w:rPr>
          <w:rFonts w:asciiTheme="majorHAnsi" w:hAnsiTheme="majorHAnsi"/>
          <w:sz w:val="16"/>
          <w:szCs w:val="16"/>
        </w:rPr>
        <w:t>Nels</w:t>
      </w:r>
      <w:proofErr w:type="spellEnd"/>
      <w:r w:rsidRPr="00BF0A9E">
        <w:rPr>
          <w:rFonts w:asciiTheme="majorHAnsi" w:hAnsiTheme="majorHAnsi"/>
          <w:sz w:val="16"/>
          <w:szCs w:val="16"/>
        </w:rPr>
        <w:t xml:space="preserve"> Moss, lead prosecutor, during the conviction phase of trial, Exhibit A of the Petitioner’s submission of September 2, 2004.</w:t>
      </w:r>
    </w:p>
  </w:footnote>
  <w:footnote w:id="22">
    <w:p w14:paraId="2C8A422D" w14:textId="77777777" w:rsidR="00383EEB" w:rsidRPr="00BF0A9E" w:rsidRDefault="00383EEB" w:rsidP="0006511C">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Transcript of </w:t>
      </w:r>
      <w:proofErr w:type="spellStart"/>
      <w:r w:rsidRPr="00BF0A9E">
        <w:rPr>
          <w:rFonts w:asciiTheme="majorHAnsi" w:hAnsiTheme="majorHAnsi"/>
          <w:sz w:val="16"/>
          <w:szCs w:val="16"/>
        </w:rPr>
        <w:t>Nels</w:t>
      </w:r>
      <w:proofErr w:type="spellEnd"/>
      <w:r w:rsidRPr="00BF0A9E">
        <w:rPr>
          <w:rFonts w:asciiTheme="majorHAnsi" w:hAnsiTheme="majorHAnsi"/>
          <w:sz w:val="16"/>
          <w:szCs w:val="16"/>
        </w:rPr>
        <w:t xml:space="preserve"> Moss, lead prosecutor, during the sentencing phase of trial, Exhibit B of the Petitioner’s submission of September 2, 2004.</w:t>
      </w:r>
    </w:p>
  </w:footnote>
  <w:footnote w:id="23">
    <w:p w14:paraId="4F1972CB" w14:textId="77777777" w:rsidR="00383EEB" w:rsidRPr="00BF0A9E" w:rsidRDefault="00383EEB" w:rsidP="0006511C">
      <w:pPr>
        <w:pStyle w:val="FootnoteText"/>
        <w:jc w:val="both"/>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hAnsiTheme="majorHAnsi"/>
          <w:color w:val="auto"/>
          <w:sz w:val="16"/>
          <w:szCs w:val="16"/>
        </w:rPr>
        <w:t>Missouri Death Row. Capital Punishment in Missouri. Available at:</w:t>
      </w:r>
      <w:r w:rsidRPr="00BF0A9E">
        <w:rPr>
          <w:rFonts w:asciiTheme="majorHAnsi" w:hAnsiTheme="majorHAnsi" w:cs="Arial"/>
          <w:color w:val="auto"/>
          <w:spacing w:val="5"/>
          <w:sz w:val="16"/>
          <w:szCs w:val="16"/>
        </w:rPr>
        <w:t xml:space="preserve"> https://missourideathrow.com/2008/12/gray_marlin/</w:t>
      </w:r>
    </w:p>
  </w:footnote>
  <w:footnote w:id="24">
    <w:p w14:paraId="1E55AECD"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369 (Mo. Banc 1994).</w:t>
      </w:r>
    </w:p>
  </w:footnote>
  <w:footnote w:id="25">
    <w:p w14:paraId="581FB08F"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369.</w:t>
      </w:r>
    </w:p>
  </w:footnote>
  <w:footnote w:id="26">
    <w:p w14:paraId="52C53FBB"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369.</w:t>
      </w:r>
    </w:p>
  </w:footnote>
  <w:footnote w:id="27">
    <w:p w14:paraId="742AC458"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369.</w:t>
      </w:r>
    </w:p>
  </w:footnote>
  <w:footnote w:id="28">
    <w:p w14:paraId="27BB54E3"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sz w:val="16"/>
          <w:szCs w:val="16"/>
        </w:rPr>
        <w:t>State v Isa 850 S.W.2d 876, 882-83 (Mo. Banc 1993).</w:t>
      </w:r>
    </w:p>
  </w:footnote>
  <w:footnote w:id="29">
    <w:p w14:paraId="58B4581D"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sz w:val="16"/>
          <w:szCs w:val="16"/>
        </w:rPr>
        <w:t>State v Turner 623 S.W.2D 4, 6-7 (Mo. Banc 1981).</w:t>
      </w:r>
    </w:p>
  </w:footnote>
  <w:footnote w:id="30">
    <w:p w14:paraId="19A52D99"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sz w:val="16"/>
          <w:szCs w:val="16"/>
        </w:rPr>
        <w:t>Lindsay 507 S.W.2d.</w:t>
      </w:r>
    </w:p>
  </w:footnote>
  <w:footnote w:id="31">
    <w:p w14:paraId="70D310FC" w14:textId="77777777" w:rsidR="00383EEB" w:rsidRPr="00BF0A9E" w:rsidRDefault="00383EEB" w:rsidP="00766DEB">
      <w:pPr>
        <w:pStyle w:val="FootnoteText"/>
        <w:jc w:val="both"/>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State v Gray 887 S.W. 2d 369.</w:t>
      </w:r>
    </w:p>
  </w:footnote>
  <w:footnote w:id="32">
    <w:p w14:paraId="6C3F7B8C" w14:textId="77777777" w:rsidR="00383EEB" w:rsidRPr="00BF0A9E" w:rsidRDefault="00383EEB">
      <w:pPr>
        <w:pStyle w:val="FootnoteText"/>
      </w:pPr>
      <w:r w:rsidRPr="00BF0A9E">
        <w:rPr>
          <w:rStyle w:val="FootnoteReference"/>
          <w:rFonts w:asciiTheme="majorHAnsi" w:hAnsiTheme="majorHAnsi"/>
          <w:sz w:val="16"/>
          <w:szCs w:val="16"/>
        </w:rPr>
        <w:footnoteRef/>
      </w:r>
      <w:r w:rsidRPr="00BF0A9E">
        <w:t xml:space="preserve"> </w:t>
      </w:r>
      <w:r w:rsidRPr="00BF0A9E">
        <w:rPr>
          <w:rFonts w:asciiTheme="majorHAnsi" w:hAnsiTheme="majorHAnsi"/>
          <w:sz w:val="16"/>
          <w:szCs w:val="16"/>
        </w:rPr>
        <w:t>State v Gray 887 S.W. 2d 369.</w:t>
      </w:r>
    </w:p>
  </w:footnote>
  <w:footnote w:id="33">
    <w:p w14:paraId="5A738831" w14:textId="77777777" w:rsidR="00383EEB" w:rsidRPr="00BF0A9E" w:rsidRDefault="00383EEB">
      <w:pPr>
        <w:pStyle w:val="FootnoteText"/>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Gray v Missouri, 514 U.S. 1042 (1995)</w:t>
      </w:r>
    </w:p>
  </w:footnote>
  <w:footnote w:id="34">
    <w:p w14:paraId="1D3CB404" w14:textId="77777777" w:rsidR="00383EEB" w:rsidRPr="00BF0A9E" w:rsidRDefault="00383EEB">
      <w:pPr>
        <w:pStyle w:val="FootnoteText"/>
      </w:pPr>
      <w:r w:rsidRPr="00BF0A9E">
        <w:rPr>
          <w:rStyle w:val="FootnoteReference"/>
          <w:rFonts w:asciiTheme="majorHAnsi" w:hAnsiTheme="majorHAnsi"/>
          <w:sz w:val="16"/>
          <w:szCs w:val="16"/>
        </w:rPr>
        <w:footnoteRef/>
      </w:r>
      <w:r w:rsidRPr="00BF0A9E">
        <w:rPr>
          <w:rStyle w:val="FootnoteReference"/>
          <w:rFonts w:asciiTheme="majorHAnsi" w:hAnsiTheme="majorHAnsi"/>
          <w:sz w:val="16"/>
          <w:szCs w:val="16"/>
        </w:rPr>
        <w:t xml:space="preserve"> </w:t>
      </w:r>
      <w:r w:rsidRPr="00BF0A9E">
        <w:rPr>
          <w:rFonts w:asciiTheme="majorHAnsi" w:hAnsiTheme="majorHAnsi"/>
          <w:color w:val="auto"/>
          <w:sz w:val="16"/>
          <w:szCs w:val="16"/>
        </w:rPr>
        <w:t>Missouri Death Row. Capital Punishment in Missouri. Available at:</w:t>
      </w:r>
      <w:r w:rsidRPr="00BF0A9E">
        <w:rPr>
          <w:rFonts w:asciiTheme="majorHAnsi" w:hAnsiTheme="majorHAnsi" w:cs="Arial"/>
          <w:color w:val="auto"/>
          <w:spacing w:val="5"/>
          <w:sz w:val="16"/>
          <w:szCs w:val="16"/>
        </w:rPr>
        <w:t xml:space="preserve"> https://missourideathrow.com/2008/12/gray_marlin/</w:t>
      </w:r>
    </w:p>
  </w:footnote>
  <w:footnote w:id="35">
    <w:p w14:paraId="3CD2CCBA" w14:textId="77777777" w:rsidR="00383EEB" w:rsidRPr="00BF0A9E" w:rsidRDefault="00383EEB">
      <w:pPr>
        <w:pStyle w:val="FootnoteText"/>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Gray v Bowersox 281 F.3d 749 (8</w:t>
      </w:r>
      <w:r w:rsidRPr="00BF0A9E">
        <w:rPr>
          <w:rFonts w:asciiTheme="majorHAnsi" w:hAnsiTheme="majorHAnsi"/>
          <w:sz w:val="16"/>
          <w:szCs w:val="16"/>
          <w:vertAlign w:val="superscript"/>
        </w:rPr>
        <w:t>th</w:t>
      </w:r>
      <w:r w:rsidRPr="00BF0A9E">
        <w:rPr>
          <w:rFonts w:asciiTheme="majorHAnsi" w:hAnsiTheme="majorHAnsi"/>
          <w:sz w:val="16"/>
          <w:szCs w:val="16"/>
        </w:rPr>
        <w:t xml:space="preserve"> Cir. 2002).</w:t>
      </w:r>
    </w:p>
  </w:footnote>
  <w:footnote w:id="36">
    <w:p w14:paraId="7E04DC26"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Gray v Bowersox 281 F.3d 749 (8</w:t>
      </w:r>
      <w:r w:rsidRPr="00BF0A9E">
        <w:rPr>
          <w:rFonts w:asciiTheme="majorHAnsi" w:hAnsiTheme="majorHAnsi"/>
          <w:sz w:val="16"/>
          <w:szCs w:val="16"/>
          <w:vertAlign w:val="superscript"/>
        </w:rPr>
        <w:t>th</w:t>
      </w:r>
      <w:r w:rsidRPr="00BF0A9E">
        <w:rPr>
          <w:rFonts w:asciiTheme="majorHAnsi" w:hAnsiTheme="majorHAnsi"/>
          <w:sz w:val="16"/>
          <w:szCs w:val="16"/>
        </w:rPr>
        <w:t xml:space="preserve"> Cir. 2002).</w:t>
      </w:r>
    </w:p>
  </w:footnote>
  <w:footnote w:id="37">
    <w:p w14:paraId="1B7EA32E" w14:textId="77777777" w:rsidR="00383EEB" w:rsidRPr="00BF0A9E" w:rsidRDefault="00383EEB">
      <w:pPr>
        <w:pStyle w:val="FootnoteText"/>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Gray v </w:t>
      </w:r>
      <w:proofErr w:type="spellStart"/>
      <w:r w:rsidRPr="00BF0A9E">
        <w:rPr>
          <w:rFonts w:asciiTheme="majorHAnsi" w:hAnsiTheme="majorHAnsi"/>
          <w:sz w:val="16"/>
          <w:szCs w:val="16"/>
        </w:rPr>
        <w:t>Luebbers</w:t>
      </w:r>
      <w:proofErr w:type="spellEnd"/>
      <w:r w:rsidRPr="00BF0A9E">
        <w:rPr>
          <w:rFonts w:asciiTheme="majorHAnsi" w:hAnsiTheme="majorHAnsi"/>
          <w:sz w:val="16"/>
          <w:szCs w:val="16"/>
        </w:rPr>
        <w:t>, 537 U.S. 115 (2002)</w:t>
      </w:r>
    </w:p>
  </w:footnote>
  <w:footnote w:id="38">
    <w:p w14:paraId="6446DB79" w14:textId="77777777" w:rsidR="00383EEB" w:rsidRPr="00BF0A9E" w:rsidRDefault="00383EEB">
      <w:pPr>
        <w:pStyle w:val="FootnoteText"/>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hAnsiTheme="majorHAnsi"/>
          <w:color w:val="auto"/>
          <w:sz w:val="16"/>
          <w:szCs w:val="16"/>
        </w:rPr>
        <w:t>Missouri Death Row. Capital Punishment in Missouri. Available at:</w:t>
      </w:r>
      <w:r w:rsidRPr="00BF0A9E">
        <w:rPr>
          <w:rFonts w:asciiTheme="majorHAnsi" w:hAnsiTheme="majorHAnsi" w:cs="Arial"/>
          <w:color w:val="auto"/>
          <w:spacing w:val="5"/>
          <w:sz w:val="16"/>
          <w:szCs w:val="16"/>
        </w:rPr>
        <w:t xml:space="preserve"> https://missourideathrow.com/2008/12/gray_marlin/</w:t>
      </w:r>
    </w:p>
  </w:footnote>
  <w:footnote w:id="39">
    <w:p w14:paraId="0D5EA0E7" w14:textId="77777777" w:rsidR="00383EEB" w:rsidRPr="00BF0A9E" w:rsidRDefault="00383EEB" w:rsidP="00314429">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Clemmons v. </w:t>
      </w:r>
      <w:proofErr w:type="spellStart"/>
      <w:r w:rsidRPr="00BF0A9E">
        <w:rPr>
          <w:rFonts w:asciiTheme="majorHAnsi" w:hAnsiTheme="majorHAnsi"/>
          <w:sz w:val="16"/>
          <w:szCs w:val="16"/>
        </w:rPr>
        <w:t>Luebbers</w:t>
      </w:r>
      <w:proofErr w:type="spellEnd"/>
      <w:r w:rsidRPr="00BF0A9E">
        <w:rPr>
          <w:rFonts w:asciiTheme="majorHAnsi" w:hAnsiTheme="majorHAnsi"/>
          <w:sz w:val="16"/>
          <w:szCs w:val="16"/>
        </w:rPr>
        <w:t>, 212 F. Supp.2d 1105 (</w:t>
      </w:r>
      <w:proofErr w:type="spellStart"/>
      <w:r w:rsidRPr="00BF0A9E">
        <w:rPr>
          <w:rFonts w:asciiTheme="majorHAnsi" w:hAnsiTheme="majorHAnsi"/>
          <w:sz w:val="16"/>
          <w:szCs w:val="16"/>
        </w:rPr>
        <w:t>E.D.Mo</w:t>
      </w:r>
      <w:proofErr w:type="spellEnd"/>
      <w:r w:rsidRPr="00BF0A9E">
        <w:rPr>
          <w:rFonts w:asciiTheme="majorHAnsi" w:hAnsiTheme="majorHAnsi"/>
          <w:sz w:val="16"/>
          <w:szCs w:val="16"/>
        </w:rPr>
        <w:t xml:space="preserve">. 2002). Exhibit 5 of the State’s submission of July 28, 2004; Daniel Winfrey v. Missouri Board of Probation and Parole et al. May 30, 2017. Available at: </w:t>
      </w:r>
      <w:hyperlink r:id="rId1" w:history="1">
        <w:r w:rsidRPr="00BF0A9E">
          <w:rPr>
            <w:rFonts w:asciiTheme="majorHAnsi" w:hAnsiTheme="majorHAnsi"/>
            <w:sz w:val="16"/>
            <w:szCs w:val="16"/>
          </w:rPr>
          <w:t>https://caselaw.findlaw.com/mo-court-of-appeals/1862318.html</w:t>
        </w:r>
      </w:hyperlink>
      <w:r w:rsidRPr="00BF0A9E">
        <w:rPr>
          <w:rFonts w:asciiTheme="majorHAnsi" w:hAnsiTheme="majorHAnsi"/>
          <w:sz w:val="16"/>
          <w:szCs w:val="16"/>
        </w:rPr>
        <w:t>;</w:t>
      </w:r>
      <w:r w:rsidRPr="00BF0A9E">
        <w:t xml:space="preserve"> </w:t>
      </w:r>
      <w:r w:rsidRPr="00BF0A9E">
        <w:rPr>
          <w:rFonts w:asciiTheme="majorHAnsi" w:hAnsiTheme="majorHAnsi"/>
          <w:sz w:val="16"/>
          <w:szCs w:val="16"/>
        </w:rPr>
        <w:t xml:space="preserve">The Seattle Times. Ex-Missouri death row inmate re-sentenced to life in prison. December 18, 2017; Belleville News-Democrat. Twenty-six years later, las of four Chain of Rocks Bridge killers pleads guilty. Available at: </w:t>
      </w:r>
      <w:hyperlink r:id="rId2" w:history="1">
        <w:r w:rsidRPr="00BF0A9E">
          <w:rPr>
            <w:rStyle w:val="Hyperlink"/>
            <w:rFonts w:asciiTheme="majorHAnsi" w:hAnsiTheme="majorHAnsi"/>
            <w:sz w:val="16"/>
            <w:szCs w:val="16"/>
          </w:rPr>
          <w:t>https://www.bnd.com/news/local/crime/article190391684.html</w:t>
        </w:r>
      </w:hyperlink>
      <w:r w:rsidRPr="00BF0A9E">
        <w:rPr>
          <w:rFonts w:asciiTheme="majorHAnsi" w:hAnsiTheme="majorHAnsi"/>
          <w:sz w:val="16"/>
          <w:szCs w:val="16"/>
        </w:rPr>
        <w:t xml:space="preserve"> </w:t>
      </w:r>
    </w:p>
  </w:footnote>
  <w:footnote w:id="40">
    <w:p w14:paraId="024F7FA2" w14:textId="77777777" w:rsidR="00383EEB" w:rsidRPr="00BF0A9E" w:rsidRDefault="00383EEB" w:rsidP="00CC0D1F">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Clemmons v. </w:t>
      </w:r>
      <w:proofErr w:type="spellStart"/>
      <w:r w:rsidRPr="00BF0A9E">
        <w:rPr>
          <w:rFonts w:asciiTheme="majorHAnsi" w:hAnsiTheme="majorHAnsi"/>
          <w:sz w:val="16"/>
          <w:szCs w:val="16"/>
        </w:rPr>
        <w:t>Luebbers</w:t>
      </w:r>
      <w:proofErr w:type="spellEnd"/>
      <w:r w:rsidRPr="00BF0A9E">
        <w:rPr>
          <w:rFonts w:asciiTheme="majorHAnsi" w:hAnsiTheme="majorHAnsi"/>
          <w:sz w:val="16"/>
          <w:szCs w:val="16"/>
        </w:rPr>
        <w:t>, 212 F. Supp.2d 1105 (</w:t>
      </w:r>
      <w:proofErr w:type="spellStart"/>
      <w:r w:rsidRPr="00BF0A9E">
        <w:rPr>
          <w:rFonts w:asciiTheme="majorHAnsi" w:hAnsiTheme="majorHAnsi"/>
          <w:sz w:val="16"/>
          <w:szCs w:val="16"/>
        </w:rPr>
        <w:t>E.D.Mo</w:t>
      </w:r>
      <w:proofErr w:type="spellEnd"/>
      <w:r w:rsidRPr="00BF0A9E">
        <w:rPr>
          <w:rFonts w:asciiTheme="majorHAnsi" w:hAnsiTheme="majorHAnsi"/>
          <w:sz w:val="16"/>
          <w:szCs w:val="16"/>
        </w:rPr>
        <w:t>. 2002). Exhibit 5 of the State’s submission of July 28, 2004.</w:t>
      </w:r>
    </w:p>
  </w:footnote>
  <w:footnote w:id="41">
    <w:p w14:paraId="3EE028CB" w14:textId="77777777" w:rsidR="00383EEB" w:rsidRPr="00BF0A9E" w:rsidRDefault="00383EEB">
      <w:pPr>
        <w:pStyle w:val="FootnoteText"/>
      </w:pPr>
      <w:r w:rsidRPr="00BF0A9E">
        <w:rPr>
          <w:rFonts w:asciiTheme="majorHAnsi" w:eastAsia="Cambria" w:hAnsiTheme="majorHAnsi" w:cs="Cambria"/>
          <w:sz w:val="16"/>
          <w:vertAlign w:val="superscript"/>
        </w:rPr>
        <w:footnoteRef/>
      </w:r>
      <w:r w:rsidRPr="00BF0A9E">
        <w:rPr>
          <w:rFonts w:asciiTheme="majorHAnsi" w:eastAsia="Cambria" w:hAnsiTheme="majorHAnsi" w:cs="Cambria"/>
          <w:sz w:val="16"/>
          <w:vertAlign w:val="superscript"/>
        </w:rPr>
        <w:t xml:space="preserve"> </w:t>
      </w:r>
      <w:r w:rsidRPr="00BF0A9E">
        <w:rPr>
          <w:rFonts w:asciiTheme="majorHAnsi" w:hAnsiTheme="majorHAnsi"/>
          <w:sz w:val="16"/>
          <w:szCs w:val="16"/>
        </w:rPr>
        <w:t>State’s submission of July 28, 2004, p. 5.</w:t>
      </w:r>
    </w:p>
  </w:footnote>
  <w:footnote w:id="42">
    <w:p w14:paraId="3889BD67" w14:textId="77777777" w:rsidR="00383EEB" w:rsidRPr="00BF0A9E" w:rsidRDefault="00383EEB">
      <w:pPr>
        <w:pStyle w:val="FootnoteText"/>
      </w:pPr>
      <w:r w:rsidRPr="00BF0A9E">
        <w:rPr>
          <w:rFonts w:asciiTheme="majorHAnsi" w:eastAsia="Cambria" w:hAnsiTheme="majorHAnsi" w:cs="Cambria"/>
          <w:sz w:val="16"/>
          <w:vertAlign w:val="superscript"/>
        </w:rPr>
        <w:footnoteRef/>
      </w:r>
      <w:r w:rsidRPr="00BF0A9E">
        <w:t xml:space="preserve"> </w:t>
      </w:r>
      <w:r w:rsidRPr="00BF0A9E">
        <w:rPr>
          <w:rFonts w:asciiTheme="majorHAnsi" w:hAnsiTheme="majorHAnsi"/>
          <w:sz w:val="16"/>
          <w:szCs w:val="16"/>
        </w:rPr>
        <w:t xml:space="preserve">Clemmons v. </w:t>
      </w:r>
      <w:proofErr w:type="spellStart"/>
      <w:r w:rsidRPr="00BF0A9E">
        <w:rPr>
          <w:rFonts w:asciiTheme="majorHAnsi" w:hAnsiTheme="majorHAnsi"/>
          <w:sz w:val="16"/>
          <w:szCs w:val="16"/>
        </w:rPr>
        <w:t>Luebbers</w:t>
      </w:r>
      <w:proofErr w:type="spellEnd"/>
      <w:r w:rsidRPr="00BF0A9E">
        <w:rPr>
          <w:rFonts w:asciiTheme="majorHAnsi" w:hAnsiTheme="majorHAnsi"/>
          <w:sz w:val="16"/>
          <w:szCs w:val="16"/>
        </w:rPr>
        <w:t>, 212 F. Supp.2d 1105 (</w:t>
      </w:r>
      <w:proofErr w:type="spellStart"/>
      <w:r w:rsidRPr="00BF0A9E">
        <w:rPr>
          <w:rFonts w:asciiTheme="majorHAnsi" w:hAnsiTheme="majorHAnsi"/>
          <w:sz w:val="16"/>
          <w:szCs w:val="16"/>
        </w:rPr>
        <w:t>E.D.Mo</w:t>
      </w:r>
      <w:proofErr w:type="spellEnd"/>
      <w:r w:rsidRPr="00BF0A9E">
        <w:rPr>
          <w:rFonts w:asciiTheme="majorHAnsi" w:hAnsiTheme="majorHAnsi"/>
          <w:sz w:val="16"/>
          <w:szCs w:val="16"/>
        </w:rPr>
        <w:t>. 2002). Exhibit 5 of the State’s submission of July 28, 2004.</w:t>
      </w:r>
    </w:p>
  </w:footnote>
  <w:footnote w:id="43">
    <w:p w14:paraId="1733F81B" w14:textId="77777777" w:rsidR="00383EEB" w:rsidRPr="00BF0A9E" w:rsidRDefault="00383EEB" w:rsidP="008049CD">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The Seattle Times. Ex-Missouri death row inmate re-sentenced to life in prison. December 18, 2017. Available at: </w:t>
      </w:r>
      <w:hyperlink r:id="rId3" w:history="1">
        <w:r w:rsidRPr="00BF0A9E">
          <w:rPr>
            <w:rStyle w:val="Hyperlink"/>
            <w:rFonts w:asciiTheme="majorHAnsi" w:hAnsiTheme="majorHAnsi"/>
            <w:sz w:val="16"/>
            <w:szCs w:val="16"/>
          </w:rPr>
          <w:t>https://www.seattletimes.com/nation-world/ex-missouri-death-row-inmate-re-sentenced-to-life-in-prison/</w:t>
        </w:r>
      </w:hyperlink>
      <w:r w:rsidRPr="00BF0A9E">
        <w:rPr>
          <w:rFonts w:asciiTheme="majorHAnsi" w:hAnsiTheme="majorHAnsi"/>
          <w:sz w:val="16"/>
          <w:szCs w:val="16"/>
        </w:rPr>
        <w:t xml:space="preserve">; Daily News. Killer who raped sisters and pushed them off bridge could be released in two years despite initial death sentence. September 25, 2018. Available at: </w:t>
      </w:r>
      <w:hyperlink r:id="rId4" w:history="1">
        <w:r w:rsidRPr="00BF0A9E">
          <w:rPr>
            <w:rStyle w:val="Hyperlink"/>
            <w:rFonts w:asciiTheme="majorHAnsi" w:hAnsiTheme="majorHAnsi"/>
            <w:sz w:val="16"/>
            <w:szCs w:val="16"/>
          </w:rPr>
          <w:t>http://www.nydailynews.com/news/crime/ny-news-clemons-sisters-parole-20180925-story.html</w:t>
        </w:r>
      </w:hyperlink>
      <w:r w:rsidRPr="00BF0A9E">
        <w:rPr>
          <w:rFonts w:asciiTheme="majorHAnsi" w:hAnsiTheme="majorHAnsi"/>
          <w:sz w:val="16"/>
          <w:szCs w:val="16"/>
        </w:rPr>
        <w:t xml:space="preserve">   </w:t>
      </w:r>
    </w:p>
  </w:footnote>
  <w:footnote w:id="44">
    <w:p w14:paraId="3FC1D590" w14:textId="77777777" w:rsidR="00383EEB" w:rsidRPr="00BF0A9E" w:rsidRDefault="00383EEB" w:rsidP="008049CD">
      <w:pPr>
        <w:pStyle w:val="FootnoteText"/>
        <w:jc w:val="both"/>
        <w:rPr>
          <w:rFonts w:asciiTheme="majorHAnsi" w:hAnsiTheme="majorHAnsi"/>
          <w:sz w:val="16"/>
          <w:szCs w:val="16"/>
        </w:rPr>
      </w:pPr>
      <w:r w:rsidRPr="00BF0A9E">
        <w:rPr>
          <w:rFonts w:asciiTheme="majorHAnsi" w:eastAsia="Cambria" w:hAnsiTheme="majorHAnsi" w:cs="Cambria"/>
          <w:sz w:val="16"/>
          <w:szCs w:val="16"/>
          <w:vertAlign w:val="superscript"/>
        </w:rPr>
        <w:footnoteRef/>
      </w:r>
      <w:r w:rsidRPr="00BF0A9E">
        <w:rPr>
          <w:rFonts w:asciiTheme="majorHAnsi" w:eastAsia="Cambria" w:hAnsiTheme="majorHAnsi" w:cs="Cambria"/>
          <w:sz w:val="16"/>
          <w:szCs w:val="16"/>
        </w:rPr>
        <w:t xml:space="preserve"> See, in this respect, IACHR, The death penalty in the Inter-American System of Human Rights: From restrictions to abolition, OEA/</w:t>
      </w:r>
      <w:proofErr w:type="spellStart"/>
      <w:r w:rsidRPr="00BF0A9E">
        <w:rPr>
          <w:rFonts w:asciiTheme="majorHAnsi" w:eastAsia="Cambria" w:hAnsiTheme="majorHAnsi" w:cs="Cambria"/>
          <w:sz w:val="16"/>
          <w:szCs w:val="16"/>
        </w:rPr>
        <w:t>Ser.L</w:t>
      </w:r>
      <w:proofErr w:type="spellEnd"/>
      <w:r w:rsidRPr="00BF0A9E">
        <w:rPr>
          <w:rFonts w:asciiTheme="majorHAnsi" w:eastAsia="Cambria" w:hAnsiTheme="majorHAnsi" w:cs="Cambria"/>
          <w:sz w:val="16"/>
          <w:szCs w:val="16"/>
        </w:rPr>
        <w:t>/V/II.Doc. 68, December 31, 2011.</w:t>
      </w:r>
    </w:p>
  </w:footnote>
  <w:footnote w:id="45">
    <w:p w14:paraId="0A2AC02B" w14:textId="77777777" w:rsidR="00383EEB" w:rsidRPr="00BF0A9E" w:rsidRDefault="00383EEB" w:rsidP="008049CD">
      <w:pPr>
        <w:pStyle w:val="FootnoteText"/>
        <w:jc w:val="both"/>
        <w:rPr>
          <w:rFonts w:asciiTheme="majorHAnsi" w:hAnsiTheme="majorHAnsi"/>
          <w:sz w:val="16"/>
        </w:rPr>
      </w:pPr>
      <w:r w:rsidRPr="00BF0A9E">
        <w:rPr>
          <w:rFonts w:asciiTheme="majorHAnsi" w:eastAsia="Cambria" w:hAnsiTheme="majorHAnsi" w:cs="Cambria"/>
          <w:sz w:val="16"/>
          <w:szCs w:val="16"/>
          <w:vertAlign w:val="superscript"/>
        </w:rPr>
        <w:footnoteRef/>
      </w:r>
      <w:r w:rsidRPr="00BF0A9E">
        <w:rPr>
          <w:rFonts w:asciiTheme="majorHAnsi" w:eastAsia="Cambria" w:hAnsiTheme="majorHAnsi" w:cs="Cambria"/>
          <w:sz w:val="16"/>
          <w:szCs w:val="16"/>
        </w:rPr>
        <w:t xml:space="preserve"> See, for example: I/A Court H. R., Advisory Opinion OC-16/99 (October 1, 1999), </w:t>
      </w:r>
      <w:r w:rsidRPr="00BF0A9E">
        <w:rPr>
          <w:rFonts w:asciiTheme="majorHAnsi" w:eastAsia="Cambria" w:hAnsiTheme="majorHAnsi" w:cs="Cambria"/>
          <w:i/>
          <w:iCs/>
          <w:sz w:val="16"/>
          <w:szCs w:val="16"/>
        </w:rPr>
        <w:t>The Right to Information on Consular Assistance in the Framework of the Guarantees of the Due Process of Law</w:t>
      </w:r>
      <w:r w:rsidRPr="00BF0A9E">
        <w:rPr>
          <w:rFonts w:asciiTheme="majorHAnsi" w:eastAsia="Cambria" w:hAnsiTheme="majorHAnsi" w:cs="Cambria"/>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proofErr w:type="spellStart"/>
      <w:r w:rsidRPr="00BF0A9E">
        <w:rPr>
          <w:rFonts w:asciiTheme="majorHAnsi" w:eastAsia="Cambria" w:hAnsiTheme="majorHAnsi" w:cs="Cambria"/>
          <w:i/>
          <w:iCs/>
          <w:sz w:val="16"/>
          <w:szCs w:val="16"/>
        </w:rPr>
        <w:t>Baboheram-Adhin</w:t>
      </w:r>
      <w:proofErr w:type="spellEnd"/>
      <w:r w:rsidRPr="00BF0A9E">
        <w:rPr>
          <w:rFonts w:asciiTheme="majorHAnsi" w:eastAsia="Cambria" w:hAnsiTheme="majorHAnsi" w:cs="Cambria"/>
          <w:i/>
          <w:iCs/>
          <w:sz w:val="16"/>
          <w:szCs w:val="16"/>
        </w:rPr>
        <w:t xml:space="preserve"> et al. v. Suriname</w:t>
      </w:r>
      <w:r w:rsidRPr="00BF0A9E">
        <w:rPr>
          <w:rFonts w:asciiTheme="majorHAnsi" w:eastAsia="Cambria" w:hAnsiTheme="majorHAnsi" w:cs="Cambria"/>
          <w:sz w:val="16"/>
          <w:szCs w:val="16"/>
        </w:rPr>
        <w:t>,</w:t>
      </w:r>
      <w:r w:rsidRPr="00BF0A9E">
        <w:rPr>
          <w:rFonts w:asciiTheme="majorHAnsi" w:eastAsia="Cambria" w:hAnsiTheme="majorHAnsi" w:cs="Cambria"/>
          <w:i/>
          <w:iCs/>
          <w:sz w:val="16"/>
          <w:szCs w:val="16"/>
        </w:rPr>
        <w:t xml:space="preserve"> </w:t>
      </w:r>
      <w:r w:rsidRPr="00BF0A9E">
        <w:rPr>
          <w:rFonts w:asciiTheme="majorHAnsi" w:eastAsia="Cambria" w:hAnsiTheme="majorHAnsi" w:cs="Cambria"/>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BF0A9E">
        <w:rPr>
          <w:rFonts w:asciiTheme="majorHAnsi" w:eastAsia="Cambria" w:hAnsiTheme="majorHAnsi" w:cs="Cambria"/>
          <w:i/>
          <w:iCs/>
          <w:sz w:val="16"/>
          <w:szCs w:val="16"/>
        </w:rPr>
        <w:t>Report of the United Nations Special Rapporteur on Extrajudicial Executions</w:t>
      </w:r>
      <w:r w:rsidRPr="00BF0A9E">
        <w:rPr>
          <w:rFonts w:asciiTheme="majorHAnsi" w:eastAsia="Cambria" w:hAnsiTheme="majorHAnsi" w:cs="Cambria"/>
          <w:sz w:val="16"/>
          <w:szCs w:val="16"/>
        </w:rPr>
        <w:t xml:space="preserve">, </w:t>
      </w:r>
      <w:proofErr w:type="spellStart"/>
      <w:r w:rsidRPr="00BF0A9E">
        <w:rPr>
          <w:rFonts w:asciiTheme="majorHAnsi" w:eastAsia="Cambria" w:hAnsiTheme="majorHAnsi" w:cs="Cambria"/>
          <w:sz w:val="16"/>
          <w:szCs w:val="16"/>
        </w:rPr>
        <w:t>Bacre</w:t>
      </w:r>
      <w:proofErr w:type="spellEnd"/>
      <w:r w:rsidRPr="00BF0A9E">
        <w:rPr>
          <w:rFonts w:asciiTheme="majorHAnsi" w:eastAsia="Cambria" w:hAnsiTheme="majorHAnsi" w:cs="Cambria"/>
          <w:sz w:val="16"/>
          <w:szCs w:val="16"/>
        </w:rPr>
        <w:t xml:space="preserve"> Waly Ndiaye, submitted pursuant to Commission on Human Rights Resolution 1994/82, Question of the Violation of Human Rights and Fundamental Freedoms in any part of the World, with particular reference to Colonial and Other Dependent Countries and Territories, UN </w:t>
      </w:r>
      <w:proofErr w:type="spellStart"/>
      <w:r w:rsidRPr="00BF0A9E">
        <w:rPr>
          <w:rFonts w:asciiTheme="majorHAnsi" w:eastAsia="Cambria" w:hAnsiTheme="majorHAnsi" w:cs="Cambria"/>
          <w:sz w:val="16"/>
          <w:szCs w:val="16"/>
        </w:rPr>
        <w:t>Doc.E</w:t>
      </w:r>
      <w:proofErr w:type="spellEnd"/>
      <w:r w:rsidRPr="00BF0A9E">
        <w:rPr>
          <w:rFonts w:asciiTheme="majorHAnsi" w:eastAsia="Cambria" w:hAnsiTheme="majorHAnsi" w:cs="Cambria"/>
          <w:sz w:val="16"/>
          <w:szCs w:val="16"/>
        </w:rPr>
        <w:t xml:space="preserve">/CN.4/1995/61 (December 14, 1994) (“the Ndiaye Report”), para. 378 (emphasizing that in capital cases, it is the application of the standards of fair trial to </w:t>
      </w:r>
      <w:proofErr w:type="gramStart"/>
      <w:r w:rsidRPr="00BF0A9E">
        <w:rPr>
          <w:rFonts w:asciiTheme="majorHAnsi" w:eastAsia="Cambria" w:hAnsiTheme="majorHAnsi" w:cs="Cambria"/>
          <w:sz w:val="16"/>
          <w:szCs w:val="16"/>
        </w:rPr>
        <w:t>each and every</w:t>
      </w:r>
      <w:proofErr w:type="gramEnd"/>
      <w:r w:rsidRPr="00BF0A9E">
        <w:rPr>
          <w:rFonts w:asciiTheme="majorHAnsi" w:eastAsia="Cambria" w:hAnsiTheme="majorHAnsi" w:cs="Cambria"/>
          <w:sz w:val="16"/>
          <w:szCs w:val="16"/>
        </w:rPr>
        <w:t xml:space="preserve"> case that needs to be ensured and, in case of indications to the contrary, verified, in accordance with the obligation under international law to conduct exhaustive and impartial investigations into all allegations of violation of the right to life).</w:t>
      </w:r>
    </w:p>
  </w:footnote>
  <w:footnote w:id="46">
    <w:p w14:paraId="251AF6B5" w14:textId="77777777" w:rsidR="00383EEB" w:rsidRPr="00BF0A9E" w:rsidRDefault="00383EEB" w:rsidP="008A6254">
      <w:pPr>
        <w:pStyle w:val="FootnoteText"/>
        <w:jc w:val="both"/>
        <w:rPr>
          <w:rFonts w:asciiTheme="majorHAnsi" w:hAnsiTheme="majorHAnsi"/>
          <w:sz w:val="16"/>
        </w:rPr>
      </w:pPr>
      <w:r w:rsidRPr="00BF0A9E">
        <w:rPr>
          <w:rFonts w:asciiTheme="majorHAnsi" w:eastAsia="Cambria" w:hAnsiTheme="majorHAnsi" w:cs="Cambria"/>
          <w:sz w:val="16"/>
          <w:vertAlign w:val="superscript"/>
        </w:rPr>
        <w:footnoteRef/>
      </w:r>
      <w:r w:rsidRPr="00BF0A9E">
        <w:rPr>
          <w:rFonts w:asciiTheme="majorHAnsi" w:eastAsia="Cambria" w:hAnsiTheme="majorHAnsi" w:cs="Cambria"/>
          <w:sz w:val="16"/>
          <w:szCs w:val="16"/>
        </w:rPr>
        <w:t xml:space="preserve"> IACHR, Report No. 11/15, Case 12.833, Merits (Publication), Felix Rocha Diaz, United States, March 23, 2015, para. 54; Report No. 44/14, Case 12.873, Merits (Publication), Edgar Tamayo Arias, United States, July 17, 2014, para. 127;</w:t>
      </w:r>
      <w:r w:rsidRPr="00BF0A9E">
        <w:rPr>
          <w:rFonts w:asciiTheme="majorHAnsi" w:eastAsia="Cambria" w:hAnsiTheme="majorHAnsi" w:cs="Cambria"/>
          <w:i/>
          <w:iCs/>
          <w:sz w:val="16"/>
          <w:szCs w:val="16"/>
        </w:rPr>
        <w:t xml:space="preserve"> </w:t>
      </w:r>
      <w:r w:rsidRPr="00BF0A9E">
        <w:rPr>
          <w:rFonts w:asciiTheme="majorHAnsi" w:eastAsia="Cambria" w:hAnsiTheme="majorHAnsi" w:cs="Cambria"/>
          <w:sz w:val="16"/>
          <w:szCs w:val="16"/>
        </w:rPr>
        <w:t>Report No. 57/96, Andrews, United States, IACHR Annual Report 1997, para. 170-171.</w:t>
      </w:r>
    </w:p>
  </w:footnote>
  <w:footnote w:id="47">
    <w:p w14:paraId="1677435D" w14:textId="77777777" w:rsidR="00383EEB" w:rsidRPr="00BF0A9E" w:rsidRDefault="00383EEB" w:rsidP="008A6254">
      <w:pPr>
        <w:pStyle w:val="Body"/>
        <w:jc w:val="both"/>
        <w:rPr>
          <w:rFonts w:asciiTheme="majorHAnsi" w:hAnsiTheme="majorHAnsi"/>
          <w:sz w:val="16"/>
        </w:rPr>
      </w:pPr>
      <w:r w:rsidRPr="00BF0A9E">
        <w:rPr>
          <w:rFonts w:asciiTheme="majorHAnsi" w:eastAsia="Cambria" w:hAnsiTheme="majorHAnsi" w:cs="Cambria"/>
          <w:sz w:val="16"/>
          <w:szCs w:val="20"/>
          <w:vertAlign w:val="superscript"/>
        </w:rPr>
        <w:footnoteRef/>
      </w:r>
      <w:r w:rsidRPr="00BF0A9E">
        <w:rPr>
          <w:rFonts w:asciiTheme="majorHAnsi" w:eastAsia="Cambria" w:hAnsiTheme="majorHAnsi" w:cs="Cambria"/>
          <w:sz w:val="16"/>
          <w:szCs w:val="16"/>
        </w:rPr>
        <w:t xml:space="preserve"> IACHR, The death penalty in the Inter-American System of Human Rights: From restrictions to abolition, OEA/</w:t>
      </w:r>
      <w:proofErr w:type="spellStart"/>
      <w:r w:rsidRPr="00BF0A9E">
        <w:rPr>
          <w:rFonts w:asciiTheme="majorHAnsi" w:eastAsia="Cambria" w:hAnsiTheme="majorHAnsi" w:cs="Cambria"/>
          <w:sz w:val="16"/>
          <w:szCs w:val="16"/>
        </w:rPr>
        <w:t>Ser.L</w:t>
      </w:r>
      <w:proofErr w:type="spellEnd"/>
      <w:r w:rsidRPr="00BF0A9E">
        <w:rPr>
          <w:rFonts w:asciiTheme="majorHAnsi" w:eastAsia="Cambria" w:hAnsiTheme="majorHAnsi" w:cs="Cambria"/>
          <w:sz w:val="16"/>
          <w:szCs w:val="16"/>
        </w:rPr>
        <w:t>/V/II.Doc. 68, December 31, 2011, para. 41.</w:t>
      </w:r>
    </w:p>
  </w:footnote>
  <w:footnote w:id="48">
    <w:p w14:paraId="786016CE" w14:textId="77777777" w:rsidR="00383EEB" w:rsidRPr="00BF0A9E" w:rsidRDefault="00383EEB" w:rsidP="008A6254">
      <w:pPr>
        <w:pStyle w:val="Body"/>
        <w:jc w:val="both"/>
        <w:rPr>
          <w:rFonts w:asciiTheme="majorHAnsi" w:hAnsiTheme="majorHAnsi"/>
          <w:sz w:val="16"/>
        </w:rPr>
      </w:pPr>
      <w:r w:rsidRPr="00BF0A9E">
        <w:rPr>
          <w:rFonts w:asciiTheme="majorHAnsi" w:eastAsia="Cambria" w:hAnsiTheme="majorHAnsi" w:cs="Cambria"/>
          <w:sz w:val="16"/>
          <w:szCs w:val="20"/>
          <w:vertAlign w:val="superscript"/>
        </w:rPr>
        <w:footnoteRef/>
      </w:r>
      <w:r w:rsidRPr="00BF0A9E">
        <w:rPr>
          <w:rFonts w:asciiTheme="majorHAnsi" w:eastAsia="Cambria" w:hAnsiTheme="majorHAnsi" w:cs="Cambria"/>
          <w:sz w:val="16"/>
          <w:szCs w:val="16"/>
        </w:rPr>
        <w:t xml:space="preserve"> IACHR, Report No. 78/07, Case 12.265, Merits (Publication), Chad Roger Goodman, The Bahamas, October 15, 2007, para. 34.</w:t>
      </w:r>
    </w:p>
  </w:footnote>
  <w:footnote w:id="49">
    <w:p w14:paraId="1957DCBE" w14:textId="77777777" w:rsidR="00383EEB" w:rsidRPr="00BF0A9E" w:rsidRDefault="00383EEB" w:rsidP="008A6254">
      <w:pPr>
        <w:pStyle w:val="FootnoteText"/>
        <w:jc w:val="both"/>
        <w:rPr>
          <w:rFonts w:asciiTheme="majorHAnsi" w:hAnsiTheme="majorHAnsi"/>
          <w:sz w:val="16"/>
        </w:rPr>
      </w:pPr>
      <w:r w:rsidRPr="00BF0A9E">
        <w:rPr>
          <w:rFonts w:asciiTheme="majorHAnsi" w:eastAsia="Cambria" w:hAnsiTheme="majorHAnsi" w:cs="Cambria"/>
          <w:sz w:val="16"/>
          <w:vertAlign w:val="superscript"/>
        </w:rPr>
        <w:footnoteRef/>
      </w:r>
      <w:r w:rsidRPr="00BF0A9E">
        <w:rPr>
          <w:rFonts w:asciiTheme="majorHAnsi" w:eastAsia="Cambria" w:hAnsiTheme="majorHAnsi" w:cs="Cambria"/>
          <w:sz w:val="16"/>
          <w:szCs w:val="16"/>
        </w:rPr>
        <w:t xml:space="preserve"> IACHR, Report No. 44/14, Case 12,873, Report on Merits (Publication), Edgar Tamayo Arias, United States, July 17, 2014, para. 214.</w:t>
      </w:r>
    </w:p>
  </w:footnote>
  <w:footnote w:id="50">
    <w:p w14:paraId="5ABC1AE5" w14:textId="77777777" w:rsidR="00383EEB" w:rsidRPr="00BF0A9E" w:rsidRDefault="00383EEB" w:rsidP="008A6254">
      <w:pPr>
        <w:pStyle w:val="Body"/>
        <w:jc w:val="both"/>
        <w:rPr>
          <w:rFonts w:asciiTheme="majorHAnsi" w:eastAsia="Cambria" w:hAnsiTheme="majorHAnsi" w:cs="Cambria"/>
          <w:sz w:val="16"/>
          <w:szCs w:val="20"/>
        </w:rPr>
      </w:pPr>
      <w:r w:rsidRPr="00BF0A9E">
        <w:rPr>
          <w:rStyle w:val="FootnoteReference"/>
          <w:rFonts w:asciiTheme="majorHAnsi" w:hAnsiTheme="majorHAnsi"/>
          <w:sz w:val="16"/>
          <w:szCs w:val="16"/>
        </w:rPr>
        <w:footnoteRef/>
      </w:r>
      <w:r w:rsidRPr="00BF0A9E">
        <w:rPr>
          <w:rStyle w:val="FootnoteReference"/>
          <w:rFonts w:asciiTheme="majorHAnsi" w:hAnsiTheme="majorHAnsi"/>
          <w:sz w:val="16"/>
          <w:szCs w:val="16"/>
        </w:rPr>
        <w:t xml:space="preserve"> </w:t>
      </w:r>
      <w:r w:rsidRPr="00BF0A9E">
        <w:rPr>
          <w:rFonts w:asciiTheme="majorHAnsi" w:hAnsiTheme="majorHAnsi"/>
          <w:sz w:val="16"/>
          <w:szCs w:val="16"/>
        </w:rPr>
        <w:t>Article I of the American Declaration provides: “</w:t>
      </w:r>
      <w:r w:rsidRPr="00BF0A9E">
        <w:rPr>
          <w:rFonts w:asciiTheme="majorHAnsi" w:eastAsia="Cambria" w:hAnsiTheme="majorHAnsi" w:cs="Cambria"/>
          <w:sz w:val="16"/>
          <w:szCs w:val="16"/>
          <w:shd w:val="clear" w:color="auto" w:fill="FFFFFF"/>
        </w:rPr>
        <w:t>Every human being has the right to life, liberty and the security of his person</w:t>
      </w:r>
      <w:r w:rsidRPr="00BF0A9E">
        <w:rPr>
          <w:rFonts w:asciiTheme="majorHAnsi" w:hAnsiTheme="majorHAnsi"/>
          <w:sz w:val="16"/>
          <w:szCs w:val="16"/>
        </w:rPr>
        <w:t>.”</w:t>
      </w:r>
    </w:p>
  </w:footnote>
  <w:footnote w:id="51">
    <w:p w14:paraId="7D60B408" w14:textId="77777777" w:rsidR="00383EEB" w:rsidRPr="00BF0A9E" w:rsidRDefault="00383EEB" w:rsidP="008A6254">
      <w:pPr>
        <w:pStyle w:val="NormalWeb"/>
        <w:spacing w:before="0" w:beforeAutospacing="0" w:after="0" w:afterAutospacing="0"/>
        <w:jc w:val="both"/>
      </w:pPr>
      <w:r w:rsidRPr="00BF0A9E">
        <w:rPr>
          <w:rFonts w:asciiTheme="majorHAnsi" w:eastAsia="Calibri" w:hAnsiTheme="majorHAnsi" w:cs="Calibri"/>
          <w:sz w:val="16"/>
          <w:szCs w:val="20"/>
          <w:vertAlign w:val="superscript"/>
        </w:rPr>
        <w:footnoteRef/>
      </w:r>
      <w:r w:rsidRPr="00BF0A9E">
        <w:rPr>
          <w:rFonts w:asciiTheme="majorHAnsi" w:hAnsiTheme="majorHAnsi"/>
          <w:sz w:val="16"/>
        </w:rPr>
        <w:t xml:space="preserve"> IACHR, Report No. 121/18, Case 10.573. Merits (Publication). Jose Isabel Salas Galindo and others. United States. October 5, 2018, para. 337. See also, </w:t>
      </w:r>
      <w:r w:rsidRPr="00BF0A9E">
        <w:rPr>
          <w:rFonts w:asciiTheme="majorHAnsi" w:hAnsiTheme="majorHAnsi"/>
          <w:i/>
          <w:sz w:val="16"/>
        </w:rPr>
        <w:t xml:space="preserve">mutatis </w:t>
      </w:r>
      <w:proofErr w:type="spellStart"/>
      <w:r w:rsidRPr="00BF0A9E">
        <w:rPr>
          <w:rFonts w:asciiTheme="majorHAnsi" w:hAnsiTheme="majorHAnsi"/>
          <w:i/>
          <w:sz w:val="16"/>
        </w:rPr>
        <w:t>mutandi</w:t>
      </w:r>
      <w:proofErr w:type="spellEnd"/>
      <w:r w:rsidRPr="00BF0A9E">
        <w:rPr>
          <w:rFonts w:asciiTheme="majorHAnsi" w:hAnsiTheme="majorHAnsi"/>
          <w:sz w:val="16"/>
        </w:rPr>
        <w:t xml:space="preserve">, </w:t>
      </w:r>
      <w:r w:rsidRPr="00BF0A9E">
        <w:rPr>
          <w:rFonts w:asciiTheme="majorHAnsi" w:eastAsia="Calibri" w:hAnsiTheme="majorHAnsi" w:cs="Calibri"/>
          <w:sz w:val="16"/>
          <w:szCs w:val="16"/>
        </w:rPr>
        <w:t xml:space="preserve">I/A Court H.R., </w:t>
      </w:r>
      <w:r w:rsidRPr="00BF0A9E">
        <w:rPr>
          <w:rFonts w:asciiTheme="majorHAnsi" w:eastAsia="Calibri" w:hAnsiTheme="majorHAnsi" w:cs="Calibri"/>
          <w:i/>
          <w:iCs/>
          <w:sz w:val="16"/>
          <w:szCs w:val="16"/>
        </w:rPr>
        <w:t xml:space="preserve">The Right to Information on Consular Assistance in the Framework of the Guarantees of the Due Process of Law. </w:t>
      </w:r>
      <w:r w:rsidRPr="00BF0A9E">
        <w:rPr>
          <w:rFonts w:asciiTheme="majorHAnsi" w:eastAsia="Calibri" w:hAnsiTheme="majorHAnsi" w:cs="Calibri"/>
          <w:sz w:val="16"/>
          <w:szCs w:val="16"/>
        </w:rPr>
        <w:t>Advisory Opinion OC‐16/99 of October 1, 1999. Series A No. 16, para. 136.</w:t>
      </w:r>
      <w:r w:rsidRPr="00BF0A9E">
        <w:rPr>
          <w:rFonts w:ascii="Calibri" w:eastAsia="Calibri" w:hAnsi="Calibri" w:cs="Calibri"/>
          <w:sz w:val="16"/>
          <w:szCs w:val="16"/>
        </w:rPr>
        <w:t xml:space="preserve"> </w:t>
      </w:r>
    </w:p>
  </w:footnote>
  <w:footnote w:id="52">
    <w:p w14:paraId="01E785E1" w14:textId="77777777" w:rsidR="00383EEB" w:rsidRPr="00BF0A9E" w:rsidRDefault="00383EEB" w:rsidP="00182FB6">
      <w:pPr>
        <w:jc w:val="both"/>
        <w:rPr>
          <w:rFonts w:asciiTheme="majorHAnsi" w:eastAsia="Times New Roman"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sz w:val="16"/>
          <w:szCs w:val="16"/>
        </w:rPr>
        <w:t>Case 12,243, Report 52/01, Juan Raul Garza v. United States, Annual Report of the IACHR 2000, paras. 89-91; Case 57/96, Report Nº 57/96, William Andrews v. United States, Annual Report of the IACHR 1997, para. 177.</w:t>
      </w:r>
    </w:p>
  </w:footnote>
  <w:footnote w:id="53">
    <w:p w14:paraId="2A07BCAA" w14:textId="77777777" w:rsidR="00383EEB" w:rsidRPr="00BF0A9E" w:rsidRDefault="00383EEB" w:rsidP="00365545">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I/A Court H.R., Advisory Opinion OC3/83 of September 8, 1983, Restrictions to the Death Penalty. (Articles 4(2) and 4(4) of the American Convention on Human Rights), (Ser. A) No. 3 (1983), para. 54.</w:t>
      </w:r>
    </w:p>
  </w:footnote>
  <w:footnote w:id="54">
    <w:p w14:paraId="05DD9AE2" w14:textId="77777777" w:rsidR="00383EEB" w:rsidRPr="00BF0A9E" w:rsidRDefault="00383EEB" w:rsidP="00C31331">
      <w:pPr>
        <w:pStyle w:val="FootnoteText"/>
        <w:jc w:val="both"/>
        <w:rPr>
          <w:rFonts w:asciiTheme="majorHAnsi" w:hAnsiTheme="majorHAnsi" w:cs="Times New Roman"/>
          <w:b/>
          <w:sz w:val="16"/>
          <w:szCs w:val="16"/>
        </w:rPr>
      </w:pPr>
      <w:r w:rsidRPr="00BF0A9E">
        <w:rPr>
          <w:rStyle w:val="FootnoteReference"/>
          <w:rFonts w:asciiTheme="majorHAnsi" w:hAnsiTheme="majorHAnsi"/>
          <w:sz w:val="16"/>
          <w:szCs w:val="16"/>
          <w:lang w:val="es-ES_tradnl"/>
        </w:rPr>
        <w:footnoteRef/>
      </w:r>
      <w:r w:rsidRPr="00BF0A9E">
        <w:rPr>
          <w:rFonts w:asciiTheme="majorHAnsi" w:hAnsiTheme="majorHAnsi"/>
          <w:sz w:val="16"/>
          <w:szCs w:val="16"/>
        </w:rPr>
        <w:t xml:space="preserve"> </w:t>
      </w:r>
      <w:r w:rsidRPr="00BF0A9E">
        <w:rPr>
          <w:rFonts w:asciiTheme="majorHAnsi" w:hAnsiTheme="majorHAnsi"/>
          <w:bCs/>
          <w:sz w:val="16"/>
          <w:szCs w:val="16"/>
        </w:rPr>
        <w:t xml:space="preserve">I/A Court H.R., Case of Hilaire, </w:t>
      </w:r>
      <w:proofErr w:type="gramStart"/>
      <w:r w:rsidRPr="00BF0A9E">
        <w:rPr>
          <w:rFonts w:asciiTheme="majorHAnsi" w:hAnsiTheme="majorHAnsi"/>
          <w:bCs/>
          <w:sz w:val="16"/>
          <w:szCs w:val="16"/>
        </w:rPr>
        <w:t>Constantine</w:t>
      </w:r>
      <w:proofErr w:type="gramEnd"/>
      <w:r w:rsidRPr="00BF0A9E">
        <w:rPr>
          <w:rFonts w:asciiTheme="majorHAnsi" w:hAnsiTheme="majorHAnsi"/>
          <w:bCs/>
          <w:sz w:val="16"/>
          <w:szCs w:val="16"/>
        </w:rPr>
        <w:t xml:space="preserve"> and Benjamin et al. v. Trinidad and Tobago. Merits, Reparations and Costs. Judgment of June 21, 2002. Series C No. 94, par. </w:t>
      </w:r>
      <w:r w:rsidRPr="00BF0A9E">
        <w:rPr>
          <w:rFonts w:asciiTheme="majorHAnsi" w:hAnsiTheme="majorHAnsi"/>
          <w:sz w:val="16"/>
          <w:szCs w:val="16"/>
        </w:rPr>
        <w:t>102; I</w:t>
      </w:r>
      <w:r w:rsidRPr="00BF0A9E">
        <w:rPr>
          <w:rFonts w:asciiTheme="majorHAnsi" w:hAnsiTheme="majorHAnsi"/>
          <w:bCs/>
          <w:sz w:val="16"/>
          <w:szCs w:val="16"/>
        </w:rPr>
        <w:t xml:space="preserve">/A Court H.R., Case of Boyce et al. v. Barbados. Preliminary Objection, Merits, Reparations and Costs. Judgment of November 20, 2007. Series C No. 169, para. </w:t>
      </w:r>
      <w:r w:rsidRPr="00BF0A9E">
        <w:rPr>
          <w:rFonts w:asciiTheme="majorHAnsi" w:hAnsiTheme="majorHAnsi"/>
          <w:sz w:val="16"/>
          <w:szCs w:val="16"/>
        </w:rPr>
        <w:t>53; and I</w:t>
      </w:r>
      <w:r w:rsidRPr="00BF0A9E">
        <w:rPr>
          <w:rFonts w:asciiTheme="majorHAnsi" w:hAnsiTheme="majorHAnsi"/>
          <w:bCs/>
          <w:sz w:val="16"/>
          <w:szCs w:val="16"/>
        </w:rPr>
        <w:t>/A Court H.R., Case of DaCosta Cadogan v. Barbados. Preliminary Objections, Merits, Reparations, and Costs. Judgment of September 24, 2009. Series C No. 204, para. 50.</w:t>
      </w:r>
    </w:p>
  </w:footnote>
  <w:footnote w:id="55">
    <w:p w14:paraId="218B8168" w14:textId="77777777" w:rsidR="00383EEB" w:rsidRPr="00BF0A9E" w:rsidRDefault="00383EEB" w:rsidP="00C31331">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Article 6, paragraph 2, UN General Assembly, International Convention on Civil and Political Rights, 16 December 1966, United Nations, Treaty Series, vol.999, p.171</w:t>
      </w:r>
    </w:p>
  </w:footnote>
  <w:footnote w:id="56">
    <w:p w14:paraId="7FF03A2F" w14:textId="77777777" w:rsidR="00383EEB" w:rsidRPr="00BF0A9E" w:rsidRDefault="00383EEB" w:rsidP="00C31331">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Report of the Special Rapporteur on extrajudicial, </w:t>
      </w:r>
      <w:proofErr w:type="gramStart"/>
      <w:r w:rsidRPr="00BF0A9E">
        <w:rPr>
          <w:rFonts w:asciiTheme="majorHAnsi" w:hAnsiTheme="majorHAnsi"/>
          <w:sz w:val="16"/>
          <w:szCs w:val="16"/>
        </w:rPr>
        <w:t>summary</w:t>
      </w:r>
      <w:proofErr w:type="gramEnd"/>
      <w:r w:rsidRPr="00BF0A9E">
        <w:rPr>
          <w:rFonts w:asciiTheme="majorHAnsi" w:hAnsiTheme="majorHAnsi"/>
          <w:sz w:val="16"/>
          <w:szCs w:val="16"/>
        </w:rPr>
        <w:t xml:space="preserve"> or arbitrary executions, UN Doc. A/HRC/4/20, 29 January 2007, paragraphs 39-53 and 65. </w:t>
      </w:r>
    </w:p>
  </w:footnote>
  <w:footnote w:id="57">
    <w:p w14:paraId="3DF52140"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hAnsiTheme="majorHAnsi"/>
          <w:color w:val="auto"/>
          <w:sz w:val="16"/>
          <w:szCs w:val="16"/>
        </w:rPr>
        <w:t>Safeguards guaranteeing protection of the rights of those facing the death penalty”, United Nations Economic and Social Council resolution 1984/50 of 25 May 1984.</w:t>
      </w:r>
    </w:p>
  </w:footnote>
  <w:footnote w:id="58">
    <w:p w14:paraId="0009579D"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proofErr w:type="spellStart"/>
      <w:r w:rsidRPr="00BF0A9E">
        <w:rPr>
          <w:rFonts w:asciiTheme="majorHAnsi" w:hAnsiTheme="majorHAnsi"/>
          <w:sz w:val="16"/>
          <w:szCs w:val="16"/>
        </w:rPr>
        <w:t>Carpo</w:t>
      </w:r>
      <w:proofErr w:type="spellEnd"/>
      <w:r w:rsidRPr="00BF0A9E">
        <w:rPr>
          <w:rFonts w:asciiTheme="majorHAnsi" w:hAnsiTheme="majorHAnsi"/>
          <w:sz w:val="16"/>
          <w:szCs w:val="16"/>
        </w:rPr>
        <w:t xml:space="preserve"> v The Philippines Schabas n. 2, pp. 106-111.</w:t>
      </w:r>
    </w:p>
  </w:footnote>
  <w:footnote w:id="59">
    <w:p w14:paraId="0172E0D4"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cs="Times New Roman"/>
          <w:sz w:val="16"/>
          <w:szCs w:val="16"/>
        </w:rPr>
        <w:t xml:space="preserve">I/A Court H.R., Hilaire, </w:t>
      </w:r>
      <w:proofErr w:type="gramStart"/>
      <w:r w:rsidRPr="00BF0A9E">
        <w:rPr>
          <w:rFonts w:asciiTheme="majorHAnsi" w:eastAsia="Times New Roman" w:hAnsiTheme="majorHAnsi" w:cs="Times New Roman"/>
          <w:sz w:val="16"/>
          <w:szCs w:val="16"/>
        </w:rPr>
        <w:t>Constantine</w:t>
      </w:r>
      <w:proofErr w:type="gramEnd"/>
      <w:r w:rsidRPr="00BF0A9E">
        <w:rPr>
          <w:rFonts w:asciiTheme="majorHAnsi" w:eastAsia="Times New Roman" w:hAnsiTheme="majorHAnsi" w:cs="Times New Roman"/>
          <w:sz w:val="16"/>
          <w:szCs w:val="16"/>
        </w:rPr>
        <w:t xml:space="preserve"> and Benjamin et al. Case, Judgment of June 21, 2002, Series C No. 94, para. 102; I/A Court H.R., </w:t>
      </w:r>
      <w:proofErr w:type="spellStart"/>
      <w:r w:rsidRPr="00BF0A9E">
        <w:rPr>
          <w:rFonts w:asciiTheme="majorHAnsi" w:eastAsia="Times New Roman" w:hAnsiTheme="majorHAnsi" w:cs="Times New Roman"/>
          <w:sz w:val="16"/>
          <w:szCs w:val="16"/>
        </w:rPr>
        <w:t>Raxacacó</w:t>
      </w:r>
      <w:proofErr w:type="spellEnd"/>
      <w:r w:rsidRPr="00BF0A9E">
        <w:rPr>
          <w:rFonts w:asciiTheme="majorHAnsi" w:eastAsia="Times New Roman" w:hAnsiTheme="majorHAnsi" w:cs="Times New Roman"/>
          <w:sz w:val="16"/>
          <w:szCs w:val="16"/>
        </w:rPr>
        <w:t xml:space="preserve"> Reyes case, Judgment of September 15, 2005, Series C No. 133, paras. 79-82; UNHRC, Communication No. 390/1990, </w:t>
      </w:r>
      <w:proofErr w:type="spellStart"/>
      <w:r w:rsidRPr="00BF0A9E">
        <w:rPr>
          <w:rFonts w:asciiTheme="majorHAnsi" w:eastAsia="Times New Roman" w:hAnsiTheme="majorHAnsi" w:cs="Times New Roman"/>
          <w:sz w:val="16"/>
          <w:szCs w:val="16"/>
        </w:rPr>
        <w:t>Lubuto</w:t>
      </w:r>
      <w:proofErr w:type="spellEnd"/>
      <w:r w:rsidRPr="00BF0A9E">
        <w:rPr>
          <w:rFonts w:asciiTheme="majorHAnsi" w:eastAsia="Times New Roman" w:hAnsiTheme="majorHAnsi" w:cs="Times New Roman"/>
          <w:sz w:val="16"/>
          <w:szCs w:val="16"/>
        </w:rPr>
        <w:t xml:space="preserve"> (Zambia), UN Doc. CCRP/C/55/D/390/1990 (November 17, 1995).</w:t>
      </w:r>
    </w:p>
  </w:footnote>
  <w:footnote w:id="60">
    <w:p w14:paraId="2F27E0BC" w14:textId="77777777" w:rsidR="00383EEB" w:rsidRPr="00557BA8" w:rsidRDefault="00383EEB" w:rsidP="008A6254">
      <w:pPr>
        <w:jc w:val="both"/>
        <w:rPr>
          <w:rFonts w:asciiTheme="majorHAnsi" w:eastAsia="Times New Roman" w:hAnsiTheme="majorHAnsi"/>
          <w:sz w:val="16"/>
          <w:szCs w:val="16"/>
          <w:lang w:val="es-US"/>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sz w:val="16"/>
          <w:szCs w:val="16"/>
        </w:rPr>
        <w:t xml:space="preserve">I/A Court H.R., Hilaire Case, Judgment of June 21, 2002, </w:t>
      </w:r>
      <w:r w:rsidRPr="00BF0A9E">
        <w:rPr>
          <w:rFonts w:asciiTheme="majorHAnsi" w:eastAsia="Times New Roman" w:hAnsiTheme="majorHAnsi"/>
          <w:color w:val="000000"/>
          <w:sz w:val="16"/>
          <w:szCs w:val="16"/>
        </w:rPr>
        <w:t xml:space="preserve">Series C No. 94, paras. 102-108; </w:t>
      </w:r>
      <w:r w:rsidRPr="00BF0A9E">
        <w:rPr>
          <w:rFonts w:asciiTheme="majorHAnsi" w:eastAsia="Times New Roman" w:hAnsiTheme="majorHAnsi"/>
          <w:sz w:val="16"/>
          <w:szCs w:val="16"/>
        </w:rPr>
        <w:t xml:space="preserve">I/A Court H.R., </w:t>
      </w:r>
      <w:proofErr w:type="spellStart"/>
      <w:r w:rsidRPr="00BF0A9E">
        <w:rPr>
          <w:rFonts w:asciiTheme="majorHAnsi" w:eastAsia="Times New Roman" w:hAnsiTheme="majorHAnsi"/>
          <w:sz w:val="16"/>
          <w:szCs w:val="16"/>
        </w:rPr>
        <w:t>Raxacacó</w:t>
      </w:r>
      <w:proofErr w:type="spellEnd"/>
      <w:r w:rsidRPr="00BF0A9E">
        <w:rPr>
          <w:rFonts w:asciiTheme="majorHAnsi" w:eastAsia="Times New Roman" w:hAnsiTheme="majorHAnsi"/>
          <w:sz w:val="16"/>
          <w:szCs w:val="16"/>
        </w:rPr>
        <w:t xml:space="preserve"> Reyes case, Judgment of September 15, 2005, </w:t>
      </w:r>
      <w:r w:rsidRPr="00BF0A9E">
        <w:rPr>
          <w:rFonts w:asciiTheme="majorHAnsi" w:eastAsia="Times New Roman" w:hAnsiTheme="majorHAnsi"/>
          <w:color w:val="000000"/>
          <w:sz w:val="16"/>
          <w:szCs w:val="16"/>
        </w:rPr>
        <w:t xml:space="preserve">Series C No. 133, para. </w:t>
      </w:r>
      <w:r w:rsidRPr="00557BA8">
        <w:rPr>
          <w:rFonts w:asciiTheme="majorHAnsi" w:eastAsia="Times New Roman" w:hAnsiTheme="majorHAnsi"/>
          <w:color w:val="000000"/>
          <w:sz w:val="16"/>
          <w:szCs w:val="16"/>
          <w:lang w:val="es-US"/>
        </w:rPr>
        <w:t xml:space="preserve">81; </w:t>
      </w:r>
      <w:r w:rsidRPr="00557BA8">
        <w:rPr>
          <w:rFonts w:asciiTheme="majorHAnsi" w:eastAsia="Times New Roman" w:hAnsiTheme="majorHAnsi"/>
          <w:sz w:val="16"/>
          <w:szCs w:val="16"/>
          <w:lang w:val="es-US"/>
        </w:rPr>
        <w:t xml:space="preserve">UNHRC, </w:t>
      </w:r>
      <w:proofErr w:type="spellStart"/>
      <w:r w:rsidRPr="00557BA8">
        <w:rPr>
          <w:rFonts w:asciiTheme="majorHAnsi" w:eastAsia="Times New Roman" w:hAnsiTheme="majorHAnsi"/>
          <w:sz w:val="16"/>
          <w:szCs w:val="16"/>
          <w:lang w:val="es-US"/>
        </w:rPr>
        <w:t>Communication</w:t>
      </w:r>
      <w:proofErr w:type="spellEnd"/>
      <w:r w:rsidRPr="00557BA8">
        <w:rPr>
          <w:rFonts w:asciiTheme="majorHAnsi" w:eastAsia="Times New Roman" w:hAnsiTheme="majorHAnsi"/>
          <w:sz w:val="16"/>
          <w:szCs w:val="16"/>
          <w:lang w:val="es-US"/>
        </w:rPr>
        <w:t xml:space="preserve"> No. 390/1990, </w:t>
      </w:r>
      <w:proofErr w:type="spellStart"/>
      <w:r w:rsidRPr="00557BA8">
        <w:rPr>
          <w:rFonts w:asciiTheme="majorHAnsi" w:eastAsia="Times New Roman" w:hAnsiTheme="majorHAnsi"/>
          <w:sz w:val="16"/>
          <w:szCs w:val="16"/>
          <w:lang w:val="es-US"/>
        </w:rPr>
        <w:t>Lubuto</w:t>
      </w:r>
      <w:proofErr w:type="spellEnd"/>
      <w:r w:rsidRPr="00557BA8">
        <w:rPr>
          <w:rFonts w:asciiTheme="majorHAnsi" w:eastAsia="Times New Roman" w:hAnsiTheme="majorHAnsi"/>
          <w:sz w:val="16"/>
          <w:szCs w:val="16"/>
          <w:lang w:val="es-US"/>
        </w:rPr>
        <w:t xml:space="preserve"> (Zambia), UN Doc. CCRP/C/55/D/390/1990 (</w:t>
      </w:r>
      <w:proofErr w:type="spellStart"/>
      <w:r w:rsidRPr="00557BA8">
        <w:rPr>
          <w:rFonts w:asciiTheme="majorHAnsi" w:eastAsia="Times New Roman" w:hAnsiTheme="majorHAnsi"/>
          <w:sz w:val="16"/>
          <w:szCs w:val="16"/>
          <w:lang w:val="es-US"/>
        </w:rPr>
        <w:t>November</w:t>
      </w:r>
      <w:proofErr w:type="spellEnd"/>
      <w:r w:rsidRPr="00557BA8">
        <w:rPr>
          <w:rFonts w:asciiTheme="majorHAnsi" w:eastAsia="Times New Roman" w:hAnsiTheme="majorHAnsi"/>
          <w:sz w:val="16"/>
          <w:szCs w:val="16"/>
          <w:lang w:val="es-US"/>
        </w:rPr>
        <w:t xml:space="preserve"> 17, 1995), para. 7.2. </w:t>
      </w:r>
    </w:p>
  </w:footnote>
  <w:footnote w:id="61">
    <w:p w14:paraId="27E56AE0" w14:textId="77777777" w:rsidR="00383EEB" w:rsidRPr="00BF0A9E" w:rsidRDefault="00383EEB" w:rsidP="0079658B">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557BA8">
        <w:rPr>
          <w:rFonts w:asciiTheme="majorHAnsi" w:hAnsiTheme="majorHAnsi"/>
          <w:sz w:val="16"/>
          <w:szCs w:val="16"/>
          <w:lang w:val="es-US"/>
        </w:rPr>
        <w:t xml:space="preserve"> IACHR. </w:t>
      </w:r>
      <w:proofErr w:type="spellStart"/>
      <w:r w:rsidRPr="00557BA8">
        <w:rPr>
          <w:rFonts w:asciiTheme="majorHAnsi" w:hAnsiTheme="majorHAnsi"/>
          <w:sz w:val="16"/>
          <w:szCs w:val="16"/>
          <w:lang w:val="es-US"/>
        </w:rPr>
        <w:t>Report</w:t>
      </w:r>
      <w:proofErr w:type="spellEnd"/>
      <w:r w:rsidRPr="00557BA8">
        <w:rPr>
          <w:rFonts w:asciiTheme="majorHAnsi" w:hAnsiTheme="majorHAnsi"/>
          <w:sz w:val="16"/>
          <w:szCs w:val="16"/>
          <w:lang w:val="es-US"/>
        </w:rPr>
        <w:t xml:space="preserve"> No. 99/17. Case No. 11.782. </w:t>
      </w:r>
      <w:proofErr w:type="spellStart"/>
      <w:r w:rsidRPr="00557BA8">
        <w:rPr>
          <w:rFonts w:asciiTheme="majorHAnsi" w:hAnsiTheme="majorHAnsi"/>
          <w:sz w:val="16"/>
          <w:szCs w:val="16"/>
          <w:lang w:val="es-US"/>
        </w:rPr>
        <w:t>Admissiblity</w:t>
      </w:r>
      <w:proofErr w:type="spellEnd"/>
      <w:r w:rsidRPr="00557BA8">
        <w:rPr>
          <w:rFonts w:asciiTheme="majorHAnsi" w:hAnsiTheme="majorHAnsi"/>
          <w:sz w:val="16"/>
          <w:szCs w:val="16"/>
          <w:lang w:val="es-US"/>
        </w:rPr>
        <w:t xml:space="preserve"> and </w:t>
      </w:r>
      <w:proofErr w:type="spellStart"/>
      <w:r w:rsidRPr="00557BA8">
        <w:rPr>
          <w:rFonts w:asciiTheme="majorHAnsi" w:hAnsiTheme="majorHAnsi"/>
          <w:sz w:val="16"/>
          <w:szCs w:val="16"/>
          <w:lang w:val="es-US"/>
        </w:rPr>
        <w:t>Merits</w:t>
      </w:r>
      <w:proofErr w:type="spellEnd"/>
      <w:r w:rsidRPr="00557BA8">
        <w:rPr>
          <w:rFonts w:asciiTheme="majorHAnsi" w:hAnsiTheme="majorHAnsi"/>
          <w:sz w:val="16"/>
          <w:szCs w:val="16"/>
          <w:lang w:val="es-US"/>
        </w:rPr>
        <w:t xml:space="preserve">. Miguel </w:t>
      </w:r>
      <w:proofErr w:type="spellStart"/>
      <w:r w:rsidRPr="00557BA8">
        <w:rPr>
          <w:rFonts w:asciiTheme="majorHAnsi" w:hAnsiTheme="majorHAnsi"/>
          <w:sz w:val="16"/>
          <w:szCs w:val="16"/>
          <w:lang w:val="es-US"/>
        </w:rPr>
        <w:t>Angel</w:t>
      </w:r>
      <w:proofErr w:type="spellEnd"/>
      <w:r w:rsidRPr="00557BA8">
        <w:rPr>
          <w:rFonts w:asciiTheme="majorHAnsi" w:hAnsiTheme="majorHAnsi"/>
          <w:sz w:val="16"/>
          <w:szCs w:val="16"/>
          <w:lang w:val="es-US"/>
        </w:rPr>
        <w:t xml:space="preserve"> Rodriguez Revolorio, Miguel </w:t>
      </w:r>
      <w:proofErr w:type="spellStart"/>
      <w:r w:rsidRPr="00557BA8">
        <w:rPr>
          <w:rFonts w:asciiTheme="majorHAnsi" w:hAnsiTheme="majorHAnsi"/>
          <w:sz w:val="16"/>
          <w:szCs w:val="16"/>
          <w:lang w:val="es-US"/>
        </w:rPr>
        <w:t>Angel</w:t>
      </w:r>
      <w:proofErr w:type="spellEnd"/>
      <w:r w:rsidRPr="00557BA8">
        <w:rPr>
          <w:rFonts w:asciiTheme="majorHAnsi" w:hAnsiTheme="majorHAnsi"/>
          <w:sz w:val="16"/>
          <w:szCs w:val="16"/>
          <w:lang w:val="es-US"/>
        </w:rPr>
        <w:t xml:space="preserve"> Lopez Calo and Anibal Archilla </w:t>
      </w:r>
      <w:proofErr w:type="spellStart"/>
      <w:r w:rsidRPr="00557BA8">
        <w:rPr>
          <w:rFonts w:asciiTheme="majorHAnsi" w:hAnsiTheme="majorHAnsi"/>
          <w:sz w:val="16"/>
          <w:szCs w:val="16"/>
          <w:lang w:val="es-US"/>
        </w:rPr>
        <w:t>Perez</w:t>
      </w:r>
      <w:proofErr w:type="spellEnd"/>
      <w:r w:rsidRPr="00557BA8">
        <w:rPr>
          <w:rFonts w:asciiTheme="majorHAnsi" w:hAnsiTheme="majorHAnsi"/>
          <w:sz w:val="16"/>
          <w:szCs w:val="16"/>
          <w:lang w:val="es-US"/>
        </w:rPr>
        <w:t xml:space="preserve">. </w:t>
      </w:r>
      <w:r w:rsidRPr="00BF0A9E">
        <w:rPr>
          <w:rFonts w:asciiTheme="majorHAnsi" w:hAnsiTheme="majorHAnsi"/>
          <w:sz w:val="16"/>
          <w:szCs w:val="16"/>
        </w:rPr>
        <w:t>Guatemala. September 5, 2017, para. 123.</w:t>
      </w:r>
    </w:p>
  </w:footnote>
  <w:footnote w:id="62">
    <w:p w14:paraId="2741E2BA" w14:textId="77777777" w:rsidR="00383EEB" w:rsidRPr="00BF0A9E" w:rsidRDefault="00383EEB" w:rsidP="000564D3">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IACHR, Report No. 71/18, Case 12.958. Merits. Russel </w:t>
      </w:r>
      <w:proofErr w:type="spellStart"/>
      <w:r w:rsidRPr="00BF0A9E">
        <w:rPr>
          <w:rFonts w:asciiTheme="majorHAnsi" w:hAnsiTheme="majorHAnsi"/>
          <w:sz w:val="16"/>
          <w:szCs w:val="16"/>
        </w:rPr>
        <w:t>Bucklew</w:t>
      </w:r>
      <w:proofErr w:type="spellEnd"/>
      <w:r w:rsidRPr="00BF0A9E">
        <w:rPr>
          <w:rFonts w:asciiTheme="majorHAnsi" w:hAnsiTheme="majorHAnsi"/>
          <w:sz w:val="16"/>
          <w:szCs w:val="16"/>
        </w:rPr>
        <w:t>. United States. May 10, 2018, para. 93.</w:t>
      </w:r>
    </w:p>
  </w:footnote>
  <w:footnote w:id="63">
    <w:p w14:paraId="25A3BAC3" w14:textId="77777777" w:rsidR="00383EEB" w:rsidRPr="00BF0A9E" w:rsidRDefault="00383EEB" w:rsidP="000564D3">
      <w:pPr>
        <w:pStyle w:val="FootnoteText"/>
      </w:pPr>
      <w:r w:rsidRPr="00BF0A9E">
        <w:rPr>
          <w:rStyle w:val="FootnoteReference"/>
          <w:rFonts w:asciiTheme="majorHAnsi" w:hAnsiTheme="majorHAnsi"/>
          <w:sz w:val="16"/>
          <w:szCs w:val="16"/>
        </w:rPr>
        <w:footnoteRef/>
      </w:r>
      <w:r w:rsidRPr="00BF0A9E">
        <w:rPr>
          <w:rStyle w:val="FootnoteReference"/>
          <w:rFonts w:asciiTheme="majorHAnsi" w:hAnsiTheme="majorHAnsi"/>
          <w:sz w:val="16"/>
          <w:szCs w:val="16"/>
        </w:rPr>
        <w:t xml:space="preserve"> </w:t>
      </w:r>
      <w:r w:rsidRPr="00BF0A9E">
        <w:rPr>
          <w:rFonts w:asciiTheme="majorHAnsi" w:eastAsia="Times New Roman" w:hAnsiTheme="majorHAnsi" w:cs="Times New Roman"/>
          <w:color w:val="auto"/>
          <w:sz w:val="16"/>
          <w:szCs w:val="16"/>
          <w:lang w:eastAsia="en-US"/>
        </w:rPr>
        <w:t xml:space="preserve">IACHR, Report No. 53/13, Case 12.864, Merits (Publication), Iván </w:t>
      </w:r>
      <w:proofErr w:type="spellStart"/>
      <w:r w:rsidRPr="00BF0A9E">
        <w:rPr>
          <w:rFonts w:asciiTheme="majorHAnsi" w:eastAsia="Times New Roman" w:hAnsiTheme="majorHAnsi" w:cs="Times New Roman"/>
          <w:color w:val="auto"/>
          <w:sz w:val="16"/>
          <w:szCs w:val="16"/>
          <w:lang w:eastAsia="en-US"/>
        </w:rPr>
        <w:t>Teleguz</w:t>
      </w:r>
      <w:proofErr w:type="spellEnd"/>
      <w:r w:rsidRPr="00BF0A9E">
        <w:rPr>
          <w:rFonts w:asciiTheme="majorHAnsi" w:eastAsia="Times New Roman" w:hAnsiTheme="majorHAnsi" w:cs="Times New Roman"/>
          <w:color w:val="auto"/>
          <w:sz w:val="16"/>
          <w:szCs w:val="16"/>
          <w:lang w:eastAsia="en-US"/>
        </w:rPr>
        <w:t>, United States, July 15, 2013, para. 129.</w:t>
      </w:r>
      <w:r w:rsidRPr="00BF0A9E">
        <w:rPr>
          <w:sz w:val="16"/>
          <w:szCs w:val="16"/>
        </w:rPr>
        <w:t xml:space="preserve"> </w:t>
      </w:r>
      <w:r w:rsidRPr="00BF0A9E">
        <w:t xml:space="preserve"> </w:t>
      </w:r>
    </w:p>
  </w:footnote>
  <w:footnote w:id="64">
    <w:p w14:paraId="15407F5E" w14:textId="77777777" w:rsidR="00383EEB" w:rsidRPr="00BF0A9E" w:rsidRDefault="00383EEB" w:rsidP="008A6254">
      <w:pPr>
        <w:pStyle w:val="FootnoteText"/>
        <w:jc w:val="both"/>
        <w:rPr>
          <w:rFonts w:asciiTheme="majorHAnsi" w:hAnsiTheme="majorHAnsi"/>
          <w:color w:val="auto"/>
          <w:sz w:val="16"/>
          <w:szCs w:val="16"/>
        </w:rPr>
      </w:pPr>
      <w:r w:rsidRPr="00BF0A9E">
        <w:rPr>
          <w:rStyle w:val="FootnoteReference"/>
          <w:rFonts w:asciiTheme="majorHAnsi" w:hAnsiTheme="majorHAnsi"/>
          <w:color w:val="auto"/>
          <w:sz w:val="16"/>
          <w:szCs w:val="16"/>
        </w:rPr>
        <w:footnoteRef/>
      </w:r>
      <w:r w:rsidRPr="00BF0A9E">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p w14:paraId="6662F949" w14:textId="77777777" w:rsidR="00383EEB" w:rsidRPr="00BF0A9E" w:rsidRDefault="00383EEB" w:rsidP="008A6254">
      <w:pPr>
        <w:pStyle w:val="FootnoteText"/>
        <w:jc w:val="both"/>
        <w:rPr>
          <w:rFonts w:asciiTheme="majorHAnsi" w:hAnsiTheme="majorHAnsi"/>
          <w:color w:val="auto"/>
          <w:sz w:val="16"/>
          <w:szCs w:val="16"/>
        </w:rPr>
      </w:pPr>
      <w:r w:rsidRPr="00BF0A9E">
        <w:rPr>
          <w:rFonts w:asciiTheme="majorHAnsi" w:hAnsiTheme="majorHAnsi"/>
          <w:color w:val="auto"/>
          <w:sz w:val="16"/>
          <w:szCs w:val="16"/>
        </w:rPr>
        <w:t xml:space="preserve">Article XXVI of the American Declaration provides: “[…] Every person accused of an offense has the right […] not to receive cruel, </w:t>
      </w:r>
      <w:proofErr w:type="gramStart"/>
      <w:r w:rsidRPr="00BF0A9E">
        <w:rPr>
          <w:rFonts w:asciiTheme="majorHAnsi" w:hAnsiTheme="majorHAnsi"/>
          <w:color w:val="auto"/>
          <w:sz w:val="16"/>
          <w:szCs w:val="16"/>
        </w:rPr>
        <w:t>infamous</w:t>
      </w:r>
      <w:proofErr w:type="gramEnd"/>
      <w:r w:rsidRPr="00BF0A9E">
        <w:rPr>
          <w:rFonts w:asciiTheme="majorHAnsi" w:hAnsiTheme="majorHAnsi"/>
          <w:color w:val="auto"/>
          <w:sz w:val="16"/>
          <w:szCs w:val="16"/>
        </w:rPr>
        <w:t xml:space="preserve"> or unusual punishment.”</w:t>
      </w:r>
    </w:p>
  </w:footnote>
  <w:footnote w:id="65">
    <w:p w14:paraId="7E0251F0" w14:textId="77777777" w:rsidR="00383EEB" w:rsidRPr="00BF0A9E" w:rsidRDefault="00383EEB" w:rsidP="00806906">
      <w:pPr>
        <w:pStyle w:val="FootnoteText"/>
        <w:jc w:val="both"/>
        <w:rPr>
          <w:rFonts w:asciiTheme="majorHAnsi" w:hAnsiTheme="majorHAnsi"/>
          <w:color w:val="auto"/>
          <w:sz w:val="16"/>
          <w:szCs w:val="16"/>
        </w:rPr>
      </w:pPr>
      <w:r w:rsidRPr="00BF0A9E">
        <w:rPr>
          <w:rStyle w:val="FootnoteReference"/>
          <w:rFonts w:asciiTheme="majorHAnsi" w:hAnsiTheme="majorHAnsi"/>
          <w:color w:val="auto"/>
          <w:sz w:val="16"/>
          <w:szCs w:val="16"/>
        </w:rPr>
        <w:footnoteRef/>
      </w:r>
      <w:r w:rsidRPr="00BF0A9E">
        <w:rPr>
          <w:rStyle w:val="FootnoteReference"/>
          <w:rFonts w:asciiTheme="majorHAnsi" w:hAnsiTheme="majorHAnsi"/>
          <w:color w:val="auto"/>
          <w:sz w:val="16"/>
          <w:szCs w:val="16"/>
        </w:rPr>
        <w:t xml:space="preserve"> </w:t>
      </w:r>
      <w:r w:rsidRPr="00BF0A9E">
        <w:rPr>
          <w:rFonts w:asciiTheme="majorHAnsi" w:hAnsiTheme="majorHAnsi"/>
          <w:color w:val="auto"/>
          <w:sz w:val="16"/>
          <w:szCs w:val="16"/>
        </w:rPr>
        <w:t xml:space="preserve">IACHR, Report No. 71/18, Case 12.958. Merits. Russell </w:t>
      </w:r>
      <w:proofErr w:type="spellStart"/>
      <w:r w:rsidRPr="00BF0A9E">
        <w:rPr>
          <w:rFonts w:asciiTheme="majorHAnsi" w:hAnsiTheme="majorHAnsi"/>
          <w:color w:val="auto"/>
          <w:sz w:val="16"/>
          <w:szCs w:val="16"/>
        </w:rPr>
        <w:t>Bucklew</w:t>
      </w:r>
      <w:proofErr w:type="spellEnd"/>
      <w:r w:rsidRPr="00BF0A9E">
        <w:rPr>
          <w:rFonts w:asciiTheme="majorHAnsi" w:hAnsiTheme="majorHAnsi"/>
          <w:color w:val="auto"/>
          <w:sz w:val="16"/>
          <w:szCs w:val="16"/>
        </w:rPr>
        <w:t xml:space="preserve">. United States, May 10, 2018, paras. 86-90. In this report the Commission has cited </w:t>
      </w:r>
      <w:proofErr w:type="gramStart"/>
      <w:r w:rsidRPr="00BF0A9E">
        <w:rPr>
          <w:rFonts w:asciiTheme="majorHAnsi" w:hAnsiTheme="majorHAnsi"/>
          <w:color w:val="auto"/>
          <w:sz w:val="16"/>
          <w:szCs w:val="16"/>
        </w:rPr>
        <w:t>a number of</w:t>
      </w:r>
      <w:proofErr w:type="gramEnd"/>
      <w:r w:rsidRPr="00BF0A9E">
        <w:rPr>
          <w:rFonts w:asciiTheme="majorHAnsi" w:hAnsiTheme="majorHAnsi"/>
          <w:color w:val="auto"/>
          <w:sz w:val="16"/>
          <w:szCs w:val="16"/>
        </w:rPr>
        <w:t xml:space="preserve"> developments in the inter-American and other protections systems, including the regional and United Nations systems.</w:t>
      </w:r>
    </w:p>
  </w:footnote>
  <w:footnote w:id="66">
    <w:p w14:paraId="3A0E5E06" w14:textId="77777777" w:rsidR="00383EEB" w:rsidRPr="00BF0A9E" w:rsidRDefault="00383EEB" w:rsidP="008A6254">
      <w:pPr>
        <w:pStyle w:val="FootnoteText"/>
        <w:tabs>
          <w:tab w:val="right" w:pos="0"/>
          <w:tab w:val="left" w:pos="180"/>
          <w:tab w:val="left" w:pos="900"/>
        </w:tabs>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United Nations. Report of the Special Rapporteur on torture and other cruel, </w:t>
      </w:r>
      <w:proofErr w:type="gramStart"/>
      <w:r w:rsidRPr="00BF0A9E">
        <w:rPr>
          <w:rFonts w:asciiTheme="majorHAnsi" w:hAnsiTheme="majorHAnsi"/>
          <w:sz w:val="16"/>
          <w:szCs w:val="16"/>
        </w:rPr>
        <w:t>inhuman</w:t>
      </w:r>
      <w:proofErr w:type="gramEnd"/>
      <w:r w:rsidRPr="00BF0A9E">
        <w:rPr>
          <w:rFonts w:asciiTheme="majorHAnsi" w:hAnsiTheme="majorHAnsi"/>
          <w:sz w:val="16"/>
          <w:szCs w:val="16"/>
        </w:rPr>
        <w:t xml:space="preserve"> or degrading treatment of punishment.  9 August 2012. A/67/279, para 42. Citing: Patrick Hudson, “Does the death row phenomenon violate a prisoner’s rights under international </w:t>
      </w:r>
      <w:proofErr w:type="gramStart"/>
      <w:r w:rsidRPr="00BF0A9E">
        <w:rPr>
          <w:rFonts w:asciiTheme="majorHAnsi" w:hAnsiTheme="majorHAnsi"/>
          <w:sz w:val="16"/>
          <w:szCs w:val="16"/>
        </w:rPr>
        <w:t>law?,</w:t>
      </w:r>
      <w:proofErr w:type="gramEnd"/>
      <w:r w:rsidRPr="00BF0A9E">
        <w:rPr>
          <w:rFonts w:asciiTheme="majorHAnsi" w:hAnsiTheme="majorHAnsi"/>
          <w:sz w:val="16"/>
          <w:szCs w:val="16"/>
        </w:rPr>
        <w:t xml:space="preserve">” </w:t>
      </w:r>
      <w:r w:rsidRPr="00BF0A9E">
        <w:rPr>
          <w:rFonts w:asciiTheme="majorHAnsi" w:hAnsiTheme="majorHAnsi"/>
          <w:i/>
          <w:sz w:val="16"/>
          <w:szCs w:val="16"/>
        </w:rPr>
        <w:t>European Journal of International Law</w:t>
      </w:r>
      <w:r w:rsidRPr="00BF0A9E">
        <w:rPr>
          <w:rFonts w:asciiTheme="majorHAnsi" w:hAnsiTheme="majorHAnsi"/>
          <w:sz w:val="16"/>
          <w:szCs w:val="16"/>
        </w:rPr>
        <w:t>, vol. 11, No. 4 (2000), pp. 834-837.</w:t>
      </w:r>
    </w:p>
  </w:footnote>
  <w:footnote w:id="67">
    <w:p w14:paraId="5439CD24"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United Nations. Report of the Special Rapporteur on torture and other cruel, </w:t>
      </w:r>
      <w:proofErr w:type="gramStart"/>
      <w:r w:rsidRPr="00BF0A9E">
        <w:rPr>
          <w:rFonts w:asciiTheme="majorHAnsi" w:hAnsiTheme="majorHAnsi"/>
          <w:sz w:val="16"/>
          <w:szCs w:val="16"/>
        </w:rPr>
        <w:t>inhuman</w:t>
      </w:r>
      <w:proofErr w:type="gramEnd"/>
      <w:r w:rsidRPr="00BF0A9E">
        <w:rPr>
          <w:rFonts w:asciiTheme="majorHAnsi" w:hAnsiTheme="majorHAnsi"/>
          <w:sz w:val="16"/>
          <w:szCs w:val="16"/>
        </w:rPr>
        <w:t xml:space="preserve"> or degrading treatment of punishment. 9 August 2012. A/67/279. para 42.</w:t>
      </w:r>
    </w:p>
  </w:footnote>
  <w:footnote w:id="68">
    <w:p w14:paraId="487FCA6D" w14:textId="77777777" w:rsidR="00383EEB" w:rsidRPr="00BF0A9E" w:rsidRDefault="00383EEB" w:rsidP="00217FF0">
      <w:pPr>
        <w:pStyle w:val="FootnoteText"/>
        <w:rPr>
          <w:rFonts w:ascii="Cambria" w:hAnsi="Cambria"/>
          <w:sz w:val="16"/>
          <w:szCs w:val="16"/>
        </w:rPr>
      </w:pPr>
      <w:r w:rsidRPr="00BF0A9E">
        <w:rPr>
          <w:rStyle w:val="FootnoteReference"/>
          <w:rFonts w:ascii="Cambria" w:hAnsi="Cambria"/>
          <w:sz w:val="16"/>
          <w:szCs w:val="16"/>
        </w:rPr>
        <w:footnoteRef/>
      </w:r>
      <w:r w:rsidRPr="00BF0A9E">
        <w:rPr>
          <w:rFonts w:ascii="Cambria" w:hAnsi="Cambria"/>
          <w:sz w:val="16"/>
          <w:szCs w:val="16"/>
        </w:rPr>
        <w:t xml:space="preserve">European Court of Human </w:t>
      </w:r>
      <w:proofErr w:type="spellStart"/>
      <w:r w:rsidRPr="00BF0A9E">
        <w:rPr>
          <w:rFonts w:ascii="Cambria" w:hAnsi="Cambria"/>
          <w:sz w:val="16"/>
          <w:szCs w:val="16"/>
        </w:rPr>
        <w:t>Rigths</w:t>
      </w:r>
      <w:proofErr w:type="spellEnd"/>
      <w:r w:rsidRPr="00BF0A9E">
        <w:rPr>
          <w:rFonts w:ascii="Cambria" w:hAnsi="Cambria"/>
          <w:sz w:val="16"/>
          <w:szCs w:val="16"/>
        </w:rPr>
        <w:t>, Soering v. United Kingdom. Judgment of July 7, 1989. Series A, Vol. 161. Likewise, the Supreme Court of the United States of America recognized that the time spent awaiting the execution of a death sentence destroys the human spirit and constitutes psychological torture that often leads to insanity (Furman v. Georgia, 408 U.S. 238, 287-288 (197)).</w:t>
      </w:r>
    </w:p>
  </w:footnote>
  <w:footnote w:id="69">
    <w:p w14:paraId="69858419" w14:textId="77777777" w:rsidR="00383EEB" w:rsidRPr="00BF0A9E" w:rsidRDefault="00383EEB" w:rsidP="008A6254">
      <w:pPr>
        <w:pStyle w:val="FootnoteText"/>
        <w:tabs>
          <w:tab w:val="right" w:pos="540"/>
          <w:tab w:val="left" w:pos="900"/>
        </w:tabs>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ECtHR. Case of Soering v. The United Kingdom. Report No. 14038/88. Judgment, July 7, 1989. para. 111.</w:t>
      </w:r>
    </w:p>
  </w:footnote>
  <w:footnote w:id="70">
    <w:p w14:paraId="42299E61" w14:textId="77777777" w:rsidR="00383EEB" w:rsidRPr="00BF0A9E" w:rsidRDefault="00383EEB" w:rsidP="008A6254">
      <w:pPr>
        <w:widowControl w:val="0"/>
        <w:autoSpaceDE w:val="0"/>
        <w:autoSpaceDN w:val="0"/>
        <w:adjustRightInd w:val="0"/>
        <w:jc w:val="both"/>
        <w:rPr>
          <w:rFonts w:asciiTheme="majorHAnsi" w:hAnsiTheme="majorHAnsi" w:cs="Arial"/>
          <w:bCs/>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Pratt and Morgan v. The Attorney General for Jamaica and another (Jamaica) [1993] UKPC 1 (2nd </w:t>
      </w:r>
      <w:proofErr w:type="gramStart"/>
      <w:r w:rsidRPr="00BF0A9E">
        <w:rPr>
          <w:rFonts w:asciiTheme="majorHAnsi" w:hAnsiTheme="majorHAnsi"/>
          <w:sz w:val="16"/>
          <w:szCs w:val="16"/>
        </w:rPr>
        <w:t>November,</w:t>
      </w:r>
      <w:proofErr w:type="gramEnd"/>
      <w:r w:rsidRPr="00BF0A9E">
        <w:rPr>
          <w:rFonts w:asciiTheme="majorHAnsi" w:hAnsiTheme="majorHAnsi"/>
          <w:sz w:val="16"/>
          <w:szCs w:val="16"/>
        </w:rPr>
        <w:t xml:space="preserve"> 1993), paragraphs 73, 74, 75, and 84. </w:t>
      </w:r>
    </w:p>
  </w:footnote>
  <w:footnote w:id="71">
    <w:p w14:paraId="51ADCD46" w14:textId="77777777" w:rsidR="00383EEB" w:rsidRPr="00BF0A9E" w:rsidRDefault="00383EEB" w:rsidP="008A6254">
      <w:pPr>
        <w:pStyle w:val="Body"/>
        <w:jc w:val="both"/>
        <w:rPr>
          <w:rFonts w:ascii="Cambria" w:eastAsia="Cambria" w:hAnsi="Cambria" w:cs="Cambria"/>
          <w:sz w:val="20"/>
          <w:szCs w:val="20"/>
        </w:rPr>
      </w:pPr>
      <w:r w:rsidRPr="00BF0A9E">
        <w:rPr>
          <w:rStyle w:val="FootnoteReference"/>
          <w:rFonts w:asciiTheme="majorHAnsi" w:hAnsiTheme="majorHAnsi"/>
          <w:sz w:val="16"/>
          <w:szCs w:val="16"/>
        </w:rPr>
        <w:footnoteRef/>
      </w:r>
      <w:r w:rsidRPr="00BF0A9E">
        <w:rPr>
          <w:rStyle w:val="FootnoteReference"/>
          <w:rFonts w:asciiTheme="majorHAnsi" w:hAnsiTheme="majorHAnsi"/>
          <w:sz w:val="16"/>
          <w:szCs w:val="16"/>
        </w:rPr>
        <w:t xml:space="preserve"> </w:t>
      </w:r>
      <w:r w:rsidRPr="00BF0A9E">
        <w:rPr>
          <w:rFonts w:asciiTheme="majorHAnsi" w:hAnsiTheme="majorHAnsi"/>
          <w:sz w:val="16"/>
          <w:szCs w:val="16"/>
        </w:rPr>
        <w:t>Article XXIV of the American Declaration provides: “</w:t>
      </w:r>
      <w:r w:rsidRPr="00BF0A9E">
        <w:rPr>
          <w:rFonts w:ascii="Cambria" w:eastAsia="Cambria" w:hAnsi="Cambria" w:cs="Cambria"/>
          <w:sz w:val="16"/>
          <w:szCs w:val="16"/>
          <w:shd w:val="clear" w:color="auto" w:fill="FFFFFF"/>
        </w:rPr>
        <w:t>Every person has the right to submit respectful petitions to any competent authority, for reasons of either general or private interest, and the right to obtain a prompt decision thereon.</w:t>
      </w:r>
      <w:r w:rsidRPr="00BF0A9E">
        <w:rPr>
          <w:rFonts w:asciiTheme="majorHAnsi" w:hAnsiTheme="majorHAnsi"/>
          <w:sz w:val="16"/>
          <w:szCs w:val="16"/>
        </w:rPr>
        <w:t>”</w:t>
      </w:r>
    </w:p>
  </w:footnote>
  <w:footnote w:id="72">
    <w:p w14:paraId="13A8CEB3" w14:textId="77777777" w:rsidR="00383EEB" w:rsidRPr="00BF0A9E" w:rsidRDefault="00383EEB" w:rsidP="00B346FF">
      <w:pPr>
        <w:pStyle w:val="Body"/>
        <w:jc w:val="both"/>
        <w:rPr>
          <w:rFonts w:asciiTheme="majorHAnsi" w:eastAsia="Cambria" w:hAnsiTheme="majorHAnsi" w:cs="Cambria"/>
          <w:sz w:val="16"/>
          <w:szCs w:val="20"/>
        </w:rPr>
      </w:pPr>
      <w:r w:rsidRPr="00BF0A9E">
        <w:rPr>
          <w:rStyle w:val="FootnoteReference"/>
          <w:rFonts w:asciiTheme="majorHAnsi" w:hAnsiTheme="majorHAnsi"/>
          <w:sz w:val="16"/>
          <w:szCs w:val="16"/>
        </w:rPr>
        <w:footnoteRef/>
      </w:r>
      <w:r w:rsidRPr="00BF0A9E">
        <w:rPr>
          <w:rStyle w:val="FootnoteReference"/>
          <w:rFonts w:asciiTheme="majorHAnsi" w:hAnsiTheme="majorHAnsi"/>
          <w:sz w:val="16"/>
          <w:szCs w:val="16"/>
        </w:rPr>
        <w:t xml:space="preserve"> </w:t>
      </w:r>
      <w:r w:rsidRPr="00BF0A9E">
        <w:rPr>
          <w:rFonts w:asciiTheme="majorHAnsi" w:hAnsiTheme="majorHAnsi"/>
          <w:sz w:val="16"/>
          <w:szCs w:val="16"/>
        </w:rPr>
        <w:t>Article I of the American Declaration provides: “</w:t>
      </w:r>
      <w:r w:rsidRPr="00BF0A9E">
        <w:rPr>
          <w:rFonts w:asciiTheme="majorHAnsi" w:eastAsia="Cambria" w:hAnsiTheme="majorHAnsi" w:cs="Cambria"/>
          <w:sz w:val="16"/>
          <w:szCs w:val="16"/>
          <w:shd w:val="clear" w:color="auto" w:fill="FFFFFF"/>
        </w:rPr>
        <w:t>Every human being has the right to life, liberty and the security of his person</w:t>
      </w:r>
      <w:r w:rsidRPr="00BF0A9E">
        <w:rPr>
          <w:rFonts w:asciiTheme="majorHAnsi" w:hAnsiTheme="majorHAnsi"/>
          <w:sz w:val="16"/>
          <w:szCs w:val="16"/>
        </w:rPr>
        <w:t>.”</w:t>
      </w:r>
    </w:p>
  </w:footnote>
  <w:footnote w:id="73">
    <w:p w14:paraId="4E0E5B74"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cs="Times New Roman"/>
          <w:sz w:val="16"/>
          <w:szCs w:val="16"/>
        </w:rPr>
        <w:t xml:space="preserve">Case 12.243, Report 52/01, Juan Raul Garza v. United States, Annual Report of the IACHR 2000, para. 117. See </w:t>
      </w:r>
      <w:proofErr w:type="gramStart"/>
      <w:r w:rsidRPr="00BF0A9E">
        <w:rPr>
          <w:rFonts w:asciiTheme="majorHAnsi" w:eastAsia="Times New Roman" w:hAnsiTheme="majorHAnsi" w:cs="Times New Roman"/>
          <w:sz w:val="16"/>
          <w:szCs w:val="16"/>
        </w:rPr>
        <w:t xml:space="preserve">similarly </w:t>
      </w:r>
      <w:r w:rsidRPr="00BF0A9E">
        <w:rPr>
          <w:rFonts w:asciiTheme="majorHAnsi" w:eastAsia="Times New Roman" w:hAnsiTheme="majorHAnsi" w:cs="Times New Roman"/>
          <w:i/>
          <w:iCs/>
          <w:sz w:val="16"/>
          <w:szCs w:val="16"/>
        </w:rPr>
        <w:t>;</w:t>
      </w:r>
      <w:proofErr w:type="gramEnd"/>
      <w:r w:rsidRPr="00BF0A9E">
        <w:rPr>
          <w:rFonts w:asciiTheme="majorHAnsi" w:eastAsia="Times New Roman" w:hAnsiTheme="majorHAnsi" w:cs="Times New Roman"/>
          <w:i/>
          <w:iCs/>
          <w:sz w:val="16"/>
          <w:szCs w:val="16"/>
        </w:rPr>
        <w:t xml:space="preserve"> </w:t>
      </w:r>
      <w:r w:rsidRPr="00BF0A9E">
        <w:rPr>
          <w:rFonts w:asciiTheme="majorHAnsi" w:eastAsia="Times New Roman" w:hAnsiTheme="majorHAnsi" w:cs="Times New Roman"/>
          <w:sz w:val="16"/>
          <w:szCs w:val="16"/>
        </w:rPr>
        <w:t>IACHR, Fifth Report on the Situation of Human Rights in Guatemala, Doc. OEA/</w:t>
      </w:r>
      <w:proofErr w:type="spellStart"/>
      <w:r w:rsidRPr="00BF0A9E">
        <w:rPr>
          <w:rFonts w:asciiTheme="majorHAnsi" w:eastAsia="Times New Roman" w:hAnsiTheme="majorHAnsi" w:cs="Times New Roman"/>
          <w:sz w:val="16"/>
          <w:szCs w:val="16"/>
        </w:rPr>
        <w:t>Ser.L</w:t>
      </w:r>
      <w:proofErr w:type="spellEnd"/>
      <w:r w:rsidRPr="00BF0A9E">
        <w:rPr>
          <w:rFonts w:asciiTheme="majorHAnsi" w:eastAsia="Times New Roman" w:hAnsiTheme="majorHAnsi" w:cs="Times New Roman"/>
          <w:sz w:val="16"/>
          <w:szCs w:val="16"/>
        </w:rPr>
        <w:t>/V/II.111 doc.21 rev. (6 April 2001), paras. 71, 72.</w:t>
      </w:r>
    </w:p>
  </w:footnote>
  <w:footnote w:id="74">
    <w:p w14:paraId="17D75459"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cs="Times New Roman"/>
          <w:sz w:val="16"/>
          <w:szCs w:val="16"/>
        </w:rPr>
        <w:t xml:space="preserve">Case 12.243, Report 52/01, Juan Raul Garza v. United States, Annual Report of the IACHR 2000, para. 117. See </w:t>
      </w:r>
      <w:proofErr w:type="gramStart"/>
      <w:r w:rsidRPr="00BF0A9E">
        <w:rPr>
          <w:rFonts w:asciiTheme="majorHAnsi" w:eastAsia="Times New Roman" w:hAnsiTheme="majorHAnsi" w:cs="Times New Roman"/>
          <w:sz w:val="16"/>
          <w:szCs w:val="16"/>
        </w:rPr>
        <w:t xml:space="preserve">similarly </w:t>
      </w:r>
      <w:r w:rsidRPr="00BF0A9E">
        <w:rPr>
          <w:rFonts w:asciiTheme="majorHAnsi" w:eastAsia="Times New Roman" w:hAnsiTheme="majorHAnsi" w:cs="Times New Roman"/>
          <w:i/>
          <w:iCs/>
          <w:sz w:val="16"/>
          <w:szCs w:val="16"/>
        </w:rPr>
        <w:t>;</w:t>
      </w:r>
      <w:proofErr w:type="gramEnd"/>
      <w:r w:rsidRPr="00BF0A9E">
        <w:rPr>
          <w:rFonts w:asciiTheme="majorHAnsi" w:eastAsia="Times New Roman" w:hAnsiTheme="majorHAnsi" w:cs="Times New Roman"/>
          <w:i/>
          <w:iCs/>
          <w:sz w:val="16"/>
          <w:szCs w:val="16"/>
        </w:rPr>
        <w:t xml:space="preserve"> </w:t>
      </w:r>
      <w:r w:rsidRPr="00BF0A9E">
        <w:rPr>
          <w:rFonts w:asciiTheme="majorHAnsi" w:eastAsia="Times New Roman" w:hAnsiTheme="majorHAnsi" w:cs="Times New Roman"/>
          <w:sz w:val="16"/>
          <w:szCs w:val="16"/>
        </w:rPr>
        <w:t>IACHR, Fifth Report on the Situation of Human Rights in Guatemala, Doc. OEA/</w:t>
      </w:r>
      <w:proofErr w:type="spellStart"/>
      <w:r w:rsidRPr="00BF0A9E">
        <w:rPr>
          <w:rFonts w:asciiTheme="majorHAnsi" w:eastAsia="Times New Roman" w:hAnsiTheme="majorHAnsi" w:cs="Times New Roman"/>
          <w:sz w:val="16"/>
          <w:szCs w:val="16"/>
        </w:rPr>
        <w:t>Ser.L</w:t>
      </w:r>
      <w:proofErr w:type="spellEnd"/>
      <w:r w:rsidRPr="00BF0A9E">
        <w:rPr>
          <w:rFonts w:asciiTheme="majorHAnsi" w:eastAsia="Times New Roman" w:hAnsiTheme="majorHAnsi" w:cs="Times New Roman"/>
          <w:sz w:val="16"/>
          <w:szCs w:val="16"/>
        </w:rPr>
        <w:t>/V/II.111 doc.21 rev. (6 April 2001), paras. 71, 72.</w:t>
      </w:r>
    </w:p>
  </w:footnote>
  <w:footnote w:id="75">
    <w:p w14:paraId="3ACBA0B1" w14:textId="77777777" w:rsidR="00383EEB" w:rsidRPr="00BF0A9E" w:rsidRDefault="00383EEB" w:rsidP="008A6254">
      <w:pPr>
        <w:pStyle w:val="FootnoteText"/>
        <w:jc w:val="both"/>
        <w:rPr>
          <w:rFonts w:asciiTheme="majorHAnsi" w:hAnsiTheme="majorHAnsi"/>
          <w:sz w:val="16"/>
          <w:szCs w:val="16"/>
        </w:rPr>
      </w:pPr>
      <w:r w:rsidRPr="00BF0A9E">
        <w:rPr>
          <w:rStyle w:val="FootnoteReference"/>
          <w:rFonts w:asciiTheme="majorHAnsi" w:hAnsiTheme="majorHAnsi"/>
          <w:sz w:val="16"/>
          <w:szCs w:val="16"/>
        </w:rPr>
        <w:footnoteRef/>
      </w:r>
      <w:r w:rsidRPr="00BF0A9E">
        <w:rPr>
          <w:rFonts w:asciiTheme="majorHAnsi" w:hAnsiTheme="majorHAnsi"/>
          <w:sz w:val="16"/>
          <w:szCs w:val="16"/>
        </w:rPr>
        <w:t xml:space="preserve"> </w:t>
      </w:r>
      <w:r w:rsidRPr="00BF0A9E">
        <w:rPr>
          <w:rFonts w:asciiTheme="majorHAnsi" w:eastAsia="Times New Roman" w:hAnsiTheme="majorHAnsi" w:cs="Times New Roman"/>
          <w:sz w:val="16"/>
          <w:szCs w:val="16"/>
        </w:rPr>
        <w:t xml:space="preserve">Case 12.243, Report 52/01, Juan Raul Garza v. United States, Annual Report of the IACHR 2000, para. 117. See </w:t>
      </w:r>
      <w:proofErr w:type="gramStart"/>
      <w:r w:rsidRPr="00BF0A9E">
        <w:rPr>
          <w:rFonts w:asciiTheme="majorHAnsi" w:eastAsia="Times New Roman" w:hAnsiTheme="majorHAnsi" w:cs="Times New Roman"/>
          <w:sz w:val="16"/>
          <w:szCs w:val="16"/>
        </w:rPr>
        <w:t xml:space="preserve">similarly </w:t>
      </w:r>
      <w:r w:rsidRPr="00BF0A9E">
        <w:rPr>
          <w:rFonts w:asciiTheme="majorHAnsi" w:eastAsia="Times New Roman" w:hAnsiTheme="majorHAnsi" w:cs="Times New Roman"/>
          <w:i/>
          <w:iCs/>
          <w:sz w:val="16"/>
          <w:szCs w:val="16"/>
        </w:rPr>
        <w:t>;</w:t>
      </w:r>
      <w:proofErr w:type="gramEnd"/>
      <w:r w:rsidRPr="00BF0A9E">
        <w:rPr>
          <w:rFonts w:asciiTheme="majorHAnsi" w:eastAsia="Times New Roman" w:hAnsiTheme="majorHAnsi" w:cs="Times New Roman"/>
          <w:i/>
          <w:iCs/>
          <w:sz w:val="16"/>
          <w:szCs w:val="16"/>
        </w:rPr>
        <w:t xml:space="preserve"> </w:t>
      </w:r>
      <w:r w:rsidRPr="00BF0A9E">
        <w:rPr>
          <w:rFonts w:asciiTheme="majorHAnsi" w:eastAsia="Times New Roman" w:hAnsiTheme="majorHAnsi" w:cs="Times New Roman"/>
          <w:sz w:val="16"/>
          <w:szCs w:val="16"/>
        </w:rPr>
        <w:t>IACHR, Fifth Report on the Situation of Human Rights in Guatemala, Doc. OEA/</w:t>
      </w:r>
      <w:proofErr w:type="spellStart"/>
      <w:r w:rsidRPr="00BF0A9E">
        <w:rPr>
          <w:rFonts w:asciiTheme="majorHAnsi" w:eastAsia="Times New Roman" w:hAnsiTheme="majorHAnsi" w:cs="Times New Roman"/>
          <w:sz w:val="16"/>
          <w:szCs w:val="16"/>
        </w:rPr>
        <w:t>Ser.L</w:t>
      </w:r>
      <w:proofErr w:type="spellEnd"/>
      <w:r w:rsidRPr="00BF0A9E">
        <w:rPr>
          <w:rFonts w:asciiTheme="majorHAnsi" w:eastAsia="Times New Roman" w:hAnsiTheme="majorHAnsi" w:cs="Times New Roman"/>
          <w:sz w:val="16"/>
          <w:szCs w:val="16"/>
        </w:rPr>
        <w:t>/V/II.111 doc.21 rev. (6 April 2001), paras. 71, 72</w:t>
      </w:r>
      <w:r w:rsidRPr="00BF0A9E">
        <w:rPr>
          <w:rFonts w:asciiTheme="majorHAnsi" w:eastAsia="Times New Roman" w:hAnsiTheme="majorHAnsi"/>
          <w:sz w:val="16"/>
          <w:szCs w:val="16"/>
        </w:rPr>
        <w:t xml:space="preserve">., citing International Court of Justice, Case Concerning the Vienna Convention on Consular Relations (Germany v. United States of America), Request for the Indication of Provisional Measures, Order of 3 March 1999, I.C.J. General List, Nº 104, paras. 22-28; United Nations Human Rights Committee, Dante </w:t>
      </w:r>
      <w:proofErr w:type="spellStart"/>
      <w:proofErr w:type="gramStart"/>
      <w:r w:rsidRPr="00BF0A9E">
        <w:rPr>
          <w:rFonts w:asciiTheme="majorHAnsi" w:eastAsia="Times New Roman" w:hAnsiTheme="majorHAnsi"/>
          <w:sz w:val="16"/>
          <w:szCs w:val="16"/>
        </w:rPr>
        <w:t>Piandiong</w:t>
      </w:r>
      <w:proofErr w:type="spellEnd"/>
      <w:proofErr w:type="gramEnd"/>
      <w:r w:rsidRPr="00BF0A9E">
        <w:rPr>
          <w:rFonts w:asciiTheme="majorHAnsi" w:eastAsia="Times New Roman" w:hAnsiTheme="majorHAnsi"/>
          <w:sz w:val="16"/>
          <w:szCs w:val="16"/>
        </w:rPr>
        <w:t xml:space="preserve"> and others v. The Philippines, Communication Nº 869/1999, U.N. Doc. CCPR/C/70/D/869.1999 (19 October 1999), paras. 5.1-5.4; Eur. Court H.R., Affaire </w:t>
      </w:r>
      <w:proofErr w:type="spellStart"/>
      <w:r w:rsidRPr="00BF0A9E">
        <w:rPr>
          <w:rFonts w:asciiTheme="majorHAnsi" w:eastAsia="Times New Roman" w:hAnsiTheme="majorHAnsi"/>
          <w:sz w:val="16"/>
          <w:szCs w:val="16"/>
        </w:rPr>
        <w:t>Mamatkulov</w:t>
      </w:r>
      <w:proofErr w:type="spellEnd"/>
      <w:r w:rsidRPr="00BF0A9E">
        <w:rPr>
          <w:rFonts w:asciiTheme="majorHAnsi" w:eastAsia="Times New Roman" w:hAnsiTheme="majorHAnsi"/>
          <w:sz w:val="16"/>
          <w:szCs w:val="16"/>
        </w:rPr>
        <w:t xml:space="preserve"> et </w:t>
      </w:r>
      <w:proofErr w:type="spellStart"/>
      <w:r w:rsidRPr="00BF0A9E">
        <w:rPr>
          <w:rFonts w:asciiTheme="majorHAnsi" w:eastAsia="Times New Roman" w:hAnsiTheme="majorHAnsi"/>
          <w:sz w:val="16"/>
          <w:szCs w:val="16"/>
        </w:rPr>
        <w:t>Abdurasulovic</w:t>
      </w:r>
      <w:proofErr w:type="spellEnd"/>
      <w:r w:rsidRPr="00BF0A9E">
        <w:rPr>
          <w:rFonts w:asciiTheme="majorHAnsi" w:eastAsia="Times New Roman" w:hAnsiTheme="majorHAnsi"/>
          <w:sz w:val="16"/>
          <w:szCs w:val="16"/>
        </w:rPr>
        <w:t xml:space="preserve"> c. Turkey, </w:t>
      </w:r>
      <w:proofErr w:type="spellStart"/>
      <w:r w:rsidRPr="00BF0A9E">
        <w:rPr>
          <w:rFonts w:asciiTheme="majorHAnsi" w:eastAsia="Times New Roman" w:hAnsiTheme="majorHAnsi"/>
          <w:sz w:val="16"/>
          <w:szCs w:val="16"/>
        </w:rPr>
        <w:t>Reqs</w:t>
      </w:r>
      <w:proofErr w:type="spellEnd"/>
      <w:r w:rsidRPr="00BF0A9E">
        <w:rPr>
          <w:rFonts w:asciiTheme="majorHAnsi" w:eastAsia="Times New Roman" w:hAnsiTheme="majorHAnsi"/>
          <w:sz w:val="16"/>
          <w:szCs w:val="16"/>
        </w:rPr>
        <w:t xml:space="preserve">. Nos. 46827/99, 46951/99 (6 February 2003), paras. 104-107. </w:t>
      </w:r>
    </w:p>
  </w:footnote>
  <w:footnote w:id="76">
    <w:p w14:paraId="30E06F48" w14:textId="77777777" w:rsidR="00383EEB" w:rsidRPr="00BF0A9E" w:rsidRDefault="00383EEB" w:rsidP="00F86F6E">
      <w:pPr>
        <w:pStyle w:val="NormalWeb"/>
        <w:spacing w:before="0" w:beforeAutospacing="0" w:after="0" w:afterAutospacing="0"/>
      </w:pPr>
      <w:r w:rsidRPr="00BF0A9E">
        <w:rPr>
          <w:rFonts w:asciiTheme="majorHAnsi" w:eastAsia="Calibri" w:hAnsiTheme="majorHAnsi" w:cs="Calibri"/>
          <w:sz w:val="16"/>
          <w:szCs w:val="20"/>
          <w:vertAlign w:val="superscript"/>
        </w:rPr>
        <w:footnoteRef/>
      </w:r>
      <w:r w:rsidRPr="00BF0A9E">
        <w:rPr>
          <w:rFonts w:asciiTheme="majorHAnsi" w:hAnsiTheme="majorHAnsi"/>
          <w:sz w:val="16"/>
        </w:rPr>
        <w:t xml:space="preserve"> </w:t>
      </w:r>
      <w:r w:rsidRPr="00BF0A9E">
        <w:rPr>
          <w:rFonts w:asciiTheme="majorHAnsi" w:eastAsia="Calibri" w:hAnsiTheme="majorHAnsi" w:cs="Calibri"/>
          <w:sz w:val="16"/>
          <w:szCs w:val="16"/>
        </w:rPr>
        <w:t xml:space="preserve">I/A Court H.R., </w:t>
      </w:r>
      <w:r w:rsidRPr="00BF0A9E">
        <w:rPr>
          <w:rFonts w:asciiTheme="majorHAnsi" w:eastAsia="Calibri" w:hAnsiTheme="majorHAnsi" w:cs="Calibri"/>
          <w:i/>
          <w:iCs/>
          <w:sz w:val="16"/>
          <w:szCs w:val="16"/>
        </w:rPr>
        <w:t xml:space="preserve">The Right to Information on Consular Assistance in the Framework of the Guarantees of the Due Process of Law. </w:t>
      </w:r>
      <w:r w:rsidRPr="00BF0A9E">
        <w:rPr>
          <w:rFonts w:asciiTheme="majorHAnsi" w:eastAsia="Calibri" w:hAnsiTheme="majorHAnsi" w:cs="Calibri"/>
          <w:sz w:val="16"/>
          <w:szCs w:val="16"/>
        </w:rPr>
        <w:t>Advisory Opinion OC‐16/99 of October 1, 1999. Series A No. 16, para. 136.</w:t>
      </w:r>
      <w:r w:rsidRPr="00BF0A9E">
        <w:rPr>
          <w:rFonts w:ascii="Calibri" w:eastAsia="Calibri" w:hAnsi="Calibri" w:cs="Calibri"/>
          <w:sz w:val="16"/>
          <w:szCs w:val="16"/>
        </w:rPr>
        <w:t xml:space="preserve"> </w:t>
      </w:r>
    </w:p>
  </w:footnote>
  <w:footnote w:id="77">
    <w:p w14:paraId="424DCD75" w14:textId="77777777" w:rsidR="00383EEB" w:rsidRPr="00700471" w:rsidRDefault="00383EEB" w:rsidP="00677E73">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BF0A9E">
        <w:rPr>
          <w:rStyle w:val="FootnoteReference"/>
          <w:rFonts w:asciiTheme="majorHAnsi" w:hAnsiTheme="majorHAnsi"/>
          <w:color w:val="auto"/>
          <w:sz w:val="16"/>
          <w:szCs w:val="16"/>
        </w:rPr>
        <w:footnoteRef/>
      </w:r>
      <w:r w:rsidRPr="00BF0A9E">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BF0A9E">
        <w:rPr>
          <w:rFonts w:asciiTheme="majorHAnsi" w:hAnsiTheme="majorHAnsi"/>
          <w:color w:val="auto"/>
          <w:sz w:val="16"/>
          <w:szCs w:val="16"/>
        </w:rPr>
        <w:t>Ser.L</w:t>
      </w:r>
      <w:proofErr w:type="spellEnd"/>
      <w:r w:rsidRPr="00BF0A9E">
        <w:rPr>
          <w:rFonts w:asciiTheme="majorHAnsi" w:hAnsiTheme="majorHAnsi"/>
          <w:color w:val="auto"/>
          <w:sz w:val="16"/>
          <w:szCs w:val="16"/>
        </w:rPr>
        <w:t>/V/</w:t>
      </w:r>
      <w:proofErr w:type="gramStart"/>
      <w:r w:rsidRPr="00BF0A9E">
        <w:rPr>
          <w:rFonts w:asciiTheme="majorHAnsi" w:hAnsiTheme="majorHAnsi"/>
          <w:color w:val="auto"/>
          <w:sz w:val="16"/>
          <w:szCs w:val="16"/>
        </w:rPr>
        <w:t>II.Doc</w:t>
      </w:r>
      <w:proofErr w:type="gramEnd"/>
      <w:r w:rsidRPr="00BF0A9E">
        <w:rPr>
          <w:rFonts w:asciiTheme="majorHAnsi" w:hAnsiTheme="majorHAnsi"/>
          <w:color w:val="auto"/>
          <w:sz w:val="16"/>
          <w:szCs w:val="16"/>
        </w:rPr>
        <w:t xml:space="preserve"> 68, December 31, 2011.</w:t>
      </w:r>
    </w:p>
  </w:footnote>
  <w:footnote w:id="78">
    <w:p w14:paraId="2D19F3DA" w14:textId="77777777" w:rsidR="00383EEB" w:rsidRPr="00700471" w:rsidRDefault="00383EEB" w:rsidP="008A6254">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BF0A9E">
        <w:rPr>
          <w:rStyle w:val="FootnoteReference"/>
          <w:rFonts w:asciiTheme="majorHAnsi" w:hAnsiTheme="majorHAnsi"/>
          <w:color w:val="auto"/>
          <w:sz w:val="16"/>
          <w:szCs w:val="16"/>
        </w:rPr>
        <w:footnoteRef/>
      </w:r>
      <w:r w:rsidRPr="00BF0A9E">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BF0A9E">
        <w:rPr>
          <w:rFonts w:asciiTheme="majorHAnsi" w:hAnsiTheme="majorHAnsi"/>
          <w:color w:val="auto"/>
          <w:sz w:val="16"/>
          <w:szCs w:val="16"/>
        </w:rPr>
        <w:t>Ser.L</w:t>
      </w:r>
      <w:proofErr w:type="spellEnd"/>
      <w:r w:rsidRPr="00BF0A9E">
        <w:rPr>
          <w:rFonts w:asciiTheme="majorHAnsi" w:hAnsiTheme="majorHAnsi"/>
          <w:color w:val="auto"/>
          <w:sz w:val="16"/>
          <w:szCs w:val="16"/>
        </w:rPr>
        <w:t>/V/</w:t>
      </w:r>
      <w:proofErr w:type="gramStart"/>
      <w:r w:rsidRPr="00BF0A9E">
        <w:rPr>
          <w:rFonts w:asciiTheme="majorHAnsi" w:hAnsiTheme="majorHAnsi"/>
          <w:color w:val="auto"/>
          <w:sz w:val="16"/>
          <w:szCs w:val="16"/>
        </w:rPr>
        <w:t>II.Doc</w:t>
      </w:r>
      <w:proofErr w:type="gramEnd"/>
      <w:r w:rsidRPr="00BF0A9E">
        <w:rPr>
          <w:rFonts w:asciiTheme="majorHAnsi" w:hAnsiTheme="majorHAnsi"/>
          <w:color w:val="auto"/>
          <w:sz w:val="16"/>
          <w:szCs w:val="16"/>
        </w:rPr>
        <w:t xml:space="preserve">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DCF1" w14:textId="77777777" w:rsidR="00383EEB" w:rsidRDefault="00383EEB"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04E5C9" w14:textId="77777777" w:rsidR="00383EEB" w:rsidRDefault="00383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270B" w14:textId="77777777" w:rsidR="00383EEB" w:rsidRDefault="00383EEB" w:rsidP="002C1641">
    <w:pPr>
      <w:pStyle w:val="Header"/>
      <w:tabs>
        <w:tab w:val="clear" w:pos="4320"/>
        <w:tab w:val="clear" w:pos="8640"/>
      </w:tabs>
      <w:jc w:val="center"/>
      <w:rPr>
        <w:sz w:val="22"/>
        <w:szCs w:val="22"/>
      </w:rPr>
    </w:pPr>
    <w:r>
      <w:rPr>
        <w:noProof/>
        <w:sz w:val="22"/>
        <w:szCs w:val="22"/>
      </w:rPr>
      <w:drawing>
        <wp:inline distT="0" distB="0" distL="0" distR="0" wp14:anchorId="216BEE8E" wp14:editId="44AB89A3">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4E792DD" w14:textId="77777777" w:rsidR="00383EEB" w:rsidRPr="00EC7D62" w:rsidRDefault="00763191" w:rsidP="002C1641">
    <w:pPr>
      <w:pStyle w:val="Header"/>
      <w:tabs>
        <w:tab w:val="clear" w:pos="4320"/>
        <w:tab w:val="clear" w:pos="8640"/>
      </w:tabs>
      <w:jc w:val="center"/>
      <w:rPr>
        <w:sz w:val="22"/>
        <w:szCs w:val="22"/>
      </w:rPr>
    </w:pPr>
    <w:r>
      <w:rPr>
        <w:noProof/>
        <w:sz w:val="22"/>
        <w:szCs w:val="22"/>
        <w:bdr w:val="nil"/>
      </w:rPr>
      <w:pict w14:anchorId="1824822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4" w15:restartNumberingAfterBreak="0">
    <w:nsid w:val="12322AA3"/>
    <w:multiLevelType w:val="hybridMultilevel"/>
    <w:tmpl w:val="06BA8E26"/>
    <w:lvl w:ilvl="0" w:tplc="BDDE7ADE">
      <w:start w:val="8"/>
      <w:numFmt w:val="decimal"/>
      <w:lvlText w:val="%1."/>
      <w:lvlJc w:val="left"/>
      <w:pPr>
        <w:tabs>
          <w:tab w:val="num" w:pos="1080"/>
        </w:tabs>
        <w:ind w:left="360" w:firstLine="720"/>
      </w:pPr>
      <w:rPr>
        <w:rFonts w:asciiTheme="majorHAnsi" w:hAnsiTheme="majorHAnsi" w:hint="default"/>
        <w:color w:val="auto"/>
        <w:sz w:val="20"/>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2"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5" w15:restartNumberingAfterBreak="0">
    <w:nsid w:val="26DD33BB"/>
    <w:multiLevelType w:val="hybridMultilevel"/>
    <w:tmpl w:val="D39828EA"/>
    <w:numStyleLink w:val="ImportedStyle6"/>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8" w15:restartNumberingAfterBreak="0">
    <w:nsid w:val="2BAA43AD"/>
    <w:multiLevelType w:val="hybridMultilevel"/>
    <w:tmpl w:val="1D42AC04"/>
    <w:lvl w:ilvl="0" w:tplc="673286BA">
      <w:start w:val="2"/>
      <w:numFmt w:val="bullet"/>
      <w:lvlText w:val="-"/>
      <w:lvlJc w:val="left"/>
      <w:pPr>
        <w:ind w:left="720" w:hanging="360"/>
      </w:pPr>
      <w:rPr>
        <w:rFonts w:ascii="Segoe UI" w:eastAsia="Arial Unicode MS"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7" w15:restartNumberingAfterBreak="0">
    <w:nsid w:val="355F2E7A"/>
    <w:multiLevelType w:val="hybridMultilevel"/>
    <w:tmpl w:val="3CACD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30"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1" w15:restartNumberingAfterBreak="0">
    <w:nsid w:val="4F03689F"/>
    <w:multiLevelType w:val="hybridMultilevel"/>
    <w:tmpl w:val="4AA2B45E"/>
    <w:lvl w:ilvl="0" w:tplc="242CFAE2">
      <w:start w:val="1"/>
      <w:numFmt w:val="decimal"/>
      <w:lvlText w:val="%1."/>
      <w:lvlJc w:val="left"/>
      <w:pPr>
        <w:tabs>
          <w:tab w:val="num" w:pos="851"/>
        </w:tabs>
        <w:ind w:left="0" w:firstLine="0"/>
      </w:pPr>
      <w:rPr>
        <w:rFonts w:ascii="Verdana" w:hAnsi="Verdana" w:hint="default"/>
        <w:b w:val="0"/>
        <w:i w:val="0"/>
        <w:strike w:val="0"/>
        <w:dstrike w:val="0"/>
        <w:color w:val="auto"/>
        <w:sz w:val="20"/>
        <w:szCs w:val="20"/>
        <w:u w:val="none"/>
        <w:effect w:val="none"/>
      </w:rPr>
    </w:lvl>
    <w:lvl w:ilvl="1" w:tplc="75B8E952">
      <w:start w:val="1"/>
      <w:numFmt w:val="decimal"/>
      <w:lvlText w:val="%2."/>
      <w:lvlJc w:val="left"/>
      <w:pPr>
        <w:tabs>
          <w:tab w:val="num" w:pos="1418"/>
        </w:tabs>
        <w:ind w:left="0" w:firstLine="108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5"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8" w15:restartNumberingAfterBreak="0">
    <w:nsid w:val="54550C4C"/>
    <w:multiLevelType w:val="multilevel"/>
    <w:tmpl w:val="024A16C2"/>
    <w:numStyleLink w:val="List0"/>
  </w:abstractNum>
  <w:abstractNum w:abstractNumId="49" w15:restartNumberingAfterBreak="0">
    <w:nsid w:val="58A633D6"/>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681F10"/>
    <w:multiLevelType w:val="hybridMultilevel"/>
    <w:tmpl w:val="CE52D2DA"/>
    <w:lvl w:ilvl="0" w:tplc="815C03E6">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3"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5D1410CC"/>
    <w:multiLevelType w:val="singleLevel"/>
    <w:tmpl w:val="0409000F"/>
    <w:lvl w:ilvl="0">
      <w:start w:val="1"/>
      <w:numFmt w:val="decimal"/>
      <w:lvlText w:val="%1."/>
      <w:lvlJc w:val="left"/>
      <w:pPr>
        <w:tabs>
          <w:tab w:val="num" w:pos="2135"/>
        </w:tabs>
        <w:ind w:left="2135" w:hanging="271"/>
      </w:pPr>
      <w:rPr>
        <w:b/>
        <w:bCs/>
        <w:color w:val="000000"/>
        <w:position w:val="0"/>
        <w:sz w:val="22"/>
        <w:szCs w:val="22"/>
        <w:u w:color="000000"/>
        <w:lang w:val="es-ES_tradnl"/>
      </w:rPr>
    </w:lvl>
  </w:abstractNum>
  <w:abstractNum w:abstractNumId="55"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8" w15:restartNumberingAfterBreak="0">
    <w:nsid w:val="672E115F"/>
    <w:multiLevelType w:val="hybridMultilevel"/>
    <w:tmpl w:val="9ACAA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97E60A7"/>
    <w:multiLevelType w:val="hybridMultilevel"/>
    <w:tmpl w:val="F700628C"/>
    <w:lvl w:ilvl="0" w:tplc="1EA2AC34">
      <w:start w:val="22"/>
      <w:numFmt w:val="decimal"/>
      <w:lvlText w:val="%1."/>
      <w:lvlJc w:val="left"/>
      <w:pPr>
        <w:ind w:left="720" w:hanging="360"/>
      </w:pPr>
      <w:rPr>
        <w:rFonts w:hint="default"/>
        <w:b w:val="0"/>
      </w:rPr>
    </w:lvl>
    <w:lvl w:ilvl="1" w:tplc="F40616D2" w:tentative="1">
      <w:start w:val="1"/>
      <w:numFmt w:val="lowerLetter"/>
      <w:lvlText w:val="%2."/>
      <w:lvlJc w:val="left"/>
      <w:pPr>
        <w:ind w:left="1440" w:hanging="360"/>
      </w:pPr>
    </w:lvl>
    <w:lvl w:ilvl="2" w:tplc="DE5C19A4" w:tentative="1">
      <w:start w:val="1"/>
      <w:numFmt w:val="lowerRoman"/>
      <w:lvlText w:val="%3."/>
      <w:lvlJc w:val="right"/>
      <w:pPr>
        <w:ind w:left="2160" w:hanging="180"/>
      </w:pPr>
    </w:lvl>
    <w:lvl w:ilvl="3" w:tplc="07B2AEC4" w:tentative="1">
      <w:start w:val="1"/>
      <w:numFmt w:val="decimal"/>
      <w:lvlText w:val="%4."/>
      <w:lvlJc w:val="left"/>
      <w:pPr>
        <w:ind w:left="2880" w:hanging="360"/>
      </w:pPr>
    </w:lvl>
    <w:lvl w:ilvl="4" w:tplc="257676DA" w:tentative="1">
      <w:start w:val="1"/>
      <w:numFmt w:val="lowerLetter"/>
      <w:lvlText w:val="%5."/>
      <w:lvlJc w:val="left"/>
      <w:pPr>
        <w:ind w:left="3600" w:hanging="360"/>
      </w:pPr>
    </w:lvl>
    <w:lvl w:ilvl="5" w:tplc="1688D3BA" w:tentative="1">
      <w:start w:val="1"/>
      <w:numFmt w:val="lowerRoman"/>
      <w:lvlText w:val="%6."/>
      <w:lvlJc w:val="right"/>
      <w:pPr>
        <w:ind w:left="4320" w:hanging="180"/>
      </w:pPr>
    </w:lvl>
    <w:lvl w:ilvl="6" w:tplc="42E22C46" w:tentative="1">
      <w:start w:val="1"/>
      <w:numFmt w:val="decimal"/>
      <w:lvlText w:val="%7."/>
      <w:lvlJc w:val="left"/>
      <w:pPr>
        <w:ind w:left="5040" w:hanging="360"/>
      </w:pPr>
    </w:lvl>
    <w:lvl w:ilvl="7" w:tplc="EDE28B80" w:tentative="1">
      <w:start w:val="1"/>
      <w:numFmt w:val="lowerLetter"/>
      <w:lvlText w:val="%8."/>
      <w:lvlJc w:val="left"/>
      <w:pPr>
        <w:ind w:left="5760" w:hanging="360"/>
      </w:pPr>
    </w:lvl>
    <w:lvl w:ilvl="8" w:tplc="22BCE6F2" w:tentative="1">
      <w:start w:val="1"/>
      <w:numFmt w:val="lowerRoman"/>
      <w:lvlText w:val="%9."/>
      <w:lvlJc w:val="right"/>
      <w:pPr>
        <w:ind w:left="6480" w:hanging="180"/>
      </w:pPr>
    </w:lvl>
  </w:abstractNum>
  <w:abstractNum w:abstractNumId="6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6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3" w15:restartNumberingAfterBreak="0">
    <w:nsid w:val="70786ED7"/>
    <w:multiLevelType w:val="hybridMultilevel"/>
    <w:tmpl w:val="893AFD0C"/>
    <w:lvl w:ilvl="0" w:tplc="FB4C2A84">
      <w:start w:val="1"/>
      <w:numFmt w:val="upperRoman"/>
      <w:pStyle w:val="Heading1"/>
      <w:lvlText w:val="%1."/>
      <w:lvlJc w:val="left"/>
      <w:pPr>
        <w:ind w:left="720" w:hanging="360"/>
      </w:pPr>
      <w:rPr>
        <w:rFonts w:hint="default"/>
      </w:rPr>
    </w:lvl>
    <w:lvl w:ilvl="1" w:tplc="6BA2B3FA">
      <w:start w:val="1"/>
      <w:numFmt w:val="decimal"/>
      <w:lvlText w:val="%2."/>
      <w:lvlJc w:val="left"/>
      <w:pPr>
        <w:ind w:left="1440" w:hanging="360"/>
      </w:pPr>
      <w:rPr>
        <w:rFonts w:hint="default"/>
      </w:rPr>
    </w:lvl>
    <w:lvl w:ilvl="2" w:tplc="EFD0C2AE" w:tentative="1">
      <w:start w:val="1"/>
      <w:numFmt w:val="lowerRoman"/>
      <w:lvlText w:val="%3."/>
      <w:lvlJc w:val="right"/>
      <w:pPr>
        <w:ind w:left="2160" w:hanging="180"/>
      </w:pPr>
    </w:lvl>
    <w:lvl w:ilvl="3" w:tplc="31A052B0" w:tentative="1">
      <w:start w:val="1"/>
      <w:numFmt w:val="decimal"/>
      <w:lvlText w:val="%4."/>
      <w:lvlJc w:val="left"/>
      <w:pPr>
        <w:ind w:left="2880" w:hanging="360"/>
      </w:pPr>
    </w:lvl>
    <w:lvl w:ilvl="4" w:tplc="90DCEF50" w:tentative="1">
      <w:start w:val="1"/>
      <w:numFmt w:val="lowerLetter"/>
      <w:lvlText w:val="%5."/>
      <w:lvlJc w:val="left"/>
      <w:pPr>
        <w:ind w:left="3600" w:hanging="360"/>
      </w:pPr>
    </w:lvl>
    <w:lvl w:ilvl="5" w:tplc="5838B790" w:tentative="1">
      <w:start w:val="1"/>
      <w:numFmt w:val="lowerRoman"/>
      <w:lvlText w:val="%6."/>
      <w:lvlJc w:val="right"/>
      <w:pPr>
        <w:ind w:left="4320" w:hanging="180"/>
      </w:pPr>
    </w:lvl>
    <w:lvl w:ilvl="6" w:tplc="9D94DA3E" w:tentative="1">
      <w:start w:val="1"/>
      <w:numFmt w:val="decimal"/>
      <w:lvlText w:val="%7."/>
      <w:lvlJc w:val="left"/>
      <w:pPr>
        <w:ind w:left="5040" w:hanging="360"/>
      </w:pPr>
    </w:lvl>
    <w:lvl w:ilvl="7" w:tplc="F9364FEA" w:tentative="1">
      <w:start w:val="1"/>
      <w:numFmt w:val="lowerLetter"/>
      <w:lvlText w:val="%8."/>
      <w:lvlJc w:val="left"/>
      <w:pPr>
        <w:ind w:left="5760" w:hanging="360"/>
      </w:pPr>
    </w:lvl>
    <w:lvl w:ilvl="8" w:tplc="1C2ACEA0" w:tentative="1">
      <w:start w:val="1"/>
      <w:numFmt w:val="lowerRoman"/>
      <w:lvlText w:val="%9."/>
      <w:lvlJc w:val="right"/>
      <w:pPr>
        <w:ind w:left="6480" w:hanging="180"/>
      </w:pPr>
    </w:lvl>
  </w:abstractNum>
  <w:abstractNum w:abstractNumId="6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5" w15:restartNumberingAfterBreak="0">
    <w:nsid w:val="7745554A"/>
    <w:multiLevelType w:val="hybridMultilevel"/>
    <w:tmpl w:val="FA40F4D6"/>
    <w:lvl w:ilvl="0" w:tplc="914ED354">
      <w:start w:val="1"/>
      <w:numFmt w:val="upperLetter"/>
      <w:lvlText w:val="%1."/>
      <w:lvlJc w:val="left"/>
      <w:pPr>
        <w:ind w:left="720" w:hanging="360"/>
      </w:pPr>
      <w:rPr>
        <w:rFonts w:hint="default"/>
      </w:rPr>
    </w:lvl>
    <w:lvl w:ilvl="1" w:tplc="EBC0D542" w:tentative="1">
      <w:start w:val="1"/>
      <w:numFmt w:val="lowerLetter"/>
      <w:lvlText w:val="%2."/>
      <w:lvlJc w:val="left"/>
      <w:pPr>
        <w:ind w:left="1440" w:hanging="360"/>
      </w:pPr>
    </w:lvl>
    <w:lvl w:ilvl="2" w:tplc="D960CBC2" w:tentative="1">
      <w:start w:val="1"/>
      <w:numFmt w:val="lowerRoman"/>
      <w:lvlText w:val="%3."/>
      <w:lvlJc w:val="right"/>
      <w:pPr>
        <w:ind w:left="2160" w:hanging="180"/>
      </w:pPr>
    </w:lvl>
    <w:lvl w:ilvl="3" w:tplc="66AE90F2" w:tentative="1">
      <w:start w:val="1"/>
      <w:numFmt w:val="decimal"/>
      <w:lvlText w:val="%4."/>
      <w:lvlJc w:val="left"/>
      <w:pPr>
        <w:ind w:left="2880" w:hanging="360"/>
      </w:pPr>
    </w:lvl>
    <w:lvl w:ilvl="4" w:tplc="0580476A" w:tentative="1">
      <w:start w:val="1"/>
      <w:numFmt w:val="lowerLetter"/>
      <w:lvlText w:val="%5."/>
      <w:lvlJc w:val="left"/>
      <w:pPr>
        <w:ind w:left="3600" w:hanging="360"/>
      </w:pPr>
    </w:lvl>
    <w:lvl w:ilvl="5" w:tplc="4242414A" w:tentative="1">
      <w:start w:val="1"/>
      <w:numFmt w:val="lowerRoman"/>
      <w:lvlText w:val="%6."/>
      <w:lvlJc w:val="right"/>
      <w:pPr>
        <w:ind w:left="4320" w:hanging="180"/>
      </w:pPr>
    </w:lvl>
    <w:lvl w:ilvl="6" w:tplc="23B41E74" w:tentative="1">
      <w:start w:val="1"/>
      <w:numFmt w:val="decimal"/>
      <w:lvlText w:val="%7."/>
      <w:lvlJc w:val="left"/>
      <w:pPr>
        <w:ind w:left="5040" w:hanging="360"/>
      </w:pPr>
    </w:lvl>
    <w:lvl w:ilvl="7" w:tplc="D0C0D4E8" w:tentative="1">
      <w:start w:val="1"/>
      <w:numFmt w:val="lowerLetter"/>
      <w:lvlText w:val="%8."/>
      <w:lvlJc w:val="left"/>
      <w:pPr>
        <w:ind w:left="5760" w:hanging="360"/>
      </w:pPr>
    </w:lvl>
    <w:lvl w:ilvl="8" w:tplc="4032224E" w:tentative="1">
      <w:start w:val="1"/>
      <w:numFmt w:val="lowerRoman"/>
      <w:lvlText w:val="%9."/>
      <w:lvlJc w:val="right"/>
      <w:pPr>
        <w:ind w:left="6480" w:hanging="180"/>
      </w:pPr>
    </w:lvl>
  </w:abstractNum>
  <w:abstractNum w:abstractNumId="6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68" w15:restartNumberingAfterBreak="0">
    <w:nsid w:val="7994649A"/>
    <w:multiLevelType w:val="hybridMultilevel"/>
    <w:tmpl w:val="0EECEAD0"/>
    <w:lvl w:ilvl="0" w:tplc="C6FEA962">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0" w15:restartNumberingAfterBreak="0">
    <w:nsid w:val="7C051419"/>
    <w:multiLevelType w:val="hybridMultilevel"/>
    <w:tmpl w:val="66148FEE"/>
    <w:styleLink w:val="ImportedStyle3"/>
    <w:lvl w:ilvl="0" w:tplc="E634E536">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C1C80EA">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50CA3F6">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300CE52">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1B4FA0C">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F34266A">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A9AAD74">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C7C8DFA">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2EE4376">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abstractNumId w:val="3"/>
  </w:num>
  <w:num w:numId="2">
    <w:abstractNumId w:val="5"/>
  </w:num>
  <w:num w:numId="3">
    <w:abstractNumId w:val="67"/>
  </w:num>
  <w:num w:numId="4">
    <w:abstractNumId w:val="23"/>
  </w:num>
  <w:num w:numId="5">
    <w:abstractNumId w:val="57"/>
  </w:num>
  <w:num w:numId="6">
    <w:abstractNumId w:val="29"/>
  </w:num>
  <w:num w:numId="7">
    <w:abstractNumId w:val="6"/>
  </w:num>
  <w:num w:numId="8">
    <w:abstractNumId w:val="19"/>
  </w:num>
  <w:num w:numId="9">
    <w:abstractNumId w:val="47"/>
  </w:num>
  <w:num w:numId="10">
    <w:abstractNumId w:val="0"/>
  </w:num>
  <w:num w:numId="11">
    <w:abstractNumId w:val="39"/>
  </w:num>
  <w:num w:numId="12">
    <w:abstractNumId w:val="40"/>
  </w:num>
  <w:num w:numId="13">
    <w:abstractNumId w:val="5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56"/>
  </w:num>
  <w:num w:numId="42">
    <w:abstractNumId w:val="61"/>
  </w:num>
  <w:num w:numId="43">
    <w:abstractNumId w:val="62"/>
  </w:num>
  <w:num w:numId="44">
    <w:abstractNumId w:val="64"/>
  </w:num>
  <w:num w:numId="45">
    <w:abstractNumId w:val="66"/>
  </w:num>
  <w:num w:numId="46">
    <w:abstractNumId w:val="69"/>
  </w:num>
  <w:num w:numId="47">
    <w:abstractNumId w:val="71"/>
  </w:num>
  <w:num w:numId="48">
    <w:abstractNumId w:val="72"/>
  </w:num>
  <w:num w:numId="49">
    <w:abstractNumId w:val="73"/>
  </w:num>
  <w:num w:numId="50">
    <w:abstractNumId w:val="74"/>
  </w:num>
  <w:num w:numId="51">
    <w:abstractNumId w:val="22"/>
  </w:num>
  <w:num w:numId="52">
    <w:abstractNumId w:val="44"/>
  </w:num>
  <w:num w:numId="53">
    <w:abstractNumId w:val="63"/>
  </w:num>
  <w:num w:numId="54">
    <w:abstractNumId w:val="52"/>
  </w:num>
  <w:num w:numId="55">
    <w:abstractNumId w:val="55"/>
  </w:num>
  <w:num w:numId="56">
    <w:abstractNumId w:val="50"/>
  </w:num>
  <w:num w:numId="57">
    <w:abstractNumId w:val="59"/>
  </w:num>
  <w:num w:numId="58">
    <w:abstractNumId w:val="45"/>
  </w:num>
  <w:num w:numId="59">
    <w:abstractNumId w:val="65"/>
  </w:num>
  <w:num w:numId="60">
    <w:abstractNumId w:val="4"/>
  </w:num>
  <w:num w:numId="61">
    <w:abstractNumId w:val="60"/>
  </w:num>
  <w:num w:numId="62">
    <w:abstractNumId w:val="70"/>
  </w:num>
  <w:num w:numId="63">
    <w:abstractNumId w:val="46"/>
  </w:num>
  <w:num w:numId="64">
    <w:abstractNumId w:val="30"/>
  </w:num>
  <w:num w:numId="65">
    <w:abstractNumId w:val="12"/>
  </w:num>
  <w:num w:numId="66">
    <w:abstractNumId w:val="15"/>
  </w:num>
  <w:num w:numId="67">
    <w:abstractNumId w:val="53"/>
  </w:num>
  <w:num w:numId="68">
    <w:abstractNumId w:val="18"/>
  </w:num>
  <w:num w:numId="69">
    <w:abstractNumId w:val="48"/>
  </w:num>
  <w:num w:numId="70">
    <w:abstractNumId w:val="54"/>
  </w:num>
  <w:num w:numId="71">
    <w:abstractNumId w:val="49"/>
  </w:num>
  <w:num w:numId="72">
    <w:abstractNumId w:val="58"/>
  </w:num>
  <w:num w:numId="73">
    <w:abstractNumId w:val="27"/>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38CF"/>
    <w:rsid w:val="000050CC"/>
    <w:rsid w:val="00006DD7"/>
    <w:rsid w:val="00006E50"/>
    <w:rsid w:val="00006EDD"/>
    <w:rsid w:val="00006F2E"/>
    <w:rsid w:val="000070D7"/>
    <w:rsid w:val="00007690"/>
    <w:rsid w:val="00007B4D"/>
    <w:rsid w:val="00007C5F"/>
    <w:rsid w:val="00010877"/>
    <w:rsid w:val="00010A7E"/>
    <w:rsid w:val="00010E1E"/>
    <w:rsid w:val="000111A8"/>
    <w:rsid w:val="00011E4C"/>
    <w:rsid w:val="00011EB8"/>
    <w:rsid w:val="00012470"/>
    <w:rsid w:val="00012683"/>
    <w:rsid w:val="00012ADD"/>
    <w:rsid w:val="00012E4F"/>
    <w:rsid w:val="00013F78"/>
    <w:rsid w:val="000157B5"/>
    <w:rsid w:val="00015C68"/>
    <w:rsid w:val="00015C72"/>
    <w:rsid w:val="00015F42"/>
    <w:rsid w:val="000160EE"/>
    <w:rsid w:val="00017552"/>
    <w:rsid w:val="0001788C"/>
    <w:rsid w:val="000203E6"/>
    <w:rsid w:val="00021201"/>
    <w:rsid w:val="00022424"/>
    <w:rsid w:val="000225C7"/>
    <w:rsid w:val="0002357A"/>
    <w:rsid w:val="00024730"/>
    <w:rsid w:val="000248B7"/>
    <w:rsid w:val="00024BB7"/>
    <w:rsid w:val="000265CB"/>
    <w:rsid w:val="0002681D"/>
    <w:rsid w:val="0002683C"/>
    <w:rsid w:val="00027222"/>
    <w:rsid w:val="0003022F"/>
    <w:rsid w:val="00030834"/>
    <w:rsid w:val="00031A82"/>
    <w:rsid w:val="00032BDA"/>
    <w:rsid w:val="0003324D"/>
    <w:rsid w:val="000332F4"/>
    <w:rsid w:val="000351D4"/>
    <w:rsid w:val="00036A8A"/>
    <w:rsid w:val="00037CC9"/>
    <w:rsid w:val="00040C3A"/>
    <w:rsid w:val="000427EE"/>
    <w:rsid w:val="00042FA0"/>
    <w:rsid w:val="0004390C"/>
    <w:rsid w:val="00044DA8"/>
    <w:rsid w:val="00045601"/>
    <w:rsid w:val="000459E0"/>
    <w:rsid w:val="0004681B"/>
    <w:rsid w:val="0004761C"/>
    <w:rsid w:val="00047F35"/>
    <w:rsid w:val="000516F4"/>
    <w:rsid w:val="000517B2"/>
    <w:rsid w:val="00051EB4"/>
    <w:rsid w:val="000520FB"/>
    <w:rsid w:val="00053172"/>
    <w:rsid w:val="00053D12"/>
    <w:rsid w:val="00054E1B"/>
    <w:rsid w:val="000550C0"/>
    <w:rsid w:val="00055FAE"/>
    <w:rsid w:val="000564D3"/>
    <w:rsid w:val="000564E1"/>
    <w:rsid w:val="000576AA"/>
    <w:rsid w:val="00057D4F"/>
    <w:rsid w:val="00057EDB"/>
    <w:rsid w:val="00060666"/>
    <w:rsid w:val="0006097A"/>
    <w:rsid w:val="000615CF"/>
    <w:rsid w:val="000620DE"/>
    <w:rsid w:val="00062C0F"/>
    <w:rsid w:val="00062C28"/>
    <w:rsid w:val="00062FEC"/>
    <w:rsid w:val="000630E1"/>
    <w:rsid w:val="000639C0"/>
    <w:rsid w:val="0006434A"/>
    <w:rsid w:val="00064BE5"/>
    <w:rsid w:val="0006511C"/>
    <w:rsid w:val="000657E1"/>
    <w:rsid w:val="000679BC"/>
    <w:rsid w:val="0007019C"/>
    <w:rsid w:val="00070F3A"/>
    <w:rsid w:val="0007127E"/>
    <w:rsid w:val="000716C5"/>
    <w:rsid w:val="00071A9D"/>
    <w:rsid w:val="00071E45"/>
    <w:rsid w:val="00073088"/>
    <w:rsid w:val="00074669"/>
    <w:rsid w:val="00075292"/>
    <w:rsid w:val="0007563A"/>
    <w:rsid w:val="00075E23"/>
    <w:rsid w:val="000764E3"/>
    <w:rsid w:val="0007744E"/>
    <w:rsid w:val="00077A87"/>
    <w:rsid w:val="00080249"/>
    <w:rsid w:val="00080357"/>
    <w:rsid w:val="00080AEA"/>
    <w:rsid w:val="00081EC3"/>
    <w:rsid w:val="000823DA"/>
    <w:rsid w:val="00082CBB"/>
    <w:rsid w:val="00082CF2"/>
    <w:rsid w:val="000830D5"/>
    <w:rsid w:val="000833FB"/>
    <w:rsid w:val="00083E3C"/>
    <w:rsid w:val="00084A11"/>
    <w:rsid w:val="00084C5B"/>
    <w:rsid w:val="00084FE7"/>
    <w:rsid w:val="00085F60"/>
    <w:rsid w:val="00085F65"/>
    <w:rsid w:val="000868E3"/>
    <w:rsid w:val="00086BFA"/>
    <w:rsid w:val="0008733D"/>
    <w:rsid w:val="00090720"/>
    <w:rsid w:val="00091707"/>
    <w:rsid w:val="000919DF"/>
    <w:rsid w:val="000922C5"/>
    <w:rsid w:val="000924E3"/>
    <w:rsid w:val="00092817"/>
    <w:rsid w:val="000929D9"/>
    <w:rsid w:val="00092F32"/>
    <w:rsid w:val="00093055"/>
    <w:rsid w:val="0009344A"/>
    <w:rsid w:val="0009454E"/>
    <w:rsid w:val="00094AFA"/>
    <w:rsid w:val="00094ED2"/>
    <w:rsid w:val="00095575"/>
    <w:rsid w:val="0009575D"/>
    <w:rsid w:val="0009719E"/>
    <w:rsid w:val="000973C5"/>
    <w:rsid w:val="000A0445"/>
    <w:rsid w:val="000A0EF3"/>
    <w:rsid w:val="000A1126"/>
    <w:rsid w:val="000A16DB"/>
    <w:rsid w:val="000A1E84"/>
    <w:rsid w:val="000A2085"/>
    <w:rsid w:val="000A254B"/>
    <w:rsid w:val="000A3276"/>
    <w:rsid w:val="000A3E84"/>
    <w:rsid w:val="000A4138"/>
    <w:rsid w:val="000A4DDD"/>
    <w:rsid w:val="000A575F"/>
    <w:rsid w:val="000A584B"/>
    <w:rsid w:val="000A5B0F"/>
    <w:rsid w:val="000A62C0"/>
    <w:rsid w:val="000A650D"/>
    <w:rsid w:val="000A6C50"/>
    <w:rsid w:val="000A7A76"/>
    <w:rsid w:val="000A7DBA"/>
    <w:rsid w:val="000B040F"/>
    <w:rsid w:val="000B25FC"/>
    <w:rsid w:val="000B276D"/>
    <w:rsid w:val="000B2A22"/>
    <w:rsid w:val="000B2EF7"/>
    <w:rsid w:val="000B478D"/>
    <w:rsid w:val="000B4DAF"/>
    <w:rsid w:val="000B4EAA"/>
    <w:rsid w:val="000B50C3"/>
    <w:rsid w:val="000B64A7"/>
    <w:rsid w:val="000B6581"/>
    <w:rsid w:val="000B6B28"/>
    <w:rsid w:val="000C0092"/>
    <w:rsid w:val="000C0149"/>
    <w:rsid w:val="000C04CF"/>
    <w:rsid w:val="000C09A7"/>
    <w:rsid w:val="000C1094"/>
    <w:rsid w:val="000C1B5A"/>
    <w:rsid w:val="000C376B"/>
    <w:rsid w:val="000C4902"/>
    <w:rsid w:val="000C6615"/>
    <w:rsid w:val="000C6FFD"/>
    <w:rsid w:val="000D10DB"/>
    <w:rsid w:val="000D1FC7"/>
    <w:rsid w:val="000D3921"/>
    <w:rsid w:val="000D3B27"/>
    <w:rsid w:val="000D5691"/>
    <w:rsid w:val="000D6817"/>
    <w:rsid w:val="000D68F4"/>
    <w:rsid w:val="000D6EEF"/>
    <w:rsid w:val="000E0F8F"/>
    <w:rsid w:val="000E1356"/>
    <w:rsid w:val="000E2AD7"/>
    <w:rsid w:val="000E2BD0"/>
    <w:rsid w:val="000E3937"/>
    <w:rsid w:val="000E44C7"/>
    <w:rsid w:val="000E56C3"/>
    <w:rsid w:val="000E69B3"/>
    <w:rsid w:val="000E6C43"/>
    <w:rsid w:val="000E6EDD"/>
    <w:rsid w:val="000E7140"/>
    <w:rsid w:val="000E7636"/>
    <w:rsid w:val="000E7B4D"/>
    <w:rsid w:val="000E7ED0"/>
    <w:rsid w:val="000E7F69"/>
    <w:rsid w:val="000F030F"/>
    <w:rsid w:val="000F0A25"/>
    <w:rsid w:val="000F0E52"/>
    <w:rsid w:val="000F0EEC"/>
    <w:rsid w:val="000F1E39"/>
    <w:rsid w:val="000F214A"/>
    <w:rsid w:val="000F2A83"/>
    <w:rsid w:val="000F4547"/>
    <w:rsid w:val="000F4C8A"/>
    <w:rsid w:val="000F4D36"/>
    <w:rsid w:val="000F5B71"/>
    <w:rsid w:val="000F5C19"/>
    <w:rsid w:val="000F7409"/>
    <w:rsid w:val="00101553"/>
    <w:rsid w:val="00102348"/>
    <w:rsid w:val="001024E3"/>
    <w:rsid w:val="001025B1"/>
    <w:rsid w:val="00103174"/>
    <w:rsid w:val="001032AB"/>
    <w:rsid w:val="00103526"/>
    <w:rsid w:val="00104889"/>
    <w:rsid w:val="00104896"/>
    <w:rsid w:val="00104C50"/>
    <w:rsid w:val="00105433"/>
    <w:rsid w:val="001063FA"/>
    <w:rsid w:val="001067A5"/>
    <w:rsid w:val="00106990"/>
    <w:rsid w:val="00107414"/>
    <w:rsid w:val="00111F1D"/>
    <w:rsid w:val="00112617"/>
    <w:rsid w:val="001126EB"/>
    <w:rsid w:val="00112AA3"/>
    <w:rsid w:val="00113149"/>
    <w:rsid w:val="00114527"/>
    <w:rsid w:val="00115009"/>
    <w:rsid w:val="00116FBD"/>
    <w:rsid w:val="00123ECD"/>
    <w:rsid w:val="00125D3B"/>
    <w:rsid w:val="001267FB"/>
    <w:rsid w:val="00127A93"/>
    <w:rsid w:val="00130A27"/>
    <w:rsid w:val="00130DE9"/>
    <w:rsid w:val="00130E12"/>
    <w:rsid w:val="00131042"/>
    <w:rsid w:val="0013104F"/>
    <w:rsid w:val="00131239"/>
    <w:rsid w:val="0013178F"/>
    <w:rsid w:val="00131B01"/>
    <w:rsid w:val="00133465"/>
    <w:rsid w:val="0013403C"/>
    <w:rsid w:val="00134B21"/>
    <w:rsid w:val="00134FF0"/>
    <w:rsid w:val="001357AD"/>
    <w:rsid w:val="001365B6"/>
    <w:rsid w:val="001369FD"/>
    <w:rsid w:val="00137EBA"/>
    <w:rsid w:val="00137FBC"/>
    <w:rsid w:val="00140921"/>
    <w:rsid w:val="00141DEA"/>
    <w:rsid w:val="00142AE8"/>
    <w:rsid w:val="00143E4B"/>
    <w:rsid w:val="00143EB9"/>
    <w:rsid w:val="00144208"/>
    <w:rsid w:val="00144871"/>
    <w:rsid w:val="00145EDC"/>
    <w:rsid w:val="00147723"/>
    <w:rsid w:val="001503E0"/>
    <w:rsid w:val="00150DD0"/>
    <w:rsid w:val="00151AFC"/>
    <w:rsid w:val="00152085"/>
    <w:rsid w:val="00152829"/>
    <w:rsid w:val="001528F1"/>
    <w:rsid w:val="00152944"/>
    <w:rsid w:val="0015335C"/>
    <w:rsid w:val="00154179"/>
    <w:rsid w:val="00155010"/>
    <w:rsid w:val="00155F1D"/>
    <w:rsid w:val="00157341"/>
    <w:rsid w:val="001577B2"/>
    <w:rsid w:val="00157A9F"/>
    <w:rsid w:val="001600A4"/>
    <w:rsid w:val="0016108B"/>
    <w:rsid w:val="00161150"/>
    <w:rsid w:val="00161160"/>
    <w:rsid w:val="0016186F"/>
    <w:rsid w:val="00162AAD"/>
    <w:rsid w:val="00162CEF"/>
    <w:rsid w:val="001638DF"/>
    <w:rsid w:val="0016440B"/>
    <w:rsid w:val="001644FC"/>
    <w:rsid w:val="0016465A"/>
    <w:rsid w:val="00166F26"/>
    <w:rsid w:val="00167A34"/>
    <w:rsid w:val="0017088C"/>
    <w:rsid w:val="00170952"/>
    <w:rsid w:val="00170976"/>
    <w:rsid w:val="001710D1"/>
    <w:rsid w:val="00171725"/>
    <w:rsid w:val="001733D5"/>
    <w:rsid w:val="0017348C"/>
    <w:rsid w:val="001739DA"/>
    <w:rsid w:val="001739F5"/>
    <w:rsid w:val="001741DD"/>
    <w:rsid w:val="001747B4"/>
    <w:rsid w:val="00174911"/>
    <w:rsid w:val="00174F72"/>
    <w:rsid w:val="00175827"/>
    <w:rsid w:val="0017635E"/>
    <w:rsid w:val="0017642E"/>
    <w:rsid w:val="0018037F"/>
    <w:rsid w:val="001805B4"/>
    <w:rsid w:val="00180D3C"/>
    <w:rsid w:val="00180E3B"/>
    <w:rsid w:val="001810E2"/>
    <w:rsid w:val="00181186"/>
    <w:rsid w:val="001819A8"/>
    <w:rsid w:val="00181B73"/>
    <w:rsid w:val="00182F27"/>
    <w:rsid w:val="00182FB6"/>
    <w:rsid w:val="00184083"/>
    <w:rsid w:val="00184BFA"/>
    <w:rsid w:val="00184C6F"/>
    <w:rsid w:val="00187268"/>
    <w:rsid w:val="00187CED"/>
    <w:rsid w:val="00190214"/>
    <w:rsid w:val="001917D9"/>
    <w:rsid w:val="00191C42"/>
    <w:rsid w:val="00191F07"/>
    <w:rsid w:val="0019332D"/>
    <w:rsid w:val="001937A5"/>
    <w:rsid w:val="00195976"/>
    <w:rsid w:val="001965CC"/>
    <w:rsid w:val="0019748D"/>
    <w:rsid w:val="001A0225"/>
    <w:rsid w:val="001A1776"/>
    <w:rsid w:val="001A2310"/>
    <w:rsid w:val="001A2434"/>
    <w:rsid w:val="001A3A62"/>
    <w:rsid w:val="001A5F27"/>
    <w:rsid w:val="001A6423"/>
    <w:rsid w:val="001A64EB"/>
    <w:rsid w:val="001A67D1"/>
    <w:rsid w:val="001A7439"/>
    <w:rsid w:val="001A7870"/>
    <w:rsid w:val="001A7EDC"/>
    <w:rsid w:val="001B17B9"/>
    <w:rsid w:val="001B3279"/>
    <w:rsid w:val="001B4974"/>
    <w:rsid w:val="001B56BC"/>
    <w:rsid w:val="001B5F45"/>
    <w:rsid w:val="001B71B2"/>
    <w:rsid w:val="001B7BA1"/>
    <w:rsid w:val="001C04BF"/>
    <w:rsid w:val="001C0C9B"/>
    <w:rsid w:val="001C1B41"/>
    <w:rsid w:val="001C2003"/>
    <w:rsid w:val="001C2173"/>
    <w:rsid w:val="001C3032"/>
    <w:rsid w:val="001C38BC"/>
    <w:rsid w:val="001C3B2D"/>
    <w:rsid w:val="001C4006"/>
    <w:rsid w:val="001C48AF"/>
    <w:rsid w:val="001C4E97"/>
    <w:rsid w:val="001C5228"/>
    <w:rsid w:val="001C6025"/>
    <w:rsid w:val="001C68E7"/>
    <w:rsid w:val="001C6E0E"/>
    <w:rsid w:val="001C6F52"/>
    <w:rsid w:val="001D1343"/>
    <w:rsid w:val="001D1A17"/>
    <w:rsid w:val="001D1FC1"/>
    <w:rsid w:val="001D2946"/>
    <w:rsid w:val="001D328C"/>
    <w:rsid w:val="001D41FC"/>
    <w:rsid w:val="001D4913"/>
    <w:rsid w:val="001D4D75"/>
    <w:rsid w:val="001D59B1"/>
    <w:rsid w:val="001D5E5E"/>
    <w:rsid w:val="001D7B45"/>
    <w:rsid w:val="001E0270"/>
    <w:rsid w:val="001E10CA"/>
    <w:rsid w:val="001E2867"/>
    <w:rsid w:val="001E3060"/>
    <w:rsid w:val="001E3F3E"/>
    <w:rsid w:val="001E477E"/>
    <w:rsid w:val="001E4D7D"/>
    <w:rsid w:val="001E52D7"/>
    <w:rsid w:val="001E53FB"/>
    <w:rsid w:val="001E555D"/>
    <w:rsid w:val="001E5A1A"/>
    <w:rsid w:val="001E5F04"/>
    <w:rsid w:val="001E699E"/>
    <w:rsid w:val="001E6A1A"/>
    <w:rsid w:val="001E6C37"/>
    <w:rsid w:val="001F0B72"/>
    <w:rsid w:val="001F3B00"/>
    <w:rsid w:val="001F3CD7"/>
    <w:rsid w:val="001F3D15"/>
    <w:rsid w:val="001F4294"/>
    <w:rsid w:val="001F62D9"/>
    <w:rsid w:val="001F76BD"/>
    <w:rsid w:val="001F79C0"/>
    <w:rsid w:val="00200BBE"/>
    <w:rsid w:val="0020134D"/>
    <w:rsid w:val="00201F31"/>
    <w:rsid w:val="002027D1"/>
    <w:rsid w:val="00202A19"/>
    <w:rsid w:val="00203307"/>
    <w:rsid w:val="00203653"/>
    <w:rsid w:val="00203841"/>
    <w:rsid w:val="00204924"/>
    <w:rsid w:val="00204DFD"/>
    <w:rsid w:val="002056C8"/>
    <w:rsid w:val="0020667C"/>
    <w:rsid w:val="00207544"/>
    <w:rsid w:val="0021055A"/>
    <w:rsid w:val="00210E0E"/>
    <w:rsid w:val="00211A8A"/>
    <w:rsid w:val="00212CAA"/>
    <w:rsid w:val="00213A12"/>
    <w:rsid w:val="00213A2F"/>
    <w:rsid w:val="0021591D"/>
    <w:rsid w:val="00215CE2"/>
    <w:rsid w:val="002170B5"/>
    <w:rsid w:val="00217D6A"/>
    <w:rsid w:val="00217FF0"/>
    <w:rsid w:val="00220055"/>
    <w:rsid w:val="0022169F"/>
    <w:rsid w:val="00222050"/>
    <w:rsid w:val="002226AA"/>
    <w:rsid w:val="00223245"/>
    <w:rsid w:val="002240FB"/>
    <w:rsid w:val="00225375"/>
    <w:rsid w:val="002256AE"/>
    <w:rsid w:val="002277C3"/>
    <w:rsid w:val="00227BDB"/>
    <w:rsid w:val="0023061B"/>
    <w:rsid w:val="00231CD1"/>
    <w:rsid w:val="002351E7"/>
    <w:rsid w:val="00236FA5"/>
    <w:rsid w:val="0024070A"/>
    <w:rsid w:val="00241361"/>
    <w:rsid w:val="00241B9E"/>
    <w:rsid w:val="0024247E"/>
    <w:rsid w:val="0024379B"/>
    <w:rsid w:val="00244726"/>
    <w:rsid w:val="002449BB"/>
    <w:rsid w:val="00245446"/>
    <w:rsid w:val="00246E7D"/>
    <w:rsid w:val="00247019"/>
    <w:rsid w:val="002470B2"/>
    <w:rsid w:val="0024722E"/>
    <w:rsid w:val="00247403"/>
    <w:rsid w:val="00247542"/>
    <w:rsid w:val="00247592"/>
    <w:rsid w:val="00250662"/>
    <w:rsid w:val="00250B61"/>
    <w:rsid w:val="00250F0E"/>
    <w:rsid w:val="00250F42"/>
    <w:rsid w:val="00252C93"/>
    <w:rsid w:val="00252FB1"/>
    <w:rsid w:val="00253096"/>
    <w:rsid w:val="00253F1B"/>
    <w:rsid w:val="00255140"/>
    <w:rsid w:val="002552DF"/>
    <w:rsid w:val="0025532E"/>
    <w:rsid w:val="00255475"/>
    <w:rsid w:val="00255759"/>
    <w:rsid w:val="00256677"/>
    <w:rsid w:val="00256813"/>
    <w:rsid w:val="00256D45"/>
    <w:rsid w:val="00257614"/>
    <w:rsid w:val="00257893"/>
    <w:rsid w:val="0026109F"/>
    <w:rsid w:val="0026154C"/>
    <w:rsid w:val="002626A2"/>
    <w:rsid w:val="002626F5"/>
    <w:rsid w:val="00262CC1"/>
    <w:rsid w:val="00262ECA"/>
    <w:rsid w:val="00263B2B"/>
    <w:rsid w:val="00264033"/>
    <w:rsid w:val="00264225"/>
    <w:rsid w:val="00264870"/>
    <w:rsid w:val="00264944"/>
    <w:rsid w:val="00266092"/>
    <w:rsid w:val="002669F0"/>
    <w:rsid w:val="00266B61"/>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3645"/>
    <w:rsid w:val="00273817"/>
    <w:rsid w:val="00274F86"/>
    <w:rsid w:val="00275FC9"/>
    <w:rsid w:val="00276C31"/>
    <w:rsid w:val="0028111A"/>
    <w:rsid w:val="00283851"/>
    <w:rsid w:val="00283909"/>
    <w:rsid w:val="00284E33"/>
    <w:rsid w:val="00284E86"/>
    <w:rsid w:val="002869C6"/>
    <w:rsid w:val="00287642"/>
    <w:rsid w:val="00287680"/>
    <w:rsid w:val="00290094"/>
    <w:rsid w:val="00291C7D"/>
    <w:rsid w:val="00291D28"/>
    <w:rsid w:val="00292239"/>
    <w:rsid w:val="00292CEC"/>
    <w:rsid w:val="00292E86"/>
    <w:rsid w:val="0029397E"/>
    <w:rsid w:val="00293AEB"/>
    <w:rsid w:val="00293B75"/>
    <w:rsid w:val="0029466E"/>
    <w:rsid w:val="00294727"/>
    <w:rsid w:val="00294B4A"/>
    <w:rsid w:val="00294FA9"/>
    <w:rsid w:val="0029518F"/>
    <w:rsid w:val="0029615A"/>
    <w:rsid w:val="002963E4"/>
    <w:rsid w:val="0029715B"/>
    <w:rsid w:val="00297288"/>
    <w:rsid w:val="002972C2"/>
    <w:rsid w:val="0029754B"/>
    <w:rsid w:val="00297D44"/>
    <w:rsid w:val="002A00C2"/>
    <w:rsid w:val="002A036F"/>
    <w:rsid w:val="002A05B1"/>
    <w:rsid w:val="002A1C6E"/>
    <w:rsid w:val="002A1D6A"/>
    <w:rsid w:val="002A24D4"/>
    <w:rsid w:val="002A2720"/>
    <w:rsid w:val="002A2E09"/>
    <w:rsid w:val="002A3CD5"/>
    <w:rsid w:val="002A50B1"/>
    <w:rsid w:val="002A733A"/>
    <w:rsid w:val="002A7A01"/>
    <w:rsid w:val="002B008D"/>
    <w:rsid w:val="002B01A2"/>
    <w:rsid w:val="002B0BE7"/>
    <w:rsid w:val="002B110C"/>
    <w:rsid w:val="002B1184"/>
    <w:rsid w:val="002B2AB5"/>
    <w:rsid w:val="002B30E6"/>
    <w:rsid w:val="002B3E05"/>
    <w:rsid w:val="002B4B61"/>
    <w:rsid w:val="002B5F8A"/>
    <w:rsid w:val="002C10D7"/>
    <w:rsid w:val="002C1641"/>
    <w:rsid w:val="002C1EB3"/>
    <w:rsid w:val="002C3312"/>
    <w:rsid w:val="002C3671"/>
    <w:rsid w:val="002C3D66"/>
    <w:rsid w:val="002C4070"/>
    <w:rsid w:val="002C53A9"/>
    <w:rsid w:val="002C58D2"/>
    <w:rsid w:val="002C5A89"/>
    <w:rsid w:val="002C5EC4"/>
    <w:rsid w:val="002C6169"/>
    <w:rsid w:val="002D033F"/>
    <w:rsid w:val="002D0ED4"/>
    <w:rsid w:val="002D1C82"/>
    <w:rsid w:val="002D45C2"/>
    <w:rsid w:val="002D4CA0"/>
    <w:rsid w:val="002D51E2"/>
    <w:rsid w:val="002D52BE"/>
    <w:rsid w:val="002D628F"/>
    <w:rsid w:val="002D6C75"/>
    <w:rsid w:val="002D6E69"/>
    <w:rsid w:val="002D7DC4"/>
    <w:rsid w:val="002D7EA2"/>
    <w:rsid w:val="002E03A4"/>
    <w:rsid w:val="002E10DC"/>
    <w:rsid w:val="002E15DF"/>
    <w:rsid w:val="002E187C"/>
    <w:rsid w:val="002E18E3"/>
    <w:rsid w:val="002E1CDE"/>
    <w:rsid w:val="002E21F2"/>
    <w:rsid w:val="002E2451"/>
    <w:rsid w:val="002E299B"/>
    <w:rsid w:val="002E349E"/>
    <w:rsid w:val="002E35D7"/>
    <w:rsid w:val="002E3C15"/>
    <w:rsid w:val="002E432F"/>
    <w:rsid w:val="002E4F78"/>
    <w:rsid w:val="002E61E7"/>
    <w:rsid w:val="002E6267"/>
    <w:rsid w:val="002E6465"/>
    <w:rsid w:val="002E6E57"/>
    <w:rsid w:val="002E755E"/>
    <w:rsid w:val="002E78C1"/>
    <w:rsid w:val="002E7E79"/>
    <w:rsid w:val="002F097A"/>
    <w:rsid w:val="002F0CB4"/>
    <w:rsid w:val="002F15EA"/>
    <w:rsid w:val="002F17C9"/>
    <w:rsid w:val="002F1B00"/>
    <w:rsid w:val="002F1D34"/>
    <w:rsid w:val="002F2D41"/>
    <w:rsid w:val="002F2E1F"/>
    <w:rsid w:val="002F3202"/>
    <w:rsid w:val="002F3554"/>
    <w:rsid w:val="002F3598"/>
    <w:rsid w:val="002F35CB"/>
    <w:rsid w:val="002F3D27"/>
    <w:rsid w:val="002F414B"/>
    <w:rsid w:val="002F443F"/>
    <w:rsid w:val="002F4DB7"/>
    <w:rsid w:val="002F503E"/>
    <w:rsid w:val="002F5E45"/>
    <w:rsid w:val="002F6201"/>
    <w:rsid w:val="002F63D9"/>
    <w:rsid w:val="002F6C1E"/>
    <w:rsid w:val="002F6ECD"/>
    <w:rsid w:val="002F7284"/>
    <w:rsid w:val="002F7B0F"/>
    <w:rsid w:val="00301075"/>
    <w:rsid w:val="00301B3D"/>
    <w:rsid w:val="00301F71"/>
    <w:rsid w:val="00302733"/>
    <w:rsid w:val="00302E8A"/>
    <w:rsid w:val="00303707"/>
    <w:rsid w:val="00303B04"/>
    <w:rsid w:val="0030446B"/>
    <w:rsid w:val="00304BDA"/>
    <w:rsid w:val="00304EED"/>
    <w:rsid w:val="0030600F"/>
    <w:rsid w:val="00306D2A"/>
    <w:rsid w:val="00307C53"/>
    <w:rsid w:val="00307C8D"/>
    <w:rsid w:val="00310042"/>
    <w:rsid w:val="003112C6"/>
    <w:rsid w:val="00311A4F"/>
    <w:rsid w:val="00313332"/>
    <w:rsid w:val="00314078"/>
    <w:rsid w:val="00314429"/>
    <w:rsid w:val="00315905"/>
    <w:rsid w:val="00316559"/>
    <w:rsid w:val="0031724D"/>
    <w:rsid w:val="00317255"/>
    <w:rsid w:val="00317E8A"/>
    <w:rsid w:val="00317FFC"/>
    <w:rsid w:val="00320402"/>
    <w:rsid w:val="00320A64"/>
    <w:rsid w:val="00321A96"/>
    <w:rsid w:val="00322398"/>
    <w:rsid w:val="00322450"/>
    <w:rsid w:val="003241CF"/>
    <w:rsid w:val="003245A7"/>
    <w:rsid w:val="003246B5"/>
    <w:rsid w:val="003249CF"/>
    <w:rsid w:val="003265BE"/>
    <w:rsid w:val="003267B5"/>
    <w:rsid w:val="00326FBD"/>
    <w:rsid w:val="00327501"/>
    <w:rsid w:val="00330196"/>
    <w:rsid w:val="00330B23"/>
    <w:rsid w:val="00330E0E"/>
    <w:rsid w:val="0033161A"/>
    <w:rsid w:val="00331687"/>
    <w:rsid w:val="0033169F"/>
    <w:rsid w:val="00332152"/>
    <w:rsid w:val="003330D2"/>
    <w:rsid w:val="00336085"/>
    <w:rsid w:val="0033706A"/>
    <w:rsid w:val="00337546"/>
    <w:rsid w:val="003378E0"/>
    <w:rsid w:val="00337961"/>
    <w:rsid w:val="00337C43"/>
    <w:rsid w:val="003407E0"/>
    <w:rsid w:val="00340A95"/>
    <w:rsid w:val="003410A6"/>
    <w:rsid w:val="003414AC"/>
    <w:rsid w:val="003414E6"/>
    <w:rsid w:val="00342070"/>
    <w:rsid w:val="00342AF4"/>
    <w:rsid w:val="0034357F"/>
    <w:rsid w:val="003447BB"/>
    <w:rsid w:val="00344B38"/>
    <w:rsid w:val="003464A2"/>
    <w:rsid w:val="00346770"/>
    <w:rsid w:val="00346D16"/>
    <w:rsid w:val="00347742"/>
    <w:rsid w:val="0034794C"/>
    <w:rsid w:val="00347AF6"/>
    <w:rsid w:val="00350BB3"/>
    <w:rsid w:val="003520F3"/>
    <w:rsid w:val="0035485A"/>
    <w:rsid w:val="00355779"/>
    <w:rsid w:val="00356185"/>
    <w:rsid w:val="00357206"/>
    <w:rsid w:val="0035777A"/>
    <w:rsid w:val="00357C4D"/>
    <w:rsid w:val="00357D78"/>
    <w:rsid w:val="00360380"/>
    <w:rsid w:val="0036137D"/>
    <w:rsid w:val="00361744"/>
    <w:rsid w:val="00361EB7"/>
    <w:rsid w:val="003627DA"/>
    <w:rsid w:val="00362FE0"/>
    <w:rsid w:val="0036346A"/>
    <w:rsid w:val="00365545"/>
    <w:rsid w:val="00365D52"/>
    <w:rsid w:val="00366182"/>
    <w:rsid w:val="00366924"/>
    <w:rsid w:val="00366DBE"/>
    <w:rsid w:val="00366FA7"/>
    <w:rsid w:val="00367444"/>
    <w:rsid w:val="003675B8"/>
    <w:rsid w:val="00370DD4"/>
    <w:rsid w:val="003712A0"/>
    <w:rsid w:val="003712A7"/>
    <w:rsid w:val="00371EFD"/>
    <w:rsid w:val="003726A4"/>
    <w:rsid w:val="00372C5E"/>
    <w:rsid w:val="00372F8E"/>
    <w:rsid w:val="00373790"/>
    <w:rsid w:val="003741EF"/>
    <w:rsid w:val="003745F9"/>
    <w:rsid w:val="00374940"/>
    <w:rsid w:val="003750C8"/>
    <w:rsid w:val="003759D2"/>
    <w:rsid w:val="00376244"/>
    <w:rsid w:val="003763A9"/>
    <w:rsid w:val="00377AD8"/>
    <w:rsid w:val="00380645"/>
    <w:rsid w:val="00380A1D"/>
    <w:rsid w:val="00380B68"/>
    <w:rsid w:val="00380ECF"/>
    <w:rsid w:val="0038209A"/>
    <w:rsid w:val="00382403"/>
    <w:rsid w:val="00382598"/>
    <w:rsid w:val="00382B98"/>
    <w:rsid w:val="00382CE7"/>
    <w:rsid w:val="0038330F"/>
    <w:rsid w:val="00383EEB"/>
    <w:rsid w:val="00384072"/>
    <w:rsid w:val="0038421B"/>
    <w:rsid w:val="00385B08"/>
    <w:rsid w:val="00386CF0"/>
    <w:rsid w:val="00386FEA"/>
    <w:rsid w:val="00387480"/>
    <w:rsid w:val="003902B2"/>
    <w:rsid w:val="0039046B"/>
    <w:rsid w:val="0039061F"/>
    <w:rsid w:val="00390A8A"/>
    <w:rsid w:val="00390D19"/>
    <w:rsid w:val="00391CD8"/>
    <w:rsid w:val="00392C2B"/>
    <w:rsid w:val="00392FEA"/>
    <w:rsid w:val="00393C8E"/>
    <w:rsid w:val="00394608"/>
    <w:rsid w:val="0039471C"/>
    <w:rsid w:val="00394A5D"/>
    <w:rsid w:val="003954CE"/>
    <w:rsid w:val="00396106"/>
    <w:rsid w:val="003964BF"/>
    <w:rsid w:val="00397B1B"/>
    <w:rsid w:val="003A187E"/>
    <w:rsid w:val="003A1AE3"/>
    <w:rsid w:val="003A27F4"/>
    <w:rsid w:val="003A2DC1"/>
    <w:rsid w:val="003A3C43"/>
    <w:rsid w:val="003A4790"/>
    <w:rsid w:val="003A485E"/>
    <w:rsid w:val="003A4B42"/>
    <w:rsid w:val="003A527A"/>
    <w:rsid w:val="003A6019"/>
    <w:rsid w:val="003A632E"/>
    <w:rsid w:val="003A71F1"/>
    <w:rsid w:val="003A7BFE"/>
    <w:rsid w:val="003B10C0"/>
    <w:rsid w:val="003B13EE"/>
    <w:rsid w:val="003B2C5F"/>
    <w:rsid w:val="003B2C86"/>
    <w:rsid w:val="003B349D"/>
    <w:rsid w:val="003B3E94"/>
    <w:rsid w:val="003B5C8C"/>
    <w:rsid w:val="003B63A0"/>
    <w:rsid w:val="003B640E"/>
    <w:rsid w:val="003B6423"/>
    <w:rsid w:val="003B6609"/>
    <w:rsid w:val="003B66DC"/>
    <w:rsid w:val="003B6950"/>
    <w:rsid w:val="003C1E38"/>
    <w:rsid w:val="003C32BC"/>
    <w:rsid w:val="003C3722"/>
    <w:rsid w:val="003C3FC6"/>
    <w:rsid w:val="003C4BC0"/>
    <w:rsid w:val="003C54AD"/>
    <w:rsid w:val="003C6480"/>
    <w:rsid w:val="003C7061"/>
    <w:rsid w:val="003C7271"/>
    <w:rsid w:val="003D0A3F"/>
    <w:rsid w:val="003D0C05"/>
    <w:rsid w:val="003D0CF4"/>
    <w:rsid w:val="003D0D3E"/>
    <w:rsid w:val="003D1390"/>
    <w:rsid w:val="003D1B14"/>
    <w:rsid w:val="003D1E49"/>
    <w:rsid w:val="003D2871"/>
    <w:rsid w:val="003D28BB"/>
    <w:rsid w:val="003D2C7F"/>
    <w:rsid w:val="003D3435"/>
    <w:rsid w:val="003D3507"/>
    <w:rsid w:val="003D3CD4"/>
    <w:rsid w:val="003D3E1C"/>
    <w:rsid w:val="003D40A7"/>
    <w:rsid w:val="003D4A67"/>
    <w:rsid w:val="003D5176"/>
    <w:rsid w:val="003D51A2"/>
    <w:rsid w:val="003D5A38"/>
    <w:rsid w:val="003D5CD7"/>
    <w:rsid w:val="003D5F18"/>
    <w:rsid w:val="003D640B"/>
    <w:rsid w:val="003D79BC"/>
    <w:rsid w:val="003E06A3"/>
    <w:rsid w:val="003E0852"/>
    <w:rsid w:val="003E1FEC"/>
    <w:rsid w:val="003E2564"/>
    <w:rsid w:val="003E366F"/>
    <w:rsid w:val="003E3DD2"/>
    <w:rsid w:val="003E4D93"/>
    <w:rsid w:val="003E4E8A"/>
    <w:rsid w:val="003E520F"/>
    <w:rsid w:val="003E60B8"/>
    <w:rsid w:val="003E65E7"/>
    <w:rsid w:val="003E68BB"/>
    <w:rsid w:val="003E6FB6"/>
    <w:rsid w:val="003E70A6"/>
    <w:rsid w:val="003E70EF"/>
    <w:rsid w:val="003E7380"/>
    <w:rsid w:val="003F0153"/>
    <w:rsid w:val="003F03FA"/>
    <w:rsid w:val="003F0B2B"/>
    <w:rsid w:val="003F1230"/>
    <w:rsid w:val="003F1820"/>
    <w:rsid w:val="003F1BBF"/>
    <w:rsid w:val="003F2D46"/>
    <w:rsid w:val="003F6707"/>
    <w:rsid w:val="003F7001"/>
    <w:rsid w:val="003F7161"/>
    <w:rsid w:val="004003A5"/>
    <w:rsid w:val="00400E6B"/>
    <w:rsid w:val="00400EA4"/>
    <w:rsid w:val="004010E9"/>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3B37"/>
    <w:rsid w:val="004142F6"/>
    <w:rsid w:val="004155D1"/>
    <w:rsid w:val="00415804"/>
    <w:rsid w:val="00415BAE"/>
    <w:rsid w:val="004165C2"/>
    <w:rsid w:val="00417263"/>
    <w:rsid w:val="00417356"/>
    <w:rsid w:val="0041797E"/>
    <w:rsid w:val="00417E33"/>
    <w:rsid w:val="00421ECF"/>
    <w:rsid w:val="0042334E"/>
    <w:rsid w:val="00423909"/>
    <w:rsid w:val="00425BA4"/>
    <w:rsid w:val="0042692E"/>
    <w:rsid w:val="00426A93"/>
    <w:rsid w:val="00426DB7"/>
    <w:rsid w:val="00427406"/>
    <w:rsid w:val="00427487"/>
    <w:rsid w:val="0042749C"/>
    <w:rsid w:val="00427B63"/>
    <w:rsid w:val="00427C8F"/>
    <w:rsid w:val="00431C20"/>
    <w:rsid w:val="00432731"/>
    <w:rsid w:val="00433039"/>
    <w:rsid w:val="004332C3"/>
    <w:rsid w:val="00433505"/>
    <w:rsid w:val="0043404D"/>
    <w:rsid w:val="00436C66"/>
    <w:rsid w:val="004413C0"/>
    <w:rsid w:val="00441954"/>
    <w:rsid w:val="00441D48"/>
    <w:rsid w:val="00443E6F"/>
    <w:rsid w:val="00444596"/>
    <w:rsid w:val="00445B43"/>
    <w:rsid w:val="00445C74"/>
    <w:rsid w:val="00446259"/>
    <w:rsid w:val="0044656D"/>
    <w:rsid w:val="00446F15"/>
    <w:rsid w:val="0044706E"/>
    <w:rsid w:val="00447468"/>
    <w:rsid w:val="00447B8F"/>
    <w:rsid w:val="00450A4A"/>
    <w:rsid w:val="00450C5A"/>
    <w:rsid w:val="00450D96"/>
    <w:rsid w:val="00451A25"/>
    <w:rsid w:val="00451E96"/>
    <w:rsid w:val="00452DAB"/>
    <w:rsid w:val="00453073"/>
    <w:rsid w:val="00453466"/>
    <w:rsid w:val="00453D04"/>
    <w:rsid w:val="00454492"/>
    <w:rsid w:val="0045481D"/>
    <w:rsid w:val="00455165"/>
    <w:rsid w:val="0045524E"/>
    <w:rsid w:val="00457228"/>
    <w:rsid w:val="00457B89"/>
    <w:rsid w:val="004600B9"/>
    <w:rsid w:val="00460177"/>
    <w:rsid w:val="0046041C"/>
    <w:rsid w:val="0046072C"/>
    <w:rsid w:val="00460C26"/>
    <w:rsid w:val="004613B3"/>
    <w:rsid w:val="0046208F"/>
    <w:rsid w:val="00462248"/>
    <w:rsid w:val="00462781"/>
    <w:rsid w:val="00462F9A"/>
    <w:rsid w:val="004630F5"/>
    <w:rsid w:val="004641C1"/>
    <w:rsid w:val="004642EF"/>
    <w:rsid w:val="0046574C"/>
    <w:rsid w:val="004658D0"/>
    <w:rsid w:val="004660D1"/>
    <w:rsid w:val="0046622A"/>
    <w:rsid w:val="004666FB"/>
    <w:rsid w:val="00467542"/>
    <w:rsid w:val="00467B7E"/>
    <w:rsid w:val="00467CF1"/>
    <w:rsid w:val="0047006D"/>
    <w:rsid w:val="00471927"/>
    <w:rsid w:val="00471BC8"/>
    <w:rsid w:val="004730AF"/>
    <w:rsid w:val="00473463"/>
    <w:rsid w:val="00474D97"/>
    <w:rsid w:val="00476B10"/>
    <w:rsid w:val="00477BE3"/>
    <w:rsid w:val="00477C46"/>
    <w:rsid w:val="00477D29"/>
    <w:rsid w:val="0048119E"/>
    <w:rsid w:val="00481C1F"/>
    <w:rsid w:val="00482208"/>
    <w:rsid w:val="00482528"/>
    <w:rsid w:val="00482644"/>
    <w:rsid w:val="00483146"/>
    <w:rsid w:val="004831F1"/>
    <w:rsid w:val="00483697"/>
    <w:rsid w:val="00483974"/>
    <w:rsid w:val="00483B03"/>
    <w:rsid w:val="00483D9E"/>
    <w:rsid w:val="00484B2F"/>
    <w:rsid w:val="00484F80"/>
    <w:rsid w:val="004850C2"/>
    <w:rsid w:val="00486A15"/>
    <w:rsid w:val="00486D1F"/>
    <w:rsid w:val="0048701C"/>
    <w:rsid w:val="00487254"/>
    <w:rsid w:val="004907E1"/>
    <w:rsid w:val="00490BE7"/>
    <w:rsid w:val="00490C98"/>
    <w:rsid w:val="00490FC7"/>
    <w:rsid w:val="00493004"/>
    <w:rsid w:val="00493649"/>
    <w:rsid w:val="0049419D"/>
    <w:rsid w:val="00495029"/>
    <w:rsid w:val="00495396"/>
    <w:rsid w:val="00495CD7"/>
    <w:rsid w:val="004962B8"/>
    <w:rsid w:val="00496687"/>
    <w:rsid w:val="00496C69"/>
    <w:rsid w:val="00496DBC"/>
    <w:rsid w:val="0049749D"/>
    <w:rsid w:val="004977D3"/>
    <w:rsid w:val="00497D2C"/>
    <w:rsid w:val="00497D68"/>
    <w:rsid w:val="004A0977"/>
    <w:rsid w:val="004A17A5"/>
    <w:rsid w:val="004A1B66"/>
    <w:rsid w:val="004A1EEA"/>
    <w:rsid w:val="004A2B9D"/>
    <w:rsid w:val="004A37A5"/>
    <w:rsid w:val="004A3806"/>
    <w:rsid w:val="004A3DC4"/>
    <w:rsid w:val="004A4A3E"/>
    <w:rsid w:val="004A4DB0"/>
    <w:rsid w:val="004A514F"/>
    <w:rsid w:val="004A7B58"/>
    <w:rsid w:val="004B0888"/>
    <w:rsid w:val="004B20D9"/>
    <w:rsid w:val="004B2762"/>
    <w:rsid w:val="004B2DE8"/>
    <w:rsid w:val="004B388C"/>
    <w:rsid w:val="004B40A9"/>
    <w:rsid w:val="004B417A"/>
    <w:rsid w:val="004B45B7"/>
    <w:rsid w:val="004B4E6F"/>
    <w:rsid w:val="004B62CE"/>
    <w:rsid w:val="004B7EB6"/>
    <w:rsid w:val="004C0FE4"/>
    <w:rsid w:val="004C127B"/>
    <w:rsid w:val="004C17B4"/>
    <w:rsid w:val="004C3B13"/>
    <w:rsid w:val="004C4474"/>
    <w:rsid w:val="004C4A47"/>
    <w:rsid w:val="004C4B62"/>
    <w:rsid w:val="004C599D"/>
    <w:rsid w:val="004C5FC3"/>
    <w:rsid w:val="004C68B8"/>
    <w:rsid w:val="004C6FAC"/>
    <w:rsid w:val="004C7257"/>
    <w:rsid w:val="004C758F"/>
    <w:rsid w:val="004C77DC"/>
    <w:rsid w:val="004C7EE2"/>
    <w:rsid w:val="004D0229"/>
    <w:rsid w:val="004D37B1"/>
    <w:rsid w:val="004D4782"/>
    <w:rsid w:val="004D4A6A"/>
    <w:rsid w:val="004D4D1B"/>
    <w:rsid w:val="004D5088"/>
    <w:rsid w:val="004D6025"/>
    <w:rsid w:val="004D657F"/>
    <w:rsid w:val="004D72BC"/>
    <w:rsid w:val="004D78B4"/>
    <w:rsid w:val="004E2452"/>
    <w:rsid w:val="004E3A16"/>
    <w:rsid w:val="004E4761"/>
    <w:rsid w:val="004E6B90"/>
    <w:rsid w:val="004E6C9C"/>
    <w:rsid w:val="004E7FF7"/>
    <w:rsid w:val="004F04A5"/>
    <w:rsid w:val="004F0842"/>
    <w:rsid w:val="004F15C4"/>
    <w:rsid w:val="004F16E8"/>
    <w:rsid w:val="004F1DAD"/>
    <w:rsid w:val="004F21CF"/>
    <w:rsid w:val="004F2694"/>
    <w:rsid w:val="004F2FC4"/>
    <w:rsid w:val="004F37CA"/>
    <w:rsid w:val="004F3905"/>
    <w:rsid w:val="004F441A"/>
    <w:rsid w:val="004F455B"/>
    <w:rsid w:val="004F4C1C"/>
    <w:rsid w:val="004F530D"/>
    <w:rsid w:val="004F5466"/>
    <w:rsid w:val="004F6949"/>
    <w:rsid w:val="004F69EA"/>
    <w:rsid w:val="004F69ED"/>
    <w:rsid w:val="004F73E5"/>
    <w:rsid w:val="004F7B27"/>
    <w:rsid w:val="005008C7"/>
    <w:rsid w:val="0050128F"/>
    <w:rsid w:val="00501399"/>
    <w:rsid w:val="00501DFB"/>
    <w:rsid w:val="005028FE"/>
    <w:rsid w:val="00502E35"/>
    <w:rsid w:val="00503C4C"/>
    <w:rsid w:val="0050536C"/>
    <w:rsid w:val="00505B63"/>
    <w:rsid w:val="005066A4"/>
    <w:rsid w:val="005068B0"/>
    <w:rsid w:val="00506C98"/>
    <w:rsid w:val="00507534"/>
    <w:rsid w:val="00507BC4"/>
    <w:rsid w:val="00510311"/>
    <w:rsid w:val="005128E4"/>
    <w:rsid w:val="00512A35"/>
    <w:rsid w:val="00513229"/>
    <w:rsid w:val="005134DB"/>
    <w:rsid w:val="005152B7"/>
    <w:rsid w:val="0051637B"/>
    <w:rsid w:val="00516BBE"/>
    <w:rsid w:val="00516C89"/>
    <w:rsid w:val="00521909"/>
    <w:rsid w:val="00521D9B"/>
    <w:rsid w:val="005223AF"/>
    <w:rsid w:val="00522E6E"/>
    <w:rsid w:val="00523977"/>
    <w:rsid w:val="0052411B"/>
    <w:rsid w:val="00524268"/>
    <w:rsid w:val="00524416"/>
    <w:rsid w:val="00524748"/>
    <w:rsid w:val="00525278"/>
    <w:rsid w:val="00525560"/>
    <w:rsid w:val="00525C32"/>
    <w:rsid w:val="00525F05"/>
    <w:rsid w:val="00526204"/>
    <w:rsid w:val="00526215"/>
    <w:rsid w:val="005267AC"/>
    <w:rsid w:val="00526B7D"/>
    <w:rsid w:val="00527461"/>
    <w:rsid w:val="00530295"/>
    <w:rsid w:val="00530B2B"/>
    <w:rsid w:val="00531008"/>
    <w:rsid w:val="0053187E"/>
    <w:rsid w:val="005325F6"/>
    <w:rsid w:val="00532F64"/>
    <w:rsid w:val="00533CF3"/>
    <w:rsid w:val="005343C0"/>
    <w:rsid w:val="005346E1"/>
    <w:rsid w:val="005348AB"/>
    <w:rsid w:val="00535135"/>
    <w:rsid w:val="005357A6"/>
    <w:rsid w:val="0053592E"/>
    <w:rsid w:val="00535FF9"/>
    <w:rsid w:val="005366E5"/>
    <w:rsid w:val="005367D0"/>
    <w:rsid w:val="00536848"/>
    <w:rsid w:val="00536B9E"/>
    <w:rsid w:val="005401F2"/>
    <w:rsid w:val="00540AEC"/>
    <w:rsid w:val="0054113A"/>
    <w:rsid w:val="00541B01"/>
    <w:rsid w:val="005422EF"/>
    <w:rsid w:val="00542B4F"/>
    <w:rsid w:val="005430A6"/>
    <w:rsid w:val="0054316E"/>
    <w:rsid w:val="00543705"/>
    <w:rsid w:val="005439C3"/>
    <w:rsid w:val="00544278"/>
    <w:rsid w:val="00544C49"/>
    <w:rsid w:val="00544C80"/>
    <w:rsid w:val="0054561F"/>
    <w:rsid w:val="005456B2"/>
    <w:rsid w:val="0054591A"/>
    <w:rsid w:val="00547EB7"/>
    <w:rsid w:val="00550141"/>
    <w:rsid w:val="0055160C"/>
    <w:rsid w:val="00552FC3"/>
    <w:rsid w:val="005531BB"/>
    <w:rsid w:val="0055390F"/>
    <w:rsid w:val="00553EC6"/>
    <w:rsid w:val="00554AD7"/>
    <w:rsid w:val="00554BAB"/>
    <w:rsid w:val="005557F2"/>
    <w:rsid w:val="00555A6E"/>
    <w:rsid w:val="00555CD9"/>
    <w:rsid w:val="005570AF"/>
    <w:rsid w:val="00557BA8"/>
    <w:rsid w:val="00557C07"/>
    <w:rsid w:val="00561652"/>
    <w:rsid w:val="005627FD"/>
    <w:rsid w:val="00562E4A"/>
    <w:rsid w:val="005633E7"/>
    <w:rsid w:val="00563F04"/>
    <w:rsid w:val="005640EF"/>
    <w:rsid w:val="0056432A"/>
    <w:rsid w:val="00565B4B"/>
    <w:rsid w:val="005706EF"/>
    <w:rsid w:val="00570AF2"/>
    <w:rsid w:val="00571247"/>
    <w:rsid w:val="0057402A"/>
    <w:rsid w:val="00574148"/>
    <w:rsid w:val="005744A4"/>
    <w:rsid w:val="0057509A"/>
    <w:rsid w:val="005755D5"/>
    <w:rsid w:val="00575C82"/>
    <w:rsid w:val="005764DD"/>
    <w:rsid w:val="00576832"/>
    <w:rsid w:val="00576D19"/>
    <w:rsid w:val="005771D0"/>
    <w:rsid w:val="0058022B"/>
    <w:rsid w:val="00581ACD"/>
    <w:rsid w:val="00582750"/>
    <w:rsid w:val="00582E54"/>
    <w:rsid w:val="0058343A"/>
    <w:rsid w:val="005837C8"/>
    <w:rsid w:val="00584C28"/>
    <w:rsid w:val="00585DED"/>
    <w:rsid w:val="00586B77"/>
    <w:rsid w:val="00587964"/>
    <w:rsid w:val="00587D7B"/>
    <w:rsid w:val="005902A3"/>
    <w:rsid w:val="0059066D"/>
    <w:rsid w:val="00590BF3"/>
    <w:rsid w:val="00590C43"/>
    <w:rsid w:val="005910C0"/>
    <w:rsid w:val="005916E2"/>
    <w:rsid w:val="0059191A"/>
    <w:rsid w:val="00591B96"/>
    <w:rsid w:val="00591DEE"/>
    <w:rsid w:val="00591F60"/>
    <w:rsid w:val="005921FF"/>
    <w:rsid w:val="00592751"/>
    <w:rsid w:val="0059318E"/>
    <w:rsid w:val="005937E2"/>
    <w:rsid w:val="00594CE1"/>
    <w:rsid w:val="00596514"/>
    <w:rsid w:val="00596694"/>
    <w:rsid w:val="0059670F"/>
    <w:rsid w:val="00596ABE"/>
    <w:rsid w:val="00596AD3"/>
    <w:rsid w:val="00596F42"/>
    <w:rsid w:val="00597162"/>
    <w:rsid w:val="0059770B"/>
    <w:rsid w:val="00597C8A"/>
    <w:rsid w:val="00597E00"/>
    <w:rsid w:val="005A0410"/>
    <w:rsid w:val="005A20B8"/>
    <w:rsid w:val="005A2217"/>
    <w:rsid w:val="005A2E9B"/>
    <w:rsid w:val="005A482E"/>
    <w:rsid w:val="005A6205"/>
    <w:rsid w:val="005A6D0E"/>
    <w:rsid w:val="005A6E50"/>
    <w:rsid w:val="005A734E"/>
    <w:rsid w:val="005B0001"/>
    <w:rsid w:val="005B1D89"/>
    <w:rsid w:val="005B222D"/>
    <w:rsid w:val="005B28A7"/>
    <w:rsid w:val="005B3DEC"/>
    <w:rsid w:val="005B3EF2"/>
    <w:rsid w:val="005B52B0"/>
    <w:rsid w:val="005B67DE"/>
    <w:rsid w:val="005B6806"/>
    <w:rsid w:val="005B711D"/>
    <w:rsid w:val="005B7BC5"/>
    <w:rsid w:val="005C00F9"/>
    <w:rsid w:val="005C05FA"/>
    <w:rsid w:val="005C1326"/>
    <w:rsid w:val="005C164F"/>
    <w:rsid w:val="005C1853"/>
    <w:rsid w:val="005C1A8D"/>
    <w:rsid w:val="005C1D3C"/>
    <w:rsid w:val="005C1D8E"/>
    <w:rsid w:val="005C207A"/>
    <w:rsid w:val="005C232A"/>
    <w:rsid w:val="005C23BD"/>
    <w:rsid w:val="005C2BA2"/>
    <w:rsid w:val="005C2E02"/>
    <w:rsid w:val="005C3149"/>
    <w:rsid w:val="005C4011"/>
    <w:rsid w:val="005C4225"/>
    <w:rsid w:val="005C4AF4"/>
    <w:rsid w:val="005C5F93"/>
    <w:rsid w:val="005C63A0"/>
    <w:rsid w:val="005C6EDD"/>
    <w:rsid w:val="005C717C"/>
    <w:rsid w:val="005D0AC5"/>
    <w:rsid w:val="005D0FBF"/>
    <w:rsid w:val="005D1076"/>
    <w:rsid w:val="005D4283"/>
    <w:rsid w:val="005D50AD"/>
    <w:rsid w:val="005D55A5"/>
    <w:rsid w:val="005D5C54"/>
    <w:rsid w:val="005D5DED"/>
    <w:rsid w:val="005D6797"/>
    <w:rsid w:val="005D6891"/>
    <w:rsid w:val="005D6A03"/>
    <w:rsid w:val="005D6AC4"/>
    <w:rsid w:val="005D6B2C"/>
    <w:rsid w:val="005D7191"/>
    <w:rsid w:val="005D7280"/>
    <w:rsid w:val="005D7DFE"/>
    <w:rsid w:val="005E022B"/>
    <w:rsid w:val="005E09BC"/>
    <w:rsid w:val="005E1D4B"/>
    <w:rsid w:val="005E2BDE"/>
    <w:rsid w:val="005E435E"/>
    <w:rsid w:val="005E47EE"/>
    <w:rsid w:val="005E49AA"/>
    <w:rsid w:val="005E4A95"/>
    <w:rsid w:val="005E5196"/>
    <w:rsid w:val="005E5258"/>
    <w:rsid w:val="005E5419"/>
    <w:rsid w:val="005E6C0C"/>
    <w:rsid w:val="005E6EE3"/>
    <w:rsid w:val="005E74C5"/>
    <w:rsid w:val="005E7642"/>
    <w:rsid w:val="005E772D"/>
    <w:rsid w:val="005E7CF8"/>
    <w:rsid w:val="005F0F33"/>
    <w:rsid w:val="005F1405"/>
    <w:rsid w:val="005F1C54"/>
    <w:rsid w:val="005F2254"/>
    <w:rsid w:val="005F2A0D"/>
    <w:rsid w:val="005F32A0"/>
    <w:rsid w:val="005F3F11"/>
    <w:rsid w:val="005F46E6"/>
    <w:rsid w:val="005F5456"/>
    <w:rsid w:val="005F55DC"/>
    <w:rsid w:val="005F66C7"/>
    <w:rsid w:val="005F6935"/>
    <w:rsid w:val="005F724E"/>
    <w:rsid w:val="005F7459"/>
    <w:rsid w:val="005F7C35"/>
    <w:rsid w:val="0060040E"/>
    <w:rsid w:val="006005C1"/>
    <w:rsid w:val="00600A96"/>
    <w:rsid w:val="00600DEB"/>
    <w:rsid w:val="00600EE3"/>
    <w:rsid w:val="00602146"/>
    <w:rsid w:val="00602B9B"/>
    <w:rsid w:val="00603949"/>
    <w:rsid w:val="00603D6F"/>
    <w:rsid w:val="0060445F"/>
    <w:rsid w:val="00604B83"/>
    <w:rsid w:val="00605291"/>
    <w:rsid w:val="006059FA"/>
    <w:rsid w:val="0060786A"/>
    <w:rsid w:val="00607F83"/>
    <w:rsid w:val="006112EF"/>
    <w:rsid w:val="0061250B"/>
    <w:rsid w:val="00612D8E"/>
    <w:rsid w:val="00613027"/>
    <w:rsid w:val="006130E4"/>
    <w:rsid w:val="00613120"/>
    <w:rsid w:val="00613A08"/>
    <w:rsid w:val="0061412F"/>
    <w:rsid w:val="00614153"/>
    <w:rsid w:val="006145C8"/>
    <w:rsid w:val="00614AE8"/>
    <w:rsid w:val="00615073"/>
    <w:rsid w:val="0061546B"/>
    <w:rsid w:val="00616320"/>
    <w:rsid w:val="00617156"/>
    <w:rsid w:val="006206FF"/>
    <w:rsid w:val="00620A30"/>
    <w:rsid w:val="00620A65"/>
    <w:rsid w:val="00620B75"/>
    <w:rsid w:val="00621073"/>
    <w:rsid w:val="006225B7"/>
    <w:rsid w:val="00623324"/>
    <w:rsid w:val="006238CB"/>
    <w:rsid w:val="00624716"/>
    <w:rsid w:val="006247DB"/>
    <w:rsid w:val="00624E66"/>
    <w:rsid w:val="00626360"/>
    <w:rsid w:val="006263C9"/>
    <w:rsid w:val="006263CE"/>
    <w:rsid w:val="00626A1D"/>
    <w:rsid w:val="00626BBA"/>
    <w:rsid w:val="00627A51"/>
    <w:rsid w:val="00627AC3"/>
    <w:rsid w:val="00627C9F"/>
    <w:rsid w:val="006307DF"/>
    <w:rsid w:val="00630B42"/>
    <w:rsid w:val="00630C75"/>
    <w:rsid w:val="00630F01"/>
    <w:rsid w:val="00630F7D"/>
    <w:rsid w:val="00631023"/>
    <w:rsid w:val="006311DA"/>
    <w:rsid w:val="006311E9"/>
    <w:rsid w:val="00631F5F"/>
    <w:rsid w:val="006322B9"/>
    <w:rsid w:val="00632354"/>
    <w:rsid w:val="00632429"/>
    <w:rsid w:val="00632BF2"/>
    <w:rsid w:val="00633261"/>
    <w:rsid w:val="006333B2"/>
    <w:rsid w:val="006354CD"/>
    <w:rsid w:val="00636406"/>
    <w:rsid w:val="00636E0C"/>
    <w:rsid w:val="00636F4A"/>
    <w:rsid w:val="00637539"/>
    <w:rsid w:val="00637B7B"/>
    <w:rsid w:val="00637E84"/>
    <w:rsid w:val="00640173"/>
    <w:rsid w:val="006418C1"/>
    <w:rsid w:val="006420B7"/>
    <w:rsid w:val="00642810"/>
    <w:rsid w:val="00643F66"/>
    <w:rsid w:val="00644643"/>
    <w:rsid w:val="00644689"/>
    <w:rsid w:val="00644E9E"/>
    <w:rsid w:val="006458AD"/>
    <w:rsid w:val="006468F2"/>
    <w:rsid w:val="0064708D"/>
    <w:rsid w:val="0064712F"/>
    <w:rsid w:val="0064793C"/>
    <w:rsid w:val="00647ECE"/>
    <w:rsid w:val="00650FA3"/>
    <w:rsid w:val="006516A4"/>
    <w:rsid w:val="006516FE"/>
    <w:rsid w:val="00651D1D"/>
    <w:rsid w:val="00652333"/>
    <w:rsid w:val="00653AC7"/>
    <w:rsid w:val="006549A4"/>
    <w:rsid w:val="00654F6F"/>
    <w:rsid w:val="00656085"/>
    <w:rsid w:val="00656FE7"/>
    <w:rsid w:val="0065765B"/>
    <w:rsid w:val="00657A39"/>
    <w:rsid w:val="006605AC"/>
    <w:rsid w:val="00662F5D"/>
    <w:rsid w:val="006634C1"/>
    <w:rsid w:val="00663571"/>
    <w:rsid w:val="006636C8"/>
    <w:rsid w:val="00664C08"/>
    <w:rsid w:val="00664DDE"/>
    <w:rsid w:val="006653BD"/>
    <w:rsid w:val="00666536"/>
    <w:rsid w:val="00666AEF"/>
    <w:rsid w:val="00671ABB"/>
    <w:rsid w:val="00671CE4"/>
    <w:rsid w:val="0067329C"/>
    <w:rsid w:val="00673C1A"/>
    <w:rsid w:val="00674465"/>
    <w:rsid w:val="0067472A"/>
    <w:rsid w:val="00677938"/>
    <w:rsid w:val="00677E73"/>
    <w:rsid w:val="0068009E"/>
    <w:rsid w:val="006802A8"/>
    <w:rsid w:val="00683305"/>
    <w:rsid w:val="00684434"/>
    <w:rsid w:val="006847BC"/>
    <w:rsid w:val="006849BF"/>
    <w:rsid w:val="00685184"/>
    <w:rsid w:val="00687432"/>
    <w:rsid w:val="00687725"/>
    <w:rsid w:val="006901ED"/>
    <w:rsid w:val="006906BB"/>
    <w:rsid w:val="0069244C"/>
    <w:rsid w:val="00692996"/>
    <w:rsid w:val="00692A55"/>
    <w:rsid w:val="006938A1"/>
    <w:rsid w:val="0069578C"/>
    <w:rsid w:val="006972FB"/>
    <w:rsid w:val="006A0548"/>
    <w:rsid w:val="006A0E85"/>
    <w:rsid w:val="006A0F00"/>
    <w:rsid w:val="006A0F77"/>
    <w:rsid w:val="006A11FD"/>
    <w:rsid w:val="006A17D2"/>
    <w:rsid w:val="006A3B33"/>
    <w:rsid w:val="006A508B"/>
    <w:rsid w:val="006A538E"/>
    <w:rsid w:val="006A58D1"/>
    <w:rsid w:val="006A6E1A"/>
    <w:rsid w:val="006A70B4"/>
    <w:rsid w:val="006A72B7"/>
    <w:rsid w:val="006A7316"/>
    <w:rsid w:val="006A73E6"/>
    <w:rsid w:val="006A7408"/>
    <w:rsid w:val="006A7764"/>
    <w:rsid w:val="006B0169"/>
    <w:rsid w:val="006B057B"/>
    <w:rsid w:val="006B0699"/>
    <w:rsid w:val="006B130C"/>
    <w:rsid w:val="006B17B3"/>
    <w:rsid w:val="006B248C"/>
    <w:rsid w:val="006B2623"/>
    <w:rsid w:val="006B265D"/>
    <w:rsid w:val="006B295E"/>
    <w:rsid w:val="006B2D5C"/>
    <w:rsid w:val="006B3773"/>
    <w:rsid w:val="006B4324"/>
    <w:rsid w:val="006B544B"/>
    <w:rsid w:val="006B6D64"/>
    <w:rsid w:val="006B6FFA"/>
    <w:rsid w:val="006C0F5D"/>
    <w:rsid w:val="006C1815"/>
    <w:rsid w:val="006C2346"/>
    <w:rsid w:val="006C2B38"/>
    <w:rsid w:val="006C379B"/>
    <w:rsid w:val="006C3D28"/>
    <w:rsid w:val="006C4233"/>
    <w:rsid w:val="006C4596"/>
    <w:rsid w:val="006C49B8"/>
    <w:rsid w:val="006C4EB1"/>
    <w:rsid w:val="006C588F"/>
    <w:rsid w:val="006C6E31"/>
    <w:rsid w:val="006C7E62"/>
    <w:rsid w:val="006D0195"/>
    <w:rsid w:val="006D01E3"/>
    <w:rsid w:val="006D0424"/>
    <w:rsid w:val="006D1A3C"/>
    <w:rsid w:val="006D27EC"/>
    <w:rsid w:val="006D2C28"/>
    <w:rsid w:val="006D2D13"/>
    <w:rsid w:val="006D3E68"/>
    <w:rsid w:val="006D48BB"/>
    <w:rsid w:val="006D5D5D"/>
    <w:rsid w:val="006D6E36"/>
    <w:rsid w:val="006D6E3A"/>
    <w:rsid w:val="006D7976"/>
    <w:rsid w:val="006E00AB"/>
    <w:rsid w:val="006E0166"/>
    <w:rsid w:val="006E07EB"/>
    <w:rsid w:val="006E1163"/>
    <w:rsid w:val="006E18B8"/>
    <w:rsid w:val="006E1DFC"/>
    <w:rsid w:val="006E2E1A"/>
    <w:rsid w:val="006E35A0"/>
    <w:rsid w:val="006E4B61"/>
    <w:rsid w:val="006E4CCE"/>
    <w:rsid w:val="006E5C58"/>
    <w:rsid w:val="006E6048"/>
    <w:rsid w:val="006E67F6"/>
    <w:rsid w:val="006E6C78"/>
    <w:rsid w:val="006E6F1E"/>
    <w:rsid w:val="006E7B34"/>
    <w:rsid w:val="006E7C8A"/>
    <w:rsid w:val="006E7EA4"/>
    <w:rsid w:val="006F157C"/>
    <w:rsid w:val="006F317C"/>
    <w:rsid w:val="006F3590"/>
    <w:rsid w:val="006F3597"/>
    <w:rsid w:val="006F374D"/>
    <w:rsid w:val="006F672E"/>
    <w:rsid w:val="006F732C"/>
    <w:rsid w:val="006F7488"/>
    <w:rsid w:val="0070045F"/>
    <w:rsid w:val="00700471"/>
    <w:rsid w:val="00700C65"/>
    <w:rsid w:val="00701610"/>
    <w:rsid w:val="00701B24"/>
    <w:rsid w:val="00702565"/>
    <w:rsid w:val="0070267B"/>
    <w:rsid w:val="00702A7C"/>
    <w:rsid w:val="00702CD7"/>
    <w:rsid w:val="00702DE6"/>
    <w:rsid w:val="00702EA5"/>
    <w:rsid w:val="00702F10"/>
    <w:rsid w:val="00703F90"/>
    <w:rsid w:val="0070404E"/>
    <w:rsid w:val="00704098"/>
    <w:rsid w:val="0070456C"/>
    <w:rsid w:val="0070603C"/>
    <w:rsid w:val="00706591"/>
    <w:rsid w:val="00706698"/>
    <w:rsid w:val="00706D7E"/>
    <w:rsid w:val="007070DC"/>
    <w:rsid w:val="00707116"/>
    <w:rsid w:val="007072EE"/>
    <w:rsid w:val="00707486"/>
    <w:rsid w:val="00707BAF"/>
    <w:rsid w:val="00707E8E"/>
    <w:rsid w:val="00710376"/>
    <w:rsid w:val="00710ED5"/>
    <w:rsid w:val="00711137"/>
    <w:rsid w:val="007140C0"/>
    <w:rsid w:val="00715928"/>
    <w:rsid w:val="00716BEC"/>
    <w:rsid w:val="00716D62"/>
    <w:rsid w:val="00717B70"/>
    <w:rsid w:val="0072003B"/>
    <w:rsid w:val="00720169"/>
    <w:rsid w:val="0072130B"/>
    <w:rsid w:val="00722812"/>
    <w:rsid w:val="0072335A"/>
    <w:rsid w:val="007237C3"/>
    <w:rsid w:val="0072472F"/>
    <w:rsid w:val="007247E2"/>
    <w:rsid w:val="00724BC2"/>
    <w:rsid w:val="00724D5D"/>
    <w:rsid w:val="007278E3"/>
    <w:rsid w:val="00727D80"/>
    <w:rsid w:val="00730731"/>
    <w:rsid w:val="00731DA0"/>
    <w:rsid w:val="00732EDB"/>
    <w:rsid w:val="00734033"/>
    <w:rsid w:val="007359CB"/>
    <w:rsid w:val="00737936"/>
    <w:rsid w:val="00737A15"/>
    <w:rsid w:val="007400D8"/>
    <w:rsid w:val="0074145C"/>
    <w:rsid w:val="007419F4"/>
    <w:rsid w:val="00741D4C"/>
    <w:rsid w:val="007433B0"/>
    <w:rsid w:val="007451C8"/>
    <w:rsid w:val="0074535C"/>
    <w:rsid w:val="0074572F"/>
    <w:rsid w:val="0074581C"/>
    <w:rsid w:val="00745899"/>
    <w:rsid w:val="00746AB9"/>
    <w:rsid w:val="00750078"/>
    <w:rsid w:val="00750568"/>
    <w:rsid w:val="00750BB6"/>
    <w:rsid w:val="00751379"/>
    <w:rsid w:val="0075164B"/>
    <w:rsid w:val="007538FC"/>
    <w:rsid w:val="007542BA"/>
    <w:rsid w:val="00754A2A"/>
    <w:rsid w:val="00754E95"/>
    <w:rsid w:val="00755E74"/>
    <w:rsid w:val="00755F05"/>
    <w:rsid w:val="007561AD"/>
    <w:rsid w:val="00756737"/>
    <w:rsid w:val="007570FA"/>
    <w:rsid w:val="00757F66"/>
    <w:rsid w:val="007607C4"/>
    <w:rsid w:val="007607EC"/>
    <w:rsid w:val="00760ABE"/>
    <w:rsid w:val="00760B45"/>
    <w:rsid w:val="00761A58"/>
    <w:rsid w:val="00762A2F"/>
    <w:rsid w:val="00763191"/>
    <w:rsid w:val="00763403"/>
    <w:rsid w:val="00763B20"/>
    <w:rsid w:val="0076457E"/>
    <w:rsid w:val="007649AF"/>
    <w:rsid w:val="00765584"/>
    <w:rsid w:val="007658AF"/>
    <w:rsid w:val="00765CB7"/>
    <w:rsid w:val="0076643F"/>
    <w:rsid w:val="00766DEB"/>
    <w:rsid w:val="007700F7"/>
    <w:rsid w:val="00771045"/>
    <w:rsid w:val="00771205"/>
    <w:rsid w:val="00773C5A"/>
    <w:rsid w:val="00774375"/>
    <w:rsid w:val="007744CC"/>
    <w:rsid w:val="00774D86"/>
    <w:rsid w:val="007771C5"/>
    <w:rsid w:val="007776FF"/>
    <w:rsid w:val="0078069F"/>
    <w:rsid w:val="0078085D"/>
    <w:rsid w:val="007809DA"/>
    <w:rsid w:val="00780ED7"/>
    <w:rsid w:val="00781C89"/>
    <w:rsid w:val="00782080"/>
    <w:rsid w:val="007820BB"/>
    <w:rsid w:val="00782E68"/>
    <w:rsid w:val="0078305D"/>
    <w:rsid w:val="0078426B"/>
    <w:rsid w:val="00784600"/>
    <w:rsid w:val="00784DE5"/>
    <w:rsid w:val="00784FEC"/>
    <w:rsid w:val="0078587E"/>
    <w:rsid w:val="0078595F"/>
    <w:rsid w:val="00785F8D"/>
    <w:rsid w:val="00786501"/>
    <w:rsid w:val="00790499"/>
    <w:rsid w:val="007928DA"/>
    <w:rsid w:val="00793A12"/>
    <w:rsid w:val="00793C17"/>
    <w:rsid w:val="00795940"/>
    <w:rsid w:val="00795E01"/>
    <w:rsid w:val="0079658B"/>
    <w:rsid w:val="00796E7A"/>
    <w:rsid w:val="007977A5"/>
    <w:rsid w:val="00797F96"/>
    <w:rsid w:val="007A13D7"/>
    <w:rsid w:val="007A17C8"/>
    <w:rsid w:val="007A18EB"/>
    <w:rsid w:val="007A2423"/>
    <w:rsid w:val="007A2EC7"/>
    <w:rsid w:val="007A2F70"/>
    <w:rsid w:val="007A3293"/>
    <w:rsid w:val="007A3478"/>
    <w:rsid w:val="007A4240"/>
    <w:rsid w:val="007A44FF"/>
    <w:rsid w:val="007A4980"/>
    <w:rsid w:val="007A57A6"/>
    <w:rsid w:val="007A7F31"/>
    <w:rsid w:val="007B04BF"/>
    <w:rsid w:val="007B186C"/>
    <w:rsid w:val="007B19A1"/>
    <w:rsid w:val="007B19FE"/>
    <w:rsid w:val="007B1B6A"/>
    <w:rsid w:val="007B2769"/>
    <w:rsid w:val="007B3B97"/>
    <w:rsid w:val="007B3C72"/>
    <w:rsid w:val="007B430B"/>
    <w:rsid w:val="007B4826"/>
    <w:rsid w:val="007B4C00"/>
    <w:rsid w:val="007B5867"/>
    <w:rsid w:val="007B6279"/>
    <w:rsid w:val="007B6492"/>
    <w:rsid w:val="007B6A17"/>
    <w:rsid w:val="007B6C22"/>
    <w:rsid w:val="007B762A"/>
    <w:rsid w:val="007C10AC"/>
    <w:rsid w:val="007C16AB"/>
    <w:rsid w:val="007C22DF"/>
    <w:rsid w:val="007C25BB"/>
    <w:rsid w:val="007C3334"/>
    <w:rsid w:val="007C3481"/>
    <w:rsid w:val="007C396A"/>
    <w:rsid w:val="007C50F6"/>
    <w:rsid w:val="007C52BB"/>
    <w:rsid w:val="007C5476"/>
    <w:rsid w:val="007C58E8"/>
    <w:rsid w:val="007C6557"/>
    <w:rsid w:val="007C6F4C"/>
    <w:rsid w:val="007C7402"/>
    <w:rsid w:val="007C757E"/>
    <w:rsid w:val="007C798F"/>
    <w:rsid w:val="007C7B95"/>
    <w:rsid w:val="007D0207"/>
    <w:rsid w:val="007D0309"/>
    <w:rsid w:val="007D06CB"/>
    <w:rsid w:val="007D278F"/>
    <w:rsid w:val="007D29B6"/>
    <w:rsid w:val="007D2B98"/>
    <w:rsid w:val="007D2FEE"/>
    <w:rsid w:val="007D3E9B"/>
    <w:rsid w:val="007D4C93"/>
    <w:rsid w:val="007D4FA5"/>
    <w:rsid w:val="007D69AC"/>
    <w:rsid w:val="007E13CE"/>
    <w:rsid w:val="007E1856"/>
    <w:rsid w:val="007E1AF3"/>
    <w:rsid w:val="007E42C4"/>
    <w:rsid w:val="007E5338"/>
    <w:rsid w:val="007E5C9F"/>
    <w:rsid w:val="007E6A48"/>
    <w:rsid w:val="007E6D7C"/>
    <w:rsid w:val="007E6DAC"/>
    <w:rsid w:val="007E783F"/>
    <w:rsid w:val="007E7889"/>
    <w:rsid w:val="007F05E6"/>
    <w:rsid w:val="007F074A"/>
    <w:rsid w:val="007F2DA5"/>
    <w:rsid w:val="007F410D"/>
    <w:rsid w:val="007F42BF"/>
    <w:rsid w:val="007F4A54"/>
    <w:rsid w:val="007F4B82"/>
    <w:rsid w:val="007F4F2C"/>
    <w:rsid w:val="007F4FE2"/>
    <w:rsid w:val="007F53E1"/>
    <w:rsid w:val="007F5625"/>
    <w:rsid w:val="007F6EF7"/>
    <w:rsid w:val="00800983"/>
    <w:rsid w:val="00800E57"/>
    <w:rsid w:val="00801B96"/>
    <w:rsid w:val="00802AC1"/>
    <w:rsid w:val="00803232"/>
    <w:rsid w:val="0080393B"/>
    <w:rsid w:val="00803F1C"/>
    <w:rsid w:val="008040C3"/>
    <w:rsid w:val="008049CD"/>
    <w:rsid w:val="00804A43"/>
    <w:rsid w:val="008054CB"/>
    <w:rsid w:val="00805784"/>
    <w:rsid w:val="00805885"/>
    <w:rsid w:val="0080600E"/>
    <w:rsid w:val="00806906"/>
    <w:rsid w:val="0081181A"/>
    <w:rsid w:val="008125C0"/>
    <w:rsid w:val="00812EAF"/>
    <w:rsid w:val="00813CCC"/>
    <w:rsid w:val="008141EA"/>
    <w:rsid w:val="00817612"/>
    <w:rsid w:val="00817D2F"/>
    <w:rsid w:val="00820860"/>
    <w:rsid w:val="00820D73"/>
    <w:rsid w:val="008215C0"/>
    <w:rsid w:val="008218A2"/>
    <w:rsid w:val="008234B0"/>
    <w:rsid w:val="00823A91"/>
    <w:rsid w:val="0082595F"/>
    <w:rsid w:val="00825AC2"/>
    <w:rsid w:val="00825B7F"/>
    <w:rsid w:val="00825CC2"/>
    <w:rsid w:val="00827DB7"/>
    <w:rsid w:val="00830930"/>
    <w:rsid w:val="00830E88"/>
    <w:rsid w:val="00831BA5"/>
    <w:rsid w:val="008321E7"/>
    <w:rsid w:val="00835F5A"/>
    <w:rsid w:val="008367C9"/>
    <w:rsid w:val="00836F32"/>
    <w:rsid w:val="0083716D"/>
    <w:rsid w:val="008373B6"/>
    <w:rsid w:val="00837C45"/>
    <w:rsid w:val="008414A3"/>
    <w:rsid w:val="008426FE"/>
    <w:rsid w:val="00844BE3"/>
    <w:rsid w:val="00845C1A"/>
    <w:rsid w:val="00845F70"/>
    <w:rsid w:val="00846865"/>
    <w:rsid w:val="00846904"/>
    <w:rsid w:val="008472FB"/>
    <w:rsid w:val="00847A8B"/>
    <w:rsid w:val="00847B26"/>
    <w:rsid w:val="008509CC"/>
    <w:rsid w:val="00850B3B"/>
    <w:rsid w:val="00852AFB"/>
    <w:rsid w:val="00853318"/>
    <w:rsid w:val="00853419"/>
    <w:rsid w:val="00853A23"/>
    <w:rsid w:val="00854FE3"/>
    <w:rsid w:val="008560E1"/>
    <w:rsid w:val="0085746D"/>
    <w:rsid w:val="00860233"/>
    <w:rsid w:val="00861437"/>
    <w:rsid w:val="0086147D"/>
    <w:rsid w:val="00861972"/>
    <w:rsid w:val="00861EC2"/>
    <w:rsid w:val="008628FD"/>
    <w:rsid w:val="0086292E"/>
    <w:rsid w:val="00864785"/>
    <w:rsid w:val="008648E9"/>
    <w:rsid w:val="00864EF3"/>
    <w:rsid w:val="00865279"/>
    <w:rsid w:val="00865368"/>
    <w:rsid w:val="00865A1C"/>
    <w:rsid w:val="00865C9B"/>
    <w:rsid w:val="0086628D"/>
    <w:rsid w:val="00866353"/>
    <w:rsid w:val="008665EC"/>
    <w:rsid w:val="00866D7E"/>
    <w:rsid w:val="008678EF"/>
    <w:rsid w:val="0087014C"/>
    <w:rsid w:val="00871372"/>
    <w:rsid w:val="00871EBE"/>
    <w:rsid w:val="00872B1E"/>
    <w:rsid w:val="0087347D"/>
    <w:rsid w:val="008741A2"/>
    <w:rsid w:val="00874BEE"/>
    <w:rsid w:val="00875ABB"/>
    <w:rsid w:val="00875BA1"/>
    <w:rsid w:val="00875EC6"/>
    <w:rsid w:val="00876085"/>
    <w:rsid w:val="00877E1B"/>
    <w:rsid w:val="00880B21"/>
    <w:rsid w:val="00880F95"/>
    <w:rsid w:val="00882952"/>
    <w:rsid w:val="00882C32"/>
    <w:rsid w:val="0088373B"/>
    <w:rsid w:val="00883E89"/>
    <w:rsid w:val="00883EA4"/>
    <w:rsid w:val="00884270"/>
    <w:rsid w:val="00884C43"/>
    <w:rsid w:val="008869BA"/>
    <w:rsid w:val="00887B7D"/>
    <w:rsid w:val="00890066"/>
    <w:rsid w:val="008903D5"/>
    <w:rsid w:val="0089156D"/>
    <w:rsid w:val="008917C2"/>
    <w:rsid w:val="00893E24"/>
    <w:rsid w:val="00893E44"/>
    <w:rsid w:val="008945B4"/>
    <w:rsid w:val="00894EB3"/>
    <w:rsid w:val="0089514B"/>
    <w:rsid w:val="008969D3"/>
    <w:rsid w:val="008971D8"/>
    <w:rsid w:val="00897E12"/>
    <w:rsid w:val="008A065A"/>
    <w:rsid w:val="008A0A13"/>
    <w:rsid w:val="008A0F37"/>
    <w:rsid w:val="008A1C4B"/>
    <w:rsid w:val="008A1C95"/>
    <w:rsid w:val="008A3434"/>
    <w:rsid w:val="008A36FA"/>
    <w:rsid w:val="008A4398"/>
    <w:rsid w:val="008A4B7D"/>
    <w:rsid w:val="008A4FAC"/>
    <w:rsid w:val="008A5A80"/>
    <w:rsid w:val="008A5BF4"/>
    <w:rsid w:val="008A6254"/>
    <w:rsid w:val="008A67CF"/>
    <w:rsid w:val="008A6DA2"/>
    <w:rsid w:val="008A6E6B"/>
    <w:rsid w:val="008A7EB9"/>
    <w:rsid w:val="008A7F97"/>
    <w:rsid w:val="008A7FC7"/>
    <w:rsid w:val="008B0E6D"/>
    <w:rsid w:val="008B0EE7"/>
    <w:rsid w:val="008B14CB"/>
    <w:rsid w:val="008B1E82"/>
    <w:rsid w:val="008B24D5"/>
    <w:rsid w:val="008B25FC"/>
    <w:rsid w:val="008B2DA9"/>
    <w:rsid w:val="008B3466"/>
    <w:rsid w:val="008B44C5"/>
    <w:rsid w:val="008B5124"/>
    <w:rsid w:val="008C00EE"/>
    <w:rsid w:val="008C2789"/>
    <w:rsid w:val="008C2DF6"/>
    <w:rsid w:val="008C3661"/>
    <w:rsid w:val="008C606A"/>
    <w:rsid w:val="008C6FC4"/>
    <w:rsid w:val="008C7564"/>
    <w:rsid w:val="008D03B0"/>
    <w:rsid w:val="008D0556"/>
    <w:rsid w:val="008D2607"/>
    <w:rsid w:val="008D2EC1"/>
    <w:rsid w:val="008D307A"/>
    <w:rsid w:val="008D33C9"/>
    <w:rsid w:val="008D3FC2"/>
    <w:rsid w:val="008D43BA"/>
    <w:rsid w:val="008D6249"/>
    <w:rsid w:val="008D6465"/>
    <w:rsid w:val="008D7317"/>
    <w:rsid w:val="008D7DF4"/>
    <w:rsid w:val="008E10AE"/>
    <w:rsid w:val="008E3602"/>
    <w:rsid w:val="008E3759"/>
    <w:rsid w:val="008E46CE"/>
    <w:rsid w:val="008E4DBE"/>
    <w:rsid w:val="008E53E4"/>
    <w:rsid w:val="008E5615"/>
    <w:rsid w:val="008E668C"/>
    <w:rsid w:val="008E71E6"/>
    <w:rsid w:val="008E7622"/>
    <w:rsid w:val="008F27B1"/>
    <w:rsid w:val="008F298E"/>
    <w:rsid w:val="008F2A35"/>
    <w:rsid w:val="008F2A73"/>
    <w:rsid w:val="008F2E03"/>
    <w:rsid w:val="008F2E1C"/>
    <w:rsid w:val="008F3BF9"/>
    <w:rsid w:val="008F3E4A"/>
    <w:rsid w:val="008F405E"/>
    <w:rsid w:val="008F40FD"/>
    <w:rsid w:val="008F4101"/>
    <w:rsid w:val="008F4522"/>
    <w:rsid w:val="008F4684"/>
    <w:rsid w:val="008F49E6"/>
    <w:rsid w:val="008F559D"/>
    <w:rsid w:val="008F6470"/>
    <w:rsid w:val="008F6AA1"/>
    <w:rsid w:val="008F7B4C"/>
    <w:rsid w:val="008F7D4D"/>
    <w:rsid w:val="008F7F3F"/>
    <w:rsid w:val="009003AB"/>
    <w:rsid w:val="0090091F"/>
    <w:rsid w:val="009011FD"/>
    <w:rsid w:val="009021D6"/>
    <w:rsid w:val="00902845"/>
    <w:rsid w:val="009041DC"/>
    <w:rsid w:val="009047EE"/>
    <w:rsid w:val="00904B4B"/>
    <w:rsid w:val="0090668D"/>
    <w:rsid w:val="00907012"/>
    <w:rsid w:val="00907CCD"/>
    <w:rsid w:val="00910304"/>
    <w:rsid w:val="009104B4"/>
    <w:rsid w:val="00912171"/>
    <w:rsid w:val="00912642"/>
    <w:rsid w:val="00913B6D"/>
    <w:rsid w:val="00914897"/>
    <w:rsid w:val="00915CDE"/>
    <w:rsid w:val="00915FDE"/>
    <w:rsid w:val="0091677E"/>
    <w:rsid w:val="0091728F"/>
    <w:rsid w:val="0091789D"/>
    <w:rsid w:val="00917ACD"/>
    <w:rsid w:val="00917EEF"/>
    <w:rsid w:val="009207F2"/>
    <w:rsid w:val="00921023"/>
    <w:rsid w:val="00922A9F"/>
    <w:rsid w:val="00923920"/>
    <w:rsid w:val="00924D62"/>
    <w:rsid w:val="00924F0A"/>
    <w:rsid w:val="009252BC"/>
    <w:rsid w:val="00925564"/>
    <w:rsid w:val="00925FCD"/>
    <w:rsid w:val="00926B12"/>
    <w:rsid w:val="00926E99"/>
    <w:rsid w:val="00927B0B"/>
    <w:rsid w:val="0093035E"/>
    <w:rsid w:val="00930ED0"/>
    <w:rsid w:val="009322FE"/>
    <w:rsid w:val="009324EB"/>
    <w:rsid w:val="0093441A"/>
    <w:rsid w:val="00934829"/>
    <w:rsid w:val="0093569C"/>
    <w:rsid w:val="009356F2"/>
    <w:rsid w:val="00935735"/>
    <w:rsid w:val="009359E3"/>
    <w:rsid w:val="00935A29"/>
    <w:rsid w:val="0093658A"/>
    <w:rsid w:val="00936C4F"/>
    <w:rsid w:val="00940F2D"/>
    <w:rsid w:val="0094103C"/>
    <w:rsid w:val="009412E0"/>
    <w:rsid w:val="0094199B"/>
    <w:rsid w:val="009424BD"/>
    <w:rsid w:val="00942703"/>
    <w:rsid w:val="00942AA6"/>
    <w:rsid w:val="00942BBC"/>
    <w:rsid w:val="009435DC"/>
    <w:rsid w:val="00943C6D"/>
    <w:rsid w:val="00945F51"/>
    <w:rsid w:val="0094702E"/>
    <w:rsid w:val="00950D77"/>
    <w:rsid w:val="00951A16"/>
    <w:rsid w:val="00952CAA"/>
    <w:rsid w:val="00952DC4"/>
    <w:rsid w:val="0095466D"/>
    <w:rsid w:val="009546BF"/>
    <w:rsid w:val="00954BF7"/>
    <w:rsid w:val="00955093"/>
    <w:rsid w:val="009554F0"/>
    <w:rsid w:val="00955EA3"/>
    <w:rsid w:val="0095624F"/>
    <w:rsid w:val="0095641C"/>
    <w:rsid w:val="00957A32"/>
    <w:rsid w:val="00960555"/>
    <w:rsid w:val="00963233"/>
    <w:rsid w:val="00964B54"/>
    <w:rsid w:val="009653A0"/>
    <w:rsid w:val="00965F42"/>
    <w:rsid w:val="009661AD"/>
    <w:rsid w:val="009668D9"/>
    <w:rsid w:val="009668E5"/>
    <w:rsid w:val="0096706E"/>
    <w:rsid w:val="00967ECF"/>
    <w:rsid w:val="00970006"/>
    <w:rsid w:val="009714F6"/>
    <w:rsid w:val="00971BFC"/>
    <w:rsid w:val="0097237F"/>
    <w:rsid w:val="009724C3"/>
    <w:rsid w:val="00973675"/>
    <w:rsid w:val="00973798"/>
    <w:rsid w:val="00973E1D"/>
    <w:rsid w:val="00973FD3"/>
    <w:rsid w:val="009753D7"/>
    <w:rsid w:val="00976209"/>
    <w:rsid w:val="00976E74"/>
    <w:rsid w:val="00981203"/>
    <w:rsid w:val="00981FBA"/>
    <w:rsid w:val="009826CC"/>
    <w:rsid w:val="00982E24"/>
    <w:rsid w:val="009835AD"/>
    <w:rsid w:val="00983AF6"/>
    <w:rsid w:val="009843A2"/>
    <w:rsid w:val="009844C2"/>
    <w:rsid w:val="00985A4B"/>
    <w:rsid w:val="00985ADA"/>
    <w:rsid w:val="00986129"/>
    <w:rsid w:val="00986662"/>
    <w:rsid w:val="00986AEE"/>
    <w:rsid w:val="009879D3"/>
    <w:rsid w:val="009908CD"/>
    <w:rsid w:val="00991846"/>
    <w:rsid w:val="0099229D"/>
    <w:rsid w:val="009923C3"/>
    <w:rsid w:val="00992A7F"/>
    <w:rsid w:val="009937A7"/>
    <w:rsid w:val="00993D72"/>
    <w:rsid w:val="00994ECF"/>
    <w:rsid w:val="00995BB7"/>
    <w:rsid w:val="009967AF"/>
    <w:rsid w:val="0099714E"/>
    <w:rsid w:val="00997E99"/>
    <w:rsid w:val="009A03DC"/>
    <w:rsid w:val="009A03E7"/>
    <w:rsid w:val="009A0816"/>
    <w:rsid w:val="009A0B09"/>
    <w:rsid w:val="009A0F04"/>
    <w:rsid w:val="009A1A5D"/>
    <w:rsid w:val="009A1D2A"/>
    <w:rsid w:val="009A28FA"/>
    <w:rsid w:val="009A2BA7"/>
    <w:rsid w:val="009A6130"/>
    <w:rsid w:val="009A67CC"/>
    <w:rsid w:val="009A67D9"/>
    <w:rsid w:val="009A7953"/>
    <w:rsid w:val="009B07BE"/>
    <w:rsid w:val="009B1206"/>
    <w:rsid w:val="009B1525"/>
    <w:rsid w:val="009B1A02"/>
    <w:rsid w:val="009B26C8"/>
    <w:rsid w:val="009B2E1C"/>
    <w:rsid w:val="009B2F9E"/>
    <w:rsid w:val="009B351F"/>
    <w:rsid w:val="009B3602"/>
    <w:rsid w:val="009B381B"/>
    <w:rsid w:val="009B4536"/>
    <w:rsid w:val="009B507E"/>
    <w:rsid w:val="009B5129"/>
    <w:rsid w:val="009B541A"/>
    <w:rsid w:val="009B61B2"/>
    <w:rsid w:val="009B71D5"/>
    <w:rsid w:val="009B74A4"/>
    <w:rsid w:val="009C1615"/>
    <w:rsid w:val="009C1691"/>
    <w:rsid w:val="009C1877"/>
    <w:rsid w:val="009C1D8B"/>
    <w:rsid w:val="009C2F9F"/>
    <w:rsid w:val="009C458A"/>
    <w:rsid w:val="009C4893"/>
    <w:rsid w:val="009C4D68"/>
    <w:rsid w:val="009C56A5"/>
    <w:rsid w:val="009C6C2B"/>
    <w:rsid w:val="009D0946"/>
    <w:rsid w:val="009D0D81"/>
    <w:rsid w:val="009D0DEE"/>
    <w:rsid w:val="009D15C7"/>
    <w:rsid w:val="009D16D3"/>
    <w:rsid w:val="009D2342"/>
    <w:rsid w:val="009D280B"/>
    <w:rsid w:val="009D3728"/>
    <w:rsid w:val="009D50C6"/>
    <w:rsid w:val="009D561E"/>
    <w:rsid w:val="009D6116"/>
    <w:rsid w:val="009D7611"/>
    <w:rsid w:val="009E075C"/>
    <w:rsid w:val="009E27A9"/>
    <w:rsid w:val="009E329A"/>
    <w:rsid w:val="009E3488"/>
    <w:rsid w:val="009E374A"/>
    <w:rsid w:val="009E3A41"/>
    <w:rsid w:val="009E3ABD"/>
    <w:rsid w:val="009E3C23"/>
    <w:rsid w:val="009E4331"/>
    <w:rsid w:val="009E4906"/>
    <w:rsid w:val="009E53DE"/>
    <w:rsid w:val="009E5D2B"/>
    <w:rsid w:val="009E6FD9"/>
    <w:rsid w:val="009E7A69"/>
    <w:rsid w:val="009F08C8"/>
    <w:rsid w:val="009F0AED"/>
    <w:rsid w:val="009F0CF2"/>
    <w:rsid w:val="009F114F"/>
    <w:rsid w:val="009F1B62"/>
    <w:rsid w:val="009F1ED5"/>
    <w:rsid w:val="009F24AF"/>
    <w:rsid w:val="009F24FF"/>
    <w:rsid w:val="009F297A"/>
    <w:rsid w:val="009F2CC4"/>
    <w:rsid w:val="009F3705"/>
    <w:rsid w:val="009F3B22"/>
    <w:rsid w:val="009F54BA"/>
    <w:rsid w:val="009F7113"/>
    <w:rsid w:val="009F76DF"/>
    <w:rsid w:val="009F76E5"/>
    <w:rsid w:val="00A014DA"/>
    <w:rsid w:val="00A03579"/>
    <w:rsid w:val="00A03B6C"/>
    <w:rsid w:val="00A03CAB"/>
    <w:rsid w:val="00A03DA5"/>
    <w:rsid w:val="00A049B5"/>
    <w:rsid w:val="00A05C64"/>
    <w:rsid w:val="00A05F15"/>
    <w:rsid w:val="00A06FEB"/>
    <w:rsid w:val="00A072E8"/>
    <w:rsid w:val="00A07CAA"/>
    <w:rsid w:val="00A10246"/>
    <w:rsid w:val="00A10403"/>
    <w:rsid w:val="00A10450"/>
    <w:rsid w:val="00A10A25"/>
    <w:rsid w:val="00A10C01"/>
    <w:rsid w:val="00A11E0C"/>
    <w:rsid w:val="00A12250"/>
    <w:rsid w:val="00A13A94"/>
    <w:rsid w:val="00A147AE"/>
    <w:rsid w:val="00A14D37"/>
    <w:rsid w:val="00A15A9B"/>
    <w:rsid w:val="00A15C9A"/>
    <w:rsid w:val="00A1636C"/>
    <w:rsid w:val="00A163A4"/>
    <w:rsid w:val="00A16474"/>
    <w:rsid w:val="00A1688B"/>
    <w:rsid w:val="00A169DC"/>
    <w:rsid w:val="00A17625"/>
    <w:rsid w:val="00A17C14"/>
    <w:rsid w:val="00A17E82"/>
    <w:rsid w:val="00A2015A"/>
    <w:rsid w:val="00A20B65"/>
    <w:rsid w:val="00A20F5F"/>
    <w:rsid w:val="00A213FD"/>
    <w:rsid w:val="00A22B7B"/>
    <w:rsid w:val="00A23924"/>
    <w:rsid w:val="00A24331"/>
    <w:rsid w:val="00A24409"/>
    <w:rsid w:val="00A2456A"/>
    <w:rsid w:val="00A25C0A"/>
    <w:rsid w:val="00A27314"/>
    <w:rsid w:val="00A27941"/>
    <w:rsid w:val="00A31451"/>
    <w:rsid w:val="00A31CB0"/>
    <w:rsid w:val="00A32364"/>
    <w:rsid w:val="00A3286C"/>
    <w:rsid w:val="00A32D38"/>
    <w:rsid w:val="00A3305E"/>
    <w:rsid w:val="00A34273"/>
    <w:rsid w:val="00A344FD"/>
    <w:rsid w:val="00A349B5"/>
    <w:rsid w:val="00A34F17"/>
    <w:rsid w:val="00A36168"/>
    <w:rsid w:val="00A36E16"/>
    <w:rsid w:val="00A376A9"/>
    <w:rsid w:val="00A3773C"/>
    <w:rsid w:val="00A37DA9"/>
    <w:rsid w:val="00A40463"/>
    <w:rsid w:val="00A40CED"/>
    <w:rsid w:val="00A43458"/>
    <w:rsid w:val="00A438C4"/>
    <w:rsid w:val="00A438F6"/>
    <w:rsid w:val="00A444C4"/>
    <w:rsid w:val="00A445B3"/>
    <w:rsid w:val="00A447CD"/>
    <w:rsid w:val="00A449AE"/>
    <w:rsid w:val="00A44B56"/>
    <w:rsid w:val="00A44E4C"/>
    <w:rsid w:val="00A47174"/>
    <w:rsid w:val="00A47D0B"/>
    <w:rsid w:val="00A500DA"/>
    <w:rsid w:val="00A50201"/>
    <w:rsid w:val="00A5028C"/>
    <w:rsid w:val="00A50CF2"/>
    <w:rsid w:val="00A52375"/>
    <w:rsid w:val="00A5251F"/>
    <w:rsid w:val="00A527E1"/>
    <w:rsid w:val="00A528D1"/>
    <w:rsid w:val="00A53D23"/>
    <w:rsid w:val="00A542D1"/>
    <w:rsid w:val="00A54E22"/>
    <w:rsid w:val="00A553C1"/>
    <w:rsid w:val="00A55776"/>
    <w:rsid w:val="00A56E9B"/>
    <w:rsid w:val="00A5736F"/>
    <w:rsid w:val="00A60093"/>
    <w:rsid w:val="00A618DF"/>
    <w:rsid w:val="00A6269C"/>
    <w:rsid w:val="00A6287A"/>
    <w:rsid w:val="00A62FDE"/>
    <w:rsid w:val="00A63958"/>
    <w:rsid w:val="00A64DA8"/>
    <w:rsid w:val="00A64EE8"/>
    <w:rsid w:val="00A64F5F"/>
    <w:rsid w:val="00A650D1"/>
    <w:rsid w:val="00A669C6"/>
    <w:rsid w:val="00A66BE5"/>
    <w:rsid w:val="00A709DB"/>
    <w:rsid w:val="00A70FA6"/>
    <w:rsid w:val="00A71D99"/>
    <w:rsid w:val="00A731AE"/>
    <w:rsid w:val="00A75116"/>
    <w:rsid w:val="00A7605D"/>
    <w:rsid w:val="00A774E2"/>
    <w:rsid w:val="00A77577"/>
    <w:rsid w:val="00A802FC"/>
    <w:rsid w:val="00A80C1E"/>
    <w:rsid w:val="00A80D3F"/>
    <w:rsid w:val="00A81D28"/>
    <w:rsid w:val="00A8335C"/>
    <w:rsid w:val="00A83588"/>
    <w:rsid w:val="00A84A45"/>
    <w:rsid w:val="00A84A53"/>
    <w:rsid w:val="00A84B01"/>
    <w:rsid w:val="00A871CA"/>
    <w:rsid w:val="00A87FF5"/>
    <w:rsid w:val="00A91C87"/>
    <w:rsid w:val="00A91F89"/>
    <w:rsid w:val="00A92714"/>
    <w:rsid w:val="00A92784"/>
    <w:rsid w:val="00A92AB3"/>
    <w:rsid w:val="00A92DCA"/>
    <w:rsid w:val="00A947C6"/>
    <w:rsid w:val="00A9530F"/>
    <w:rsid w:val="00A95F1A"/>
    <w:rsid w:val="00A978E7"/>
    <w:rsid w:val="00A97CDE"/>
    <w:rsid w:val="00AA00C2"/>
    <w:rsid w:val="00AA09FF"/>
    <w:rsid w:val="00AA23D3"/>
    <w:rsid w:val="00AA25DA"/>
    <w:rsid w:val="00AA33AF"/>
    <w:rsid w:val="00AA4746"/>
    <w:rsid w:val="00AA57B5"/>
    <w:rsid w:val="00AA5C88"/>
    <w:rsid w:val="00AA792C"/>
    <w:rsid w:val="00AA7A2C"/>
    <w:rsid w:val="00AA7E8A"/>
    <w:rsid w:val="00AB0745"/>
    <w:rsid w:val="00AB097B"/>
    <w:rsid w:val="00AB09C5"/>
    <w:rsid w:val="00AB2233"/>
    <w:rsid w:val="00AB2F3B"/>
    <w:rsid w:val="00AB3118"/>
    <w:rsid w:val="00AB352F"/>
    <w:rsid w:val="00AB3712"/>
    <w:rsid w:val="00AB4B54"/>
    <w:rsid w:val="00AB4CD6"/>
    <w:rsid w:val="00AB55B8"/>
    <w:rsid w:val="00AB5A7B"/>
    <w:rsid w:val="00AB5DFA"/>
    <w:rsid w:val="00AB6166"/>
    <w:rsid w:val="00AC043D"/>
    <w:rsid w:val="00AC0531"/>
    <w:rsid w:val="00AC2C74"/>
    <w:rsid w:val="00AC313B"/>
    <w:rsid w:val="00AC388E"/>
    <w:rsid w:val="00AC4106"/>
    <w:rsid w:val="00AC4E50"/>
    <w:rsid w:val="00AC4F7C"/>
    <w:rsid w:val="00AC619C"/>
    <w:rsid w:val="00AC6A4A"/>
    <w:rsid w:val="00AC6AE6"/>
    <w:rsid w:val="00AC7F4D"/>
    <w:rsid w:val="00AD0AFC"/>
    <w:rsid w:val="00AD1164"/>
    <w:rsid w:val="00AD1E27"/>
    <w:rsid w:val="00AD29F5"/>
    <w:rsid w:val="00AD2BC6"/>
    <w:rsid w:val="00AD34D9"/>
    <w:rsid w:val="00AD37C1"/>
    <w:rsid w:val="00AD38AF"/>
    <w:rsid w:val="00AD38E9"/>
    <w:rsid w:val="00AD4435"/>
    <w:rsid w:val="00AD452E"/>
    <w:rsid w:val="00AD4A7C"/>
    <w:rsid w:val="00AD4C6C"/>
    <w:rsid w:val="00AD4CD7"/>
    <w:rsid w:val="00AD4E05"/>
    <w:rsid w:val="00AD5B57"/>
    <w:rsid w:val="00AD5EB5"/>
    <w:rsid w:val="00AD7A33"/>
    <w:rsid w:val="00AE0DEC"/>
    <w:rsid w:val="00AE1302"/>
    <w:rsid w:val="00AE15A9"/>
    <w:rsid w:val="00AE1F0C"/>
    <w:rsid w:val="00AE38BC"/>
    <w:rsid w:val="00AE4B8D"/>
    <w:rsid w:val="00AE4C43"/>
    <w:rsid w:val="00AE6271"/>
    <w:rsid w:val="00AE66EC"/>
    <w:rsid w:val="00AE6AE5"/>
    <w:rsid w:val="00AE6F91"/>
    <w:rsid w:val="00AE7200"/>
    <w:rsid w:val="00AF0440"/>
    <w:rsid w:val="00AF22CE"/>
    <w:rsid w:val="00AF24AF"/>
    <w:rsid w:val="00AF264B"/>
    <w:rsid w:val="00AF2782"/>
    <w:rsid w:val="00AF3344"/>
    <w:rsid w:val="00AF3D8C"/>
    <w:rsid w:val="00AF5571"/>
    <w:rsid w:val="00AF79FA"/>
    <w:rsid w:val="00B016BF"/>
    <w:rsid w:val="00B016EF"/>
    <w:rsid w:val="00B01D8D"/>
    <w:rsid w:val="00B033E8"/>
    <w:rsid w:val="00B057C9"/>
    <w:rsid w:val="00B05FCA"/>
    <w:rsid w:val="00B0667E"/>
    <w:rsid w:val="00B06BF4"/>
    <w:rsid w:val="00B124E6"/>
    <w:rsid w:val="00B13F5E"/>
    <w:rsid w:val="00B1479A"/>
    <w:rsid w:val="00B14837"/>
    <w:rsid w:val="00B1519B"/>
    <w:rsid w:val="00B15287"/>
    <w:rsid w:val="00B160A4"/>
    <w:rsid w:val="00B167E9"/>
    <w:rsid w:val="00B16FF4"/>
    <w:rsid w:val="00B17170"/>
    <w:rsid w:val="00B1724A"/>
    <w:rsid w:val="00B17E2C"/>
    <w:rsid w:val="00B20180"/>
    <w:rsid w:val="00B20427"/>
    <w:rsid w:val="00B2068A"/>
    <w:rsid w:val="00B207F5"/>
    <w:rsid w:val="00B20B83"/>
    <w:rsid w:val="00B20BD7"/>
    <w:rsid w:val="00B20FE7"/>
    <w:rsid w:val="00B21064"/>
    <w:rsid w:val="00B211D5"/>
    <w:rsid w:val="00B21BC5"/>
    <w:rsid w:val="00B22C40"/>
    <w:rsid w:val="00B23A86"/>
    <w:rsid w:val="00B24843"/>
    <w:rsid w:val="00B27127"/>
    <w:rsid w:val="00B2728E"/>
    <w:rsid w:val="00B27C65"/>
    <w:rsid w:val="00B301E8"/>
    <w:rsid w:val="00B30278"/>
    <w:rsid w:val="00B314DB"/>
    <w:rsid w:val="00B316A7"/>
    <w:rsid w:val="00B31EBE"/>
    <w:rsid w:val="00B321B3"/>
    <w:rsid w:val="00B346FF"/>
    <w:rsid w:val="00B34B9E"/>
    <w:rsid w:val="00B34D82"/>
    <w:rsid w:val="00B36E37"/>
    <w:rsid w:val="00B3718B"/>
    <w:rsid w:val="00B37C3B"/>
    <w:rsid w:val="00B41AAC"/>
    <w:rsid w:val="00B424CD"/>
    <w:rsid w:val="00B42ABC"/>
    <w:rsid w:val="00B42FB2"/>
    <w:rsid w:val="00B432D6"/>
    <w:rsid w:val="00B4461B"/>
    <w:rsid w:val="00B44F4C"/>
    <w:rsid w:val="00B45BE7"/>
    <w:rsid w:val="00B45ECD"/>
    <w:rsid w:val="00B46033"/>
    <w:rsid w:val="00B46313"/>
    <w:rsid w:val="00B4632A"/>
    <w:rsid w:val="00B475F0"/>
    <w:rsid w:val="00B478B1"/>
    <w:rsid w:val="00B478C4"/>
    <w:rsid w:val="00B506F8"/>
    <w:rsid w:val="00B50B12"/>
    <w:rsid w:val="00B50F68"/>
    <w:rsid w:val="00B5149E"/>
    <w:rsid w:val="00B515A8"/>
    <w:rsid w:val="00B5358C"/>
    <w:rsid w:val="00B540E8"/>
    <w:rsid w:val="00B54D6D"/>
    <w:rsid w:val="00B553D0"/>
    <w:rsid w:val="00B55E95"/>
    <w:rsid w:val="00B56796"/>
    <w:rsid w:val="00B56ED1"/>
    <w:rsid w:val="00B574EE"/>
    <w:rsid w:val="00B575D6"/>
    <w:rsid w:val="00B60E25"/>
    <w:rsid w:val="00B62894"/>
    <w:rsid w:val="00B62BC0"/>
    <w:rsid w:val="00B63572"/>
    <w:rsid w:val="00B63577"/>
    <w:rsid w:val="00B64D22"/>
    <w:rsid w:val="00B673F4"/>
    <w:rsid w:val="00B67539"/>
    <w:rsid w:val="00B70462"/>
    <w:rsid w:val="00B72E00"/>
    <w:rsid w:val="00B74DAF"/>
    <w:rsid w:val="00B75BE4"/>
    <w:rsid w:val="00B75D57"/>
    <w:rsid w:val="00B765F1"/>
    <w:rsid w:val="00B76BE8"/>
    <w:rsid w:val="00B779A8"/>
    <w:rsid w:val="00B77B09"/>
    <w:rsid w:val="00B80183"/>
    <w:rsid w:val="00B801CB"/>
    <w:rsid w:val="00B83A9C"/>
    <w:rsid w:val="00B84FC7"/>
    <w:rsid w:val="00B85B6B"/>
    <w:rsid w:val="00B8646F"/>
    <w:rsid w:val="00B86577"/>
    <w:rsid w:val="00B8664E"/>
    <w:rsid w:val="00B868A4"/>
    <w:rsid w:val="00B86A06"/>
    <w:rsid w:val="00B871DF"/>
    <w:rsid w:val="00B8786D"/>
    <w:rsid w:val="00B90178"/>
    <w:rsid w:val="00B920B7"/>
    <w:rsid w:val="00B926B1"/>
    <w:rsid w:val="00B92DC9"/>
    <w:rsid w:val="00B933E1"/>
    <w:rsid w:val="00B933E4"/>
    <w:rsid w:val="00B945B3"/>
    <w:rsid w:val="00BA0255"/>
    <w:rsid w:val="00BA0E3E"/>
    <w:rsid w:val="00BA11D2"/>
    <w:rsid w:val="00BA154C"/>
    <w:rsid w:val="00BA198F"/>
    <w:rsid w:val="00BA1D41"/>
    <w:rsid w:val="00BA273E"/>
    <w:rsid w:val="00BA276C"/>
    <w:rsid w:val="00BA2988"/>
    <w:rsid w:val="00BA3099"/>
    <w:rsid w:val="00BA3133"/>
    <w:rsid w:val="00BA31DF"/>
    <w:rsid w:val="00BA3565"/>
    <w:rsid w:val="00BA6FFA"/>
    <w:rsid w:val="00BA7984"/>
    <w:rsid w:val="00BB151F"/>
    <w:rsid w:val="00BB285D"/>
    <w:rsid w:val="00BB3066"/>
    <w:rsid w:val="00BB306F"/>
    <w:rsid w:val="00BB31F9"/>
    <w:rsid w:val="00BB3466"/>
    <w:rsid w:val="00BB356D"/>
    <w:rsid w:val="00BB36D4"/>
    <w:rsid w:val="00BB438F"/>
    <w:rsid w:val="00BB4587"/>
    <w:rsid w:val="00BB521F"/>
    <w:rsid w:val="00BB53AD"/>
    <w:rsid w:val="00BB5A59"/>
    <w:rsid w:val="00BB633E"/>
    <w:rsid w:val="00BB6D96"/>
    <w:rsid w:val="00BB7556"/>
    <w:rsid w:val="00BB78FE"/>
    <w:rsid w:val="00BB7B0A"/>
    <w:rsid w:val="00BB7C2F"/>
    <w:rsid w:val="00BB7C52"/>
    <w:rsid w:val="00BC04F8"/>
    <w:rsid w:val="00BC0C11"/>
    <w:rsid w:val="00BC2154"/>
    <w:rsid w:val="00BC243A"/>
    <w:rsid w:val="00BC35EB"/>
    <w:rsid w:val="00BC397C"/>
    <w:rsid w:val="00BC5C8F"/>
    <w:rsid w:val="00BC68ED"/>
    <w:rsid w:val="00BC6FB1"/>
    <w:rsid w:val="00BC73B5"/>
    <w:rsid w:val="00BD10AC"/>
    <w:rsid w:val="00BD1D31"/>
    <w:rsid w:val="00BD232B"/>
    <w:rsid w:val="00BD2443"/>
    <w:rsid w:val="00BD2C5B"/>
    <w:rsid w:val="00BD3469"/>
    <w:rsid w:val="00BD393F"/>
    <w:rsid w:val="00BD4B89"/>
    <w:rsid w:val="00BD5B66"/>
    <w:rsid w:val="00BD7372"/>
    <w:rsid w:val="00BD7F14"/>
    <w:rsid w:val="00BE0098"/>
    <w:rsid w:val="00BE014C"/>
    <w:rsid w:val="00BE118B"/>
    <w:rsid w:val="00BE1438"/>
    <w:rsid w:val="00BE14B2"/>
    <w:rsid w:val="00BE201A"/>
    <w:rsid w:val="00BE35D9"/>
    <w:rsid w:val="00BE36D7"/>
    <w:rsid w:val="00BE4872"/>
    <w:rsid w:val="00BE4C89"/>
    <w:rsid w:val="00BE59EF"/>
    <w:rsid w:val="00BE60A3"/>
    <w:rsid w:val="00BE6182"/>
    <w:rsid w:val="00BE6B74"/>
    <w:rsid w:val="00BE7E23"/>
    <w:rsid w:val="00BF0063"/>
    <w:rsid w:val="00BF08CB"/>
    <w:rsid w:val="00BF0A9E"/>
    <w:rsid w:val="00BF1F10"/>
    <w:rsid w:val="00BF2000"/>
    <w:rsid w:val="00BF2523"/>
    <w:rsid w:val="00BF2939"/>
    <w:rsid w:val="00BF334F"/>
    <w:rsid w:val="00BF4865"/>
    <w:rsid w:val="00BF4871"/>
    <w:rsid w:val="00BF4AF7"/>
    <w:rsid w:val="00BF7C42"/>
    <w:rsid w:val="00C0028D"/>
    <w:rsid w:val="00C010E4"/>
    <w:rsid w:val="00C01451"/>
    <w:rsid w:val="00C01BA5"/>
    <w:rsid w:val="00C03059"/>
    <w:rsid w:val="00C0391B"/>
    <w:rsid w:val="00C03A29"/>
    <w:rsid w:val="00C04473"/>
    <w:rsid w:val="00C070BA"/>
    <w:rsid w:val="00C07884"/>
    <w:rsid w:val="00C101BC"/>
    <w:rsid w:val="00C11023"/>
    <w:rsid w:val="00C111ED"/>
    <w:rsid w:val="00C144E7"/>
    <w:rsid w:val="00C14557"/>
    <w:rsid w:val="00C14701"/>
    <w:rsid w:val="00C14CE0"/>
    <w:rsid w:val="00C1525C"/>
    <w:rsid w:val="00C1586E"/>
    <w:rsid w:val="00C16D95"/>
    <w:rsid w:val="00C2142B"/>
    <w:rsid w:val="00C21762"/>
    <w:rsid w:val="00C224DF"/>
    <w:rsid w:val="00C22DD6"/>
    <w:rsid w:val="00C2324A"/>
    <w:rsid w:val="00C23BA8"/>
    <w:rsid w:val="00C24049"/>
    <w:rsid w:val="00C24543"/>
    <w:rsid w:val="00C256A2"/>
    <w:rsid w:val="00C25808"/>
    <w:rsid w:val="00C26A69"/>
    <w:rsid w:val="00C31331"/>
    <w:rsid w:val="00C31770"/>
    <w:rsid w:val="00C3238A"/>
    <w:rsid w:val="00C32560"/>
    <w:rsid w:val="00C32A61"/>
    <w:rsid w:val="00C338B0"/>
    <w:rsid w:val="00C33D69"/>
    <w:rsid w:val="00C33EB0"/>
    <w:rsid w:val="00C340DC"/>
    <w:rsid w:val="00C3492D"/>
    <w:rsid w:val="00C34E6A"/>
    <w:rsid w:val="00C34F68"/>
    <w:rsid w:val="00C35CD6"/>
    <w:rsid w:val="00C3629F"/>
    <w:rsid w:val="00C36E35"/>
    <w:rsid w:val="00C378D1"/>
    <w:rsid w:val="00C4068A"/>
    <w:rsid w:val="00C40941"/>
    <w:rsid w:val="00C41AB9"/>
    <w:rsid w:val="00C423E4"/>
    <w:rsid w:val="00C43174"/>
    <w:rsid w:val="00C43FC7"/>
    <w:rsid w:val="00C443E8"/>
    <w:rsid w:val="00C44886"/>
    <w:rsid w:val="00C44ECB"/>
    <w:rsid w:val="00C45555"/>
    <w:rsid w:val="00C45976"/>
    <w:rsid w:val="00C45A93"/>
    <w:rsid w:val="00C4696E"/>
    <w:rsid w:val="00C46A80"/>
    <w:rsid w:val="00C4716E"/>
    <w:rsid w:val="00C47791"/>
    <w:rsid w:val="00C4793D"/>
    <w:rsid w:val="00C47E39"/>
    <w:rsid w:val="00C506EB"/>
    <w:rsid w:val="00C50A5C"/>
    <w:rsid w:val="00C50C1E"/>
    <w:rsid w:val="00C53F60"/>
    <w:rsid w:val="00C546AB"/>
    <w:rsid w:val="00C5474E"/>
    <w:rsid w:val="00C548C3"/>
    <w:rsid w:val="00C548FA"/>
    <w:rsid w:val="00C55378"/>
    <w:rsid w:val="00C55560"/>
    <w:rsid w:val="00C573C7"/>
    <w:rsid w:val="00C60644"/>
    <w:rsid w:val="00C61997"/>
    <w:rsid w:val="00C62393"/>
    <w:rsid w:val="00C6266E"/>
    <w:rsid w:val="00C62BF4"/>
    <w:rsid w:val="00C640EB"/>
    <w:rsid w:val="00C669C1"/>
    <w:rsid w:val="00C66B72"/>
    <w:rsid w:val="00C674CD"/>
    <w:rsid w:val="00C67F18"/>
    <w:rsid w:val="00C702E0"/>
    <w:rsid w:val="00C714BB"/>
    <w:rsid w:val="00C71F81"/>
    <w:rsid w:val="00C7275B"/>
    <w:rsid w:val="00C7281A"/>
    <w:rsid w:val="00C73487"/>
    <w:rsid w:val="00C74AAA"/>
    <w:rsid w:val="00C74C37"/>
    <w:rsid w:val="00C7526E"/>
    <w:rsid w:val="00C75A4F"/>
    <w:rsid w:val="00C75E68"/>
    <w:rsid w:val="00C76135"/>
    <w:rsid w:val="00C768EA"/>
    <w:rsid w:val="00C76EBB"/>
    <w:rsid w:val="00C77013"/>
    <w:rsid w:val="00C771A2"/>
    <w:rsid w:val="00C77F47"/>
    <w:rsid w:val="00C80BAC"/>
    <w:rsid w:val="00C81339"/>
    <w:rsid w:val="00C81FBE"/>
    <w:rsid w:val="00C82B0B"/>
    <w:rsid w:val="00C84B0E"/>
    <w:rsid w:val="00C84E16"/>
    <w:rsid w:val="00C850FD"/>
    <w:rsid w:val="00C85897"/>
    <w:rsid w:val="00C85CF6"/>
    <w:rsid w:val="00C85DDE"/>
    <w:rsid w:val="00C866C0"/>
    <w:rsid w:val="00C86C06"/>
    <w:rsid w:val="00C87075"/>
    <w:rsid w:val="00C8737F"/>
    <w:rsid w:val="00C9055F"/>
    <w:rsid w:val="00C90AD6"/>
    <w:rsid w:val="00C9128B"/>
    <w:rsid w:val="00C92214"/>
    <w:rsid w:val="00C92CF7"/>
    <w:rsid w:val="00C936C3"/>
    <w:rsid w:val="00C949E2"/>
    <w:rsid w:val="00C94B6D"/>
    <w:rsid w:val="00C94BF5"/>
    <w:rsid w:val="00C9567A"/>
    <w:rsid w:val="00C957E5"/>
    <w:rsid w:val="00C95BF6"/>
    <w:rsid w:val="00C9670F"/>
    <w:rsid w:val="00C96AF3"/>
    <w:rsid w:val="00C96BFF"/>
    <w:rsid w:val="00CA0E2F"/>
    <w:rsid w:val="00CA249C"/>
    <w:rsid w:val="00CA28C5"/>
    <w:rsid w:val="00CA43BB"/>
    <w:rsid w:val="00CA44E8"/>
    <w:rsid w:val="00CA53D1"/>
    <w:rsid w:val="00CA61E3"/>
    <w:rsid w:val="00CA65F1"/>
    <w:rsid w:val="00CA6E49"/>
    <w:rsid w:val="00CB088F"/>
    <w:rsid w:val="00CB13BC"/>
    <w:rsid w:val="00CB17C1"/>
    <w:rsid w:val="00CB2422"/>
    <w:rsid w:val="00CB2660"/>
    <w:rsid w:val="00CB2A1A"/>
    <w:rsid w:val="00CB359E"/>
    <w:rsid w:val="00CB3738"/>
    <w:rsid w:val="00CB3827"/>
    <w:rsid w:val="00CB3A1A"/>
    <w:rsid w:val="00CB6764"/>
    <w:rsid w:val="00CB712B"/>
    <w:rsid w:val="00CB7A42"/>
    <w:rsid w:val="00CC0D1F"/>
    <w:rsid w:val="00CC0D91"/>
    <w:rsid w:val="00CC30E5"/>
    <w:rsid w:val="00CC5E13"/>
    <w:rsid w:val="00CC5E90"/>
    <w:rsid w:val="00CD046C"/>
    <w:rsid w:val="00CD2EE9"/>
    <w:rsid w:val="00CD36BA"/>
    <w:rsid w:val="00CD57D3"/>
    <w:rsid w:val="00CD6BCF"/>
    <w:rsid w:val="00CD7BB2"/>
    <w:rsid w:val="00CE0FD7"/>
    <w:rsid w:val="00CE1390"/>
    <w:rsid w:val="00CE4868"/>
    <w:rsid w:val="00CE4999"/>
    <w:rsid w:val="00CE5199"/>
    <w:rsid w:val="00CE66D5"/>
    <w:rsid w:val="00CE6E2C"/>
    <w:rsid w:val="00CF100C"/>
    <w:rsid w:val="00CF1FF5"/>
    <w:rsid w:val="00CF2346"/>
    <w:rsid w:val="00CF24B3"/>
    <w:rsid w:val="00CF2824"/>
    <w:rsid w:val="00CF297E"/>
    <w:rsid w:val="00CF3EBB"/>
    <w:rsid w:val="00CF4138"/>
    <w:rsid w:val="00CF439C"/>
    <w:rsid w:val="00CF449A"/>
    <w:rsid w:val="00CF4BAF"/>
    <w:rsid w:val="00CF5539"/>
    <w:rsid w:val="00CF6754"/>
    <w:rsid w:val="00CF768E"/>
    <w:rsid w:val="00CF78FA"/>
    <w:rsid w:val="00CF7930"/>
    <w:rsid w:val="00D002FC"/>
    <w:rsid w:val="00D02E9F"/>
    <w:rsid w:val="00D03633"/>
    <w:rsid w:val="00D03C39"/>
    <w:rsid w:val="00D03C79"/>
    <w:rsid w:val="00D04137"/>
    <w:rsid w:val="00D04674"/>
    <w:rsid w:val="00D05066"/>
    <w:rsid w:val="00D07439"/>
    <w:rsid w:val="00D0799B"/>
    <w:rsid w:val="00D07A1B"/>
    <w:rsid w:val="00D11349"/>
    <w:rsid w:val="00D1169D"/>
    <w:rsid w:val="00D11888"/>
    <w:rsid w:val="00D12D6C"/>
    <w:rsid w:val="00D14582"/>
    <w:rsid w:val="00D14B21"/>
    <w:rsid w:val="00D15ABB"/>
    <w:rsid w:val="00D15E54"/>
    <w:rsid w:val="00D16299"/>
    <w:rsid w:val="00D16C41"/>
    <w:rsid w:val="00D208AB"/>
    <w:rsid w:val="00D20D54"/>
    <w:rsid w:val="00D211D9"/>
    <w:rsid w:val="00D2131F"/>
    <w:rsid w:val="00D21D95"/>
    <w:rsid w:val="00D21DA2"/>
    <w:rsid w:val="00D2250C"/>
    <w:rsid w:val="00D22F94"/>
    <w:rsid w:val="00D2345D"/>
    <w:rsid w:val="00D23785"/>
    <w:rsid w:val="00D24291"/>
    <w:rsid w:val="00D2456B"/>
    <w:rsid w:val="00D25889"/>
    <w:rsid w:val="00D25C75"/>
    <w:rsid w:val="00D27FBF"/>
    <w:rsid w:val="00D30316"/>
    <w:rsid w:val="00D30FA7"/>
    <w:rsid w:val="00D31A13"/>
    <w:rsid w:val="00D32D94"/>
    <w:rsid w:val="00D340AA"/>
    <w:rsid w:val="00D34786"/>
    <w:rsid w:val="00D35609"/>
    <w:rsid w:val="00D3641C"/>
    <w:rsid w:val="00D36696"/>
    <w:rsid w:val="00D36A2C"/>
    <w:rsid w:val="00D37539"/>
    <w:rsid w:val="00D40341"/>
    <w:rsid w:val="00D4040F"/>
    <w:rsid w:val="00D40A1E"/>
    <w:rsid w:val="00D41308"/>
    <w:rsid w:val="00D42BAB"/>
    <w:rsid w:val="00D439AE"/>
    <w:rsid w:val="00D43C78"/>
    <w:rsid w:val="00D44A80"/>
    <w:rsid w:val="00D44B04"/>
    <w:rsid w:val="00D44BDF"/>
    <w:rsid w:val="00D45150"/>
    <w:rsid w:val="00D45500"/>
    <w:rsid w:val="00D46CDC"/>
    <w:rsid w:val="00D47631"/>
    <w:rsid w:val="00D47E97"/>
    <w:rsid w:val="00D5025B"/>
    <w:rsid w:val="00D50AFF"/>
    <w:rsid w:val="00D512DC"/>
    <w:rsid w:val="00D52B5B"/>
    <w:rsid w:val="00D537DA"/>
    <w:rsid w:val="00D53F3D"/>
    <w:rsid w:val="00D54FD9"/>
    <w:rsid w:val="00D558C4"/>
    <w:rsid w:val="00D55D01"/>
    <w:rsid w:val="00D568A0"/>
    <w:rsid w:val="00D57019"/>
    <w:rsid w:val="00D57047"/>
    <w:rsid w:val="00D57833"/>
    <w:rsid w:val="00D6092C"/>
    <w:rsid w:val="00D61163"/>
    <w:rsid w:val="00D6144B"/>
    <w:rsid w:val="00D62BD0"/>
    <w:rsid w:val="00D62FFA"/>
    <w:rsid w:val="00D63033"/>
    <w:rsid w:val="00D63233"/>
    <w:rsid w:val="00D63DBE"/>
    <w:rsid w:val="00D64D80"/>
    <w:rsid w:val="00D65E4F"/>
    <w:rsid w:val="00D6603B"/>
    <w:rsid w:val="00D677D5"/>
    <w:rsid w:val="00D712D3"/>
    <w:rsid w:val="00D71422"/>
    <w:rsid w:val="00D7145E"/>
    <w:rsid w:val="00D71A30"/>
    <w:rsid w:val="00D720FF"/>
    <w:rsid w:val="00D72985"/>
    <w:rsid w:val="00D7314E"/>
    <w:rsid w:val="00D73376"/>
    <w:rsid w:val="00D73E27"/>
    <w:rsid w:val="00D74A1F"/>
    <w:rsid w:val="00D74B5B"/>
    <w:rsid w:val="00D74C93"/>
    <w:rsid w:val="00D74F68"/>
    <w:rsid w:val="00D7558D"/>
    <w:rsid w:val="00D76163"/>
    <w:rsid w:val="00D76232"/>
    <w:rsid w:val="00D7649A"/>
    <w:rsid w:val="00D77796"/>
    <w:rsid w:val="00D80145"/>
    <w:rsid w:val="00D80440"/>
    <w:rsid w:val="00D811FF"/>
    <w:rsid w:val="00D81D92"/>
    <w:rsid w:val="00D825B6"/>
    <w:rsid w:val="00D826A0"/>
    <w:rsid w:val="00D82EA8"/>
    <w:rsid w:val="00D838BE"/>
    <w:rsid w:val="00D83DD3"/>
    <w:rsid w:val="00D83FFE"/>
    <w:rsid w:val="00D84378"/>
    <w:rsid w:val="00D84B06"/>
    <w:rsid w:val="00D86569"/>
    <w:rsid w:val="00D87416"/>
    <w:rsid w:val="00D8763F"/>
    <w:rsid w:val="00D877CC"/>
    <w:rsid w:val="00D9040B"/>
    <w:rsid w:val="00D9087A"/>
    <w:rsid w:val="00D915AB"/>
    <w:rsid w:val="00D91B1E"/>
    <w:rsid w:val="00D93446"/>
    <w:rsid w:val="00D9382D"/>
    <w:rsid w:val="00D946AA"/>
    <w:rsid w:val="00D94D1C"/>
    <w:rsid w:val="00D9539C"/>
    <w:rsid w:val="00D95402"/>
    <w:rsid w:val="00D96245"/>
    <w:rsid w:val="00D978E5"/>
    <w:rsid w:val="00DA1520"/>
    <w:rsid w:val="00DA18BD"/>
    <w:rsid w:val="00DA1C24"/>
    <w:rsid w:val="00DA1D1A"/>
    <w:rsid w:val="00DA2A7C"/>
    <w:rsid w:val="00DA3005"/>
    <w:rsid w:val="00DA300A"/>
    <w:rsid w:val="00DA341C"/>
    <w:rsid w:val="00DA41B6"/>
    <w:rsid w:val="00DA44EA"/>
    <w:rsid w:val="00DA4E4E"/>
    <w:rsid w:val="00DA559E"/>
    <w:rsid w:val="00DA55E5"/>
    <w:rsid w:val="00DA5ECF"/>
    <w:rsid w:val="00DA6AB3"/>
    <w:rsid w:val="00DA7151"/>
    <w:rsid w:val="00DA77AA"/>
    <w:rsid w:val="00DA7982"/>
    <w:rsid w:val="00DA79D0"/>
    <w:rsid w:val="00DA7A6A"/>
    <w:rsid w:val="00DA7B5F"/>
    <w:rsid w:val="00DB0387"/>
    <w:rsid w:val="00DB0672"/>
    <w:rsid w:val="00DB0D0D"/>
    <w:rsid w:val="00DB0F13"/>
    <w:rsid w:val="00DB187F"/>
    <w:rsid w:val="00DB18A8"/>
    <w:rsid w:val="00DB1DA3"/>
    <w:rsid w:val="00DB3050"/>
    <w:rsid w:val="00DB30EC"/>
    <w:rsid w:val="00DB3374"/>
    <w:rsid w:val="00DB4573"/>
    <w:rsid w:val="00DB4A1E"/>
    <w:rsid w:val="00DB4D80"/>
    <w:rsid w:val="00DB5C3C"/>
    <w:rsid w:val="00DB710E"/>
    <w:rsid w:val="00DB7493"/>
    <w:rsid w:val="00DC008A"/>
    <w:rsid w:val="00DC07A4"/>
    <w:rsid w:val="00DC174D"/>
    <w:rsid w:val="00DC28C0"/>
    <w:rsid w:val="00DC2FF2"/>
    <w:rsid w:val="00DC3121"/>
    <w:rsid w:val="00DC4839"/>
    <w:rsid w:val="00DC5165"/>
    <w:rsid w:val="00DC6453"/>
    <w:rsid w:val="00DC6D2C"/>
    <w:rsid w:val="00DC7597"/>
    <w:rsid w:val="00DC7693"/>
    <w:rsid w:val="00DD045E"/>
    <w:rsid w:val="00DD1E65"/>
    <w:rsid w:val="00DD2615"/>
    <w:rsid w:val="00DD2635"/>
    <w:rsid w:val="00DD2BE4"/>
    <w:rsid w:val="00DD2C54"/>
    <w:rsid w:val="00DD6DEF"/>
    <w:rsid w:val="00DD6F04"/>
    <w:rsid w:val="00DD759E"/>
    <w:rsid w:val="00DD7C5E"/>
    <w:rsid w:val="00DE0266"/>
    <w:rsid w:val="00DE1726"/>
    <w:rsid w:val="00DE174A"/>
    <w:rsid w:val="00DE26A2"/>
    <w:rsid w:val="00DE5D25"/>
    <w:rsid w:val="00DE62F2"/>
    <w:rsid w:val="00DE67FF"/>
    <w:rsid w:val="00DE735D"/>
    <w:rsid w:val="00DE7417"/>
    <w:rsid w:val="00DE783D"/>
    <w:rsid w:val="00DE7D2E"/>
    <w:rsid w:val="00DF0A39"/>
    <w:rsid w:val="00DF1CDD"/>
    <w:rsid w:val="00DF1DF9"/>
    <w:rsid w:val="00DF23E1"/>
    <w:rsid w:val="00DF4BDE"/>
    <w:rsid w:val="00DF5077"/>
    <w:rsid w:val="00DF7793"/>
    <w:rsid w:val="00E01B40"/>
    <w:rsid w:val="00E02360"/>
    <w:rsid w:val="00E023DF"/>
    <w:rsid w:val="00E04093"/>
    <w:rsid w:val="00E052B0"/>
    <w:rsid w:val="00E067A6"/>
    <w:rsid w:val="00E06DDE"/>
    <w:rsid w:val="00E0702F"/>
    <w:rsid w:val="00E0734B"/>
    <w:rsid w:val="00E0740A"/>
    <w:rsid w:val="00E10778"/>
    <w:rsid w:val="00E10805"/>
    <w:rsid w:val="00E11392"/>
    <w:rsid w:val="00E11D68"/>
    <w:rsid w:val="00E12B3B"/>
    <w:rsid w:val="00E1339C"/>
    <w:rsid w:val="00E1451D"/>
    <w:rsid w:val="00E1542D"/>
    <w:rsid w:val="00E15FBA"/>
    <w:rsid w:val="00E16F9D"/>
    <w:rsid w:val="00E17683"/>
    <w:rsid w:val="00E200F9"/>
    <w:rsid w:val="00E2121C"/>
    <w:rsid w:val="00E22278"/>
    <w:rsid w:val="00E2284A"/>
    <w:rsid w:val="00E230FD"/>
    <w:rsid w:val="00E2398E"/>
    <w:rsid w:val="00E23A98"/>
    <w:rsid w:val="00E25A41"/>
    <w:rsid w:val="00E25AE9"/>
    <w:rsid w:val="00E2673A"/>
    <w:rsid w:val="00E26EDD"/>
    <w:rsid w:val="00E26F97"/>
    <w:rsid w:val="00E26FCD"/>
    <w:rsid w:val="00E27AA4"/>
    <w:rsid w:val="00E30281"/>
    <w:rsid w:val="00E32696"/>
    <w:rsid w:val="00E3317B"/>
    <w:rsid w:val="00E337D9"/>
    <w:rsid w:val="00E33CA7"/>
    <w:rsid w:val="00E33E64"/>
    <w:rsid w:val="00E3622A"/>
    <w:rsid w:val="00E364C4"/>
    <w:rsid w:val="00E3757F"/>
    <w:rsid w:val="00E37980"/>
    <w:rsid w:val="00E42C74"/>
    <w:rsid w:val="00E43157"/>
    <w:rsid w:val="00E43212"/>
    <w:rsid w:val="00E4390D"/>
    <w:rsid w:val="00E43C54"/>
    <w:rsid w:val="00E43C96"/>
    <w:rsid w:val="00E45D29"/>
    <w:rsid w:val="00E461F9"/>
    <w:rsid w:val="00E46307"/>
    <w:rsid w:val="00E4781D"/>
    <w:rsid w:val="00E50136"/>
    <w:rsid w:val="00E50499"/>
    <w:rsid w:val="00E50799"/>
    <w:rsid w:val="00E533FF"/>
    <w:rsid w:val="00E53BD8"/>
    <w:rsid w:val="00E53DC6"/>
    <w:rsid w:val="00E53E5E"/>
    <w:rsid w:val="00E54EF8"/>
    <w:rsid w:val="00E56477"/>
    <w:rsid w:val="00E56B6C"/>
    <w:rsid w:val="00E57833"/>
    <w:rsid w:val="00E57B6B"/>
    <w:rsid w:val="00E57ECF"/>
    <w:rsid w:val="00E6049E"/>
    <w:rsid w:val="00E608CA"/>
    <w:rsid w:val="00E61067"/>
    <w:rsid w:val="00E61732"/>
    <w:rsid w:val="00E61DC3"/>
    <w:rsid w:val="00E61FC3"/>
    <w:rsid w:val="00E62965"/>
    <w:rsid w:val="00E6356C"/>
    <w:rsid w:val="00E6364D"/>
    <w:rsid w:val="00E638AB"/>
    <w:rsid w:val="00E63B98"/>
    <w:rsid w:val="00E64645"/>
    <w:rsid w:val="00E64863"/>
    <w:rsid w:val="00E648F3"/>
    <w:rsid w:val="00E64AF6"/>
    <w:rsid w:val="00E64E6F"/>
    <w:rsid w:val="00E654A2"/>
    <w:rsid w:val="00E65CB4"/>
    <w:rsid w:val="00E676AB"/>
    <w:rsid w:val="00E67989"/>
    <w:rsid w:val="00E709B3"/>
    <w:rsid w:val="00E70B54"/>
    <w:rsid w:val="00E711AB"/>
    <w:rsid w:val="00E7126F"/>
    <w:rsid w:val="00E71E57"/>
    <w:rsid w:val="00E71FD7"/>
    <w:rsid w:val="00E72C66"/>
    <w:rsid w:val="00E73318"/>
    <w:rsid w:val="00E74123"/>
    <w:rsid w:val="00E74177"/>
    <w:rsid w:val="00E753FA"/>
    <w:rsid w:val="00E75FA5"/>
    <w:rsid w:val="00E766FD"/>
    <w:rsid w:val="00E7676B"/>
    <w:rsid w:val="00E767BD"/>
    <w:rsid w:val="00E7739E"/>
    <w:rsid w:val="00E774E4"/>
    <w:rsid w:val="00E80E83"/>
    <w:rsid w:val="00E81771"/>
    <w:rsid w:val="00E81A3E"/>
    <w:rsid w:val="00E82A9C"/>
    <w:rsid w:val="00E82F32"/>
    <w:rsid w:val="00E830CC"/>
    <w:rsid w:val="00E867DE"/>
    <w:rsid w:val="00E86ABD"/>
    <w:rsid w:val="00E86E84"/>
    <w:rsid w:val="00E86EAF"/>
    <w:rsid w:val="00E87515"/>
    <w:rsid w:val="00E8789F"/>
    <w:rsid w:val="00E908CF"/>
    <w:rsid w:val="00E91BE2"/>
    <w:rsid w:val="00E920D0"/>
    <w:rsid w:val="00E92107"/>
    <w:rsid w:val="00E92215"/>
    <w:rsid w:val="00E92993"/>
    <w:rsid w:val="00E9316D"/>
    <w:rsid w:val="00E9318F"/>
    <w:rsid w:val="00E93BDB"/>
    <w:rsid w:val="00E94203"/>
    <w:rsid w:val="00E94D19"/>
    <w:rsid w:val="00E94E3D"/>
    <w:rsid w:val="00E96942"/>
    <w:rsid w:val="00E978C5"/>
    <w:rsid w:val="00E97B71"/>
    <w:rsid w:val="00EA01E7"/>
    <w:rsid w:val="00EA077D"/>
    <w:rsid w:val="00EA0E0D"/>
    <w:rsid w:val="00EA1283"/>
    <w:rsid w:val="00EA26BA"/>
    <w:rsid w:val="00EA425E"/>
    <w:rsid w:val="00EA4410"/>
    <w:rsid w:val="00EA5A04"/>
    <w:rsid w:val="00EA5FE2"/>
    <w:rsid w:val="00EA603E"/>
    <w:rsid w:val="00EA6A6E"/>
    <w:rsid w:val="00EA70E0"/>
    <w:rsid w:val="00EB0252"/>
    <w:rsid w:val="00EB134D"/>
    <w:rsid w:val="00EB24D7"/>
    <w:rsid w:val="00EB4080"/>
    <w:rsid w:val="00EB454D"/>
    <w:rsid w:val="00EB454F"/>
    <w:rsid w:val="00EB4B7E"/>
    <w:rsid w:val="00EB51DC"/>
    <w:rsid w:val="00EB51EA"/>
    <w:rsid w:val="00EB55C1"/>
    <w:rsid w:val="00EB6170"/>
    <w:rsid w:val="00EB62D9"/>
    <w:rsid w:val="00EB6316"/>
    <w:rsid w:val="00EB6B06"/>
    <w:rsid w:val="00EB7F0A"/>
    <w:rsid w:val="00EC0411"/>
    <w:rsid w:val="00EC0BA4"/>
    <w:rsid w:val="00EC112E"/>
    <w:rsid w:val="00EC1628"/>
    <w:rsid w:val="00EC20C2"/>
    <w:rsid w:val="00EC27D8"/>
    <w:rsid w:val="00EC2AAD"/>
    <w:rsid w:val="00EC2E20"/>
    <w:rsid w:val="00EC31F9"/>
    <w:rsid w:val="00EC45C1"/>
    <w:rsid w:val="00EC5570"/>
    <w:rsid w:val="00EC596F"/>
    <w:rsid w:val="00EC68B2"/>
    <w:rsid w:val="00EC6931"/>
    <w:rsid w:val="00EC73C8"/>
    <w:rsid w:val="00EC74EB"/>
    <w:rsid w:val="00ED0E31"/>
    <w:rsid w:val="00ED1405"/>
    <w:rsid w:val="00ED147C"/>
    <w:rsid w:val="00ED18FD"/>
    <w:rsid w:val="00ED19E9"/>
    <w:rsid w:val="00ED1A76"/>
    <w:rsid w:val="00ED1C8D"/>
    <w:rsid w:val="00ED2D1D"/>
    <w:rsid w:val="00ED3A8E"/>
    <w:rsid w:val="00ED3AB2"/>
    <w:rsid w:val="00ED4CBA"/>
    <w:rsid w:val="00ED56AB"/>
    <w:rsid w:val="00ED5BE1"/>
    <w:rsid w:val="00EE04C1"/>
    <w:rsid w:val="00EE0BA9"/>
    <w:rsid w:val="00EE0D3E"/>
    <w:rsid w:val="00EE140F"/>
    <w:rsid w:val="00EE14C5"/>
    <w:rsid w:val="00EE3522"/>
    <w:rsid w:val="00EE36D7"/>
    <w:rsid w:val="00EE39AD"/>
    <w:rsid w:val="00EE39F1"/>
    <w:rsid w:val="00EE4E4B"/>
    <w:rsid w:val="00EE5C5E"/>
    <w:rsid w:val="00EE5D7E"/>
    <w:rsid w:val="00EE5E58"/>
    <w:rsid w:val="00EF04A0"/>
    <w:rsid w:val="00EF0CEF"/>
    <w:rsid w:val="00EF1247"/>
    <w:rsid w:val="00EF2493"/>
    <w:rsid w:val="00EF36AC"/>
    <w:rsid w:val="00EF49F0"/>
    <w:rsid w:val="00EF4EC3"/>
    <w:rsid w:val="00EF56CE"/>
    <w:rsid w:val="00EF5AA9"/>
    <w:rsid w:val="00EF619B"/>
    <w:rsid w:val="00EF6972"/>
    <w:rsid w:val="00EF7231"/>
    <w:rsid w:val="00EF774B"/>
    <w:rsid w:val="00F005EE"/>
    <w:rsid w:val="00F00B55"/>
    <w:rsid w:val="00F0193E"/>
    <w:rsid w:val="00F04AFE"/>
    <w:rsid w:val="00F059CF"/>
    <w:rsid w:val="00F05B63"/>
    <w:rsid w:val="00F06961"/>
    <w:rsid w:val="00F0764A"/>
    <w:rsid w:val="00F1005F"/>
    <w:rsid w:val="00F11242"/>
    <w:rsid w:val="00F11741"/>
    <w:rsid w:val="00F1380F"/>
    <w:rsid w:val="00F13CDA"/>
    <w:rsid w:val="00F14613"/>
    <w:rsid w:val="00F14F0E"/>
    <w:rsid w:val="00F14F98"/>
    <w:rsid w:val="00F15799"/>
    <w:rsid w:val="00F15B6A"/>
    <w:rsid w:val="00F16AD4"/>
    <w:rsid w:val="00F175ED"/>
    <w:rsid w:val="00F1763D"/>
    <w:rsid w:val="00F17799"/>
    <w:rsid w:val="00F20236"/>
    <w:rsid w:val="00F2059E"/>
    <w:rsid w:val="00F20D2B"/>
    <w:rsid w:val="00F21553"/>
    <w:rsid w:val="00F21703"/>
    <w:rsid w:val="00F2328B"/>
    <w:rsid w:val="00F24C29"/>
    <w:rsid w:val="00F253CC"/>
    <w:rsid w:val="00F25C31"/>
    <w:rsid w:val="00F267BE"/>
    <w:rsid w:val="00F27458"/>
    <w:rsid w:val="00F274FC"/>
    <w:rsid w:val="00F277DB"/>
    <w:rsid w:val="00F27ACD"/>
    <w:rsid w:val="00F27CD8"/>
    <w:rsid w:val="00F311E2"/>
    <w:rsid w:val="00F31814"/>
    <w:rsid w:val="00F3379A"/>
    <w:rsid w:val="00F337EB"/>
    <w:rsid w:val="00F34265"/>
    <w:rsid w:val="00F352FC"/>
    <w:rsid w:val="00F35C2A"/>
    <w:rsid w:val="00F35E2A"/>
    <w:rsid w:val="00F3660C"/>
    <w:rsid w:val="00F36D40"/>
    <w:rsid w:val="00F36F27"/>
    <w:rsid w:val="00F37044"/>
    <w:rsid w:val="00F37481"/>
    <w:rsid w:val="00F37F99"/>
    <w:rsid w:val="00F40879"/>
    <w:rsid w:val="00F40B92"/>
    <w:rsid w:val="00F4129A"/>
    <w:rsid w:val="00F427E6"/>
    <w:rsid w:val="00F434F9"/>
    <w:rsid w:val="00F438CD"/>
    <w:rsid w:val="00F441B9"/>
    <w:rsid w:val="00F44529"/>
    <w:rsid w:val="00F45EBF"/>
    <w:rsid w:val="00F461D1"/>
    <w:rsid w:val="00F46498"/>
    <w:rsid w:val="00F503B5"/>
    <w:rsid w:val="00F508E3"/>
    <w:rsid w:val="00F511F7"/>
    <w:rsid w:val="00F51F0D"/>
    <w:rsid w:val="00F5237B"/>
    <w:rsid w:val="00F545AC"/>
    <w:rsid w:val="00F548A6"/>
    <w:rsid w:val="00F5497B"/>
    <w:rsid w:val="00F54CB0"/>
    <w:rsid w:val="00F55507"/>
    <w:rsid w:val="00F55F3B"/>
    <w:rsid w:val="00F5694D"/>
    <w:rsid w:val="00F56A40"/>
    <w:rsid w:val="00F56BA5"/>
    <w:rsid w:val="00F56BE1"/>
    <w:rsid w:val="00F56D59"/>
    <w:rsid w:val="00F57538"/>
    <w:rsid w:val="00F6022A"/>
    <w:rsid w:val="00F60E01"/>
    <w:rsid w:val="00F61379"/>
    <w:rsid w:val="00F6160F"/>
    <w:rsid w:val="00F61BE4"/>
    <w:rsid w:val="00F6255A"/>
    <w:rsid w:val="00F62C42"/>
    <w:rsid w:val="00F637BF"/>
    <w:rsid w:val="00F642A9"/>
    <w:rsid w:val="00F644B2"/>
    <w:rsid w:val="00F644E6"/>
    <w:rsid w:val="00F6589A"/>
    <w:rsid w:val="00F66BDC"/>
    <w:rsid w:val="00F71643"/>
    <w:rsid w:val="00F71F53"/>
    <w:rsid w:val="00F725D1"/>
    <w:rsid w:val="00F737D9"/>
    <w:rsid w:val="00F7392C"/>
    <w:rsid w:val="00F746CA"/>
    <w:rsid w:val="00F74B0B"/>
    <w:rsid w:val="00F760C8"/>
    <w:rsid w:val="00F769C7"/>
    <w:rsid w:val="00F7730A"/>
    <w:rsid w:val="00F7784C"/>
    <w:rsid w:val="00F77995"/>
    <w:rsid w:val="00F77BFA"/>
    <w:rsid w:val="00F77E6F"/>
    <w:rsid w:val="00F820EF"/>
    <w:rsid w:val="00F82683"/>
    <w:rsid w:val="00F83D11"/>
    <w:rsid w:val="00F857F6"/>
    <w:rsid w:val="00F86586"/>
    <w:rsid w:val="00F86B08"/>
    <w:rsid w:val="00F86E36"/>
    <w:rsid w:val="00F86EE8"/>
    <w:rsid w:val="00F86F6E"/>
    <w:rsid w:val="00F87A9A"/>
    <w:rsid w:val="00F916AC"/>
    <w:rsid w:val="00F92CA1"/>
    <w:rsid w:val="00F93061"/>
    <w:rsid w:val="00F93826"/>
    <w:rsid w:val="00F945F6"/>
    <w:rsid w:val="00F9518D"/>
    <w:rsid w:val="00F9653B"/>
    <w:rsid w:val="00F97714"/>
    <w:rsid w:val="00F97B89"/>
    <w:rsid w:val="00F97D53"/>
    <w:rsid w:val="00FA081A"/>
    <w:rsid w:val="00FA1759"/>
    <w:rsid w:val="00FA1ADA"/>
    <w:rsid w:val="00FA2245"/>
    <w:rsid w:val="00FA2C02"/>
    <w:rsid w:val="00FA2C1D"/>
    <w:rsid w:val="00FA310E"/>
    <w:rsid w:val="00FA359A"/>
    <w:rsid w:val="00FA3BDF"/>
    <w:rsid w:val="00FA63CD"/>
    <w:rsid w:val="00FA7982"/>
    <w:rsid w:val="00FA7CCD"/>
    <w:rsid w:val="00FB0E27"/>
    <w:rsid w:val="00FB0F94"/>
    <w:rsid w:val="00FB10AF"/>
    <w:rsid w:val="00FB1A16"/>
    <w:rsid w:val="00FB1A3C"/>
    <w:rsid w:val="00FB2597"/>
    <w:rsid w:val="00FB2DC9"/>
    <w:rsid w:val="00FB4EE9"/>
    <w:rsid w:val="00FB62CF"/>
    <w:rsid w:val="00FB74AE"/>
    <w:rsid w:val="00FC052E"/>
    <w:rsid w:val="00FC084F"/>
    <w:rsid w:val="00FC1E3D"/>
    <w:rsid w:val="00FC3262"/>
    <w:rsid w:val="00FC3283"/>
    <w:rsid w:val="00FC3EB4"/>
    <w:rsid w:val="00FC544A"/>
    <w:rsid w:val="00FC6C58"/>
    <w:rsid w:val="00FC789C"/>
    <w:rsid w:val="00FC78B0"/>
    <w:rsid w:val="00FD0B4D"/>
    <w:rsid w:val="00FD1C8A"/>
    <w:rsid w:val="00FD1DD0"/>
    <w:rsid w:val="00FD1E1C"/>
    <w:rsid w:val="00FD279F"/>
    <w:rsid w:val="00FD3BD1"/>
    <w:rsid w:val="00FD49B3"/>
    <w:rsid w:val="00FD5518"/>
    <w:rsid w:val="00FD635E"/>
    <w:rsid w:val="00FD71F0"/>
    <w:rsid w:val="00FD746F"/>
    <w:rsid w:val="00FE022B"/>
    <w:rsid w:val="00FE09CA"/>
    <w:rsid w:val="00FE140A"/>
    <w:rsid w:val="00FE144F"/>
    <w:rsid w:val="00FE157F"/>
    <w:rsid w:val="00FE1EAD"/>
    <w:rsid w:val="00FE1FFB"/>
    <w:rsid w:val="00FE21AB"/>
    <w:rsid w:val="00FE3B59"/>
    <w:rsid w:val="00FE3CEC"/>
    <w:rsid w:val="00FE40DE"/>
    <w:rsid w:val="00FE4DCD"/>
    <w:rsid w:val="00FE5165"/>
    <w:rsid w:val="00FE57F6"/>
    <w:rsid w:val="00FE6B45"/>
    <w:rsid w:val="00FE6B58"/>
    <w:rsid w:val="00FE6EBC"/>
    <w:rsid w:val="00FE769E"/>
    <w:rsid w:val="00FF05BC"/>
    <w:rsid w:val="00FF0651"/>
    <w:rsid w:val="00FF087F"/>
    <w:rsid w:val="00FF1B5F"/>
    <w:rsid w:val="00FF1C1C"/>
    <w:rsid w:val="00FF2B99"/>
    <w:rsid w:val="00FF379A"/>
    <w:rsid w:val="00FF3FB7"/>
    <w:rsid w:val="00FF4B22"/>
    <w:rsid w:val="00FF5724"/>
    <w:rsid w:val="00FF5851"/>
    <w:rsid w:val="00FF6C89"/>
    <w:rsid w:val="00FF7818"/>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E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E07EB"/>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6E07EB"/>
    <w:pPr>
      <w:tabs>
        <w:tab w:val="left" w:pos="1080"/>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36F32"/>
    <w:pPr>
      <w:tabs>
        <w:tab w:val="left" w:pos="880"/>
        <w:tab w:val="left" w:pos="1440"/>
        <w:tab w:val="left" w:pos="1800"/>
        <w:tab w:val="right" w:leader="dot" w:pos="9350"/>
      </w:tabs>
      <w:spacing w:after="100"/>
      <w:ind w:left="180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uiPriority w:val="99"/>
    <w:rsid w:val="00191F07"/>
    <w:rPr>
      <w:rFonts w:cs="Arial Unicode MS"/>
      <w:color w:val="000000"/>
      <w:u w:color="000000"/>
      <w:lang w:val="en-US" w:eastAsia="en-US"/>
    </w:rPr>
  </w:style>
  <w:style w:type="numbering" w:customStyle="1" w:styleId="ImportedStyle3">
    <w:name w:val="Imported Style 3"/>
    <w:rsid w:val="006A72B7"/>
    <w:pPr>
      <w:numPr>
        <w:numId w:val="62"/>
      </w:numPr>
    </w:pPr>
  </w:style>
  <w:style w:type="numbering" w:customStyle="1" w:styleId="ImportedStyle4">
    <w:name w:val="Imported Style 4"/>
    <w:rsid w:val="00EA425E"/>
    <w:pPr>
      <w:numPr>
        <w:numId w:val="63"/>
      </w:numPr>
    </w:pPr>
  </w:style>
  <w:style w:type="numbering" w:customStyle="1" w:styleId="ImportedStyle5">
    <w:name w:val="Imported Style 5"/>
    <w:rsid w:val="00C80BAC"/>
    <w:pPr>
      <w:numPr>
        <w:numId w:val="64"/>
      </w:numPr>
    </w:pPr>
  </w:style>
  <w:style w:type="numbering" w:customStyle="1" w:styleId="ImportedStyle6">
    <w:name w:val="Imported Style 6"/>
    <w:rsid w:val="00264225"/>
    <w:pPr>
      <w:numPr>
        <w:numId w:val="65"/>
      </w:numPr>
    </w:pPr>
  </w:style>
  <w:style w:type="numbering" w:customStyle="1" w:styleId="ImportedStyle8">
    <w:name w:val="Imported Style 8"/>
    <w:rsid w:val="00037CC9"/>
    <w:pPr>
      <w:numPr>
        <w:numId w:val="67"/>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customStyle="1" w:styleId="norm">
    <w:name w:val="norm"/>
    <w:basedOn w:val="Normal"/>
    <w:rsid w:val="00ED1C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pPr>
    <w:rPr>
      <w:rFonts w:ascii="Palatino Linotype" w:eastAsia="Times New Roman" w:hAnsi="Palatino Linotype"/>
      <w:sz w:val="28"/>
      <w:szCs w:val="28"/>
      <w:bdr w:val="none" w:sz="0" w:space="0" w:color="auto"/>
    </w:rPr>
  </w:style>
  <w:style w:type="character" w:customStyle="1" w:styleId="bold1">
    <w:name w:val="bold1"/>
    <w:basedOn w:val="DefaultParagraphFont"/>
    <w:rsid w:val="00ED1C8D"/>
    <w:rPr>
      <w:rFonts w:ascii="Palatino Linotype" w:hAnsi="Palatino Linotype" w:hint="default"/>
      <w:b/>
      <w:bCs/>
      <w:sz w:val="28"/>
      <w:szCs w:val="28"/>
    </w:rPr>
  </w:style>
  <w:style w:type="paragraph" w:customStyle="1" w:styleId="tiny">
    <w:name w:val="tiny"/>
    <w:basedOn w:val="Normal"/>
    <w:rsid w:val="001E55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i/>
      <w:iCs/>
      <w:color w:val="FFFFFF"/>
      <w:sz w:val="8"/>
      <w:szCs w:val="8"/>
      <w:bdr w:val="none" w:sz="0" w:space="0" w:color="auto"/>
    </w:rPr>
  </w:style>
  <w:style w:type="paragraph" w:styleId="BodyTextIndent2">
    <w:name w:val="Body Text Indent 2"/>
    <w:basedOn w:val="Normal"/>
    <w:link w:val="BodyTextIndent2Char"/>
    <w:semiHidden/>
    <w:unhideWhenUsed/>
    <w:rsid w:val="00BA273E"/>
    <w:pPr>
      <w:spacing w:after="120" w:line="480" w:lineRule="auto"/>
      <w:ind w:left="360"/>
    </w:pPr>
  </w:style>
  <w:style w:type="character" w:customStyle="1" w:styleId="BodyTextIndent2Char">
    <w:name w:val="Body Text Indent 2 Char"/>
    <w:basedOn w:val="DefaultParagraphFont"/>
    <w:link w:val="BodyTextIndent2"/>
    <w:semiHidden/>
    <w:rsid w:val="00BA27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34296202">
      <w:bodyDiv w:val="1"/>
      <w:marLeft w:val="0"/>
      <w:marRight w:val="0"/>
      <w:marTop w:val="0"/>
      <w:marBottom w:val="0"/>
      <w:divBdr>
        <w:top w:val="none" w:sz="0" w:space="0" w:color="auto"/>
        <w:left w:val="none" w:sz="0" w:space="0" w:color="auto"/>
        <w:bottom w:val="none" w:sz="0" w:space="0" w:color="auto"/>
        <w:right w:val="none" w:sz="0" w:space="0" w:color="auto"/>
      </w:divBdr>
    </w:div>
    <w:div w:id="534736935">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71164389">
      <w:bodyDiv w:val="1"/>
      <w:marLeft w:val="0"/>
      <w:marRight w:val="0"/>
      <w:marTop w:val="0"/>
      <w:marBottom w:val="0"/>
      <w:divBdr>
        <w:top w:val="none" w:sz="0" w:space="0" w:color="auto"/>
        <w:left w:val="none" w:sz="0" w:space="0" w:color="auto"/>
        <w:bottom w:val="none" w:sz="0" w:space="0" w:color="auto"/>
        <w:right w:val="none" w:sz="0" w:space="0" w:color="auto"/>
      </w:divBdr>
      <w:divsChild>
        <w:div w:id="1653824192">
          <w:marLeft w:val="0"/>
          <w:marRight w:val="0"/>
          <w:marTop w:val="0"/>
          <w:marBottom w:val="0"/>
          <w:divBdr>
            <w:top w:val="none" w:sz="0" w:space="0" w:color="auto"/>
            <w:left w:val="none" w:sz="0" w:space="0" w:color="auto"/>
            <w:bottom w:val="none" w:sz="0" w:space="0" w:color="auto"/>
            <w:right w:val="none" w:sz="0" w:space="0" w:color="auto"/>
          </w:divBdr>
          <w:divsChild>
            <w:div w:id="252052519">
              <w:marLeft w:val="0"/>
              <w:marRight w:val="0"/>
              <w:marTop w:val="0"/>
              <w:marBottom w:val="0"/>
              <w:divBdr>
                <w:top w:val="none" w:sz="0" w:space="0" w:color="auto"/>
                <w:left w:val="none" w:sz="0" w:space="0" w:color="auto"/>
                <w:bottom w:val="none" w:sz="0" w:space="0" w:color="auto"/>
                <w:right w:val="none" w:sz="0" w:space="0" w:color="auto"/>
              </w:divBdr>
              <w:divsChild>
                <w:div w:id="1794327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825510943">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07296216">
      <w:bodyDiv w:val="1"/>
      <w:marLeft w:val="0"/>
      <w:marRight w:val="0"/>
      <w:marTop w:val="0"/>
      <w:marBottom w:val="0"/>
      <w:divBdr>
        <w:top w:val="none" w:sz="0" w:space="0" w:color="auto"/>
        <w:left w:val="none" w:sz="0" w:space="0" w:color="auto"/>
        <w:bottom w:val="none" w:sz="0" w:space="0" w:color="auto"/>
        <w:right w:val="none" w:sz="0" w:space="0" w:color="auto"/>
      </w:divBdr>
      <w:divsChild>
        <w:div w:id="1089429906">
          <w:marLeft w:val="0"/>
          <w:marRight w:val="0"/>
          <w:marTop w:val="0"/>
          <w:marBottom w:val="0"/>
          <w:divBdr>
            <w:top w:val="none" w:sz="0" w:space="0" w:color="auto"/>
            <w:left w:val="none" w:sz="0" w:space="0" w:color="auto"/>
            <w:bottom w:val="none" w:sz="0" w:space="0" w:color="auto"/>
            <w:right w:val="none" w:sz="0" w:space="0" w:color="auto"/>
          </w:divBdr>
          <w:divsChild>
            <w:div w:id="32312152">
              <w:marLeft w:val="0"/>
              <w:marRight w:val="0"/>
              <w:marTop w:val="0"/>
              <w:marBottom w:val="0"/>
              <w:divBdr>
                <w:top w:val="none" w:sz="0" w:space="0" w:color="auto"/>
                <w:left w:val="none" w:sz="0" w:space="0" w:color="auto"/>
                <w:bottom w:val="none" w:sz="0" w:space="0" w:color="auto"/>
                <w:right w:val="none" w:sz="0" w:space="0" w:color="auto"/>
              </w:divBdr>
              <w:divsChild>
                <w:div w:id="491483317">
                  <w:marLeft w:val="0"/>
                  <w:marRight w:val="0"/>
                  <w:marTop w:val="0"/>
                  <w:marBottom w:val="0"/>
                  <w:divBdr>
                    <w:top w:val="none" w:sz="0" w:space="0" w:color="auto"/>
                    <w:left w:val="none" w:sz="0" w:space="0" w:color="auto"/>
                    <w:bottom w:val="none" w:sz="0" w:space="0" w:color="auto"/>
                    <w:right w:val="none" w:sz="0" w:space="0" w:color="auto"/>
                  </w:divBdr>
                  <w:divsChild>
                    <w:div w:id="1401051643">
                      <w:marLeft w:val="0"/>
                      <w:marRight w:val="0"/>
                      <w:marTop w:val="0"/>
                      <w:marBottom w:val="0"/>
                      <w:divBdr>
                        <w:top w:val="none" w:sz="0" w:space="0" w:color="auto"/>
                        <w:left w:val="none" w:sz="0" w:space="0" w:color="auto"/>
                        <w:bottom w:val="none" w:sz="0" w:space="0" w:color="auto"/>
                        <w:right w:val="none" w:sz="0" w:space="0" w:color="auto"/>
                      </w:divBdr>
                      <w:divsChild>
                        <w:div w:id="1004211956">
                          <w:marLeft w:val="0"/>
                          <w:marRight w:val="0"/>
                          <w:marTop w:val="0"/>
                          <w:marBottom w:val="0"/>
                          <w:divBdr>
                            <w:top w:val="none" w:sz="0" w:space="0" w:color="auto"/>
                            <w:left w:val="none" w:sz="0" w:space="0" w:color="auto"/>
                            <w:bottom w:val="none" w:sz="0" w:space="0" w:color="auto"/>
                            <w:right w:val="none" w:sz="0" w:space="0" w:color="auto"/>
                          </w:divBdr>
                          <w:divsChild>
                            <w:div w:id="6190691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50006191">
      <w:bodyDiv w:val="1"/>
      <w:marLeft w:val="0"/>
      <w:marRight w:val="0"/>
      <w:marTop w:val="0"/>
      <w:marBottom w:val="0"/>
      <w:divBdr>
        <w:top w:val="none" w:sz="0" w:space="0" w:color="auto"/>
        <w:left w:val="none" w:sz="0" w:space="0" w:color="auto"/>
        <w:bottom w:val="none" w:sz="0" w:space="0" w:color="auto"/>
        <w:right w:val="none" w:sz="0" w:space="0" w:color="auto"/>
      </w:divBdr>
      <w:divsChild>
        <w:div w:id="877820074">
          <w:marLeft w:val="0"/>
          <w:marRight w:val="0"/>
          <w:marTop w:val="0"/>
          <w:marBottom w:val="0"/>
          <w:divBdr>
            <w:top w:val="none" w:sz="0" w:space="0" w:color="auto"/>
            <w:left w:val="none" w:sz="0" w:space="0" w:color="auto"/>
            <w:bottom w:val="none" w:sz="0" w:space="0" w:color="auto"/>
            <w:right w:val="none" w:sz="0" w:space="0" w:color="auto"/>
          </w:divBdr>
        </w:div>
      </w:divsChild>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5597564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63204573">
      <w:bodyDiv w:val="1"/>
      <w:marLeft w:val="0"/>
      <w:marRight w:val="0"/>
      <w:marTop w:val="0"/>
      <w:marBottom w:val="0"/>
      <w:divBdr>
        <w:top w:val="none" w:sz="0" w:space="0" w:color="auto"/>
        <w:left w:val="none" w:sz="0" w:space="0" w:color="auto"/>
        <w:bottom w:val="none" w:sz="0" w:space="0" w:color="auto"/>
        <w:right w:val="none" w:sz="0" w:space="0" w:color="auto"/>
      </w:divBdr>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51158354">
      <w:bodyDiv w:val="1"/>
      <w:marLeft w:val="0"/>
      <w:marRight w:val="0"/>
      <w:marTop w:val="0"/>
      <w:marBottom w:val="0"/>
      <w:divBdr>
        <w:top w:val="none" w:sz="0" w:space="0" w:color="auto"/>
        <w:left w:val="none" w:sz="0" w:space="0" w:color="auto"/>
        <w:bottom w:val="none" w:sz="0" w:space="0" w:color="auto"/>
        <w:right w:val="none" w:sz="0" w:space="0" w:color="auto"/>
      </w:divBdr>
      <w:divsChild>
        <w:div w:id="1000886464">
          <w:marLeft w:val="0"/>
          <w:marRight w:val="0"/>
          <w:marTop w:val="0"/>
          <w:marBottom w:val="0"/>
          <w:divBdr>
            <w:top w:val="none" w:sz="0" w:space="0" w:color="auto"/>
            <w:left w:val="none" w:sz="0" w:space="0" w:color="auto"/>
            <w:bottom w:val="none" w:sz="0" w:space="0" w:color="auto"/>
            <w:right w:val="none" w:sz="0" w:space="0" w:color="auto"/>
          </w:divBdr>
          <w:divsChild>
            <w:div w:id="637539221">
              <w:marLeft w:val="0"/>
              <w:marRight w:val="0"/>
              <w:marTop w:val="0"/>
              <w:marBottom w:val="0"/>
              <w:divBdr>
                <w:top w:val="none" w:sz="0" w:space="0" w:color="auto"/>
                <w:left w:val="none" w:sz="0" w:space="0" w:color="auto"/>
                <w:bottom w:val="none" w:sz="0" w:space="0" w:color="auto"/>
                <w:right w:val="none" w:sz="0" w:space="0" w:color="auto"/>
              </w:divBdr>
              <w:divsChild>
                <w:div w:id="40861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65847747">
      <w:bodyDiv w:val="1"/>
      <w:marLeft w:val="0"/>
      <w:marRight w:val="0"/>
      <w:marTop w:val="0"/>
      <w:marBottom w:val="0"/>
      <w:divBdr>
        <w:top w:val="none" w:sz="0" w:space="0" w:color="auto"/>
        <w:left w:val="none" w:sz="0" w:space="0" w:color="auto"/>
        <w:bottom w:val="none" w:sz="0" w:space="0" w:color="auto"/>
        <w:right w:val="none" w:sz="0" w:space="0" w:color="auto"/>
      </w:divBdr>
      <w:divsChild>
        <w:div w:id="1438209429">
          <w:marLeft w:val="0"/>
          <w:marRight w:val="0"/>
          <w:marTop w:val="0"/>
          <w:marBottom w:val="0"/>
          <w:divBdr>
            <w:top w:val="none" w:sz="0" w:space="0" w:color="auto"/>
            <w:left w:val="none" w:sz="0" w:space="0" w:color="auto"/>
            <w:bottom w:val="none" w:sz="0" w:space="0" w:color="auto"/>
            <w:right w:val="none" w:sz="0" w:space="0" w:color="auto"/>
          </w:divBdr>
          <w:divsChild>
            <w:div w:id="1718896183">
              <w:marLeft w:val="0"/>
              <w:marRight w:val="0"/>
              <w:marTop w:val="0"/>
              <w:marBottom w:val="0"/>
              <w:divBdr>
                <w:top w:val="none" w:sz="0" w:space="0" w:color="auto"/>
                <w:left w:val="none" w:sz="0" w:space="0" w:color="auto"/>
                <w:bottom w:val="none" w:sz="0" w:space="0" w:color="auto"/>
                <w:right w:val="none" w:sz="0" w:space="0" w:color="auto"/>
              </w:divBdr>
            </w:div>
            <w:div w:id="1315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revisor.mo.gov/main/OneSection.aspx?section=579" TargetMode="External"/><Relationship Id="rId3" Type="http://schemas.openxmlformats.org/officeDocument/2006/relationships/styles" Target="styles.xml"/><Relationship Id="rId21" Type="http://schemas.openxmlformats.org/officeDocument/2006/relationships/hyperlink" Target="http://revisor.mo.gov/main/OneSection.aspx?section=578.42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evisor.mo.gov/main/OneChapter.aspx?chapter=195" TargetMode="External"/><Relationship Id="rId2" Type="http://schemas.openxmlformats.org/officeDocument/2006/relationships/numbering" Target="numbering.xml"/><Relationship Id="rId16" Type="http://schemas.openxmlformats.org/officeDocument/2006/relationships/hyperlink" Target="http://revisor.mo.gov/main/OneSection.aspx?section=579" TargetMode="External"/><Relationship Id="rId20" Type="http://schemas.openxmlformats.org/officeDocument/2006/relationships/hyperlink" Target="http://revisor.mo.gov/main/OneSection.aspx?section=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visor.mo.gov/main/OneChapter.aspx?chapter=195"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revisor.mo.gov/main/OneChapter.aspx?chapter=19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seattletimes.com/nation-world/ex-missouri-death-row-inmate-re-sentenced-to-life-in-prison/" TargetMode="External"/><Relationship Id="rId2" Type="http://schemas.openxmlformats.org/officeDocument/2006/relationships/hyperlink" Target="https://www.bnd.com/news/local/crime/article190391684.html" TargetMode="External"/><Relationship Id="rId1" Type="http://schemas.openxmlformats.org/officeDocument/2006/relationships/hyperlink" Target="https://caselaw.findlaw.com/mo-court-of-appeals/1862318.html" TargetMode="External"/><Relationship Id="rId4" Type="http://schemas.openxmlformats.org/officeDocument/2006/relationships/hyperlink" Target="http://www.nydailynews.com/news/crime/ny-news-clemons-sisters-parole-20180925-stor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FBFF-3784-7446-A797-385571C1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9744</Words>
  <Characters>50480</Characters>
  <Application>Microsoft Office Word</Application>
  <DocSecurity>0</DocSecurity>
  <Lines>827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462/21</dc:title>
  <dc:creator/>
  <cp:lastModifiedBy/>
  <cp:revision>1</cp:revision>
  <dcterms:created xsi:type="dcterms:W3CDTF">2022-04-04T15:59:00Z</dcterms:created>
  <dcterms:modified xsi:type="dcterms:W3CDTF">2022-04-04T15:59:00Z</dcterms:modified>
</cp:coreProperties>
</file>